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D9921" w14:textId="09469AA3" w:rsidR="00C31640" w:rsidRPr="0038508B" w:rsidRDefault="004D69F8" w:rsidP="00AD4A7E">
      <w:pPr>
        <w:spacing w:before="240"/>
        <w:jc w:val="center"/>
        <w:rPr>
          <w:rFonts w:asciiTheme="minorHAnsi" w:hAnsiTheme="minorHAnsi"/>
          <w:b/>
          <w:szCs w:val="20"/>
          <w:lang w:val="en-GB"/>
        </w:rPr>
      </w:pPr>
      <w:r>
        <w:rPr>
          <w:rFonts w:asciiTheme="minorHAnsi" w:hAnsiTheme="minorHAnsi"/>
          <w:b/>
          <w:lang w:val="en-GB"/>
        </w:rPr>
        <w:t>Synthesis,</w:t>
      </w:r>
      <w:r w:rsidR="00C31640">
        <w:rPr>
          <w:rFonts w:asciiTheme="minorHAnsi" w:hAnsiTheme="minorHAnsi"/>
          <w:b/>
          <w:lang w:val="en-GB"/>
        </w:rPr>
        <w:t xml:space="preserve"> characterization</w:t>
      </w:r>
      <w:r>
        <w:rPr>
          <w:rFonts w:asciiTheme="minorHAnsi" w:hAnsiTheme="minorHAnsi"/>
          <w:b/>
          <w:lang w:val="en-GB"/>
        </w:rPr>
        <w:t>, and durability</w:t>
      </w:r>
      <w:r w:rsidR="00C31640">
        <w:rPr>
          <w:rFonts w:asciiTheme="minorHAnsi" w:hAnsiTheme="minorHAnsi"/>
          <w:b/>
          <w:lang w:val="en-GB"/>
        </w:rPr>
        <w:t xml:space="preserve"> </w:t>
      </w:r>
      <w:r>
        <w:rPr>
          <w:rFonts w:asciiTheme="minorHAnsi" w:hAnsiTheme="minorHAnsi"/>
          <w:b/>
          <w:lang w:val="en-GB"/>
        </w:rPr>
        <w:t xml:space="preserve">study </w:t>
      </w:r>
      <w:r w:rsidR="00C31640">
        <w:rPr>
          <w:rFonts w:asciiTheme="minorHAnsi" w:hAnsiTheme="minorHAnsi"/>
          <w:b/>
          <w:lang w:val="en-GB"/>
        </w:rPr>
        <w:t xml:space="preserve">of </w:t>
      </w:r>
      <w:proofErr w:type="spellStart"/>
      <w:r w:rsidR="00C31640">
        <w:rPr>
          <w:rFonts w:asciiTheme="minorHAnsi" w:hAnsiTheme="minorHAnsi"/>
          <w:b/>
          <w:lang w:val="en-GB"/>
        </w:rPr>
        <w:t>PtCo</w:t>
      </w:r>
      <w:proofErr w:type="spellEnd"/>
      <w:r>
        <w:rPr>
          <w:rFonts w:asciiTheme="minorHAnsi" w:hAnsiTheme="minorHAnsi"/>
          <w:b/>
          <w:lang w:val="en-GB"/>
        </w:rPr>
        <w:t xml:space="preserve"> hollow nanoparticles deposited                               on </w:t>
      </w:r>
      <w:r w:rsidR="00C31640">
        <w:rPr>
          <w:rFonts w:asciiTheme="minorHAnsi" w:hAnsiTheme="minorHAnsi"/>
          <w:b/>
          <w:lang w:val="en-GB"/>
        </w:rPr>
        <w:t xml:space="preserve">carbon </w:t>
      </w:r>
      <w:proofErr w:type="spellStart"/>
      <w:r w:rsidR="00C31640">
        <w:rPr>
          <w:rFonts w:asciiTheme="minorHAnsi" w:hAnsiTheme="minorHAnsi"/>
          <w:b/>
          <w:lang w:val="en-GB"/>
        </w:rPr>
        <w:t>xerogel</w:t>
      </w:r>
      <w:proofErr w:type="spellEnd"/>
      <w:r w:rsidR="00C31640">
        <w:rPr>
          <w:rFonts w:asciiTheme="minorHAnsi" w:hAnsiTheme="minorHAnsi"/>
          <w:b/>
          <w:lang w:val="en-GB"/>
        </w:rPr>
        <w:t xml:space="preserve"> </w:t>
      </w:r>
      <w:r w:rsidR="000B1512">
        <w:rPr>
          <w:rFonts w:asciiTheme="minorHAnsi" w:hAnsiTheme="minorHAnsi"/>
          <w:b/>
          <w:lang w:val="en-GB"/>
        </w:rPr>
        <w:t xml:space="preserve">as </w:t>
      </w:r>
      <w:proofErr w:type="spellStart"/>
      <w:r w:rsidR="00C31640">
        <w:rPr>
          <w:rFonts w:asciiTheme="minorHAnsi" w:hAnsiTheme="minorHAnsi"/>
          <w:b/>
          <w:lang w:val="en-GB"/>
        </w:rPr>
        <w:t>electrocatalysts</w:t>
      </w:r>
      <w:proofErr w:type="spellEnd"/>
      <w:r w:rsidR="00C31640">
        <w:rPr>
          <w:rFonts w:asciiTheme="minorHAnsi" w:hAnsiTheme="minorHAnsi"/>
          <w:b/>
          <w:lang w:val="en-GB"/>
        </w:rPr>
        <w:t xml:space="preserve"> for Proton Exc</w:t>
      </w:r>
      <w:r w:rsidR="00E81766">
        <w:rPr>
          <w:rFonts w:asciiTheme="minorHAnsi" w:hAnsiTheme="minorHAnsi"/>
          <w:b/>
          <w:lang w:val="en-GB"/>
        </w:rPr>
        <w:t>hange Membrane Fuel Cells</w:t>
      </w:r>
    </w:p>
    <w:p w14:paraId="44C87DAD" w14:textId="74A70DE4" w:rsidR="00C31640" w:rsidRPr="0038508B" w:rsidRDefault="00C31640" w:rsidP="00C31640">
      <w:pPr>
        <w:jc w:val="center"/>
        <w:rPr>
          <w:rFonts w:asciiTheme="minorHAnsi" w:hAnsiTheme="minorHAnsi"/>
          <w:b/>
          <w:bCs/>
          <w:i/>
          <w:sz w:val="20"/>
          <w:szCs w:val="18"/>
          <w:lang w:val="en-GB"/>
        </w:rPr>
      </w:pPr>
      <w:r>
        <w:rPr>
          <w:rFonts w:asciiTheme="minorHAnsi" w:hAnsiTheme="minorHAnsi"/>
          <w:b/>
          <w:bCs/>
          <w:i/>
          <w:sz w:val="20"/>
          <w:szCs w:val="18"/>
          <w:u w:val="single"/>
          <w:lang w:val="en-GB"/>
        </w:rPr>
        <w:t>A</w:t>
      </w:r>
      <w:r w:rsidR="003E2E29">
        <w:rPr>
          <w:rFonts w:asciiTheme="minorHAnsi" w:hAnsiTheme="minorHAnsi"/>
          <w:b/>
          <w:bCs/>
          <w:i/>
          <w:sz w:val="20"/>
          <w:szCs w:val="18"/>
          <w:u w:val="single"/>
          <w:lang w:val="en-GB"/>
        </w:rPr>
        <w:t>nthony</w:t>
      </w:r>
      <w:r w:rsidRPr="0038508B">
        <w:rPr>
          <w:rFonts w:asciiTheme="minorHAnsi" w:hAnsiTheme="minorHAnsi"/>
          <w:b/>
          <w:bCs/>
          <w:i/>
          <w:sz w:val="20"/>
          <w:szCs w:val="18"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bCs/>
          <w:i/>
          <w:sz w:val="20"/>
          <w:szCs w:val="18"/>
          <w:u w:val="single"/>
          <w:lang w:val="en-GB"/>
        </w:rPr>
        <w:t>Zubiaur,</w:t>
      </w:r>
      <w:r>
        <w:rPr>
          <w:rFonts w:asciiTheme="minorHAnsi" w:hAnsiTheme="minorHAnsi"/>
          <w:b/>
          <w:bCs/>
          <w:i/>
          <w:sz w:val="20"/>
          <w:szCs w:val="18"/>
          <w:vertAlign w:val="superscript"/>
          <w:lang w:val="en-GB"/>
        </w:rPr>
        <w:t>a</w:t>
      </w:r>
      <w:proofErr w:type="spellEnd"/>
      <w:r w:rsidRPr="0038508B"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r w:rsidR="003E2E29">
        <w:rPr>
          <w:rFonts w:asciiTheme="minorHAnsi" w:hAnsiTheme="minorHAnsi"/>
          <w:b/>
          <w:bCs/>
          <w:i/>
          <w:sz w:val="20"/>
          <w:szCs w:val="18"/>
          <w:lang w:val="en-GB"/>
        </w:rPr>
        <w:t>Tristan</w:t>
      </w:r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>Asset,</w:t>
      </w:r>
      <w:r>
        <w:rPr>
          <w:rFonts w:asciiTheme="minorHAnsi" w:hAnsiTheme="minorHAnsi"/>
          <w:b/>
          <w:bCs/>
          <w:i/>
          <w:sz w:val="20"/>
          <w:szCs w:val="18"/>
          <w:vertAlign w:val="superscript"/>
          <w:lang w:val="en-GB"/>
        </w:rPr>
        <w:t>a,b,c</w:t>
      </w:r>
      <w:proofErr w:type="spellEnd"/>
      <w:r w:rsidR="00620A81"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r w:rsidR="000B1512"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Fabien </w:t>
      </w:r>
      <w:proofErr w:type="spellStart"/>
      <w:r w:rsidR="000B1512">
        <w:rPr>
          <w:rFonts w:asciiTheme="minorHAnsi" w:hAnsiTheme="minorHAnsi"/>
          <w:b/>
          <w:bCs/>
          <w:i/>
          <w:sz w:val="20"/>
          <w:szCs w:val="18"/>
          <w:lang w:val="en-GB"/>
        </w:rPr>
        <w:t>Deschamps,</w:t>
      </w:r>
      <w:r w:rsidR="000B1512">
        <w:rPr>
          <w:rFonts w:asciiTheme="minorHAnsi" w:hAnsiTheme="minorHAnsi"/>
          <w:b/>
          <w:bCs/>
          <w:i/>
          <w:sz w:val="20"/>
          <w:szCs w:val="18"/>
          <w:vertAlign w:val="superscript"/>
          <w:lang w:val="en-GB"/>
        </w:rPr>
        <w:t>a</w:t>
      </w:r>
      <w:proofErr w:type="spellEnd"/>
      <w:r w:rsidR="000B1512"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>L</w:t>
      </w:r>
      <w:r w:rsidR="003E2E29">
        <w:rPr>
          <w:rFonts w:asciiTheme="minorHAnsi" w:hAnsiTheme="minorHAnsi"/>
          <w:b/>
          <w:bCs/>
          <w:i/>
          <w:sz w:val="20"/>
          <w:szCs w:val="18"/>
          <w:lang w:val="en-GB"/>
        </w:rPr>
        <w:t>aetitia</w:t>
      </w:r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>Dubau,</w:t>
      </w:r>
      <w:r>
        <w:rPr>
          <w:rFonts w:asciiTheme="minorHAnsi" w:hAnsiTheme="minorHAnsi"/>
          <w:b/>
          <w:bCs/>
          <w:i/>
          <w:sz w:val="20"/>
          <w:szCs w:val="18"/>
          <w:vertAlign w:val="superscript"/>
          <w:lang w:val="en-GB"/>
        </w:rPr>
        <w:t>b,c</w:t>
      </w:r>
      <w:proofErr w:type="spellEnd"/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F</w:t>
      </w:r>
      <w:r w:rsidR="003E2E29">
        <w:rPr>
          <w:rFonts w:asciiTheme="minorHAnsi" w:hAnsiTheme="minorHAnsi"/>
          <w:b/>
          <w:bCs/>
          <w:i/>
          <w:sz w:val="20"/>
          <w:szCs w:val="18"/>
          <w:lang w:val="en-GB"/>
        </w:rPr>
        <w:t>rederic</w:t>
      </w:r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>Maillard</w:t>
      </w:r>
      <w:proofErr w:type="spellEnd"/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b/>
          <w:bCs/>
          <w:i/>
          <w:sz w:val="20"/>
          <w:szCs w:val="18"/>
          <w:vertAlign w:val="superscript"/>
          <w:lang w:val="en-GB"/>
        </w:rPr>
        <w:t>b,c</w:t>
      </w:r>
      <w:proofErr w:type="spellEnd"/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r w:rsidRPr="0038508B"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and </w:t>
      </w:r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>N</w:t>
      </w:r>
      <w:r w:rsidR="003E2E29">
        <w:rPr>
          <w:rFonts w:asciiTheme="minorHAnsi" w:hAnsiTheme="minorHAnsi"/>
          <w:b/>
          <w:bCs/>
          <w:i/>
          <w:sz w:val="20"/>
          <w:szCs w:val="18"/>
          <w:lang w:val="en-GB"/>
        </w:rPr>
        <w:t>athalie</w:t>
      </w:r>
      <w:r w:rsidRPr="0038508B"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 </w:t>
      </w:r>
      <w:r>
        <w:rPr>
          <w:rFonts w:asciiTheme="minorHAnsi" w:hAnsiTheme="minorHAnsi"/>
          <w:b/>
          <w:bCs/>
          <w:i/>
          <w:sz w:val="20"/>
          <w:szCs w:val="18"/>
          <w:lang w:val="en-GB"/>
        </w:rPr>
        <w:t xml:space="preserve">Job </w:t>
      </w:r>
      <w:r>
        <w:rPr>
          <w:rFonts w:asciiTheme="minorHAnsi" w:hAnsiTheme="minorHAnsi"/>
          <w:b/>
          <w:bCs/>
          <w:i/>
          <w:sz w:val="20"/>
          <w:szCs w:val="18"/>
          <w:vertAlign w:val="superscript"/>
          <w:lang w:val="en-GB"/>
        </w:rPr>
        <w:t>a</w:t>
      </w:r>
      <w:r w:rsidR="000B1512">
        <w:rPr>
          <w:rFonts w:asciiTheme="minorHAnsi" w:hAnsiTheme="minorHAnsi"/>
          <w:b/>
          <w:bCs/>
          <w:i/>
          <w:sz w:val="20"/>
          <w:szCs w:val="18"/>
          <w:vertAlign w:val="superscript"/>
          <w:lang w:val="en-GB"/>
        </w:rPr>
        <w:t>*</w:t>
      </w:r>
    </w:p>
    <w:p w14:paraId="5A8A24E5" w14:textId="77777777" w:rsidR="00C31640" w:rsidRPr="00E133CC" w:rsidRDefault="00C31640" w:rsidP="00C31640">
      <w:pPr>
        <w:jc w:val="center"/>
        <w:rPr>
          <w:rFonts w:asciiTheme="minorHAnsi" w:hAnsiTheme="minorHAnsi"/>
          <w:b/>
          <w:sz w:val="20"/>
          <w:szCs w:val="20"/>
          <w:vertAlign w:val="superscript"/>
          <w:lang w:val="en-GB"/>
        </w:rPr>
      </w:pPr>
    </w:p>
    <w:p w14:paraId="00B6573D" w14:textId="716279C0" w:rsidR="00C31640" w:rsidRPr="007047C6" w:rsidRDefault="00C31640" w:rsidP="00C31640">
      <w:pPr>
        <w:jc w:val="center"/>
        <w:rPr>
          <w:rFonts w:asciiTheme="minorHAnsi" w:hAnsiTheme="minorHAnsi"/>
          <w:i/>
          <w:iCs/>
          <w:sz w:val="20"/>
          <w:szCs w:val="18"/>
          <w:lang w:val="en-GB"/>
        </w:rPr>
      </w:pPr>
      <w:r w:rsidRPr="007047C6">
        <w:rPr>
          <w:rFonts w:asciiTheme="minorHAnsi" w:hAnsiTheme="minorHAnsi"/>
          <w:b/>
          <w:sz w:val="20"/>
          <w:szCs w:val="18"/>
          <w:vertAlign w:val="superscript"/>
          <w:lang w:val="en-GB"/>
        </w:rPr>
        <w:t>a</w:t>
      </w:r>
      <w:r w:rsidRPr="007047C6">
        <w:rPr>
          <w:rFonts w:asciiTheme="minorHAnsi" w:hAnsiTheme="minorHAnsi"/>
          <w:i/>
          <w:iCs/>
          <w:sz w:val="20"/>
          <w:szCs w:val="18"/>
          <w:lang w:val="en-GB"/>
        </w:rPr>
        <w:t xml:space="preserve"> </w:t>
      </w:r>
      <w:r w:rsidR="00BB2BB1">
        <w:rPr>
          <w:rFonts w:asciiTheme="minorHAnsi" w:hAnsiTheme="minorHAnsi"/>
          <w:i/>
          <w:iCs/>
          <w:sz w:val="20"/>
          <w:szCs w:val="18"/>
          <w:lang w:val="en-GB"/>
        </w:rPr>
        <w:t xml:space="preserve">University of Liège, Department </w:t>
      </w:r>
      <w:r>
        <w:rPr>
          <w:rFonts w:asciiTheme="minorHAnsi" w:hAnsiTheme="minorHAnsi"/>
          <w:i/>
          <w:iCs/>
          <w:sz w:val="20"/>
          <w:szCs w:val="18"/>
          <w:lang w:val="en-GB"/>
        </w:rPr>
        <w:t xml:space="preserve">of Chemical Engineering – Nanomaterials, Catalysis, Electrochemistry, </w:t>
      </w:r>
      <w:r w:rsidR="00BB2BB1">
        <w:rPr>
          <w:rFonts w:asciiTheme="minorHAnsi" w:hAnsiTheme="minorHAnsi"/>
          <w:i/>
          <w:iCs/>
          <w:sz w:val="20"/>
          <w:szCs w:val="18"/>
          <w:lang w:val="en-GB"/>
        </w:rPr>
        <w:t xml:space="preserve">Building </w:t>
      </w:r>
      <w:r>
        <w:rPr>
          <w:rFonts w:asciiTheme="minorHAnsi" w:hAnsiTheme="minorHAnsi"/>
          <w:i/>
          <w:iCs/>
          <w:sz w:val="20"/>
          <w:szCs w:val="18"/>
          <w:lang w:val="en-GB"/>
        </w:rPr>
        <w:t>B6a</w:t>
      </w:r>
      <w:r w:rsidRPr="007047C6">
        <w:rPr>
          <w:rFonts w:asciiTheme="minorHAnsi" w:hAnsiTheme="minorHAnsi"/>
          <w:i/>
          <w:iCs/>
          <w:sz w:val="20"/>
          <w:szCs w:val="18"/>
          <w:lang w:val="en-GB"/>
        </w:rPr>
        <w:t xml:space="preserve">, </w:t>
      </w:r>
      <w:r>
        <w:rPr>
          <w:rFonts w:asciiTheme="minorHAnsi" w:hAnsiTheme="minorHAnsi"/>
          <w:i/>
          <w:iCs/>
          <w:sz w:val="20"/>
          <w:szCs w:val="18"/>
          <w:lang w:val="en-GB"/>
        </w:rPr>
        <w:t>4000 Liège</w:t>
      </w:r>
      <w:r w:rsidRPr="007047C6">
        <w:rPr>
          <w:rFonts w:asciiTheme="minorHAnsi" w:hAnsiTheme="minorHAnsi"/>
          <w:i/>
          <w:iCs/>
          <w:sz w:val="20"/>
          <w:szCs w:val="18"/>
          <w:lang w:val="en-GB"/>
        </w:rPr>
        <w:t xml:space="preserve">, </w:t>
      </w:r>
      <w:r>
        <w:rPr>
          <w:rFonts w:asciiTheme="minorHAnsi" w:hAnsiTheme="minorHAnsi"/>
          <w:i/>
          <w:iCs/>
          <w:sz w:val="20"/>
          <w:szCs w:val="18"/>
          <w:lang w:val="en-GB"/>
        </w:rPr>
        <w:t>Belgium</w:t>
      </w:r>
      <w:r w:rsidRPr="007047C6">
        <w:rPr>
          <w:rFonts w:asciiTheme="minorHAnsi" w:hAnsiTheme="minorHAnsi"/>
          <w:i/>
          <w:iCs/>
          <w:sz w:val="20"/>
          <w:szCs w:val="18"/>
          <w:lang w:val="en-GB"/>
        </w:rPr>
        <w:t xml:space="preserve"> </w:t>
      </w:r>
    </w:p>
    <w:p w14:paraId="6E3D5DCE" w14:textId="77777777" w:rsidR="00C31640" w:rsidRPr="00C73976" w:rsidRDefault="00C31640" w:rsidP="00C31640">
      <w:pPr>
        <w:ind w:left="360"/>
        <w:jc w:val="center"/>
        <w:rPr>
          <w:rFonts w:asciiTheme="minorHAnsi" w:hAnsiTheme="minorHAnsi"/>
          <w:i/>
          <w:iCs/>
          <w:sz w:val="20"/>
          <w:szCs w:val="18"/>
          <w:lang w:val="en-US"/>
        </w:rPr>
      </w:pPr>
      <w:proofErr w:type="gramStart"/>
      <w:r w:rsidRPr="00DB7A7B">
        <w:rPr>
          <w:rFonts w:asciiTheme="minorHAnsi" w:hAnsiTheme="minorHAnsi"/>
          <w:b/>
          <w:sz w:val="20"/>
          <w:szCs w:val="18"/>
          <w:vertAlign w:val="superscript"/>
          <w:lang w:val="en-US"/>
        </w:rPr>
        <w:t>b</w:t>
      </w:r>
      <w:proofErr w:type="gramEnd"/>
      <w:r w:rsidRPr="00DB7A7B">
        <w:rPr>
          <w:rFonts w:asciiTheme="minorHAnsi" w:hAnsiTheme="minorHAnsi"/>
          <w:i/>
          <w:iCs/>
          <w:sz w:val="20"/>
          <w:szCs w:val="18"/>
          <w:lang w:val="en-US"/>
        </w:rPr>
        <w:t xml:space="preserve"> </w:t>
      </w:r>
      <w:r w:rsidRPr="00C73976">
        <w:rPr>
          <w:rFonts w:asciiTheme="minorHAnsi" w:hAnsiTheme="minorHAnsi"/>
          <w:i/>
          <w:iCs/>
          <w:sz w:val="20"/>
          <w:szCs w:val="18"/>
          <w:lang w:val="en-GB"/>
        </w:rPr>
        <w:t>CNRS, LEPMI, F-38000 Grenoble, France</w:t>
      </w:r>
    </w:p>
    <w:p w14:paraId="43448CD7" w14:textId="300A82EF" w:rsidR="00C31640" w:rsidRPr="00DB7A7B" w:rsidRDefault="00C31640" w:rsidP="00C31640">
      <w:pPr>
        <w:ind w:left="360"/>
        <w:jc w:val="center"/>
        <w:rPr>
          <w:rFonts w:asciiTheme="minorHAnsi" w:hAnsiTheme="minorHAnsi"/>
          <w:i/>
          <w:iCs/>
          <w:sz w:val="20"/>
          <w:szCs w:val="18"/>
          <w:lang w:val="en-US"/>
        </w:rPr>
      </w:pPr>
      <w:proofErr w:type="gramStart"/>
      <w:r w:rsidRPr="00C73976">
        <w:rPr>
          <w:rFonts w:asciiTheme="minorHAnsi" w:hAnsiTheme="minorHAnsi"/>
          <w:i/>
          <w:iCs/>
          <w:sz w:val="20"/>
          <w:szCs w:val="18"/>
          <w:vertAlign w:val="superscript"/>
          <w:lang w:val="en-US"/>
        </w:rPr>
        <w:t>c</w:t>
      </w:r>
      <w:proofErr w:type="gramEnd"/>
      <w:r>
        <w:rPr>
          <w:rFonts w:asciiTheme="minorHAnsi" w:hAnsiTheme="minorHAnsi"/>
          <w:i/>
          <w:iCs/>
          <w:sz w:val="20"/>
          <w:szCs w:val="18"/>
          <w:lang w:val="en-US"/>
        </w:rPr>
        <w:t xml:space="preserve"> </w:t>
      </w:r>
      <w:r w:rsidRPr="00C73976">
        <w:rPr>
          <w:rFonts w:asciiTheme="minorHAnsi" w:hAnsiTheme="minorHAnsi"/>
          <w:i/>
          <w:iCs/>
          <w:sz w:val="20"/>
          <w:szCs w:val="18"/>
          <w:lang w:val="en-US"/>
        </w:rPr>
        <w:t>Univ</w:t>
      </w:r>
      <w:r w:rsidR="00F95E2B">
        <w:rPr>
          <w:rFonts w:asciiTheme="minorHAnsi" w:hAnsiTheme="minorHAnsi"/>
          <w:i/>
          <w:iCs/>
          <w:sz w:val="20"/>
          <w:szCs w:val="18"/>
          <w:lang w:val="en-US"/>
        </w:rPr>
        <w:t>.</w:t>
      </w:r>
      <w:r w:rsidRPr="00C73976">
        <w:rPr>
          <w:rFonts w:asciiTheme="minorHAnsi" w:hAnsiTheme="minorHAnsi"/>
          <w:i/>
          <w:iCs/>
          <w:sz w:val="20"/>
          <w:szCs w:val="18"/>
          <w:lang w:val="en-US"/>
        </w:rPr>
        <w:t xml:space="preserve"> Grenoble </w:t>
      </w:r>
      <w:proofErr w:type="spellStart"/>
      <w:r w:rsidRPr="00C73976">
        <w:rPr>
          <w:rFonts w:asciiTheme="minorHAnsi" w:hAnsiTheme="minorHAnsi"/>
          <w:i/>
          <w:iCs/>
          <w:sz w:val="20"/>
          <w:szCs w:val="18"/>
          <w:lang w:val="en-US"/>
        </w:rPr>
        <w:t>Alpes</w:t>
      </w:r>
      <w:proofErr w:type="spellEnd"/>
      <w:r w:rsidRPr="00C73976">
        <w:rPr>
          <w:rFonts w:asciiTheme="minorHAnsi" w:hAnsiTheme="minorHAnsi"/>
          <w:i/>
          <w:iCs/>
          <w:sz w:val="20"/>
          <w:szCs w:val="18"/>
          <w:lang w:val="en-US"/>
        </w:rPr>
        <w:t>,</w:t>
      </w:r>
      <w:r w:rsidR="00F95E2B">
        <w:rPr>
          <w:rFonts w:asciiTheme="minorHAnsi" w:hAnsiTheme="minorHAnsi"/>
          <w:i/>
          <w:iCs/>
          <w:sz w:val="20"/>
          <w:szCs w:val="18"/>
          <w:lang w:val="en-US"/>
        </w:rPr>
        <w:t xml:space="preserve"> CNRS, Grenoble INP,</w:t>
      </w:r>
      <w:r w:rsidRPr="00C73976">
        <w:rPr>
          <w:rFonts w:asciiTheme="minorHAnsi" w:hAnsiTheme="minorHAnsi"/>
          <w:i/>
          <w:iCs/>
          <w:sz w:val="20"/>
          <w:szCs w:val="18"/>
          <w:lang w:val="en-US"/>
        </w:rPr>
        <w:t xml:space="preserve"> LEPMI, 38000 Grenoble, France</w:t>
      </w:r>
    </w:p>
    <w:p w14:paraId="37DBF3CA" w14:textId="1B436DFF" w:rsidR="00C31640" w:rsidRPr="00AC6C6C" w:rsidRDefault="00C31640" w:rsidP="00C31640">
      <w:pPr>
        <w:jc w:val="center"/>
        <w:rPr>
          <w:rFonts w:asciiTheme="minorHAnsi" w:hAnsiTheme="minorHAnsi"/>
          <w:i/>
          <w:iCs/>
          <w:sz w:val="20"/>
          <w:szCs w:val="18"/>
          <w:lang w:val="en-GB"/>
        </w:rPr>
      </w:pPr>
      <w:r>
        <w:rPr>
          <w:rFonts w:asciiTheme="minorHAnsi" w:hAnsiTheme="minorHAnsi"/>
          <w:i/>
          <w:iCs/>
          <w:sz w:val="20"/>
          <w:szCs w:val="18"/>
          <w:lang w:val="en-GB"/>
        </w:rPr>
        <w:t xml:space="preserve">* Corresponding author email address: </w:t>
      </w:r>
      <w:r w:rsidR="000B1512">
        <w:rPr>
          <w:rFonts w:asciiTheme="minorHAnsi" w:hAnsiTheme="minorHAnsi"/>
          <w:i/>
          <w:iCs/>
          <w:sz w:val="20"/>
          <w:szCs w:val="18"/>
          <w:lang w:val="en-GB"/>
        </w:rPr>
        <w:t>nathalie.job@</w:t>
      </w:r>
      <w:r>
        <w:rPr>
          <w:rFonts w:asciiTheme="minorHAnsi" w:hAnsiTheme="minorHAnsi"/>
          <w:i/>
          <w:iCs/>
          <w:sz w:val="20"/>
          <w:szCs w:val="18"/>
          <w:lang w:val="en-GB"/>
        </w:rPr>
        <w:t>ulg.ac.be</w:t>
      </w:r>
    </w:p>
    <w:p w14:paraId="0C246481" w14:textId="77777777" w:rsidR="00C31640" w:rsidRPr="007047C6" w:rsidRDefault="00C31640" w:rsidP="00C31640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14:paraId="26B2073F" w14:textId="6BBECD66" w:rsidR="00324D24" w:rsidRDefault="00C31640" w:rsidP="00C31640">
      <w:pPr>
        <w:jc w:val="both"/>
        <w:rPr>
          <w:rFonts w:asciiTheme="minorHAnsi" w:hAnsiTheme="minorHAnsi"/>
          <w:sz w:val="22"/>
          <w:szCs w:val="20"/>
          <w:lang w:val="en-US"/>
        </w:rPr>
      </w:pPr>
      <w:r w:rsidRPr="003D5823">
        <w:rPr>
          <w:rFonts w:asciiTheme="minorHAnsi" w:hAnsiTheme="minorHAnsi"/>
          <w:sz w:val="22"/>
          <w:szCs w:val="20"/>
          <w:lang w:val="en-US"/>
        </w:rPr>
        <w:t>Proton exchange membrane fuel cell (PEMFC) catalysts are generally made of carbon black</w:t>
      </w:r>
      <w:r>
        <w:rPr>
          <w:rFonts w:asciiTheme="minorHAnsi" w:hAnsiTheme="minorHAnsi"/>
          <w:sz w:val="22"/>
          <w:szCs w:val="20"/>
          <w:lang w:val="en-US"/>
        </w:rPr>
        <w:t xml:space="preserve"> (CB)</w:t>
      </w:r>
      <w:r w:rsidRPr="003D5823">
        <w:rPr>
          <w:rFonts w:asciiTheme="minorHAnsi" w:hAnsiTheme="minorHAnsi"/>
          <w:sz w:val="22"/>
          <w:szCs w:val="20"/>
          <w:lang w:val="en-US"/>
        </w:rPr>
        <w:t xml:space="preserve">-supported </w:t>
      </w:r>
      <w:r>
        <w:rPr>
          <w:rFonts w:asciiTheme="minorHAnsi" w:hAnsiTheme="minorHAnsi"/>
          <w:sz w:val="22"/>
          <w:szCs w:val="20"/>
          <w:lang w:val="en-US"/>
        </w:rPr>
        <w:t>platinum</w:t>
      </w:r>
      <w:r w:rsidRPr="003D5823">
        <w:rPr>
          <w:rFonts w:asciiTheme="minorHAnsi" w:hAnsiTheme="minorHAnsi"/>
          <w:sz w:val="22"/>
          <w:szCs w:val="20"/>
          <w:lang w:val="en-US"/>
        </w:rPr>
        <w:t>-based nano</w:t>
      </w:r>
      <w:r>
        <w:rPr>
          <w:rFonts w:asciiTheme="minorHAnsi" w:hAnsiTheme="minorHAnsi"/>
          <w:sz w:val="22"/>
          <w:szCs w:val="20"/>
          <w:lang w:val="en-US"/>
        </w:rPr>
        <w:t>particles</w:t>
      </w:r>
      <w:r w:rsidR="00902E8F">
        <w:rPr>
          <w:rFonts w:asciiTheme="minorHAnsi" w:hAnsiTheme="minorHAnsi"/>
          <w:sz w:val="22"/>
          <w:szCs w:val="20"/>
          <w:lang w:val="en-US"/>
        </w:rPr>
        <w:t xml:space="preserve">, and the PEMFC electrodes display high Pt loading (up to 0.5 </w:t>
      </w:r>
      <w:proofErr w:type="spellStart"/>
      <w:r w:rsidR="00902E8F">
        <w:rPr>
          <w:rFonts w:asciiTheme="minorHAnsi" w:hAnsiTheme="minorHAnsi"/>
          <w:sz w:val="22"/>
          <w:szCs w:val="20"/>
          <w:lang w:val="en-US"/>
        </w:rPr>
        <w:t>mg</w:t>
      </w:r>
      <w:r w:rsidR="00902E8F" w:rsidRPr="00713E4A">
        <w:rPr>
          <w:rFonts w:asciiTheme="minorHAnsi" w:hAnsiTheme="minorHAnsi"/>
          <w:sz w:val="22"/>
          <w:szCs w:val="20"/>
          <w:vertAlign w:val="subscript"/>
          <w:lang w:val="en-US"/>
        </w:rPr>
        <w:t>Pt</w:t>
      </w:r>
      <w:proofErr w:type="spellEnd"/>
      <w:r w:rsidR="00902E8F">
        <w:rPr>
          <w:rFonts w:asciiTheme="minorHAnsi" w:hAnsiTheme="minorHAnsi"/>
          <w:sz w:val="22"/>
          <w:szCs w:val="20"/>
          <w:lang w:val="en-US"/>
        </w:rPr>
        <w:t>/cm²) to reach high current without severe mass transport issues</w:t>
      </w:r>
      <w:r>
        <w:rPr>
          <w:rFonts w:asciiTheme="minorHAnsi" w:hAnsiTheme="minorHAnsi"/>
          <w:sz w:val="22"/>
          <w:szCs w:val="20"/>
          <w:lang w:val="en-US"/>
        </w:rPr>
        <w:t xml:space="preserve">. </w:t>
      </w:r>
      <w:r w:rsidR="00902E8F">
        <w:rPr>
          <w:rFonts w:asciiTheme="minorHAnsi" w:hAnsiTheme="minorHAnsi"/>
          <w:sz w:val="22"/>
          <w:szCs w:val="22"/>
          <w:lang w:val="en-US"/>
        </w:rPr>
        <w:t>To decrease the system cost</w:t>
      </w:r>
      <w:r w:rsidR="00324D24">
        <w:rPr>
          <w:rFonts w:asciiTheme="minorHAnsi" w:hAnsiTheme="minorHAnsi"/>
          <w:sz w:val="22"/>
          <w:szCs w:val="22"/>
          <w:lang w:val="en-US"/>
        </w:rPr>
        <w:t xml:space="preserve">, the decrease of the Pt mass contained in the PEMFC electrodes, in particular at the cathode where the oxygen reduction reaction (ORR) </w:t>
      </w:r>
      <w:r w:rsidR="00902E8F">
        <w:rPr>
          <w:rFonts w:asciiTheme="minorHAnsi" w:hAnsiTheme="minorHAnsi"/>
          <w:sz w:val="22"/>
          <w:szCs w:val="22"/>
          <w:lang w:val="en-US"/>
        </w:rPr>
        <w:t>proceeds</w:t>
      </w:r>
      <w:r w:rsidR="00324D24">
        <w:rPr>
          <w:rFonts w:asciiTheme="minorHAnsi" w:hAnsiTheme="minorHAnsi"/>
          <w:sz w:val="22"/>
          <w:szCs w:val="22"/>
          <w:lang w:val="en-US"/>
        </w:rPr>
        <w:t xml:space="preserve">, remains a major challenge. </w:t>
      </w:r>
      <w:r w:rsidR="00324D24" w:rsidRPr="00214A32">
        <w:rPr>
          <w:rFonts w:asciiTheme="minorHAnsi" w:hAnsiTheme="minorHAnsi"/>
          <w:sz w:val="22"/>
          <w:lang w:val="en-GB"/>
        </w:rPr>
        <w:t xml:space="preserve">Improving the </w:t>
      </w:r>
      <w:r w:rsidR="00324D24">
        <w:rPr>
          <w:rFonts w:asciiTheme="minorHAnsi" w:hAnsiTheme="minorHAnsi"/>
          <w:sz w:val="22"/>
          <w:lang w:val="en-GB"/>
        </w:rPr>
        <w:t xml:space="preserve">mass </w:t>
      </w:r>
      <w:r w:rsidR="00324D24" w:rsidRPr="00214A32">
        <w:rPr>
          <w:rFonts w:asciiTheme="minorHAnsi" w:hAnsiTheme="minorHAnsi"/>
          <w:sz w:val="22"/>
          <w:lang w:val="en-GB"/>
        </w:rPr>
        <w:t>activity</w:t>
      </w:r>
      <w:r w:rsidR="00902E8F">
        <w:rPr>
          <w:rFonts w:asciiTheme="minorHAnsi" w:hAnsiTheme="minorHAnsi"/>
          <w:sz w:val="22"/>
          <w:lang w:val="en-GB"/>
        </w:rPr>
        <w:t xml:space="preserve"> of the catalyst towards ORR</w:t>
      </w:r>
      <w:r w:rsidR="00324D24" w:rsidRPr="00214A32">
        <w:rPr>
          <w:rFonts w:asciiTheme="minorHAnsi" w:hAnsiTheme="minorHAnsi"/>
          <w:sz w:val="22"/>
          <w:lang w:val="en-GB"/>
        </w:rPr>
        <w:t xml:space="preserve"> is currently best achieved</w:t>
      </w:r>
      <w:r w:rsidR="00324D24" w:rsidRPr="00D15C4D">
        <w:rPr>
          <w:rFonts w:asciiTheme="minorHAnsi" w:hAnsiTheme="minorHAnsi"/>
          <w:sz w:val="22"/>
          <w:lang w:val="en-GB"/>
        </w:rPr>
        <w:t xml:space="preserve"> by </w:t>
      </w:r>
      <w:r w:rsidR="00324D24">
        <w:rPr>
          <w:rFonts w:asciiTheme="minorHAnsi" w:hAnsiTheme="minorHAnsi"/>
          <w:sz w:val="22"/>
          <w:lang w:val="en-GB"/>
        </w:rPr>
        <w:t>alloying Pt</w:t>
      </w:r>
      <w:r w:rsidR="00324D24">
        <w:rPr>
          <w:rFonts w:asciiTheme="minorHAnsi" w:hAnsiTheme="minorHAnsi"/>
          <w:sz w:val="22"/>
          <w:lang w:val="en-US"/>
        </w:rPr>
        <w:t xml:space="preserve"> with 3d-transition metal atoms such as cobalt</w:t>
      </w:r>
      <w:r w:rsidR="00902E8F">
        <w:rPr>
          <w:rFonts w:asciiTheme="minorHAnsi" w:hAnsiTheme="minorHAnsi"/>
          <w:sz w:val="22"/>
          <w:lang w:val="en-US"/>
        </w:rPr>
        <w:t xml:space="preserve"> or </w:t>
      </w:r>
      <w:r w:rsidR="00713E4A">
        <w:rPr>
          <w:rFonts w:asciiTheme="minorHAnsi" w:hAnsiTheme="minorHAnsi"/>
          <w:sz w:val="22"/>
          <w:lang w:val="en-US"/>
        </w:rPr>
        <w:t>n</w:t>
      </w:r>
      <w:r w:rsidR="00902E8F">
        <w:rPr>
          <w:rFonts w:asciiTheme="minorHAnsi" w:hAnsiTheme="minorHAnsi"/>
          <w:sz w:val="22"/>
          <w:lang w:val="en-US"/>
        </w:rPr>
        <w:t>i</w:t>
      </w:r>
      <w:r w:rsidR="00713E4A">
        <w:rPr>
          <w:rFonts w:asciiTheme="minorHAnsi" w:hAnsiTheme="minorHAnsi"/>
          <w:sz w:val="22"/>
          <w:lang w:val="en-US"/>
        </w:rPr>
        <w:t>ckel</w:t>
      </w:r>
      <w:r w:rsidR="00324D24">
        <w:rPr>
          <w:rFonts w:asciiTheme="minorHAnsi" w:hAnsiTheme="minorHAnsi"/>
          <w:sz w:val="22"/>
          <w:lang w:val="en-US"/>
        </w:rPr>
        <w:t>. These alloys perform better for the ORR because the substitution of some Pt atoms by 3d-metal atoms with smaller radius leads to a modified Pt electronic structure [</w:t>
      </w:r>
      <w:r w:rsidR="00F4574B">
        <w:rPr>
          <w:rFonts w:asciiTheme="minorHAnsi" w:hAnsiTheme="minorHAnsi"/>
          <w:sz w:val="22"/>
          <w:lang w:val="en-US"/>
        </w:rPr>
        <w:t>1</w:t>
      </w:r>
      <w:r w:rsidR="00324D24">
        <w:rPr>
          <w:rFonts w:asciiTheme="minorHAnsi" w:hAnsiTheme="minorHAnsi"/>
          <w:sz w:val="22"/>
          <w:lang w:val="en-US"/>
        </w:rPr>
        <w:t>].</w:t>
      </w:r>
      <w:r w:rsidR="00902E8F">
        <w:rPr>
          <w:rFonts w:asciiTheme="minorHAnsi" w:hAnsiTheme="minorHAnsi"/>
          <w:sz w:val="22"/>
          <w:lang w:val="en-US"/>
        </w:rPr>
        <w:t xml:space="preserve"> Therefore, the Pt loading of the electrode can be decreased by increasing the catalyst mass activity through alloying.</w:t>
      </w:r>
    </w:p>
    <w:p w14:paraId="46284C2E" w14:textId="77777777" w:rsidR="00324D24" w:rsidRDefault="00324D24" w:rsidP="00C31640">
      <w:pPr>
        <w:jc w:val="both"/>
        <w:rPr>
          <w:rFonts w:asciiTheme="minorHAnsi" w:hAnsiTheme="minorHAnsi"/>
          <w:sz w:val="22"/>
          <w:szCs w:val="20"/>
          <w:lang w:val="en-US"/>
        </w:rPr>
      </w:pPr>
    </w:p>
    <w:p w14:paraId="23DF8E34" w14:textId="31E93DC5" w:rsidR="00C31640" w:rsidRDefault="00324D24" w:rsidP="00C31640">
      <w:pPr>
        <w:pStyle w:val="Commentaire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lang w:val="en-US"/>
        </w:rPr>
        <w:t>Moreover</w:t>
      </w:r>
      <w:r w:rsidR="00C31640">
        <w:rPr>
          <w:rFonts w:asciiTheme="minorHAnsi" w:hAnsiTheme="minorHAnsi"/>
          <w:sz w:val="22"/>
          <w:lang w:val="en-US"/>
        </w:rPr>
        <w:t>, the properties of CB</w:t>
      </w:r>
      <w:r w:rsidR="00C31640" w:rsidRPr="003D5823">
        <w:rPr>
          <w:rFonts w:asciiTheme="minorHAnsi" w:hAnsiTheme="minorHAnsi"/>
          <w:sz w:val="22"/>
          <w:lang w:val="en-US"/>
        </w:rPr>
        <w:t>s</w:t>
      </w:r>
      <w:r w:rsidR="00C31640">
        <w:rPr>
          <w:rFonts w:asciiTheme="minorHAnsi" w:hAnsiTheme="minorHAnsi"/>
          <w:sz w:val="22"/>
          <w:lang w:val="en-US"/>
        </w:rPr>
        <w:t xml:space="preserve">, as </w:t>
      </w:r>
      <w:r w:rsidR="00C31640" w:rsidRPr="00BA1A56">
        <w:rPr>
          <w:rFonts w:asciiTheme="minorHAnsi" w:hAnsiTheme="minorHAnsi"/>
          <w:sz w:val="22"/>
          <w:szCs w:val="22"/>
          <w:lang w:val="en-US"/>
        </w:rPr>
        <w:t>described by Rodríguez-</w:t>
      </w:r>
      <w:proofErr w:type="spellStart"/>
      <w:r w:rsidR="00C31640" w:rsidRPr="00BA1A56">
        <w:rPr>
          <w:rFonts w:asciiTheme="minorHAnsi" w:hAnsiTheme="minorHAnsi"/>
          <w:sz w:val="22"/>
          <w:szCs w:val="22"/>
          <w:lang w:val="en-US"/>
        </w:rPr>
        <w:t>Reinoso</w:t>
      </w:r>
      <w:proofErr w:type="spellEnd"/>
      <w:r w:rsidR="00C31640" w:rsidRPr="00BA1A5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F4574B">
        <w:rPr>
          <w:rFonts w:asciiTheme="minorHAnsi" w:hAnsiTheme="minorHAnsi"/>
          <w:sz w:val="22"/>
          <w:szCs w:val="22"/>
          <w:lang w:val="en-US"/>
        </w:rPr>
        <w:t>[2</w:t>
      </w:r>
      <w:r w:rsidR="00C31640">
        <w:rPr>
          <w:rFonts w:asciiTheme="minorHAnsi" w:hAnsiTheme="minorHAnsi"/>
          <w:sz w:val="22"/>
          <w:szCs w:val="22"/>
          <w:lang w:val="en-US"/>
        </w:rPr>
        <w:t>], are</w:t>
      </w:r>
      <w:r w:rsidR="00C31640" w:rsidRPr="003D5823">
        <w:rPr>
          <w:rFonts w:asciiTheme="minorHAnsi" w:hAnsiTheme="minorHAnsi"/>
          <w:sz w:val="22"/>
          <w:lang w:val="en-US"/>
        </w:rPr>
        <w:t xml:space="preserve"> not optimal for </w:t>
      </w:r>
      <w:proofErr w:type="spellStart"/>
      <w:r w:rsidR="00C31640" w:rsidRPr="003D5823">
        <w:rPr>
          <w:rFonts w:asciiTheme="minorHAnsi" w:hAnsiTheme="minorHAnsi"/>
          <w:sz w:val="22"/>
          <w:lang w:val="en-US"/>
        </w:rPr>
        <w:t>electrocatalysis</w:t>
      </w:r>
      <w:proofErr w:type="spellEnd"/>
      <w:r w:rsidR="00902E8F">
        <w:rPr>
          <w:rFonts w:asciiTheme="minorHAnsi" w:hAnsiTheme="minorHAnsi"/>
          <w:sz w:val="22"/>
          <w:lang w:val="en-US"/>
        </w:rPr>
        <w:t>; in particular, the electrode pore texture after processing (which includes hot-pressing) cannot be controlled</w:t>
      </w:r>
      <w:r w:rsidR="00C31640" w:rsidRPr="003D5823">
        <w:rPr>
          <w:rFonts w:asciiTheme="minorHAnsi" w:hAnsiTheme="minorHAnsi"/>
          <w:sz w:val="22"/>
          <w:lang w:val="en-US"/>
        </w:rPr>
        <w:t>. A possible solution to the drawbacks</w:t>
      </w:r>
      <w:r w:rsidR="00C31640">
        <w:rPr>
          <w:rFonts w:asciiTheme="minorHAnsi" w:hAnsiTheme="minorHAnsi"/>
          <w:sz w:val="22"/>
          <w:lang w:val="en-US"/>
        </w:rPr>
        <w:t xml:space="preserve"> of CBs</w:t>
      </w:r>
      <w:r w:rsidR="00C31640" w:rsidRPr="003D5823">
        <w:rPr>
          <w:rFonts w:asciiTheme="minorHAnsi" w:hAnsiTheme="minorHAnsi"/>
          <w:sz w:val="22"/>
          <w:lang w:val="en-US"/>
        </w:rPr>
        <w:t xml:space="preserve"> is the use of synthetic nanostructured materials with a controllable and reproducible</w:t>
      </w:r>
      <w:r w:rsidR="00902E8F">
        <w:rPr>
          <w:rFonts w:asciiTheme="minorHAnsi" w:hAnsiTheme="minorHAnsi"/>
          <w:sz w:val="22"/>
          <w:lang w:val="en-US"/>
        </w:rPr>
        <w:t xml:space="preserve"> pore</w:t>
      </w:r>
      <w:r w:rsidR="00C31640" w:rsidRPr="003D5823">
        <w:rPr>
          <w:rFonts w:asciiTheme="minorHAnsi" w:hAnsiTheme="minorHAnsi"/>
          <w:sz w:val="22"/>
          <w:lang w:val="en-US"/>
        </w:rPr>
        <w:t xml:space="preserve"> texture and with a pure, known and constant chemical composition; carbon </w:t>
      </w:r>
      <w:proofErr w:type="spellStart"/>
      <w:r w:rsidR="00C31640" w:rsidRPr="003D5823">
        <w:rPr>
          <w:rFonts w:asciiTheme="minorHAnsi" w:hAnsiTheme="minorHAnsi"/>
          <w:sz w:val="22"/>
          <w:lang w:val="en-US"/>
        </w:rPr>
        <w:t>xerogels</w:t>
      </w:r>
      <w:proofErr w:type="spellEnd"/>
      <w:r w:rsidR="00C31640" w:rsidRPr="003D5823">
        <w:rPr>
          <w:rFonts w:asciiTheme="minorHAnsi" w:hAnsiTheme="minorHAnsi"/>
          <w:sz w:val="22"/>
          <w:lang w:val="en-US"/>
        </w:rPr>
        <w:t xml:space="preserve"> (C</w:t>
      </w:r>
      <w:r w:rsidR="00F4574B">
        <w:rPr>
          <w:rFonts w:asciiTheme="minorHAnsi" w:hAnsiTheme="minorHAnsi"/>
          <w:sz w:val="22"/>
          <w:lang w:val="en-US"/>
        </w:rPr>
        <w:t>X) exhibit such properties [3</w:t>
      </w:r>
      <w:r w:rsidR="00605FAE">
        <w:rPr>
          <w:rFonts w:asciiTheme="minorHAnsi" w:hAnsiTheme="minorHAnsi"/>
          <w:sz w:val="22"/>
          <w:lang w:val="en-US"/>
        </w:rPr>
        <w:t>].</w:t>
      </w:r>
      <w:r w:rsidR="00713E4A">
        <w:rPr>
          <w:rFonts w:asciiTheme="minorHAnsi" w:hAnsiTheme="minorHAnsi"/>
          <w:sz w:val="22"/>
          <w:lang w:val="en-US"/>
        </w:rPr>
        <w:t xml:space="preserve"> </w:t>
      </w:r>
      <w:r w:rsidR="00C31640">
        <w:rPr>
          <w:rFonts w:asciiTheme="minorHAnsi" w:hAnsiTheme="minorHAnsi"/>
          <w:sz w:val="22"/>
          <w:lang w:val="en-US"/>
        </w:rPr>
        <w:t>Recently, various h</w:t>
      </w:r>
      <w:r w:rsidR="00C31640" w:rsidRPr="006B073A">
        <w:rPr>
          <w:rFonts w:asciiTheme="minorHAnsi" w:hAnsiTheme="minorHAnsi"/>
          <w:sz w:val="22"/>
          <w:lang w:val="en-US"/>
        </w:rPr>
        <w:t>ighly dispersed CX-</w:t>
      </w:r>
      <w:r w:rsidR="00C31640" w:rsidRPr="00FC40AE">
        <w:rPr>
          <w:rFonts w:asciiTheme="minorHAnsi" w:hAnsiTheme="minorHAnsi"/>
          <w:sz w:val="22"/>
          <w:lang w:val="en-US"/>
        </w:rPr>
        <w:t>supported Pt catalysts (Pt/CX)</w:t>
      </w:r>
      <w:r w:rsidR="00902E8F">
        <w:rPr>
          <w:rFonts w:asciiTheme="minorHAnsi" w:hAnsiTheme="minorHAnsi"/>
          <w:sz w:val="22"/>
          <w:lang w:val="en-US"/>
        </w:rPr>
        <w:t>,</w:t>
      </w:r>
      <w:r w:rsidR="00C31640" w:rsidRPr="00FC40AE">
        <w:rPr>
          <w:rFonts w:asciiTheme="minorHAnsi" w:hAnsiTheme="minorHAnsi"/>
          <w:sz w:val="22"/>
          <w:lang w:val="en-US"/>
        </w:rPr>
        <w:t xml:space="preserve"> </w:t>
      </w:r>
      <w:r w:rsidR="00902E8F">
        <w:rPr>
          <w:rFonts w:asciiTheme="minorHAnsi" w:hAnsiTheme="minorHAnsi"/>
          <w:sz w:val="22"/>
          <w:lang w:val="en-US"/>
        </w:rPr>
        <w:t xml:space="preserve">made of 3-4 nm metal nanoparticles, </w:t>
      </w:r>
      <w:r w:rsidR="00C31640">
        <w:rPr>
          <w:rFonts w:asciiTheme="minorHAnsi" w:hAnsiTheme="minorHAnsi"/>
          <w:sz w:val="22"/>
          <w:lang w:val="en-US"/>
        </w:rPr>
        <w:t>have been</w:t>
      </w:r>
      <w:r w:rsidR="00C31640" w:rsidRPr="00FC40AE">
        <w:rPr>
          <w:rFonts w:asciiTheme="minorHAnsi" w:hAnsiTheme="minorHAnsi"/>
          <w:sz w:val="22"/>
          <w:lang w:val="en-US"/>
        </w:rPr>
        <w:t xml:space="preserve"> synthesized </w:t>
      </w:r>
      <w:r w:rsidR="00C31640" w:rsidRPr="00FC40AE">
        <w:rPr>
          <w:rFonts w:asciiTheme="minorHAnsi" w:hAnsiTheme="minorHAnsi"/>
          <w:i/>
          <w:sz w:val="22"/>
          <w:lang w:val="en-US"/>
        </w:rPr>
        <w:t>via</w:t>
      </w:r>
      <w:r w:rsidR="00C31640">
        <w:rPr>
          <w:rFonts w:asciiTheme="minorHAnsi" w:hAnsiTheme="minorHAnsi"/>
          <w:sz w:val="22"/>
          <w:lang w:val="en-US"/>
        </w:rPr>
        <w:t xml:space="preserve"> several</w:t>
      </w:r>
      <w:r w:rsidR="00C31640" w:rsidRPr="00FC40AE">
        <w:rPr>
          <w:rFonts w:asciiTheme="minorHAnsi" w:hAnsiTheme="minorHAnsi"/>
          <w:sz w:val="22"/>
          <w:lang w:val="en-US"/>
        </w:rPr>
        <w:t xml:space="preserve"> methods, such as the strong</w:t>
      </w:r>
      <w:r w:rsidR="007E05B1">
        <w:rPr>
          <w:rFonts w:asciiTheme="minorHAnsi" w:hAnsiTheme="minorHAnsi"/>
          <w:sz w:val="22"/>
          <w:lang w:val="en-US"/>
        </w:rPr>
        <w:t xml:space="preserve"> electrostatic adsorption (SEA),</w:t>
      </w:r>
      <w:r w:rsidR="00C31640" w:rsidRPr="00FC40AE">
        <w:rPr>
          <w:rFonts w:asciiTheme="minorHAnsi" w:hAnsiTheme="minorHAnsi"/>
          <w:sz w:val="22"/>
          <w:lang w:val="en-US"/>
        </w:rPr>
        <w:t xml:space="preserve"> the c</w:t>
      </w:r>
      <w:r w:rsidR="00620A81">
        <w:rPr>
          <w:rFonts w:asciiTheme="minorHAnsi" w:hAnsiTheme="minorHAnsi"/>
          <w:sz w:val="22"/>
          <w:lang w:val="en-US"/>
        </w:rPr>
        <w:t xml:space="preserve">harge </w:t>
      </w:r>
      <w:r w:rsidR="00C31640" w:rsidRPr="00FC40AE">
        <w:rPr>
          <w:rFonts w:asciiTheme="minorHAnsi" w:hAnsiTheme="minorHAnsi"/>
          <w:sz w:val="22"/>
          <w:lang w:val="en-US"/>
        </w:rPr>
        <w:t>enhance</w:t>
      </w:r>
      <w:r w:rsidR="00C31640">
        <w:rPr>
          <w:rFonts w:asciiTheme="minorHAnsi" w:hAnsiTheme="minorHAnsi"/>
          <w:sz w:val="22"/>
          <w:lang w:val="en-US"/>
        </w:rPr>
        <w:t>d</w:t>
      </w:r>
      <w:r w:rsidR="00C31640" w:rsidRPr="00FC40AE">
        <w:rPr>
          <w:rFonts w:asciiTheme="minorHAnsi" w:hAnsiTheme="minorHAnsi"/>
          <w:sz w:val="22"/>
          <w:lang w:val="en-US"/>
        </w:rPr>
        <w:t xml:space="preserve"> dry impregnation (</w:t>
      </w:r>
      <w:r w:rsidR="007E05B1">
        <w:rPr>
          <w:rFonts w:asciiTheme="minorHAnsi" w:hAnsiTheme="minorHAnsi"/>
          <w:sz w:val="22"/>
          <w:szCs w:val="22"/>
          <w:lang w:val="en-US"/>
        </w:rPr>
        <w:t>CEDI), or the liquid phase reduction of Pt ions with formic acid [</w:t>
      </w:r>
      <w:r w:rsidR="00F4574B">
        <w:rPr>
          <w:rFonts w:asciiTheme="minorHAnsi" w:hAnsiTheme="minorHAnsi"/>
          <w:sz w:val="22"/>
          <w:szCs w:val="22"/>
          <w:lang w:val="en-US"/>
        </w:rPr>
        <w:t>4</w:t>
      </w:r>
      <w:r w:rsidR="007E05B1">
        <w:rPr>
          <w:rFonts w:asciiTheme="minorHAnsi" w:hAnsiTheme="minorHAnsi"/>
          <w:sz w:val="22"/>
          <w:szCs w:val="22"/>
          <w:lang w:val="en-US"/>
        </w:rPr>
        <w:t>]</w:t>
      </w:r>
      <w:r w:rsidR="00F4574B">
        <w:rPr>
          <w:rFonts w:asciiTheme="minorHAnsi" w:hAnsiTheme="minorHAnsi"/>
          <w:sz w:val="22"/>
          <w:szCs w:val="22"/>
          <w:lang w:val="en-US"/>
        </w:rPr>
        <w:t>.</w:t>
      </w:r>
      <w:r w:rsidR="00902E8F">
        <w:rPr>
          <w:rFonts w:asciiTheme="minorHAnsi" w:hAnsiTheme="minorHAnsi"/>
          <w:sz w:val="22"/>
          <w:szCs w:val="22"/>
          <w:lang w:val="en-US"/>
        </w:rPr>
        <w:t xml:space="preserve"> Their performances were found quite comparable to those of up-to-date commercial Pt/carbon black </w:t>
      </w:r>
      <w:proofErr w:type="spellStart"/>
      <w:r w:rsidR="00902E8F">
        <w:rPr>
          <w:rFonts w:asciiTheme="minorHAnsi" w:hAnsiTheme="minorHAnsi"/>
          <w:sz w:val="22"/>
          <w:szCs w:val="22"/>
          <w:lang w:val="en-US"/>
        </w:rPr>
        <w:t>electrocatalysts</w:t>
      </w:r>
      <w:proofErr w:type="spellEnd"/>
      <w:r w:rsidR="00902E8F">
        <w:rPr>
          <w:rFonts w:asciiTheme="minorHAnsi" w:hAnsiTheme="minorHAnsi"/>
          <w:sz w:val="22"/>
          <w:szCs w:val="22"/>
          <w:lang w:val="en-US"/>
        </w:rPr>
        <w:t>.</w:t>
      </w:r>
    </w:p>
    <w:p w14:paraId="525F187D" w14:textId="77777777" w:rsidR="00C31640" w:rsidRDefault="00C31640" w:rsidP="00C31640">
      <w:pPr>
        <w:pStyle w:val="Commentaire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30365036" w14:textId="539E87F9" w:rsidR="007E05B1" w:rsidRDefault="007E05B1" w:rsidP="00C31640">
      <w:pPr>
        <w:pStyle w:val="Commentaire"/>
        <w:jc w:val="both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Another major challenge for the extensive worldwide commercialization of PEMFCs is the stability of the catalysts. Indeed, the stability of the Pt-based nanoparticles</w:t>
      </w:r>
      <w:r w:rsidR="00C97C21">
        <w:rPr>
          <w:rFonts w:asciiTheme="minorHAnsi" w:hAnsiTheme="minorHAnsi"/>
          <w:sz w:val="22"/>
          <w:lang w:val="en-US"/>
        </w:rPr>
        <w:t>, as shown in Fig. 1a and 1b,</w:t>
      </w:r>
      <w:r>
        <w:rPr>
          <w:rFonts w:asciiTheme="minorHAnsi" w:hAnsiTheme="minorHAnsi"/>
          <w:sz w:val="22"/>
          <w:lang w:val="en-US"/>
        </w:rPr>
        <w:t xml:space="preserve"> has to be improved in order to increase the lifetime of PEMFCs [</w:t>
      </w:r>
      <w:r w:rsidR="00F4574B">
        <w:rPr>
          <w:rFonts w:asciiTheme="minorHAnsi" w:hAnsiTheme="minorHAnsi"/>
          <w:sz w:val="22"/>
          <w:lang w:val="en-US"/>
        </w:rPr>
        <w:t>5</w:t>
      </w:r>
      <w:r>
        <w:rPr>
          <w:rFonts w:asciiTheme="minorHAnsi" w:hAnsiTheme="minorHAnsi"/>
          <w:sz w:val="22"/>
          <w:lang w:val="en-US"/>
        </w:rPr>
        <w:t>].</w:t>
      </w:r>
      <w:r w:rsidR="00C97C21">
        <w:rPr>
          <w:rFonts w:asciiTheme="minorHAnsi" w:hAnsiTheme="minorHAnsi"/>
          <w:sz w:val="22"/>
          <w:lang w:val="en-US"/>
        </w:rPr>
        <w:t xml:space="preserve"> A way to improve the durability of the catalyst is to use new and stable particle structures</w:t>
      </w:r>
      <w:r w:rsidR="00F4574B">
        <w:rPr>
          <w:rFonts w:asciiTheme="minorHAnsi" w:hAnsiTheme="minorHAnsi"/>
          <w:sz w:val="22"/>
          <w:lang w:val="en-US"/>
        </w:rPr>
        <w:t>,</w:t>
      </w:r>
      <w:r w:rsidR="00C97C21">
        <w:rPr>
          <w:rFonts w:asciiTheme="minorHAnsi" w:hAnsiTheme="minorHAnsi"/>
          <w:sz w:val="22"/>
          <w:lang w:val="en-US"/>
        </w:rPr>
        <w:t xml:space="preserve"> such as hollow nanoparticles.</w:t>
      </w:r>
    </w:p>
    <w:p w14:paraId="2EAFEE80" w14:textId="77777777" w:rsidR="007E05B1" w:rsidRDefault="007E05B1" w:rsidP="00C31640">
      <w:pPr>
        <w:pStyle w:val="Commentaire"/>
        <w:jc w:val="both"/>
        <w:rPr>
          <w:rFonts w:asciiTheme="minorHAnsi" w:hAnsiTheme="minorHAnsi"/>
          <w:sz w:val="22"/>
          <w:lang w:val="en-US"/>
        </w:rPr>
      </w:pPr>
    </w:p>
    <w:p w14:paraId="4C752040" w14:textId="6DE698A5" w:rsidR="00605FAE" w:rsidRDefault="00846807" w:rsidP="00C31640">
      <w:pPr>
        <w:pStyle w:val="Commentaire"/>
        <w:jc w:val="both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 xml:space="preserve">The </w:t>
      </w:r>
      <w:r w:rsidRPr="00713E4A">
        <w:rPr>
          <w:rFonts w:asciiTheme="minorHAnsi" w:hAnsiTheme="minorHAnsi"/>
          <w:sz w:val="22"/>
          <w:lang w:val="en-US"/>
        </w:rPr>
        <w:t xml:space="preserve">synthesis and </w:t>
      </w:r>
      <w:r w:rsidR="00902E8F" w:rsidRPr="00713E4A">
        <w:rPr>
          <w:rFonts w:asciiTheme="minorHAnsi" w:hAnsiTheme="minorHAnsi"/>
          <w:sz w:val="22"/>
          <w:lang w:val="en-US"/>
        </w:rPr>
        <w:t xml:space="preserve">performance </w:t>
      </w:r>
      <w:r w:rsidRPr="00713E4A">
        <w:rPr>
          <w:rFonts w:asciiTheme="minorHAnsi" w:hAnsiTheme="minorHAnsi"/>
          <w:sz w:val="22"/>
          <w:lang w:val="en-US"/>
        </w:rPr>
        <w:t>of hollow</w:t>
      </w:r>
      <w:r w:rsidR="00620A81" w:rsidRPr="00713E4A">
        <w:rPr>
          <w:rFonts w:asciiTheme="minorHAnsi" w:hAnsiTheme="minorHAnsi"/>
          <w:sz w:val="22"/>
          <w:lang w:val="en-US"/>
        </w:rPr>
        <w:t xml:space="preserve"> </w:t>
      </w:r>
      <w:proofErr w:type="spellStart"/>
      <w:r w:rsidR="00620A81" w:rsidRPr="00713E4A">
        <w:rPr>
          <w:rFonts w:asciiTheme="minorHAnsi" w:hAnsiTheme="minorHAnsi"/>
          <w:sz w:val="22"/>
          <w:lang w:val="en-US"/>
        </w:rPr>
        <w:t>PtCo</w:t>
      </w:r>
      <w:proofErr w:type="spellEnd"/>
      <w:r w:rsidRPr="00713E4A">
        <w:rPr>
          <w:rFonts w:asciiTheme="minorHAnsi" w:hAnsiTheme="minorHAnsi"/>
          <w:sz w:val="22"/>
          <w:lang w:val="en-US"/>
        </w:rPr>
        <w:t xml:space="preserve"> </w:t>
      </w:r>
      <w:r w:rsidR="00620A81" w:rsidRPr="00713E4A">
        <w:rPr>
          <w:rFonts w:asciiTheme="minorHAnsi" w:hAnsiTheme="minorHAnsi"/>
          <w:sz w:val="22"/>
          <w:lang w:val="en-US"/>
        </w:rPr>
        <w:t>nano</w:t>
      </w:r>
      <w:r w:rsidRPr="00713E4A">
        <w:rPr>
          <w:rFonts w:asciiTheme="minorHAnsi" w:hAnsiTheme="minorHAnsi"/>
          <w:sz w:val="22"/>
          <w:lang w:val="en-US"/>
        </w:rPr>
        <w:t>particles/CX (Fig. 1</w:t>
      </w:r>
      <w:r w:rsidR="00F4574B" w:rsidRPr="00713E4A">
        <w:rPr>
          <w:rFonts w:asciiTheme="minorHAnsi" w:hAnsiTheme="minorHAnsi"/>
          <w:sz w:val="22"/>
          <w:lang w:val="en-US"/>
        </w:rPr>
        <w:t>c</w:t>
      </w:r>
      <w:r w:rsidRPr="00713E4A">
        <w:rPr>
          <w:rFonts w:asciiTheme="minorHAnsi" w:hAnsiTheme="minorHAnsi"/>
          <w:sz w:val="22"/>
          <w:lang w:val="en-US"/>
        </w:rPr>
        <w:t xml:space="preserve">) </w:t>
      </w:r>
      <w:r w:rsidR="00B50505" w:rsidRPr="00713E4A">
        <w:rPr>
          <w:rFonts w:asciiTheme="minorHAnsi" w:hAnsiTheme="minorHAnsi"/>
          <w:sz w:val="22"/>
          <w:lang w:val="en-US"/>
        </w:rPr>
        <w:t>are</w:t>
      </w:r>
      <w:r w:rsidR="00C31640" w:rsidRPr="00713E4A">
        <w:rPr>
          <w:rFonts w:asciiTheme="minorHAnsi" w:hAnsiTheme="minorHAnsi"/>
          <w:sz w:val="22"/>
          <w:lang w:val="en-US"/>
        </w:rPr>
        <w:t xml:space="preserve"> currently studied </w:t>
      </w:r>
      <w:r w:rsidR="00902E8F" w:rsidRPr="00713E4A">
        <w:rPr>
          <w:rFonts w:asciiTheme="minorHAnsi" w:hAnsiTheme="minorHAnsi"/>
          <w:sz w:val="22"/>
          <w:lang w:val="en-US"/>
        </w:rPr>
        <w:t>by</w:t>
      </w:r>
      <w:r w:rsidR="00C31640" w:rsidRPr="00713E4A">
        <w:rPr>
          <w:rFonts w:asciiTheme="minorHAnsi" w:hAnsiTheme="minorHAnsi"/>
          <w:sz w:val="22"/>
          <w:lang w:val="en-US"/>
        </w:rPr>
        <w:t xml:space="preserve"> our group. </w:t>
      </w:r>
      <w:bookmarkStart w:id="0" w:name="_GoBack"/>
      <w:bookmarkEnd w:id="0"/>
      <w:r w:rsidR="00713E4A" w:rsidRPr="00713E4A">
        <w:rPr>
          <w:rFonts w:asciiTheme="minorHAnsi" w:hAnsiTheme="minorHAnsi"/>
          <w:sz w:val="22"/>
          <w:lang w:val="en-US"/>
        </w:rPr>
        <w:t xml:space="preserve">The synthesis consists in the formation of a Co nanoparticle colloid using citrate molecules as </w:t>
      </w:r>
      <w:r w:rsidR="00D21136">
        <w:rPr>
          <w:rFonts w:asciiTheme="minorHAnsi" w:hAnsiTheme="minorHAnsi"/>
          <w:sz w:val="22"/>
          <w:lang w:val="en-US"/>
        </w:rPr>
        <w:t>complexing</w:t>
      </w:r>
      <w:r w:rsidR="00713E4A" w:rsidRPr="00713E4A">
        <w:rPr>
          <w:rFonts w:asciiTheme="minorHAnsi" w:hAnsiTheme="minorHAnsi"/>
          <w:sz w:val="22"/>
          <w:lang w:val="en-US"/>
        </w:rPr>
        <w:t xml:space="preserve"> agent</w:t>
      </w:r>
      <w:r w:rsidR="00D21136">
        <w:rPr>
          <w:rFonts w:asciiTheme="minorHAnsi" w:hAnsiTheme="minorHAnsi"/>
          <w:sz w:val="22"/>
          <w:lang w:val="en-US"/>
        </w:rPr>
        <w:t>s</w:t>
      </w:r>
      <w:r w:rsidR="00713E4A" w:rsidRPr="00713E4A">
        <w:rPr>
          <w:rFonts w:asciiTheme="minorHAnsi" w:hAnsiTheme="minorHAnsi"/>
          <w:sz w:val="22"/>
          <w:lang w:val="en-US"/>
        </w:rPr>
        <w:t>, followed by the galvanic replacement of Co atoms by Pt ions</w:t>
      </w:r>
      <w:r w:rsidR="00D21136">
        <w:rPr>
          <w:rFonts w:asciiTheme="minorHAnsi" w:hAnsiTheme="minorHAnsi"/>
          <w:sz w:val="22"/>
          <w:lang w:val="en-US"/>
        </w:rPr>
        <w:t xml:space="preserve"> and, then, by the diffusion of the remaining core Co atoms through/in the Pt shell</w:t>
      </w:r>
      <w:r w:rsidR="00713E4A" w:rsidRPr="00713E4A">
        <w:rPr>
          <w:rFonts w:asciiTheme="minorHAnsi" w:hAnsiTheme="minorHAnsi"/>
          <w:sz w:val="22"/>
          <w:lang w:val="en-US"/>
        </w:rPr>
        <w:t xml:space="preserve">. </w:t>
      </w:r>
      <w:r w:rsidR="00C31640" w:rsidRPr="00713E4A">
        <w:rPr>
          <w:rFonts w:asciiTheme="minorHAnsi" w:hAnsiTheme="minorHAnsi"/>
          <w:sz w:val="22"/>
          <w:lang w:val="en-US"/>
        </w:rPr>
        <w:t>The results</w:t>
      </w:r>
      <w:r w:rsidR="00C31640">
        <w:rPr>
          <w:rFonts w:asciiTheme="minorHAnsi" w:hAnsiTheme="minorHAnsi"/>
          <w:sz w:val="22"/>
          <w:lang w:val="en-US"/>
        </w:rPr>
        <w:t xml:space="preserve"> indicate that the </w:t>
      </w:r>
      <w:r w:rsidR="00D21136">
        <w:rPr>
          <w:rFonts w:asciiTheme="minorHAnsi" w:hAnsiTheme="minorHAnsi"/>
          <w:sz w:val="22"/>
          <w:lang w:val="en-US"/>
        </w:rPr>
        <w:t xml:space="preserve">ORR </w:t>
      </w:r>
      <w:r w:rsidR="00C31640">
        <w:rPr>
          <w:rFonts w:asciiTheme="minorHAnsi" w:hAnsiTheme="minorHAnsi"/>
          <w:sz w:val="22"/>
          <w:lang w:val="en-US"/>
        </w:rPr>
        <w:t>specific</w:t>
      </w:r>
      <w:r w:rsidR="007E05B1">
        <w:rPr>
          <w:rFonts w:asciiTheme="minorHAnsi" w:hAnsiTheme="minorHAnsi"/>
          <w:sz w:val="22"/>
          <w:lang w:val="en-US"/>
        </w:rPr>
        <w:t xml:space="preserve"> activity (expressed in A/m</w:t>
      </w:r>
      <w:r w:rsidR="007E05B1">
        <w:rPr>
          <w:rFonts w:asciiTheme="minorHAnsi" w:hAnsiTheme="minorHAnsi"/>
          <w:sz w:val="22"/>
          <w:vertAlign w:val="subscript"/>
          <w:lang w:val="en-US"/>
        </w:rPr>
        <w:t>Pt</w:t>
      </w:r>
      <w:r w:rsidR="007E05B1">
        <w:rPr>
          <w:rFonts w:asciiTheme="minorHAnsi" w:hAnsiTheme="minorHAnsi"/>
          <w:sz w:val="22"/>
          <w:lang w:val="en-US"/>
        </w:rPr>
        <w:t>²)</w:t>
      </w:r>
      <w:r w:rsidR="00C31640">
        <w:rPr>
          <w:rFonts w:asciiTheme="minorHAnsi" w:hAnsiTheme="minorHAnsi"/>
          <w:sz w:val="22"/>
          <w:lang w:val="en-US"/>
        </w:rPr>
        <w:t xml:space="preserve"> and</w:t>
      </w:r>
      <w:r w:rsidR="007E05B1">
        <w:rPr>
          <w:rFonts w:asciiTheme="minorHAnsi" w:hAnsiTheme="minorHAnsi"/>
          <w:sz w:val="22"/>
          <w:lang w:val="en-US"/>
        </w:rPr>
        <w:t xml:space="preserve"> the</w:t>
      </w:r>
      <w:r w:rsidR="00D21136">
        <w:rPr>
          <w:rFonts w:asciiTheme="minorHAnsi" w:hAnsiTheme="minorHAnsi"/>
          <w:sz w:val="22"/>
          <w:lang w:val="en-US"/>
        </w:rPr>
        <w:t xml:space="preserve"> ORR</w:t>
      </w:r>
      <w:r w:rsidR="00C31640">
        <w:rPr>
          <w:rFonts w:asciiTheme="minorHAnsi" w:hAnsiTheme="minorHAnsi"/>
          <w:sz w:val="22"/>
          <w:lang w:val="en-US"/>
        </w:rPr>
        <w:t xml:space="preserve"> mass activit</w:t>
      </w:r>
      <w:r w:rsidR="007E05B1">
        <w:rPr>
          <w:rFonts w:asciiTheme="minorHAnsi" w:hAnsiTheme="minorHAnsi"/>
          <w:sz w:val="22"/>
          <w:lang w:val="en-US"/>
        </w:rPr>
        <w:t>y (expressed in A/</w:t>
      </w:r>
      <w:proofErr w:type="spellStart"/>
      <w:r w:rsidR="007E05B1">
        <w:rPr>
          <w:rFonts w:asciiTheme="minorHAnsi" w:hAnsiTheme="minorHAnsi"/>
          <w:sz w:val="22"/>
          <w:lang w:val="en-US"/>
        </w:rPr>
        <w:t>g</w:t>
      </w:r>
      <w:r w:rsidR="007E05B1">
        <w:rPr>
          <w:rFonts w:asciiTheme="minorHAnsi" w:hAnsiTheme="minorHAnsi"/>
          <w:sz w:val="22"/>
          <w:vertAlign w:val="subscript"/>
          <w:lang w:val="en-US"/>
        </w:rPr>
        <w:t>Pt</w:t>
      </w:r>
      <w:proofErr w:type="spellEnd"/>
      <w:r w:rsidR="007E05B1">
        <w:rPr>
          <w:rFonts w:asciiTheme="minorHAnsi" w:hAnsiTheme="minorHAnsi"/>
          <w:sz w:val="22"/>
          <w:lang w:val="en-US"/>
        </w:rPr>
        <w:t>)</w:t>
      </w:r>
      <w:r w:rsidR="00C31640">
        <w:rPr>
          <w:rFonts w:asciiTheme="minorHAnsi" w:hAnsiTheme="minorHAnsi"/>
          <w:sz w:val="22"/>
          <w:lang w:val="en-US"/>
        </w:rPr>
        <w:t xml:space="preserve"> of the bimetallic hollow particles d</w:t>
      </w:r>
      <w:r w:rsidR="00F95E2B">
        <w:rPr>
          <w:rFonts w:asciiTheme="minorHAnsi" w:hAnsiTheme="minorHAnsi"/>
          <w:sz w:val="22"/>
          <w:lang w:val="en-US"/>
        </w:rPr>
        <w:t>ispersed on CX are</w:t>
      </w:r>
      <w:r w:rsidR="00C31640">
        <w:rPr>
          <w:rFonts w:asciiTheme="minorHAnsi" w:hAnsiTheme="minorHAnsi"/>
          <w:sz w:val="22"/>
          <w:lang w:val="en-US"/>
        </w:rPr>
        <w:t xml:space="preserve"> </w:t>
      </w:r>
      <w:r>
        <w:rPr>
          <w:rFonts w:asciiTheme="minorHAnsi" w:hAnsiTheme="minorHAnsi"/>
          <w:i/>
          <w:sz w:val="22"/>
          <w:lang w:val="en-US"/>
        </w:rPr>
        <w:t>ca.</w:t>
      </w:r>
      <w:r>
        <w:rPr>
          <w:rFonts w:asciiTheme="minorHAnsi" w:hAnsiTheme="minorHAnsi"/>
          <w:sz w:val="22"/>
          <w:lang w:val="en-US"/>
        </w:rPr>
        <w:t xml:space="preserve"> 1</w:t>
      </w:r>
      <w:r w:rsidR="007E05B1">
        <w:rPr>
          <w:rFonts w:asciiTheme="minorHAnsi" w:hAnsiTheme="minorHAnsi"/>
          <w:sz w:val="22"/>
          <w:lang w:val="en-US"/>
        </w:rPr>
        <w:t>5</w:t>
      </w:r>
      <w:r>
        <w:rPr>
          <w:rFonts w:asciiTheme="minorHAnsi" w:hAnsiTheme="minorHAnsi"/>
          <w:sz w:val="22"/>
          <w:lang w:val="en-US"/>
        </w:rPr>
        <w:t xml:space="preserve"> </w:t>
      </w:r>
      <w:r w:rsidR="007E05B1">
        <w:rPr>
          <w:rFonts w:asciiTheme="minorHAnsi" w:hAnsiTheme="minorHAnsi"/>
          <w:sz w:val="22"/>
          <w:lang w:val="en-US"/>
        </w:rPr>
        <w:t xml:space="preserve">or 7 </w:t>
      </w:r>
      <w:r>
        <w:rPr>
          <w:rFonts w:asciiTheme="minorHAnsi" w:hAnsiTheme="minorHAnsi"/>
          <w:sz w:val="22"/>
          <w:lang w:val="en-US"/>
        </w:rPr>
        <w:t>times</w:t>
      </w:r>
      <w:r w:rsidR="00C31640">
        <w:rPr>
          <w:rFonts w:asciiTheme="minorHAnsi" w:hAnsiTheme="minorHAnsi"/>
          <w:sz w:val="22"/>
          <w:lang w:val="en-US"/>
        </w:rPr>
        <w:t xml:space="preserve"> higher than that of </w:t>
      </w:r>
      <w:r w:rsidR="00201B35">
        <w:rPr>
          <w:rFonts w:asciiTheme="minorHAnsi" w:hAnsiTheme="minorHAnsi"/>
          <w:sz w:val="22"/>
          <w:lang w:val="en-US"/>
        </w:rPr>
        <w:t xml:space="preserve">commercial </w:t>
      </w:r>
      <w:r w:rsidR="00C31640">
        <w:rPr>
          <w:rFonts w:asciiTheme="minorHAnsi" w:hAnsiTheme="minorHAnsi"/>
          <w:sz w:val="22"/>
          <w:lang w:val="en-US"/>
        </w:rPr>
        <w:t>pure Pt/CB</w:t>
      </w:r>
      <w:r w:rsidR="007E05B1">
        <w:rPr>
          <w:rFonts w:asciiTheme="minorHAnsi" w:hAnsiTheme="minorHAnsi"/>
          <w:sz w:val="22"/>
          <w:lang w:val="en-US"/>
        </w:rPr>
        <w:t>, respectively</w:t>
      </w:r>
      <w:r w:rsidR="00C31640">
        <w:rPr>
          <w:rFonts w:asciiTheme="minorHAnsi" w:hAnsiTheme="minorHAnsi"/>
          <w:sz w:val="22"/>
          <w:lang w:val="en-US"/>
        </w:rPr>
        <w:t>.</w:t>
      </w:r>
    </w:p>
    <w:p w14:paraId="26460008" w14:textId="77777777" w:rsidR="00605FAE" w:rsidRDefault="00605FAE" w:rsidP="00C31640">
      <w:pPr>
        <w:pStyle w:val="Commentaire"/>
        <w:jc w:val="both"/>
        <w:rPr>
          <w:rFonts w:asciiTheme="minorHAnsi" w:hAnsiTheme="minorHAnsi"/>
          <w:sz w:val="22"/>
          <w:lang w:val="en-US"/>
        </w:rPr>
      </w:pPr>
    </w:p>
    <w:p w14:paraId="253B44B6" w14:textId="621A6DD6" w:rsidR="00C31640" w:rsidRPr="00605FAE" w:rsidRDefault="00CB53BD" w:rsidP="00605FAE">
      <w:pPr>
        <w:jc w:val="both"/>
        <w:rPr>
          <w:rFonts w:asciiTheme="minorHAnsi" w:hAnsiTheme="minorHAnsi"/>
          <w:sz w:val="22"/>
          <w:szCs w:val="20"/>
          <w:lang w:val="en-US"/>
        </w:rPr>
      </w:pPr>
      <w:r>
        <w:rPr>
          <w:rFonts w:asciiTheme="minorHAnsi" w:hAnsiTheme="minorHAnsi"/>
          <w:sz w:val="22"/>
          <w:szCs w:val="20"/>
          <w:lang w:val="en-US"/>
        </w:rPr>
        <w:t xml:space="preserve">The durability of </w:t>
      </w:r>
      <w:r w:rsidR="00F4574B">
        <w:rPr>
          <w:rFonts w:asciiTheme="minorHAnsi" w:hAnsiTheme="minorHAnsi"/>
          <w:sz w:val="22"/>
          <w:szCs w:val="20"/>
          <w:lang w:val="en-US"/>
        </w:rPr>
        <w:t xml:space="preserve">the hollow </w:t>
      </w:r>
      <w:proofErr w:type="spellStart"/>
      <w:r w:rsidR="00F4574B">
        <w:rPr>
          <w:rFonts w:asciiTheme="minorHAnsi" w:hAnsiTheme="minorHAnsi"/>
          <w:sz w:val="22"/>
          <w:szCs w:val="20"/>
          <w:lang w:val="en-US"/>
        </w:rPr>
        <w:t>PtCo</w:t>
      </w:r>
      <w:proofErr w:type="spellEnd"/>
      <w:r w:rsidR="00F4574B">
        <w:rPr>
          <w:rFonts w:asciiTheme="minorHAnsi" w:hAnsiTheme="minorHAnsi"/>
          <w:sz w:val="22"/>
          <w:szCs w:val="20"/>
          <w:lang w:val="en-US"/>
        </w:rPr>
        <w:t xml:space="preserve">/CX catalyst was </w:t>
      </w:r>
      <w:r>
        <w:rPr>
          <w:rFonts w:asciiTheme="minorHAnsi" w:hAnsiTheme="minorHAnsi"/>
          <w:sz w:val="22"/>
          <w:szCs w:val="20"/>
          <w:lang w:val="en-US"/>
        </w:rPr>
        <w:t>studied in a three-electrode cell and in</w:t>
      </w:r>
      <w:r w:rsidR="00902E8F">
        <w:rPr>
          <w:rFonts w:asciiTheme="minorHAnsi" w:hAnsiTheme="minorHAnsi"/>
          <w:sz w:val="22"/>
          <w:szCs w:val="20"/>
          <w:lang w:val="en-US"/>
        </w:rPr>
        <w:t xml:space="preserve"> a</w:t>
      </w:r>
      <w:r>
        <w:rPr>
          <w:rFonts w:asciiTheme="minorHAnsi" w:hAnsiTheme="minorHAnsi"/>
          <w:sz w:val="22"/>
          <w:szCs w:val="20"/>
          <w:lang w:val="en-US"/>
        </w:rPr>
        <w:t xml:space="preserve"> </w:t>
      </w:r>
      <w:r w:rsidR="00902E8F">
        <w:rPr>
          <w:rFonts w:asciiTheme="minorHAnsi" w:hAnsiTheme="minorHAnsi"/>
          <w:sz w:val="22"/>
          <w:szCs w:val="20"/>
          <w:lang w:val="en-US"/>
        </w:rPr>
        <w:t>PEMFC electrode</w:t>
      </w:r>
      <w:r>
        <w:rPr>
          <w:rFonts w:asciiTheme="minorHAnsi" w:hAnsiTheme="minorHAnsi"/>
          <w:sz w:val="22"/>
          <w:szCs w:val="20"/>
          <w:lang w:val="en-US"/>
        </w:rPr>
        <w:t xml:space="preserve">. </w:t>
      </w:r>
      <w:r>
        <w:rPr>
          <w:rFonts w:asciiTheme="minorHAnsi" w:hAnsiTheme="minorHAnsi"/>
          <w:sz w:val="22"/>
          <w:lang w:val="en-US"/>
        </w:rPr>
        <w:t xml:space="preserve">In particular, </w:t>
      </w:r>
      <w:r w:rsidR="00904A97">
        <w:rPr>
          <w:rFonts w:asciiTheme="minorHAnsi" w:hAnsiTheme="minorHAnsi"/>
          <w:sz w:val="22"/>
          <w:lang w:val="en-US"/>
        </w:rPr>
        <w:t>a</w:t>
      </w:r>
      <w:r w:rsidR="004D69F8">
        <w:rPr>
          <w:rFonts w:asciiTheme="minorHAnsi" w:hAnsiTheme="minorHAnsi"/>
          <w:sz w:val="22"/>
          <w:lang w:val="en-US"/>
        </w:rPr>
        <w:t>ccelerated stress tests</w:t>
      </w:r>
      <w:r w:rsidR="00B50505">
        <w:rPr>
          <w:rFonts w:asciiTheme="minorHAnsi" w:hAnsiTheme="minorHAnsi"/>
          <w:sz w:val="22"/>
          <w:lang w:val="en-US"/>
        </w:rPr>
        <w:t xml:space="preserve"> (ASTs,</w:t>
      </w:r>
      <w:r w:rsidR="000B1512">
        <w:rPr>
          <w:rFonts w:asciiTheme="minorHAnsi" w:hAnsiTheme="minorHAnsi"/>
          <w:sz w:val="22"/>
          <w:lang w:val="en-US"/>
        </w:rPr>
        <w:t xml:space="preserve"> </w:t>
      </w:r>
      <w:r w:rsidR="000B1512">
        <w:rPr>
          <w:rFonts w:asciiTheme="minorHAnsi" w:hAnsiTheme="minorHAnsi"/>
          <w:i/>
          <w:sz w:val="22"/>
          <w:lang w:val="en-US"/>
        </w:rPr>
        <w:t>i.e.</w:t>
      </w:r>
      <w:r w:rsidR="00B50505">
        <w:rPr>
          <w:rFonts w:asciiTheme="minorHAnsi" w:hAnsiTheme="minorHAnsi"/>
          <w:sz w:val="22"/>
          <w:lang w:val="en-US"/>
        </w:rPr>
        <w:t xml:space="preserve"> 30,000 potential cycles</w:t>
      </w:r>
      <w:r>
        <w:rPr>
          <w:rFonts w:asciiTheme="minorHAnsi" w:hAnsiTheme="minorHAnsi"/>
          <w:sz w:val="22"/>
          <w:lang w:val="en-US"/>
        </w:rPr>
        <w:t xml:space="preserve"> </w:t>
      </w:r>
      <w:r w:rsidR="00B50505">
        <w:rPr>
          <w:rFonts w:asciiTheme="minorHAnsi" w:hAnsiTheme="minorHAnsi"/>
          <w:sz w:val="22"/>
          <w:lang w:val="en-US"/>
        </w:rPr>
        <w:t>between 0.6 and 1.0 V)</w:t>
      </w:r>
      <w:proofErr w:type="gramStart"/>
      <w:r w:rsidR="000B1512">
        <w:rPr>
          <w:rFonts w:asciiTheme="minorHAnsi" w:hAnsiTheme="minorHAnsi"/>
          <w:sz w:val="22"/>
          <w:lang w:val="en-US"/>
        </w:rPr>
        <w:t>,</w:t>
      </w:r>
      <w:proofErr w:type="gramEnd"/>
      <w:r w:rsidR="00B50505">
        <w:rPr>
          <w:rFonts w:asciiTheme="minorHAnsi" w:hAnsiTheme="minorHAnsi"/>
          <w:sz w:val="22"/>
          <w:lang w:val="en-US"/>
        </w:rPr>
        <w:t xml:space="preserve"> performed </w:t>
      </w:r>
      <w:r>
        <w:rPr>
          <w:rFonts w:asciiTheme="minorHAnsi" w:hAnsiTheme="minorHAnsi"/>
          <w:sz w:val="22"/>
          <w:lang w:val="en-US"/>
        </w:rPr>
        <w:t>in PEMFC</w:t>
      </w:r>
      <w:r w:rsidR="000B1512">
        <w:rPr>
          <w:rFonts w:asciiTheme="minorHAnsi" w:hAnsiTheme="minorHAnsi"/>
          <w:sz w:val="22"/>
          <w:lang w:val="en-US"/>
        </w:rPr>
        <w:t xml:space="preserve"> assemblie</w:t>
      </w:r>
      <w:r>
        <w:rPr>
          <w:rFonts w:asciiTheme="minorHAnsi" w:hAnsiTheme="minorHAnsi"/>
          <w:sz w:val="22"/>
          <w:lang w:val="en-US"/>
        </w:rPr>
        <w:t>s</w:t>
      </w:r>
      <w:r w:rsidR="000B1512">
        <w:rPr>
          <w:rFonts w:asciiTheme="minorHAnsi" w:hAnsiTheme="minorHAnsi"/>
          <w:sz w:val="22"/>
          <w:lang w:val="en-US"/>
        </w:rPr>
        <w:t>,</w:t>
      </w:r>
      <w:r>
        <w:rPr>
          <w:rFonts w:asciiTheme="minorHAnsi" w:hAnsiTheme="minorHAnsi"/>
          <w:sz w:val="22"/>
          <w:lang w:val="en-US"/>
        </w:rPr>
        <w:t xml:space="preserve"> </w:t>
      </w:r>
      <w:r w:rsidR="00620A81">
        <w:rPr>
          <w:rFonts w:asciiTheme="minorHAnsi" w:hAnsiTheme="minorHAnsi"/>
          <w:sz w:val="22"/>
          <w:lang w:val="en-US"/>
        </w:rPr>
        <w:t xml:space="preserve">show </w:t>
      </w:r>
      <w:r w:rsidR="00902E8F">
        <w:rPr>
          <w:rFonts w:asciiTheme="minorHAnsi" w:hAnsiTheme="minorHAnsi"/>
          <w:sz w:val="22"/>
          <w:lang w:val="en-US"/>
        </w:rPr>
        <w:t xml:space="preserve">that the </w:t>
      </w:r>
      <w:r w:rsidR="00620A81">
        <w:rPr>
          <w:rFonts w:asciiTheme="minorHAnsi" w:hAnsiTheme="minorHAnsi"/>
          <w:sz w:val="22"/>
          <w:lang w:val="en-US"/>
        </w:rPr>
        <w:t>hollow structure</w:t>
      </w:r>
      <w:r w:rsidR="00902E8F">
        <w:rPr>
          <w:rFonts w:asciiTheme="minorHAnsi" w:hAnsiTheme="minorHAnsi"/>
          <w:sz w:val="22"/>
          <w:lang w:val="en-US"/>
        </w:rPr>
        <w:t xml:space="preserve"> is stable: hollow particles present in the pristine catalyst (Fig. 1c) are still observed after cycling</w:t>
      </w:r>
      <w:r>
        <w:rPr>
          <w:rFonts w:asciiTheme="minorHAnsi" w:hAnsiTheme="minorHAnsi"/>
          <w:sz w:val="22"/>
          <w:lang w:val="en-US"/>
        </w:rPr>
        <w:t xml:space="preserve"> </w:t>
      </w:r>
      <w:r w:rsidR="00AB03B5">
        <w:rPr>
          <w:rFonts w:asciiTheme="minorHAnsi" w:hAnsiTheme="minorHAnsi"/>
          <w:sz w:val="22"/>
          <w:lang w:val="en-US"/>
        </w:rPr>
        <w:t>(Fig.</w:t>
      </w:r>
      <w:r>
        <w:rPr>
          <w:rFonts w:asciiTheme="minorHAnsi" w:hAnsiTheme="minorHAnsi"/>
          <w:sz w:val="22"/>
          <w:lang w:val="en-US"/>
        </w:rPr>
        <w:t xml:space="preserve"> </w:t>
      </w:r>
      <w:r>
        <w:rPr>
          <w:rFonts w:asciiTheme="minorHAnsi" w:hAnsiTheme="minorHAnsi"/>
          <w:sz w:val="22"/>
          <w:lang w:val="en-US"/>
        </w:rPr>
        <w:t>1</w:t>
      </w:r>
      <w:r w:rsidR="00F4574B">
        <w:rPr>
          <w:rFonts w:asciiTheme="minorHAnsi" w:hAnsiTheme="minorHAnsi"/>
          <w:sz w:val="22"/>
          <w:lang w:val="en-US"/>
        </w:rPr>
        <w:t>d</w:t>
      </w:r>
      <w:r>
        <w:rPr>
          <w:rFonts w:asciiTheme="minorHAnsi" w:hAnsiTheme="minorHAnsi"/>
          <w:sz w:val="22"/>
          <w:lang w:val="en-US"/>
        </w:rPr>
        <w:t>)</w:t>
      </w:r>
      <w:r w:rsidR="00B50505">
        <w:rPr>
          <w:rFonts w:asciiTheme="minorHAnsi" w:hAnsiTheme="minorHAnsi"/>
          <w:sz w:val="22"/>
          <w:lang w:val="en-US"/>
        </w:rPr>
        <w:t>. Moreover,</w:t>
      </w:r>
      <w:r w:rsidR="00620A81">
        <w:rPr>
          <w:rFonts w:asciiTheme="minorHAnsi" w:hAnsiTheme="minorHAnsi"/>
          <w:sz w:val="22"/>
          <w:lang w:val="en-US"/>
        </w:rPr>
        <w:t xml:space="preserve"> the performance</w:t>
      </w:r>
      <w:r w:rsidR="00B50505">
        <w:rPr>
          <w:rFonts w:asciiTheme="minorHAnsi" w:hAnsiTheme="minorHAnsi"/>
          <w:sz w:val="22"/>
          <w:lang w:val="en-US"/>
        </w:rPr>
        <w:t xml:space="preserve"> of the cell constituted </w:t>
      </w:r>
      <w:r w:rsidR="00BD38A2">
        <w:rPr>
          <w:rFonts w:asciiTheme="minorHAnsi" w:hAnsiTheme="minorHAnsi"/>
          <w:sz w:val="22"/>
          <w:lang w:val="en-US"/>
        </w:rPr>
        <w:t>of</w:t>
      </w:r>
      <w:r w:rsidR="00B50505">
        <w:rPr>
          <w:rFonts w:asciiTheme="minorHAnsi" w:hAnsiTheme="minorHAnsi"/>
          <w:sz w:val="22"/>
          <w:lang w:val="en-US"/>
        </w:rPr>
        <w:t xml:space="preserve"> the hollow </w:t>
      </w:r>
      <w:proofErr w:type="spellStart"/>
      <w:r w:rsidR="00B50505">
        <w:rPr>
          <w:rFonts w:asciiTheme="minorHAnsi" w:hAnsiTheme="minorHAnsi"/>
          <w:sz w:val="22"/>
          <w:lang w:val="en-US"/>
        </w:rPr>
        <w:t>PtCo</w:t>
      </w:r>
      <w:proofErr w:type="spellEnd"/>
      <w:r w:rsidR="00B50505">
        <w:rPr>
          <w:rFonts w:asciiTheme="minorHAnsi" w:hAnsiTheme="minorHAnsi"/>
          <w:sz w:val="22"/>
          <w:lang w:val="en-US"/>
        </w:rPr>
        <w:t>/CX catalyst stabilizes</w:t>
      </w:r>
      <w:r w:rsidR="00902E8F">
        <w:rPr>
          <w:rFonts w:asciiTheme="minorHAnsi" w:hAnsiTheme="minorHAnsi"/>
          <w:sz w:val="22"/>
          <w:lang w:val="en-US"/>
        </w:rPr>
        <w:t xml:space="preserve">: while Pt/C catalyst show a continuous performance </w:t>
      </w:r>
      <w:r w:rsidR="00902E8F">
        <w:rPr>
          <w:rFonts w:asciiTheme="minorHAnsi" w:hAnsiTheme="minorHAnsi"/>
          <w:sz w:val="22"/>
          <w:lang w:val="en-US"/>
        </w:rPr>
        <w:lastRenderedPageBreak/>
        <w:t>drop, no further performance decrease is observed</w:t>
      </w:r>
      <w:r w:rsidR="00B50505">
        <w:rPr>
          <w:rFonts w:asciiTheme="minorHAnsi" w:hAnsiTheme="minorHAnsi"/>
          <w:sz w:val="22"/>
          <w:lang w:val="en-US"/>
        </w:rPr>
        <w:t xml:space="preserve"> after the 10,000 first AST cycles, </w:t>
      </w:r>
      <w:r w:rsidR="009E5F19">
        <w:rPr>
          <w:rFonts w:asciiTheme="minorHAnsi" w:hAnsiTheme="minorHAnsi"/>
          <w:sz w:val="22"/>
          <w:lang w:val="en-US"/>
        </w:rPr>
        <w:t>proving</w:t>
      </w:r>
      <w:r w:rsidR="00B50505">
        <w:rPr>
          <w:rFonts w:asciiTheme="minorHAnsi" w:hAnsiTheme="minorHAnsi"/>
          <w:sz w:val="22"/>
          <w:lang w:val="en-US"/>
        </w:rPr>
        <w:t xml:space="preserve"> the good stability of this catalyst</w:t>
      </w:r>
      <w:r>
        <w:rPr>
          <w:rFonts w:asciiTheme="minorHAnsi" w:hAnsiTheme="minorHAnsi"/>
          <w:sz w:val="22"/>
          <w:lang w:val="en-US"/>
        </w:rPr>
        <w:t xml:space="preserve"> (Fig</w:t>
      </w:r>
      <w:r w:rsidR="00AB03B5">
        <w:rPr>
          <w:rFonts w:asciiTheme="minorHAnsi" w:hAnsiTheme="minorHAnsi"/>
          <w:sz w:val="22"/>
          <w:lang w:val="en-US"/>
        </w:rPr>
        <w:t>.</w:t>
      </w:r>
      <w:r w:rsidR="00B50505">
        <w:rPr>
          <w:rFonts w:asciiTheme="minorHAnsi" w:hAnsiTheme="minorHAnsi"/>
          <w:sz w:val="22"/>
          <w:lang w:val="en-US"/>
        </w:rPr>
        <w:t> </w:t>
      </w:r>
      <w:r>
        <w:rPr>
          <w:rFonts w:asciiTheme="minorHAnsi" w:hAnsiTheme="minorHAnsi"/>
          <w:sz w:val="22"/>
          <w:lang w:val="en-US"/>
        </w:rPr>
        <w:t>2)</w:t>
      </w:r>
      <w:r w:rsidR="004D69F8">
        <w:rPr>
          <w:rFonts w:asciiTheme="minorHAnsi" w:hAnsiTheme="minorHAnsi"/>
          <w:sz w:val="22"/>
          <w:lang w:val="en-US"/>
        </w:rPr>
        <w:t>.</w:t>
      </w:r>
    </w:p>
    <w:p w14:paraId="6DC7B0AA" w14:textId="77777777" w:rsidR="00C31640" w:rsidRDefault="00C31640" w:rsidP="00C31640">
      <w:pPr>
        <w:pStyle w:val="Commentaire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0D14C97" w14:textId="08DFB7F8" w:rsidR="00C31640" w:rsidRDefault="00C31640" w:rsidP="00C31640">
      <w:pPr>
        <w:jc w:val="center"/>
        <w:rPr>
          <w:noProof/>
          <w:lang w:val="en-US" w:eastAsia="en-US"/>
        </w:rPr>
      </w:pPr>
      <w:r w:rsidRPr="006C25E4">
        <w:rPr>
          <w:noProof/>
          <w:lang w:val="en-US" w:eastAsia="en-US"/>
        </w:rPr>
        <w:t xml:space="preserve"> </w:t>
      </w:r>
      <w:r w:rsidR="00043779">
        <w:rPr>
          <w:rFonts w:asciiTheme="minorHAnsi" w:hAnsiTheme="minorHAnsi"/>
          <w:noProof/>
          <w:sz w:val="20"/>
          <w:szCs w:val="20"/>
          <w:lang w:val="en-US" w:eastAsia="en-US"/>
        </w:rPr>
        <w:drawing>
          <wp:inline distT="0" distB="0" distL="0" distR="0" wp14:anchorId="16CBEE48" wp14:editId="55209C6D">
            <wp:extent cx="2340000" cy="1974935"/>
            <wp:effectExtent l="0" t="0" r="3175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CBo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97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779">
        <w:rPr>
          <w:noProof/>
          <w:lang w:val="en-US" w:eastAsia="en-US"/>
        </w:rPr>
        <w:drawing>
          <wp:inline distT="0" distB="0" distL="0" distR="0" wp14:anchorId="09A158CC" wp14:editId="66986C2D">
            <wp:extent cx="2340000" cy="1974934"/>
            <wp:effectExtent l="0" t="0" r="3175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CEo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97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055E7" w14:textId="338F7591" w:rsidR="00043779" w:rsidRDefault="00043779" w:rsidP="00C31640">
      <w:pPr>
        <w:jc w:val="center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noProof/>
          <w:sz w:val="20"/>
          <w:szCs w:val="20"/>
          <w:lang w:val="en-US" w:eastAsia="en-US"/>
        </w:rPr>
        <w:drawing>
          <wp:inline distT="0" distB="0" distL="0" distR="0" wp14:anchorId="37E3FE23" wp14:editId="1B7F807E">
            <wp:extent cx="2340000" cy="2010844"/>
            <wp:effectExtent l="0" t="0" r="3175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owB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01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20"/>
          <w:szCs w:val="20"/>
          <w:lang w:val="en-US" w:eastAsia="en-US"/>
        </w:rPr>
        <w:drawing>
          <wp:inline distT="0" distB="0" distL="0" distR="0" wp14:anchorId="219E155E" wp14:editId="12E1F416">
            <wp:extent cx="2340000" cy="2010844"/>
            <wp:effectExtent l="0" t="0" r="3175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owEo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01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406D0" w14:textId="2814E472" w:rsidR="00C31640" w:rsidRDefault="00C31640" w:rsidP="00C31640">
      <w:pPr>
        <w:jc w:val="center"/>
        <w:rPr>
          <w:rFonts w:asciiTheme="minorHAnsi" w:hAnsiTheme="minorHAnsi"/>
          <w:sz w:val="20"/>
          <w:szCs w:val="20"/>
          <w:lang w:val="en-GB"/>
        </w:rPr>
      </w:pPr>
      <w:r w:rsidRPr="004F323E">
        <w:rPr>
          <w:rFonts w:asciiTheme="minorHAnsi" w:hAnsiTheme="minorHAnsi"/>
          <w:b/>
          <w:i/>
          <w:sz w:val="20"/>
          <w:szCs w:val="20"/>
          <w:lang w:val="en-GB"/>
        </w:rPr>
        <w:t>Figure 1:</w:t>
      </w:r>
      <w:r w:rsidRPr="004F323E">
        <w:rPr>
          <w:rFonts w:asciiTheme="minorHAnsi" w:hAnsiTheme="minorHAnsi"/>
          <w:i/>
          <w:sz w:val="20"/>
          <w:szCs w:val="20"/>
          <w:lang w:val="en-GB"/>
        </w:rPr>
        <w:t xml:space="preserve"> </w:t>
      </w:r>
      <w:r w:rsidR="00043779">
        <w:rPr>
          <w:rFonts w:asciiTheme="minorHAnsi" w:hAnsiTheme="minorHAnsi"/>
          <w:i/>
          <w:sz w:val="20"/>
          <w:szCs w:val="20"/>
          <w:lang w:val="en-GB"/>
        </w:rPr>
        <w:t xml:space="preserve">Initial </w:t>
      </w:r>
      <w:r>
        <w:rPr>
          <w:rFonts w:asciiTheme="minorHAnsi" w:hAnsiTheme="minorHAnsi"/>
          <w:i/>
          <w:sz w:val="20"/>
          <w:szCs w:val="20"/>
          <w:lang w:val="en-GB"/>
        </w:rPr>
        <w:t>TEM micrograph</w:t>
      </w:r>
      <w:r w:rsidR="00043779">
        <w:rPr>
          <w:rFonts w:asciiTheme="minorHAnsi" w:hAnsiTheme="minorHAnsi"/>
          <w:i/>
          <w:sz w:val="20"/>
          <w:szCs w:val="20"/>
          <w:lang w:val="en-GB"/>
        </w:rPr>
        <w:t>s and</w:t>
      </w:r>
      <w:r>
        <w:rPr>
          <w:rFonts w:asciiTheme="minorHAnsi" w:hAnsiTheme="minorHAnsi"/>
          <w:i/>
          <w:sz w:val="20"/>
          <w:szCs w:val="20"/>
          <w:lang w:val="en-GB"/>
        </w:rPr>
        <w:t xml:space="preserve"> </w:t>
      </w:r>
      <w:r w:rsidR="00895A18">
        <w:rPr>
          <w:rFonts w:asciiTheme="minorHAnsi" w:hAnsiTheme="minorHAnsi"/>
          <w:i/>
          <w:sz w:val="20"/>
          <w:szCs w:val="20"/>
          <w:lang w:val="en-GB"/>
        </w:rPr>
        <w:t>TEM micrograph</w:t>
      </w:r>
      <w:r w:rsidR="00043779">
        <w:rPr>
          <w:rFonts w:asciiTheme="minorHAnsi" w:hAnsiTheme="minorHAnsi"/>
          <w:i/>
          <w:sz w:val="20"/>
          <w:szCs w:val="20"/>
          <w:lang w:val="en-GB"/>
        </w:rPr>
        <w:t>s</w:t>
      </w:r>
      <w:r w:rsidR="00895A18">
        <w:rPr>
          <w:rFonts w:asciiTheme="minorHAnsi" w:hAnsiTheme="minorHAnsi"/>
          <w:i/>
          <w:sz w:val="20"/>
          <w:szCs w:val="20"/>
          <w:lang w:val="en-GB"/>
        </w:rPr>
        <w:t xml:space="preserve"> after 30,000 AST cycles between 0.6 and 1.0 V in PEMFC</w:t>
      </w:r>
      <w:r w:rsidR="00043779">
        <w:rPr>
          <w:rFonts w:asciiTheme="minorHAnsi" w:hAnsiTheme="minorHAnsi"/>
          <w:i/>
          <w:sz w:val="20"/>
          <w:szCs w:val="20"/>
          <w:lang w:val="en-GB"/>
        </w:rPr>
        <w:t xml:space="preserve"> of</w:t>
      </w:r>
      <w:r w:rsidR="00084030">
        <w:rPr>
          <w:rFonts w:asciiTheme="minorHAnsi" w:hAnsiTheme="minorHAnsi"/>
          <w:i/>
          <w:sz w:val="20"/>
          <w:szCs w:val="20"/>
          <w:lang w:val="en-GB"/>
        </w:rPr>
        <w:t xml:space="preserve"> a commercial Pt/C (</w:t>
      </w:r>
      <w:proofErr w:type="gramStart"/>
      <w:r w:rsidR="00084030">
        <w:rPr>
          <w:rFonts w:asciiTheme="minorHAnsi" w:hAnsiTheme="minorHAnsi"/>
          <w:i/>
          <w:sz w:val="20"/>
          <w:szCs w:val="20"/>
          <w:lang w:val="en-GB"/>
        </w:rPr>
        <w:t>a and</w:t>
      </w:r>
      <w:proofErr w:type="gramEnd"/>
      <w:r w:rsidR="00084030">
        <w:rPr>
          <w:rFonts w:asciiTheme="minorHAnsi" w:hAnsiTheme="minorHAnsi"/>
          <w:i/>
          <w:sz w:val="20"/>
          <w:szCs w:val="20"/>
          <w:lang w:val="en-GB"/>
        </w:rPr>
        <w:t xml:space="preserve"> b, respectively) and of a</w:t>
      </w:r>
      <w:r w:rsidR="00043779">
        <w:rPr>
          <w:rFonts w:asciiTheme="minorHAnsi" w:hAnsiTheme="minorHAnsi"/>
          <w:i/>
          <w:sz w:val="20"/>
          <w:szCs w:val="20"/>
          <w:lang w:val="en-GB"/>
        </w:rPr>
        <w:t xml:space="preserve"> hollow </w:t>
      </w:r>
      <w:proofErr w:type="spellStart"/>
      <w:r w:rsidR="00043779">
        <w:rPr>
          <w:rFonts w:asciiTheme="minorHAnsi" w:hAnsiTheme="minorHAnsi"/>
          <w:i/>
          <w:sz w:val="20"/>
          <w:szCs w:val="20"/>
          <w:lang w:val="en-GB"/>
        </w:rPr>
        <w:t>PtCo</w:t>
      </w:r>
      <w:proofErr w:type="spellEnd"/>
      <w:r w:rsidR="00043779">
        <w:rPr>
          <w:rFonts w:asciiTheme="minorHAnsi" w:hAnsiTheme="minorHAnsi"/>
          <w:i/>
          <w:sz w:val="20"/>
          <w:szCs w:val="20"/>
          <w:lang w:val="en-GB"/>
        </w:rPr>
        <w:t xml:space="preserve"> particles/CX</w:t>
      </w:r>
      <w:r w:rsidR="00084030">
        <w:rPr>
          <w:rFonts w:asciiTheme="minorHAnsi" w:hAnsiTheme="minorHAnsi"/>
          <w:i/>
          <w:sz w:val="20"/>
          <w:szCs w:val="20"/>
          <w:lang w:val="en-GB"/>
        </w:rPr>
        <w:t xml:space="preserve"> (c and d, respectively)</w:t>
      </w:r>
      <w:r>
        <w:rPr>
          <w:rFonts w:asciiTheme="minorHAnsi" w:hAnsiTheme="minorHAnsi"/>
          <w:sz w:val="20"/>
          <w:szCs w:val="20"/>
          <w:lang w:val="en-GB"/>
        </w:rPr>
        <w:t>.</w:t>
      </w:r>
    </w:p>
    <w:p w14:paraId="68E8CBAF" w14:textId="77777777" w:rsidR="0020696B" w:rsidRDefault="0020696B" w:rsidP="00C31640">
      <w:pPr>
        <w:jc w:val="center"/>
        <w:rPr>
          <w:rFonts w:asciiTheme="minorHAnsi" w:hAnsiTheme="minorHAnsi"/>
          <w:sz w:val="20"/>
          <w:szCs w:val="20"/>
          <w:lang w:val="en-GB"/>
        </w:rPr>
      </w:pPr>
    </w:p>
    <w:p w14:paraId="50F44E03" w14:textId="37C244F0" w:rsidR="00895A18" w:rsidRDefault="00895A18" w:rsidP="00C31640">
      <w:pPr>
        <w:jc w:val="center"/>
        <w:rPr>
          <w:rFonts w:asciiTheme="minorHAnsi" w:hAnsiTheme="minorHAnsi"/>
          <w:sz w:val="20"/>
          <w:szCs w:val="20"/>
          <w:lang w:val="en-GB"/>
        </w:rPr>
      </w:pPr>
      <w:r w:rsidRPr="00895A18">
        <w:rPr>
          <w:rFonts w:asciiTheme="minorHAnsi" w:hAnsiTheme="minorHAnsi"/>
          <w:noProof/>
          <w:sz w:val="20"/>
          <w:szCs w:val="20"/>
          <w:lang w:val="en-US" w:eastAsia="en-US"/>
        </w:rPr>
        <w:drawing>
          <wp:inline distT="0" distB="0" distL="0" distR="0" wp14:anchorId="32DB6D6D" wp14:editId="24920DFA">
            <wp:extent cx="3060000" cy="2342461"/>
            <wp:effectExtent l="0" t="0" r="7620" b="1270"/>
            <wp:docPr id="33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34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536C" w14:textId="06D144F9" w:rsidR="00895A18" w:rsidRDefault="00895A18" w:rsidP="00C31640">
      <w:pPr>
        <w:jc w:val="center"/>
        <w:rPr>
          <w:rFonts w:asciiTheme="minorHAnsi" w:hAnsiTheme="minorHAnsi"/>
          <w:sz w:val="20"/>
          <w:szCs w:val="20"/>
          <w:lang w:val="en-GB"/>
        </w:rPr>
      </w:pPr>
      <w:r w:rsidRPr="00895A18">
        <w:rPr>
          <w:rFonts w:asciiTheme="minorHAnsi" w:hAnsiTheme="minorHAnsi"/>
          <w:b/>
          <w:sz w:val="20"/>
          <w:szCs w:val="20"/>
          <w:lang w:val="en-GB"/>
        </w:rPr>
        <w:t>Figure 2:</w:t>
      </w:r>
      <w:r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AD4A7E">
        <w:rPr>
          <w:rFonts w:asciiTheme="minorHAnsi" w:hAnsiTheme="minorHAnsi"/>
          <w:sz w:val="20"/>
          <w:szCs w:val="20"/>
          <w:lang w:val="en-GB"/>
        </w:rPr>
        <w:t xml:space="preserve">Voltage </w:t>
      </w:r>
      <w:r w:rsidR="00AD4A7E">
        <w:rPr>
          <w:rFonts w:asciiTheme="minorHAnsi" w:hAnsiTheme="minorHAnsi"/>
          <w:i/>
          <w:sz w:val="20"/>
          <w:szCs w:val="20"/>
          <w:lang w:val="en-GB"/>
        </w:rPr>
        <w:t>vs.</w:t>
      </w:r>
      <w:r w:rsidR="00AD4A7E">
        <w:rPr>
          <w:rFonts w:asciiTheme="minorHAnsi" w:hAnsiTheme="minorHAnsi"/>
          <w:sz w:val="20"/>
          <w:szCs w:val="20"/>
          <w:lang w:val="en-GB"/>
        </w:rPr>
        <w:t xml:space="preserve"> current density </w:t>
      </w:r>
      <w:r>
        <w:rPr>
          <w:rFonts w:asciiTheme="minorHAnsi" w:hAnsiTheme="minorHAnsi"/>
          <w:sz w:val="20"/>
          <w:szCs w:val="20"/>
          <w:lang w:val="en-GB"/>
        </w:rPr>
        <w:t>curve</w:t>
      </w:r>
      <w:r w:rsidR="00FF01C1">
        <w:rPr>
          <w:rFonts w:asciiTheme="minorHAnsi" w:hAnsiTheme="minorHAnsi"/>
          <w:sz w:val="20"/>
          <w:szCs w:val="20"/>
          <w:lang w:val="en-GB"/>
        </w:rPr>
        <w:t>s</w:t>
      </w:r>
      <w:r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FF01C1">
        <w:rPr>
          <w:rFonts w:asciiTheme="minorHAnsi" w:hAnsiTheme="minorHAnsi"/>
          <w:sz w:val="20"/>
          <w:szCs w:val="20"/>
          <w:lang w:val="en-GB"/>
        </w:rPr>
        <w:t xml:space="preserve">of PEMFCs constituted of hollow </w:t>
      </w:r>
      <w:proofErr w:type="spellStart"/>
      <w:r w:rsidR="00FF01C1">
        <w:rPr>
          <w:rFonts w:asciiTheme="minorHAnsi" w:hAnsiTheme="minorHAnsi"/>
          <w:sz w:val="20"/>
          <w:szCs w:val="20"/>
          <w:lang w:val="en-GB"/>
        </w:rPr>
        <w:t>PtCo</w:t>
      </w:r>
      <w:proofErr w:type="spellEnd"/>
      <w:r w:rsidR="00FF01C1">
        <w:rPr>
          <w:rFonts w:asciiTheme="minorHAnsi" w:hAnsiTheme="minorHAnsi"/>
          <w:sz w:val="20"/>
          <w:szCs w:val="20"/>
          <w:lang w:val="en-GB"/>
        </w:rPr>
        <w:t>/CX catalyst (</w:t>
      </w:r>
      <w:r w:rsidR="00FF01C1" w:rsidRPr="00FF01C1">
        <w:rPr>
          <w:rFonts w:asciiTheme="minorHAnsi" w:hAnsiTheme="minorHAnsi"/>
          <w:color w:val="0070C0"/>
          <w:sz w:val="20"/>
          <w:szCs w:val="20"/>
          <w:lang w:val="en-GB"/>
        </w:rPr>
        <w:t>blue</w:t>
      </w:r>
      <w:r w:rsidR="00FF01C1">
        <w:rPr>
          <w:rFonts w:asciiTheme="minorHAnsi" w:hAnsiTheme="minorHAnsi"/>
          <w:sz w:val="20"/>
          <w:szCs w:val="20"/>
          <w:lang w:val="en-GB"/>
        </w:rPr>
        <w:t>) and commercial 10 wt.% Pt/AC catalyst (</w:t>
      </w:r>
      <w:r w:rsidR="00FF01C1" w:rsidRPr="00FF01C1">
        <w:rPr>
          <w:rFonts w:asciiTheme="minorHAnsi" w:hAnsiTheme="minorHAnsi"/>
          <w:color w:val="FF0000"/>
          <w:sz w:val="20"/>
          <w:szCs w:val="20"/>
          <w:lang w:val="en-GB"/>
        </w:rPr>
        <w:t>red</w:t>
      </w:r>
      <w:r w:rsidR="00FF01C1">
        <w:rPr>
          <w:rFonts w:asciiTheme="minorHAnsi" w:hAnsiTheme="minorHAnsi"/>
          <w:sz w:val="20"/>
          <w:szCs w:val="20"/>
          <w:lang w:val="en-GB"/>
        </w:rPr>
        <w:t>) measured initially (</w:t>
      </w:r>
      <w:proofErr w:type="spellStart"/>
      <w:r w:rsidR="00FF01C1">
        <w:rPr>
          <w:rFonts w:asciiTheme="minorHAnsi" w:hAnsiTheme="minorHAnsi"/>
          <w:sz w:val="20"/>
          <w:szCs w:val="20"/>
          <w:lang w:val="en-GB"/>
        </w:rPr>
        <w:t>BoL</w:t>
      </w:r>
      <w:proofErr w:type="spellEnd"/>
      <w:r w:rsidR="00FF01C1">
        <w:rPr>
          <w:rFonts w:asciiTheme="minorHAnsi" w:hAnsiTheme="minorHAnsi"/>
          <w:sz w:val="20"/>
          <w:szCs w:val="20"/>
          <w:lang w:val="en-GB"/>
        </w:rPr>
        <w:t>), after 10,000 (</w:t>
      </w:r>
      <w:proofErr w:type="spellStart"/>
      <w:r w:rsidR="00FF01C1">
        <w:rPr>
          <w:rFonts w:asciiTheme="minorHAnsi" w:hAnsiTheme="minorHAnsi"/>
          <w:sz w:val="20"/>
          <w:szCs w:val="20"/>
          <w:lang w:val="en-GB"/>
        </w:rPr>
        <w:t>MoL</w:t>
      </w:r>
      <w:proofErr w:type="spellEnd"/>
      <w:r w:rsidR="00FF01C1">
        <w:rPr>
          <w:rFonts w:asciiTheme="minorHAnsi" w:hAnsiTheme="minorHAnsi"/>
          <w:sz w:val="20"/>
          <w:szCs w:val="20"/>
          <w:lang w:val="en-GB"/>
        </w:rPr>
        <w:t>), and after 30,000 AST cycles (</w:t>
      </w:r>
      <w:proofErr w:type="spellStart"/>
      <w:r w:rsidR="00FF01C1">
        <w:rPr>
          <w:rFonts w:asciiTheme="minorHAnsi" w:hAnsiTheme="minorHAnsi"/>
          <w:sz w:val="20"/>
          <w:szCs w:val="20"/>
          <w:lang w:val="en-GB"/>
        </w:rPr>
        <w:t>EoL</w:t>
      </w:r>
      <w:proofErr w:type="spellEnd"/>
      <w:r w:rsidR="00FF01C1">
        <w:rPr>
          <w:rFonts w:asciiTheme="minorHAnsi" w:hAnsiTheme="minorHAnsi"/>
          <w:sz w:val="20"/>
          <w:szCs w:val="20"/>
          <w:lang w:val="en-GB"/>
        </w:rPr>
        <w:t>).</w:t>
      </w:r>
    </w:p>
    <w:p w14:paraId="45DAE8AB" w14:textId="77777777" w:rsidR="0020696B" w:rsidRPr="00F54E9B" w:rsidRDefault="0020696B" w:rsidP="00C31640">
      <w:pPr>
        <w:jc w:val="center"/>
        <w:rPr>
          <w:rFonts w:asciiTheme="minorHAnsi" w:hAnsiTheme="minorHAnsi"/>
          <w:sz w:val="20"/>
          <w:szCs w:val="20"/>
          <w:lang w:val="en-GB"/>
        </w:rPr>
      </w:pPr>
    </w:p>
    <w:p w14:paraId="363617C1" w14:textId="77777777" w:rsidR="00C31640" w:rsidRPr="00843C6C" w:rsidRDefault="00C31640" w:rsidP="00C31640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  <w:r w:rsidRPr="00843C6C">
        <w:rPr>
          <w:rFonts w:asciiTheme="minorHAnsi" w:hAnsiTheme="minorHAnsi"/>
          <w:b/>
          <w:sz w:val="20"/>
          <w:szCs w:val="20"/>
          <w:lang w:val="en-GB"/>
        </w:rPr>
        <w:t xml:space="preserve">References </w:t>
      </w:r>
    </w:p>
    <w:p w14:paraId="7C819686" w14:textId="3BA29818" w:rsidR="00F4574B" w:rsidRDefault="00F4574B" w:rsidP="00F4574B">
      <w:pPr>
        <w:ind w:left="180"/>
        <w:jc w:val="both"/>
        <w:rPr>
          <w:rFonts w:asciiTheme="minorHAnsi" w:hAnsiTheme="minorHAnsi"/>
          <w:sz w:val="20"/>
          <w:szCs w:val="18"/>
          <w:lang w:val="en-US"/>
        </w:rPr>
      </w:pPr>
      <w:r w:rsidRPr="002F725B">
        <w:rPr>
          <w:rFonts w:asciiTheme="minorHAnsi" w:hAnsiTheme="minorHAnsi"/>
          <w:sz w:val="20"/>
          <w:szCs w:val="18"/>
          <w:lang w:val="en-US"/>
        </w:rPr>
        <w:t>[</w:t>
      </w:r>
      <w:r>
        <w:rPr>
          <w:rFonts w:asciiTheme="minorHAnsi" w:hAnsiTheme="minorHAnsi"/>
          <w:sz w:val="20"/>
          <w:szCs w:val="18"/>
          <w:lang w:val="en-US"/>
        </w:rPr>
        <w:t>1</w:t>
      </w:r>
      <w:r w:rsidRPr="002F725B">
        <w:rPr>
          <w:rFonts w:asciiTheme="minorHAnsi" w:hAnsiTheme="minorHAnsi"/>
          <w:sz w:val="20"/>
          <w:szCs w:val="18"/>
          <w:lang w:val="en-US"/>
        </w:rPr>
        <w:t xml:space="preserve">] </w:t>
      </w:r>
      <w:r>
        <w:rPr>
          <w:rFonts w:asciiTheme="minorHAnsi" w:hAnsiTheme="minorHAnsi"/>
          <w:sz w:val="20"/>
          <w:szCs w:val="18"/>
          <w:lang w:val="en-US"/>
        </w:rPr>
        <w:t xml:space="preserve">J. R. </w:t>
      </w:r>
      <w:proofErr w:type="spellStart"/>
      <w:r>
        <w:rPr>
          <w:rFonts w:asciiTheme="minorHAnsi" w:hAnsiTheme="minorHAnsi"/>
          <w:sz w:val="20"/>
          <w:szCs w:val="18"/>
          <w:lang w:val="en-US"/>
        </w:rPr>
        <w:t>Kitchin</w:t>
      </w:r>
      <w:proofErr w:type="spellEnd"/>
      <w:r>
        <w:rPr>
          <w:rFonts w:asciiTheme="minorHAnsi" w:hAnsiTheme="minorHAnsi"/>
          <w:sz w:val="20"/>
          <w:szCs w:val="18"/>
          <w:lang w:val="en-US"/>
        </w:rPr>
        <w:t xml:space="preserve">, J. K. </w:t>
      </w:r>
      <w:proofErr w:type="spellStart"/>
      <w:r>
        <w:rPr>
          <w:rFonts w:asciiTheme="minorHAnsi" w:hAnsiTheme="minorHAnsi"/>
          <w:sz w:val="20"/>
          <w:szCs w:val="18"/>
          <w:lang w:val="en-US"/>
        </w:rPr>
        <w:t>Nørskov</w:t>
      </w:r>
      <w:proofErr w:type="spellEnd"/>
      <w:r>
        <w:rPr>
          <w:rFonts w:asciiTheme="minorHAnsi" w:hAnsiTheme="minorHAnsi"/>
          <w:sz w:val="20"/>
          <w:szCs w:val="18"/>
          <w:lang w:val="en-US"/>
        </w:rPr>
        <w:t xml:space="preserve">, M. A. </w:t>
      </w:r>
      <w:proofErr w:type="spellStart"/>
      <w:r>
        <w:rPr>
          <w:rFonts w:asciiTheme="minorHAnsi" w:hAnsiTheme="minorHAnsi"/>
          <w:sz w:val="20"/>
          <w:szCs w:val="18"/>
          <w:lang w:val="en-US"/>
        </w:rPr>
        <w:t>Barteau</w:t>
      </w:r>
      <w:proofErr w:type="spellEnd"/>
      <w:r w:rsidRPr="002F725B">
        <w:rPr>
          <w:rFonts w:asciiTheme="minorHAnsi" w:hAnsiTheme="minorHAnsi"/>
          <w:sz w:val="20"/>
          <w:szCs w:val="18"/>
          <w:lang w:val="en-US"/>
        </w:rPr>
        <w:t xml:space="preserve">, </w:t>
      </w:r>
      <w:r w:rsidRPr="002F725B">
        <w:rPr>
          <w:rFonts w:asciiTheme="minorHAnsi" w:hAnsiTheme="minorHAnsi"/>
          <w:i/>
          <w:sz w:val="20"/>
          <w:szCs w:val="18"/>
          <w:lang w:val="en-US"/>
        </w:rPr>
        <w:t>et al.</w:t>
      </w:r>
      <w:r w:rsidRPr="002F725B">
        <w:rPr>
          <w:rFonts w:asciiTheme="minorHAnsi" w:hAnsiTheme="minorHAnsi"/>
          <w:sz w:val="20"/>
          <w:szCs w:val="18"/>
          <w:lang w:val="en-US"/>
        </w:rPr>
        <w:t xml:space="preserve">, </w:t>
      </w:r>
      <w:r>
        <w:rPr>
          <w:rFonts w:asciiTheme="minorHAnsi" w:hAnsiTheme="minorHAnsi"/>
          <w:i/>
          <w:sz w:val="20"/>
          <w:szCs w:val="18"/>
          <w:lang w:val="en-US"/>
        </w:rPr>
        <w:t>Journal of Chemical Physics</w:t>
      </w:r>
      <w:r w:rsidRPr="002F725B">
        <w:rPr>
          <w:rFonts w:asciiTheme="minorHAnsi" w:hAnsiTheme="minorHAnsi"/>
          <w:sz w:val="20"/>
          <w:szCs w:val="18"/>
          <w:lang w:val="en-US"/>
        </w:rPr>
        <w:t>, 200</w:t>
      </w:r>
      <w:r>
        <w:rPr>
          <w:rFonts w:asciiTheme="minorHAnsi" w:hAnsiTheme="minorHAnsi"/>
          <w:sz w:val="20"/>
          <w:szCs w:val="18"/>
          <w:lang w:val="en-US"/>
        </w:rPr>
        <w:t>4</w:t>
      </w:r>
      <w:r w:rsidRPr="002F725B">
        <w:rPr>
          <w:rFonts w:asciiTheme="minorHAnsi" w:hAnsiTheme="minorHAnsi"/>
          <w:sz w:val="20"/>
          <w:szCs w:val="18"/>
          <w:lang w:val="en-US"/>
        </w:rPr>
        <w:t xml:space="preserve">, </w:t>
      </w:r>
      <w:r>
        <w:rPr>
          <w:rFonts w:asciiTheme="minorHAnsi" w:hAnsiTheme="minorHAnsi"/>
          <w:sz w:val="20"/>
          <w:szCs w:val="18"/>
          <w:lang w:val="en-US"/>
        </w:rPr>
        <w:t>Vol. 120, No. 21</w:t>
      </w:r>
      <w:r w:rsidRPr="002F725B">
        <w:rPr>
          <w:rFonts w:asciiTheme="minorHAnsi" w:hAnsiTheme="minorHAnsi"/>
          <w:sz w:val="20"/>
          <w:szCs w:val="18"/>
          <w:lang w:val="en-US"/>
        </w:rPr>
        <w:t xml:space="preserve">, </w:t>
      </w:r>
      <w:r>
        <w:rPr>
          <w:rFonts w:asciiTheme="minorHAnsi" w:hAnsiTheme="minorHAnsi"/>
          <w:sz w:val="20"/>
          <w:szCs w:val="18"/>
          <w:lang w:val="en-US"/>
        </w:rPr>
        <w:t>10240</w:t>
      </w:r>
      <w:r w:rsidRPr="002F725B">
        <w:rPr>
          <w:rFonts w:asciiTheme="minorHAnsi" w:hAnsiTheme="minorHAnsi"/>
          <w:sz w:val="20"/>
          <w:szCs w:val="18"/>
          <w:lang w:val="en-US"/>
        </w:rPr>
        <w:t>-</w:t>
      </w:r>
      <w:r>
        <w:rPr>
          <w:rFonts w:asciiTheme="minorHAnsi" w:hAnsiTheme="minorHAnsi"/>
          <w:sz w:val="20"/>
          <w:szCs w:val="18"/>
          <w:lang w:val="en-US"/>
        </w:rPr>
        <w:t>10246</w:t>
      </w:r>
      <w:r w:rsidR="00902E8F">
        <w:rPr>
          <w:rFonts w:asciiTheme="minorHAnsi" w:hAnsiTheme="minorHAnsi"/>
          <w:sz w:val="20"/>
          <w:szCs w:val="18"/>
          <w:lang w:val="en-US"/>
        </w:rPr>
        <w:t>.</w:t>
      </w:r>
    </w:p>
    <w:p w14:paraId="543A17CF" w14:textId="67B1B62C" w:rsidR="00C31640" w:rsidRDefault="00F4574B" w:rsidP="00F4574B">
      <w:pPr>
        <w:ind w:left="180"/>
        <w:jc w:val="both"/>
        <w:rPr>
          <w:rFonts w:asciiTheme="minorHAnsi" w:hAnsiTheme="minorHAnsi"/>
          <w:sz w:val="20"/>
          <w:szCs w:val="18"/>
          <w:lang w:val="en-US"/>
        </w:rPr>
      </w:pPr>
      <w:r>
        <w:rPr>
          <w:rFonts w:asciiTheme="minorHAnsi" w:hAnsiTheme="minorHAnsi"/>
          <w:sz w:val="20"/>
          <w:szCs w:val="18"/>
          <w:lang w:val="en-GB"/>
        </w:rPr>
        <w:lastRenderedPageBreak/>
        <w:t>[2</w:t>
      </w:r>
      <w:r w:rsidR="00C31640" w:rsidRPr="007047C6">
        <w:rPr>
          <w:rFonts w:asciiTheme="minorHAnsi" w:hAnsiTheme="minorHAnsi"/>
          <w:sz w:val="20"/>
          <w:szCs w:val="18"/>
          <w:lang w:val="en-GB"/>
        </w:rPr>
        <w:t xml:space="preserve">] </w:t>
      </w:r>
      <w:r w:rsidR="00C31640" w:rsidRPr="003D5823">
        <w:rPr>
          <w:rFonts w:asciiTheme="minorHAnsi" w:hAnsiTheme="minorHAnsi"/>
          <w:sz w:val="20"/>
          <w:szCs w:val="18"/>
          <w:lang w:val="en-US"/>
        </w:rPr>
        <w:t>F. Rodr</w:t>
      </w:r>
      <w:r w:rsidR="00C31640">
        <w:rPr>
          <w:rFonts w:asciiTheme="minorHAnsi" w:hAnsiTheme="minorHAnsi"/>
          <w:sz w:val="20"/>
          <w:szCs w:val="18"/>
          <w:lang w:val="en-US"/>
        </w:rPr>
        <w:t>í</w:t>
      </w:r>
      <w:r w:rsidR="00C31640" w:rsidRPr="003D5823">
        <w:rPr>
          <w:rFonts w:asciiTheme="minorHAnsi" w:hAnsiTheme="minorHAnsi"/>
          <w:sz w:val="20"/>
          <w:szCs w:val="18"/>
          <w:lang w:val="en-US"/>
        </w:rPr>
        <w:t>guez-</w:t>
      </w:r>
      <w:proofErr w:type="spellStart"/>
      <w:r w:rsidR="00C31640" w:rsidRPr="003D5823">
        <w:rPr>
          <w:rFonts w:asciiTheme="minorHAnsi" w:hAnsiTheme="minorHAnsi"/>
          <w:sz w:val="20"/>
          <w:szCs w:val="18"/>
          <w:lang w:val="en-US"/>
        </w:rPr>
        <w:t>Reinoso</w:t>
      </w:r>
      <w:proofErr w:type="spellEnd"/>
      <w:r w:rsidR="00C31640" w:rsidRPr="003D5823">
        <w:rPr>
          <w:rFonts w:asciiTheme="minorHAnsi" w:hAnsiTheme="minorHAnsi"/>
          <w:sz w:val="20"/>
          <w:szCs w:val="18"/>
          <w:lang w:val="en-US"/>
        </w:rPr>
        <w:t xml:space="preserve">, </w:t>
      </w:r>
      <w:r w:rsidR="00C31640" w:rsidRPr="003D5823">
        <w:rPr>
          <w:rFonts w:asciiTheme="minorHAnsi" w:hAnsiTheme="minorHAnsi"/>
          <w:i/>
          <w:sz w:val="20"/>
          <w:szCs w:val="18"/>
          <w:lang w:val="en-US"/>
        </w:rPr>
        <w:t>Carbon as a catalyst support</w:t>
      </w:r>
      <w:r w:rsidR="00C31640" w:rsidRPr="003D5823">
        <w:rPr>
          <w:rFonts w:asciiTheme="minorHAnsi" w:hAnsiTheme="minorHAnsi"/>
          <w:sz w:val="20"/>
          <w:szCs w:val="18"/>
          <w:lang w:val="en-US"/>
        </w:rPr>
        <w:t xml:space="preserve"> in </w:t>
      </w:r>
      <w:r w:rsidR="00C31640" w:rsidRPr="003D5823">
        <w:rPr>
          <w:rFonts w:asciiTheme="minorHAnsi" w:hAnsiTheme="minorHAnsi"/>
          <w:i/>
          <w:iCs/>
          <w:sz w:val="20"/>
          <w:szCs w:val="18"/>
          <w:lang w:val="en-US"/>
        </w:rPr>
        <w:t>Porosity in carbons</w:t>
      </w:r>
      <w:r w:rsidR="00C31640" w:rsidRPr="003D5823">
        <w:rPr>
          <w:rFonts w:asciiTheme="minorHAnsi" w:hAnsiTheme="minorHAnsi"/>
          <w:sz w:val="20"/>
          <w:szCs w:val="18"/>
          <w:lang w:val="en-US"/>
        </w:rPr>
        <w:t>, J.W. Patrick, Ed</w:t>
      </w:r>
      <w:proofErr w:type="gramStart"/>
      <w:r w:rsidR="00C31640" w:rsidRPr="003D5823">
        <w:rPr>
          <w:rFonts w:asciiTheme="minorHAnsi" w:hAnsiTheme="minorHAnsi"/>
          <w:sz w:val="20"/>
          <w:szCs w:val="18"/>
          <w:lang w:val="en-US"/>
        </w:rPr>
        <w:t>.(</w:t>
      </w:r>
      <w:proofErr w:type="gramEnd"/>
      <w:r w:rsidR="00C31640" w:rsidRPr="003D5823">
        <w:rPr>
          <w:rFonts w:asciiTheme="minorHAnsi" w:hAnsiTheme="minorHAnsi"/>
          <w:sz w:val="20"/>
          <w:szCs w:val="18"/>
          <w:lang w:val="en-US"/>
        </w:rPr>
        <w:t>Wiley, UK, 1995), p. 253</w:t>
      </w:r>
      <w:r w:rsidR="00902E8F">
        <w:rPr>
          <w:rFonts w:asciiTheme="minorHAnsi" w:hAnsiTheme="minorHAnsi"/>
          <w:sz w:val="20"/>
          <w:szCs w:val="18"/>
          <w:lang w:val="en-US"/>
        </w:rPr>
        <w:t>.</w:t>
      </w:r>
    </w:p>
    <w:p w14:paraId="53B05217" w14:textId="27A6A495" w:rsidR="00C31640" w:rsidRDefault="00F4574B" w:rsidP="00C31640">
      <w:pPr>
        <w:ind w:left="180"/>
        <w:jc w:val="both"/>
        <w:rPr>
          <w:rFonts w:asciiTheme="minorHAnsi" w:hAnsiTheme="minorHAnsi"/>
          <w:sz w:val="20"/>
          <w:szCs w:val="18"/>
          <w:lang w:val="fr-BE"/>
        </w:rPr>
      </w:pPr>
      <w:r>
        <w:rPr>
          <w:rFonts w:asciiTheme="minorHAnsi" w:hAnsiTheme="minorHAnsi"/>
          <w:sz w:val="20"/>
          <w:szCs w:val="18"/>
          <w:lang w:val="fr-BE"/>
        </w:rPr>
        <w:t>[3</w:t>
      </w:r>
      <w:r w:rsidR="00C31640" w:rsidRPr="003D5823">
        <w:rPr>
          <w:rFonts w:asciiTheme="minorHAnsi" w:hAnsiTheme="minorHAnsi"/>
          <w:sz w:val="20"/>
          <w:szCs w:val="18"/>
          <w:lang w:val="fr-BE"/>
        </w:rPr>
        <w:t xml:space="preserve">] N. Job, A. Théry, R. Pirard, </w:t>
      </w:r>
      <w:r w:rsidR="00C31640" w:rsidRPr="003D5823">
        <w:rPr>
          <w:rFonts w:asciiTheme="minorHAnsi" w:hAnsiTheme="minorHAnsi"/>
          <w:i/>
          <w:sz w:val="20"/>
          <w:szCs w:val="18"/>
          <w:lang w:val="fr-BE"/>
        </w:rPr>
        <w:t xml:space="preserve">et </w:t>
      </w:r>
      <w:proofErr w:type="gramStart"/>
      <w:r w:rsidR="00C31640" w:rsidRPr="003D5823">
        <w:rPr>
          <w:rFonts w:asciiTheme="minorHAnsi" w:hAnsiTheme="minorHAnsi"/>
          <w:i/>
          <w:sz w:val="20"/>
          <w:szCs w:val="18"/>
          <w:lang w:val="fr-BE"/>
        </w:rPr>
        <w:t>al</w:t>
      </w:r>
      <w:r w:rsidR="00C31640" w:rsidRPr="003D5823">
        <w:rPr>
          <w:rFonts w:asciiTheme="minorHAnsi" w:hAnsiTheme="minorHAnsi"/>
          <w:sz w:val="20"/>
          <w:szCs w:val="18"/>
          <w:lang w:val="fr-BE"/>
        </w:rPr>
        <w:t>.</w:t>
      </w:r>
      <w:r w:rsidR="00C31640">
        <w:rPr>
          <w:rFonts w:asciiTheme="minorHAnsi" w:hAnsiTheme="minorHAnsi"/>
          <w:sz w:val="20"/>
          <w:szCs w:val="18"/>
          <w:lang w:val="fr-BE"/>
        </w:rPr>
        <w:t>,</w:t>
      </w:r>
      <w:proofErr w:type="gramEnd"/>
      <w:r w:rsidR="00C31640" w:rsidRPr="003D5823">
        <w:rPr>
          <w:rFonts w:asciiTheme="minorHAnsi" w:hAnsiTheme="minorHAnsi"/>
          <w:sz w:val="20"/>
          <w:szCs w:val="18"/>
          <w:lang w:val="fr-BE"/>
        </w:rPr>
        <w:t xml:space="preserve"> </w:t>
      </w:r>
      <w:proofErr w:type="spellStart"/>
      <w:r w:rsidR="00C31640" w:rsidRPr="003D5823">
        <w:rPr>
          <w:rFonts w:asciiTheme="minorHAnsi" w:hAnsiTheme="minorHAnsi"/>
          <w:i/>
          <w:sz w:val="20"/>
          <w:szCs w:val="18"/>
          <w:lang w:val="fr-BE"/>
        </w:rPr>
        <w:t>Carbon</w:t>
      </w:r>
      <w:proofErr w:type="spellEnd"/>
      <w:r w:rsidR="00C31640">
        <w:rPr>
          <w:rFonts w:asciiTheme="minorHAnsi" w:hAnsiTheme="minorHAnsi"/>
          <w:i/>
          <w:sz w:val="20"/>
          <w:szCs w:val="18"/>
          <w:lang w:val="fr-BE"/>
        </w:rPr>
        <w:t>,</w:t>
      </w:r>
      <w:r w:rsidR="00C31640" w:rsidRPr="003D5823">
        <w:rPr>
          <w:rFonts w:asciiTheme="minorHAnsi" w:hAnsiTheme="minorHAnsi"/>
          <w:sz w:val="20"/>
          <w:szCs w:val="18"/>
          <w:lang w:val="fr-BE"/>
        </w:rPr>
        <w:t xml:space="preserve"> 2005</w:t>
      </w:r>
      <w:r w:rsidR="00C31640">
        <w:rPr>
          <w:rFonts w:asciiTheme="minorHAnsi" w:hAnsiTheme="minorHAnsi"/>
          <w:sz w:val="20"/>
          <w:szCs w:val="18"/>
          <w:lang w:val="fr-BE"/>
        </w:rPr>
        <w:t>, 43,</w:t>
      </w:r>
      <w:r w:rsidR="00C31640" w:rsidRPr="003D5823">
        <w:rPr>
          <w:rFonts w:asciiTheme="minorHAnsi" w:hAnsiTheme="minorHAnsi"/>
          <w:sz w:val="20"/>
          <w:szCs w:val="18"/>
          <w:lang w:val="fr-BE"/>
        </w:rPr>
        <w:t xml:space="preserve"> 2481-2494</w:t>
      </w:r>
      <w:r w:rsidR="00902E8F">
        <w:rPr>
          <w:rFonts w:asciiTheme="minorHAnsi" w:hAnsiTheme="minorHAnsi"/>
          <w:sz w:val="20"/>
          <w:szCs w:val="18"/>
          <w:lang w:val="fr-BE"/>
        </w:rPr>
        <w:t>.</w:t>
      </w:r>
    </w:p>
    <w:p w14:paraId="2E4A19CB" w14:textId="3F049F80" w:rsidR="00C31640" w:rsidRPr="00F4574B" w:rsidRDefault="00661E05" w:rsidP="00C31640">
      <w:pPr>
        <w:ind w:left="180"/>
        <w:jc w:val="both"/>
        <w:rPr>
          <w:rFonts w:asciiTheme="minorHAnsi" w:hAnsiTheme="minorHAnsi"/>
          <w:sz w:val="28"/>
          <w:lang w:val="en-US"/>
        </w:rPr>
      </w:pPr>
      <w:r w:rsidRPr="00F4574B">
        <w:rPr>
          <w:rFonts w:asciiTheme="minorHAnsi" w:hAnsiTheme="minorHAnsi"/>
          <w:sz w:val="20"/>
          <w:szCs w:val="18"/>
          <w:lang w:val="en-US"/>
        </w:rPr>
        <w:t>[</w:t>
      </w:r>
      <w:r w:rsidR="00F4574B">
        <w:rPr>
          <w:rFonts w:asciiTheme="minorHAnsi" w:hAnsiTheme="minorHAnsi"/>
          <w:sz w:val="20"/>
          <w:szCs w:val="18"/>
          <w:lang w:val="en-US"/>
        </w:rPr>
        <w:t>4</w:t>
      </w:r>
      <w:r w:rsidRPr="00F4574B">
        <w:rPr>
          <w:rFonts w:asciiTheme="minorHAnsi" w:hAnsiTheme="minorHAnsi"/>
          <w:sz w:val="20"/>
          <w:szCs w:val="18"/>
          <w:lang w:val="en-US"/>
        </w:rPr>
        <w:t xml:space="preserve">] </w:t>
      </w:r>
      <w:r w:rsidR="00C31640" w:rsidRPr="00F4574B">
        <w:rPr>
          <w:rFonts w:asciiTheme="minorHAnsi" w:hAnsiTheme="minorHAnsi"/>
          <w:sz w:val="20"/>
          <w:szCs w:val="18"/>
          <w:lang w:val="en-US"/>
        </w:rPr>
        <w:t xml:space="preserve">A. </w:t>
      </w:r>
      <w:proofErr w:type="spellStart"/>
      <w:r w:rsidR="00C31640" w:rsidRPr="00F4574B">
        <w:rPr>
          <w:rFonts w:asciiTheme="minorHAnsi" w:hAnsiTheme="minorHAnsi"/>
          <w:sz w:val="20"/>
          <w:szCs w:val="18"/>
          <w:lang w:val="en-US"/>
        </w:rPr>
        <w:t>Zubiaur</w:t>
      </w:r>
      <w:proofErr w:type="spellEnd"/>
      <w:r w:rsidR="007E05B1" w:rsidRPr="00F4574B">
        <w:rPr>
          <w:rFonts w:asciiTheme="minorHAnsi" w:hAnsiTheme="minorHAnsi"/>
          <w:sz w:val="20"/>
          <w:szCs w:val="18"/>
          <w:lang w:val="en-US"/>
        </w:rPr>
        <w:t xml:space="preserve"> </w:t>
      </w:r>
      <w:proofErr w:type="gramStart"/>
      <w:r w:rsidR="007E05B1" w:rsidRPr="00F4574B">
        <w:rPr>
          <w:rFonts w:asciiTheme="minorHAnsi" w:hAnsiTheme="minorHAnsi"/>
          <w:sz w:val="20"/>
          <w:szCs w:val="18"/>
          <w:lang w:val="en-US"/>
        </w:rPr>
        <w:t>et</w:t>
      </w:r>
      <w:proofErr w:type="gramEnd"/>
      <w:r w:rsidR="007E05B1" w:rsidRPr="00F4574B">
        <w:rPr>
          <w:rFonts w:asciiTheme="minorHAnsi" w:hAnsiTheme="minorHAnsi"/>
          <w:sz w:val="20"/>
          <w:szCs w:val="18"/>
          <w:lang w:val="en-US"/>
        </w:rPr>
        <w:t xml:space="preserve"> N. Job, </w:t>
      </w:r>
      <w:r w:rsidR="007E05B1" w:rsidRPr="00F4574B">
        <w:rPr>
          <w:rFonts w:asciiTheme="minorHAnsi" w:hAnsiTheme="minorHAnsi"/>
          <w:i/>
          <w:sz w:val="20"/>
          <w:szCs w:val="18"/>
          <w:lang w:val="en-US"/>
        </w:rPr>
        <w:t>Applied catalysis B: Environmental</w:t>
      </w:r>
      <w:r w:rsidR="00C31640" w:rsidRPr="00F4574B">
        <w:rPr>
          <w:rFonts w:asciiTheme="minorHAnsi" w:hAnsiTheme="minorHAnsi"/>
          <w:sz w:val="20"/>
          <w:szCs w:val="18"/>
          <w:lang w:val="en-US"/>
        </w:rPr>
        <w:t>, 201</w:t>
      </w:r>
      <w:r w:rsidR="007E05B1" w:rsidRPr="00F4574B">
        <w:rPr>
          <w:rFonts w:asciiTheme="minorHAnsi" w:hAnsiTheme="minorHAnsi"/>
          <w:sz w:val="20"/>
          <w:szCs w:val="18"/>
          <w:lang w:val="en-US"/>
        </w:rPr>
        <w:t>7</w:t>
      </w:r>
      <w:r w:rsidR="00C31640" w:rsidRPr="00F4574B">
        <w:rPr>
          <w:rFonts w:asciiTheme="minorHAnsi" w:hAnsiTheme="minorHAnsi"/>
          <w:sz w:val="20"/>
          <w:szCs w:val="18"/>
          <w:lang w:val="en-US"/>
        </w:rPr>
        <w:t xml:space="preserve">, </w:t>
      </w:r>
      <w:r w:rsidR="007E05B1" w:rsidRPr="00F4574B">
        <w:rPr>
          <w:rFonts w:asciiTheme="minorHAnsi" w:hAnsiTheme="minorHAnsi"/>
          <w:sz w:val="20"/>
          <w:szCs w:val="18"/>
          <w:lang w:val="en-US"/>
        </w:rPr>
        <w:t>under review</w:t>
      </w:r>
      <w:r w:rsidR="00902E8F">
        <w:rPr>
          <w:rFonts w:asciiTheme="minorHAnsi" w:hAnsiTheme="minorHAnsi"/>
          <w:sz w:val="20"/>
          <w:szCs w:val="18"/>
          <w:lang w:val="en-US"/>
        </w:rPr>
        <w:t>.</w:t>
      </w:r>
    </w:p>
    <w:p w14:paraId="21BF1B5A" w14:textId="2F67D442" w:rsidR="00605FAE" w:rsidRPr="004D69F8" w:rsidRDefault="00F4574B" w:rsidP="00605FAE">
      <w:pPr>
        <w:ind w:left="180"/>
        <w:jc w:val="both"/>
        <w:rPr>
          <w:rFonts w:asciiTheme="minorHAnsi" w:hAnsiTheme="minorHAnsi"/>
          <w:sz w:val="20"/>
          <w:szCs w:val="18"/>
          <w:lang w:val="en-US"/>
        </w:rPr>
      </w:pPr>
      <w:r>
        <w:rPr>
          <w:rFonts w:asciiTheme="minorHAnsi" w:hAnsiTheme="minorHAnsi"/>
          <w:sz w:val="20"/>
          <w:szCs w:val="18"/>
          <w:lang w:val="en-US"/>
        </w:rPr>
        <w:t>[5</w:t>
      </w:r>
      <w:r w:rsidR="00605FAE" w:rsidRPr="00661E05">
        <w:rPr>
          <w:rFonts w:asciiTheme="minorHAnsi" w:hAnsiTheme="minorHAnsi"/>
          <w:sz w:val="20"/>
          <w:szCs w:val="18"/>
          <w:lang w:val="en-US"/>
        </w:rPr>
        <w:t xml:space="preserve">] </w:t>
      </w:r>
      <w:r w:rsidR="00605FAE">
        <w:rPr>
          <w:rFonts w:asciiTheme="minorHAnsi" w:hAnsiTheme="minorHAnsi"/>
          <w:sz w:val="20"/>
          <w:szCs w:val="18"/>
          <w:lang w:val="en-US"/>
        </w:rPr>
        <w:t>Y. Shao-Horn,</w:t>
      </w:r>
      <w:r w:rsidR="00605FAE" w:rsidRPr="00661E05">
        <w:rPr>
          <w:rFonts w:asciiTheme="minorHAnsi" w:hAnsiTheme="minorHAnsi"/>
          <w:sz w:val="20"/>
          <w:szCs w:val="18"/>
          <w:lang w:val="en-US"/>
        </w:rPr>
        <w:t xml:space="preserve"> W. C. Sheng</w:t>
      </w:r>
      <w:r w:rsidR="00605FAE">
        <w:rPr>
          <w:rFonts w:asciiTheme="minorHAnsi" w:hAnsiTheme="minorHAnsi"/>
          <w:sz w:val="20"/>
          <w:szCs w:val="18"/>
          <w:lang w:val="en-US"/>
        </w:rPr>
        <w:t>,</w:t>
      </w:r>
      <w:r w:rsidR="00605FAE" w:rsidRPr="00661E05">
        <w:rPr>
          <w:rFonts w:asciiTheme="minorHAnsi" w:hAnsiTheme="minorHAnsi"/>
          <w:sz w:val="20"/>
          <w:szCs w:val="18"/>
          <w:lang w:val="en-US"/>
        </w:rPr>
        <w:t xml:space="preserve"> S. Chen</w:t>
      </w:r>
      <w:r w:rsidR="00605FAE">
        <w:rPr>
          <w:rFonts w:asciiTheme="minorHAnsi" w:hAnsiTheme="minorHAnsi"/>
          <w:sz w:val="20"/>
          <w:szCs w:val="18"/>
          <w:lang w:val="en-US"/>
        </w:rPr>
        <w:t xml:space="preserve">, </w:t>
      </w:r>
      <w:r w:rsidR="00605FAE">
        <w:rPr>
          <w:rFonts w:asciiTheme="minorHAnsi" w:hAnsiTheme="minorHAnsi"/>
          <w:i/>
          <w:sz w:val="20"/>
          <w:szCs w:val="18"/>
          <w:lang w:val="en-US"/>
        </w:rPr>
        <w:t>et al.</w:t>
      </w:r>
      <w:r w:rsidR="00605FAE">
        <w:rPr>
          <w:rFonts w:asciiTheme="minorHAnsi" w:hAnsiTheme="minorHAnsi"/>
          <w:sz w:val="20"/>
          <w:szCs w:val="18"/>
          <w:lang w:val="en-US"/>
        </w:rPr>
        <w:t xml:space="preserve">, </w:t>
      </w:r>
      <w:r w:rsidR="00605FAE">
        <w:rPr>
          <w:rFonts w:asciiTheme="minorHAnsi" w:hAnsiTheme="minorHAnsi"/>
          <w:i/>
          <w:sz w:val="20"/>
          <w:szCs w:val="18"/>
          <w:lang w:val="en-US"/>
        </w:rPr>
        <w:t>Topics in Catalysis,</w:t>
      </w:r>
      <w:r w:rsidR="00605FAE">
        <w:rPr>
          <w:rFonts w:asciiTheme="minorHAnsi" w:hAnsiTheme="minorHAnsi"/>
          <w:sz w:val="20"/>
          <w:szCs w:val="18"/>
          <w:lang w:val="en-US"/>
        </w:rPr>
        <w:t xml:space="preserve"> 2007, 46, 285-305</w:t>
      </w:r>
      <w:r w:rsidR="00902E8F">
        <w:rPr>
          <w:rFonts w:asciiTheme="minorHAnsi" w:hAnsiTheme="minorHAnsi"/>
          <w:sz w:val="20"/>
          <w:szCs w:val="18"/>
          <w:lang w:val="en-US"/>
        </w:rPr>
        <w:t>.</w:t>
      </w:r>
    </w:p>
    <w:sectPr w:rsidR="00605FAE" w:rsidRPr="004D69F8" w:rsidSect="00B363E4"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B3F4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264F"/>
    <w:multiLevelType w:val="hybridMultilevel"/>
    <w:tmpl w:val="3B70894E"/>
    <w:lvl w:ilvl="0" w:tplc="ADBED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lie Job">
    <w15:presenceInfo w15:providerId="None" w15:userId="Nathalie Jo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40"/>
    <w:rsid w:val="00023442"/>
    <w:rsid w:val="00043779"/>
    <w:rsid w:val="00084030"/>
    <w:rsid w:val="000B1512"/>
    <w:rsid w:val="00201B35"/>
    <w:rsid w:val="0020696B"/>
    <w:rsid w:val="00206B95"/>
    <w:rsid w:val="00324D24"/>
    <w:rsid w:val="003E2E29"/>
    <w:rsid w:val="004D69F8"/>
    <w:rsid w:val="0054637D"/>
    <w:rsid w:val="00605976"/>
    <w:rsid w:val="00605FAE"/>
    <w:rsid w:val="00620A81"/>
    <w:rsid w:val="00661E05"/>
    <w:rsid w:val="00713E4A"/>
    <w:rsid w:val="007E05B1"/>
    <w:rsid w:val="00846807"/>
    <w:rsid w:val="00895A18"/>
    <w:rsid w:val="00902E8F"/>
    <w:rsid w:val="00904A97"/>
    <w:rsid w:val="009E5F19"/>
    <w:rsid w:val="00AB03B5"/>
    <w:rsid w:val="00AD4A7E"/>
    <w:rsid w:val="00B363E4"/>
    <w:rsid w:val="00B50505"/>
    <w:rsid w:val="00B70C0A"/>
    <w:rsid w:val="00BB16AF"/>
    <w:rsid w:val="00BB2BB1"/>
    <w:rsid w:val="00BB4851"/>
    <w:rsid w:val="00BD38A2"/>
    <w:rsid w:val="00C31640"/>
    <w:rsid w:val="00C97C21"/>
    <w:rsid w:val="00CB53BD"/>
    <w:rsid w:val="00D21136"/>
    <w:rsid w:val="00E81766"/>
    <w:rsid w:val="00F078AF"/>
    <w:rsid w:val="00F4574B"/>
    <w:rsid w:val="00F95E2B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F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640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640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316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3164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BB2BB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2B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2BB1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640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640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316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3164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BB2BB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2B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2BB1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ULg</cp:lastModifiedBy>
  <cp:revision>2</cp:revision>
  <dcterms:created xsi:type="dcterms:W3CDTF">2017-11-22T07:21:00Z</dcterms:created>
  <dcterms:modified xsi:type="dcterms:W3CDTF">2017-11-22T07:21:00Z</dcterms:modified>
</cp:coreProperties>
</file>