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6"/>
          <w:lang w:val="en-GB"/>
        </w:rPr>
      </w:pPr>
      <w:r>
        <w:rPr>
          <w:rFonts w:ascii="Arial" w:hAnsi="Arial" w:cs="Arial"/>
          <w:b/>
          <w:sz w:val="36"/>
          <w:lang w:val="en-GB"/>
        </w:rPr>
        <w:t>Hydro-mechanical study of MAVL nuclear waste repository galleries in Callovo-Oxfordian claystone</w:t>
      </w:r>
    </w:p>
    <w:p>
      <w:pPr>
        <w:rPr>
          <w:rFonts w:ascii="Arial" w:hAnsi="Arial" w:cs="Arial"/>
          <w:lang w:val="en-US"/>
        </w:rPr>
      </w:pPr>
    </w:p>
    <w:p>
      <w:pPr>
        <w:jc w:val="center"/>
        <w:rPr>
          <w:lang w:val="en-US"/>
        </w:rPr>
      </w:pPr>
      <w:r>
        <w:rPr>
          <w:lang w:val="en-GB"/>
        </w:rPr>
        <w:t>Albert Argilaga,</w:t>
      </w:r>
      <w:r>
        <w:rPr>
          <w:lang w:val="en-US"/>
        </w:rPr>
        <w:t xml:space="preserve"> </w:t>
      </w:r>
      <w:r>
        <w:rPr>
          <w:lang w:val="en-GB" w:eastAsia="en-GB"/>
        </w:rPr>
        <w:t>Université de Liège</w:t>
      </w:r>
      <w:r>
        <w:rPr>
          <w:lang w:val="en-GB"/>
        </w:rPr>
        <w:t xml:space="preserve"> (ArGEnCo Department)</w:t>
      </w:r>
      <w:r>
        <w:rPr>
          <w:lang w:val="en-US"/>
        </w:rPr>
        <w:t xml:space="preserve">, </w:t>
      </w:r>
      <w:r>
        <w:rPr>
          <w:rFonts w:hint="default"/>
          <w:lang w:val="en-US"/>
        </w:rPr>
        <w:t>A.Argilaga@ulg.ac.be</w:t>
      </w:r>
    </w:p>
    <w:p>
      <w:pPr>
        <w:jc w:val="center"/>
        <w:rPr>
          <w:rFonts w:hint="default"/>
          <w:lang w:val="en-US"/>
        </w:rPr>
      </w:pPr>
      <w:r>
        <w:rPr>
          <w:lang w:val="en-GB"/>
        </w:rPr>
        <w:t>Robert Charlier</w:t>
      </w:r>
      <w:r>
        <w:rPr>
          <w:lang w:val="en-US"/>
        </w:rPr>
        <w:t xml:space="preserve">, </w:t>
      </w:r>
      <w:r>
        <w:rPr>
          <w:lang w:val="en-GB" w:eastAsia="en-GB"/>
        </w:rPr>
        <w:t>Université de Liège</w:t>
      </w:r>
      <w:r>
        <w:rPr>
          <w:lang w:val="en-GB"/>
        </w:rPr>
        <w:t xml:space="preserve"> (ArGEnCo Department)</w:t>
      </w:r>
      <w:r>
        <w:rPr>
          <w:lang w:val="en-US"/>
        </w:rPr>
        <w:t xml:space="preserve">, </w:t>
      </w:r>
      <w:r>
        <w:rPr>
          <w:rFonts w:hint="default"/>
          <w:color w:val="auto"/>
          <w:u w:val="none"/>
          <w:lang w:val="en-US"/>
        </w:rPr>
        <w:t>Robert.Charlier@uliege.be</w:t>
      </w:r>
    </w:p>
    <w:p>
      <w:pPr>
        <w:jc w:val="center"/>
        <w:rPr>
          <w:rFonts w:hint="default"/>
          <w:lang w:val="en-US"/>
        </w:rPr>
      </w:pPr>
      <w:r>
        <w:rPr>
          <w:lang w:val="en-GB"/>
        </w:rPr>
        <w:t xml:space="preserve">Benjamin Cerfontaine, </w:t>
      </w:r>
      <w:r>
        <w:rPr>
          <w:lang w:val="en-GB" w:eastAsia="en-GB"/>
        </w:rPr>
        <w:t>Université de Liège</w:t>
      </w:r>
      <w:r>
        <w:rPr>
          <w:lang w:val="en-GB"/>
        </w:rPr>
        <w:t xml:space="preserve"> (ArGEnCo Department)</w:t>
      </w:r>
      <w:r>
        <w:rPr>
          <w:lang w:val="en-US"/>
        </w:rPr>
        <w:t xml:space="preserve">, </w:t>
      </w:r>
      <w:r>
        <w:rPr>
          <w:rFonts w:hint="default"/>
          <w:lang w:val="en-US"/>
        </w:rPr>
        <w:t>B.Cerfontaine@uliege.be</w:t>
      </w:r>
    </w:p>
    <w:p>
      <w:pPr>
        <w:jc w:val="center"/>
        <w:rPr>
          <w:rFonts w:hint="default"/>
          <w:lang w:val="en-US"/>
        </w:rPr>
      </w:pPr>
      <w:r>
        <w:rPr>
          <w:color w:val="000000"/>
          <w:shd w:val="clear" w:color="auto" w:fill="FDFDFD"/>
        </w:rPr>
        <w:t>Minh-Ngoc Vu</w:t>
      </w:r>
      <w:r>
        <w:rPr>
          <w:lang w:val="en-US"/>
        </w:rPr>
        <w:t xml:space="preserve">, </w:t>
      </w:r>
      <w:r>
        <w:rPr>
          <w:lang w:val="en-US" w:eastAsia="en-GB"/>
        </w:rPr>
        <w:t>ANDRA R&amp;D</w:t>
      </w:r>
      <w:r>
        <w:rPr>
          <w:lang w:val="en-US"/>
        </w:rPr>
        <w:t xml:space="preserve">, </w:t>
      </w:r>
      <w:r>
        <w:rPr>
          <w:rFonts w:hint="default"/>
          <w:color w:val="auto"/>
          <w:u w:val="none"/>
          <w:lang w:val="en-US"/>
        </w:rPr>
        <w:t>Minh-ngoc.VU@andra.fr</w:t>
      </w:r>
    </w:p>
    <w:p>
      <w:pPr>
        <w:jc w:val="center"/>
        <w:rPr>
          <w:lang w:val="en-US"/>
        </w:rPr>
      </w:pPr>
      <w:r>
        <w:rPr>
          <w:lang w:val="en-GB"/>
        </w:rPr>
        <w:t>Frédéric Collin</w:t>
      </w:r>
      <w:r>
        <w:rPr>
          <w:lang w:val="en-US"/>
        </w:rPr>
        <w:t xml:space="preserve">, </w:t>
      </w:r>
      <w:r>
        <w:rPr>
          <w:lang w:val="en-GB" w:eastAsia="en-GB"/>
        </w:rPr>
        <w:t>Université de Liège</w:t>
      </w:r>
      <w:r>
        <w:rPr>
          <w:lang w:val="en-GB"/>
        </w:rPr>
        <w:t xml:space="preserve"> (ArGEnCo Department)</w:t>
      </w:r>
      <w:r>
        <w:rPr>
          <w:lang w:val="en-US"/>
        </w:rPr>
        <w:t xml:space="preserve">, </w:t>
      </w:r>
      <w:r>
        <w:rPr>
          <w:rFonts w:hint="default"/>
          <w:lang w:val="en-US"/>
        </w:rPr>
        <w:t>F.Collin@uliege.be</w:t>
      </w:r>
    </w:p>
    <w:p>
      <w:pPr>
        <w:jc w:val="both"/>
        <w:rPr>
          <w:rFonts w:ascii="Arial" w:hAnsi="Arial" w:cs="Arial"/>
          <w:lang w:val="en-US"/>
        </w:rPr>
      </w:pPr>
    </w:p>
    <w:p>
      <w:pPr>
        <w:jc w:val="both"/>
        <w:rPr>
          <w:rFonts w:ascii="Arial" w:hAnsi="Arial" w:cs="Arial"/>
          <w:lang w:val="en-US"/>
        </w:rPr>
      </w:pPr>
    </w:p>
    <w:p>
      <w:pPr>
        <w:pStyle w:val="14"/>
        <w:rPr>
          <w:rFonts w:ascii="Arial" w:hAnsi="Arial" w:cs="Arial" w:eastAsiaTheme="minorHAnsi"/>
          <w:sz w:val="24"/>
          <w:szCs w:val="24"/>
          <w:lang w:val="en-GB" w:eastAsia="en-GB" w:bidi="ar-SA"/>
        </w:rPr>
      </w:pPr>
      <w:r>
        <w:rPr>
          <w:rFonts w:ascii="Arial" w:hAnsi="Arial" w:cs="Arial" w:eastAsiaTheme="minorHAnsi"/>
          <w:sz w:val="24"/>
          <w:szCs w:val="24"/>
          <w:lang w:val="en-GB" w:eastAsia="en-GB" w:bidi="ar-SA"/>
        </w:rPr>
        <w:t xml:space="preserve">The disposal of radioactive waste in deep underground repositories has been studied for a long while (OECD/NEA, 1995). Argillaceous rocks </w:t>
      </w:r>
      <w:r>
        <w:rPr>
          <w:rFonts w:ascii="Arial" w:hAnsi="Arial" w:cs="Arial"/>
          <w:sz w:val="24"/>
          <w:szCs w:val="24"/>
          <w:lang w:val="en-US" w:eastAsia="en-GB" w:bidi="ar-SA"/>
        </w:rPr>
        <w:t>have been found to be</w:t>
      </w:r>
      <w:r>
        <w:rPr>
          <w:rFonts w:ascii="Arial" w:hAnsi="Arial" w:cs="Arial" w:eastAsiaTheme="minorHAnsi"/>
          <w:sz w:val="24"/>
          <w:szCs w:val="24"/>
          <w:lang w:val="en-GB" w:eastAsia="en-GB" w:bidi="ar-SA"/>
        </w:rPr>
        <w:t xml:space="preserve"> good candidates to host the repositories because of their low permeability and the ability to absorb radionuclides. In France, the Callovo-Oxfordian argillite (COX) has been chosen by the national agency ANDRA to be the host rock to store the radioactive waste.</w:t>
      </w:r>
    </w:p>
    <w:p>
      <w:pPr>
        <w:pStyle w:val="14"/>
        <w:rPr>
          <w:rFonts w:ascii="Arial" w:hAnsi="Arial" w:cs="Arial" w:eastAsiaTheme="minorHAnsi"/>
          <w:sz w:val="24"/>
          <w:szCs w:val="24"/>
          <w:lang w:val="en-GB" w:eastAsia="en-GB" w:bidi="ar-SA"/>
        </w:rPr>
      </w:pPr>
    </w:p>
    <w:p>
      <w:pPr>
        <w:pStyle w:val="14"/>
        <w:rPr>
          <w:rFonts w:ascii="Arial" w:hAnsi="Arial" w:cs="Arial" w:eastAsiaTheme="minorHAnsi"/>
          <w:sz w:val="24"/>
          <w:szCs w:val="24"/>
          <w:lang w:val="en-GB" w:eastAsia="en-GB" w:bidi="ar-SA"/>
        </w:rPr>
      </w:pPr>
      <w:r>
        <w:rPr>
          <w:rFonts w:ascii="Arial" w:hAnsi="Arial" w:cs="Arial" w:eastAsiaTheme="minorHAnsi"/>
          <w:sz w:val="24"/>
          <w:szCs w:val="24"/>
          <w:lang w:val="en-GB" w:eastAsia="en-GB" w:bidi="ar-SA"/>
        </w:rPr>
        <w:t>During the previous years, the problem of gallery excavations in the COX host rock has been the case of study in Liège</w:t>
      </w:r>
      <w:r>
        <w:rPr>
          <w:rFonts w:ascii="Arial" w:hAnsi="Arial" w:cs="Arial"/>
          <w:sz w:val="24"/>
          <w:szCs w:val="24"/>
          <w:lang w:val="en-US" w:eastAsia="en-GB" w:bidi="ar-SA"/>
        </w:rPr>
        <w:t xml:space="preserve"> University</w:t>
      </w:r>
      <w:r>
        <w:rPr>
          <w:rFonts w:ascii="Arial" w:hAnsi="Arial" w:cs="Arial" w:eastAsiaTheme="minorHAnsi"/>
          <w:sz w:val="24"/>
          <w:szCs w:val="24"/>
          <w:lang w:val="en-GB" w:eastAsia="en-GB" w:bidi="ar-SA"/>
        </w:rPr>
        <w:t>. The problem, involving strain localization, is not well posed when modelled using classical theories</w:t>
      </w:r>
      <w:r>
        <w:rPr>
          <w:rFonts w:ascii="Arial" w:hAnsi="Arial" w:cs="Arial"/>
          <w:sz w:val="24"/>
          <w:szCs w:val="24"/>
          <w:lang w:val="en-US" w:eastAsia="en-GB" w:bidi="ar-SA"/>
        </w:rPr>
        <w:t>;</w:t>
      </w:r>
      <w:r>
        <w:rPr>
          <w:rFonts w:ascii="Arial" w:hAnsi="Arial" w:cs="Arial" w:eastAsiaTheme="minorHAnsi"/>
          <w:sz w:val="24"/>
          <w:szCs w:val="24"/>
          <w:lang w:val="en-GB" w:eastAsia="en-GB" w:bidi="ar-SA"/>
        </w:rPr>
        <w:t xml:space="preserve"> a microstructured model is </w:t>
      </w:r>
      <w:r>
        <w:rPr>
          <w:rFonts w:ascii="Arial" w:hAnsi="Arial" w:cs="Arial"/>
          <w:sz w:val="24"/>
          <w:szCs w:val="24"/>
          <w:lang w:val="en-US" w:eastAsia="en-GB" w:bidi="ar-SA"/>
        </w:rPr>
        <w:t>proposed</w:t>
      </w:r>
      <w:r>
        <w:rPr>
          <w:rFonts w:ascii="Arial" w:hAnsi="Arial" w:cs="Arial" w:eastAsiaTheme="minorHAnsi"/>
          <w:sz w:val="24"/>
          <w:szCs w:val="24"/>
          <w:lang w:val="en-GB" w:eastAsia="en-GB" w:bidi="ar-SA"/>
        </w:rPr>
        <w:t>: local Second Gradient (Collin et al. 2006), this avoids the pathological mesh dependency by introducing an internal length that regularizes the problem.</w:t>
      </w:r>
    </w:p>
    <w:p>
      <w:pPr>
        <w:pStyle w:val="14"/>
        <w:rPr>
          <w:rFonts w:ascii="Arial" w:hAnsi="Arial" w:cs="Arial"/>
          <w:sz w:val="24"/>
          <w:szCs w:val="24"/>
          <w:lang w:val="en-US" w:eastAsia="en-GB" w:bidi="ar-SA"/>
        </w:rPr>
      </w:pPr>
    </w:p>
    <w:p>
      <w:pPr>
        <w:pStyle w:val="14"/>
        <w:rPr>
          <w:rFonts w:ascii="Arial" w:hAnsi="Arial" w:cs="Arial" w:eastAsiaTheme="minorHAnsi"/>
          <w:sz w:val="24"/>
          <w:szCs w:val="24"/>
          <w:lang w:val="en-US" w:eastAsia="en-GB" w:bidi="ar-SA"/>
        </w:rPr>
      </w:pPr>
      <w:r>
        <w:rPr>
          <w:rFonts w:ascii="Arial" w:hAnsi="Arial" w:cs="Arial"/>
          <w:sz w:val="24"/>
          <w:szCs w:val="24"/>
          <w:lang w:val="en-US" w:eastAsia="en-GB" w:bidi="ar-SA"/>
        </w:rPr>
        <w:t xml:space="preserve">At the present time, the model takes into account several transverse anisotropies, e.g. </w:t>
      </w:r>
      <w:r>
        <w:rPr>
          <w:rFonts w:ascii="Arial" w:hAnsi="Arial" w:cs="Arial" w:eastAsiaTheme="minorHAnsi"/>
          <w:sz w:val="24"/>
          <w:szCs w:val="24"/>
          <w:lang w:val="en-GB" w:eastAsia="en-GB" w:bidi="ar-SA"/>
        </w:rPr>
        <w:t>cohesion (Pietruszczak et al. 2002)</w:t>
      </w:r>
      <w:r>
        <w:rPr>
          <w:rFonts w:ascii="Arial" w:hAnsi="Arial" w:cs="Arial"/>
          <w:sz w:val="24"/>
          <w:szCs w:val="24"/>
          <w:lang w:val="en-US" w:eastAsia="en-GB" w:bidi="ar-SA"/>
        </w:rPr>
        <w:t xml:space="preserve">, a </w:t>
      </w:r>
      <w:r>
        <w:rPr>
          <w:rFonts w:ascii="Arial" w:hAnsi="Arial" w:cs="Arial" w:eastAsiaTheme="minorHAnsi"/>
          <w:sz w:val="24"/>
          <w:szCs w:val="24"/>
          <w:lang w:val="en-GB" w:eastAsia="en-GB" w:bidi="ar-SA"/>
        </w:rPr>
        <w:t xml:space="preserve"> visco-plastic model</w:t>
      </w:r>
      <w:r>
        <w:rPr>
          <w:rFonts w:ascii="Arial" w:hAnsi="Arial" w:cs="Arial"/>
          <w:sz w:val="24"/>
          <w:szCs w:val="24"/>
          <w:lang w:val="en-US" w:eastAsia="en-GB" w:bidi="ar-SA"/>
        </w:rPr>
        <w:t xml:space="preserve"> is retained to model the long term convergence, finally, a permeability evolution model allows to correlate strain localization and permeability increase </w:t>
      </w:r>
      <w:r>
        <w:rPr>
          <w:rFonts w:ascii="Arial" w:hAnsi="Arial" w:cs="Arial" w:eastAsiaTheme="minorHAnsi"/>
          <w:sz w:val="24"/>
          <w:szCs w:val="24"/>
          <w:lang w:val="en-GB" w:eastAsia="en-GB" w:bidi="ar-SA"/>
        </w:rPr>
        <w:t>(Pardoen et al. 2016).</w:t>
      </w:r>
    </w:p>
    <w:p>
      <w:pPr>
        <w:pStyle w:val="14"/>
        <w:rPr>
          <w:rFonts w:ascii="Arial" w:hAnsi="Arial" w:cs="Arial" w:eastAsiaTheme="minorHAnsi"/>
          <w:sz w:val="24"/>
          <w:szCs w:val="24"/>
          <w:lang w:val="en-GB" w:eastAsia="en-GB" w:bidi="ar-SA"/>
        </w:rPr>
      </w:pPr>
    </w:p>
    <w:p>
      <w:pPr>
        <w:pStyle w:val="14"/>
        <w:rPr>
          <w:rFonts w:ascii="Arial" w:hAnsi="Arial" w:cs="Arial"/>
          <w:sz w:val="24"/>
          <w:szCs w:val="24"/>
          <w:lang w:val="en-US" w:eastAsia="en-GB" w:bidi="ar-SA"/>
        </w:rPr>
      </w:pPr>
      <w:r>
        <w:rPr>
          <w:rFonts w:ascii="Arial" w:hAnsi="Arial" w:cs="Arial"/>
          <w:sz w:val="24"/>
          <w:szCs w:val="24"/>
          <w:lang w:val="en-US" w:eastAsia="en-GB" w:bidi="ar-SA"/>
        </w:rPr>
        <w:t>The purpose of this work is to model the long term behaviour of the MAVL galleries (100 years) with a special focus on the localisation extent, effect of ventilation, displacements and concrete stress state. Results (Figure 1) show an important effect of the supporting structure on the problem, the compressible wedges determine the localization mode by triggering the shear bands.  Results also show a high sensitivity to the viscosity parameters.</w:t>
      </w:r>
    </w:p>
    <w:p>
      <w:pPr>
        <w:rPr>
          <w:rFonts w:ascii="Arial" w:hAnsi="Arial" w:cs="Arial"/>
          <w:lang w:eastAsia="en-GB"/>
        </w:rPr>
      </w:pPr>
    </w:p>
    <w:p>
      <w:pPr>
        <w:keepNext/>
        <w:jc w:val="center"/>
      </w:pPr>
      <w:r>
        <w:drawing>
          <wp:inline distT="0" distB="0" distL="114300" distR="114300">
            <wp:extent cx="2468245" cy="2041525"/>
            <wp:effectExtent l="0" t="0" r="635" b="63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pic:cNvPicPr>
                  </pic:nvPicPr>
                  <pic:blipFill>
                    <a:blip r:embed="rId5"/>
                    <a:srcRect l="2755" t="226" r="17052" b="5685"/>
                    <a:stretch>
                      <a:fillRect/>
                    </a:stretch>
                  </pic:blipFill>
                  <pic:spPr>
                    <a:xfrm>
                      <a:off x="0" y="0"/>
                      <a:ext cx="2468245" cy="2041525"/>
                    </a:xfrm>
                    <a:prstGeom prst="rect">
                      <a:avLst/>
                    </a:prstGeom>
                  </pic:spPr>
                </pic:pic>
              </a:graphicData>
            </a:graphic>
          </wp:inline>
        </w:drawing>
      </w:r>
    </w:p>
    <w:p>
      <w:pPr>
        <w:pStyle w:val="3"/>
        <w:jc w:val="center"/>
        <w:rPr>
          <w:rFonts w:ascii="Arial" w:hAnsi="Arial" w:cs="Arial"/>
          <w:color w:val="auto"/>
          <w:sz w:val="20"/>
          <w:szCs w:val="20"/>
        </w:rPr>
      </w:pPr>
      <w:r>
        <w:rPr>
          <w:rFonts w:ascii="Arial" w:hAnsi="Arial" w:cs="Arial"/>
          <w:color w:val="auto"/>
          <w:sz w:val="20"/>
          <w:szCs w:val="20"/>
        </w:rPr>
        <w:t xml:space="preserve">Figure </w:t>
      </w:r>
      <w:r>
        <w:rPr>
          <w:rFonts w:ascii="Arial" w:hAnsi="Arial" w:cs="Arial"/>
          <w:color w:val="auto"/>
          <w:sz w:val="20"/>
          <w:szCs w:val="20"/>
        </w:rPr>
        <w:fldChar w:fldCharType="begin"/>
      </w:r>
      <w:r>
        <w:rPr>
          <w:rFonts w:ascii="Arial" w:hAnsi="Arial" w:cs="Arial"/>
          <w:color w:val="auto"/>
          <w:sz w:val="20"/>
          <w:szCs w:val="20"/>
        </w:rPr>
        <w:instrText xml:space="preserve"> SEQ Figure \* ARABIC </w:instrText>
      </w:r>
      <w:r>
        <w:rPr>
          <w:rFonts w:ascii="Arial" w:hAnsi="Arial" w:cs="Arial"/>
          <w:color w:val="auto"/>
          <w:sz w:val="20"/>
          <w:szCs w:val="20"/>
        </w:rPr>
        <w:fldChar w:fldCharType="separate"/>
      </w:r>
      <w:r>
        <w:rPr>
          <w:rFonts w:ascii="Arial" w:hAnsi="Arial" w:cs="Arial"/>
          <w:color w:val="auto"/>
          <w:sz w:val="20"/>
          <w:szCs w:val="20"/>
        </w:rPr>
        <w:t>1</w:t>
      </w:r>
      <w:r>
        <w:rPr>
          <w:rFonts w:ascii="Arial" w:hAnsi="Arial" w:cs="Arial"/>
          <w:color w:val="auto"/>
          <w:sz w:val="20"/>
          <w:szCs w:val="20"/>
        </w:rPr>
        <w:fldChar w:fldCharType="end"/>
      </w:r>
      <w:r>
        <w:rPr>
          <w:rFonts w:ascii="Arial" w:hAnsi="Arial" w:cs="Arial"/>
          <w:color w:val="auto"/>
          <w:sz w:val="20"/>
          <w:szCs w:val="20"/>
        </w:rPr>
        <w:t xml:space="preserve">: </w:t>
      </w:r>
      <w:r>
        <w:rPr>
          <w:rFonts w:ascii="Arial" w:hAnsi="Arial" w:cs="Arial"/>
          <w:color w:val="auto"/>
          <w:sz w:val="20"/>
          <w:szCs w:val="20"/>
          <w:lang w:val="en-GB"/>
        </w:rPr>
        <w:t>Vertical effective stress in the MAVL gallery.</w:t>
      </w:r>
      <w:r>
        <w:rPr>
          <w:rFonts w:ascii="Arial" w:hAnsi="Arial" w:cs="Arial"/>
          <w:color w:val="auto"/>
          <w:sz w:val="20"/>
          <w:szCs w:val="20"/>
        </w:rPr>
        <w:t xml:space="preserve"> </w:t>
      </w:r>
      <w:bookmarkStart w:id="0" w:name="_GoBack"/>
      <w:bookmarkEnd w:id="0"/>
    </w:p>
    <w:p>
      <w:pPr>
        <w:jc w:val="both"/>
        <w:rPr>
          <w:rFonts w:ascii="Arial" w:hAnsi="Arial" w:cs="Arial"/>
          <w:shd w:val="clear" w:color="auto" w:fill="F7F7F7"/>
        </w:rPr>
      </w:pPr>
    </w:p>
    <w:p>
      <w:pPr>
        <w:jc w:val="both"/>
        <w:rPr>
          <w:rFonts w:ascii="Arial" w:hAnsi="Arial" w:cs="Arial"/>
          <w:lang w:val="en-US"/>
        </w:rPr>
      </w:pPr>
      <w:r>
        <w:rPr>
          <w:rFonts w:ascii="Arial" w:hAnsi="Arial" w:cs="Arial"/>
          <w:u w:val="single"/>
          <w:lang w:val="en-US"/>
        </w:rPr>
        <w:t>References</w:t>
      </w:r>
      <w:r>
        <w:rPr>
          <w:rFonts w:ascii="Arial" w:hAnsi="Arial" w:cs="Arial"/>
          <w:lang w:val="en-US"/>
        </w:rPr>
        <w:t>:</w:t>
      </w:r>
    </w:p>
    <w:p>
      <w:pPr>
        <w:pStyle w:val="14"/>
        <w:rPr>
          <w:lang w:val="en-GB"/>
        </w:rPr>
      </w:pPr>
    </w:p>
    <w:p>
      <w:pPr>
        <w:pStyle w:val="14"/>
        <w:jc w:val="both"/>
        <w:rPr>
          <w:rFonts w:ascii="Arial" w:hAnsi="Arial" w:cs="Arial" w:eastAsiaTheme="minorHAnsi"/>
          <w:sz w:val="24"/>
          <w:szCs w:val="24"/>
          <w:lang w:val="en-GB" w:eastAsia="en-US" w:bidi="ar-SA"/>
        </w:rPr>
      </w:pPr>
      <w:r>
        <w:rPr>
          <w:rFonts w:ascii="Arial" w:hAnsi="Arial" w:cs="Arial" w:eastAsiaTheme="minorHAnsi"/>
          <w:sz w:val="24"/>
          <w:szCs w:val="24"/>
          <w:lang w:val="en-GB" w:eastAsia="en-US" w:bidi="ar-SA"/>
        </w:rPr>
        <w:t>Collin F, Chambon R, Charlier R (2006) A finite element method for poro mechanical modelling of geotechnical problems using local second gradient models. Int J Numer Meth Eng 65(11):1749–1772</w:t>
      </w:r>
    </w:p>
    <w:p>
      <w:pPr>
        <w:pStyle w:val="14"/>
        <w:jc w:val="both"/>
        <w:rPr>
          <w:rFonts w:ascii="Arial" w:hAnsi="Arial" w:cs="Arial" w:eastAsiaTheme="minorHAnsi"/>
          <w:sz w:val="24"/>
          <w:szCs w:val="24"/>
          <w:lang w:val="en-GB" w:eastAsia="en-US" w:bidi="ar-SA"/>
        </w:rPr>
      </w:pPr>
    </w:p>
    <w:p>
      <w:pPr>
        <w:pStyle w:val="14"/>
        <w:jc w:val="both"/>
        <w:rPr>
          <w:rFonts w:ascii="Arial" w:hAnsi="Arial" w:cs="Arial" w:eastAsiaTheme="minorHAnsi"/>
          <w:sz w:val="24"/>
          <w:szCs w:val="24"/>
          <w:lang w:val="en-GB" w:eastAsia="en-US" w:bidi="ar-SA"/>
        </w:rPr>
      </w:pPr>
      <w:r>
        <w:rPr>
          <w:rFonts w:ascii="Arial" w:hAnsi="Arial" w:cs="Arial" w:eastAsiaTheme="minorHAnsi"/>
          <w:sz w:val="24"/>
          <w:szCs w:val="24"/>
          <w:lang w:val="en-GB" w:eastAsia="en-US" w:bidi="ar-SA"/>
        </w:rPr>
        <w:t>OECD/NEA (1995). The environmental and ethical basis of geological disposal of longlived</w:t>
      </w:r>
      <w:r>
        <w:rPr>
          <w:rFonts w:ascii="Arial" w:hAnsi="Arial" w:cs="Arial"/>
          <w:sz w:val="24"/>
          <w:szCs w:val="24"/>
          <w:lang w:val="en-GB" w:eastAsia="en-US" w:bidi="ar-SA"/>
        </w:rPr>
        <w:t xml:space="preserve"> </w:t>
      </w:r>
      <w:r>
        <w:rPr>
          <w:rFonts w:ascii="Arial" w:hAnsi="Arial" w:cs="Arial" w:eastAsiaTheme="minorHAnsi"/>
          <w:sz w:val="24"/>
          <w:szCs w:val="24"/>
          <w:lang w:val="en-GB" w:eastAsia="en-US" w:bidi="ar-SA"/>
        </w:rPr>
        <w:t>radioactive wastes. A collective opinion of the Radioactive Waste Management Committee of the OECD Nuclear Energy Agency. Technical report, OECD – Nuclear Energy Agency.</w:t>
      </w:r>
    </w:p>
    <w:p>
      <w:pPr>
        <w:pStyle w:val="14"/>
        <w:jc w:val="both"/>
        <w:rPr>
          <w:rFonts w:ascii="Arial" w:hAnsi="Arial" w:cs="Arial" w:eastAsiaTheme="minorHAnsi"/>
          <w:sz w:val="24"/>
          <w:szCs w:val="24"/>
          <w:lang w:val="en-GB" w:eastAsia="en-US" w:bidi="ar-SA"/>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eastAsiaTheme="minorHAnsi"/>
          <w:sz w:val="24"/>
          <w:szCs w:val="24"/>
          <w:lang w:val="en-US" w:eastAsia="en-US" w:bidi="ar-SA"/>
        </w:rPr>
      </w:pPr>
      <w:r>
        <w:rPr>
          <w:rFonts w:ascii="Arial" w:hAnsi="Arial" w:cs="Arial" w:eastAsiaTheme="minorHAnsi"/>
          <w:sz w:val="24"/>
          <w:szCs w:val="24"/>
          <w:lang w:val="en-US" w:eastAsia="en-US" w:bidi="ar-SA"/>
        </w:rPr>
        <w:t>Pardoen B, Talandier J, Collin F (2016), Permeability evolution and water transfer in the excavation damaged zone of a ventilated gallery, International Journal of Rock Mechanics and Mining Sciences 85, 192-208</w:t>
      </w:r>
    </w:p>
    <w:p>
      <w:pPr>
        <w:pStyle w:val="14"/>
        <w:jc w:val="both"/>
        <w:rPr>
          <w:rFonts w:ascii="Arial" w:hAnsi="Arial" w:cs="Arial" w:eastAsiaTheme="minorHAnsi"/>
          <w:sz w:val="24"/>
          <w:szCs w:val="24"/>
          <w:lang w:val="en-GB" w:eastAsia="en-US" w:bidi="ar-SA"/>
        </w:rPr>
      </w:pPr>
    </w:p>
    <w:p>
      <w:pPr>
        <w:pStyle w:val="14"/>
        <w:jc w:val="both"/>
        <w:rPr>
          <w:rFonts w:ascii="Arial" w:hAnsi="Arial" w:cs="Arial" w:eastAsiaTheme="minorHAnsi"/>
          <w:sz w:val="24"/>
          <w:szCs w:val="24"/>
          <w:lang w:val="en-GB" w:eastAsia="en-US" w:bidi="ar-SA"/>
        </w:rPr>
      </w:pPr>
      <w:r>
        <w:rPr>
          <w:rFonts w:ascii="Arial" w:hAnsi="Arial" w:cs="Arial" w:eastAsiaTheme="minorHAnsi"/>
          <w:sz w:val="24"/>
          <w:szCs w:val="24"/>
          <w:lang w:val="en-GB" w:eastAsia="en-US" w:bidi="ar-SA"/>
        </w:rPr>
        <w:t>Pietruszczak S, Lydzba D, Shao JF (2002) Modelling of inherent anisotropy in sedimentary rocks. Int J Solids Struct 39:637–648</w:t>
      </w:r>
    </w:p>
    <w:p>
      <w:pPr>
        <w:jc w:val="both"/>
        <w:rPr>
          <w:rFonts w:ascii="Arial" w:hAnsi="Arial" w:cs="Arial"/>
          <w:lang w:val="en-US"/>
        </w:rPr>
      </w:pPr>
    </w:p>
    <w:p>
      <w:pPr>
        <w:jc w:val="both"/>
        <w:rPr>
          <w:rFonts w:ascii="Arial" w:hAnsi="Arial" w:cs="Arial"/>
          <w:lang w:val="en-US"/>
        </w:rPr>
      </w:pPr>
    </w:p>
    <w:sectPr>
      <w:headerReference r:id="rId3" w:type="default"/>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Lucida Sans">
    <w:panose1 w:val="020B0602030504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SourceSansPro 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b/>
        <w:lang w:val="en-US"/>
      </w:rPr>
    </w:pPr>
    <w:r>
      <w:rPr>
        <w:b/>
        <w:lang w:val="en-US"/>
      </w:rPr>
      <w:t>Second International Workshop on the Finite Element Code LAGAMINE (LAGASHOP 2018)</w:t>
    </w:r>
  </w:p>
  <w:p>
    <w:pPr>
      <w:pStyle w:val="5"/>
      <w:rPr>
        <w:lang w:val="en-US"/>
      </w:rPr>
    </w:pPr>
    <w:r>
      <w:rPr>
        <w:lang w:val="en-US"/>
      </w:rPr>
      <w:t>31 January – 2 February 2018 | Delft University of Technology</w:t>
    </w:r>
  </w:p>
  <w:p>
    <w:pPr>
      <w:pStyle w:val="5"/>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46"/>
    <w:rsid w:val="00091343"/>
    <w:rsid w:val="000961FC"/>
    <w:rsid w:val="000D0570"/>
    <w:rsid w:val="00110772"/>
    <w:rsid w:val="00197BC2"/>
    <w:rsid w:val="001C4618"/>
    <w:rsid w:val="001F729D"/>
    <w:rsid w:val="00274350"/>
    <w:rsid w:val="0028086D"/>
    <w:rsid w:val="003C6B6B"/>
    <w:rsid w:val="003C7612"/>
    <w:rsid w:val="003F3379"/>
    <w:rsid w:val="00405DC4"/>
    <w:rsid w:val="00440A92"/>
    <w:rsid w:val="00455A34"/>
    <w:rsid w:val="004A50ED"/>
    <w:rsid w:val="004F134A"/>
    <w:rsid w:val="00550EB9"/>
    <w:rsid w:val="005F57D4"/>
    <w:rsid w:val="007324B5"/>
    <w:rsid w:val="00734C14"/>
    <w:rsid w:val="00746BB3"/>
    <w:rsid w:val="00763376"/>
    <w:rsid w:val="00783B72"/>
    <w:rsid w:val="007C438A"/>
    <w:rsid w:val="007E6C6A"/>
    <w:rsid w:val="00840789"/>
    <w:rsid w:val="00842CE9"/>
    <w:rsid w:val="008A6C62"/>
    <w:rsid w:val="008B0418"/>
    <w:rsid w:val="008C0491"/>
    <w:rsid w:val="009128F0"/>
    <w:rsid w:val="00936FC4"/>
    <w:rsid w:val="00963BF9"/>
    <w:rsid w:val="0097278B"/>
    <w:rsid w:val="009A00A7"/>
    <w:rsid w:val="00A87D21"/>
    <w:rsid w:val="00AD603F"/>
    <w:rsid w:val="00BA5E46"/>
    <w:rsid w:val="00BD6B0F"/>
    <w:rsid w:val="00BD7931"/>
    <w:rsid w:val="00C17C90"/>
    <w:rsid w:val="00C32B3E"/>
    <w:rsid w:val="00C347BD"/>
    <w:rsid w:val="00C4715A"/>
    <w:rsid w:val="00C66DD7"/>
    <w:rsid w:val="00C83731"/>
    <w:rsid w:val="00C9226A"/>
    <w:rsid w:val="00CA2227"/>
    <w:rsid w:val="00D35485"/>
    <w:rsid w:val="00E17728"/>
    <w:rsid w:val="00E234D2"/>
    <w:rsid w:val="00E34118"/>
    <w:rsid w:val="00E70623"/>
    <w:rsid w:val="00E940C9"/>
    <w:rsid w:val="00EC221E"/>
    <w:rsid w:val="00EE2132"/>
    <w:rsid w:val="00EF2733"/>
    <w:rsid w:val="00F027D0"/>
    <w:rsid w:val="00F20454"/>
    <w:rsid w:val="00F43E25"/>
    <w:rsid w:val="00F44B43"/>
    <w:rsid w:val="00F96104"/>
    <w:rsid w:val="00FA5C17"/>
    <w:rsid w:val="00FE0FF7"/>
    <w:rsid w:val="00FE31FC"/>
    <w:rsid w:val="00FF0288"/>
    <w:rsid w:val="0A2039AD"/>
    <w:rsid w:val="0E5B47F1"/>
    <w:rsid w:val="25DD1023"/>
    <w:rsid w:val="3F2439F5"/>
    <w:rsid w:val="51DC3588"/>
    <w:rsid w:val="575D1EEE"/>
    <w:rsid w:val="66976DAA"/>
    <w:rsid w:val="787A3275"/>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GB" w:eastAsia="en-US"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rFonts w:ascii="Tahoma" w:hAnsi="Tahoma" w:cs="Tahoma"/>
      <w:sz w:val="16"/>
      <w:szCs w:val="16"/>
    </w:rPr>
  </w:style>
  <w:style w:type="paragraph" w:styleId="3">
    <w:name w:val="caption"/>
    <w:basedOn w:val="1"/>
    <w:next w:val="1"/>
    <w:unhideWhenUsed/>
    <w:qFormat/>
    <w:uiPriority w:val="35"/>
    <w:pPr>
      <w:spacing w:after="200"/>
    </w:pPr>
    <w:rPr>
      <w:b/>
      <w:bCs/>
      <w:color w:val="4472C4" w:themeColor="accent1"/>
      <w:sz w:val="18"/>
      <w:szCs w:val="18"/>
      <w14:textFill>
        <w14:solidFill>
          <w14:schemeClr w14:val="accent1"/>
        </w14:solidFill>
      </w14:textFill>
    </w:rPr>
  </w:style>
  <w:style w:type="paragraph" w:styleId="4">
    <w:name w:val="footer"/>
    <w:basedOn w:val="1"/>
    <w:link w:val="10"/>
    <w:unhideWhenUsed/>
    <w:qFormat/>
    <w:uiPriority w:val="99"/>
    <w:pPr>
      <w:tabs>
        <w:tab w:val="center" w:pos="4680"/>
        <w:tab w:val="right" w:pos="9360"/>
      </w:tabs>
    </w:pPr>
  </w:style>
  <w:style w:type="paragraph" w:styleId="5">
    <w:name w:val="header"/>
    <w:basedOn w:val="1"/>
    <w:link w:val="9"/>
    <w:unhideWhenUsed/>
    <w:qFormat/>
    <w:uiPriority w:val="99"/>
    <w:pPr>
      <w:tabs>
        <w:tab w:val="center" w:pos="4680"/>
        <w:tab w:val="right" w:pos="9360"/>
      </w:tabs>
    </w:pPr>
  </w:style>
  <w:style w:type="character" w:styleId="7">
    <w:name w:val="Hyperlink"/>
    <w:basedOn w:val="6"/>
    <w:unhideWhenUsed/>
    <w:qFormat/>
    <w:uiPriority w:val="99"/>
    <w:rPr>
      <w:color w:val="0000FF"/>
      <w:u w:val="single"/>
    </w:rPr>
  </w:style>
  <w:style w:type="character" w:customStyle="1" w:styleId="9">
    <w:name w:val="Header Char"/>
    <w:basedOn w:val="6"/>
    <w:link w:val="5"/>
    <w:uiPriority w:val="99"/>
  </w:style>
  <w:style w:type="character" w:customStyle="1" w:styleId="10">
    <w:name w:val="Footer Char"/>
    <w:basedOn w:val="6"/>
    <w:link w:val="4"/>
    <w:qFormat/>
    <w:uiPriority w:val="99"/>
  </w:style>
  <w:style w:type="character" w:customStyle="1" w:styleId="11">
    <w:name w:val="Balloon Text Char"/>
    <w:basedOn w:val="6"/>
    <w:link w:val="2"/>
    <w:semiHidden/>
    <w:uiPriority w:val="99"/>
    <w:rPr>
      <w:rFonts w:ascii="Tahoma" w:hAnsi="Tahoma" w:cs="Tahoma"/>
      <w:sz w:val="16"/>
      <w:szCs w:val="16"/>
    </w:rPr>
  </w:style>
  <w:style w:type="character" w:customStyle="1" w:styleId="12">
    <w:name w:val="apple-converted-space"/>
    <w:basedOn w:val="6"/>
    <w:qFormat/>
    <w:uiPriority w:val="0"/>
  </w:style>
  <w:style w:type="paragraph" w:customStyle="1" w:styleId="13">
    <w:name w:val="List Paragraph"/>
    <w:basedOn w:val="1"/>
    <w:qFormat/>
    <w:uiPriority w:val="34"/>
    <w:pPr>
      <w:ind w:left="720"/>
      <w:contextualSpacing/>
    </w:pPr>
  </w:style>
  <w:style w:type="paragraph" w:customStyle="1" w:styleId="14">
    <w:name w:val="No Spacing"/>
    <w:qFormat/>
    <w:uiPriority w:val="1"/>
    <w:pPr>
      <w:spacing w:after="0" w:line="240" w:lineRule="auto"/>
      <w:jc w:val="both"/>
    </w:pPr>
    <w:rPr>
      <w:rFonts w:ascii="Cambria" w:hAnsi="Cambria"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85801B-B2AB-FE4F-9880-AB513725A54F}">
  <ds:schemaRefs/>
</ds:datastoreItem>
</file>

<file path=docProps/app.xml><?xml version="1.0" encoding="utf-8"?>
<Properties xmlns="http://schemas.openxmlformats.org/officeDocument/2006/extended-properties" xmlns:vt="http://schemas.openxmlformats.org/officeDocument/2006/docPropsVTypes">
  <Template>Normal.dotm</Template>
  <Company>TU Delft</Company>
  <Pages>1</Pages>
  <Words>116</Words>
  <Characters>637</Characters>
  <Lines>42</Lines>
  <Paragraphs>24</Paragraphs>
  <ScaleCrop>false</ScaleCrop>
  <LinksUpToDate>false</LinksUpToDate>
  <CharactersWithSpaces>729</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2017-09-01T14:16:00Z</dcterms:created>
  <dc:creator>Microsoft Office User</dc:creator>
  <cp:lastModifiedBy>argil</cp:lastModifiedBy>
  <dcterms:modified xsi:type="dcterms:W3CDTF">2017-10-31T08:54:58Z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2057-10.2.0.5934</vt:lpwstr>
  </property>
</Properties>
</file>