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2F58A" w14:textId="77777777" w:rsidR="00A75543" w:rsidRDefault="00A75543" w:rsidP="003976FA">
      <w:pPr>
        <w:spacing w:after="120" w:line="240" w:lineRule="auto"/>
        <w:jc w:val="center"/>
        <w:rPr>
          <w:rFonts w:ascii="Times New Roman" w:hAnsi="Times New Roman" w:cs="Times New Roman"/>
          <w:b/>
          <w:sz w:val="20"/>
          <w:szCs w:val="20"/>
        </w:rPr>
      </w:pPr>
      <w:bookmarkStart w:id="0" w:name="_GoBack"/>
      <w:bookmarkEnd w:id="0"/>
    </w:p>
    <w:p w14:paraId="6768D4EC" w14:textId="701E8F79" w:rsidR="0001004B" w:rsidRPr="006D0C49" w:rsidRDefault="00BF4746" w:rsidP="003976FA">
      <w:pPr>
        <w:spacing w:after="120" w:line="240" w:lineRule="auto"/>
        <w:jc w:val="center"/>
        <w:rPr>
          <w:rFonts w:ascii="Times New Roman" w:hAnsi="Times New Roman" w:cs="Times New Roman"/>
          <w:b/>
          <w:sz w:val="20"/>
          <w:szCs w:val="20"/>
        </w:rPr>
      </w:pPr>
      <w:r w:rsidRPr="006D0C49">
        <w:rPr>
          <w:rFonts w:ascii="Times New Roman" w:hAnsi="Times New Roman" w:cs="Times New Roman"/>
          <w:b/>
          <w:sz w:val="20"/>
          <w:szCs w:val="20"/>
        </w:rPr>
        <w:t xml:space="preserve">ÉLARGISSEMENT DE LA ZONE D’EXCLUSION DE L’ASSURANCE-CHÔMAGE </w:t>
      </w:r>
      <w:r w:rsidR="006E1BE2" w:rsidRPr="006D0C49">
        <w:rPr>
          <w:rFonts w:ascii="Times New Roman" w:hAnsi="Times New Roman" w:cs="Times New Roman"/>
          <w:b/>
          <w:sz w:val="20"/>
          <w:szCs w:val="20"/>
        </w:rPr>
        <w:t>EN B</w:t>
      </w:r>
      <w:r w:rsidRPr="006D0C49">
        <w:rPr>
          <w:rFonts w:ascii="Times New Roman" w:hAnsi="Times New Roman" w:cs="Times New Roman"/>
          <w:b/>
          <w:sz w:val="20"/>
          <w:szCs w:val="20"/>
        </w:rPr>
        <w:t>E</w:t>
      </w:r>
      <w:r w:rsidR="006E1BE2" w:rsidRPr="006D0C49">
        <w:rPr>
          <w:rFonts w:ascii="Times New Roman" w:hAnsi="Times New Roman" w:cs="Times New Roman"/>
          <w:b/>
          <w:sz w:val="20"/>
          <w:szCs w:val="20"/>
        </w:rPr>
        <w:t>L</w:t>
      </w:r>
      <w:r w:rsidRPr="006D0C49">
        <w:rPr>
          <w:rFonts w:ascii="Times New Roman" w:hAnsi="Times New Roman" w:cs="Times New Roman"/>
          <w:b/>
          <w:sz w:val="20"/>
          <w:szCs w:val="20"/>
        </w:rPr>
        <w:t>GIQUE : FOCUS SUR LES JEUNES</w:t>
      </w:r>
    </w:p>
    <w:p w14:paraId="46FDA300" w14:textId="77777777" w:rsidR="003976FA" w:rsidRPr="006D0C49" w:rsidRDefault="003976FA" w:rsidP="00F556FE">
      <w:pPr>
        <w:spacing w:after="120" w:line="240" w:lineRule="auto"/>
        <w:rPr>
          <w:rFonts w:ascii="Times New Roman" w:hAnsi="Times New Roman" w:cs="Times New Roman"/>
          <w:sz w:val="20"/>
          <w:szCs w:val="20"/>
        </w:rPr>
      </w:pPr>
    </w:p>
    <w:p w14:paraId="3BBD453D" w14:textId="46A21DD9" w:rsidR="00CD71C8" w:rsidRPr="006D0C49" w:rsidRDefault="004970B2" w:rsidP="00F556FE">
      <w:pPr>
        <w:spacing w:after="120" w:line="240" w:lineRule="auto"/>
        <w:rPr>
          <w:rFonts w:ascii="Times New Roman" w:hAnsi="Times New Roman" w:cs="Times New Roman"/>
          <w:sz w:val="20"/>
          <w:szCs w:val="20"/>
        </w:rPr>
      </w:pPr>
      <w:r w:rsidRPr="006D0C49">
        <w:rPr>
          <w:rFonts w:ascii="Times New Roman" w:hAnsi="Times New Roman" w:cs="Times New Roman"/>
          <w:sz w:val="20"/>
          <w:szCs w:val="20"/>
        </w:rPr>
        <w:t>REMY Céline,</w:t>
      </w:r>
      <w:r w:rsidR="00112267" w:rsidRPr="006D0C49">
        <w:rPr>
          <w:rFonts w:ascii="Times New Roman" w:hAnsi="Times New Roman" w:cs="Times New Roman"/>
          <w:sz w:val="20"/>
          <w:szCs w:val="20"/>
        </w:rPr>
        <w:t xml:space="preserve"> </w:t>
      </w:r>
      <w:r w:rsidR="00A56318">
        <w:rPr>
          <w:rFonts w:ascii="Times New Roman" w:hAnsi="Times New Roman" w:cs="Times New Roman"/>
          <w:sz w:val="20"/>
          <w:szCs w:val="20"/>
        </w:rPr>
        <w:t>Bruxelles Formation</w:t>
      </w:r>
      <w:r w:rsidR="009651D0">
        <w:rPr>
          <w:rFonts w:ascii="Times New Roman" w:hAnsi="Times New Roman" w:cs="Times New Roman"/>
          <w:sz w:val="20"/>
          <w:szCs w:val="20"/>
        </w:rPr>
        <w:t xml:space="preserve"> </w:t>
      </w:r>
      <w:r w:rsidR="00A56318">
        <w:rPr>
          <w:rFonts w:ascii="Times New Roman" w:hAnsi="Times New Roman" w:cs="Times New Roman"/>
          <w:sz w:val="20"/>
          <w:szCs w:val="20"/>
        </w:rPr>
        <w:t xml:space="preserve">- </w:t>
      </w:r>
      <w:r w:rsidR="00112267" w:rsidRPr="006D0C49">
        <w:rPr>
          <w:rFonts w:ascii="Times New Roman" w:hAnsi="Times New Roman" w:cs="Times New Roman"/>
          <w:sz w:val="20"/>
          <w:szCs w:val="20"/>
        </w:rPr>
        <w:t>Service études et s</w:t>
      </w:r>
      <w:r w:rsidR="006462F4" w:rsidRPr="006D0C49">
        <w:rPr>
          <w:rFonts w:ascii="Times New Roman" w:hAnsi="Times New Roman" w:cs="Times New Roman"/>
          <w:sz w:val="20"/>
          <w:szCs w:val="20"/>
        </w:rPr>
        <w:t>tatistiques</w:t>
      </w:r>
      <w:r w:rsidRPr="006D0C49">
        <w:rPr>
          <w:rFonts w:ascii="Times New Roman" w:hAnsi="Times New Roman" w:cs="Times New Roman"/>
          <w:sz w:val="20"/>
          <w:szCs w:val="20"/>
        </w:rPr>
        <w:t xml:space="preserve">, </w:t>
      </w:r>
      <w:hyperlink r:id="rId8" w:history="1">
        <w:r w:rsidRPr="006D0C49">
          <w:rPr>
            <w:rStyle w:val="Lienhypertexte"/>
            <w:rFonts w:ascii="Times New Roman" w:hAnsi="Times New Roman" w:cs="Times New Roman"/>
            <w:sz w:val="20"/>
            <w:szCs w:val="20"/>
          </w:rPr>
          <w:t>c.remy@bruxellesformation.be</w:t>
        </w:r>
      </w:hyperlink>
    </w:p>
    <w:p w14:paraId="67161764" w14:textId="2DEA5050" w:rsidR="00FC139B" w:rsidRPr="006D0C49" w:rsidRDefault="00FC139B" w:rsidP="00F556FE">
      <w:pPr>
        <w:tabs>
          <w:tab w:val="left" w:pos="7371"/>
        </w:tabs>
        <w:spacing w:after="120" w:line="240" w:lineRule="auto"/>
        <w:rPr>
          <w:rFonts w:ascii="Times New Roman" w:hAnsi="Times New Roman" w:cs="Times New Roman"/>
          <w:sz w:val="20"/>
          <w:szCs w:val="20"/>
        </w:rPr>
      </w:pPr>
      <w:r w:rsidRPr="006D0C49">
        <w:rPr>
          <w:rFonts w:ascii="Times New Roman" w:hAnsi="Times New Roman" w:cs="Times New Roman"/>
          <w:sz w:val="20"/>
          <w:szCs w:val="20"/>
        </w:rPr>
        <w:t xml:space="preserve">SENHADJI Khadija, </w:t>
      </w:r>
      <w:r w:rsidR="00242738">
        <w:rPr>
          <w:rFonts w:ascii="Times New Roman" w:hAnsi="Times New Roman" w:cs="Times New Roman"/>
          <w:sz w:val="20"/>
          <w:szCs w:val="20"/>
        </w:rPr>
        <w:t xml:space="preserve">Actiris - </w:t>
      </w:r>
      <w:r w:rsidRPr="006D0C49">
        <w:rPr>
          <w:rFonts w:ascii="Times New Roman" w:hAnsi="Times New Roman" w:cs="Times New Roman"/>
          <w:sz w:val="20"/>
          <w:szCs w:val="20"/>
        </w:rPr>
        <w:t xml:space="preserve">Observatoire bruxellois de l’emploi </w:t>
      </w:r>
      <w:r w:rsidR="003B61F8">
        <w:rPr>
          <w:rFonts w:ascii="Times New Roman" w:hAnsi="Times New Roman" w:cs="Times New Roman"/>
          <w:sz w:val="20"/>
          <w:szCs w:val="20"/>
        </w:rPr>
        <w:t>et de la formation</w:t>
      </w:r>
      <w:r w:rsidRPr="006D0C49">
        <w:rPr>
          <w:rFonts w:ascii="Times New Roman" w:hAnsi="Times New Roman" w:cs="Times New Roman"/>
          <w:sz w:val="20"/>
          <w:szCs w:val="20"/>
        </w:rPr>
        <w:t xml:space="preserve">, </w:t>
      </w:r>
      <w:hyperlink r:id="rId9" w:history="1">
        <w:r w:rsidRPr="006D0C49">
          <w:rPr>
            <w:rStyle w:val="Lienhypertexte"/>
            <w:rFonts w:ascii="Times New Roman" w:hAnsi="Times New Roman" w:cs="Times New Roman"/>
            <w:sz w:val="20"/>
            <w:szCs w:val="20"/>
          </w:rPr>
          <w:t>ksenhadji@actiris.be</w:t>
        </w:r>
      </w:hyperlink>
    </w:p>
    <w:p w14:paraId="041B4B96" w14:textId="77777777" w:rsidR="00F556FE" w:rsidRPr="006D0C49" w:rsidRDefault="00F556FE" w:rsidP="0001004B">
      <w:pPr>
        <w:spacing w:after="120" w:line="240" w:lineRule="auto"/>
        <w:jc w:val="both"/>
        <w:rPr>
          <w:rFonts w:ascii="Times New Roman" w:hAnsi="Times New Roman" w:cs="Times New Roman"/>
          <w:b/>
          <w:sz w:val="20"/>
          <w:szCs w:val="20"/>
        </w:rPr>
      </w:pPr>
    </w:p>
    <w:p w14:paraId="6FBDC706" w14:textId="77777777" w:rsidR="006462F4" w:rsidRPr="006D0C49" w:rsidRDefault="006462F4" w:rsidP="0001004B">
      <w:pPr>
        <w:spacing w:after="120" w:line="240" w:lineRule="auto"/>
        <w:jc w:val="both"/>
        <w:rPr>
          <w:rFonts w:ascii="Times New Roman" w:hAnsi="Times New Roman" w:cs="Times New Roman"/>
          <w:sz w:val="20"/>
          <w:szCs w:val="20"/>
        </w:rPr>
      </w:pPr>
    </w:p>
    <w:p w14:paraId="5E891D86" w14:textId="7F5ECDBB" w:rsidR="004970B2" w:rsidRPr="005E55E1" w:rsidRDefault="0001004B" w:rsidP="0001004B">
      <w:pPr>
        <w:spacing w:after="120" w:line="240" w:lineRule="auto"/>
        <w:jc w:val="both"/>
        <w:rPr>
          <w:rFonts w:ascii="Times New Roman" w:hAnsi="Times New Roman" w:cs="Times New Roman"/>
          <w:color w:val="C00000"/>
          <w:sz w:val="20"/>
          <w:szCs w:val="20"/>
        </w:rPr>
      </w:pPr>
      <w:r w:rsidRPr="006D0C49">
        <w:rPr>
          <w:rFonts w:ascii="Times New Roman" w:hAnsi="Times New Roman" w:cs="Times New Roman"/>
          <w:b/>
          <w:sz w:val="20"/>
          <w:szCs w:val="20"/>
        </w:rPr>
        <w:t>INTRODUCTION</w:t>
      </w:r>
      <w:r w:rsidR="00700325">
        <w:rPr>
          <w:rFonts w:ascii="Times New Roman" w:hAnsi="Times New Roman" w:cs="Times New Roman"/>
          <w:b/>
          <w:color w:val="C00000"/>
          <w:sz w:val="20"/>
          <w:szCs w:val="20"/>
        </w:rPr>
        <w:t xml:space="preserve"> </w:t>
      </w:r>
    </w:p>
    <w:p w14:paraId="4D3E90B2" w14:textId="002394CA" w:rsidR="004428BD" w:rsidRPr="006D0C49" w:rsidRDefault="00B95C28" w:rsidP="007024D0">
      <w:pPr>
        <w:autoSpaceDE w:val="0"/>
        <w:autoSpaceDN w:val="0"/>
        <w:adjustRightInd w:val="0"/>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En Belgique, les</w:t>
      </w:r>
      <w:r w:rsidR="004428BD" w:rsidRPr="006D0C49">
        <w:rPr>
          <w:rFonts w:ascii="Times New Roman" w:hAnsi="Times New Roman" w:cs="Times New Roman"/>
          <w:sz w:val="20"/>
          <w:szCs w:val="20"/>
        </w:rPr>
        <w:t xml:space="preserve"> réforme</w:t>
      </w:r>
      <w:r w:rsidRPr="006D0C49">
        <w:rPr>
          <w:rFonts w:ascii="Times New Roman" w:hAnsi="Times New Roman" w:cs="Times New Roman"/>
          <w:sz w:val="20"/>
          <w:szCs w:val="20"/>
        </w:rPr>
        <w:t>s</w:t>
      </w:r>
      <w:r w:rsidR="004E1006" w:rsidRPr="006D0C49">
        <w:rPr>
          <w:rFonts w:ascii="Times New Roman" w:hAnsi="Times New Roman" w:cs="Times New Roman"/>
          <w:sz w:val="20"/>
          <w:szCs w:val="20"/>
        </w:rPr>
        <w:t xml:space="preserve"> successives</w:t>
      </w:r>
      <w:r w:rsidR="004428BD" w:rsidRPr="006D0C49">
        <w:rPr>
          <w:rFonts w:ascii="Times New Roman" w:hAnsi="Times New Roman" w:cs="Times New Roman"/>
          <w:sz w:val="20"/>
          <w:szCs w:val="20"/>
        </w:rPr>
        <w:t xml:space="preserve"> de l’assurance-chômage</w:t>
      </w:r>
      <w:r w:rsidR="00584861" w:rsidRPr="006D0C49">
        <w:rPr>
          <w:rStyle w:val="Appelnotedebasdep"/>
          <w:rFonts w:ascii="Times New Roman" w:hAnsi="Times New Roman"/>
          <w:sz w:val="20"/>
          <w:szCs w:val="20"/>
        </w:rPr>
        <w:footnoteReference w:id="1"/>
      </w:r>
      <w:r w:rsidR="004428BD" w:rsidRPr="006D0C49">
        <w:rPr>
          <w:rFonts w:ascii="Times New Roman" w:hAnsi="Times New Roman" w:cs="Times New Roman"/>
          <w:sz w:val="20"/>
          <w:szCs w:val="20"/>
        </w:rPr>
        <w:t xml:space="preserve"> </w:t>
      </w:r>
      <w:r w:rsidR="002C5180" w:rsidRPr="006D0C49">
        <w:rPr>
          <w:rFonts w:ascii="Times New Roman" w:hAnsi="Times New Roman" w:cs="Times New Roman"/>
          <w:sz w:val="20"/>
          <w:szCs w:val="20"/>
        </w:rPr>
        <w:t>ont</w:t>
      </w:r>
      <w:r w:rsidR="004428BD" w:rsidRPr="006D0C49">
        <w:rPr>
          <w:rFonts w:ascii="Times New Roman" w:hAnsi="Times New Roman" w:cs="Times New Roman"/>
          <w:sz w:val="20"/>
          <w:szCs w:val="20"/>
        </w:rPr>
        <w:t xml:space="preserve"> eu des conséquences sur l’accès aux droits d’un certain nombre d’individus</w:t>
      </w:r>
      <w:r w:rsidR="0052308B" w:rsidRPr="006D0C49">
        <w:rPr>
          <w:rFonts w:ascii="Times New Roman" w:hAnsi="Times New Roman" w:cs="Times New Roman"/>
          <w:sz w:val="20"/>
          <w:szCs w:val="20"/>
        </w:rPr>
        <w:t xml:space="preserve">, </w:t>
      </w:r>
      <w:r w:rsidR="004428BD" w:rsidRPr="006D0C49">
        <w:rPr>
          <w:rFonts w:ascii="Times New Roman" w:hAnsi="Times New Roman" w:cs="Times New Roman"/>
          <w:sz w:val="20"/>
          <w:szCs w:val="20"/>
        </w:rPr>
        <w:t xml:space="preserve">accès </w:t>
      </w:r>
      <w:r w:rsidR="0052308B" w:rsidRPr="006D0C49">
        <w:rPr>
          <w:rFonts w:ascii="Times New Roman" w:hAnsi="Times New Roman" w:cs="Times New Roman"/>
          <w:sz w:val="20"/>
          <w:szCs w:val="20"/>
        </w:rPr>
        <w:t xml:space="preserve">qui </w:t>
      </w:r>
      <w:r w:rsidR="00064806" w:rsidRPr="006D0C49">
        <w:rPr>
          <w:rFonts w:ascii="Times New Roman" w:hAnsi="Times New Roman" w:cs="Times New Roman"/>
          <w:sz w:val="20"/>
          <w:szCs w:val="20"/>
        </w:rPr>
        <w:t>est</w:t>
      </w:r>
      <w:r w:rsidR="004E1006" w:rsidRPr="006D0C49">
        <w:rPr>
          <w:rFonts w:ascii="Times New Roman" w:hAnsi="Times New Roman" w:cs="Times New Roman"/>
          <w:sz w:val="20"/>
          <w:szCs w:val="20"/>
        </w:rPr>
        <w:t xml:space="preserve"> désormais</w:t>
      </w:r>
      <w:r w:rsidR="004428BD" w:rsidRPr="006D0C49">
        <w:rPr>
          <w:rFonts w:ascii="Times New Roman" w:hAnsi="Times New Roman" w:cs="Times New Roman"/>
          <w:sz w:val="20"/>
          <w:szCs w:val="20"/>
        </w:rPr>
        <w:t xml:space="preserve"> conditionné à leurs performances sur le marché du travail et à leur engagement dans différentes mesures de recherche (active) d’emploi. </w:t>
      </w:r>
      <w:r w:rsidR="00755124" w:rsidRPr="006D0C49">
        <w:rPr>
          <w:rFonts w:ascii="Times New Roman" w:hAnsi="Times New Roman" w:cs="Times New Roman"/>
          <w:sz w:val="20"/>
          <w:szCs w:val="20"/>
        </w:rPr>
        <w:t xml:space="preserve">La réforme de 2011 a d’une part mis en œuvre le principe de dégressivité des allocations de chômage et a d’autre part limité à trois ans le bénéfice des allocations d’insertion pour les jeunes sortants de l’enseignement. </w:t>
      </w:r>
      <w:r w:rsidR="00C101C5">
        <w:rPr>
          <w:rFonts w:ascii="Times New Roman" w:hAnsi="Times New Roman" w:cs="Times New Roman"/>
          <w:sz w:val="20"/>
          <w:szCs w:val="20"/>
        </w:rPr>
        <w:t>U</w:t>
      </w:r>
      <w:r w:rsidR="00755124" w:rsidRPr="006D0C49">
        <w:rPr>
          <w:rFonts w:ascii="Times New Roman" w:hAnsi="Times New Roman" w:cs="Times New Roman"/>
          <w:sz w:val="20"/>
          <w:szCs w:val="20"/>
        </w:rPr>
        <w:t xml:space="preserve">ne </w:t>
      </w:r>
      <w:r w:rsidR="00C101C5">
        <w:rPr>
          <w:rFonts w:ascii="Times New Roman" w:hAnsi="Times New Roman" w:cs="Times New Roman"/>
          <w:sz w:val="20"/>
          <w:szCs w:val="20"/>
        </w:rPr>
        <w:t>autre</w:t>
      </w:r>
      <w:r w:rsidR="00755124" w:rsidRPr="006D0C49">
        <w:rPr>
          <w:rFonts w:ascii="Times New Roman" w:hAnsi="Times New Roman" w:cs="Times New Roman"/>
          <w:sz w:val="20"/>
          <w:szCs w:val="20"/>
        </w:rPr>
        <w:t xml:space="preserve"> réforme </w:t>
      </w:r>
      <w:r w:rsidR="006E4203" w:rsidRPr="006D0C49">
        <w:rPr>
          <w:rFonts w:ascii="Times New Roman" w:hAnsi="Times New Roman" w:cs="Times New Roman"/>
          <w:sz w:val="20"/>
          <w:szCs w:val="20"/>
        </w:rPr>
        <w:t>entrée en vigueur</w:t>
      </w:r>
      <w:r w:rsidR="00755124" w:rsidRPr="006D0C49">
        <w:rPr>
          <w:rFonts w:ascii="Times New Roman" w:hAnsi="Times New Roman" w:cs="Times New Roman"/>
          <w:sz w:val="20"/>
          <w:szCs w:val="20"/>
        </w:rPr>
        <w:t xml:space="preserve"> en 2015 restreint l’accès aux allocations d’insertion en excluant les jeunes de moins de 21 ans diplômés tout au plus du secondaire inférieur et les jeunes âgés de 25 ans et plus. </w:t>
      </w:r>
      <w:r w:rsidR="004428BD" w:rsidRPr="006D0C49">
        <w:rPr>
          <w:rFonts w:ascii="Times New Roman" w:hAnsi="Times New Roman" w:cs="Times New Roman"/>
          <w:sz w:val="20"/>
          <w:szCs w:val="20"/>
        </w:rPr>
        <w:t xml:space="preserve">Les récentes évolutions </w:t>
      </w:r>
      <w:r w:rsidR="00C101C5">
        <w:rPr>
          <w:rFonts w:ascii="Times New Roman" w:hAnsi="Times New Roman" w:cs="Times New Roman"/>
          <w:sz w:val="20"/>
          <w:szCs w:val="20"/>
        </w:rPr>
        <w:t xml:space="preserve">législatives </w:t>
      </w:r>
      <w:r w:rsidR="004428BD" w:rsidRPr="006D0C49">
        <w:rPr>
          <w:rFonts w:ascii="Times New Roman" w:hAnsi="Times New Roman" w:cs="Times New Roman"/>
          <w:sz w:val="20"/>
          <w:szCs w:val="20"/>
        </w:rPr>
        <w:t xml:space="preserve">font apparaître </w:t>
      </w:r>
      <w:r w:rsidR="00C101C5" w:rsidRPr="006D0C49">
        <w:rPr>
          <w:rFonts w:ascii="Times New Roman" w:hAnsi="Times New Roman" w:cs="Times New Roman"/>
          <w:sz w:val="20"/>
          <w:szCs w:val="20"/>
        </w:rPr>
        <w:t>depuis janvier 2015</w:t>
      </w:r>
      <w:r w:rsidR="00C101C5">
        <w:rPr>
          <w:rFonts w:ascii="Times New Roman" w:hAnsi="Times New Roman" w:cs="Times New Roman"/>
          <w:sz w:val="20"/>
          <w:szCs w:val="20"/>
        </w:rPr>
        <w:t xml:space="preserve"> </w:t>
      </w:r>
      <w:r w:rsidR="004428BD" w:rsidRPr="006D0C49">
        <w:rPr>
          <w:rFonts w:ascii="Times New Roman" w:hAnsi="Times New Roman" w:cs="Times New Roman"/>
          <w:sz w:val="20"/>
          <w:szCs w:val="20"/>
        </w:rPr>
        <w:t>des vagues d’exclusions ‘automatiques’ de chômeurs allocataires d’insertion</w:t>
      </w:r>
      <w:r w:rsidR="00C101C5">
        <w:rPr>
          <w:rFonts w:ascii="Times New Roman" w:hAnsi="Times New Roman" w:cs="Times New Roman"/>
          <w:sz w:val="20"/>
          <w:szCs w:val="20"/>
        </w:rPr>
        <w:t>. Elles</w:t>
      </w:r>
      <w:r w:rsidR="00755124" w:rsidRPr="006D0C49">
        <w:rPr>
          <w:rFonts w:ascii="Times New Roman" w:hAnsi="Times New Roman" w:cs="Times New Roman"/>
          <w:sz w:val="20"/>
          <w:szCs w:val="20"/>
        </w:rPr>
        <w:t xml:space="preserve"> </w:t>
      </w:r>
      <w:r w:rsidR="004428BD" w:rsidRPr="006D0C49">
        <w:rPr>
          <w:rFonts w:ascii="Times New Roman" w:hAnsi="Times New Roman" w:cs="Times New Roman"/>
          <w:sz w:val="20"/>
          <w:szCs w:val="20"/>
        </w:rPr>
        <w:t xml:space="preserve">n’auraient pas l’effet escompté </w:t>
      </w:r>
      <w:r w:rsidR="00755124" w:rsidRPr="006D0C49">
        <w:rPr>
          <w:rFonts w:ascii="Times New Roman" w:hAnsi="Times New Roman" w:cs="Times New Roman"/>
          <w:sz w:val="20"/>
          <w:szCs w:val="20"/>
        </w:rPr>
        <w:t>car</w:t>
      </w:r>
      <w:r w:rsidR="004428BD" w:rsidRPr="006D0C49">
        <w:rPr>
          <w:rFonts w:ascii="Times New Roman" w:hAnsi="Times New Roman" w:cs="Times New Roman"/>
          <w:sz w:val="20"/>
          <w:szCs w:val="20"/>
        </w:rPr>
        <w:t xml:space="preserve"> seul un petit nombre d’individus a eu accès à un emploi</w:t>
      </w:r>
      <w:r w:rsidR="00C101C5">
        <w:rPr>
          <w:rFonts w:ascii="Times New Roman" w:hAnsi="Times New Roman" w:cs="Times New Roman"/>
          <w:sz w:val="20"/>
          <w:szCs w:val="20"/>
        </w:rPr>
        <w:t xml:space="preserve"> tandis que l</w:t>
      </w:r>
      <w:r w:rsidR="004428BD" w:rsidRPr="006D0C49">
        <w:rPr>
          <w:rFonts w:ascii="Times New Roman" w:hAnsi="Times New Roman" w:cs="Times New Roman"/>
          <w:sz w:val="20"/>
          <w:szCs w:val="20"/>
        </w:rPr>
        <w:t>es autres sont entrés en inactivité, se sont inscrits à l’aid</w:t>
      </w:r>
      <w:r w:rsidR="00B56347" w:rsidRPr="006D0C49">
        <w:rPr>
          <w:rFonts w:ascii="Times New Roman" w:hAnsi="Times New Roman" w:cs="Times New Roman"/>
          <w:sz w:val="20"/>
          <w:szCs w:val="20"/>
        </w:rPr>
        <w:t xml:space="preserve">e sociale ou se sont fait reconnaître comme inaptes au travail. </w:t>
      </w:r>
      <w:r w:rsidR="00C101C5">
        <w:rPr>
          <w:rFonts w:ascii="Times New Roman" w:hAnsi="Times New Roman" w:cs="Times New Roman"/>
          <w:sz w:val="20"/>
          <w:szCs w:val="20"/>
        </w:rPr>
        <w:t>Et, d</w:t>
      </w:r>
      <w:r w:rsidR="004428BD" w:rsidRPr="006D0C49">
        <w:rPr>
          <w:rFonts w:ascii="Times New Roman" w:hAnsi="Times New Roman" w:cs="Times New Roman"/>
          <w:sz w:val="20"/>
          <w:szCs w:val="20"/>
        </w:rPr>
        <w:t>’autres encore ont disparu des radars des institutions publiques</w:t>
      </w:r>
      <w:r w:rsidR="00B56347" w:rsidRPr="006D0C49">
        <w:rPr>
          <w:rFonts w:ascii="Times New Roman" w:hAnsi="Times New Roman" w:cs="Times New Roman"/>
          <w:sz w:val="20"/>
          <w:szCs w:val="20"/>
        </w:rPr>
        <w:t>.</w:t>
      </w:r>
    </w:p>
    <w:p w14:paraId="1D18099A" w14:textId="7DCEC896" w:rsidR="00F043F0" w:rsidRDefault="00426F7E" w:rsidP="007024D0">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Les institutions publiques d’emploi et de formation professionnelle mettent en place des dispositifs pour prendre en charge les publics fragilisés ou les plus à risque. Ces </w:t>
      </w:r>
      <w:r w:rsidR="003B4D2C">
        <w:rPr>
          <w:rFonts w:ascii="Times New Roman" w:hAnsi="Times New Roman" w:cs="Times New Roman"/>
          <w:sz w:val="20"/>
          <w:szCs w:val="20"/>
        </w:rPr>
        <w:t>mesures spécifiques d’accompagnement</w:t>
      </w:r>
      <w:r w:rsidRPr="006D0C49">
        <w:rPr>
          <w:rFonts w:ascii="Times New Roman" w:hAnsi="Times New Roman" w:cs="Times New Roman"/>
          <w:sz w:val="20"/>
          <w:szCs w:val="20"/>
        </w:rPr>
        <w:t xml:space="preserve"> s’adressent à des catégories d’individus, comme par exemple aux jeunes (entre 18 et 29 ans) sous le dispositif de la Garantie Jeunes, initiée par l’Europe. </w:t>
      </w:r>
      <w:r w:rsidR="00C101C5">
        <w:rPr>
          <w:rFonts w:ascii="Times New Roman" w:hAnsi="Times New Roman" w:cs="Times New Roman"/>
          <w:sz w:val="20"/>
          <w:szCs w:val="20"/>
        </w:rPr>
        <w:t>Les institutions</w:t>
      </w:r>
      <w:r>
        <w:rPr>
          <w:rFonts w:ascii="Times New Roman" w:hAnsi="Times New Roman" w:cs="Times New Roman"/>
          <w:sz w:val="20"/>
          <w:szCs w:val="20"/>
        </w:rPr>
        <w:t xml:space="preserve"> </w:t>
      </w:r>
      <w:r w:rsidR="003B4D2C">
        <w:rPr>
          <w:rFonts w:ascii="Times New Roman" w:hAnsi="Times New Roman" w:cs="Times New Roman"/>
          <w:sz w:val="20"/>
          <w:szCs w:val="20"/>
        </w:rPr>
        <w:t xml:space="preserve">les </w:t>
      </w:r>
      <w:r w:rsidR="00700325" w:rsidRPr="006D0C49">
        <w:rPr>
          <w:rFonts w:ascii="Times New Roman" w:hAnsi="Times New Roman" w:cs="Times New Roman"/>
          <w:sz w:val="20"/>
          <w:szCs w:val="20"/>
        </w:rPr>
        <w:t>accompagne</w:t>
      </w:r>
      <w:r>
        <w:rPr>
          <w:rFonts w:ascii="Times New Roman" w:hAnsi="Times New Roman" w:cs="Times New Roman"/>
          <w:sz w:val="20"/>
          <w:szCs w:val="20"/>
        </w:rPr>
        <w:t>nt</w:t>
      </w:r>
      <w:r w:rsidR="003B4D2C">
        <w:rPr>
          <w:rFonts w:ascii="Times New Roman" w:hAnsi="Times New Roman" w:cs="Times New Roman"/>
          <w:sz w:val="20"/>
          <w:szCs w:val="20"/>
        </w:rPr>
        <w:t xml:space="preserve"> </w:t>
      </w:r>
      <w:r w:rsidR="00700325" w:rsidRPr="006D0C49">
        <w:rPr>
          <w:rFonts w:ascii="Times New Roman" w:hAnsi="Times New Roman" w:cs="Times New Roman"/>
          <w:sz w:val="20"/>
          <w:szCs w:val="20"/>
        </w:rPr>
        <w:t xml:space="preserve">en se référant à leur profil social, ce qui pose la question du principe d’universalité des institutions quand l’offre de service est spécialisée et adaptée à des catégories de publics particuliers. </w:t>
      </w:r>
      <w:r w:rsidR="00C101C5">
        <w:rPr>
          <w:rFonts w:ascii="Times New Roman" w:hAnsi="Times New Roman" w:cs="Times New Roman"/>
          <w:sz w:val="20"/>
          <w:szCs w:val="20"/>
        </w:rPr>
        <w:t>Elle</w:t>
      </w:r>
      <w:r>
        <w:rPr>
          <w:rFonts w:ascii="Times New Roman" w:hAnsi="Times New Roman" w:cs="Times New Roman"/>
          <w:sz w:val="20"/>
          <w:szCs w:val="20"/>
        </w:rPr>
        <w:t>s</w:t>
      </w:r>
      <w:r w:rsidR="00700325" w:rsidRPr="006D0C49">
        <w:rPr>
          <w:rFonts w:ascii="Times New Roman" w:hAnsi="Times New Roman" w:cs="Times New Roman"/>
          <w:sz w:val="20"/>
          <w:szCs w:val="20"/>
        </w:rPr>
        <w:t xml:space="preserve"> crée</w:t>
      </w:r>
      <w:r>
        <w:rPr>
          <w:rFonts w:ascii="Times New Roman" w:hAnsi="Times New Roman" w:cs="Times New Roman"/>
          <w:sz w:val="20"/>
          <w:szCs w:val="20"/>
        </w:rPr>
        <w:t>nt</w:t>
      </w:r>
      <w:r w:rsidR="00700325" w:rsidRPr="006D0C49">
        <w:rPr>
          <w:rFonts w:ascii="Times New Roman" w:hAnsi="Times New Roman" w:cs="Times New Roman"/>
          <w:sz w:val="20"/>
          <w:szCs w:val="20"/>
        </w:rPr>
        <w:t xml:space="preserve"> involontairement des poches d’exclus au sein même de </w:t>
      </w:r>
      <w:r w:rsidR="00C101C5">
        <w:rPr>
          <w:rFonts w:ascii="Times New Roman" w:hAnsi="Times New Roman" w:cs="Times New Roman"/>
          <w:sz w:val="20"/>
          <w:szCs w:val="20"/>
        </w:rPr>
        <w:t>leur</w:t>
      </w:r>
      <w:r w:rsidR="00700325" w:rsidRPr="006D0C49">
        <w:rPr>
          <w:rFonts w:ascii="Times New Roman" w:hAnsi="Times New Roman" w:cs="Times New Roman"/>
          <w:sz w:val="20"/>
          <w:szCs w:val="20"/>
        </w:rPr>
        <w:t xml:space="preserve">s bénéficiaires </w:t>
      </w:r>
      <w:r w:rsidR="00C101C5">
        <w:rPr>
          <w:rFonts w:ascii="Times New Roman" w:hAnsi="Times New Roman" w:cs="Times New Roman"/>
          <w:sz w:val="20"/>
          <w:szCs w:val="20"/>
        </w:rPr>
        <w:t>car elles</w:t>
      </w:r>
      <w:r w:rsidR="00700325" w:rsidRPr="006D0C49">
        <w:rPr>
          <w:rFonts w:ascii="Times New Roman" w:hAnsi="Times New Roman" w:cs="Times New Roman"/>
          <w:sz w:val="20"/>
          <w:szCs w:val="20"/>
        </w:rPr>
        <w:t xml:space="preserve"> appose</w:t>
      </w:r>
      <w:r w:rsidR="00C101C5">
        <w:rPr>
          <w:rFonts w:ascii="Times New Roman" w:hAnsi="Times New Roman" w:cs="Times New Roman"/>
          <w:sz w:val="20"/>
          <w:szCs w:val="20"/>
        </w:rPr>
        <w:t>nt</w:t>
      </w:r>
      <w:r w:rsidR="00700325" w:rsidRPr="006D0C49">
        <w:rPr>
          <w:rFonts w:ascii="Times New Roman" w:hAnsi="Times New Roman" w:cs="Times New Roman"/>
          <w:sz w:val="20"/>
          <w:szCs w:val="20"/>
        </w:rPr>
        <w:t xml:space="preserve"> une étiquette (jeune, femme, plus de 50 ans…) sur l’individu sans tenir compte de la complexité des situations. La construction sociale de catégories permet de classer les individus afin de leur donner ou de leur retirer des droits (et des obligations), les mettant ainsi en situation d’exclusion du fait d’être jeune ou vieux ou une femme avec enfants à charge, etc.</w:t>
      </w:r>
      <w:r w:rsidR="00700325">
        <w:rPr>
          <w:rFonts w:ascii="Times New Roman" w:hAnsi="Times New Roman" w:cs="Times New Roman"/>
          <w:sz w:val="20"/>
          <w:szCs w:val="20"/>
        </w:rPr>
        <w:t xml:space="preserve"> </w:t>
      </w:r>
      <w:r w:rsidR="00F043F0">
        <w:rPr>
          <w:rFonts w:ascii="Times New Roman" w:hAnsi="Times New Roman" w:cs="Times New Roman"/>
          <w:sz w:val="20"/>
          <w:szCs w:val="20"/>
        </w:rPr>
        <w:t>Partant de ces considérations, la Région bruxelloise a adopté en 201</w:t>
      </w:r>
      <w:r w:rsidR="0030564E">
        <w:rPr>
          <w:rFonts w:ascii="Times New Roman" w:hAnsi="Times New Roman" w:cs="Times New Roman"/>
          <w:sz w:val="20"/>
          <w:szCs w:val="20"/>
        </w:rPr>
        <w:t>9</w:t>
      </w:r>
      <w:r w:rsidR="00F043F0">
        <w:rPr>
          <w:rFonts w:ascii="Times New Roman" w:hAnsi="Times New Roman" w:cs="Times New Roman"/>
          <w:sz w:val="20"/>
          <w:szCs w:val="20"/>
        </w:rPr>
        <w:t xml:space="preserve"> la Garantie pour tous qui s’adresse à l’ensemble des nouveaux inscrits auprès du Service public régional d’emploi (Actiris) toutes catégories d’âge confondues.</w:t>
      </w:r>
    </w:p>
    <w:p w14:paraId="3C982782" w14:textId="0E9C9831" w:rsidR="007024D0" w:rsidRDefault="00A81E79" w:rsidP="007024D0">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En outre</w:t>
      </w:r>
      <w:r w:rsidR="00426F7E">
        <w:rPr>
          <w:rFonts w:ascii="Times New Roman" w:hAnsi="Times New Roman" w:cs="Times New Roman"/>
          <w:sz w:val="20"/>
          <w:szCs w:val="20"/>
        </w:rPr>
        <w:t>, l</w:t>
      </w:r>
      <w:r w:rsidR="00426F7E" w:rsidRPr="006D0C49">
        <w:rPr>
          <w:rFonts w:ascii="Times New Roman" w:hAnsi="Times New Roman" w:cs="Times New Roman"/>
          <w:sz w:val="20"/>
          <w:szCs w:val="20"/>
        </w:rPr>
        <w:t xml:space="preserve">a logique </w:t>
      </w:r>
      <w:r w:rsidR="00C101C5">
        <w:rPr>
          <w:rFonts w:ascii="Times New Roman" w:hAnsi="Times New Roman" w:cs="Times New Roman"/>
          <w:sz w:val="20"/>
          <w:szCs w:val="20"/>
        </w:rPr>
        <w:t>« </w:t>
      </w:r>
      <w:r w:rsidR="00426F7E" w:rsidRPr="006D0C49">
        <w:rPr>
          <w:rFonts w:ascii="Times New Roman" w:hAnsi="Times New Roman" w:cs="Times New Roman"/>
          <w:sz w:val="20"/>
          <w:szCs w:val="20"/>
        </w:rPr>
        <w:t>d’employabilité</w:t>
      </w:r>
      <w:r w:rsidR="00C101C5">
        <w:rPr>
          <w:rFonts w:ascii="Times New Roman" w:hAnsi="Times New Roman" w:cs="Times New Roman"/>
          <w:sz w:val="20"/>
          <w:szCs w:val="20"/>
        </w:rPr>
        <w:t> »</w:t>
      </w:r>
      <w:r w:rsidR="00426F7E" w:rsidRPr="006D0C49">
        <w:rPr>
          <w:rFonts w:ascii="Times New Roman" w:hAnsi="Times New Roman" w:cs="Times New Roman"/>
          <w:sz w:val="20"/>
          <w:szCs w:val="20"/>
        </w:rPr>
        <w:t xml:space="preserve"> </w:t>
      </w:r>
      <w:r w:rsidR="00426F7E">
        <w:rPr>
          <w:rFonts w:ascii="Times New Roman" w:hAnsi="Times New Roman" w:cs="Times New Roman"/>
          <w:sz w:val="20"/>
          <w:szCs w:val="20"/>
        </w:rPr>
        <w:t xml:space="preserve">poursuivie par les </w:t>
      </w:r>
      <w:r w:rsidR="00C101C5">
        <w:rPr>
          <w:rFonts w:ascii="Times New Roman" w:hAnsi="Times New Roman" w:cs="Times New Roman"/>
          <w:sz w:val="20"/>
          <w:szCs w:val="20"/>
        </w:rPr>
        <w:t>institutions publiques</w:t>
      </w:r>
      <w:r w:rsidR="00426F7E">
        <w:rPr>
          <w:rFonts w:ascii="Times New Roman" w:hAnsi="Times New Roman" w:cs="Times New Roman"/>
          <w:sz w:val="20"/>
          <w:szCs w:val="20"/>
        </w:rPr>
        <w:t xml:space="preserve"> dans l’accompagnement des chômeurs </w:t>
      </w:r>
      <w:r w:rsidR="00426F7E" w:rsidRPr="006D0C49">
        <w:rPr>
          <w:rFonts w:ascii="Times New Roman" w:hAnsi="Times New Roman" w:cs="Times New Roman"/>
          <w:sz w:val="20"/>
          <w:szCs w:val="20"/>
        </w:rPr>
        <w:t>a</w:t>
      </w:r>
      <w:r>
        <w:rPr>
          <w:rFonts w:ascii="Times New Roman" w:hAnsi="Times New Roman" w:cs="Times New Roman"/>
          <w:sz w:val="20"/>
          <w:szCs w:val="20"/>
        </w:rPr>
        <w:t>urait</w:t>
      </w:r>
      <w:r w:rsidR="00426F7E" w:rsidRPr="006D0C49">
        <w:rPr>
          <w:rFonts w:ascii="Times New Roman" w:hAnsi="Times New Roman" w:cs="Times New Roman"/>
          <w:sz w:val="20"/>
          <w:szCs w:val="20"/>
        </w:rPr>
        <w:t xml:space="preserve"> hélas </w:t>
      </w:r>
      <w:r w:rsidR="00426F7E">
        <w:rPr>
          <w:rFonts w:ascii="Times New Roman" w:hAnsi="Times New Roman" w:cs="Times New Roman"/>
          <w:sz w:val="20"/>
          <w:szCs w:val="20"/>
        </w:rPr>
        <w:t>un effet non désiré car</w:t>
      </w:r>
      <w:r w:rsidR="00426F7E" w:rsidRPr="006D0C49">
        <w:rPr>
          <w:rFonts w:ascii="Times New Roman" w:hAnsi="Times New Roman" w:cs="Times New Roman"/>
          <w:sz w:val="20"/>
          <w:szCs w:val="20"/>
        </w:rPr>
        <w:t xml:space="preserve"> elle renforce la responsabilité de l’individu face à sa situation d’all</w:t>
      </w:r>
      <w:r w:rsidR="00426F7E">
        <w:rPr>
          <w:rFonts w:ascii="Times New Roman" w:hAnsi="Times New Roman" w:cs="Times New Roman"/>
          <w:sz w:val="20"/>
          <w:szCs w:val="20"/>
        </w:rPr>
        <w:t>ocataire du chômage</w:t>
      </w:r>
      <w:r w:rsidR="00DE6E9C">
        <w:rPr>
          <w:rFonts w:ascii="Times New Roman" w:hAnsi="Times New Roman" w:cs="Times New Roman"/>
          <w:sz w:val="20"/>
          <w:szCs w:val="20"/>
        </w:rPr>
        <w:t xml:space="preserve"> et par conséquent sa catégorisation</w:t>
      </w:r>
      <w:r w:rsidR="00426F7E">
        <w:rPr>
          <w:rFonts w:ascii="Times New Roman" w:hAnsi="Times New Roman" w:cs="Times New Roman"/>
          <w:sz w:val="20"/>
          <w:szCs w:val="20"/>
        </w:rPr>
        <w:t xml:space="preserve">. </w:t>
      </w:r>
      <w:r>
        <w:rPr>
          <w:rFonts w:ascii="Times New Roman" w:hAnsi="Times New Roman" w:cs="Times New Roman"/>
          <w:sz w:val="20"/>
          <w:szCs w:val="20"/>
        </w:rPr>
        <w:t>Face à cette contradiction propre à la logique d’activation, la Garantie Jeunes semble</w:t>
      </w:r>
      <w:r w:rsidR="00577220">
        <w:rPr>
          <w:rFonts w:ascii="Times New Roman" w:hAnsi="Times New Roman" w:cs="Times New Roman"/>
          <w:sz w:val="20"/>
          <w:szCs w:val="20"/>
        </w:rPr>
        <w:t xml:space="preserve"> offrir une nouvelle </w:t>
      </w:r>
      <w:r w:rsidR="00F77EF2">
        <w:rPr>
          <w:rFonts w:ascii="Times New Roman" w:hAnsi="Times New Roman" w:cs="Times New Roman"/>
          <w:sz w:val="20"/>
          <w:szCs w:val="20"/>
        </w:rPr>
        <w:t>perspective en assumant la dimension collective de la responsabilité du chômage.</w:t>
      </w:r>
    </w:p>
    <w:p w14:paraId="059818B6" w14:textId="00F20F84" w:rsidR="00CA1901" w:rsidRPr="007024D0" w:rsidRDefault="004428BD" w:rsidP="007024D0">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Dans ce</w:t>
      </w:r>
      <w:r w:rsidR="00664739" w:rsidRPr="006D0C49">
        <w:rPr>
          <w:rFonts w:ascii="Times New Roman" w:hAnsi="Times New Roman" w:cs="Times New Roman"/>
          <w:sz w:val="20"/>
          <w:szCs w:val="20"/>
        </w:rPr>
        <w:t xml:space="preserve"> chapitre</w:t>
      </w:r>
      <w:r w:rsidRPr="006D0C49">
        <w:rPr>
          <w:rFonts w:ascii="Times New Roman" w:hAnsi="Times New Roman" w:cs="Times New Roman"/>
          <w:sz w:val="20"/>
          <w:szCs w:val="20"/>
        </w:rPr>
        <w:t xml:space="preserve">, nous nous appuierons sur l’analyse </w:t>
      </w:r>
      <w:r w:rsidR="0032033A" w:rsidRPr="006D0C49">
        <w:rPr>
          <w:rFonts w:ascii="Times New Roman" w:hAnsi="Times New Roman" w:cs="Times New Roman"/>
          <w:sz w:val="20"/>
          <w:szCs w:val="20"/>
        </w:rPr>
        <w:t>de</w:t>
      </w:r>
      <w:r w:rsidRPr="006D0C49">
        <w:rPr>
          <w:rFonts w:ascii="Times New Roman" w:hAnsi="Times New Roman" w:cs="Times New Roman"/>
          <w:sz w:val="20"/>
          <w:szCs w:val="20"/>
        </w:rPr>
        <w:t xml:space="preserve"> </w:t>
      </w:r>
      <w:r w:rsidR="00DE6E9C">
        <w:rPr>
          <w:rFonts w:ascii="Times New Roman" w:hAnsi="Times New Roman" w:cs="Times New Roman"/>
          <w:sz w:val="20"/>
          <w:szCs w:val="20"/>
        </w:rPr>
        <w:t xml:space="preserve">deux </w:t>
      </w:r>
      <w:r w:rsidRPr="006D0C49">
        <w:rPr>
          <w:rFonts w:ascii="Times New Roman" w:hAnsi="Times New Roman" w:cs="Times New Roman"/>
          <w:sz w:val="20"/>
          <w:szCs w:val="20"/>
        </w:rPr>
        <w:t>mesures pour l’emploi mises en œuvre par Actiris</w:t>
      </w:r>
      <w:r w:rsidR="00896FDD">
        <w:rPr>
          <w:rStyle w:val="Appelnotedebasdep"/>
          <w:rFonts w:ascii="Times New Roman" w:hAnsi="Times New Roman"/>
          <w:sz w:val="20"/>
          <w:szCs w:val="20"/>
        </w:rPr>
        <w:footnoteReference w:id="2"/>
      </w:r>
      <w:r w:rsidRPr="006D0C49">
        <w:rPr>
          <w:rFonts w:ascii="Times New Roman" w:hAnsi="Times New Roman" w:cs="Times New Roman"/>
          <w:sz w:val="20"/>
          <w:szCs w:val="20"/>
        </w:rPr>
        <w:t xml:space="preserve"> (Service public de l’emploi bruxellois</w:t>
      </w:r>
      <w:r w:rsidR="006E4203" w:rsidRPr="006D0C49">
        <w:rPr>
          <w:rFonts w:ascii="Times New Roman" w:hAnsi="Times New Roman" w:cs="Times New Roman"/>
          <w:sz w:val="20"/>
          <w:szCs w:val="20"/>
        </w:rPr>
        <w:t xml:space="preserve"> - SPE</w:t>
      </w:r>
      <w:r w:rsidRPr="006D0C49">
        <w:rPr>
          <w:rFonts w:ascii="Times New Roman" w:hAnsi="Times New Roman" w:cs="Times New Roman"/>
          <w:sz w:val="20"/>
          <w:szCs w:val="20"/>
        </w:rPr>
        <w:t xml:space="preserve">) </w:t>
      </w:r>
      <w:r w:rsidR="00350A2F" w:rsidRPr="006D0C49">
        <w:rPr>
          <w:rFonts w:ascii="Times New Roman" w:hAnsi="Times New Roman" w:cs="Times New Roman"/>
          <w:sz w:val="20"/>
          <w:szCs w:val="20"/>
        </w:rPr>
        <w:t>à destination des jeunes. Une analyse chiffrée de la situation de ce public-cible mett</w:t>
      </w:r>
      <w:r w:rsidR="009130C6">
        <w:rPr>
          <w:rFonts w:ascii="Times New Roman" w:hAnsi="Times New Roman" w:cs="Times New Roman"/>
          <w:sz w:val="20"/>
          <w:szCs w:val="20"/>
        </w:rPr>
        <w:t>ra</w:t>
      </w:r>
      <w:r w:rsidR="00350A2F" w:rsidRPr="006D0C49">
        <w:rPr>
          <w:rFonts w:ascii="Times New Roman" w:hAnsi="Times New Roman" w:cs="Times New Roman"/>
          <w:sz w:val="20"/>
          <w:szCs w:val="20"/>
        </w:rPr>
        <w:t xml:space="preserve"> </w:t>
      </w:r>
      <w:r w:rsidR="005E55E1">
        <w:rPr>
          <w:rFonts w:ascii="Times New Roman" w:hAnsi="Times New Roman" w:cs="Times New Roman"/>
          <w:sz w:val="20"/>
          <w:szCs w:val="20"/>
        </w:rPr>
        <w:t>en évidence</w:t>
      </w:r>
      <w:r w:rsidR="00DE6E9C">
        <w:rPr>
          <w:rFonts w:ascii="Times New Roman" w:hAnsi="Times New Roman" w:cs="Times New Roman"/>
          <w:sz w:val="20"/>
          <w:szCs w:val="20"/>
        </w:rPr>
        <w:t xml:space="preserve"> les premiers effets de ces deux mesures et par conséquent</w:t>
      </w:r>
      <w:r w:rsidR="005E55E1">
        <w:rPr>
          <w:rFonts w:ascii="Times New Roman" w:hAnsi="Times New Roman" w:cs="Times New Roman"/>
          <w:sz w:val="20"/>
          <w:szCs w:val="20"/>
        </w:rPr>
        <w:t xml:space="preserve"> la manière dont les</w:t>
      </w:r>
      <w:r w:rsidR="00350A2F" w:rsidRPr="006D0C49">
        <w:rPr>
          <w:rFonts w:ascii="Times New Roman" w:hAnsi="Times New Roman" w:cs="Times New Roman"/>
          <w:sz w:val="20"/>
          <w:szCs w:val="20"/>
        </w:rPr>
        <w:t xml:space="preserve"> institutions publiques g</w:t>
      </w:r>
      <w:r w:rsidR="005E55E1">
        <w:rPr>
          <w:rFonts w:ascii="Times New Roman" w:hAnsi="Times New Roman" w:cs="Times New Roman"/>
          <w:sz w:val="20"/>
          <w:szCs w:val="20"/>
        </w:rPr>
        <w:t>èrent</w:t>
      </w:r>
      <w:r w:rsidR="00350A2F" w:rsidRPr="006D0C49">
        <w:rPr>
          <w:rFonts w:ascii="Times New Roman" w:hAnsi="Times New Roman" w:cs="Times New Roman"/>
          <w:sz w:val="20"/>
          <w:szCs w:val="20"/>
        </w:rPr>
        <w:t xml:space="preserve"> la zone grise d’exclusion. </w:t>
      </w:r>
      <w:r w:rsidR="00664739" w:rsidRPr="006D0C49">
        <w:rPr>
          <w:rFonts w:ascii="Times New Roman" w:hAnsi="Times New Roman" w:cs="Times New Roman"/>
          <w:sz w:val="20"/>
          <w:szCs w:val="20"/>
        </w:rPr>
        <w:t>Ce chapitre</w:t>
      </w:r>
      <w:r w:rsidR="0052308B" w:rsidRPr="006D0C49">
        <w:rPr>
          <w:rFonts w:ascii="Times New Roman" w:hAnsi="Times New Roman" w:cs="Times New Roman"/>
          <w:sz w:val="20"/>
          <w:szCs w:val="20"/>
        </w:rPr>
        <w:t xml:space="preserve"> se structure en trois parties. </w:t>
      </w:r>
      <w:r w:rsidR="00350A2F" w:rsidRPr="006D0C49">
        <w:rPr>
          <w:rFonts w:ascii="Times New Roman" w:hAnsi="Times New Roman" w:cs="Times New Roman"/>
          <w:sz w:val="20"/>
          <w:szCs w:val="20"/>
        </w:rPr>
        <w:t>D’abord, l</w:t>
      </w:r>
      <w:r w:rsidRPr="006D0C49">
        <w:rPr>
          <w:rFonts w:ascii="Times New Roman" w:hAnsi="Times New Roman" w:cs="Times New Roman"/>
          <w:sz w:val="20"/>
          <w:szCs w:val="20"/>
        </w:rPr>
        <w:t>’action d</w:t>
      </w:r>
      <w:r w:rsidR="00B56347" w:rsidRPr="006D0C49">
        <w:rPr>
          <w:rFonts w:ascii="Times New Roman" w:hAnsi="Times New Roman" w:cs="Times New Roman"/>
          <w:sz w:val="20"/>
          <w:szCs w:val="20"/>
        </w:rPr>
        <w:t>u</w:t>
      </w:r>
      <w:r w:rsidRPr="006D0C49">
        <w:rPr>
          <w:rFonts w:ascii="Times New Roman" w:hAnsi="Times New Roman" w:cs="Times New Roman"/>
          <w:sz w:val="20"/>
          <w:szCs w:val="20"/>
        </w:rPr>
        <w:t xml:space="preserve"> </w:t>
      </w:r>
      <w:r w:rsidR="00F45462" w:rsidRPr="006D0C49">
        <w:rPr>
          <w:rFonts w:ascii="Times New Roman" w:hAnsi="Times New Roman" w:cs="Times New Roman"/>
          <w:sz w:val="20"/>
          <w:szCs w:val="20"/>
        </w:rPr>
        <w:t>service public de l’emploi</w:t>
      </w:r>
      <w:r w:rsidRPr="006D0C49">
        <w:rPr>
          <w:rFonts w:ascii="Times New Roman" w:hAnsi="Times New Roman" w:cs="Times New Roman"/>
          <w:sz w:val="20"/>
          <w:szCs w:val="20"/>
        </w:rPr>
        <w:t xml:space="preserve"> sera examinée à la lumière de </w:t>
      </w:r>
      <w:r w:rsidR="00317739">
        <w:rPr>
          <w:rFonts w:ascii="Times New Roman" w:hAnsi="Times New Roman" w:cs="Times New Roman"/>
          <w:sz w:val="20"/>
          <w:szCs w:val="20"/>
        </w:rPr>
        <w:t>trois</w:t>
      </w:r>
      <w:r w:rsidR="00317739" w:rsidRPr="006D0C49">
        <w:rPr>
          <w:rFonts w:ascii="Times New Roman" w:hAnsi="Times New Roman" w:cs="Times New Roman"/>
          <w:sz w:val="20"/>
          <w:szCs w:val="20"/>
        </w:rPr>
        <w:t xml:space="preserve"> </w:t>
      </w:r>
      <w:r w:rsidRPr="006D0C49">
        <w:rPr>
          <w:rFonts w:ascii="Times New Roman" w:hAnsi="Times New Roman" w:cs="Times New Roman"/>
          <w:sz w:val="20"/>
          <w:szCs w:val="20"/>
        </w:rPr>
        <w:t xml:space="preserve">dispositifs phare en Région bruxelloise : </w:t>
      </w:r>
      <w:r w:rsidR="00803FE2" w:rsidRPr="006D0C49">
        <w:rPr>
          <w:rFonts w:ascii="Times New Roman" w:hAnsi="Times New Roman" w:cs="Times New Roman"/>
          <w:sz w:val="20"/>
          <w:szCs w:val="20"/>
        </w:rPr>
        <w:t xml:space="preserve">la </w:t>
      </w:r>
      <w:r w:rsidR="00385B58" w:rsidRPr="006D0C49">
        <w:rPr>
          <w:rFonts w:ascii="Times New Roman" w:hAnsi="Times New Roman" w:cs="Times New Roman"/>
          <w:sz w:val="20"/>
          <w:szCs w:val="20"/>
        </w:rPr>
        <w:t>Garantie Jeunes</w:t>
      </w:r>
      <w:r w:rsidR="00961DC0">
        <w:rPr>
          <w:rFonts w:ascii="Times New Roman" w:hAnsi="Times New Roman" w:cs="Times New Roman"/>
          <w:sz w:val="20"/>
          <w:szCs w:val="20"/>
        </w:rPr>
        <w:t xml:space="preserve"> dont</w:t>
      </w:r>
      <w:r w:rsidR="00317739">
        <w:rPr>
          <w:rFonts w:ascii="Times New Roman" w:hAnsi="Times New Roman" w:cs="Times New Roman"/>
          <w:sz w:val="20"/>
          <w:szCs w:val="20"/>
        </w:rPr>
        <w:t xml:space="preserve"> l’accompagnement des NEET</w:t>
      </w:r>
      <w:r w:rsidR="00803FE2" w:rsidRPr="006D0C49">
        <w:rPr>
          <w:rFonts w:ascii="Times New Roman" w:hAnsi="Times New Roman" w:cs="Times New Roman"/>
          <w:sz w:val="20"/>
          <w:szCs w:val="20"/>
        </w:rPr>
        <w:t xml:space="preserve"> et </w:t>
      </w:r>
      <w:r w:rsidRPr="006D0C49">
        <w:rPr>
          <w:rFonts w:ascii="Times New Roman" w:hAnsi="Times New Roman" w:cs="Times New Roman"/>
          <w:sz w:val="20"/>
          <w:szCs w:val="20"/>
        </w:rPr>
        <w:t xml:space="preserve">le </w:t>
      </w:r>
      <w:r w:rsidR="00755124" w:rsidRPr="006D0C49">
        <w:rPr>
          <w:rFonts w:ascii="Times New Roman" w:hAnsi="Times New Roman" w:cs="Times New Roman"/>
          <w:sz w:val="20"/>
          <w:szCs w:val="20"/>
        </w:rPr>
        <w:t>P</w:t>
      </w:r>
      <w:r w:rsidR="003976FA" w:rsidRPr="006D0C49">
        <w:rPr>
          <w:rFonts w:ascii="Times New Roman" w:hAnsi="Times New Roman" w:cs="Times New Roman"/>
          <w:sz w:val="20"/>
          <w:szCs w:val="20"/>
        </w:rPr>
        <w:t>lan d’</w:t>
      </w:r>
      <w:r w:rsidR="00755124" w:rsidRPr="006D0C49">
        <w:rPr>
          <w:rFonts w:ascii="Times New Roman" w:hAnsi="Times New Roman" w:cs="Times New Roman"/>
          <w:sz w:val="20"/>
          <w:szCs w:val="20"/>
        </w:rPr>
        <w:t>A</w:t>
      </w:r>
      <w:r w:rsidR="003976FA" w:rsidRPr="006D0C49">
        <w:rPr>
          <w:rFonts w:ascii="Times New Roman" w:hAnsi="Times New Roman" w:cs="Times New Roman"/>
          <w:sz w:val="20"/>
          <w:szCs w:val="20"/>
        </w:rPr>
        <w:t xml:space="preserve">ccompagnement </w:t>
      </w:r>
      <w:r w:rsidR="00755124" w:rsidRPr="006D0C49">
        <w:rPr>
          <w:rFonts w:ascii="Times New Roman" w:hAnsi="Times New Roman" w:cs="Times New Roman"/>
          <w:sz w:val="20"/>
          <w:szCs w:val="20"/>
        </w:rPr>
        <w:t>I</w:t>
      </w:r>
      <w:r w:rsidR="003976FA" w:rsidRPr="006D0C49">
        <w:rPr>
          <w:rFonts w:ascii="Times New Roman" w:hAnsi="Times New Roman" w:cs="Times New Roman"/>
          <w:sz w:val="20"/>
          <w:szCs w:val="20"/>
        </w:rPr>
        <w:t>ndividualisé</w:t>
      </w:r>
      <w:r w:rsidRPr="006D0C49">
        <w:rPr>
          <w:rFonts w:ascii="Times New Roman" w:hAnsi="Times New Roman" w:cs="Times New Roman"/>
          <w:sz w:val="20"/>
          <w:szCs w:val="20"/>
        </w:rPr>
        <w:t xml:space="preserve">. </w:t>
      </w:r>
      <w:r w:rsidR="00350A2F" w:rsidRPr="006D0C49">
        <w:rPr>
          <w:rFonts w:ascii="Times New Roman" w:hAnsi="Times New Roman" w:cs="Times New Roman"/>
          <w:sz w:val="20"/>
          <w:szCs w:val="20"/>
        </w:rPr>
        <w:t>Ensuite, la méthodologie et les bases de données utilisées seront explicitées. Enfin, l</w:t>
      </w:r>
      <w:r w:rsidR="00B56347" w:rsidRPr="006D0C49">
        <w:rPr>
          <w:rFonts w:ascii="Times New Roman" w:hAnsi="Times New Roman" w:cs="Times New Roman"/>
          <w:sz w:val="20"/>
          <w:szCs w:val="20"/>
        </w:rPr>
        <w:t>a dernière partie</w:t>
      </w:r>
      <w:r w:rsidRPr="006D0C49">
        <w:rPr>
          <w:rFonts w:ascii="Times New Roman" w:hAnsi="Times New Roman" w:cs="Times New Roman"/>
          <w:sz w:val="20"/>
          <w:szCs w:val="20"/>
        </w:rPr>
        <w:t xml:space="preserve"> sera dédié</w:t>
      </w:r>
      <w:r w:rsidR="000D3CA5" w:rsidRPr="006D0C49">
        <w:rPr>
          <w:rFonts w:ascii="Times New Roman" w:hAnsi="Times New Roman" w:cs="Times New Roman"/>
          <w:sz w:val="20"/>
          <w:szCs w:val="20"/>
        </w:rPr>
        <w:t>e</w:t>
      </w:r>
      <w:r w:rsidRPr="006D0C49">
        <w:rPr>
          <w:rFonts w:ascii="Times New Roman" w:hAnsi="Times New Roman" w:cs="Times New Roman"/>
          <w:sz w:val="20"/>
          <w:szCs w:val="20"/>
        </w:rPr>
        <w:t xml:space="preserve"> à l’analyse chiffrée de la situation des jeunes chômeurs au regard des dispositifs d’activation et d’accompagnement.</w:t>
      </w:r>
      <w:r w:rsidR="00424D23" w:rsidRPr="006D0C49">
        <w:rPr>
          <w:rFonts w:ascii="Times New Roman" w:hAnsi="Times New Roman" w:cs="Times New Roman"/>
          <w:b/>
          <w:sz w:val="20"/>
          <w:szCs w:val="20"/>
        </w:rPr>
        <w:t xml:space="preserve">  </w:t>
      </w:r>
    </w:p>
    <w:p w14:paraId="7693B77D" w14:textId="43A98296" w:rsidR="003976FA" w:rsidRPr="006D0C49" w:rsidRDefault="00094E30" w:rsidP="00094E30">
      <w:pPr>
        <w:autoSpaceDE w:val="0"/>
        <w:autoSpaceDN w:val="0"/>
        <w:adjustRightInd w:val="0"/>
        <w:spacing w:before="240"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lastRenderedPageBreak/>
        <w:t xml:space="preserve">1. </w:t>
      </w:r>
      <w:r w:rsidR="0093162D" w:rsidRPr="006D0C49">
        <w:rPr>
          <w:rFonts w:ascii="Times New Roman" w:hAnsi="Times New Roman" w:cs="Times New Roman"/>
          <w:b/>
          <w:sz w:val="20"/>
          <w:szCs w:val="20"/>
        </w:rPr>
        <w:t>LES INSTITUTIONS PUBLIQUES EN ACTION : LA CRÉATION D’OUTILS D’ACCOMPAGNEMENT</w:t>
      </w:r>
    </w:p>
    <w:p w14:paraId="637C32B7" w14:textId="205C077A" w:rsidR="00584861" w:rsidRPr="006D0C49" w:rsidRDefault="00094E30" w:rsidP="00094E30">
      <w:pPr>
        <w:autoSpaceDE w:val="0"/>
        <w:autoSpaceDN w:val="0"/>
        <w:adjustRightInd w:val="0"/>
        <w:spacing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t xml:space="preserve">1.1. </w:t>
      </w:r>
      <w:r w:rsidR="00584861" w:rsidRPr="006D0C49">
        <w:rPr>
          <w:rFonts w:ascii="Times New Roman" w:hAnsi="Times New Roman" w:cs="Times New Roman"/>
          <w:b/>
          <w:sz w:val="20"/>
          <w:szCs w:val="20"/>
        </w:rPr>
        <w:t xml:space="preserve">Vers une </w:t>
      </w:r>
      <w:r w:rsidR="005D4F68" w:rsidRPr="006D0C49">
        <w:rPr>
          <w:rFonts w:ascii="Times New Roman" w:hAnsi="Times New Roman" w:cs="Times New Roman"/>
          <w:b/>
          <w:sz w:val="20"/>
          <w:szCs w:val="20"/>
        </w:rPr>
        <w:t>articulation des</w:t>
      </w:r>
      <w:r w:rsidR="00524981" w:rsidRPr="006D0C49">
        <w:rPr>
          <w:rFonts w:ascii="Times New Roman" w:hAnsi="Times New Roman" w:cs="Times New Roman"/>
          <w:b/>
          <w:sz w:val="20"/>
          <w:szCs w:val="20"/>
        </w:rPr>
        <w:t xml:space="preserve"> missions</w:t>
      </w:r>
      <w:r w:rsidR="005D4F68" w:rsidRPr="006D0C49">
        <w:rPr>
          <w:rFonts w:ascii="Times New Roman" w:hAnsi="Times New Roman" w:cs="Times New Roman"/>
          <w:b/>
          <w:sz w:val="20"/>
          <w:szCs w:val="20"/>
        </w:rPr>
        <w:t xml:space="preserve"> </w:t>
      </w:r>
      <w:r w:rsidR="00524981" w:rsidRPr="006D0C49">
        <w:rPr>
          <w:rFonts w:ascii="Times New Roman" w:hAnsi="Times New Roman" w:cs="Times New Roman"/>
          <w:b/>
          <w:sz w:val="20"/>
          <w:szCs w:val="20"/>
        </w:rPr>
        <w:t xml:space="preserve">des </w:t>
      </w:r>
      <w:r w:rsidR="005D4F68" w:rsidRPr="006D0C49">
        <w:rPr>
          <w:rFonts w:ascii="Times New Roman" w:hAnsi="Times New Roman" w:cs="Times New Roman"/>
          <w:b/>
          <w:sz w:val="20"/>
          <w:szCs w:val="20"/>
        </w:rPr>
        <w:t>institutions</w:t>
      </w:r>
    </w:p>
    <w:p w14:paraId="1368209C" w14:textId="16282080" w:rsidR="0093162D" w:rsidRPr="006D0C49" w:rsidRDefault="0093162D" w:rsidP="0093162D">
      <w:pPr>
        <w:autoSpaceDE w:val="0"/>
        <w:autoSpaceDN w:val="0"/>
        <w:adjustRightInd w:val="0"/>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L’instauration des politiques d’activation participe d’un mouvement concomitant de redéfinition des rôles et missions d</w:t>
      </w:r>
      <w:r w:rsidR="000A78DE" w:rsidRPr="006D0C49">
        <w:rPr>
          <w:rFonts w:ascii="Times New Roman" w:hAnsi="Times New Roman" w:cs="Times New Roman"/>
          <w:sz w:val="20"/>
          <w:szCs w:val="20"/>
        </w:rPr>
        <w:t>es</w:t>
      </w:r>
      <w:r w:rsidR="000D3CA5" w:rsidRPr="006D0C49">
        <w:rPr>
          <w:rFonts w:ascii="Times New Roman" w:hAnsi="Times New Roman" w:cs="Times New Roman"/>
          <w:sz w:val="20"/>
          <w:szCs w:val="20"/>
        </w:rPr>
        <w:t xml:space="preserve"> s</w:t>
      </w:r>
      <w:r w:rsidRPr="006D0C49">
        <w:rPr>
          <w:rFonts w:ascii="Times New Roman" w:hAnsi="Times New Roman" w:cs="Times New Roman"/>
          <w:sz w:val="20"/>
          <w:szCs w:val="20"/>
        </w:rPr>
        <w:t>ervice</w:t>
      </w:r>
      <w:r w:rsidR="000A78DE" w:rsidRPr="006D0C49">
        <w:rPr>
          <w:rFonts w:ascii="Times New Roman" w:hAnsi="Times New Roman" w:cs="Times New Roman"/>
          <w:sz w:val="20"/>
          <w:szCs w:val="20"/>
        </w:rPr>
        <w:t>s</w:t>
      </w:r>
      <w:r w:rsidRPr="006D0C49">
        <w:rPr>
          <w:rFonts w:ascii="Times New Roman" w:hAnsi="Times New Roman" w:cs="Times New Roman"/>
          <w:sz w:val="20"/>
          <w:szCs w:val="20"/>
        </w:rPr>
        <w:t xml:space="preserve"> public</w:t>
      </w:r>
      <w:r w:rsidR="000A78DE" w:rsidRPr="006D0C49">
        <w:rPr>
          <w:rFonts w:ascii="Times New Roman" w:hAnsi="Times New Roman" w:cs="Times New Roman"/>
          <w:sz w:val="20"/>
          <w:szCs w:val="20"/>
        </w:rPr>
        <w:t>s</w:t>
      </w:r>
      <w:r w:rsidRPr="006D0C49">
        <w:rPr>
          <w:rFonts w:ascii="Times New Roman" w:hAnsi="Times New Roman" w:cs="Times New Roman"/>
          <w:sz w:val="20"/>
          <w:szCs w:val="20"/>
        </w:rPr>
        <w:t xml:space="preserve"> </w:t>
      </w:r>
      <w:r w:rsidR="00E16D67" w:rsidRPr="006D0C49">
        <w:rPr>
          <w:rFonts w:ascii="Times New Roman" w:hAnsi="Times New Roman" w:cs="Times New Roman"/>
          <w:sz w:val="20"/>
          <w:szCs w:val="20"/>
        </w:rPr>
        <w:t>qui devien</w:t>
      </w:r>
      <w:r w:rsidR="000A78DE" w:rsidRPr="006D0C49">
        <w:rPr>
          <w:rFonts w:ascii="Times New Roman" w:hAnsi="Times New Roman" w:cs="Times New Roman"/>
          <w:sz w:val="20"/>
          <w:szCs w:val="20"/>
        </w:rPr>
        <w:t>nen</w:t>
      </w:r>
      <w:r w:rsidR="00E16D67" w:rsidRPr="006D0C49">
        <w:rPr>
          <w:rFonts w:ascii="Times New Roman" w:hAnsi="Times New Roman" w:cs="Times New Roman"/>
          <w:sz w:val="20"/>
          <w:szCs w:val="20"/>
        </w:rPr>
        <w:t xml:space="preserve">t </w:t>
      </w:r>
      <w:r w:rsidR="000A78DE" w:rsidRPr="006D0C49">
        <w:rPr>
          <w:rFonts w:ascii="Times New Roman" w:hAnsi="Times New Roman" w:cs="Times New Roman"/>
          <w:sz w:val="20"/>
          <w:szCs w:val="20"/>
        </w:rPr>
        <w:t>des</w:t>
      </w:r>
      <w:r w:rsidR="00E16D67" w:rsidRPr="006D0C49">
        <w:rPr>
          <w:rFonts w:ascii="Times New Roman" w:hAnsi="Times New Roman" w:cs="Times New Roman"/>
          <w:sz w:val="20"/>
          <w:szCs w:val="20"/>
        </w:rPr>
        <w:t xml:space="preserve"> institution</w:t>
      </w:r>
      <w:r w:rsidR="000A78DE" w:rsidRPr="006D0C49">
        <w:rPr>
          <w:rFonts w:ascii="Times New Roman" w:hAnsi="Times New Roman" w:cs="Times New Roman"/>
          <w:sz w:val="20"/>
          <w:szCs w:val="20"/>
        </w:rPr>
        <w:t>s</w:t>
      </w:r>
      <w:r w:rsidR="00E16D67" w:rsidRPr="006D0C49">
        <w:rPr>
          <w:rFonts w:ascii="Times New Roman" w:hAnsi="Times New Roman" w:cs="Times New Roman"/>
          <w:sz w:val="20"/>
          <w:szCs w:val="20"/>
        </w:rPr>
        <w:t xml:space="preserve"> régulatrice</w:t>
      </w:r>
      <w:r w:rsidR="000A78DE" w:rsidRPr="006D0C49">
        <w:rPr>
          <w:rFonts w:ascii="Times New Roman" w:hAnsi="Times New Roman" w:cs="Times New Roman"/>
          <w:sz w:val="20"/>
          <w:szCs w:val="20"/>
        </w:rPr>
        <w:t>s</w:t>
      </w:r>
      <w:r w:rsidR="00D46D63" w:rsidRPr="006D0C49">
        <w:rPr>
          <w:rFonts w:ascii="Times New Roman" w:hAnsi="Times New Roman" w:cs="Times New Roman"/>
          <w:sz w:val="20"/>
          <w:szCs w:val="20"/>
        </w:rPr>
        <w:t xml:space="preserve">. </w:t>
      </w:r>
      <w:r w:rsidRPr="006D0C49">
        <w:rPr>
          <w:rFonts w:ascii="Times New Roman" w:hAnsi="Times New Roman" w:cs="Times New Roman"/>
          <w:sz w:val="20"/>
          <w:szCs w:val="20"/>
        </w:rPr>
        <w:t>En effet, si ces politiques impactent l’individu en le replaçant au cœur de la question sociale à travers une relation contractuelle définie par des droits et devoirs, elles génèrent également une transformation des modes d’intervention de l’</w:t>
      </w:r>
      <w:r w:rsidR="0007606B" w:rsidRPr="006D0C49">
        <w:rPr>
          <w:rFonts w:ascii="Times New Roman" w:hAnsi="Times New Roman" w:cs="Times New Roman"/>
          <w:sz w:val="20"/>
          <w:szCs w:val="20"/>
        </w:rPr>
        <w:t>État</w:t>
      </w:r>
      <w:r w:rsidR="002C3AC5" w:rsidRPr="006D0C49">
        <w:rPr>
          <w:rFonts w:ascii="Times New Roman" w:hAnsi="Times New Roman" w:cs="Times New Roman"/>
          <w:sz w:val="20"/>
          <w:szCs w:val="20"/>
        </w:rPr>
        <w:t xml:space="preserve"> (Vielle et al., 2005)</w:t>
      </w:r>
      <w:r w:rsidRPr="006D0C49">
        <w:rPr>
          <w:rFonts w:ascii="Times New Roman" w:hAnsi="Times New Roman" w:cs="Times New Roman"/>
          <w:sz w:val="20"/>
          <w:szCs w:val="20"/>
        </w:rPr>
        <w:t xml:space="preserve">. Le régime d’activation des chômeurs induit à la fois une dimension procédurale, qui se traduit par des politiques et des dispositifs publics, et une dimension institutionnelle à travers les mutations du champ de l’intermédiation sur le marché de l’emploi. Ces deux dimensions font système (Béraud et </w:t>
      </w:r>
      <w:proofErr w:type="spellStart"/>
      <w:r w:rsidRPr="006D0C49">
        <w:rPr>
          <w:rFonts w:ascii="Times New Roman" w:hAnsi="Times New Roman" w:cs="Times New Roman"/>
          <w:sz w:val="20"/>
          <w:szCs w:val="20"/>
        </w:rPr>
        <w:t>Eydoux</w:t>
      </w:r>
      <w:proofErr w:type="spellEnd"/>
      <w:r w:rsidRPr="006D0C49">
        <w:rPr>
          <w:rFonts w:ascii="Times New Roman" w:hAnsi="Times New Roman" w:cs="Times New Roman"/>
          <w:sz w:val="20"/>
          <w:szCs w:val="20"/>
        </w:rPr>
        <w:t>, 2009) et se rejoignent dans une sorte de processus dialectique. Tantôt, le service public est amené à adapter ses prérogatives, son organisation et sa structure au cadre fixé par les politiques promues. Tantôt, c’est l’institution qui modèle les contours des dispositifs d’accompagnement, dans un jeu de construction de « l’action publique et collective » (</w:t>
      </w:r>
      <w:proofErr w:type="spellStart"/>
      <w:r w:rsidRPr="006D0C49">
        <w:rPr>
          <w:rFonts w:ascii="Times New Roman" w:hAnsi="Times New Roman" w:cs="Times New Roman"/>
          <w:sz w:val="20"/>
          <w:szCs w:val="20"/>
        </w:rPr>
        <w:t>Thoenig</w:t>
      </w:r>
      <w:proofErr w:type="spellEnd"/>
      <w:r w:rsidRPr="006D0C49">
        <w:rPr>
          <w:rFonts w:ascii="Times New Roman" w:hAnsi="Times New Roman" w:cs="Times New Roman"/>
          <w:sz w:val="20"/>
          <w:szCs w:val="20"/>
        </w:rPr>
        <w:t xml:space="preserve">, 1998). </w:t>
      </w:r>
    </w:p>
    <w:p w14:paraId="561DAE31" w14:textId="53378AF7" w:rsidR="00DE1983" w:rsidRPr="006D0C49" w:rsidRDefault="005D4F68" w:rsidP="005D4F68">
      <w:pPr>
        <w:pStyle w:val="NormalWeb"/>
        <w:spacing w:after="120"/>
        <w:jc w:val="both"/>
        <w:rPr>
          <w:sz w:val="20"/>
          <w:szCs w:val="20"/>
        </w:rPr>
      </w:pPr>
      <w:r w:rsidRPr="006D0C49">
        <w:rPr>
          <w:sz w:val="20"/>
          <w:szCs w:val="20"/>
        </w:rPr>
        <w:t>Au niveau institutionnel, la disparition progressive des jeunes – mais aussi d’autres publics – des radars du SPE pose question quant à l’accompagnement de ces individus vers l’emploi. Ces personnes n’ont par exemple plus un accès prioritaire à la formation professionnelle dispensée par Bruxelles Formation</w:t>
      </w:r>
      <w:r w:rsidR="00961DC0">
        <w:rPr>
          <w:rStyle w:val="Appelnotedebasdep"/>
          <w:sz w:val="20"/>
          <w:szCs w:val="20"/>
        </w:rPr>
        <w:footnoteReference w:id="3"/>
      </w:r>
      <w:r w:rsidRPr="006D0C49">
        <w:rPr>
          <w:sz w:val="20"/>
          <w:szCs w:val="20"/>
        </w:rPr>
        <w:t xml:space="preserve"> et ses partenaires, ce qui peut poser problème en termes d’insertion / reconversion professionnelle. Elles n’ont de ce fait plus la possibilité de travailler leur </w:t>
      </w:r>
      <w:r w:rsidR="00A874C4" w:rsidRPr="006D0C49">
        <w:rPr>
          <w:sz w:val="20"/>
          <w:szCs w:val="20"/>
        </w:rPr>
        <w:t>« </w:t>
      </w:r>
      <w:r w:rsidRPr="006D0C49">
        <w:rPr>
          <w:sz w:val="20"/>
          <w:szCs w:val="20"/>
        </w:rPr>
        <w:t>employabilité</w:t>
      </w:r>
      <w:r w:rsidR="00A874C4" w:rsidRPr="006D0C49">
        <w:rPr>
          <w:sz w:val="20"/>
          <w:szCs w:val="20"/>
        </w:rPr>
        <w:t> » (Gazier, 2009)</w:t>
      </w:r>
      <w:r w:rsidRPr="006D0C49">
        <w:rPr>
          <w:sz w:val="20"/>
          <w:szCs w:val="20"/>
        </w:rPr>
        <w:t xml:space="preserve">, c’est-à-dire leurs qualifications, compétences et d’acquérir de nouvelles expériences par la réalisation d’un stage en entreprise à la suite de la formation par exemple. </w:t>
      </w:r>
    </w:p>
    <w:p w14:paraId="2BBF28B7" w14:textId="4BB07E91" w:rsidR="005D4F68" w:rsidRPr="006D0C49" w:rsidRDefault="005D4F68" w:rsidP="005D4F68">
      <w:pPr>
        <w:pStyle w:val="NormalWeb"/>
        <w:spacing w:after="120"/>
        <w:jc w:val="both"/>
        <w:rPr>
          <w:sz w:val="20"/>
          <w:szCs w:val="20"/>
        </w:rPr>
      </w:pPr>
      <w:r w:rsidRPr="006D0C49">
        <w:rPr>
          <w:sz w:val="20"/>
          <w:szCs w:val="20"/>
        </w:rPr>
        <w:t xml:space="preserve">Les institutions </w:t>
      </w:r>
      <w:r w:rsidR="00F820F4" w:rsidRPr="006D0C49">
        <w:rPr>
          <w:sz w:val="20"/>
          <w:szCs w:val="20"/>
        </w:rPr>
        <w:t xml:space="preserve">s’inscrivent dans une logique de « traitement clinique du chômage » </w:t>
      </w:r>
      <w:r w:rsidR="0031520A" w:rsidRPr="006D0C49">
        <w:rPr>
          <w:sz w:val="20"/>
          <w:szCs w:val="20"/>
        </w:rPr>
        <w:t xml:space="preserve">(Orianne, 2005) </w:t>
      </w:r>
      <w:r w:rsidR="00F820F4" w:rsidRPr="006D0C49">
        <w:rPr>
          <w:sz w:val="20"/>
          <w:szCs w:val="20"/>
        </w:rPr>
        <w:t xml:space="preserve">qui tend à socialiser au marché du travail la population active inoccupée en invitant l’individu à travailler sur lui-même (Orianne et Conter, 2007). L’objectif est </w:t>
      </w:r>
      <w:r w:rsidRPr="006D0C49">
        <w:rPr>
          <w:sz w:val="20"/>
          <w:szCs w:val="20"/>
        </w:rPr>
        <w:t xml:space="preserve">d’agir </w:t>
      </w:r>
      <w:r w:rsidR="00F820F4" w:rsidRPr="006D0C49">
        <w:rPr>
          <w:sz w:val="20"/>
          <w:szCs w:val="20"/>
        </w:rPr>
        <w:t xml:space="preserve">dans la mesure de leur périmètre d’action </w:t>
      </w:r>
      <w:r w:rsidRPr="006D0C49">
        <w:rPr>
          <w:sz w:val="20"/>
          <w:szCs w:val="20"/>
        </w:rPr>
        <w:t>pour limiter les exclusions. Par exemple, les opérateurs de formation bruxellois ont proposé d’intégrer les certifications et les titres de compétences dans la liste des diplômes reconnus pour ouvrir le droit aux allocations pour les moins de 21 ans.</w:t>
      </w:r>
    </w:p>
    <w:p w14:paraId="7099FF57" w14:textId="6A1BEECE" w:rsidR="00256DDC" w:rsidRPr="006D0C49" w:rsidRDefault="005D4F68" w:rsidP="003976FA">
      <w:pPr>
        <w:autoSpaceDE w:val="0"/>
        <w:autoSpaceDN w:val="0"/>
        <w:adjustRightInd w:val="0"/>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w:t>
      </w:r>
      <w:r w:rsidR="00ED6E41" w:rsidRPr="006D0C49">
        <w:rPr>
          <w:rFonts w:ascii="Times New Roman" w:hAnsi="Times New Roman" w:cs="Times New Roman"/>
          <w:sz w:val="20"/>
          <w:szCs w:val="20"/>
        </w:rPr>
        <w:t xml:space="preserve">es services publics régionaux, progressivement devenus des prestataires de services de plus en plus personnalisés à destination des chercheurs d’emploi mais aussi des entreprises, se retrouvent ainsi à la croisée de logiques différentes voire </w:t>
      </w:r>
      <w:r w:rsidR="00D10E4C" w:rsidRPr="006D0C49">
        <w:rPr>
          <w:rFonts w:ascii="Times New Roman" w:hAnsi="Times New Roman" w:cs="Times New Roman"/>
          <w:sz w:val="20"/>
          <w:szCs w:val="20"/>
        </w:rPr>
        <w:t>opposées</w:t>
      </w:r>
      <w:r w:rsidR="00ED6E41" w:rsidRPr="006D0C49">
        <w:rPr>
          <w:rFonts w:ascii="Times New Roman" w:hAnsi="Times New Roman" w:cs="Times New Roman"/>
          <w:sz w:val="20"/>
          <w:szCs w:val="20"/>
        </w:rPr>
        <w:t xml:space="preserve">. </w:t>
      </w:r>
      <w:r w:rsidR="007024D0">
        <w:rPr>
          <w:rFonts w:ascii="Times New Roman" w:hAnsi="Times New Roman" w:cs="Times New Roman"/>
          <w:sz w:val="20"/>
          <w:szCs w:val="20"/>
        </w:rPr>
        <w:t>Parmi les</w:t>
      </w:r>
      <w:r w:rsidRPr="006D0C49">
        <w:rPr>
          <w:rFonts w:ascii="Times New Roman" w:hAnsi="Times New Roman" w:cs="Times New Roman"/>
          <w:sz w:val="20"/>
          <w:szCs w:val="20"/>
        </w:rPr>
        <w:t xml:space="preserve"> logique</w:t>
      </w:r>
      <w:r w:rsidR="00D10E4C" w:rsidRPr="006D0C49">
        <w:rPr>
          <w:rFonts w:ascii="Times New Roman" w:hAnsi="Times New Roman" w:cs="Times New Roman"/>
          <w:sz w:val="20"/>
          <w:szCs w:val="20"/>
        </w:rPr>
        <w:t>s</w:t>
      </w:r>
      <w:r w:rsidRPr="006D0C49">
        <w:rPr>
          <w:rFonts w:ascii="Times New Roman" w:hAnsi="Times New Roman" w:cs="Times New Roman"/>
          <w:sz w:val="20"/>
          <w:szCs w:val="20"/>
        </w:rPr>
        <w:t xml:space="preserve"> antagonique</w:t>
      </w:r>
      <w:r w:rsidR="00D10E4C" w:rsidRPr="006D0C49">
        <w:rPr>
          <w:rFonts w:ascii="Times New Roman" w:hAnsi="Times New Roman" w:cs="Times New Roman"/>
          <w:sz w:val="20"/>
          <w:szCs w:val="20"/>
        </w:rPr>
        <w:t>s</w:t>
      </w:r>
      <w:r w:rsidR="00524981" w:rsidRPr="006D0C49">
        <w:rPr>
          <w:rFonts w:ascii="Times New Roman" w:hAnsi="Times New Roman" w:cs="Times New Roman"/>
          <w:sz w:val="20"/>
          <w:szCs w:val="20"/>
        </w:rPr>
        <w:t>,</w:t>
      </w:r>
      <w:r w:rsidRPr="006D0C49">
        <w:rPr>
          <w:rFonts w:ascii="Times New Roman" w:hAnsi="Times New Roman" w:cs="Times New Roman"/>
          <w:sz w:val="20"/>
          <w:szCs w:val="20"/>
        </w:rPr>
        <w:t xml:space="preserve"> le </w:t>
      </w:r>
      <w:r w:rsidR="00961DC0">
        <w:rPr>
          <w:rFonts w:ascii="Times New Roman" w:hAnsi="Times New Roman" w:cs="Times New Roman"/>
          <w:sz w:val="20"/>
          <w:szCs w:val="20"/>
        </w:rPr>
        <w:t>service public régional d’emploi</w:t>
      </w:r>
      <w:r w:rsidRPr="006D0C49">
        <w:rPr>
          <w:rFonts w:ascii="Times New Roman" w:hAnsi="Times New Roman" w:cs="Times New Roman"/>
          <w:sz w:val="20"/>
          <w:szCs w:val="20"/>
        </w:rPr>
        <w:t xml:space="preserve"> </w:t>
      </w:r>
      <w:r w:rsidR="00D10E4C" w:rsidRPr="006D0C49">
        <w:rPr>
          <w:rFonts w:ascii="Times New Roman" w:hAnsi="Times New Roman" w:cs="Times New Roman"/>
          <w:sz w:val="20"/>
          <w:szCs w:val="20"/>
        </w:rPr>
        <w:t>est par exemple tenu d’</w:t>
      </w:r>
      <w:r w:rsidRPr="006D0C49">
        <w:rPr>
          <w:rFonts w:ascii="Times New Roman" w:hAnsi="Times New Roman" w:cs="Times New Roman"/>
          <w:sz w:val="20"/>
          <w:szCs w:val="20"/>
        </w:rPr>
        <w:t>organiser l’accompagnement des demandeurs d’e</w:t>
      </w:r>
      <w:r w:rsidR="00524981" w:rsidRPr="006D0C49">
        <w:rPr>
          <w:rFonts w:ascii="Times New Roman" w:hAnsi="Times New Roman" w:cs="Times New Roman"/>
          <w:sz w:val="20"/>
          <w:szCs w:val="20"/>
        </w:rPr>
        <w:t>mploi mais aussi</w:t>
      </w:r>
      <w:r w:rsidRPr="006D0C49">
        <w:rPr>
          <w:rFonts w:ascii="Times New Roman" w:hAnsi="Times New Roman" w:cs="Times New Roman"/>
          <w:sz w:val="20"/>
          <w:szCs w:val="20"/>
        </w:rPr>
        <w:t xml:space="preserve"> d’assurer le contrôle de l</w:t>
      </w:r>
      <w:r w:rsidR="00D10E4C" w:rsidRPr="006D0C49">
        <w:rPr>
          <w:rFonts w:ascii="Times New Roman" w:hAnsi="Times New Roman" w:cs="Times New Roman"/>
          <w:sz w:val="20"/>
          <w:szCs w:val="20"/>
        </w:rPr>
        <w:t>eur</w:t>
      </w:r>
      <w:r w:rsidRPr="006D0C49">
        <w:rPr>
          <w:rFonts w:ascii="Times New Roman" w:hAnsi="Times New Roman" w:cs="Times New Roman"/>
          <w:sz w:val="20"/>
          <w:szCs w:val="20"/>
        </w:rPr>
        <w:t xml:space="preserve"> disponibilité sur le marché du travail</w:t>
      </w:r>
      <w:r w:rsidR="00CF4E0D" w:rsidRPr="006D0C49">
        <w:rPr>
          <w:rFonts w:ascii="Times New Roman" w:hAnsi="Times New Roman" w:cs="Times New Roman"/>
          <w:sz w:val="20"/>
          <w:szCs w:val="20"/>
        </w:rPr>
        <w:t xml:space="preserve"> </w:t>
      </w:r>
      <w:r w:rsidR="00524981" w:rsidRPr="006D0C49">
        <w:rPr>
          <w:rFonts w:ascii="Times New Roman" w:hAnsi="Times New Roman" w:cs="Times New Roman"/>
          <w:sz w:val="20"/>
          <w:szCs w:val="20"/>
        </w:rPr>
        <w:t>à partir du 1</w:t>
      </w:r>
      <w:r w:rsidR="00524981" w:rsidRPr="006D0C49">
        <w:rPr>
          <w:rFonts w:ascii="Times New Roman" w:hAnsi="Times New Roman" w:cs="Times New Roman"/>
          <w:sz w:val="20"/>
          <w:szCs w:val="20"/>
          <w:vertAlign w:val="superscript"/>
        </w:rPr>
        <w:t>er</w:t>
      </w:r>
      <w:r w:rsidR="00CF4E0D" w:rsidRPr="006D0C49">
        <w:rPr>
          <w:rFonts w:ascii="Times New Roman" w:hAnsi="Times New Roman" w:cs="Times New Roman"/>
          <w:sz w:val="20"/>
          <w:szCs w:val="20"/>
        </w:rPr>
        <w:t xml:space="preserve"> janvier 2017</w:t>
      </w:r>
      <w:r w:rsidRPr="006D0C49">
        <w:rPr>
          <w:rFonts w:ascii="Times New Roman" w:hAnsi="Times New Roman" w:cs="Times New Roman"/>
          <w:sz w:val="20"/>
          <w:szCs w:val="20"/>
        </w:rPr>
        <w:t xml:space="preserve">. </w:t>
      </w:r>
    </w:p>
    <w:p w14:paraId="137A5737" w14:textId="30D43462" w:rsidR="00850869" w:rsidRPr="006D0C49" w:rsidRDefault="005D4F68" w:rsidP="003976FA">
      <w:pPr>
        <w:autoSpaceDE w:val="0"/>
        <w:autoSpaceDN w:val="0"/>
        <w:adjustRightInd w:val="0"/>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Par ailleurs, pour faire face aux fonctionnements différents</w:t>
      </w:r>
      <w:r w:rsidR="00ED6E41" w:rsidRPr="006D0C49">
        <w:rPr>
          <w:rFonts w:ascii="Times New Roman" w:hAnsi="Times New Roman" w:cs="Times New Roman"/>
          <w:sz w:val="20"/>
          <w:szCs w:val="20"/>
        </w:rPr>
        <w:t xml:space="preserve">, les institutions publiques en charge de l’emploi et de la formation professionnelle </w:t>
      </w:r>
      <w:r w:rsidRPr="006D0C49">
        <w:rPr>
          <w:rFonts w:ascii="Times New Roman" w:hAnsi="Times New Roman" w:cs="Times New Roman"/>
          <w:sz w:val="20"/>
          <w:szCs w:val="20"/>
        </w:rPr>
        <w:t xml:space="preserve">à Bruxelles </w:t>
      </w:r>
      <w:r w:rsidR="00ED6E41" w:rsidRPr="006D0C49">
        <w:rPr>
          <w:rFonts w:ascii="Times New Roman" w:hAnsi="Times New Roman" w:cs="Times New Roman"/>
          <w:sz w:val="20"/>
          <w:szCs w:val="20"/>
        </w:rPr>
        <w:t>mettent en place des dispositifs intégrés – des politiques croisées – afin de transcender les clivages institutionnels et de rencontrer les exigences d’efficacité opérationnelle.</w:t>
      </w:r>
      <w:r w:rsidRPr="006D0C49">
        <w:rPr>
          <w:rFonts w:ascii="Times New Roman" w:hAnsi="Times New Roman" w:cs="Times New Roman"/>
          <w:sz w:val="20"/>
          <w:szCs w:val="20"/>
        </w:rPr>
        <w:t xml:space="preserve"> </w:t>
      </w:r>
      <w:r w:rsidR="005F4472" w:rsidRPr="006D0C49">
        <w:rPr>
          <w:rFonts w:ascii="Times New Roman" w:hAnsi="Times New Roman" w:cs="Times New Roman"/>
          <w:sz w:val="20"/>
          <w:szCs w:val="20"/>
        </w:rPr>
        <w:t xml:space="preserve">La </w:t>
      </w:r>
      <w:r w:rsidR="00385B58" w:rsidRPr="006D0C49">
        <w:rPr>
          <w:rFonts w:ascii="Times New Roman" w:hAnsi="Times New Roman" w:cs="Times New Roman"/>
          <w:sz w:val="20"/>
          <w:szCs w:val="20"/>
        </w:rPr>
        <w:t>Garantie Jeunes</w:t>
      </w:r>
      <w:r w:rsidR="005F4472" w:rsidRPr="006D0C49">
        <w:rPr>
          <w:rFonts w:ascii="Times New Roman" w:hAnsi="Times New Roman" w:cs="Times New Roman"/>
          <w:sz w:val="20"/>
          <w:szCs w:val="20"/>
        </w:rPr>
        <w:t xml:space="preserve"> et l</w:t>
      </w:r>
      <w:r w:rsidR="0093162D" w:rsidRPr="006D0C49">
        <w:rPr>
          <w:rFonts w:ascii="Times New Roman" w:hAnsi="Times New Roman" w:cs="Times New Roman"/>
          <w:sz w:val="20"/>
          <w:szCs w:val="20"/>
        </w:rPr>
        <w:t xml:space="preserve">e </w:t>
      </w:r>
      <w:r w:rsidR="005F4472" w:rsidRPr="006D0C49">
        <w:rPr>
          <w:rFonts w:ascii="Times New Roman" w:hAnsi="Times New Roman" w:cs="Times New Roman"/>
          <w:sz w:val="20"/>
          <w:szCs w:val="20"/>
        </w:rPr>
        <w:t>Plan d’Accompagnement I</w:t>
      </w:r>
      <w:r w:rsidRPr="006D0C49">
        <w:rPr>
          <w:rFonts w:ascii="Times New Roman" w:hAnsi="Times New Roman" w:cs="Times New Roman"/>
          <w:sz w:val="20"/>
          <w:szCs w:val="20"/>
        </w:rPr>
        <w:t>ndividualisé</w:t>
      </w:r>
      <w:r w:rsidR="0093162D" w:rsidRPr="006D0C49">
        <w:rPr>
          <w:rFonts w:ascii="Times New Roman" w:hAnsi="Times New Roman" w:cs="Times New Roman"/>
          <w:sz w:val="20"/>
          <w:szCs w:val="20"/>
        </w:rPr>
        <w:t xml:space="preserve"> en sont deux exemples emblématiques.</w:t>
      </w:r>
    </w:p>
    <w:p w14:paraId="34FDA1DE" w14:textId="1D5C70F0" w:rsidR="00850869" w:rsidRPr="00344101" w:rsidRDefault="00094E30" w:rsidP="00094E30">
      <w:pPr>
        <w:spacing w:after="120" w:line="240" w:lineRule="auto"/>
        <w:jc w:val="both"/>
        <w:rPr>
          <w:rFonts w:ascii="Times New Roman" w:hAnsi="Times New Roman" w:cs="Times New Roman"/>
          <w:color w:val="C00000"/>
          <w:sz w:val="20"/>
          <w:szCs w:val="20"/>
        </w:rPr>
      </w:pPr>
      <w:r w:rsidRPr="006D0C49">
        <w:rPr>
          <w:rFonts w:ascii="Times New Roman" w:hAnsi="Times New Roman" w:cs="Times New Roman"/>
          <w:b/>
          <w:sz w:val="20"/>
          <w:szCs w:val="20"/>
        </w:rPr>
        <w:t xml:space="preserve">1.2. </w:t>
      </w:r>
      <w:r w:rsidR="00850869" w:rsidRPr="006D0C49">
        <w:rPr>
          <w:rFonts w:ascii="Times New Roman" w:hAnsi="Times New Roman" w:cs="Times New Roman"/>
          <w:b/>
          <w:sz w:val="20"/>
          <w:szCs w:val="20"/>
        </w:rPr>
        <w:t xml:space="preserve">La </w:t>
      </w:r>
      <w:r w:rsidR="00385B58" w:rsidRPr="006D0C49">
        <w:rPr>
          <w:rFonts w:ascii="Times New Roman" w:hAnsi="Times New Roman" w:cs="Times New Roman"/>
          <w:b/>
          <w:sz w:val="20"/>
          <w:szCs w:val="20"/>
        </w:rPr>
        <w:t>Garantie Jeunes</w:t>
      </w:r>
      <w:r w:rsidR="00850869" w:rsidRPr="006D0C49">
        <w:rPr>
          <w:rFonts w:ascii="Times New Roman" w:hAnsi="Times New Roman" w:cs="Times New Roman"/>
          <w:b/>
          <w:sz w:val="20"/>
          <w:szCs w:val="20"/>
        </w:rPr>
        <w:t xml:space="preserve"> </w:t>
      </w:r>
    </w:p>
    <w:p w14:paraId="01379712" w14:textId="599A3983" w:rsidR="00850869" w:rsidRPr="006D0C49" w:rsidRDefault="00850869" w:rsidP="00850869">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Initialement, la </w:t>
      </w:r>
      <w:r w:rsidR="00385B58" w:rsidRPr="006D0C49">
        <w:rPr>
          <w:rFonts w:ascii="Times New Roman" w:hAnsi="Times New Roman" w:cs="Times New Roman"/>
          <w:sz w:val="20"/>
          <w:szCs w:val="20"/>
        </w:rPr>
        <w:t>Garantie Jeunes</w:t>
      </w:r>
      <w:r w:rsidRPr="006D0C49">
        <w:rPr>
          <w:rFonts w:ascii="Times New Roman" w:hAnsi="Times New Roman" w:cs="Times New Roman"/>
          <w:sz w:val="20"/>
          <w:szCs w:val="20"/>
        </w:rPr>
        <w:t xml:space="preserve"> (GJ) est une recommandation du Conseil européen émise en 2013 qui vise à lutter contre le chômage et le sous-emploi des jeunes et, de manière générale, à améliorer l’employabilité des jeunes en vue de favoriser leur entrée ou leur retour sur le marché de l’emploi. Lancé en janvier 2014, le dispositif bruxellois de GJ est devenu opérationnel au sein d’Actiris un an plus tard, au moment même où les premiers effets de la réglementation portant à trois ans maximum les allocations d’insertion se sont fait sentir. Ce dispositif formalise l’engagement selon lequel, tout jeune – de 18 à 29 ans – qui sort des études, se voit proposer dans les 6 mois de son inscription chez Actiris, un emploi, un stage ou une formation.</w:t>
      </w:r>
    </w:p>
    <w:p w14:paraId="4CAB43B6" w14:textId="09F107EA" w:rsidR="005807D2" w:rsidRPr="006D0C49" w:rsidRDefault="00F50D2F" w:rsidP="00850869">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w:t>
      </w:r>
      <w:r w:rsidR="00850869" w:rsidRPr="006D0C49">
        <w:rPr>
          <w:rFonts w:ascii="Times New Roman" w:hAnsi="Times New Roman" w:cs="Times New Roman"/>
          <w:sz w:val="20"/>
          <w:szCs w:val="20"/>
        </w:rPr>
        <w:t>’objectif</w:t>
      </w:r>
      <w:r w:rsidRPr="006D0C49">
        <w:rPr>
          <w:rFonts w:ascii="Times New Roman" w:hAnsi="Times New Roman" w:cs="Times New Roman"/>
          <w:sz w:val="20"/>
          <w:szCs w:val="20"/>
        </w:rPr>
        <w:t xml:space="preserve"> de la GJ est</w:t>
      </w:r>
      <w:r w:rsidR="00850869" w:rsidRPr="006D0C49">
        <w:rPr>
          <w:rFonts w:ascii="Times New Roman" w:hAnsi="Times New Roman" w:cs="Times New Roman"/>
          <w:sz w:val="20"/>
          <w:szCs w:val="20"/>
        </w:rPr>
        <w:t xml:space="preserve"> de pouvoir offrir une solution adaptée au jeune. Ce dispositif met en œuvre des modes d’action et d’intervention articulés entre d’une part le </w:t>
      </w:r>
      <w:r w:rsidR="00961DC0">
        <w:rPr>
          <w:rFonts w:ascii="Times New Roman" w:hAnsi="Times New Roman" w:cs="Times New Roman"/>
          <w:sz w:val="20"/>
          <w:szCs w:val="20"/>
        </w:rPr>
        <w:t>service public régional d’emploi</w:t>
      </w:r>
      <w:r w:rsidR="00850869" w:rsidRPr="006D0C49">
        <w:rPr>
          <w:rFonts w:ascii="Times New Roman" w:hAnsi="Times New Roman" w:cs="Times New Roman"/>
          <w:sz w:val="20"/>
          <w:szCs w:val="20"/>
        </w:rPr>
        <w:t xml:space="preserve"> Actiris et d’autre part les institutions compétentes pour la formation (Bruxelles Formation du côté francophone et le VDAB</w:t>
      </w:r>
      <w:r w:rsidR="0030564E">
        <w:rPr>
          <w:rFonts w:ascii="Times New Roman" w:hAnsi="Times New Roman" w:cs="Times New Roman"/>
          <w:sz w:val="20"/>
          <w:szCs w:val="20"/>
        </w:rPr>
        <w:t>-Brussel</w:t>
      </w:r>
      <w:r w:rsidR="00961DC0">
        <w:rPr>
          <w:rStyle w:val="Appelnotedebasdep"/>
          <w:rFonts w:ascii="Times New Roman" w:hAnsi="Times New Roman"/>
          <w:sz w:val="20"/>
          <w:szCs w:val="20"/>
        </w:rPr>
        <w:footnoteReference w:id="4"/>
      </w:r>
      <w:r w:rsidR="00850869" w:rsidRPr="006D0C49">
        <w:rPr>
          <w:rFonts w:ascii="Times New Roman" w:hAnsi="Times New Roman" w:cs="Times New Roman"/>
          <w:sz w:val="20"/>
          <w:szCs w:val="20"/>
        </w:rPr>
        <w:t xml:space="preserve"> du côté néerlandophone). L’idée qui le sous-tend est celle selon laquelle l’autorité publique doit être en mesure de garantir un droit au jeune, lui permettant d’ouvrir le champ des possibles dans sa trajectoire professionnelle. Dans l’hypothèse où ce droit n’est pas garanti par les institutions publiques, le jeune ne pourrait</w:t>
      </w:r>
      <w:r w:rsidR="00723AB9" w:rsidRPr="006D0C49">
        <w:rPr>
          <w:rFonts w:ascii="Times New Roman" w:hAnsi="Times New Roman" w:cs="Times New Roman"/>
          <w:sz w:val="20"/>
          <w:szCs w:val="20"/>
        </w:rPr>
        <w:t xml:space="preserve"> </w:t>
      </w:r>
      <w:r w:rsidR="003D3488" w:rsidRPr="006D0C49">
        <w:rPr>
          <w:rFonts w:ascii="Times New Roman" w:hAnsi="Times New Roman" w:cs="Times New Roman"/>
          <w:sz w:val="20"/>
          <w:szCs w:val="20"/>
        </w:rPr>
        <w:t>selon cette logique</w:t>
      </w:r>
      <w:r w:rsidR="00850869" w:rsidRPr="006D0C49">
        <w:rPr>
          <w:rFonts w:ascii="Times New Roman" w:hAnsi="Times New Roman" w:cs="Times New Roman"/>
          <w:sz w:val="20"/>
          <w:szCs w:val="20"/>
        </w:rPr>
        <w:t xml:space="preserve"> se voir sanctionné. </w:t>
      </w:r>
    </w:p>
    <w:p w14:paraId="21758CB2" w14:textId="118B9621" w:rsidR="004F65BD" w:rsidRDefault="00850869">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lastRenderedPageBreak/>
        <w:t>Dans ce contexte, l’activation prend un sens nouveau. Si elle demeure bel et bien l’horizon politique et idéologique qui définit les contours de la politique de l’emploi, la philosophie qu’entend dessi</w:t>
      </w:r>
      <w:r w:rsidR="001D0B33" w:rsidRPr="006D0C49">
        <w:rPr>
          <w:rFonts w:ascii="Times New Roman" w:hAnsi="Times New Roman" w:cs="Times New Roman"/>
          <w:sz w:val="20"/>
          <w:szCs w:val="20"/>
        </w:rPr>
        <w:t>ner la GJ</w:t>
      </w:r>
      <w:r w:rsidRPr="006D0C49">
        <w:rPr>
          <w:rFonts w:ascii="Times New Roman" w:hAnsi="Times New Roman" w:cs="Times New Roman"/>
          <w:sz w:val="20"/>
          <w:szCs w:val="20"/>
        </w:rPr>
        <w:t xml:space="preserve"> est celle d’un rééquilibrage entre les droits et devoirs de l’individu d’une part et des institutions d’autre part. </w:t>
      </w:r>
      <w:r w:rsidR="004F65BD">
        <w:rPr>
          <w:rFonts w:ascii="Times New Roman" w:hAnsi="Times New Roman" w:cs="Times New Roman"/>
          <w:sz w:val="20"/>
          <w:szCs w:val="20"/>
        </w:rPr>
        <w:t>E</w:t>
      </w:r>
      <w:r w:rsidRPr="006D0C49">
        <w:rPr>
          <w:rFonts w:ascii="Times New Roman" w:hAnsi="Times New Roman" w:cs="Times New Roman"/>
          <w:sz w:val="20"/>
          <w:szCs w:val="20"/>
        </w:rPr>
        <w:t>n visant une augmentation du degré d’employabilité des jeunes, l’action du SPE demeure sujette aux logiques intrinsèques de l’activation qui considère l’individu comme étant le principal responsable de sa</w:t>
      </w:r>
      <w:r w:rsidR="008428E3" w:rsidRPr="006D0C49">
        <w:rPr>
          <w:rFonts w:ascii="Times New Roman" w:hAnsi="Times New Roman" w:cs="Times New Roman"/>
          <w:sz w:val="20"/>
          <w:szCs w:val="20"/>
        </w:rPr>
        <w:t xml:space="preserve"> trajectoire sociale. L</w:t>
      </w:r>
      <w:r w:rsidRPr="006D0C49">
        <w:rPr>
          <w:rFonts w:ascii="Times New Roman" w:hAnsi="Times New Roman" w:cs="Times New Roman"/>
          <w:sz w:val="20"/>
          <w:szCs w:val="20"/>
        </w:rPr>
        <w:t>a responsabilité sociale de l’autre versant du marché de l’emploi, celui des entreprises, est moins engagée bien qu’elles participent à la fourniture de solutions aux chercheurs d’emploi par le biais d’offres de stage et d’emploi.</w:t>
      </w:r>
      <w:r w:rsidR="005807D2" w:rsidRPr="006D0C49">
        <w:rPr>
          <w:rFonts w:ascii="Times New Roman" w:hAnsi="Times New Roman" w:cs="Times New Roman"/>
          <w:sz w:val="20"/>
          <w:szCs w:val="20"/>
        </w:rPr>
        <w:t xml:space="preserve"> </w:t>
      </w:r>
      <w:r w:rsidR="004F65BD">
        <w:rPr>
          <w:rFonts w:ascii="Times New Roman" w:hAnsi="Times New Roman" w:cs="Times New Roman"/>
          <w:sz w:val="20"/>
          <w:szCs w:val="20"/>
        </w:rPr>
        <w:t xml:space="preserve">Néanmoins, </w:t>
      </w:r>
      <w:r w:rsidR="00C97857">
        <w:rPr>
          <w:rFonts w:ascii="Times New Roman" w:hAnsi="Times New Roman" w:cs="Times New Roman"/>
          <w:sz w:val="20"/>
          <w:szCs w:val="20"/>
        </w:rPr>
        <w:t xml:space="preserve">la </w:t>
      </w:r>
      <w:r w:rsidR="009A37E1">
        <w:rPr>
          <w:rFonts w:ascii="Times New Roman" w:hAnsi="Times New Roman" w:cs="Times New Roman"/>
          <w:sz w:val="20"/>
          <w:szCs w:val="20"/>
        </w:rPr>
        <w:t>GJ</w:t>
      </w:r>
      <w:r w:rsidR="00C97857">
        <w:rPr>
          <w:rFonts w:ascii="Times New Roman" w:hAnsi="Times New Roman" w:cs="Times New Roman"/>
          <w:sz w:val="20"/>
          <w:szCs w:val="20"/>
        </w:rPr>
        <w:t xml:space="preserve"> introduit un véritable changement de perspective. Le terme « garantie » </w:t>
      </w:r>
      <w:r w:rsidR="004B1B3B">
        <w:rPr>
          <w:rFonts w:ascii="Times New Roman" w:hAnsi="Times New Roman" w:cs="Times New Roman"/>
          <w:sz w:val="20"/>
          <w:szCs w:val="20"/>
        </w:rPr>
        <w:t xml:space="preserve">lui-même </w:t>
      </w:r>
      <w:r w:rsidR="00C97857">
        <w:rPr>
          <w:rFonts w:ascii="Times New Roman" w:hAnsi="Times New Roman" w:cs="Times New Roman"/>
          <w:sz w:val="20"/>
          <w:szCs w:val="20"/>
        </w:rPr>
        <w:t>suggère l’idée d</w:t>
      </w:r>
      <w:r w:rsidR="004B1B3B">
        <w:rPr>
          <w:rFonts w:ascii="Times New Roman" w:hAnsi="Times New Roman" w:cs="Times New Roman"/>
          <w:sz w:val="20"/>
          <w:szCs w:val="20"/>
        </w:rPr>
        <w:t>e</w:t>
      </w:r>
      <w:r w:rsidR="00C97857">
        <w:rPr>
          <w:rFonts w:ascii="Times New Roman" w:hAnsi="Times New Roman" w:cs="Times New Roman"/>
          <w:sz w:val="20"/>
          <w:szCs w:val="20"/>
        </w:rPr>
        <w:t xml:space="preserve"> protection contre un dommage ou </w:t>
      </w:r>
      <w:r w:rsidR="004B1B3B">
        <w:rPr>
          <w:rFonts w:ascii="Times New Roman" w:hAnsi="Times New Roman" w:cs="Times New Roman"/>
          <w:sz w:val="20"/>
          <w:szCs w:val="20"/>
        </w:rPr>
        <w:t>l’</w:t>
      </w:r>
      <w:r w:rsidR="00C97857">
        <w:rPr>
          <w:rFonts w:ascii="Times New Roman" w:hAnsi="Times New Roman" w:cs="Times New Roman"/>
          <w:sz w:val="20"/>
          <w:szCs w:val="20"/>
        </w:rPr>
        <w:t xml:space="preserve">assurance de pouvoir </w:t>
      </w:r>
      <w:r w:rsidR="004B1B3B">
        <w:rPr>
          <w:rFonts w:ascii="Times New Roman" w:hAnsi="Times New Roman" w:cs="Times New Roman"/>
          <w:sz w:val="20"/>
          <w:szCs w:val="20"/>
        </w:rPr>
        <w:t>bénéficier</w:t>
      </w:r>
      <w:r w:rsidR="00C97857">
        <w:rPr>
          <w:rFonts w:ascii="Times New Roman" w:hAnsi="Times New Roman" w:cs="Times New Roman"/>
          <w:sz w:val="20"/>
          <w:szCs w:val="20"/>
        </w:rPr>
        <w:t xml:space="preserve"> d’un droit ou d’un service.</w:t>
      </w:r>
      <w:r w:rsidR="004B1B3B">
        <w:rPr>
          <w:rFonts w:ascii="Times New Roman" w:hAnsi="Times New Roman" w:cs="Times New Roman"/>
          <w:sz w:val="20"/>
          <w:szCs w:val="20"/>
        </w:rPr>
        <w:t xml:space="preserve"> Dans cette logique, la responsabilité collective est d’abord et avant tout engagée :</w:t>
      </w:r>
      <w:r w:rsidR="00B54E60">
        <w:rPr>
          <w:rFonts w:ascii="Times New Roman" w:hAnsi="Times New Roman" w:cs="Times New Roman"/>
          <w:sz w:val="20"/>
          <w:szCs w:val="20"/>
        </w:rPr>
        <w:t xml:space="preserve"> celle d’</w:t>
      </w:r>
      <w:r w:rsidR="004B1B3B">
        <w:rPr>
          <w:rFonts w:ascii="Times New Roman" w:hAnsi="Times New Roman" w:cs="Times New Roman"/>
          <w:sz w:val="20"/>
          <w:szCs w:val="20"/>
        </w:rPr>
        <w:t xml:space="preserve">offrir au jeune inscrit auprès du SPE </w:t>
      </w:r>
      <w:r w:rsidR="00637FCE">
        <w:rPr>
          <w:rFonts w:ascii="Times New Roman" w:hAnsi="Times New Roman" w:cs="Times New Roman"/>
          <w:sz w:val="20"/>
          <w:szCs w:val="20"/>
        </w:rPr>
        <w:t>une solution emploi, formation ou stage dans les 6 mois de son inscription et, dans le cas où cet engagement n’aurait pu être tenu</w:t>
      </w:r>
      <w:r w:rsidR="0008669E">
        <w:rPr>
          <w:rFonts w:ascii="Times New Roman" w:hAnsi="Times New Roman" w:cs="Times New Roman"/>
          <w:sz w:val="20"/>
          <w:szCs w:val="20"/>
        </w:rPr>
        <w:t xml:space="preserve"> par l’institution</w:t>
      </w:r>
      <w:r w:rsidR="00E76C38">
        <w:rPr>
          <w:rFonts w:ascii="Times New Roman" w:hAnsi="Times New Roman" w:cs="Times New Roman"/>
          <w:sz w:val="20"/>
          <w:szCs w:val="20"/>
        </w:rPr>
        <w:t>,</w:t>
      </w:r>
      <w:r w:rsidR="00637FCE">
        <w:rPr>
          <w:rFonts w:ascii="Times New Roman" w:hAnsi="Times New Roman" w:cs="Times New Roman"/>
          <w:sz w:val="20"/>
          <w:szCs w:val="20"/>
        </w:rPr>
        <w:t xml:space="preserve"> </w:t>
      </w:r>
      <w:r w:rsidR="00B54E60">
        <w:rPr>
          <w:rFonts w:ascii="Times New Roman" w:hAnsi="Times New Roman" w:cs="Times New Roman"/>
          <w:sz w:val="20"/>
          <w:szCs w:val="20"/>
        </w:rPr>
        <w:t xml:space="preserve">de </w:t>
      </w:r>
      <w:r w:rsidR="00637FCE">
        <w:rPr>
          <w:rFonts w:ascii="Times New Roman" w:hAnsi="Times New Roman" w:cs="Times New Roman"/>
          <w:sz w:val="20"/>
          <w:szCs w:val="20"/>
        </w:rPr>
        <w:t xml:space="preserve">ne pas le sanctionner. </w:t>
      </w:r>
      <w:r w:rsidR="003240B3">
        <w:rPr>
          <w:rFonts w:ascii="Times New Roman" w:hAnsi="Times New Roman" w:cs="Times New Roman"/>
          <w:sz w:val="20"/>
          <w:szCs w:val="20"/>
        </w:rPr>
        <w:t>En Région bruxelloise, Actiris s’est clairement positionné en ce sens en assumant</w:t>
      </w:r>
      <w:r w:rsidR="00B54E60">
        <w:rPr>
          <w:rFonts w:ascii="Times New Roman" w:hAnsi="Times New Roman" w:cs="Times New Roman"/>
          <w:sz w:val="20"/>
          <w:szCs w:val="20"/>
        </w:rPr>
        <w:t>,</w:t>
      </w:r>
      <w:r w:rsidR="00B54E60" w:rsidRPr="00B54E60">
        <w:rPr>
          <w:rFonts w:ascii="Times New Roman" w:hAnsi="Times New Roman" w:cs="Times New Roman"/>
          <w:sz w:val="20"/>
          <w:szCs w:val="20"/>
        </w:rPr>
        <w:t xml:space="preserve"> </w:t>
      </w:r>
      <w:r w:rsidR="00B54E60">
        <w:rPr>
          <w:rFonts w:ascii="Times New Roman" w:hAnsi="Times New Roman" w:cs="Times New Roman"/>
          <w:sz w:val="20"/>
          <w:szCs w:val="20"/>
        </w:rPr>
        <w:t>avec le soutien des autorités politiques,</w:t>
      </w:r>
      <w:r w:rsidR="003240B3">
        <w:rPr>
          <w:rFonts w:ascii="Times New Roman" w:hAnsi="Times New Roman" w:cs="Times New Roman"/>
          <w:sz w:val="20"/>
          <w:szCs w:val="20"/>
        </w:rPr>
        <w:t xml:space="preserve"> que </w:t>
      </w:r>
      <w:r w:rsidR="00AE630A">
        <w:rPr>
          <w:rFonts w:ascii="Times New Roman" w:hAnsi="Times New Roman" w:cs="Times New Roman"/>
          <w:i/>
          <w:sz w:val="20"/>
          <w:szCs w:val="20"/>
        </w:rPr>
        <w:t>« </w:t>
      </w:r>
      <w:r w:rsidR="003240B3" w:rsidRPr="007024D0">
        <w:rPr>
          <w:rFonts w:ascii="Times New Roman" w:hAnsi="Times New Roman" w:cs="Times New Roman"/>
          <w:i/>
          <w:sz w:val="20"/>
          <w:szCs w:val="20"/>
        </w:rPr>
        <w:t>le chômage n’est pas une culpabilité individuelle mais une responsabilité collective</w:t>
      </w:r>
      <w:r w:rsidR="00AE630A">
        <w:rPr>
          <w:rFonts w:ascii="Times New Roman" w:hAnsi="Times New Roman" w:cs="Times New Roman"/>
          <w:i/>
          <w:sz w:val="20"/>
          <w:szCs w:val="20"/>
        </w:rPr>
        <w:t> »</w:t>
      </w:r>
      <w:r w:rsidR="00AE630A">
        <w:rPr>
          <w:rStyle w:val="Appelnotedebasdep"/>
          <w:rFonts w:ascii="Times New Roman" w:hAnsi="Times New Roman"/>
          <w:i/>
          <w:sz w:val="20"/>
          <w:szCs w:val="20"/>
        </w:rPr>
        <w:footnoteReference w:id="5"/>
      </w:r>
      <w:r w:rsidR="003240B3">
        <w:rPr>
          <w:rFonts w:ascii="Times New Roman" w:hAnsi="Times New Roman" w:cs="Times New Roman"/>
          <w:sz w:val="20"/>
          <w:szCs w:val="20"/>
        </w:rPr>
        <w:t>.</w:t>
      </w:r>
      <w:r w:rsidR="0008669E">
        <w:rPr>
          <w:rFonts w:ascii="Times New Roman" w:hAnsi="Times New Roman" w:cs="Times New Roman"/>
          <w:sz w:val="20"/>
          <w:szCs w:val="20"/>
        </w:rPr>
        <w:t xml:space="preserve"> C’est à cette condition que le dispositif de la </w:t>
      </w:r>
      <w:r w:rsidR="009A37E1">
        <w:rPr>
          <w:rFonts w:ascii="Times New Roman" w:hAnsi="Times New Roman" w:cs="Times New Roman"/>
          <w:sz w:val="20"/>
          <w:szCs w:val="20"/>
        </w:rPr>
        <w:t>GJ</w:t>
      </w:r>
      <w:r w:rsidR="0008669E">
        <w:rPr>
          <w:rFonts w:ascii="Times New Roman" w:hAnsi="Times New Roman" w:cs="Times New Roman"/>
          <w:sz w:val="20"/>
          <w:szCs w:val="20"/>
        </w:rPr>
        <w:t xml:space="preserve"> a pu recueillir l’adhésion des syndicats qui, à l’instar de la FGTB, </w:t>
      </w:r>
      <w:r w:rsidR="002B1E29">
        <w:rPr>
          <w:rFonts w:ascii="Times New Roman" w:hAnsi="Times New Roman" w:cs="Times New Roman"/>
          <w:sz w:val="20"/>
          <w:szCs w:val="20"/>
        </w:rPr>
        <w:t xml:space="preserve">y ont vu une opportunité unique </w:t>
      </w:r>
      <w:r w:rsidR="00B54E60">
        <w:rPr>
          <w:rFonts w:ascii="Times New Roman" w:hAnsi="Times New Roman" w:cs="Times New Roman"/>
          <w:sz w:val="20"/>
          <w:szCs w:val="20"/>
        </w:rPr>
        <w:t xml:space="preserve">d’inverser le paradigme de l’activation et </w:t>
      </w:r>
      <w:r w:rsidR="002B1E29">
        <w:rPr>
          <w:rFonts w:ascii="Times New Roman" w:hAnsi="Times New Roman" w:cs="Times New Roman"/>
          <w:sz w:val="20"/>
          <w:szCs w:val="20"/>
        </w:rPr>
        <w:t xml:space="preserve">de dépasser les logiques d’individualisation </w:t>
      </w:r>
      <w:r w:rsidR="00B54E60">
        <w:rPr>
          <w:rFonts w:ascii="Times New Roman" w:hAnsi="Times New Roman" w:cs="Times New Roman"/>
          <w:sz w:val="20"/>
          <w:szCs w:val="20"/>
        </w:rPr>
        <w:t>de la responsabilité du chômage</w:t>
      </w:r>
      <w:r w:rsidR="00B54E60">
        <w:rPr>
          <w:rStyle w:val="Appelnotedebasdep"/>
          <w:rFonts w:ascii="Times New Roman" w:hAnsi="Times New Roman"/>
          <w:sz w:val="20"/>
          <w:szCs w:val="20"/>
        </w:rPr>
        <w:footnoteReference w:id="6"/>
      </w:r>
      <w:r w:rsidR="00B54E60">
        <w:rPr>
          <w:rFonts w:ascii="Times New Roman" w:hAnsi="Times New Roman" w:cs="Times New Roman"/>
          <w:sz w:val="20"/>
          <w:szCs w:val="20"/>
        </w:rPr>
        <w:t xml:space="preserve">. </w:t>
      </w:r>
    </w:p>
    <w:p w14:paraId="27B73241" w14:textId="16B6561A" w:rsidR="006E7D13" w:rsidRPr="007024D0" w:rsidRDefault="006E7D13">
      <w:pPr>
        <w:spacing w:after="120" w:line="240" w:lineRule="auto"/>
        <w:jc w:val="both"/>
        <w:rPr>
          <w:rFonts w:ascii="Times New Roman" w:hAnsi="Times New Roman" w:cs="Times New Roman"/>
          <w:b/>
          <w:sz w:val="20"/>
          <w:szCs w:val="20"/>
        </w:rPr>
      </w:pPr>
      <w:r w:rsidRPr="007024D0">
        <w:rPr>
          <w:rFonts w:ascii="Times New Roman" w:hAnsi="Times New Roman" w:cs="Times New Roman"/>
          <w:b/>
          <w:sz w:val="20"/>
          <w:szCs w:val="20"/>
        </w:rPr>
        <w:t xml:space="preserve">1.3. </w:t>
      </w:r>
      <w:r w:rsidR="000F371A" w:rsidRPr="007024D0">
        <w:rPr>
          <w:rFonts w:ascii="Times New Roman" w:hAnsi="Times New Roman" w:cs="Times New Roman"/>
          <w:b/>
          <w:sz w:val="20"/>
          <w:szCs w:val="20"/>
        </w:rPr>
        <w:t>La question des NEET</w:t>
      </w:r>
    </w:p>
    <w:p w14:paraId="5F0FB430" w14:textId="0051A35A" w:rsidR="0093162D" w:rsidRPr="006D0C49" w:rsidRDefault="00F728B7">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L</w:t>
      </w:r>
      <w:r w:rsidR="00850869" w:rsidRPr="006D0C49">
        <w:rPr>
          <w:rFonts w:ascii="Times New Roman" w:hAnsi="Times New Roman" w:cs="Times New Roman"/>
          <w:sz w:val="20"/>
          <w:szCs w:val="20"/>
        </w:rPr>
        <w:t xml:space="preserve">e dispositif </w:t>
      </w:r>
      <w:r>
        <w:rPr>
          <w:rFonts w:ascii="Times New Roman" w:hAnsi="Times New Roman" w:cs="Times New Roman"/>
          <w:sz w:val="20"/>
          <w:szCs w:val="20"/>
        </w:rPr>
        <w:t xml:space="preserve">de la Garantie Jeunes </w:t>
      </w:r>
      <w:r w:rsidR="00850869" w:rsidRPr="006D0C49">
        <w:rPr>
          <w:rFonts w:ascii="Times New Roman" w:hAnsi="Times New Roman" w:cs="Times New Roman"/>
          <w:sz w:val="20"/>
          <w:szCs w:val="20"/>
        </w:rPr>
        <w:t>permet d’amener progressivement les jeunes les plus précarisés dans le giron de l’emploi par la voie d’un contrat de travail, d’un stage ou d’une formation professionnelle</w:t>
      </w:r>
      <w:r w:rsidR="00855314" w:rsidRPr="006D0C49">
        <w:rPr>
          <w:rFonts w:ascii="Times New Roman" w:hAnsi="Times New Roman" w:cs="Times New Roman"/>
          <w:sz w:val="20"/>
          <w:szCs w:val="20"/>
        </w:rPr>
        <w:t>.</w:t>
      </w:r>
      <w:r w:rsidR="00982A96">
        <w:rPr>
          <w:rFonts w:ascii="Times New Roman" w:hAnsi="Times New Roman" w:cs="Times New Roman"/>
          <w:sz w:val="20"/>
          <w:szCs w:val="20"/>
        </w:rPr>
        <w:t xml:space="preserve"> </w:t>
      </w:r>
      <w:r w:rsidR="00680791">
        <w:rPr>
          <w:rFonts w:ascii="Times New Roman" w:hAnsi="Times New Roman" w:cs="Times New Roman"/>
          <w:sz w:val="20"/>
          <w:szCs w:val="20"/>
        </w:rPr>
        <w:t xml:space="preserve">En effet, </w:t>
      </w:r>
      <w:r w:rsidR="00B103BB">
        <w:rPr>
          <w:rFonts w:ascii="Times New Roman" w:hAnsi="Times New Roman" w:cs="Times New Roman"/>
          <w:sz w:val="20"/>
          <w:szCs w:val="20"/>
        </w:rPr>
        <w:t>s’il s’agit d’abord</w:t>
      </w:r>
      <w:r w:rsidR="00680791">
        <w:rPr>
          <w:rFonts w:ascii="Times New Roman" w:hAnsi="Times New Roman" w:cs="Times New Roman"/>
          <w:sz w:val="20"/>
          <w:szCs w:val="20"/>
        </w:rPr>
        <w:t xml:space="preserve"> d’augmenter l’employabilité des jeunes inscrits auprès du SPE, il est aussi question d’attirer ceux qui échappent aux radars institutionnels</w:t>
      </w:r>
      <w:r w:rsidR="001A506C">
        <w:rPr>
          <w:rFonts w:ascii="Times New Roman" w:hAnsi="Times New Roman" w:cs="Times New Roman"/>
          <w:sz w:val="20"/>
          <w:szCs w:val="20"/>
        </w:rPr>
        <w:t>, à la suite</w:t>
      </w:r>
      <w:r w:rsidR="00680791">
        <w:rPr>
          <w:rFonts w:ascii="Times New Roman" w:hAnsi="Times New Roman" w:cs="Times New Roman"/>
          <w:sz w:val="20"/>
          <w:szCs w:val="20"/>
        </w:rPr>
        <w:t xml:space="preserve"> des mesures de restriction aux allocations d’insertion ou pour d’autres raisons. </w:t>
      </w:r>
      <w:r w:rsidR="001A506C">
        <w:rPr>
          <w:rFonts w:ascii="Times New Roman" w:hAnsi="Times New Roman" w:cs="Times New Roman"/>
          <w:sz w:val="20"/>
          <w:szCs w:val="20"/>
        </w:rPr>
        <w:t xml:space="preserve">En conséquence, les efforts du SPE en matière de fourniture de solutions à l’emploi sont également dirigés vers </w:t>
      </w:r>
      <w:r w:rsidR="001A506C" w:rsidRPr="006D0C49">
        <w:rPr>
          <w:rFonts w:ascii="Times New Roman" w:hAnsi="Times New Roman" w:cs="Times New Roman"/>
          <w:sz w:val="20"/>
          <w:szCs w:val="20"/>
        </w:rPr>
        <w:t xml:space="preserve">les jeunes NEET (not in Education, </w:t>
      </w:r>
      <w:proofErr w:type="spellStart"/>
      <w:r w:rsidR="001A506C" w:rsidRPr="006D0C49">
        <w:rPr>
          <w:rFonts w:ascii="Times New Roman" w:hAnsi="Times New Roman" w:cs="Times New Roman"/>
          <w:sz w:val="20"/>
          <w:szCs w:val="20"/>
        </w:rPr>
        <w:t>Employment</w:t>
      </w:r>
      <w:proofErr w:type="spellEnd"/>
      <w:r w:rsidR="001A506C" w:rsidRPr="006D0C49">
        <w:rPr>
          <w:rFonts w:ascii="Times New Roman" w:hAnsi="Times New Roman" w:cs="Times New Roman"/>
          <w:sz w:val="20"/>
          <w:szCs w:val="20"/>
        </w:rPr>
        <w:t xml:space="preserve"> or Training)</w:t>
      </w:r>
      <w:r w:rsidR="00C05BF4">
        <w:rPr>
          <w:rFonts w:ascii="Times New Roman" w:hAnsi="Times New Roman" w:cs="Times New Roman"/>
          <w:sz w:val="20"/>
          <w:szCs w:val="20"/>
        </w:rPr>
        <w:t>, à savoir les jeunes qui ne sont pas inscrits chez Actiris</w:t>
      </w:r>
      <w:r w:rsidR="001A506C">
        <w:rPr>
          <w:rFonts w:ascii="Times New Roman" w:hAnsi="Times New Roman" w:cs="Times New Roman"/>
          <w:sz w:val="20"/>
          <w:szCs w:val="20"/>
        </w:rPr>
        <w:t xml:space="preserve">. </w:t>
      </w:r>
      <w:r w:rsidR="008E35AB">
        <w:rPr>
          <w:rFonts w:ascii="Times New Roman" w:hAnsi="Times New Roman" w:cs="Times New Roman"/>
          <w:sz w:val="20"/>
          <w:szCs w:val="20"/>
        </w:rPr>
        <w:t>L</w:t>
      </w:r>
      <w:r w:rsidR="001A506C">
        <w:rPr>
          <w:rFonts w:ascii="Times New Roman" w:hAnsi="Times New Roman" w:cs="Times New Roman"/>
          <w:sz w:val="20"/>
          <w:szCs w:val="20"/>
        </w:rPr>
        <w:t xml:space="preserve">’une des préoccupations </w:t>
      </w:r>
      <w:r w:rsidR="00060310">
        <w:rPr>
          <w:rFonts w:ascii="Times New Roman" w:hAnsi="Times New Roman" w:cs="Times New Roman"/>
          <w:sz w:val="20"/>
          <w:szCs w:val="20"/>
        </w:rPr>
        <w:t>de l’institution</w:t>
      </w:r>
      <w:r w:rsidR="001A506C">
        <w:rPr>
          <w:rFonts w:ascii="Times New Roman" w:hAnsi="Times New Roman" w:cs="Times New Roman"/>
          <w:sz w:val="20"/>
          <w:szCs w:val="20"/>
        </w:rPr>
        <w:t xml:space="preserve"> au cours des dernières années a </w:t>
      </w:r>
      <w:r w:rsidR="005F452B">
        <w:rPr>
          <w:rFonts w:ascii="Times New Roman" w:hAnsi="Times New Roman" w:cs="Times New Roman"/>
          <w:sz w:val="20"/>
          <w:szCs w:val="20"/>
        </w:rPr>
        <w:t xml:space="preserve">précisément </w:t>
      </w:r>
      <w:r w:rsidR="00A9352C">
        <w:rPr>
          <w:rFonts w:ascii="Times New Roman" w:hAnsi="Times New Roman" w:cs="Times New Roman"/>
          <w:sz w:val="20"/>
          <w:szCs w:val="20"/>
        </w:rPr>
        <w:t>consisté</w:t>
      </w:r>
      <w:r w:rsidR="005F452B">
        <w:rPr>
          <w:rFonts w:ascii="Times New Roman" w:hAnsi="Times New Roman" w:cs="Times New Roman"/>
          <w:sz w:val="20"/>
          <w:szCs w:val="20"/>
        </w:rPr>
        <w:t xml:space="preserve"> à amener</w:t>
      </w:r>
      <w:r w:rsidR="001A506C">
        <w:rPr>
          <w:rFonts w:ascii="Times New Roman" w:hAnsi="Times New Roman" w:cs="Times New Roman"/>
          <w:sz w:val="20"/>
          <w:szCs w:val="20"/>
        </w:rPr>
        <w:t xml:space="preserve"> le public NEET </w:t>
      </w:r>
      <w:r w:rsidR="005F452B">
        <w:rPr>
          <w:rFonts w:ascii="Times New Roman" w:hAnsi="Times New Roman" w:cs="Times New Roman"/>
          <w:sz w:val="20"/>
          <w:szCs w:val="20"/>
        </w:rPr>
        <w:t>à adhérer</w:t>
      </w:r>
      <w:r w:rsidR="001A506C">
        <w:rPr>
          <w:rFonts w:ascii="Times New Roman" w:hAnsi="Times New Roman" w:cs="Times New Roman"/>
          <w:sz w:val="20"/>
          <w:szCs w:val="20"/>
        </w:rPr>
        <w:t xml:space="preserve"> aux dispositifs mis en place, ce qui nécessite de pouvoir gagner </w:t>
      </w:r>
      <w:r w:rsidR="00A9352C">
        <w:rPr>
          <w:rFonts w:ascii="Times New Roman" w:hAnsi="Times New Roman" w:cs="Times New Roman"/>
          <w:sz w:val="20"/>
          <w:szCs w:val="20"/>
        </w:rPr>
        <w:t>sa</w:t>
      </w:r>
      <w:r w:rsidR="001A506C">
        <w:rPr>
          <w:rFonts w:ascii="Times New Roman" w:hAnsi="Times New Roman" w:cs="Times New Roman"/>
          <w:sz w:val="20"/>
          <w:szCs w:val="20"/>
        </w:rPr>
        <w:t xml:space="preserve"> confiance, de sortir du langage institutionnel </w:t>
      </w:r>
      <w:r w:rsidR="006920DB">
        <w:rPr>
          <w:rFonts w:ascii="Times New Roman" w:hAnsi="Times New Roman" w:cs="Times New Roman"/>
          <w:sz w:val="20"/>
          <w:szCs w:val="20"/>
        </w:rPr>
        <w:t>(en investissant par exemple les réseaux des</w:t>
      </w:r>
      <w:r w:rsidR="006828CD">
        <w:rPr>
          <w:rFonts w:ascii="Times New Roman" w:hAnsi="Times New Roman" w:cs="Times New Roman"/>
          <w:sz w:val="20"/>
          <w:szCs w:val="20"/>
        </w:rPr>
        <w:t xml:space="preserve"> jeunes</w:t>
      </w:r>
      <w:r w:rsidR="006920DB">
        <w:rPr>
          <w:rFonts w:ascii="Times New Roman" w:hAnsi="Times New Roman" w:cs="Times New Roman"/>
          <w:sz w:val="20"/>
          <w:szCs w:val="20"/>
        </w:rPr>
        <w:t xml:space="preserve"> </w:t>
      </w:r>
      <w:proofErr w:type="spellStart"/>
      <w:r w:rsidR="006920DB" w:rsidRPr="006920DB">
        <w:rPr>
          <w:rFonts w:ascii="Times New Roman" w:hAnsi="Times New Roman" w:cs="Times New Roman"/>
          <w:i/>
          <w:sz w:val="20"/>
          <w:szCs w:val="20"/>
        </w:rPr>
        <w:t>Youtubeurs</w:t>
      </w:r>
      <w:proofErr w:type="spellEnd"/>
      <w:r w:rsidR="006920DB">
        <w:rPr>
          <w:rFonts w:ascii="Times New Roman" w:hAnsi="Times New Roman" w:cs="Times New Roman"/>
          <w:sz w:val="20"/>
          <w:szCs w:val="20"/>
        </w:rPr>
        <w:t xml:space="preserve"> de la région) </w:t>
      </w:r>
      <w:r w:rsidR="001A506C" w:rsidRPr="006920DB">
        <w:rPr>
          <w:rFonts w:ascii="Times New Roman" w:hAnsi="Times New Roman" w:cs="Times New Roman"/>
          <w:sz w:val="20"/>
          <w:szCs w:val="20"/>
        </w:rPr>
        <w:t>et</w:t>
      </w:r>
      <w:r w:rsidR="001A506C">
        <w:rPr>
          <w:rFonts w:ascii="Times New Roman" w:hAnsi="Times New Roman" w:cs="Times New Roman"/>
          <w:sz w:val="20"/>
          <w:szCs w:val="20"/>
        </w:rPr>
        <w:t xml:space="preserve"> de trouver des relais sur le terrain (maisons</w:t>
      </w:r>
      <w:r w:rsidR="00E60F1A">
        <w:rPr>
          <w:rFonts w:ascii="Times New Roman" w:hAnsi="Times New Roman" w:cs="Times New Roman"/>
          <w:sz w:val="20"/>
          <w:szCs w:val="20"/>
        </w:rPr>
        <w:t xml:space="preserve"> de jeunes, maisons de quartier et autres</w:t>
      </w:r>
      <w:r w:rsidR="001A506C">
        <w:rPr>
          <w:rFonts w:ascii="Times New Roman" w:hAnsi="Times New Roman" w:cs="Times New Roman"/>
          <w:sz w:val="20"/>
          <w:szCs w:val="20"/>
        </w:rPr>
        <w:t xml:space="preserve"> </w:t>
      </w:r>
      <w:r w:rsidR="005E29A3">
        <w:rPr>
          <w:rFonts w:ascii="Times New Roman" w:hAnsi="Times New Roman" w:cs="Times New Roman"/>
          <w:sz w:val="20"/>
          <w:szCs w:val="20"/>
        </w:rPr>
        <w:t>éducateurs de rue</w:t>
      </w:r>
      <w:r w:rsidR="001A506C">
        <w:rPr>
          <w:rFonts w:ascii="Times New Roman" w:hAnsi="Times New Roman" w:cs="Times New Roman"/>
          <w:sz w:val="20"/>
          <w:szCs w:val="20"/>
        </w:rPr>
        <w:t>)</w:t>
      </w:r>
      <w:r w:rsidR="00D57699">
        <w:rPr>
          <w:rStyle w:val="Appelnotedebasdep"/>
          <w:rFonts w:ascii="Times New Roman" w:hAnsi="Times New Roman"/>
          <w:sz w:val="20"/>
          <w:szCs w:val="20"/>
        </w:rPr>
        <w:footnoteReference w:id="7"/>
      </w:r>
      <w:r w:rsidR="001A506C">
        <w:rPr>
          <w:rFonts w:ascii="Times New Roman" w:hAnsi="Times New Roman" w:cs="Times New Roman"/>
          <w:sz w:val="20"/>
          <w:szCs w:val="20"/>
        </w:rPr>
        <w:t>.</w:t>
      </w:r>
      <w:r w:rsidR="00D57699">
        <w:rPr>
          <w:rFonts w:ascii="Times New Roman" w:hAnsi="Times New Roman" w:cs="Times New Roman"/>
          <w:sz w:val="20"/>
          <w:szCs w:val="20"/>
        </w:rPr>
        <w:t xml:space="preserve"> L’objectif est d’amener ces jeunes à renouer le contact et la confiance avec les institutions afin qu’ils mettent en œuvre un projet professionnel.</w:t>
      </w:r>
    </w:p>
    <w:p w14:paraId="7AFECF99" w14:textId="44F24531" w:rsidR="0000052D" w:rsidRPr="006D0C49" w:rsidRDefault="00094E30" w:rsidP="00094E30">
      <w:pPr>
        <w:spacing w:after="120" w:line="240" w:lineRule="auto"/>
        <w:jc w:val="both"/>
        <w:rPr>
          <w:rFonts w:ascii="Times New Roman" w:hAnsi="Times New Roman" w:cs="Times New Roman"/>
          <w:sz w:val="20"/>
          <w:szCs w:val="20"/>
        </w:rPr>
      </w:pPr>
      <w:r w:rsidRPr="006D0C49">
        <w:rPr>
          <w:rFonts w:ascii="Times New Roman" w:hAnsi="Times New Roman" w:cs="Times New Roman"/>
          <w:b/>
          <w:sz w:val="20"/>
          <w:szCs w:val="20"/>
        </w:rPr>
        <w:t>1.</w:t>
      </w:r>
      <w:r w:rsidR="006E7D13">
        <w:rPr>
          <w:rFonts w:ascii="Times New Roman" w:hAnsi="Times New Roman" w:cs="Times New Roman"/>
          <w:b/>
          <w:sz w:val="20"/>
          <w:szCs w:val="20"/>
        </w:rPr>
        <w:t>4</w:t>
      </w:r>
      <w:r w:rsidRPr="006D0C49">
        <w:rPr>
          <w:rFonts w:ascii="Times New Roman" w:hAnsi="Times New Roman" w:cs="Times New Roman"/>
          <w:b/>
          <w:sz w:val="20"/>
          <w:szCs w:val="20"/>
        </w:rPr>
        <w:t xml:space="preserve">. </w:t>
      </w:r>
      <w:r w:rsidR="00803FE2" w:rsidRPr="006D0C49">
        <w:rPr>
          <w:rFonts w:ascii="Times New Roman" w:hAnsi="Times New Roman" w:cs="Times New Roman"/>
          <w:b/>
          <w:sz w:val="20"/>
          <w:szCs w:val="20"/>
        </w:rPr>
        <w:t>L</w:t>
      </w:r>
      <w:r w:rsidR="004C36B7" w:rsidRPr="006D0C49">
        <w:rPr>
          <w:rFonts w:ascii="Times New Roman" w:hAnsi="Times New Roman" w:cs="Times New Roman"/>
          <w:b/>
          <w:sz w:val="20"/>
          <w:szCs w:val="20"/>
        </w:rPr>
        <w:t>e Plan d’accompagnement individualisé</w:t>
      </w:r>
      <w:r w:rsidR="00F50D2F" w:rsidRPr="006D0C49">
        <w:rPr>
          <w:rFonts w:ascii="Times New Roman" w:hAnsi="Times New Roman" w:cs="Times New Roman"/>
          <w:b/>
          <w:sz w:val="20"/>
          <w:szCs w:val="20"/>
        </w:rPr>
        <w:t xml:space="preserve"> (PAI)</w:t>
      </w:r>
    </w:p>
    <w:p w14:paraId="0731C854" w14:textId="138C3E78" w:rsidR="004C36B7" w:rsidRPr="006D0C49" w:rsidRDefault="004C36B7" w:rsidP="003976FA">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L’un des objectifs de la </w:t>
      </w:r>
      <w:r w:rsidR="00450F27" w:rsidRPr="006D0C49">
        <w:rPr>
          <w:rFonts w:ascii="Times New Roman" w:hAnsi="Times New Roman" w:cs="Times New Roman"/>
          <w:sz w:val="20"/>
          <w:szCs w:val="20"/>
        </w:rPr>
        <w:t>GJ</w:t>
      </w:r>
      <w:r w:rsidRPr="006D0C49">
        <w:rPr>
          <w:rFonts w:ascii="Times New Roman" w:hAnsi="Times New Roman" w:cs="Times New Roman"/>
          <w:sz w:val="20"/>
          <w:szCs w:val="20"/>
        </w:rPr>
        <w:t xml:space="preserve"> est un accompagnement accru et plus intensif des jeunes dans l’optique de réduire les périodes d’inactivité. Concrètement, cela se formalise par l’adoption d’un plan d’action individualisé. Cet outil s’inscrit dans un processus d’accompagnement existant depuis une douzaine d’années en Région de Bruxelles-Capitale, sous le nom de Contrat (puis Construction) de Projet professionnel. L’élément fondamentalement novateur pour le PAI est qu’il s’adresse exclusivement à un public de jeunes demandeurs d’emploi (</w:t>
      </w:r>
      <w:r w:rsidR="00803FE2" w:rsidRPr="006D0C49">
        <w:rPr>
          <w:rFonts w:ascii="Times New Roman" w:hAnsi="Times New Roman" w:cs="Times New Roman"/>
          <w:sz w:val="20"/>
          <w:szCs w:val="20"/>
        </w:rPr>
        <w:t>moins</w:t>
      </w:r>
      <w:r w:rsidRPr="006D0C49">
        <w:rPr>
          <w:rFonts w:ascii="Times New Roman" w:hAnsi="Times New Roman" w:cs="Times New Roman"/>
          <w:sz w:val="20"/>
          <w:szCs w:val="20"/>
        </w:rPr>
        <w:t xml:space="preserve"> de 29 ans) inscrits en stage d’insertion après le 1</w:t>
      </w:r>
      <w:r w:rsidRPr="006D0C49">
        <w:rPr>
          <w:rFonts w:ascii="Times New Roman" w:hAnsi="Times New Roman" w:cs="Times New Roman"/>
          <w:sz w:val="20"/>
          <w:szCs w:val="20"/>
          <w:vertAlign w:val="superscript"/>
        </w:rPr>
        <w:t>er</w:t>
      </w:r>
      <w:r w:rsidRPr="006D0C49">
        <w:rPr>
          <w:rFonts w:ascii="Times New Roman" w:hAnsi="Times New Roman" w:cs="Times New Roman"/>
          <w:sz w:val="20"/>
          <w:szCs w:val="20"/>
        </w:rPr>
        <w:t xml:space="preserve"> janvier 2015.</w:t>
      </w:r>
    </w:p>
    <w:p w14:paraId="0F520827" w14:textId="7E9A0D3C" w:rsidR="004C36B7" w:rsidRPr="006D0C49" w:rsidRDefault="004C36B7" w:rsidP="004C36B7">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Le PAI vise à offrir une meilleure vision de ce qui est attendu par le jeune demandeur d’emploi, avec des objectifs précis ainsi que des échéances prédéterminées. Trois semaines après son inscription auprès d’Actiris, il est convoqué pour un entretien de diagnostic dont l’objectif est d’identifier et de préciser le projet professionnel du jeune. Pour assurer la progression vers l’emploi et la réalisation du PAI, l’accompagnement comprend des entretiens de suivi sur convocation (aux troisième et sixième mois à compter de la date d’inscription en stage d’insertion) et des suivis intermédiaires. Un entretien de bilan a lieu 10 mois (maximum 13 mois) après l’inscription du jeune</w:t>
      </w:r>
      <w:r w:rsidR="007107B5" w:rsidRPr="006D0C49">
        <w:rPr>
          <w:rFonts w:ascii="Times New Roman" w:hAnsi="Times New Roman" w:cs="Times New Roman"/>
          <w:sz w:val="20"/>
          <w:szCs w:val="20"/>
        </w:rPr>
        <w:t>. I</w:t>
      </w:r>
      <w:r w:rsidRPr="006D0C49">
        <w:rPr>
          <w:rFonts w:ascii="Times New Roman" w:hAnsi="Times New Roman" w:cs="Times New Roman"/>
          <w:sz w:val="20"/>
          <w:szCs w:val="20"/>
        </w:rPr>
        <w:t>l met fin à l’accompagnement et clôture le PAI.</w:t>
      </w:r>
    </w:p>
    <w:p w14:paraId="5306BD20" w14:textId="44E8C25D" w:rsidR="003976FA" w:rsidRPr="006D0C49" w:rsidRDefault="00094E30" w:rsidP="00094E30">
      <w:pPr>
        <w:autoSpaceDE w:val="0"/>
        <w:autoSpaceDN w:val="0"/>
        <w:adjustRightInd w:val="0"/>
        <w:spacing w:before="240"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t xml:space="preserve">2. </w:t>
      </w:r>
      <w:r w:rsidR="00834094" w:rsidRPr="006D0C49">
        <w:rPr>
          <w:rFonts w:ascii="Times New Roman" w:hAnsi="Times New Roman" w:cs="Times New Roman"/>
          <w:b/>
          <w:sz w:val="20"/>
          <w:szCs w:val="20"/>
        </w:rPr>
        <w:t>CADRAGE</w:t>
      </w:r>
      <w:r w:rsidR="00BF4746" w:rsidRPr="006D0C49">
        <w:rPr>
          <w:rFonts w:ascii="Times New Roman" w:hAnsi="Times New Roman" w:cs="Times New Roman"/>
          <w:b/>
          <w:sz w:val="20"/>
          <w:szCs w:val="20"/>
        </w:rPr>
        <w:t xml:space="preserve"> METHODOLOGIQUE</w:t>
      </w:r>
    </w:p>
    <w:p w14:paraId="4B94890C" w14:textId="73A2791C" w:rsidR="00D536C8" w:rsidRPr="006D0C49" w:rsidRDefault="009017A2" w:rsidP="00D536C8">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w:t>
      </w:r>
      <w:r w:rsidR="00724095" w:rsidRPr="006D0C49">
        <w:rPr>
          <w:rFonts w:ascii="Times New Roman" w:hAnsi="Times New Roman" w:cs="Times New Roman"/>
          <w:sz w:val="20"/>
          <w:szCs w:val="20"/>
        </w:rPr>
        <w:t>étude</w:t>
      </w:r>
      <w:r w:rsidRPr="006D0C49">
        <w:rPr>
          <w:rFonts w:ascii="Times New Roman" w:hAnsi="Times New Roman" w:cs="Times New Roman"/>
          <w:sz w:val="20"/>
          <w:szCs w:val="20"/>
        </w:rPr>
        <w:t xml:space="preserve"> des trajectoires </w:t>
      </w:r>
      <w:r w:rsidR="0030564E" w:rsidRPr="0030564E">
        <w:rPr>
          <w:rFonts w:ascii="Times New Roman" w:hAnsi="Times New Roman" w:cs="Times New Roman"/>
          <w:sz w:val="20"/>
          <w:szCs w:val="20"/>
        </w:rPr>
        <w:t xml:space="preserve">des premières vagues d'exclusion du chômage qui ont été mises en œuvre dans ce cadre </w:t>
      </w:r>
      <w:r w:rsidRPr="006D0C49">
        <w:rPr>
          <w:rFonts w:ascii="Times New Roman" w:hAnsi="Times New Roman" w:cs="Times New Roman"/>
          <w:sz w:val="20"/>
          <w:szCs w:val="20"/>
        </w:rPr>
        <w:t xml:space="preserve">se révèle </w:t>
      </w:r>
      <w:r w:rsidR="0031609E" w:rsidRPr="006D0C49">
        <w:rPr>
          <w:rFonts w:ascii="Times New Roman" w:hAnsi="Times New Roman" w:cs="Times New Roman"/>
          <w:sz w:val="20"/>
          <w:szCs w:val="20"/>
        </w:rPr>
        <w:t>être un véritable défi en termes d’analyse quantitative pour les</w:t>
      </w:r>
      <w:r w:rsidR="00961DC0">
        <w:rPr>
          <w:rFonts w:ascii="Times New Roman" w:hAnsi="Times New Roman" w:cs="Times New Roman"/>
          <w:sz w:val="20"/>
          <w:szCs w:val="20"/>
        </w:rPr>
        <w:t xml:space="preserve"> services publics régionaux d’emploi</w:t>
      </w:r>
      <w:r w:rsidR="0031609E" w:rsidRPr="006D0C49">
        <w:rPr>
          <w:rFonts w:ascii="Times New Roman" w:hAnsi="Times New Roman" w:cs="Times New Roman"/>
          <w:sz w:val="20"/>
          <w:szCs w:val="20"/>
        </w:rPr>
        <w:t xml:space="preserve">. </w:t>
      </w:r>
      <w:r w:rsidR="000878B6" w:rsidRPr="000878B6">
        <w:rPr>
          <w:rFonts w:ascii="Times New Roman" w:hAnsi="Times New Roman" w:cs="Times New Roman"/>
          <w:sz w:val="20"/>
          <w:szCs w:val="20"/>
        </w:rPr>
        <w:t>Au moment de l'entrée en vigueur de la mesure de fin de droit aux allocations d'insertion au 1er janvier 2015, le dispositif de contrôle de la disponibilité des chômeurs n'avait pas encore été régionalisé.</w:t>
      </w:r>
      <w:r w:rsidR="000878B6">
        <w:rPr>
          <w:rFonts w:ascii="Times New Roman" w:hAnsi="Times New Roman" w:cs="Times New Roman"/>
          <w:sz w:val="20"/>
          <w:szCs w:val="20"/>
        </w:rPr>
        <w:t xml:space="preserve"> </w:t>
      </w:r>
      <w:r w:rsidR="0031609E" w:rsidRPr="006D0C49">
        <w:rPr>
          <w:rFonts w:ascii="Times New Roman" w:hAnsi="Times New Roman" w:cs="Times New Roman"/>
          <w:sz w:val="20"/>
          <w:szCs w:val="20"/>
        </w:rPr>
        <w:t xml:space="preserve">Il s’agit en effet de faire dialoguer des données provenant de sources diverses </w:t>
      </w:r>
      <w:r w:rsidR="000878B6" w:rsidRPr="000878B6">
        <w:rPr>
          <w:rFonts w:ascii="Times New Roman" w:hAnsi="Times New Roman" w:cs="Times New Roman"/>
          <w:sz w:val="20"/>
          <w:szCs w:val="20"/>
        </w:rPr>
        <w:t>provenant à la fois du niveau régional et du niveau fédéral</w:t>
      </w:r>
      <w:r w:rsidR="0031609E" w:rsidRPr="006D0C49">
        <w:rPr>
          <w:rFonts w:ascii="Times New Roman" w:hAnsi="Times New Roman" w:cs="Times New Roman"/>
          <w:sz w:val="20"/>
          <w:szCs w:val="20"/>
        </w:rPr>
        <w:t xml:space="preserve"> dans le but de pouvoir dresser un tableau le plus précis des transitions et réalités vécues par ces chômeurs : les </w:t>
      </w:r>
      <w:r w:rsidR="0031609E" w:rsidRPr="006D0C49">
        <w:rPr>
          <w:rFonts w:ascii="Times New Roman" w:hAnsi="Times New Roman" w:cs="Times New Roman"/>
          <w:sz w:val="20"/>
          <w:szCs w:val="20"/>
        </w:rPr>
        <w:lastRenderedPageBreak/>
        <w:t xml:space="preserve">données d’emploi, celles relatives aux exclusions, les données de suivi des dispositifs d’accompagnement et de formation, les données de l’aide sociale et de la couverture maladie-invalidité, etc. </w:t>
      </w:r>
    </w:p>
    <w:p w14:paraId="45B9F2D9" w14:textId="1F7C6E7A" w:rsidR="00BD2FB5" w:rsidRPr="006D0C49" w:rsidRDefault="00961DC0" w:rsidP="00D536C8">
      <w:pPr>
        <w:spacing w:line="240" w:lineRule="auto"/>
        <w:jc w:val="both"/>
        <w:rPr>
          <w:rFonts w:ascii="Times New Roman" w:hAnsi="Times New Roman" w:cs="Times New Roman"/>
          <w:sz w:val="20"/>
          <w:szCs w:val="20"/>
        </w:rPr>
      </w:pPr>
      <w:r>
        <w:rPr>
          <w:rFonts w:ascii="Times New Roman" w:hAnsi="Times New Roman" w:cs="Times New Roman"/>
          <w:sz w:val="20"/>
          <w:szCs w:val="20"/>
        </w:rPr>
        <w:t>O</w:t>
      </w:r>
      <w:r w:rsidR="0031609E" w:rsidRPr="006D0C49">
        <w:rPr>
          <w:rFonts w:ascii="Times New Roman" w:hAnsi="Times New Roman" w:cs="Times New Roman"/>
          <w:sz w:val="20"/>
          <w:szCs w:val="20"/>
        </w:rPr>
        <w:t xml:space="preserve">n peut présenter </w:t>
      </w:r>
      <w:r w:rsidR="00B406F0" w:rsidRPr="006D0C49">
        <w:rPr>
          <w:rFonts w:ascii="Times New Roman" w:hAnsi="Times New Roman" w:cs="Times New Roman"/>
          <w:sz w:val="20"/>
          <w:szCs w:val="20"/>
        </w:rPr>
        <w:t xml:space="preserve">la quantification du nombre d’exclus d’une part et </w:t>
      </w:r>
      <w:r w:rsidR="00EA4A24" w:rsidRPr="006D0C49">
        <w:rPr>
          <w:rFonts w:ascii="Times New Roman" w:hAnsi="Times New Roman" w:cs="Times New Roman"/>
          <w:sz w:val="20"/>
          <w:szCs w:val="20"/>
        </w:rPr>
        <w:t xml:space="preserve">les premiers résultats de l’accompagnement des jeunes dans le cadre de la </w:t>
      </w:r>
      <w:r w:rsidR="00385B58" w:rsidRPr="006D0C49">
        <w:rPr>
          <w:rFonts w:ascii="Times New Roman" w:hAnsi="Times New Roman" w:cs="Times New Roman"/>
          <w:sz w:val="20"/>
          <w:szCs w:val="20"/>
        </w:rPr>
        <w:t>Garantie Jeunes</w:t>
      </w:r>
      <w:r w:rsidR="00EA4A24" w:rsidRPr="006D0C49">
        <w:rPr>
          <w:rFonts w:ascii="Times New Roman" w:hAnsi="Times New Roman" w:cs="Times New Roman"/>
          <w:sz w:val="20"/>
          <w:szCs w:val="20"/>
        </w:rPr>
        <w:t xml:space="preserve"> d’autre part</w:t>
      </w:r>
      <w:r w:rsidR="0031609E" w:rsidRPr="006D0C49">
        <w:rPr>
          <w:rFonts w:ascii="Times New Roman" w:hAnsi="Times New Roman" w:cs="Times New Roman"/>
          <w:sz w:val="20"/>
          <w:szCs w:val="20"/>
        </w:rPr>
        <w:t>.</w:t>
      </w:r>
      <w:r w:rsidR="00D536C8" w:rsidRPr="006D0C49">
        <w:rPr>
          <w:rFonts w:ascii="Times New Roman" w:hAnsi="Times New Roman" w:cs="Times New Roman"/>
          <w:sz w:val="20"/>
          <w:szCs w:val="20"/>
        </w:rPr>
        <w:t xml:space="preserve"> </w:t>
      </w:r>
      <w:r w:rsidR="00BD2FB5" w:rsidRPr="006D0C49">
        <w:rPr>
          <w:rFonts w:ascii="Times New Roman" w:hAnsi="Times New Roman" w:cs="Times New Roman"/>
          <w:sz w:val="20"/>
          <w:szCs w:val="20"/>
        </w:rPr>
        <w:t>Il faut</w:t>
      </w:r>
      <w:r w:rsidR="00D536C8" w:rsidRPr="006D0C49">
        <w:rPr>
          <w:rFonts w:ascii="Times New Roman" w:hAnsi="Times New Roman" w:cs="Times New Roman"/>
          <w:sz w:val="20"/>
          <w:szCs w:val="20"/>
        </w:rPr>
        <w:t xml:space="preserve"> préciser que c</w:t>
      </w:r>
      <w:r w:rsidR="00BD2FB5" w:rsidRPr="006D0C49">
        <w:rPr>
          <w:rFonts w:ascii="Times New Roman" w:hAnsi="Times New Roman" w:cs="Times New Roman"/>
          <w:sz w:val="20"/>
          <w:szCs w:val="20"/>
        </w:rPr>
        <w:t xml:space="preserve">es données concernent des cohortes différentes inscrites dans des temporalités spécifiques : chômeurs ayant déjà bénéficié d’allocations d’insertion (et donc inscrits auprès d’Actiris depuis minimum trois ans) dans un cas et jeunes nouvellement inscrits en stage d’insertion dans l’autre. </w:t>
      </w:r>
    </w:p>
    <w:p w14:paraId="7A84D240" w14:textId="1DDFBF56" w:rsidR="00BF4746" w:rsidRPr="006D0C49" w:rsidRDefault="008D4D20" w:rsidP="00094E30">
      <w:pPr>
        <w:spacing w:line="240" w:lineRule="auto"/>
        <w:jc w:val="both"/>
        <w:rPr>
          <w:rFonts w:ascii="Times New Roman" w:hAnsi="Times New Roman" w:cs="Times New Roman"/>
          <w:sz w:val="20"/>
          <w:szCs w:val="20"/>
        </w:rPr>
      </w:pPr>
      <w:r w:rsidRPr="006D0C49">
        <w:rPr>
          <w:rFonts w:ascii="Times New Roman" w:hAnsi="Times New Roman" w:cs="Times New Roman"/>
          <w:sz w:val="20"/>
          <w:szCs w:val="20"/>
        </w:rPr>
        <w:t>L</w:t>
      </w:r>
      <w:r w:rsidR="00BF4746" w:rsidRPr="006D0C49">
        <w:rPr>
          <w:rFonts w:ascii="Times New Roman" w:hAnsi="Times New Roman" w:cs="Times New Roman"/>
          <w:sz w:val="20"/>
          <w:szCs w:val="20"/>
        </w:rPr>
        <w:t xml:space="preserve">e taux de chômage administratif est calculé </w:t>
      </w:r>
      <w:r w:rsidRPr="006D0C49">
        <w:rPr>
          <w:rFonts w:ascii="Times New Roman" w:hAnsi="Times New Roman" w:cs="Times New Roman"/>
          <w:sz w:val="20"/>
          <w:szCs w:val="20"/>
        </w:rPr>
        <w:t xml:space="preserve">(au point 3), </w:t>
      </w:r>
      <w:r w:rsidR="00BF4746" w:rsidRPr="006D0C49">
        <w:rPr>
          <w:rFonts w:ascii="Times New Roman" w:hAnsi="Times New Roman" w:cs="Times New Roman"/>
          <w:sz w:val="20"/>
          <w:szCs w:val="20"/>
        </w:rPr>
        <w:t>en se basant sur la population active occupée</w:t>
      </w:r>
      <w:r w:rsidRPr="006D0C49">
        <w:rPr>
          <w:rFonts w:ascii="Times New Roman" w:hAnsi="Times New Roman" w:cs="Times New Roman"/>
          <w:sz w:val="20"/>
          <w:szCs w:val="20"/>
        </w:rPr>
        <w:t>,</w:t>
      </w:r>
      <w:r w:rsidR="00BF4746" w:rsidRPr="006D0C49">
        <w:rPr>
          <w:rFonts w:ascii="Times New Roman" w:hAnsi="Times New Roman" w:cs="Times New Roman"/>
          <w:sz w:val="20"/>
          <w:szCs w:val="20"/>
        </w:rPr>
        <w:t xml:space="preserve"> déterminée par la Banque nationale de Belgique (BNB)</w:t>
      </w:r>
      <w:r w:rsidRPr="006D0C49">
        <w:rPr>
          <w:rFonts w:ascii="Times New Roman" w:hAnsi="Times New Roman" w:cs="Times New Roman"/>
          <w:sz w:val="20"/>
          <w:szCs w:val="20"/>
        </w:rPr>
        <w:t>,</w:t>
      </w:r>
      <w:r w:rsidR="00BF4746" w:rsidRPr="006D0C49">
        <w:rPr>
          <w:rFonts w:ascii="Times New Roman" w:hAnsi="Times New Roman" w:cs="Times New Roman"/>
          <w:sz w:val="20"/>
          <w:szCs w:val="20"/>
        </w:rPr>
        <w:t xml:space="preserve"> ainsi que sur le nombre de demandeurs d’emploi inoccupés inscrits auprès des services publics de l’emploi (respectivement Actiris pour la Région de Bruxelles-Capitale, FOREM pour la Région wallonne et VDAB pour la Région flamande). Les données relatives aux jeunes en fin de droit (point 3.1.1) sont issues de l’Office national de l’Emploi alors que celles se rapportant aux limitations d’âge (point 3.1.2) ont été extraites du Datawarehouse d’Actiris en sélectionnant le public-cible à partir de critères d’âge et de diplôme (moins de 20 ans diplômés tout au plus de l’enseignement secondaire inférieur d’une part et plus de 24 ans d’autre part).</w:t>
      </w:r>
    </w:p>
    <w:p w14:paraId="7293C8C9" w14:textId="36706E3F" w:rsidR="00F556FE" w:rsidRPr="006D0C49" w:rsidRDefault="00BF4746" w:rsidP="00094E30">
      <w:pPr>
        <w:spacing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Les premiers effets de la </w:t>
      </w:r>
      <w:r w:rsidR="00385B58" w:rsidRPr="006D0C49">
        <w:rPr>
          <w:rFonts w:ascii="Times New Roman" w:hAnsi="Times New Roman" w:cs="Times New Roman"/>
          <w:sz w:val="20"/>
          <w:szCs w:val="20"/>
        </w:rPr>
        <w:t>Garantie Jeunes</w:t>
      </w:r>
      <w:r w:rsidRPr="006D0C49">
        <w:rPr>
          <w:rFonts w:ascii="Times New Roman" w:hAnsi="Times New Roman" w:cs="Times New Roman"/>
          <w:sz w:val="20"/>
          <w:szCs w:val="20"/>
        </w:rPr>
        <w:t xml:space="preserve"> (point 3.2) sont également déterminés à partir des données extraites du Datawarehouse d’Actiris. La cohorte étudiée est constituée des jeunes de moins de 30 ans venus s’inscrire en stage d’insertion professionnelle auprès d’Actiris en 2015 entre le 1</w:t>
      </w:r>
      <w:r w:rsidRPr="006D0C49">
        <w:rPr>
          <w:rFonts w:ascii="Times New Roman" w:hAnsi="Times New Roman" w:cs="Times New Roman"/>
          <w:sz w:val="20"/>
          <w:szCs w:val="20"/>
          <w:vertAlign w:val="superscript"/>
        </w:rPr>
        <w:t>er</w:t>
      </w:r>
      <w:r w:rsidRPr="006D0C49">
        <w:rPr>
          <w:rFonts w:ascii="Times New Roman" w:hAnsi="Times New Roman" w:cs="Times New Roman"/>
          <w:sz w:val="20"/>
          <w:szCs w:val="20"/>
        </w:rPr>
        <w:t xml:space="preserve"> janvier et le 31 décembre 2015 (idem pour la cohorte 2014). Le suivi est réalisé sur une période de 6 mois à partir de la date d’inscription, soit jusqu’en juin 2016 pour la cohorte 2015 et jusqu’en juin 2015 pour la cohorte 2014. Au tableau 2, les rubriques 1, 2 et 3 sont calculées sans doublon sachant qu’un même individu a pu bénéficier de différentes actions au cours de la période d’observation.</w:t>
      </w:r>
    </w:p>
    <w:p w14:paraId="097F5EBB" w14:textId="679C0FBC" w:rsidR="006928B2" w:rsidRPr="006D0C49" w:rsidRDefault="00094E30" w:rsidP="00094E30">
      <w:pPr>
        <w:autoSpaceDE w:val="0"/>
        <w:autoSpaceDN w:val="0"/>
        <w:adjustRightInd w:val="0"/>
        <w:spacing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t xml:space="preserve">3. </w:t>
      </w:r>
      <w:r w:rsidR="00850869" w:rsidRPr="006D0C49">
        <w:rPr>
          <w:rFonts w:ascii="Times New Roman" w:hAnsi="Times New Roman" w:cs="Times New Roman"/>
          <w:b/>
          <w:sz w:val="20"/>
          <w:szCs w:val="20"/>
        </w:rPr>
        <w:t>LES JEUNES CHÔMEURS À L’ÉPREUVE DE L’ACTIVATION</w:t>
      </w:r>
    </w:p>
    <w:p w14:paraId="7661EC98" w14:textId="61C37457" w:rsidR="006928B2" w:rsidRPr="006D0C49" w:rsidRDefault="006928B2" w:rsidP="00DB59B8">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Il importe dans un premier temps de resituer la question du chômage des jeunes dans le contexte bruxellois. La catégorie des moins de 25 ans est classiquement utilisée pour qualifier les jeunes sur le marché de l’emploi. C’est en ce sens que la </w:t>
      </w:r>
      <w:r w:rsidR="008428E3" w:rsidRPr="006D0C49">
        <w:rPr>
          <w:rFonts w:ascii="Times New Roman" w:hAnsi="Times New Roman" w:cs="Times New Roman"/>
          <w:sz w:val="20"/>
          <w:szCs w:val="20"/>
        </w:rPr>
        <w:t>GJ</w:t>
      </w:r>
      <w:r w:rsidRPr="006D0C49">
        <w:rPr>
          <w:rFonts w:ascii="Times New Roman" w:hAnsi="Times New Roman" w:cs="Times New Roman"/>
          <w:sz w:val="20"/>
          <w:szCs w:val="20"/>
        </w:rPr>
        <w:t xml:space="preserve"> est définie au niveau européen. Néanmoins, se limiter aux moins de 25 ans revient à ne pas prendre en considération une partie </w:t>
      </w:r>
      <w:r w:rsidR="002377C1" w:rsidRPr="006D0C49">
        <w:rPr>
          <w:rFonts w:ascii="Times New Roman" w:hAnsi="Times New Roman" w:cs="Times New Roman"/>
          <w:sz w:val="20"/>
          <w:szCs w:val="20"/>
        </w:rPr>
        <w:t xml:space="preserve">importante </w:t>
      </w:r>
      <w:r w:rsidRPr="006D0C49">
        <w:rPr>
          <w:rFonts w:ascii="Times New Roman" w:hAnsi="Times New Roman" w:cs="Times New Roman"/>
          <w:sz w:val="20"/>
          <w:szCs w:val="20"/>
        </w:rPr>
        <w:t xml:space="preserve">des hautement qualifiés, qui finissent généralement leurs études au-delà de cette limite d’âge (en vertu notamment de l’allongement de la durée des études à la suite du Décret de Bologne). Le dispositif adopté par Actiris au niveau bruxellois, en élargissant son champ d’action aux jeunes de moins de 29 ans, permet d’éviter cet écueil. Il tient compte des réalités pragmatiques de l’enseignement et vise à garder les jeunes le plus longtemps possible dans le giron institutionnel. </w:t>
      </w:r>
      <w:r w:rsidR="009A56B0" w:rsidRPr="006D0C49">
        <w:rPr>
          <w:rFonts w:ascii="Times New Roman" w:hAnsi="Times New Roman" w:cs="Times New Roman"/>
          <w:sz w:val="20"/>
          <w:szCs w:val="20"/>
        </w:rPr>
        <w:t>En conséquence</w:t>
      </w:r>
      <w:r w:rsidRPr="006D0C49">
        <w:rPr>
          <w:rFonts w:ascii="Times New Roman" w:hAnsi="Times New Roman" w:cs="Times New Roman"/>
          <w:sz w:val="20"/>
          <w:szCs w:val="20"/>
        </w:rPr>
        <w:t>, il est pertinent d’observer également l’évolution des moins de 29 ans sur le marché de l’emploi.</w:t>
      </w:r>
    </w:p>
    <w:p w14:paraId="25BE7A0F" w14:textId="27B0EDC4" w:rsidR="006928B2" w:rsidRDefault="002377C1" w:rsidP="00DB59B8">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Bruxelles</w:t>
      </w:r>
      <w:r w:rsidR="00EF7AAA" w:rsidRPr="006D0C49">
        <w:rPr>
          <w:rFonts w:ascii="Times New Roman" w:hAnsi="Times New Roman" w:cs="Times New Roman"/>
          <w:sz w:val="20"/>
          <w:szCs w:val="20"/>
        </w:rPr>
        <w:t xml:space="preserve"> connaît un taux de chômage des jeunes de moins de 25 ans relativement élevé (28,8% en 2015). Elle est</w:t>
      </w:r>
      <w:r w:rsidR="006928B2" w:rsidRPr="006D0C49">
        <w:rPr>
          <w:rFonts w:ascii="Times New Roman" w:hAnsi="Times New Roman" w:cs="Times New Roman"/>
          <w:sz w:val="20"/>
          <w:szCs w:val="20"/>
        </w:rPr>
        <w:t xml:space="preserve"> marquée par une forte croissance démographique et un rajeunissement </w:t>
      </w:r>
      <w:r w:rsidR="00B54406" w:rsidRPr="006D0C49">
        <w:rPr>
          <w:rFonts w:ascii="Times New Roman" w:hAnsi="Times New Roman" w:cs="Times New Roman"/>
          <w:sz w:val="20"/>
          <w:szCs w:val="20"/>
        </w:rPr>
        <w:t xml:space="preserve">important </w:t>
      </w:r>
      <w:r w:rsidR="006928B2" w:rsidRPr="006D0C49">
        <w:rPr>
          <w:rFonts w:ascii="Times New Roman" w:hAnsi="Times New Roman" w:cs="Times New Roman"/>
          <w:sz w:val="20"/>
          <w:szCs w:val="20"/>
        </w:rPr>
        <w:t xml:space="preserve">de la population. Ce qui interpelle lorsqu’on observe l’évolution du chômage des jeunes </w:t>
      </w:r>
      <w:r w:rsidR="000878B6">
        <w:rPr>
          <w:rFonts w:ascii="Times New Roman" w:hAnsi="Times New Roman" w:cs="Times New Roman"/>
          <w:sz w:val="20"/>
          <w:szCs w:val="20"/>
        </w:rPr>
        <w:t>entre 2015 et 2015</w:t>
      </w:r>
      <w:r w:rsidR="006928B2" w:rsidRPr="006D0C49">
        <w:rPr>
          <w:rFonts w:ascii="Times New Roman" w:hAnsi="Times New Roman" w:cs="Times New Roman"/>
          <w:sz w:val="20"/>
          <w:szCs w:val="20"/>
        </w:rPr>
        <w:t>, c’est sa relative diminution en Région bruxelloise (-4,7 pp) alors qu’il a plutôt augmenté en Région flamande (+2 pp) et a légèrement baissé en Région wallonne tout en se maintenant à un niveau élevé (+1,0 pp). Dans le même temps, le taux d’emploi des jeunes appartenant à cette tranche d’âge (</w:t>
      </w:r>
      <w:r w:rsidR="0032376A" w:rsidRPr="006D0C49">
        <w:rPr>
          <w:rFonts w:ascii="Times New Roman" w:hAnsi="Times New Roman" w:cs="Times New Roman"/>
          <w:sz w:val="20"/>
          <w:szCs w:val="20"/>
        </w:rPr>
        <w:t xml:space="preserve">moins de </w:t>
      </w:r>
      <w:r w:rsidR="006928B2" w:rsidRPr="006D0C49">
        <w:rPr>
          <w:rFonts w:ascii="Times New Roman" w:hAnsi="Times New Roman" w:cs="Times New Roman"/>
          <w:sz w:val="20"/>
          <w:szCs w:val="20"/>
        </w:rPr>
        <w:t>25 ans) a enregistré une légère hausse à Bruxelles passant de 46,4% à 47,7%</w:t>
      </w:r>
      <w:r w:rsidR="00CF7184" w:rsidRPr="006D0C49">
        <w:rPr>
          <w:rStyle w:val="Appelnotedebasdep"/>
          <w:rFonts w:ascii="Times New Roman" w:hAnsi="Times New Roman"/>
          <w:sz w:val="20"/>
          <w:szCs w:val="20"/>
        </w:rPr>
        <w:footnoteReference w:id="8"/>
      </w:r>
      <w:r w:rsidR="006928B2" w:rsidRPr="006D0C49">
        <w:rPr>
          <w:rFonts w:ascii="Times New Roman" w:hAnsi="Times New Roman" w:cs="Times New Roman"/>
          <w:sz w:val="20"/>
          <w:szCs w:val="20"/>
        </w:rPr>
        <w:t>.</w:t>
      </w:r>
    </w:p>
    <w:p w14:paraId="499E5078" w14:textId="542BD98E" w:rsidR="00C874D3" w:rsidRDefault="00C874D3" w:rsidP="00DB59B8">
      <w:pPr>
        <w:spacing w:after="120" w:line="240" w:lineRule="auto"/>
        <w:jc w:val="both"/>
        <w:rPr>
          <w:rFonts w:ascii="Times New Roman" w:hAnsi="Times New Roman" w:cs="Times New Roman"/>
          <w:sz w:val="20"/>
          <w:szCs w:val="20"/>
        </w:rPr>
      </w:pPr>
    </w:p>
    <w:p w14:paraId="31460BEE" w14:textId="5F751DEC" w:rsidR="00C874D3" w:rsidRDefault="00C874D3" w:rsidP="00DB59B8">
      <w:pPr>
        <w:spacing w:after="120" w:line="240" w:lineRule="auto"/>
        <w:jc w:val="both"/>
        <w:rPr>
          <w:rFonts w:ascii="Times New Roman" w:hAnsi="Times New Roman" w:cs="Times New Roman"/>
          <w:sz w:val="20"/>
          <w:szCs w:val="20"/>
        </w:rPr>
      </w:pPr>
    </w:p>
    <w:p w14:paraId="2B09CB97" w14:textId="4DCBE447" w:rsidR="00C874D3" w:rsidRDefault="00C874D3" w:rsidP="00DB59B8">
      <w:pPr>
        <w:spacing w:after="120" w:line="240" w:lineRule="auto"/>
        <w:jc w:val="both"/>
        <w:rPr>
          <w:rFonts w:ascii="Times New Roman" w:hAnsi="Times New Roman" w:cs="Times New Roman"/>
          <w:sz w:val="20"/>
          <w:szCs w:val="20"/>
        </w:rPr>
      </w:pPr>
    </w:p>
    <w:p w14:paraId="220156F4" w14:textId="52AAA229" w:rsidR="00C874D3" w:rsidRDefault="00C874D3" w:rsidP="00DB59B8">
      <w:pPr>
        <w:spacing w:after="120" w:line="240" w:lineRule="auto"/>
        <w:jc w:val="both"/>
        <w:rPr>
          <w:rFonts w:ascii="Times New Roman" w:hAnsi="Times New Roman" w:cs="Times New Roman"/>
          <w:sz w:val="20"/>
          <w:szCs w:val="20"/>
        </w:rPr>
      </w:pPr>
    </w:p>
    <w:p w14:paraId="771BDD27" w14:textId="2098B31C" w:rsidR="00C874D3" w:rsidRDefault="00C874D3" w:rsidP="00DB59B8">
      <w:pPr>
        <w:spacing w:after="120" w:line="240" w:lineRule="auto"/>
        <w:jc w:val="both"/>
        <w:rPr>
          <w:rFonts w:ascii="Times New Roman" w:hAnsi="Times New Roman" w:cs="Times New Roman"/>
          <w:sz w:val="20"/>
          <w:szCs w:val="20"/>
        </w:rPr>
      </w:pPr>
    </w:p>
    <w:p w14:paraId="1D1C07D9" w14:textId="3AA24472" w:rsidR="00C874D3" w:rsidRDefault="00C874D3" w:rsidP="00DB59B8">
      <w:pPr>
        <w:spacing w:after="120" w:line="240" w:lineRule="auto"/>
        <w:jc w:val="both"/>
        <w:rPr>
          <w:rFonts w:ascii="Times New Roman" w:hAnsi="Times New Roman" w:cs="Times New Roman"/>
          <w:sz w:val="20"/>
          <w:szCs w:val="20"/>
        </w:rPr>
      </w:pPr>
    </w:p>
    <w:p w14:paraId="7E28AF3D" w14:textId="36CE1421" w:rsidR="00C874D3" w:rsidRDefault="00C874D3" w:rsidP="00DB59B8">
      <w:pPr>
        <w:spacing w:after="120" w:line="240" w:lineRule="auto"/>
        <w:jc w:val="both"/>
        <w:rPr>
          <w:rFonts w:ascii="Times New Roman" w:hAnsi="Times New Roman" w:cs="Times New Roman"/>
          <w:sz w:val="20"/>
          <w:szCs w:val="20"/>
        </w:rPr>
      </w:pPr>
    </w:p>
    <w:p w14:paraId="1AE70C75" w14:textId="29F2C64F" w:rsidR="00C874D3" w:rsidRDefault="00C874D3" w:rsidP="00DB59B8">
      <w:pPr>
        <w:spacing w:after="120" w:line="240" w:lineRule="auto"/>
        <w:jc w:val="both"/>
        <w:rPr>
          <w:rFonts w:ascii="Times New Roman" w:hAnsi="Times New Roman" w:cs="Times New Roman"/>
          <w:sz w:val="20"/>
          <w:szCs w:val="20"/>
        </w:rPr>
      </w:pPr>
    </w:p>
    <w:p w14:paraId="61AE7C85" w14:textId="77777777" w:rsidR="00C874D3" w:rsidRPr="006D0C49" w:rsidRDefault="00C874D3" w:rsidP="00DB59B8">
      <w:pPr>
        <w:spacing w:after="120" w:line="240" w:lineRule="auto"/>
        <w:jc w:val="both"/>
        <w:rPr>
          <w:rFonts w:ascii="Times New Roman" w:hAnsi="Times New Roman" w:cs="Times New Roman"/>
          <w:sz w:val="20"/>
          <w:szCs w:val="20"/>
        </w:rPr>
      </w:pPr>
    </w:p>
    <w:p w14:paraId="175D483A" w14:textId="77777777" w:rsidR="006928B2" w:rsidRPr="006D0C49" w:rsidRDefault="006928B2" w:rsidP="006462F4">
      <w:pPr>
        <w:pStyle w:val="Lgende"/>
        <w:spacing w:after="120"/>
        <w:jc w:val="both"/>
        <w:rPr>
          <w:color w:val="auto"/>
          <w:sz w:val="20"/>
          <w:szCs w:val="20"/>
        </w:rPr>
      </w:pPr>
      <w:r w:rsidRPr="006D0C49">
        <w:rPr>
          <w:color w:val="auto"/>
          <w:sz w:val="20"/>
          <w:szCs w:val="20"/>
        </w:rPr>
        <w:lastRenderedPageBreak/>
        <w:t xml:space="preserve">Figure </w:t>
      </w:r>
      <w:r w:rsidR="00581A1B" w:rsidRPr="006D0C49">
        <w:rPr>
          <w:color w:val="auto"/>
          <w:sz w:val="20"/>
          <w:szCs w:val="20"/>
        </w:rPr>
        <w:fldChar w:fldCharType="begin"/>
      </w:r>
      <w:r w:rsidR="00581A1B" w:rsidRPr="006D0C49">
        <w:rPr>
          <w:color w:val="auto"/>
          <w:sz w:val="20"/>
          <w:szCs w:val="20"/>
        </w:rPr>
        <w:instrText xml:space="preserve"> SEQ Figure \* ARABIC </w:instrText>
      </w:r>
      <w:r w:rsidR="00581A1B" w:rsidRPr="006D0C49">
        <w:rPr>
          <w:color w:val="auto"/>
          <w:sz w:val="20"/>
          <w:szCs w:val="20"/>
        </w:rPr>
        <w:fldChar w:fldCharType="separate"/>
      </w:r>
      <w:r w:rsidR="00493EC9">
        <w:rPr>
          <w:noProof/>
          <w:color w:val="auto"/>
          <w:sz w:val="20"/>
          <w:szCs w:val="20"/>
        </w:rPr>
        <w:t>1</w:t>
      </w:r>
      <w:r w:rsidR="00581A1B" w:rsidRPr="006D0C49">
        <w:rPr>
          <w:noProof/>
          <w:color w:val="auto"/>
          <w:sz w:val="20"/>
          <w:szCs w:val="20"/>
        </w:rPr>
        <w:fldChar w:fldCharType="end"/>
      </w:r>
      <w:r w:rsidRPr="006D0C49">
        <w:rPr>
          <w:color w:val="auto"/>
          <w:sz w:val="20"/>
          <w:szCs w:val="20"/>
        </w:rPr>
        <w:t> : Taux de chômage total et des moins de 25 ans dans les trois Régions – Belgique (2010-2015)</w:t>
      </w:r>
    </w:p>
    <w:p w14:paraId="70A88414" w14:textId="77777777" w:rsidR="00C41726" w:rsidRPr="006D0C49" w:rsidRDefault="00C41726" w:rsidP="00DB59B8">
      <w:pPr>
        <w:spacing w:after="120" w:line="240" w:lineRule="auto"/>
        <w:jc w:val="center"/>
        <w:rPr>
          <w:sz w:val="20"/>
          <w:szCs w:val="20"/>
          <w:lang w:eastAsia="en-US"/>
        </w:rPr>
      </w:pPr>
      <w:r w:rsidRPr="006D0C49">
        <w:rPr>
          <w:noProof/>
          <w:sz w:val="20"/>
          <w:szCs w:val="20"/>
        </w:rPr>
        <w:drawing>
          <wp:inline distT="0" distB="0" distL="0" distR="0" wp14:anchorId="7898EEE4" wp14:editId="04932F79">
            <wp:extent cx="4152136" cy="2065020"/>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9143" cy="2073478"/>
                    </a:xfrm>
                    <a:prstGeom prst="rect">
                      <a:avLst/>
                    </a:prstGeom>
                    <a:noFill/>
                    <a:ln>
                      <a:noFill/>
                    </a:ln>
                  </pic:spPr>
                </pic:pic>
              </a:graphicData>
            </a:graphic>
          </wp:inline>
        </w:drawing>
      </w:r>
    </w:p>
    <w:p w14:paraId="0BDFD726" w14:textId="77777777" w:rsidR="006928B2" w:rsidRPr="006D0C49" w:rsidRDefault="006928B2" w:rsidP="00DB59B8">
      <w:pPr>
        <w:spacing w:after="120" w:line="240" w:lineRule="auto"/>
        <w:jc w:val="center"/>
        <w:rPr>
          <w:rFonts w:ascii="Times New Roman" w:hAnsi="Times New Roman" w:cs="Times New Roman"/>
          <w:sz w:val="20"/>
          <w:szCs w:val="20"/>
        </w:rPr>
      </w:pPr>
      <w:r w:rsidRPr="006D0C49">
        <w:rPr>
          <w:rFonts w:ascii="Times New Roman" w:hAnsi="Times New Roman" w:cs="Times New Roman"/>
          <w:sz w:val="20"/>
          <w:szCs w:val="20"/>
        </w:rPr>
        <w:t xml:space="preserve">Sources : </w:t>
      </w:r>
      <w:r w:rsidR="0091407E" w:rsidRPr="006D0C49">
        <w:rPr>
          <w:rFonts w:ascii="Times New Roman" w:hAnsi="Times New Roman" w:cs="Times New Roman"/>
          <w:sz w:val="20"/>
          <w:szCs w:val="20"/>
        </w:rPr>
        <w:t xml:space="preserve">BNB, SPF Economie DGSIE – EFT, </w:t>
      </w:r>
      <w:r w:rsidR="00304304" w:rsidRPr="006D0C49">
        <w:rPr>
          <w:rFonts w:ascii="Times New Roman" w:hAnsi="Times New Roman" w:cs="Times New Roman"/>
          <w:sz w:val="20"/>
          <w:szCs w:val="20"/>
        </w:rPr>
        <w:t>Actiris, FOREM</w:t>
      </w:r>
      <w:r w:rsidR="0091407E" w:rsidRPr="006D0C49">
        <w:rPr>
          <w:rFonts w:ascii="Times New Roman" w:hAnsi="Times New Roman" w:cs="Times New Roman"/>
          <w:sz w:val="20"/>
          <w:szCs w:val="20"/>
        </w:rPr>
        <w:t>, VDAB</w:t>
      </w:r>
    </w:p>
    <w:p w14:paraId="6342BA30" w14:textId="05B05F57" w:rsidR="005807D2" w:rsidRPr="006D0C49" w:rsidRDefault="006928B2" w:rsidP="00094E30">
      <w:pPr>
        <w:spacing w:after="120" w:line="240" w:lineRule="auto"/>
        <w:jc w:val="both"/>
        <w:rPr>
          <w:sz w:val="20"/>
          <w:szCs w:val="20"/>
        </w:rPr>
      </w:pPr>
      <w:r w:rsidRPr="006D0C49">
        <w:rPr>
          <w:rFonts w:ascii="Times New Roman" w:hAnsi="Times New Roman" w:cs="Times New Roman"/>
          <w:sz w:val="20"/>
          <w:szCs w:val="20"/>
        </w:rPr>
        <w:t xml:space="preserve">L’évolution mensuelle du nombre de </w:t>
      </w:r>
      <w:r w:rsidR="00EF7AAA" w:rsidRPr="006D0C49">
        <w:rPr>
          <w:rFonts w:ascii="Times New Roman" w:hAnsi="Times New Roman" w:cs="Times New Roman"/>
          <w:sz w:val="20"/>
          <w:szCs w:val="20"/>
        </w:rPr>
        <w:t>demandeurs d’emploi inoccupés (</w:t>
      </w:r>
      <w:r w:rsidRPr="006D0C49">
        <w:rPr>
          <w:rFonts w:ascii="Times New Roman" w:hAnsi="Times New Roman" w:cs="Times New Roman"/>
          <w:sz w:val="20"/>
          <w:szCs w:val="20"/>
        </w:rPr>
        <w:t>DEI</w:t>
      </w:r>
      <w:r w:rsidR="00EF7AAA" w:rsidRPr="006D0C49">
        <w:rPr>
          <w:rFonts w:ascii="Times New Roman" w:hAnsi="Times New Roman" w:cs="Times New Roman"/>
          <w:sz w:val="20"/>
          <w:szCs w:val="20"/>
        </w:rPr>
        <w:t>)</w:t>
      </w:r>
      <w:r w:rsidRPr="006D0C49">
        <w:rPr>
          <w:rFonts w:ascii="Times New Roman" w:hAnsi="Times New Roman" w:cs="Times New Roman"/>
          <w:sz w:val="20"/>
          <w:szCs w:val="20"/>
        </w:rPr>
        <w:t xml:space="preserve"> de moins de 29 ans indique également une évolution à la baisse. Leur nombre est en diminution constante puisqu’il est passé de 34.176 inscrits en janvier 2010 à 22.876 en juin 2016. La baisse est relativement marquée depuis janvier 2015, date à la fois de la mise en œuvre de la </w:t>
      </w:r>
      <w:r w:rsidR="00D47B77" w:rsidRPr="006D0C49">
        <w:rPr>
          <w:rFonts w:ascii="Times New Roman" w:hAnsi="Times New Roman" w:cs="Times New Roman"/>
          <w:sz w:val="20"/>
          <w:szCs w:val="20"/>
        </w:rPr>
        <w:t>GJ</w:t>
      </w:r>
      <w:r w:rsidRPr="006D0C49">
        <w:rPr>
          <w:rFonts w:ascii="Times New Roman" w:hAnsi="Times New Roman" w:cs="Times New Roman"/>
          <w:sz w:val="20"/>
          <w:szCs w:val="20"/>
        </w:rPr>
        <w:t xml:space="preserve"> au sein d’Actiris et de l’entrée en vigueur des nouvelles réglementations visant les allocations d’insertion. Le taux d’emploi des moins de 29 ans est, quant à lui, resté relativement stable entre 2010 et 2015 (respectivement 61,3% et 61,8%).</w:t>
      </w:r>
    </w:p>
    <w:p w14:paraId="65AE87D5" w14:textId="58BD5964" w:rsidR="006928B2" w:rsidRPr="006D0C49" w:rsidRDefault="006928B2" w:rsidP="006462F4">
      <w:pPr>
        <w:pStyle w:val="Lgende"/>
        <w:spacing w:after="120"/>
        <w:jc w:val="both"/>
        <w:rPr>
          <w:color w:val="auto"/>
          <w:sz w:val="20"/>
          <w:szCs w:val="20"/>
        </w:rPr>
      </w:pPr>
      <w:r w:rsidRPr="006D0C49">
        <w:rPr>
          <w:color w:val="auto"/>
          <w:sz w:val="20"/>
          <w:szCs w:val="20"/>
        </w:rPr>
        <w:t xml:space="preserve">Figure </w:t>
      </w:r>
      <w:r w:rsidR="00581A1B" w:rsidRPr="006D0C49">
        <w:rPr>
          <w:color w:val="auto"/>
          <w:sz w:val="20"/>
          <w:szCs w:val="20"/>
        </w:rPr>
        <w:fldChar w:fldCharType="begin"/>
      </w:r>
      <w:r w:rsidR="00581A1B" w:rsidRPr="006D0C49">
        <w:rPr>
          <w:color w:val="auto"/>
          <w:sz w:val="20"/>
          <w:szCs w:val="20"/>
        </w:rPr>
        <w:instrText xml:space="preserve"> SEQ Figure \* ARABIC </w:instrText>
      </w:r>
      <w:r w:rsidR="00581A1B" w:rsidRPr="006D0C49">
        <w:rPr>
          <w:color w:val="auto"/>
          <w:sz w:val="20"/>
          <w:szCs w:val="20"/>
        </w:rPr>
        <w:fldChar w:fldCharType="separate"/>
      </w:r>
      <w:r w:rsidR="00493EC9">
        <w:rPr>
          <w:noProof/>
          <w:color w:val="auto"/>
          <w:sz w:val="20"/>
          <w:szCs w:val="20"/>
        </w:rPr>
        <w:t>2</w:t>
      </w:r>
      <w:r w:rsidR="00581A1B" w:rsidRPr="006D0C49">
        <w:rPr>
          <w:noProof/>
          <w:color w:val="auto"/>
          <w:sz w:val="20"/>
          <w:szCs w:val="20"/>
        </w:rPr>
        <w:fldChar w:fldCharType="end"/>
      </w:r>
      <w:r w:rsidRPr="006D0C49">
        <w:rPr>
          <w:color w:val="auto"/>
          <w:sz w:val="20"/>
          <w:szCs w:val="20"/>
        </w:rPr>
        <w:t> : Evolution du nombre de DEI de moins de 29 ans en Région de Bruxelles-Capitale (janvier 2011-août 2016)</w:t>
      </w:r>
    </w:p>
    <w:p w14:paraId="739DD77C" w14:textId="77777777" w:rsidR="0014305C" w:rsidRPr="006D0C49" w:rsidRDefault="0014305C" w:rsidP="00DB59B8">
      <w:pPr>
        <w:spacing w:after="120" w:line="240" w:lineRule="auto"/>
        <w:jc w:val="center"/>
        <w:rPr>
          <w:sz w:val="20"/>
          <w:szCs w:val="20"/>
          <w:lang w:eastAsia="en-US"/>
        </w:rPr>
      </w:pPr>
      <w:r w:rsidRPr="006D0C49">
        <w:rPr>
          <w:noProof/>
          <w:sz w:val="20"/>
          <w:szCs w:val="20"/>
        </w:rPr>
        <w:drawing>
          <wp:inline distT="0" distB="0" distL="0" distR="0" wp14:anchorId="264D0DB8" wp14:editId="1C68D056">
            <wp:extent cx="3970020" cy="2103078"/>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9302" cy="2107995"/>
                    </a:xfrm>
                    <a:prstGeom prst="rect">
                      <a:avLst/>
                    </a:prstGeom>
                    <a:noFill/>
                    <a:ln>
                      <a:noFill/>
                    </a:ln>
                  </pic:spPr>
                </pic:pic>
              </a:graphicData>
            </a:graphic>
          </wp:inline>
        </w:drawing>
      </w:r>
    </w:p>
    <w:p w14:paraId="0960997A" w14:textId="77777777" w:rsidR="00C02596" w:rsidRPr="006D0C49" w:rsidRDefault="006928B2" w:rsidP="00BE17A0">
      <w:pPr>
        <w:spacing w:after="120" w:line="240" w:lineRule="auto"/>
        <w:jc w:val="center"/>
        <w:rPr>
          <w:rFonts w:ascii="Times New Roman" w:hAnsi="Times New Roman" w:cs="Times New Roman"/>
          <w:sz w:val="20"/>
          <w:szCs w:val="20"/>
        </w:rPr>
      </w:pPr>
      <w:r w:rsidRPr="006D0C49">
        <w:rPr>
          <w:rFonts w:ascii="Times New Roman" w:hAnsi="Times New Roman" w:cs="Times New Roman"/>
          <w:sz w:val="20"/>
          <w:szCs w:val="20"/>
        </w:rPr>
        <w:t>Source :</w:t>
      </w:r>
      <w:r w:rsidR="004D059B" w:rsidRPr="006D0C49">
        <w:rPr>
          <w:rFonts w:ascii="Times New Roman" w:hAnsi="Times New Roman" w:cs="Times New Roman"/>
          <w:sz w:val="20"/>
          <w:szCs w:val="20"/>
        </w:rPr>
        <w:t xml:space="preserve"> Actiris, calculs Observatoire bruxellois de l’Emploi</w:t>
      </w:r>
    </w:p>
    <w:p w14:paraId="3564EDCE" w14:textId="73F2E26D" w:rsidR="005D40D2" w:rsidRPr="006D0C49" w:rsidDel="005D40D2" w:rsidRDefault="006928B2" w:rsidP="005D40D2">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En filigrane de cette diminution progressive et constante du chômage des jeunes demandeurs d’emploi</w:t>
      </w:r>
      <w:r w:rsidR="005A4E88">
        <w:rPr>
          <w:rStyle w:val="Appelnotedebasdep"/>
          <w:rFonts w:ascii="Times New Roman" w:hAnsi="Times New Roman"/>
          <w:sz w:val="20"/>
          <w:szCs w:val="20"/>
        </w:rPr>
        <w:footnoteReference w:id="9"/>
      </w:r>
      <w:r w:rsidRPr="006D0C49">
        <w:rPr>
          <w:rFonts w:ascii="Times New Roman" w:hAnsi="Times New Roman" w:cs="Times New Roman"/>
          <w:sz w:val="20"/>
          <w:szCs w:val="20"/>
        </w:rPr>
        <w:t xml:space="preserve">, surgit la question cruciale de savoir ce qu’il advient d’eux une fois sortis du chômage. </w:t>
      </w:r>
      <w:r w:rsidR="00C02596" w:rsidRPr="006D0C49">
        <w:rPr>
          <w:rFonts w:ascii="Times New Roman" w:hAnsi="Times New Roman" w:cs="Times New Roman"/>
          <w:sz w:val="20"/>
          <w:szCs w:val="20"/>
        </w:rPr>
        <w:t>Sont-ils</w:t>
      </w:r>
      <w:r w:rsidRPr="006D0C49">
        <w:rPr>
          <w:rFonts w:ascii="Times New Roman" w:hAnsi="Times New Roman" w:cs="Times New Roman"/>
          <w:sz w:val="20"/>
          <w:szCs w:val="20"/>
        </w:rPr>
        <w:t xml:space="preserve"> à l’emploi ? </w:t>
      </w:r>
      <w:proofErr w:type="spellStart"/>
      <w:r w:rsidR="00C02596" w:rsidRPr="006D0C49">
        <w:rPr>
          <w:rFonts w:ascii="Times New Roman" w:hAnsi="Times New Roman" w:cs="Times New Roman"/>
          <w:sz w:val="20"/>
          <w:szCs w:val="20"/>
        </w:rPr>
        <w:t>Font-ils</w:t>
      </w:r>
      <w:proofErr w:type="spellEnd"/>
      <w:r w:rsidR="00C02596" w:rsidRPr="006D0C49">
        <w:rPr>
          <w:rFonts w:ascii="Times New Roman" w:hAnsi="Times New Roman" w:cs="Times New Roman"/>
          <w:sz w:val="20"/>
          <w:szCs w:val="20"/>
        </w:rPr>
        <w:t xml:space="preserve"> partie des </w:t>
      </w:r>
      <w:r w:rsidRPr="006D0C49">
        <w:rPr>
          <w:rFonts w:ascii="Times New Roman" w:hAnsi="Times New Roman" w:cs="Times New Roman"/>
          <w:sz w:val="20"/>
          <w:szCs w:val="20"/>
        </w:rPr>
        <w:t>exclusions massives et systématiques du chômage que l’on connaît depuis janvier 2015 ? E</w:t>
      </w:r>
      <w:r w:rsidR="00C02596" w:rsidRPr="006D0C49">
        <w:rPr>
          <w:rFonts w:ascii="Times New Roman" w:hAnsi="Times New Roman" w:cs="Times New Roman"/>
          <w:sz w:val="20"/>
          <w:szCs w:val="20"/>
        </w:rPr>
        <w:t>st-ce un e</w:t>
      </w:r>
      <w:r w:rsidRPr="006D0C49">
        <w:rPr>
          <w:rFonts w:ascii="Times New Roman" w:hAnsi="Times New Roman" w:cs="Times New Roman"/>
          <w:sz w:val="20"/>
          <w:szCs w:val="20"/>
        </w:rPr>
        <w:t xml:space="preserve">ffet positif des dispositifs d’accompagnement et de la </w:t>
      </w:r>
      <w:r w:rsidR="00385B58" w:rsidRPr="006D0C49">
        <w:rPr>
          <w:rFonts w:ascii="Times New Roman" w:hAnsi="Times New Roman" w:cs="Times New Roman"/>
          <w:sz w:val="20"/>
          <w:szCs w:val="20"/>
        </w:rPr>
        <w:t>Garantie Jeunes</w:t>
      </w:r>
      <w:r w:rsidRPr="006D0C49">
        <w:rPr>
          <w:rFonts w:ascii="Times New Roman" w:hAnsi="Times New Roman" w:cs="Times New Roman"/>
          <w:sz w:val="20"/>
          <w:szCs w:val="20"/>
        </w:rPr>
        <w:t xml:space="preserve"> ? </w:t>
      </w:r>
    </w:p>
    <w:p w14:paraId="75B8EF5D" w14:textId="39E1AD8A" w:rsidR="00C103B0" w:rsidRPr="006D0C49" w:rsidRDefault="006928B2" w:rsidP="005D40D2">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Les résultats d’analyse seront ainsi présentés en deux temps. Il s’agit d’une part de brosser un portrait des jeunes qui n’ont plus accès aux allocations d’insertion (en raison d’une fin de droit ou de critères d’inéligibilité dans le cadre des limitations d’âge) et d’autre part d’évaluer les premiers effets de l’accompagnement réalisé dans le cadre de la </w:t>
      </w:r>
      <w:r w:rsidR="00B01E68" w:rsidRPr="006D0C49">
        <w:rPr>
          <w:rFonts w:ascii="Times New Roman" w:hAnsi="Times New Roman" w:cs="Times New Roman"/>
          <w:sz w:val="20"/>
          <w:szCs w:val="20"/>
        </w:rPr>
        <w:t>GJ</w:t>
      </w:r>
      <w:r w:rsidRPr="006D0C49">
        <w:rPr>
          <w:rFonts w:ascii="Times New Roman" w:hAnsi="Times New Roman" w:cs="Times New Roman"/>
          <w:sz w:val="20"/>
          <w:szCs w:val="20"/>
        </w:rPr>
        <w:t>.</w:t>
      </w:r>
      <w:r w:rsidR="00641E83" w:rsidRPr="006D0C49">
        <w:rPr>
          <w:rFonts w:ascii="Times New Roman" w:hAnsi="Times New Roman" w:cs="Times New Roman"/>
          <w:sz w:val="20"/>
          <w:szCs w:val="20"/>
        </w:rPr>
        <w:t xml:space="preserve"> </w:t>
      </w:r>
    </w:p>
    <w:p w14:paraId="7B7A82F9" w14:textId="77777777" w:rsidR="00D47DDD" w:rsidRPr="006D0C49" w:rsidRDefault="00AC2660" w:rsidP="00AC2660">
      <w:pPr>
        <w:pStyle w:val="NormalWeb"/>
        <w:spacing w:after="120"/>
        <w:jc w:val="both"/>
        <w:rPr>
          <w:rFonts w:ascii="Arial" w:hAnsi="Arial" w:cs="Arial"/>
          <w:sz w:val="20"/>
          <w:szCs w:val="20"/>
        </w:rPr>
      </w:pPr>
      <w:r w:rsidRPr="006D0C49">
        <w:rPr>
          <w:b/>
          <w:sz w:val="20"/>
          <w:szCs w:val="20"/>
        </w:rPr>
        <w:t xml:space="preserve">3.1. </w:t>
      </w:r>
      <w:r w:rsidR="006928B2" w:rsidRPr="006D0C49">
        <w:rPr>
          <w:b/>
          <w:sz w:val="20"/>
          <w:szCs w:val="20"/>
        </w:rPr>
        <w:t>Les jeunes « non ayant-droit »</w:t>
      </w:r>
    </w:p>
    <w:p w14:paraId="25FF8411" w14:textId="77777777" w:rsidR="006928B2" w:rsidRPr="006D0C49" w:rsidRDefault="00AC2660" w:rsidP="00AC2660">
      <w:pPr>
        <w:spacing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t xml:space="preserve">3.1.1. </w:t>
      </w:r>
      <w:r w:rsidR="006928B2" w:rsidRPr="006D0C49">
        <w:rPr>
          <w:rFonts w:ascii="Times New Roman" w:hAnsi="Times New Roman" w:cs="Times New Roman"/>
          <w:b/>
          <w:sz w:val="20"/>
          <w:szCs w:val="20"/>
        </w:rPr>
        <w:t>Les fins de droit</w:t>
      </w:r>
    </w:p>
    <w:p w14:paraId="567A5285" w14:textId="77777777" w:rsidR="00DB59B8" w:rsidRPr="006D0C49" w:rsidRDefault="00C15235" w:rsidP="006462F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En principe, les allocations d’insertion visent un public de jeunes sortants de l’enseignement. Dans les faits, l</w:t>
      </w:r>
      <w:r w:rsidR="00AB5F10" w:rsidRPr="006D0C49">
        <w:rPr>
          <w:rFonts w:ascii="Times New Roman" w:hAnsi="Times New Roman" w:cs="Times New Roman"/>
          <w:sz w:val="20"/>
          <w:szCs w:val="20"/>
        </w:rPr>
        <w:t xml:space="preserve">’entrée en vigueur en janvier 2015 de la mesure limitant à trois ans </w:t>
      </w:r>
      <w:r w:rsidRPr="006D0C49">
        <w:rPr>
          <w:rFonts w:ascii="Times New Roman" w:hAnsi="Times New Roman" w:cs="Times New Roman"/>
          <w:sz w:val="20"/>
          <w:szCs w:val="20"/>
        </w:rPr>
        <w:t>leur bénéfice</w:t>
      </w:r>
      <w:r w:rsidR="00244153" w:rsidRPr="006D0C49">
        <w:rPr>
          <w:rFonts w:ascii="Times New Roman" w:hAnsi="Times New Roman" w:cs="Times New Roman"/>
          <w:sz w:val="20"/>
          <w:szCs w:val="20"/>
        </w:rPr>
        <w:t xml:space="preserve"> a surtout permis dans les tous </w:t>
      </w:r>
      <w:r w:rsidR="00244153" w:rsidRPr="006D0C49">
        <w:rPr>
          <w:rFonts w:ascii="Times New Roman" w:hAnsi="Times New Roman" w:cs="Times New Roman"/>
          <w:sz w:val="20"/>
          <w:szCs w:val="20"/>
        </w:rPr>
        <w:lastRenderedPageBreak/>
        <w:t xml:space="preserve">premiers mois </w:t>
      </w:r>
      <w:r w:rsidRPr="006D0C49">
        <w:rPr>
          <w:rFonts w:ascii="Times New Roman" w:hAnsi="Times New Roman" w:cs="Times New Roman"/>
          <w:sz w:val="20"/>
          <w:szCs w:val="20"/>
        </w:rPr>
        <w:t xml:space="preserve">d’épurer le stock des allocataires. Ont ainsi été massivement exclus les chômeurs de plus ou moins longue durée qui n’avaient pas réussi à s’intégrer durablement sur le marché de l’emploi </w:t>
      </w:r>
      <w:r w:rsidR="00E619EC" w:rsidRPr="006D0C49">
        <w:rPr>
          <w:rFonts w:ascii="Times New Roman" w:hAnsi="Times New Roman" w:cs="Times New Roman"/>
          <w:sz w:val="20"/>
          <w:szCs w:val="20"/>
        </w:rPr>
        <w:t>alors qu’ils étaient</w:t>
      </w:r>
      <w:r w:rsidRPr="006D0C49">
        <w:rPr>
          <w:rFonts w:ascii="Times New Roman" w:hAnsi="Times New Roman" w:cs="Times New Roman"/>
          <w:sz w:val="20"/>
          <w:szCs w:val="20"/>
        </w:rPr>
        <w:t xml:space="preserve"> sortis des études depuis déjà un certain nombre d’années. </w:t>
      </w:r>
      <w:r w:rsidR="00EC587B" w:rsidRPr="006D0C49">
        <w:rPr>
          <w:rFonts w:ascii="Times New Roman" w:hAnsi="Times New Roman" w:cs="Times New Roman"/>
          <w:sz w:val="20"/>
          <w:szCs w:val="20"/>
        </w:rPr>
        <w:t>Sur</w:t>
      </w:r>
      <w:r w:rsidRPr="006D0C49">
        <w:rPr>
          <w:rFonts w:ascii="Times New Roman" w:hAnsi="Times New Roman" w:cs="Times New Roman"/>
          <w:sz w:val="20"/>
          <w:szCs w:val="20"/>
        </w:rPr>
        <w:t xml:space="preserve"> les </w:t>
      </w:r>
      <w:r w:rsidR="006928B2" w:rsidRPr="006D0C49">
        <w:rPr>
          <w:rFonts w:ascii="Times New Roman" w:hAnsi="Times New Roman" w:cs="Times New Roman"/>
          <w:sz w:val="20"/>
          <w:szCs w:val="20"/>
        </w:rPr>
        <w:t xml:space="preserve">4.785 chômeurs </w:t>
      </w:r>
      <w:r w:rsidRPr="006D0C49">
        <w:rPr>
          <w:rFonts w:ascii="Times New Roman" w:hAnsi="Times New Roman" w:cs="Times New Roman"/>
          <w:sz w:val="20"/>
          <w:szCs w:val="20"/>
        </w:rPr>
        <w:t xml:space="preserve">ayant subi </w:t>
      </w:r>
      <w:r w:rsidR="006928B2" w:rsidRPr="006D0C49">
        <w:rPr>
          <w:rFonts w:ascii="Times New Roman" w:hAnsi="Times New Roman" w:cs="Times New Roman"/>
          <w:sz w:val="20"/>
          <w:szCs w:val="20"/>
        </w:rPr>
        <w:t>une exclusion à la suite d’une fin de droit au cours de l’a</w:t>
      </w:r>
      <w:r w:rsidRPr="006D0C49">
        <w:rPr>
          <w:rFonts w:ascii="Times New Roman" w:hAnsi="Times New Roman" w:cs="Times New Roman"/>
          <w:sz w:val="20"/>
          <w:szCs w:val="20"/>
        </w:rPr>
        <w:t>nnée 2015 en Région bruxelloise, u</w:t>
      </w:r>
      <w:r w:rsidR="006928B2" w:rsidRPr="006D0C49">
        <w:rPr>
          <w:rFonts w:ascii="Times New Roman" w:hAnsi="Times New Roman" w:cs="Times New Roman"/>
          <w:sz w:val="20"/>
          <w:szCs w:val="20"/>
        </w:rPr>
        <w:t>n peu plus de la moitié se situaient d</w:t>
      </w:r>
      <w:r w:rsidRPr="006D0C49">
        <w:rPr>
          <w:rFonts w:ascii="Times New Roman" w:hAnsi="Times New Roman" w:cs="Times New Roman"/>
          <w:sz w:val="20"/>
          <w:szCs w:val="20"/>
        </w:rPr>
        <w:t>ans la tranche d’âge 30-39 ans.</w:t>
      </w:r>
      <w:r w:rsidR="00EB1188" w:rsidRPr="006D0C49">
        <w:rPr>
          <w:rFonts w:ascii="Times New Roman" w:hAnsi="Times New Roman" w:cs="Times New Roman"/>
          <w:sz w:val="20"/>
          <w:szCs w:val="20"/>
        </w:rPr>
        <w:t xml:space="preserve"> </w:t>
      </w:r>
      <w:r w:rsidR="00250789" w:rsidRPr="006D0C49">
        <w:rPr>
          <w:rFonts w:ascii="Times New Roman" w:hAnsi="Times New Roman" w:cs="Times New Roman"/>
          <w:sz w:val="20"/>
          <w:szCs w:val="20"/>
        </w:rPr>
        <w:t>Par ailleurs,</w:t>
      </w:r>
      <w:r w:rsidR="00EB1188" w:rsidRPr="006D0C49">
        <w:rPr>
          <w:rFonts w:ascii="Times New Roman" w:hAnsi="Times New Roman" w:cs="Times New Roman"/>
          <w:sz w:val="20"/>
          <w:szCs w:val="20"/>
        </w:rPr>
        <w:t xml:space="preserve"> </w:t>
      </w:r>
      <w:r w:rsidR="00637292" w:rsidRPr="006D0C49">
        <w:rPr>
          <w:rFonts w:ascii="Times New Roman" w:hAnsi="Times New Roman" w:cs="Times New Roman"/>
          <w:sz w:val="20"/>
          <w:szCs w:val="20"/>
        </w:rPr>
        <w:t>on peut souligner que</w:t>
      </w:r>
      <w:r w:rsidR="00EB1188" w:rsidRPr="006D0C49">
        <w:rPr>
          <w:rFonts w:ascii="Times New Roman" w:hAnsi="Times New Roman" w:cs="Times New Roman"/>
          <w:sz w:val="20"/>
          <w:szCs w:val="20"/>
        </w:rPr>
        <w:t xml:space="preserve"> 60% </w:t>
      </w:r>
      <w:r w:rsidR="00637292" w:rsidRPr="006D0C49">
        <w:rPr>
          <w:rFonts w:ascii="Times New Roman" w:hAnsi="Times New Roman" w:cs="Times New Roman"/>
          <w:sz w:val="20"/>
          <w:szCs w:val="20"/>
        </w:rPr>
        <w:t xml:space="preserve">des fins de droit </w:t>
      </w:r>
      <w:r w:rsidR="00EC587B" w:rsidRPr="006D0C49">
        <w:rPr>
          <w:rFonts w:ascii="Times New Roman" w:hAnsi="Times New Roman" w:cs="Times New Roman"/>
          <w:sz w:val="20"/>
          <w:szCs w:val="20"/>
        </w:rPr>
        <w:t>concernaient</w:t>
      </w:r>
      <w:r w:rsidR="00EB1188" w:rsidRPr="006D0C49">
        <w:rPr>
          <w:rFonts w:ascii="Times New Roman" w:hAnsi="Times New Roman" w:cs="Times New Roman"/>
          <w:sz w:val="20"/>
          <w:szCs w:val="20"/>
        </w:rPr>
        <w:t xml:space="preserve"> des femmes</w:t>
      </w:r>
      <w:r w:rsidR="00984306" w:rsidRPr="006D0C49">
        <w:rPr>
          <w:rFonts w:ascii="Times New Roman" w:hAnsi="Times New Roman" w:cs="Times New Roman"/>
          <w:sz w:val="20"/>
          <w:szCs w:val="20"/>
        </w:rPr>
        <w:t xml:space="preserve">, </w:t>
      </w:r>
      <w:r w:rsidR="00637292" w:rsidRPr="006D0C49">
        <w:rPr>
          <w:rFonts w:ascii="Times New Roman" w:hAnsi="Times New Roman" w:cs="Times New Roman"/>
          <w:sz w:val="20"/>
          <w:szCs w:val="20"/>
        </w:rPr>
        <w:t xml:space="preserve">ce qui </w:t>
      </w:r>
      <w:r w:rsidR="00D82FBA" w:rsidRPr="006D0C49">
        <w:rPr>
          <w:rFonts w:ascii="Times New Roman" w:hAnsi="Times New Roman" w:cs="Times New Roman"/>
          <w:sz w:val="20"/>
          <w:szCs w:val="20"/>
        </w:rPr>
        <w:t>ajoute</w:t>
      </w:r>
      <w:r w:rsidR="00637292" w:rsidRPr="006D0C49">
        <w:rPr>
          <w:rFonts w:ascii="Times New Roman" w:hAnsi="Times New Roman" w:cs="Times New Roman"/>
          <w:sz w:val="20"/>
          <w:szCs w:val="20"/>
        </w:rPr>
        <w:t xml:space="preserve"> une dimension </w:t>
      </w:r>
      <w:proofErr w:type="spellStart"/>
      <w:r w:rsidR="00637292" w:rsidRPr="006D0C49">
        <w:rPr>
          <w:rFonts w:ascii="Times New Roman" w:hAnsi="Times New Roman" w:cs="Times New Roman"/>
          <w:sz w:val="20"/>
          <w:szCs w:val="20"/>
        </w:rPr>
        <w:t>genrée</w:t>
      </w:r>
      <w:proofErr w:type="spellEnd"/>
      <w:r w:rsidR="00637292" w:rsidRPr="006D0C49">
        <w:rPr>
          <w:rFonts w:ascii="Times New Roman" w:hAnsi="Times New Roman" w:cs="Times New Roman"/>
          <w:sz w:val="20"/>
          <w:szCs w:val="20"/>
        </w:rPr>
        <w:t xml:space="preserve"> à la problématique des exclusions.</w:t>
      </w:r>
    </w:p>
    <w:p w14:paraId="2DBCAA0F" w14:textId="77777777" w:rsidR="006928B2" w:rsidRPr="006D0C49" w:rsidRDefault="006928B2" w:rsidP="006462F4">
      <w:pPr>
        <w:pStyle w:val="Lgende"/>
        <w:spacing w:after="120"/>
        <w:jc w:val="both"/>
        <w:rPr>
          <w:color w:val="auto"/>
          <w:sz w:val="20"/>
          <w:szCs w:val="20"/>
        </w:rPr>
      </w:pPr>
      <w:r w:rsidRPr="006D0C49">
        <w:rPr>
          <w:color w:val="auto"/>
          <w:sz w:val="20"/>
          <w:szCs w:val="20"/>
        </w:rPr>
        <w:t xml:space="preserve">Tableau </w:t>
      </w:r>
      <w:r w:rsidR="00581A1B" w:rsidRPr="006D0C49">
        <w:rPr>
          <w:color w:val="auto"/>
          <w:sz w:val="20"/>
          <w:szCs w:val="20"/>
        </w:rPr>
        <w:fldChar w:fldCharType="begin"/>
      </w:r>
      <w:r w:rsidR="00581A1B" w:rsidRPr="006D0C49">
        <w:rPr>
          <w:color w:val="auto"/>
          <w:sz w:val="20"/>
          <w:szCs w:val="20"/>
        </w:rPr>
        <w:instrText xml:space="preserve"> SEQ Tableau \* ARABIC </w:instrText>
      </w:r>
      <w:r w:rsidR="00581A1B" w:rsidRPr="006D0C49">
        <w:rPr>
          <w:color w:val="auto"/>
          <w:sz w:val="20"/>
          <w:szCs w:val="20"/>
        </w:rPr>
        <w:fldChar w:fldCharType="separate"/>
      </w:r>
      <w:r w:rsidR="00493EC9">
        <w:rPr>
          <w:noProof/>
          <w:color w:val="auto"/>
          <w:sz w:val="20"/>
          <w:szCs w:val="20"/>
        </w:rPr>
        <w:t>1</w:t>
      </w:r>
      <w:r w:rsidR="00581A1B" w:rsidRPr="006D0C49">
        <w:rPr>
          <w:noProof/>
          <w:color w:val="auto"/>
          <w:sz w:val="20"/>
          <w:szCs w:val="20"/>
        </w:rPr>
        <w:fldChar w:fldCharType="end"/>
      </w:r>
      <w:r w:rsidRPr="006D0C49">
        <w:rPr>
          <w:color w:val="auto"/>
          <w:sz w:val="20"/>
          <w:szCs w:val="20"/>
        </w:rPr>
        <w:t> : Nombre de chômeurs exclus en fin de droit d’allocation d’insertion en Région de Bruxelles-Capitale, selon la classe d’âge (2015)</w:t>
      </w:r>
    </w:p>
    <w:tbl>
      <w:tblPr>
        <w:tblW w:w="9097" w:type="dxa"/>
        <w:tblInd w:w="-35" w:type="dxa"/>
        <w:tblLayout w:type="fixed"/>
        <w:tblCellMar>
          <w:left w:w="70" w:type="dxa"/>
          <w:right w:w="70" w:type="dxa"/>
        </w:tblCellMar>
        <w:tblLook w:val="04A0" w:firstRow="1" w:lastRow="0" w:firstColumn="1" w:lastColumn="0" w:noHBand="0" w:noVBand="1"/>
      </w:tblPr>
      <w:tblGrid>
        <w:gridCol w:w="1299"/>
        <w:gridCol w:w="1300"/>
        <w:gridCol w:w="1299"/>
        <w:gridCol w:w="1300"/>
        <w:gridCol w:w="1299"/>
        <w:gridCol w:w="1300"/>
        <w:gridCol w:w="1300"/>
      </w:tblGrid>
      <w:tr w:rsidR="00AC7042" w:rsidRPr="006D0C49" w14:paraId="5232E453" w14:textId="77777777" w:rsidTr="00236FD0">
        <w:trPr>
          <w:trHeight w:val="300"/>
        </w:trPr>
        <w:tc>
          <w:tcPr>
            <w:tcW w:w="1299" w:type="dxa"/>
            <w:tcBorders>
              <w:top w:val="nil"/>
              <w:left w:val="single" w:sz="4" w:space="0" w:color="FFFFFF"/>
              <w:bottom w:val="single" w:sz="4" w:space="0" w:color="FFFFFF"/>
              <w:right w:val="single" w:sz="4" w:space="0" w:color="FFFFFF"/>
            </w:tcBorders>
            <w:shd w:val="clear" w:color="000000" w:fill="92CDDC"/>
          </w:tcPr>
          <w:p w14:paraId="53E5D6CA" w14:textId="77777777"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p>
        </w:tc>
        <w:tc>
          <w:tcPr>
            <w:tcW w:w="1300" w:type="dxa"/>
            <w:tcBorders>
              <w:top w:val="nil"/>
              <w:left w:val="single" w:sz="4" w:space="0" w:color="FFFFFF"/>
              <w:bottom w:val="single" w:sz="4" w:space="0" w:color="FFFFFF"/>
              <w:right w:val="single" w:sz="4" w:space="0" w:color="FFFFFF"/>
            </w:tcBorders>
            <w:shd w:val="clear" w:color="000000" w:fill="92CDDC"/>
            <w:noWrap/>
            <w:vAlign w:val="bottom"/>
            <w:hideMark/>
          </w:tcPr>
          <w:p w14:paraId="39D4D0F3" w14:textId="4680BD2A"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&lt; 25 ans</w:t>
            </w:r>
          </w:p>
        </w:tc>
        <w:tc>
          <w:tcPr>
            <w:tcW w:w="1299" w:type="dxa"/>
            <w:tcBorders>
              <w:top w:val="nil"/>
              <w:left w:val="nil"/>
              <w:bottom w:val="single" w:sz="4" w:space="0" w:color="FFFFFF"/>
              <w:right w:val="single" w:sz="4" w:space="0" w:color="FFFFFF"/>
            </w:tcBorders>
            <w:shd w:val="clear" w:color="000000" w:fill="92CDDC"/>
            <w:noWrap/>
            <w:vAlign w:val="bottom"/>
            <w:hideMark/>
          </w:tcPr>
          <w:p w14:paraId="3460C967" w14:textId="77777777"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25-29 ans</w:t>
            </w:r>
          </w:p>
        </w:tc>
        <w:tc>
          <w:tcPr>
            <w:tcW w:w="1300" w:type="dxa"/>
            <w:tcBorders>
              <w:top w:val="nil"/>
              <w:left w:val="nil"/>
              <w:bottom w:val="single" w:sz="4" w:space="0" w:color="FFFFFF"/>
              <w:right w:val="single" w:sz="4" w:space="0" w:color="FFFFFF"/>
            </w:tcBorders>
            <w:shd w:val="clear" w:color="000000" w:fill="92CDDC"/>
            <w:noWrap/>
            <w:vAlign w:val="bottom"/>
            <w:hideMark/>
          </w:tcPr>
          <w:p w14:paraId="001B4711" w14:textId="77777777"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30-39 ans</w:t>
            </w:r>
          </w:p>
        </w:tc>
        <w:tc>
          <w:tcPr>
            <w:tcW w:w="1299" w:type="dxa"/>
            <w:tcBorders>
              <w:top w:val="nil"/>
              <w:left w:val="nil"/>
              <w:bottom w:val="single" w:sz="4" w:space="0" w:color="FFFFFF"/>
              <w:right w:val="single" w:sz="4" w:space="0" w:color="FFFFFF"/>
            </w:tcBorders>
            <w:shd w:val="clear" w:color="000000" w:fill="92CDDC"/>
            <w:noWrap/>
            <w:vAlign w:val="bottom"/>
            <w:hideMark/>
          </w:tcPr>
          <w:p w14:paraId="31821811" w14:textId="77777777"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40-49 ans</w:t>
            </w:r>
          </w:p>
        </w:tc>
        <w:tc>
          <w:tcPr>
            <w:tcW w:w="1300" w:type="dxa"/>
            <w:tcBorders>
              <w:top w:val="nil"/>
              <w:left w:val="nil"/>
              <w:bottom w:val="single" w:sz="4" w:space="0" w:color="FFFFFF"/>
              <w:right w:val="single" w:sz="4" w:space="0" w:color="FFFFFF"/>
            </w:tcBorders>
            <w:shd w:val="clear" w:color="000000" w:fill="92CDDC"/>
            <w:noWrap/>
            <w:vAlign w:val="bottom"/>
            <w:hideMark/>
          </w:tcPr>
          <w:p w14:paraId="66E20331" w14:textId="77777777"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50 ans et +</w:t>
            </w:r>
          </w:p>
        </w:tc>
        <w:tc>
          <w:tcPr>
            <w:tcW w:w="1300" w:type="dxa"/>
            <w:tcBorders>
              <w:top w:val="nil"/>
              <w:left w:val="nil"/>
              <w:bottom w:val="single" w:sz="4" w:space="0" w:color="FFFFFF"/>
              <w:right w:val="nil"/>
            </w:tcBorders>
            <w:shd w:val="clear" w:color="000000" w:fill="92CDDC"/>
            <w:noWrap/>
            <w:vAlign w:val="bottom"/>
            <w:hideMark/>
          </w:tcPr>
          <w:p w14:paraId="07A14DD0" w14:textId="77777777" w:rsidR="00AC7042" w:rsidRPr="006D0C49" w:rsidRDefault="00AC7042" w:rsidP="006462F4">
            <w:pPr>
              <w:spacing w:after="120" w:line="240" w:lineRule="auto"/>
              <w:jc w:val="center"/>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Total</w:t>
            </w:r>
          </w:p>
        </w:tc>
      </w:tr>
      <w:tr w:rsidR="00AC7042" w:rsidRPr="006D0C49" w14:paraId="7DD1C39D" w14:textId="77777777" w:rsidTr="00236FD0">
        <w:trPr>
          <w:trHeight w:val="300"/>
        </w:trPr>
        <w:tc>
          <w:tcPr>
            <w:tcW w:w="1299" w:type="dxa"/>
            <w:tcBorders>
              <w:top w:val="nil"/>
              <w:left w:val="single" w:sz="4" w:space="0" w:color="FFFFFF"/>
              <w:bottom w:val="single" w:sz="4" w:space="0" w:color="FFFFFF"/>
              <w:right w:val="single" w:sz="4" w:space="0" w:color="FFFFFF"/>
            </w:tcBorders>
            <w:shd w:val="clear" w:color="000000" w:fill="DAEEF3"/>
          </w:tcPr>
          <w:p w14:paraId="17FACED3" w14:textId="75D9D229" w:rsidR="00AC7042" w:rsidRPr="006D0C49" w:rsidRDefault="00AC7042" w:rsidP="006462F4">
            <w:pPr>
              <w:spacing w:after="120" w:line="240" w:lineRule="auto"/>
              <w:jc w:val="right"/>
              <w:rPr>
                <w:rFonts w:ascii="Times New Roman" w:eastAsia="Times New Roman" w:hAnsi="Times New Roman" w:cs="Times New Roman"/>
                <w:b/>
                <w:color w:val="000000"/>
                <w:sz w:val="20"/>
                <w:szCs w:val="20"/>
              </w:rPr>
            </w:pPr>
            <w:r w:rsidRPr="006D0C49">
              <w:rPr>
                <w:rFonts w:ascii="Times New Roman" w:eastAsia="Times New Roman" w:hAnsi="Times New Roman" w:cs="Times New Roman"/>
                <w:b/>
                <w:color w:val="000000"/>
                <w:sz w:val="20"/>
                <w:szCs w:val="20"/>
              </w:rPr>
              <w:t>Effectifs</w:t>
            </w:r>
          </w:p>
        </w:tc>
        <w:tc>
          <w:tcPr>
            <w:tcW w:w="1300" w:type="dxa"/>
            <w:tcBorders>
              <w:top w:val="nil"/>
              <w:left w:val="single" w:sz="4" w:space="0" w:color="FFFFFF"/>
              <w:bottom w:val="single" w:sz="4" w:space="0" w:color="FFFFFF"/>
              <w:right w:val="single" w:sz="4" w:space="0" w:color="FFFFFF"/>
            </w:tcBorders>
            <w:shd w:val="clear" w:color="000000" w:fill="DAEEF3"/>
            <w:noWrap/>
            <w:vAlign w:val="bottom"/>
            <w:hideMark/>
          </w:tcPr>
          <w:p w14:paraId="056E3419" w14:textId="336DD7C1" w:rsidR="00AC7042" w:rsidRPr="006D0C49" w:rsidRDefault="00AC7042" w:rsidP="006462F4">
            <w:pPr>
              <w:spacing w:after="120" w:line="240" w:lineRule="auto"/>
              <w:jc w:val="right"/>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410</w:t>
            </w:r>
          </w:p>
        </w:tc>
        <w:tc>
          <w:tcPr>
            <w:tcW w:w="1299" w:type="dxa"/>
            <w:tcBorders>
              <w:top w:val="nil"/>
              <w:left w:val="nil"/>
              <w:bottom w:val="single" w:sz="4" w:space="0" w:color="FFFFFF"/>
              <w:right w:val="single" w:sz="4" w:space="0" w:color="FFFFFF"/>
            </w:tcBorders>
            <w:shd w:val="clear" w:color="000000" w:fill="DAEEF3"/>
            <w:noWrap/>
            <w:vAlign w:val="bottom"/>
            <w:hideMark/>
          </w:tcPr>
          <w:p w14:paraId="6FD164CB" w14:textId="77777777" w:rsidR="00AC7042" w:rsidRPr="006D0C49" w:rsidRDefault="00AC7042" w:rsidP="006462F4">
            <w:pPr>
              <w:spacing w:after="120" w:line="240" w:lineRule="auto"/>
              <w:jc w:val="right"/>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1.060</w:t>
            </w:r>
          </w:p>
        </w:tc>
        <w:tc>
          <w:tcPr>
            <w:tcW w:w="1300" w:type="dxa"/>
            <w:tcBorders>
              <w:top w:val="nil"/>
              <w:left w:val="nil"/>
              <w:bottom w:val="single" w:sz="4" w:space="0" w:color="FFFFFF"/>
              <w:right w:val="single" w:sz="4" w:space="0" w:color="FFFFFF"/>
            </w:tcBorders>
            <w:shd w:val="clear" w:color="000000" w:fill="DAEEF3"/>
            <w:noWrap/>
            <w:vAlign w:val="bottom"/>
            <w:hideMark/>
          </w:tcPr>
          <w:p w14:paraId="4F14A50C" w14:textId="77777777" w:rsidR="00AC7042" w:rsidRPr="006D0C49" w:rsidRDefault="00AC7042" w:rsidP="006462F4">
            <w:pPr>
              <w:spacing w:after="120" w:line="240" w:lineRule="auto"/>
              <w:jc w:val="right"/>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2.460</w:t>
            </w:r>
          </w:p>
        </w:tc>
        <w:tc>
          <w:tcPr>
            <w:tcW w:w="1299" w:type="dxa"/>
            <w:tcBorders>
              <w:top w:val="nil"/>
              <w:left w:val="nil"/>
              <w:bottom w:val="single" w:sz="4" w:space="0" w:color="FFFFFF"/>
              <w:right w:val="single" w:sz="4" w:space="0" w:color="FFFFFF"/>
            </w:tcBorders>
            <w:shd w:val="clear" w:color="000000" w:fill="DAEEF3"/>
            <w:noWrap/>
            <w:vAlign w:val="bottom"/>
            <w:hideMark/>
          </w:tcPr>
          <w:p w14:paraId="660CAD60" w14:textId="77777777" w:rsidR="00AC7042" w:rsidRPr="006D0C49" w:rsidRDefault="00AC7042" w:rsidP="006462F4">
            <w:pPr>
              <w:spacing w:after="120" w:line="240" w:lineRule="auto"/>
              <w:jc w:val="right"/>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781</w:t>
            </w:r>
          </w:p>
        </w:tc>
        <w:tc>
          <w:tcPr>
            <w:tcW w:w="1300" w:type="dxa"/>
            <w:tcBorders>
              <w:top w:val="nil"/>
              <w:left w:val="nil"/>
              <w:bottom w:val="single" w:sz="4" w:space="0" w:color="FFFFFF"/>
              <w:right w:val="single" w:sz="4" w:space="0" w:color="FFFFFF"/>
            </w:tcBorders>
            <w:shd w:val="clear" w:color="000000" w:fill="DAEEF3"/>
            <w:noWrap/>
            <w:vAlign w:val="bottom"/>
            <w:hideMark/>
          </w:tcPr>
          <w:p w14:paraId="0F642AEC" w14:textId="77777777" w:rsidR="00AC7042" w:rsidRPr="006D0C49" w:rsidRDefault="00AC7042" w:rsidP="006462F4">
            <w:pPr>
              <w:spacing w:after="120" w:line="240" w:lineRule="auto"/>
              <w:jc w:val="right"/>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74</w:t>
            </w:r>
          </w:p>
        </w:tc>
        <w:tc>
          <w:tcPr>
            <w:tcW w:w="1300" w:type="dxa"/>
            <w:tcBorders>
              <w:top w:val="nil"/>
              <w:left w:val="nil"/>
              <w:bottom w:val="single" w:sz="4" w:space="0" w:color="FFFFFF"/>
              <w:right w:val="nil"/>
            </w:tcBorders>
            <w:shd w:val="clear" w:color="000000" w:fill="DAEEF3"/>
            <w:noWrap/>
            <w:vAlign w:val="bottom"/>
            <w:hideMark/>
          </w:tcPr>
          <w:p w14:paraId="10CF5A8E" w14:textId="77777777" w:rsidR="00AC7042" w:rsidRPr="006D0C49" w:rsidRDefault="00AC7042" w:rsidP="006462F4">
            <w:pPr>
              <w:spacing w:after="120" w:line="240" w:lineRule="auto"/>
              <w:jc w:val="right"/>
              <w:rPr>
                <w:rFonts w:ascii="Times New Roman" w:eastAsia="Times New Roman" w:hAnsi="Times New Roman" w:cs="Times New Roman"/>
                <w:b/>
                <w:bCs/>
                <w:color w:val="000000"/>
                <w:sz w:val="20"/>
                <w:szCs w:val="20"/>
              </w:rPr>
            </w:pPr>
            <w:r w:rsidRPr="006D0C49">
              <w:rPr>
                <w:rFonts w:ascii="Times New Roman" w:eastAsia="Times New Roman" w:hAnsi="Times New Roman" w:cs="Times New Roman"/>
                <w:b/>
                <w:bCs/>
                <w:color w:val="000000"/>
                <w:sz w:val="20"/>
                <w:szCs w:val="20"/>
              </w:rPr>
              <w:t>4.785</w:t>
            </w:r>
          </w:p>
        </w:tc>
      </w:tr>
      <w:tr w:rsidR="00AC7042" w:rsidRPr="006D0C49" w14:paraId="0900BBDA" w14:textId="77777777" w:rsidTr="00236FD0">
        <w:trPr>
          <w:trHeight w:val="300"/>
        </w:trPr>
        <w:tc>
          <w:tcPr>
            <w:tcW w:w="1299" w:type="dxa"/>
            <w:tcBorders>
              <w:top w:val="nil"/>
              <w:left w:val="nil"/>
              <w:bottom w:val="nil"/>
              <w:right w:val="single" w:sz="4" w:space="0" w:color="FFFFFF"/>
            </w:tcBorders>
            <w:shd w:val="clear" w:color="000000" w:fill="DAEEF3"/>
          </w:tcPr>
          <w:p w14:paraId="3D5F36E9" w14:textId="40606B93" w:rsidR="00AC7042" w:rsidRPr="006D0C49" w:rsidRDefault="00AC7042" w:rsidP="006462F4">
            <w:pPr>
              <w:spacing w:after="120" w:line="240" w:lineRule="auto"/>
              <w:jc w:val="right"/>
              <w:rPr>
                <w:rFonts w:ascii="Times New Roman" w:eastAsia="Times New Roman" w:hAnsi="Times New Roman" w:cs="Times New Roman"/>
                <w:b/>
                <w:i/>
                <w:color w:val="000000"/>
                <w:sz w:val="20"/>
                <w:szCs w:val="20"/>
              </w:rPr>
            </w:pPr>
            <w:r w:rsidRPr="006D0C49">
              <w:rPr>
                <w:rFonts w:ascii="Times New Roman" w:eastAsia="Times New Roman" w:hAnsi="Times New Roman" w:cs="Times New Roman"/>
                <w:b/>
                <w:i/>
                <w:color w:val="000000"/>
                <w:sz w:val="20"/>
                <w:szCs w:val="20"/>
              </w:rPr>
              <w:t>%</w:t>
            </w:r>
          </w:p>
        </w:tc>
        <w:tc>
          <w:tcPr>
            <w:tcW w:w="1300" w:type="dxa"/>
            <w:tcBorders>
              <w:top w:val="nil"/>
              <w:left w:val="nil"/>
              <w:bottom w:val="nil"/>
              <w:right w:val="single" w:sz="4" w:space="0" w:color="FFFFFF"/>
            </w:tcBorders>
            <w:shd w:val="clear" w:color="000000" w:fill="DAEEF3"/>
            <w:noWrap/>
            <w:vAlign w:val="bottom"/>
            <w:hideMark/>
          </w:tcPr>
          <w:p w14:paraId="734A498E" w14:textId="0BDD219D" w:rsidR="00AC7042" w:rsidRPr="006D0C49" w:rsidRDefault="00AC7042" w:rsidP="006462F4">
            <w:pPr>
              <w:spacing w:after="120" w:line="240" w:lineRule="auto"/>
              <w:jc w:val="right"/>
              <w:rPr>
                <w:rFonts w:ascii="Times New Roman" w:eastAsia="Times New Roman" w:hAnsi="Times New Roman" w:cs="Times New Roman"/>
                <w:i/>
                <w:color w:val="000000"/>
                <w:sz w:val="20"/>
                <w:szCs w:val="20"/>
              </w:rPr>
            </w:pPr>
            <w:r w:rsidRPr="006D0C49">
              <w:rPr>
                <w:rFonts w:ascii="Times New Roman" w:eastAsia="Times New Roman" w:hAnsi="Times New Roman" w:cs="Times New Roman"/>
                <w:i/>
                <w:color w:val="000000"/>
                <w:sz w:val="20"/>
                <w:szCs w:val="20"/>
              </w:rPr>
              <w:t>8,6</w:t>
            </w:r>
          </w:p>
        </w:tc>
        <w:tc>
          <w:tcPr>
            <w:tcW w:w="1299" w:type="dxa"/>
            <w:tcBorders>
              <w:top w:val="nil"/>
              <w:left w:val="nil"/>
              <w:bottom w:val="nil"/>
              <w:right w:val="single" w:sz="4" w:space="0" w:color="FFFFFF"/>
            </w:tcBorders>
            <w:shd w:val="clear" w:color="000000" w:fill="DAEEF3"/>
            <w:noWrap/>
            <w:vAlign w:val="bottom"/>
            <w:hideMark/>
          </w:tcPr>
          <w:p w14:paraId="03F4BF9B" w14:textId="77777777" w:rsidR="00AC7042" w:rsidRPr="006D0C49" w:rsidRDefault="00AC7042" w:rsidP="006462F4">
            <w:pPr>
              <w:spacing w:after="120" w:line="240" w:lineRule="auto"/>
              <w:jc w:val="right"/>
              <w:rPr>
                <w:rFonts w:ascii="Times New Roman" w:eastAsia="Times New Roman" w:hAnsi="Times New Roman" w:cs="Times New Roman"/>
                <w:i/>
                <w:color w:val="000000"/>
                <w:sz w:val="20"/>
                <w:szCs w:val="20"/>
              </w:rPr>
            </w:pPr>
            <w:r w:rsidRPr="006D0C49">
              <w:rPr>
                <w:rFonts w:ascii="Times New Roman" w:eastAsia="Times New Roman" w:hAnsi="Times New Roman" w:cs="Times New Roman"/>
                <w:i/>
                <w:color w:val="000000"/>
                <w:sz w:val="20"/>
                <w:szCs w:val="20"/>
              </w:rPr>
              <w:t>22,2</w:t>
            </w:r>
          </w:p>
        </w:tc>
        <w:tc>
          <w:tcPr>
            <w:tcW w:w="1300" w:type="dxa"/>
            <w:tcBorders>
              <w:top w:val="nil"/>
              <w:left w:val="nil"/>
              <w:bottom w:val="nil"/>
              <w:right w:val="single" w:sz="4" w:space="0" w:color="FFFFFF"/>
            </w:tcBorders>
            <w:shd w:val="clear" w:color="000000" w:fill="DAEEF3"/>
            <w:noWrap/>
            <w:vAlign w:val="bottom"/>
            <w:hideMark/>
          </w:tcPr>
          <w:p w14:paraId="5F6749E4" w14:textId="77777777" w:rsidR="00AC7042" w:rsidRPr="006D0C49" w:rsidRDefault="00AC7042" w:rsidP="006462F4">
            <w:pPr>
              <w:spacing w:after="120" w:line="240" w:lineRule="auto"/>
              <w:jc w:val="right"/>
              <w:rPr>
                <w:rFonts w:ascii="Times New Roman" w:eastAsia="Times New Roman" w:hAnsi="Times New Roman" w:cs="Times New Roman"/>
                <w:i/>
                <w:color w:val="000000"/>
                <w:sz w:val="20"/>
                <w:szCs w:val="20"/>
              </w:rPr>
            </w:pPr>
            <w:r w:rsidRPr="006D0C49">
              <w:rPr>
                <w:rFonts w:ascii="Times New Roman" w:eastAsia="Times New Roman" w:hAnsi="Times New Roman" w:cs="Times New Roman"/>
                <w:i/>
                <w:color w:val="000000"/>
                <w:sz w:val="20"/>
                <w:szCs w:val="20"/>
              </w:rPr>
              <w:t>51,4</w:t>
            </w:r>
          </w:p>
        </w:tc>
        <w:tc>
          <w:tcPr>
            <w:tcW w:w="1299" w:type="dxa"/>
            <w:tcBorders>
              <w:top w:val="nil"/>
              <w:left w:val="nil"/>
              <w:bottom w:val="nil"/>
              <w:right w:val="single" w:sz="4" w:space="0" w:color="FFFFFF"/>
            </w:tcBorders>
            <w:shd w:val="clear" w:color="000000" w:fill="DAEEF3"/>
            <w:noWrap/>
            <w:vAlign w:val="bottom"/>
            <w:hideMark/>
          </w:tcPr>
          <w:p w14:paraId="188A8C98" w14:textId="77777777" w:rsidR="00AC7042" w:rsidRPr="006D0C49" w:rsidRDefault="00AC7042" w:rsidP="006462F4">
            <w:pPr>
              <w:spacing w:after="120" w:line="240" w:lineRule="auto"/>
              <w:jc w:val="right"/>
              <w:rPr>
                <w:rFonts w:ascii="Times New Roman" w:eastAsia="Times New Roman" w:hAnsi="Times New Roman" w:cs="Times New Roman"/>
                <w:i/>
                <w:color w:val="000000"/>
                <w:sz w:val="20"/>
                <w:szCs w:val="20"/>
              </w:rPr>
            </w:pPr>
            <w:r w:rsidRPr="006D0C49">
              <w:rPr>
                <w:rFonts w:ascii="Times New Roman" w:eastAsia="Times New Roman" w:hAnsi="Times New Roman" w:cs="Times New Roman"/>
                <w:i/>
                <w:color w:val="000000"/>
                <w:sz w:val="20"/>
                <w:szCs w:val="20"/>
              </w:rPr>
              <w:t>16,3</w:t>
            </w:r>
          </w:p>
        </w:tc>
        <w:tc>
          <w:tcPr>
            <w:tcW w:w="1300" w:type="dxa"/>
            <w:tcBorders>
              <w:top w:val="nil"/>
              <w:left w:val="nil"/>
              <w:bottom w:val="nil"/>
              <w:right w:val="single" w:sz="4" w:space="0" w:color="FFFFFF"/>
            </w:tcBorders>
            <w:shd w:val="clear" w:color="000000" w:fill="DAEEF3"/>
            <w:noWrap/>
            <w:vAlign w:val="bottom"/>
            <w:hideMark/>
          </w:tcPr>
          <w:p w14:paraId="164051C1" w14:textId="77777777" w:rsidR="00AC7042" w:rsidRPr="006D0C49" w:rsidRDefault="00AC7042" w:rsidP="006462F4">
            <w:pPr>
              <w:spacing w:after="120" w:line="240" w:lineRule="auto"/>
              <w:jc w:val="right"/>
              <w:rPr>
                <w:rFonts w:ascii="Times New Roman" w:eastAsia="Times New Roman" w:hAnsi="Times New Roman" w:cs="Times New Roman"/>
                <w:i/>
                <w:color w:val="000000"/>
                <w:sz w:val="20"/>
                <w:szCs w:val="20"/>
              </w:rPr>
            </w:pPr>
            <w:r w:rsidRPr="006D0C49">
              <w:rPr>
                <w:rFonts w:ascii="Times New Roman" w:eastAsia="Times New Roman" w:hAnsi="Times New Roman" w:cs="Times New Roman"/>
                <w:i/>
                <w:color w:val="000000"/>
                <w:sz w:val="20"/>
                <w:szCs w:val="20"/>
              </w:rPr>
              <w:t>1,5</w:t>
            </w:r>
          </w:p>
        </w:tc>
        <w:tc>
          <w:tcPr>
            <w:tcW w:w="1300" w:type="dxa"/>
            <w:tcBorders>
              <w:top w:val="nil"/>
              <w:left w:val="nil"/>
              <w:bottom w:val="nil"/>
              <w:right w:val="nil"/>
            </w:tcBorders>
            <w:shd w:val="clear" w:color="000000" w:fill="DAEEF3"/>
            <w:noWrap/>
            <w:vAlign w:val="bottom"/>
            <w:hideMark/>
          </w:tcPr>
          <w:p w14:paraId="3C8D04DF" w14:textId="77777777" w:rsidR="00AC7042" w:rsidRPr="006D0C49" w:rsidRDefault="00AC7042" w:rsidP="006462F4">
            <w:pPr>
              <w:spacing w:after="120" w:line="240" w:lineRule="auto"/>
              <w:jc w:val="right"/>
              <w:rPr>
                <w:rFonts w:ascii="Times New Roman" w:eastAsia="Times New Roman" w:hAnsi="Times New Roman" w:cs="Times New Roman"/>
                <w:b/>
                <w:bCs/>
                <w:i/>
                <w:color w:val="000000"/>
                <w:sz w:val="20"/>
                <w:szCs w:val="20"/>
              </w:rPr>
            </w:pPr>
            <w:r w:rsidRPr="006D0C49">
              <w:rPr>
                <w:rFonts w:ascii="Times New Roman" w:eastAsia="Times New Roman" w:hAnsi="Times New Roman" w:cs="Times New Roman"/>
                <w:b/>
                <w:bCs/>
                <w:i/>
                <w:color w:val="000000"/>
                <w:sz w:val="20"/>
                <w:szCs w:val="20"/>
              </w:rPr>
              <w:t>100,0</w:t>
            </w:r>
          </w:p>
        </w:tc>
      </w:tr>
    </w:tbl>
    <w:p w14:paraId="7C334FB1" w14:textId="76A9C764" w:rsidR="006928B2" w:rsidRPr="006D0C49" w:rsidRDefault="006928B2" w:rsidP="003151CE">
      <w:pPr>
        <w:spacing w:before="120" w:after="120" w:line="240" w:lineRule="auto"/>
        <w:jc w:val="center"/>
        <w:rPr>
          <w:rFonts w:ascii="Times New Roman" w:hAnsi="Times New Roman" w:cs="Times New Roman"/>
          <w:sz w:val="20"/>
          <w:szCs w:val="20"/>
        </w:rPr>
      </w:pPr>
      <w:r w:rsidRPr="006D0C49">
        <w:rPr>
          <w:rFonts w:ascii="Times New Roman" w:hAnsi="Times New Roman" w:cs="Times New Roman"/>
          <w:sz w:val="20"/>
          <w:szCs w:val="20"/>
        </w:rPr>
        <w:t xml:space="preserve">Source : </w:t>
      </w:r>
      <w:proofErr w:type="spellStart"/>
      <w:r w:rsidRPr="006D0C49">
        <w:rPr>
          <w:rFonts w:ascii="Times New Roman" w:hAnsi="Times New Roman" w:cs="Times New Roman"/>
          <w:sz w:val="20"/>
          <w:szCs w:val="20"/>
        </w:rPr>
        <w:t>O</w:t>
      </w:r>
      <w:r w:rsidR="009A3E7D" w:rsidRPr="006D0C49">
        <w:rPr>
          <w:rFonts w:ascii="Times New Roman" w:hAnsi="Times New Roman" w:cs="Times New Roman"/>
          <w:sz w:val="20"/>
          <w:szCs w:val="20"/>
        </w:rPr>
        <w:t>NE</w:t>
      </w:r>
      <w:r w:rsidRPr="006D0C49">
        <w:rPr>
          <w:rFonts w:ascii="Times New Roman" w:hAnsi="Times New Roman" w:cs="Times New Roman"/>
          <w:sz w:val="20"/>
          <w:szCs w:val="20"/>
        </w:rPr>
        <w:t>m</w:t>
      </w:r>
      <w:proofErr w:type="spellEnd"/>
      <w:r w:rsidRPr="006D0C49">
        <w:rPr>
          <w:rFonts w:ascii="Times New Roman" w:hAnsi="Times New Roman" w:cs="Times New Roman"/>
          <w:sz w:val="20"/>
          <w:szCs w:val="20"/>
        </w:rPr>
        <w:t>, calculs Observatoire bruxellois de l’Emploi</w:t>
      </w:r>
    </w:p>
    <w:p w14:paraId="57852DAA" w14:textId="6A533A0B" w:rsidR="00DB1A91" w:rsidRPr="006D0C49" w:rsidRDefault="00F831D9" w:rsidP="006462F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Seule une petite proportion </w:t>
      </w:r>
      <w:r w:rsidR="00B3763F" w:rsidRPr="006D0C49">
        <w:rPr>
          <w:rFonts w:ascii="Times New Roman" w:hAnsi="Times New Roman" w:cs="Times New Roman"/>
          <w:sz w:val="20"/>
          <w:szCs w:val="20"/>
        </w:rPr>
        <w:t>des chômeurs en fin de droit se sont tournés vers l’aide sociale</w:t>
      </w:r>
      <w:r w:rsidR="00EF56AA" w:rsidRPr="006D0C49">
        <w:rPr>
          <w:rFonts w:ascii="Times New Roman" w:hAnsi="Times New Roman" w:cs="Times New Roman"/>
          <w:sz w:val="20"/>
          <w:szCs w:val="20"/>
        </w:rPr>
        <w:t xml:space="preserve"> (36,2% soit</w:t>
      </w:r>
      <w:r w:rsidR="00B3763F" w:rsidRPr="006D0C49">
        <w:rPr>
          <w:rFonts w:ascii="Times New Roman" w:hAnsi="Times New Roman" w:cs="Times New Roman"/>
          <w:sz w:val="20"/>
          <w:szCs w:val="20"/>
        </w:rPr>
        <w:t xml:space="preserve"> </w:t>
      </w:r>
      <w:r w:rsidR="00EF56AA" w:rsidRPr="006D0C49">
        <w:rPr>
          <w:rFonts w:ascii="Times New Roman" w:hAnsi="Times New Roman" w:cs="Times New Roman"/>
          <w:sz w:val="20"/>
          <w:szCs w:val="20"/>
        </w:rPr>
        <w:t>1</w:t>
      </w:r>
      <w:r w:rsidR="00B71CBA" w:rsidRPr="006D0C49">
        <w:rPr>
          <w:rFonts w:ascii="Times New Roman" w:hAnsi="Times New Roman" w:cs="Times New Roman"/>
          <w:sz w:val="20"/>
          <w:szCs w:val="20"/>
        </w:rPr>
        <w:t>.</w:t>
      </w:r>
      <w:r w:rsidR="00EF56AA" w:rsidRPr="006D0C49">
        <w:rPr>
          <w:rFonts w:ascii="Times New Roman" w:hAnsi="Times New Roman" w:cs="Times New Roman"/>
          <w:sz w:val="20"/>
          <w:szCs w:val="20"/>
        </w:rPr>
        <w:t>733 demandes).</w:t>
      </w:r>
      <w:r w:rsidR="00C713B1" w:rsidRPr="006D0C49">
        <w:rPr>
          <w:rFonts w:ascii="Times New Roman" w:hAnsi="Times New Roman" w:cs="Times New Roman"/>
          <w:sz w:val="20"/>
          <w:szCs w:val="20"/>
        </w:rPr>
        <w:t xml:space="preserve"> </w:t>
      </w:r>
      <w:r w:rsidR="00AE0154" w:rsidRPr="006D0C49">
        <w:rPr>
          <w:rFonts w:ascii="Times New Roman" w:hAnsi="Times New Roman" w:cs="Times New Roman"/>
          <w:sz w:val="20"/>
          <w:szCs w:val="20"/>
        </w:rPr>
        <w:t xml:space="preserve">En termes </w:t>
      </w:r>
      <w:r w:rsidR="0065704F" w:rsidRPr="006D0C49">
        <w:rPr>
          <w:rFonts w:ascii="Times New Roman" w:hAnsi="Times New Roman" w:cs="Times New Roman"/>
          <w:sz w:val="20"/>
          <w:szCs w:val="20"/>
        </w:rPr>
        <w:t>de</w:t>
      </w:r>
      <w:r w:rsidR="00AE0154" w:rsidRPr="006D0C49">
        <w:rPr>
          <w:rFonts w:ascii="Times New Roman" w:hAnsi="Times New Roman" w:cs="Times New Roman"/>
          <w:sz w:val="20"/>
          <w:szCs w:val="20"/>
        </w:rPr>
        <w:t xml:space="preserve"> mise à l’emploi, si l’on considère le mois de janvier 2015</w:t>
      </w:r>
      <w:r w:rsidR="00BC788F" w:rsidRPr="006D0C49">
        <w:rPr>
          <w:rFonts w:ascii="Times New Roman" w:hAnsi="Times New Roman" w:cs="Times New Roman"/>
          <w:sz w:val="20"/>
          <w:szCs w:val="20"/>
        </w:rPr>
        <w:t xml:space="preserve"> (</w:t>
      </w:r>
      <w:r w:rsidR="00AE0154" w:rsidRPr="006D0C49">
        <w:rPr>
          <w:rFonts w:ascii="Times New Roman" w:hAnsi="Times New Roman" w:cs="Times New Roman"/>
          <w:sz w:val="20"/>
          <w:szCs w:val="20"/>
        </w:rPr>
        <w:t xml:space="preserve">environ deux tiers des fins de droit survenues </w:t>
      </w:r>
      <w:r w:rsidR="003B0CE4" w:rsidRPr="006D0C49">
        <w:rPr>
          <w:rFonts w:ascii="Times New Roman" w:hAnsi="Times New Roman" w:cs="Times New Roman"/>
          <w:sz w:val="20"/>
          <w:szCs w:val="20"/>
        </w:rPr>
        <w:t>au cours de</w:t>
      </w:r>
      <w:r w:rsidR="00AE0154" w:rsidRPr="006D0C49">
        <w:rPr>
          <w:rFonts w:ascii="Times New Roman" w:hAnsi="Times New Roman" w:cs="Times New Roman"/>
          <w:sz w:val="20"/>
          <w:szCs w:val="20"/>
        </w:rPr>
        <w:t xml:space="preserve"> l’année 2015), </w:t>
      </w:r>
      <w:r w:rsidR="002635AF" w:rsidRPr="006D0C49">
        <w:rPr>
          <w:rFonts w:ascii="Times New Roman" w:hAnsi="Times New Roman" w:cs="Times New Roman"/>
          <w:sz w:val="20"/>
          <w:szCs w:val="20"/>
        </w:rPr>
        <w:t xml:space="preserve">près d’un quart </w:t>
      </w:r>
      <w:r w:rsidR="007F24A0" w:rsidRPr="006D0C49">
        <w:rPr>
          <w:rFonts w:ascii="Times New Roman" w:hAnsi="Times New Roman" w:cs="Times New Roman"/>
          <w:sz w:val="20"/>
          <w:szCs w:val="20"/>
        </w:rPr>
        <w:t xml:space="preserve">a eu une action de travail dans un délai de 12 mois maximum à compter de la date de fin de droit. </w:t>
      </w:r>
      <w:r w:rsidR="00F24D72" w:rsidRPr="006D0C49">
        <w:rPr>
          <w:rFonts w:ascii="Times New Roman" w:hAnsi="Times New Roman" w:cs="Times New Roman"/>
          <w:sz w:val="20"/>
          <w:szCs w:val="20"/>
        </w:rPr>
        <w:t xml:space="preserve">Cette proportion s’élève à près de 30% s’agissant des jeunes de moins </w:t>
      </w:r>
      <w:r w:rsidR="00DB1A91" w:rsidRPr="006D0C49">
        <w:rPr>
          <w:rFonts w:ascii="Times New Roman" w:hAnsi="Times New Roman" w:cs="Times New Roman"/>
          <w:sz w:val="20"/>
          <w:szCs w:val="20"/>
        </w:rPr>
        <w:t>de 29 ans.</w:t>
      </w:r>
      <w:r w:rsidR="00803645" w:rsidRPr="006D0C49">
        <w:rPr>
          <w:rFonts w:ascii="Times New Roman" w:hAnsi="Times New Roman" w:cs="Times New Roman"/>
          <w:sz w:val="20"/>
          <w:szCs w:val="20"/>
        </w:rPr>
        <w:t xml:space="preserve"> </w:t>
      </w:r>
      <w:r w:rsidR="0073361A" w:rsidRPr="006D0C49">
        <w:rPr>
          <w:rFonts w:ascii="Times New Roman" w:hAnsi="Times New Roman" w:cs="Times New Roman"/>
          <w:sz w:val="20"/>
          <w:szCs w:val="20"/>
        </w:rPr>
        <w:t xml:space="preserve">Ces résultats, bien qu’ils ne </w:t>
      </w:r>
      <w:r w:rsidR="004A4DEA" w:rsidRPr="006D0C49">
        <w:rPr>
          <w:rFonts w:ascii="Times New Roman" w:hAnsi="Times New Roman" w:cs="Times New Roman"/>
          <w:sz w:val="20"/>
          <w:szCs w:val="20"/>
        </w:rPr>
        <w:t xml:space="preserve">puissent pas totalement être mis en relation, laissent penser qu’une partie conséquente des chômeurs en fin de droit </w:t>
      </w:r>
      <w:r w:rsidR="000F4957" w:rsidRPr="006D0C49">
        <w:rPr>
          <w:rFonts w:ascii="Times New Roman" w:hAnsi="Times New Roman" w:cs="Times New Roman"/>
          <w:sz w:val="20"/>
          <w:szCs w:val="20"/>
        </w:rPr>
        <w:t xml:space="preserve">ne se sont pas réinsérés professionnellement et n’ont pas non plus été récupérés par les filets de l’aide sociale. </w:t>
      </w:r>
    </w:p>
    <w:p w14:paraId="2B35B00C" w14:textId="77777777" w:rsidR="006928B2" w:rsidRPr="006D0C49" w:rsidRDefault="002C7485" w:rsidP="002C7485">
      <w:pPr>
        <w:spacing w:after="120" w:line="240" w:lineRule="auto"/>
        <w:rPr>
          <w:rFonts w:ascii="Times New Roman" w:hAnsi="Times New Roman" w:cs="Times New Roman"/>
          <w:b/>
          <w:sz w:val="20"/>
          <w:szCs w:val="20"/>
        </w:rPr>
      </w:pPr>
      <w:r w:rsidRPr="006D0C49">
        <w:rPr>
          <w:rFonts w:ascii="Times New Roman" w:hAnsi="Times New Roman" w:cs="Times New Roman"/>
          <w:b/>
          <w:sz w:val="20"/>
          <w:szCs w:val="20"/>
        </w:rPr>
        <w:t xml:space="preserve">3.1.2. </w:t>
      </w:r>
      <w:r w:rsidR="006928B2" w:rsidRPr="006D0C49">
        <w:rPr>
          <w:rFonts w:ascii="Times New Roman" w:hAnsi="Times New Roman" w:cs="Times New Roman"/>
          <w:b/>
          <w:sz w:val="20"/>
          <w:szCs w:val="20"/>
        </w:rPr>
        <w:t>Les limitations d’âge</w:t>
      </w:r>
    </w:p>
    <w:p w14:paraId="45AF754E" w14:textId="65CE3B20" w:rsidR="007500C1" w:rsidRPr="006D0C49" w:rsidRDefault="006928B2" w:rsidP="006462F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Parmi l’éventail des nouvelles dispositions réglementaires en matière de chômage, la réforme restreignant le droit aux allocations d’insertion en fonction de critères d’âge et de diplôme pour les moins âgés est peut-être celle qui risque d’induire le plus d’impacts sur l’inscription des jeunes auprès du SPE. On peut en effet s’attendre à ce qu’à terme une partie (encore indéterminée) de jeunes chômeurs </w:t>
      </w:r>
      <w:r w:rsidR="00855314" w:rsidRPr="006D0C49">
        <w:rPr>
          <w:rFonts w:ascii="Times New Roman" w:hAnsi="Times New Roman" w:cs="Times New Roman"/>
          <w:sz w:val="20"/>
          <w:szCs w:val="20"/>
        </w:rPr>
        <w:t xml:space="preserve">préalablement </w:t>
      </w:r>
      <w:r w:rsidRPr="006D0C49">
        <w:rPr>
          <w:rFonts w:ascii="Times New Roman" w:hAnsi="Times New Roman" w:cs="Times New Roman"/>
          <w:sz w:val="20"/>
          <w:szCs w:val="20"/>
        </w:rPr>
        <w:t xml:space="preserve">informés de leur situation de non-admissibilité choisissent de ne pas s’inscrire auprès d’Actiris. Si certains d’entre eux pourraient alors être récupérés par l’aide sociale, d’autres sortiraient plus ou moins durablement des radars institutionnels créant une sorte de zone grise aux frontières de l’emploi, du chômage et de l’aide sociale. En ce sens, le défi plus ou moins difficile à réaliser pour les services publics consiste à maintenir autant que possible le lien avec les jeunes chômeurs et en particulier avec cette catégorie nouvelle </w:t>
      </w:r>
      <w:r w:rsidR="003452C2" w:rsidRPr="006D0C49">
        <w:rPr>
          <w:rFonts w:ascii="Times New Roman" w:hAnsi="Times New Roman" w:cs="Times New Roman"/>
          <w:sz w:val="20"/>
          <w:szCs w:val="20"/>
        </w:rPr>
        <w:t>d’exclus</w:t>
      </w:r>
      <w:r w:rsidRPr="006D0C49">
        <w:rPr>
          <w:rFonts w:ascii="Times New Roman" w:hAnsi="Times New Roman" w:cs="Times New Roman"/>
          <w:sz w:val="20"/>
          <w:szCs w:val="20"/>
        </w:rPr>
        <w:t>.</w:t>
      </w:r>
    </w:p>
    <w:p w14:paraId="77340CF8" w14:textId="15689FEE" w:rsidR="006928B2" w:rsidRPr="006D0C49" w:rsidRDefault="00331278" w:rsidP="006462F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C’est à l’</w:t>
      </w:r>
      <w:proofErr w:type="spellStart"/>
      <w:r w:rsidRPr="006D0C49">
        <w:rPr>
          <w:rFonts w:ascii="Times New Roman" w:hAnsi="Times New Roman" w:cs="Times New Roman"/>
          <w:sz w:val="20"/>
          <w:szCs w:val="20"/>
        </w:rPr>
        <w:t>ONEm</w:t>
      </w:r>
      <w:proofErr w:type="spellEnd"/>
      <w:r w:rsidRPr="006D0C49">
        <w:rPr>
          <w:rFonts w:ascii="Times New Roman" w:hAnsi="Times New Roman" w:cs="Times New Roman"/>
          <w:sz w:val="20"/>
          <w:szCs w:val="20"/>
        </w:rPr>
        <w:t xml:space="preserve"> que revient la charge d’évaluer si le jeune est bien dans les conditions d’admissibilité. Au sein d’Actiris, la pratique des conseillers emploi </w:t>
      </w:r>
      <w:r w:rsidR="00866B39" w:rsidRPr="006D0C49">
        <w:rPr>
          <w:rFonts w:ascii="Times New Roman" w:hAnsi="Times New Roman" w:cs="Times New Roman"/>
          <w:sz w:val="20"/>
          <w:szCs w:val="20"/>
        </w:rPr>
        <w:t>tient compte des</w:t>
      </w:r>
      <w:r w:rsidRPr="006D0C49">
        <w:rPr>
          <w:rFonts w:ascii="Times New Roman" w:hAnsi="Times New Roman" w:cs="Times New Roman"/>
          <w:sz w:val="20"/>
          <w:szCs w:val="20"/>
        </w:rPr>
        <w:t xml:space="preserve"> nouvelles contraintes</w:t>
      </w:r>
      <w:r w:rsidR="00C30EDD" w:rsidRPr="006D0C49">
        <w:rPr>
          <w:rFonts w:ascii="Times New Roman" w:hAnsi="Times New Roman" w:cs="Times New Roman"/>
          <w:sz w:val="20"/>
          <w:szCs w:val="20"/>
        </w:rPr>
        <w:t xml:space="preserve"> tout en privilégiant une approche universelle</w:t>
      </w:r>
      <w:r w:rsidR="00973095" w:rsidRPr="006D0C49">
        <w:rPr>
          <w:rFonts w:ascii="Times New Roman" w:hAnsi="Times New Roman" w:cs="Times New Roman"/>
          <w:sz w:val="20"/>
          <w:szCs w:val="20"/>
        </w:rPr>
        <w:t xml:space="preserve"> à l’égard des jeunes demandeurs d’emploi</w:t>
      </w:r>
      <w:r w:rsidRPr="006D0C49">
        <w:rPr>
          <w:rFonts w:ascii="Times New Roman" w:hAnsi="Times New Roman" w:cs="Times New Roman"/>
          <w:sz w:val="20"/>
          <w:szCs w:val="20"/>
        </w:rPr>
        <w:t xml:space="preserve">. </w:t>
      </w:r>
      <w:r w:rsidR="00704DBD" w:rsidRPr="006D0C49">
        <w:rPr>
          <w:rFonts w:ascii="Times New Roman" w:hAnsi="Times New Roman" w:cs="Times New Roman"/>
          <w:sz w:val="20"/>
          <w:szCs w:val="20"/>
        </w:rPr>
        <w:t>L</w:t>
      </w:r>
      <w:r w:rsidR="00950FF4" w:rsidRPr="006D0C49">
        <w:rPr>
          <w:rFonts w:ascii="Times New Roman" w:hAnsi="Times New Roman" w:cs="Times New Roman"/>
          <w:sz w:val="20"/>
          <w:szCs w:val="20"/>
        </w:rPr>
        <w:t xml:space="preserve">es jeunes sortants de l’enseignement </w:t>
      </w:r>
      <w:r w:rsidR="00704DBD" w:rsidRPr="006D0C49">
        <w:rPr>
          <w:rFonts w:ascii="Times New Roman" w:hAnsi="Times New Roman" w:cs="Times New Roman"/>
          <w:sz w:val="20"/>
          <w:szCs w:val="20"/>
        </w:rPr>
        <w:t>continuent</w:t>
      </w:r>
      <w:r w:rsidR="00F74AB2" w:rsidRPr="006D0C49">
        <w:rPr>
          <w:rFonts w:ascii="Times New Roman" w:hAnsi="Times New Roman" w:cs="Times New Roman"/>
          <w:sz w:val="20"/>
          <w:szCs w:val="20"/>
        </w:rPr>
        <w:t xml:space="preserve"> ainsi</w:t>
      </w:r>
      <w:r w:rsidR="00704DBD" w:rsidRPr="006D0C49">
        <w:rPr>
          <w:rFonts w:ascii="Times New Roman" w:hAnsi="Times New Roman" w:cs="Times New Roman"/>
          <w:sz w:val="20"/>
          <w:szCs w:val="20"/>
        </w:rPr>
        <w:t xml:space="preserve"> d’être</w:t>
      </w:r>
      <w:r w:rsidR="00950FF4" w:rsidRPr="006D0C49">
        <w:rPr>
          <w:rFonts w:ascii="Times New Roman" w:hAnsi="Times New Roman" w:cs="Times New Roman"/>
          <w:sz w:val="20"/>
          <w:szCs w:val="20"/>
        </w:rPr>
        <w:t xml:space="preserve"> enregistrés dans la catégorie « en stage d’insertion »</w:t>
      </w:r>
      <w:r w:rsidR="00704DBD" w:rsidRPr="006D0C49">
        <w:rPr>
          <w:rFonts w:ascii="Times New Roman" w:hAnsi="Times New Roman" w:cs="Times New Roman"/>
          <w:sz w:val="20"/>
          <w:szCs w:val="20"/>
        </w:rPr>
        <w:t xml:space="preserve"> même s’ils ne sont a priori pas éligibles aux allocations d’insertion</w:t>
      </w:r>
      <w:r w:rsidR="00950FF4" w:rsidRPr="006D0C49">
        <w:rPr>
          <w:rFonts w:ascii="Times New Roman" w:hAnsi="Times New Roman" w:cs="Times New Roman"/>
          <w:sz w:val="20"/>
          <w:szCs w:val="20"/>
        </w:rPr>
        <w:t>.</w:t>
      </w:r>
      <w:r w:rsidR="00F64AD7" w:rsidRPr="006D0C49">
        <w:rPr>
          <w:rFonts w:ascii="Times New Roman" w:hAnsi="Times New Roman" w:cs="Times New Roman"/>
          <w:sz w:val="20"/>
          <w:szCs w:val="20"/>
        </w:rPr>
        <w:t xml:space="preserve"> Du côté de l’</w:t>
      </w:r>
      <w:proofErr w:type="spellStart"/>
      <w:r w:rsidR="00F64AD7" w:rsidRPr="006D0C49">
        <w:rPr>
          <w:rFonts w:ascii="Times New Roman" w:hAnsi="Times New Roman" w:cs="Times New Roman"/>
          <w:sz w:val="20"/>
          <w:szCs w:val="20"/>
        </w:rPr>
        <w:t>ONEm</w:t>
      </w:r>
      <w:proofErr w:type="spellEnd"/>
      <w:r w:rsidR="00F64AD7" w:rsidRPr="006D0C49">
        <w:rPr>
          <w:rFonts w:ascii="Times New Roman" w:hAnsi="Times New Roman" w:cs="Times New Roman"/>
          <w:sz w:val="20"/>
          <w:szCs w:val="20"/>
        </w:rPr>
        <w:t xml:space="preserve">, les facilitateurs tentent également d’aménager leur discours à l’égard des chômeurs dont ils évaluent les efforts de recherche d’emploi. Ils sont amenés à ne pas communiquer </w:t>
      </w:r>
      <w:r w:rsidR="00FB02CE" w:rsidRPr="006D0C49">
        <w:rPr>
          <w:rFonts w:ascii="Times New Roman" w:hAnsi="Times New Roman" w:cs="Times New Roman"/>
          <w:sz w:val="20"/>
          <w:szCs w:val="20"/>
        </w:rPr>
        <w:t xml:space="preserve">aux </w:t>
      </w:r>
      <w:r w:rsidR="003B35A7" w:rsidRPr="006D0C49">
        <w:rPr>
          <w:rFonts w:ascii="Times New Roman" w:hAnsi="Times New Roman" w:cs="Times New Roman"/>
          <w:sz w:val="20"/>
          <w:szCs w:val="20"/>
        </w:rPr>
        <w:t>individu</w:t>
      </w:r>
      <w:r w:rsidR="00FB02CE" w:rsidRPr="006D0C49">
        <w:rPr>
          <w:rFonts w:ascii="Times New Roman" w:hAnsi="Times New Roman" w:cs="Times New Roman"/>
          <w:sz w:val="20"/>
          <w:szCs w:val="20"/>
        </w:rPr>
        <w:t xml:space="preserve">s </w:t>
      </w:r>
      <w:r w:rsidR="00052EC3" w:rsidRPr="006D0C49">
        <w:rPr>
          <w:rFonts w:ascii="Times New Roman" w:hAnsi="Times New Roman" w:cs="Times New Roman"/>
          <w:sz w:val="20"/>
          <w:szCs w:val="20"/>
        </w:rPr>
        <w:t xml:space="preserve">concernés leur situation de non-admissibilité. </w:t>
      </w:r>
      <w:r w:rsidR="006928B2" w:rsidRPr="006D0C49">
        <w:rPr>
          <w:rFonts w:ascii="Times New Roman" w:hAnsi="Times New Roman" w:cs="Times New Roman"/>
          <w:sz w:val="20"/>
          <w:szCs w:val="20"/>
        </w:rPr>
        <w:t xml:space="preserve">De ce fait, ils encouragent </w:t>
      </w:r>
      <w:r w:rsidR="00052EC3" w:rsidRPr="006D0C49">
        <w:rPr>
          <w:rFonts w:ascii="Times New Roman" w:hAnsi="Times New Roman" w:cs="Times New Roman"/>
          <w:sz w:val="20"/>
          <w:szCs w:val="20"/>
        </w:rPr>
        <w:t>dans une certaine mesure</w:t>
      </w:r>
      <w:r w:rsidR="006928B2" w:rsidRPr="006D0C49">
        <w:rPr>
          <w:rFonts w:ascii="Times New Roman" w:hAnsi="Times New Roman" w:cs="Times New Roman"/>
          <w:sz w:val="20"/>
          <w:szCs w:val="20"/>
        </w:rPr>
        <w:t xml:space="preserve"> ces personnes à rester dans le processus d’activation en évitant une forme de désaffiliation institutionnelle.</w:t>
      </w:r>
    </w:p>
    <w:p w14:paraId="6F4A86A6" w14:textId="5CADAF92" w:rsidR="001C0CAD" w:rsidRDefault="00B6467F" w:rsidP="006462F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Si le nombre d’inscriptions en stage d’insertion professionnelle a globalement diminué</w:t>
      </w:r>
      <w:r w:rsidR="00030201" w:rsidRPr="006D0C49">
        <w:rPr>
          <w:rFonts w:ascii="Times New Roman" w:hAnsi="Times New Roman" w:cs="Times New Roman"/>
          <w:sz w:val="20"/>
          <w:szCs w:val="20"/>
        </w:rPr>
        <w:t xml:space="preserve"> sur les trois dernières années</w:t>
      </w:r>
      <w:r w:rsidRPr="006D0C49">
        <w:rPr>
          <w:rFonts w:ascii="Times New Roman" w:hAnsi="Times New Roman" w:cs="Times New Roman"/>
          <w:sz w:val="20"/>
          <w:szCs w:val="20"/>
        </w:rPr>
        <w:t xml:space="preserve">, notamment dans les deux groupes d’âge visés par la mesure, </w:t>
      </w:r>
      <w:r w:rsidR="00E61C3A" w:rsidRPr="006D0C49">
        <w:rPr>
          <w:rFonts w:ascii="Times New Roman" w:hAnsi="Times New Roman" w:cs="Times New Roman"/>
          <w:sz w:val="20"/>
          <w:szCs w:val="20"/>
        </w:rPr>
        <w:t>cette baisse ne revêt pas un caractère significatif permettant d’établir l’exi</w:t>
      </w:r>
      <w:r w:rsidR="00DB4FCF" w:rsidRPr="006D0C49">
        <w:rPr>
          <w:rFonts w:ascii="Times New Roman" w:hAnsi="Times New Roman" w:cs="Times New Roman"/>
          <w:sz w:val="20"/>
          <w:szCs w:val="20"/>
        </w:rPr>
        <w:t xml:space="preserve">stence de stratégies de retrait </w:t>
      </w:r>
      <w:r w:rsidR="00E16AD9" w:rsidRPr="006D0C49">
        <w:rPr>
          <w:rFonts w:ascii="Times New Roman" w:hAnsi="Times New Roman" w:cs="Times New Roman"/>
          <w:sz w:val="20"/>
          <w:szCs w:val="20"/>
        </w:rPr>
        <w:t>des jeunes ne répondant plus aux critères d’éligibilité</w:t>
      </w:r>
      <w:r w:rsidR="00DB4FCF" w:rsidRPr="006D0C49">
        <w:rPr>
          <w:rFonts w:ascii="Times New Roman" w:hAnsi="Times New Roman" w:cs="Times New Roman"/>
          <w:sz w:val="20"/>
          <w:szCs w:val="20"/>
        </w:rPr>
        <w:t>.</w:t>
      </w:r>
    </w:p>
    <w:p w14:paraId="0E356D47" w14:textId="32ADEC39" w:rsidR="0009314B" w:rsidRDefault="0009314B" w:rsidP="006462F4">
      <w:pPr>
        <w:spacing w:after="120" w:line="240" w:lineRule="auto"/>
        <w:jc w:val="both"/>
        <w:rPr>
          <w:rFonts w:ascii="Times New Roman" w:hAnsi="Times New Roman" w:cs="Times New Roman"/>
          <w:sz w:val="20"/>
          <w:szCs w:val="20"/>
        </w:rPr>
      </w:pPr>
    </w:p>
    <w:p w14:paraId="554C1FB9" w14:textId="6469CDF4" w:rsidR="0009314B" w:rsidRDefault="0009314B" w:rsidP="006462F4">
      <w:pPr>
        <w:spacing w:after="120" w:line="240" w:lineRule="auto"/>
        <w:jc w:val="both"/>
        <w:rPr>
          <w:rFonts w:ascii="Times New Roman" w:hAnsi="Times New Roman" w:cs="Times New Roman"/>
          <w:sz w:val="20"/>
          <w:szCs w:val="20"/>
        </w:rPr>
      </w:pPr>
    </w:p>
    <w:p w14:paraId="4A0EEA00" w14:textId="3933CC1B" w:rsidR="0009314B" w:rsidRDefault="0009314B" w:rsidP="006462F4">
      <w:pPr>
        <w:spacing w:after="120" w:line="240" w:lineRule="auto"/>
        <w:jc w:val="both"/>
        <w:rPr>
          <w:rFonts w:ascii="Times New Roman" w:hAnsi="Times New Roman" w:cs="Times New Roman"/>
          <w:sz w:val="20"/>
          <w:szCs w:val="20"/>
        </w:rPr>
      </w:pPr>
    </w:p>
    <w:p w14:paraId="1329F3F0" w14:textId="4B8006A5" w:rsidR="0009314B" w:rsidRDefault="0009314B" w:rsidP="006462F4">
      <w:pPr>
        <w:spacing w:after="120" w:line="240" w:lineRule="auto"/>
        <w:jc w:val="both"/>
        <w:rPr>
          <w:rFonts w:ascii="Times New Roman" w:hAnsi="Times New Roman" w:cs="Times New Roman"/>
          <w:sz w:val="20"/>
          <w:szCs w:val="20"/>
        </w:rPr>
      </w:pPr>
    </w:p>
    <w:p w14:paraId="098BB439" w14:textId="4F8D9EBC" w:rsidR="0009314B" w:rsidRDefault="0009314B" w:rsidP="006462F4">
      <w:pPr>
        <w:spacing w:after="120" w:line="240" w:lineRule="auto"/>
        <w:jc w:val="both"/>
        <w:rPr>
          <w:rFonts w:ascii="Times New Roman" w:hAnsi="Times New Roman" w:cs="Times New Roman"/>
          <w:sz w:val="20"/>
          <w:szCs w:val="20"/>
        </w:rPr>
      </w:pPr>
    </w:p>
    <w:p w14:paraId="070F7CB3" w14:textId="782F8FCD" w:rsidR="0009314B" w:rsidRDefault="0009314B" w:rsidP="006462F4">
      <w:pPr>
        <w:spacing w:after="120" w:line="240" w:lineRule="auto"/>
        <w:jc w:val="both"/>
        <w:rPr>
          <w:rFonts w:ascii="Times New Roman" w:hAnsi="Times New Roman" w:cs="Times New Roman"/>
          <w:sz w:val="20"/>
          <w:szCs w:val="20"/>
        </w:rPr>
      </w:pPr>
    </w:p>
    <w:p w14:paraId="53ACB531" w14:textId="23AFED3F" w:rsidR="0009314B" w:rsidRDefault="0009314B" w:rsidP="006462F4">
      <w:pPr>
        <w:spacing w:after="120" w:line="240" w:lineRule="auto"/>
        <w:jc w:val="both"/>
        <w:rPr>
          <w:rFonts w:ascii="Times New Roman" w:hAnsi="Times New Roman" w:cs="Times New Roman"/>
          <w:sz w:val="20"/>
          <w:szCs w:val="20"/>
        </w:rPr>
      </w:pPr>
    </w:p>
    <w:p w14:paraId="2F2D5890" w14:textId="77777777" w:rsidR="0009314B" w:rsidRDefault="0009314B" w:rsidP="006462F4">
      <w:pPr>
        <w:spacing w:after="120" w:line="240" w:lineRule="auto"/>
        <w:jc w:val="both"/>
        <w:rPr>
          <w:rFonts w:ascii="Times New Roman" w:hAnsi="Times New Roman" w:cs="Times New Roman"/>
          <w:sz w:val="20"/>
          <w:szCs w:val="2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Look w:val="04A0" w:firstRow="1" w:lastRow="0" w:firstColumn="1" w:lastColumn="0" w:noHBand="0" w:noVBand="1"/>
      </w:tblPr>
      <w:tblGrid>
        <w:gridCol w:w="4531"/>
        <w:gridCol w:w="4531"/>
      </w:tblGrid>
      <w:tr w:rsidR="001C0CAD" w:rsidRPr="006D0C49" w14:paraId="4B5DD4F6" w14:textId="77777777" w:rsidTr="00E423BE">
        <w:tc>
          <w:tcPr>
            <w:tcW w:w="4531" w:type="dxa"/>
          </w:tcPr>
          <w:p w14:paraId="46CF4A3F" w14:textId="219E5E97" w:rsidR="00E423BE" w:rsidRPr="006D0C49" w:rsidRDefault="00E423BE" w:rsidP="00863A0F">
            <w:pPr>
              <w:pStyle w:val="Lgende"/>
              <w:spacing w:before="240"/>
              <w:rPr>
                <w:rFonts w:ascii="Times New Roman" w:hAnsi="Times New Roman" w:cs="Times New Roman"/>
                <w:color w:val="000000" w:themeColor="text1"/>
                <w:sz w:val="20"/>
                <w:szCs w:val="20"/>
              </w:rPr>
            </w:pPr>
            <w:r w:rsidRPr="006D0C49">
              <w:rPr>
                <w:color w:val="000000" w:themeColor="text1"/>
                <w:sz w:val="20"/>
                <w:szCs w:val="20"/>
              </w:rPr>
              <w:lastRenderedPageBreak/>
              <w:t xml:space="preserve">Figure </w:t>
            </w:r>
            <w:r w:rsidRPr="006D0C49">
              <w:rPr>
                <w:color w:val="000000" w:themeColor="text1"/>
                <w:sz w:val="20"/>
                <w:szCs w:val="20"/>
              </w:rPr>
              <w:fldChar w:fldCharType="begin"/>
            </w:r>
            <w:r w:rsidRPr="006D0C49">
              <w:rPr>
                <w:color w:val="000000" w:themeColor="text1"/>
                <w:sz w:val="20"/>
                <w:szCs w:val="20"/>
              </w:rPr>
              <w:instrText xml:space="preserve"> SEQ Figure \* ARABIC </w:instrText>
            </w:r>
            <w:r w:rsidRPr="006D0C49">
              <w:rPr>
                <w:color w:val="000000" w:themeColor="text1"/>
                <w:sz w:val="20"/>
                <w:szCs w:val="20"/>
              </w:rPr>
              <w:fldChar w:fldCharType="separate"/>
            </w:r>
            <w:r w:rsidR="00493EC9">
              <w:rPr>
                <w:noProof/>
                <w:color w:val="000000" w:themeColor="text1"/>
                <w:sz w:val="20"/>
                <w:szCs w:val="20"/>
              </w:rPr>
              <w:t>3</w:t>
            </w:r>
            <w:r w:rsidRPr="006D0C49">
              <w:rPr>
                <w:color w:val="000000" w:themeColor="text1"/>
                <w:sz w:val="20"/>
                <w:szCs w:val="20"/>
              </w:rPr>
              <w:fldChar w:fldCharType="end"/>
            </w:r>
            <w:r w:rsidRPr="006D0C49">
              <w:rPr>
                <w:color w:val="000000" w:themeColor="text1"/>
                <w:sz w:val="20"/>
                <w:szCs w:val="20"/>
              </w:rPr>
              <w:t xml:space="preserve"> : Evolution du nombre d’inscriptions en stage d’insertion professionnelle (-20 ans </w:t>
            </w:r>
            <w:proofErr w:type="spellStart"/>
            <w:r w:rsidRPr="006D0C49">
              <w:rPr>
                <w:color w:val="000000" w:themeColor="text1"/>
                <w:sz w:val="20"/>
                <w:szCs w:val="20"/>
              </w:rPr>
              <w:t>infraqualifiés</w:t>
            </w:r>
            <w:proofErr w:type="spellEnd"/>
            <w:r w:rsidRPr="006D0C49">
              <w:rPr>
                <w:color w:val="000000" w:themeColor="text1"/>
                <w:sz w:val="20"/>
                <w:szCs w:val="20"/>
              </w:rPr>
              <w:t>, 2014-2016)</w:t>
            </w:r>
          </w:p>
          <w:p w14:paraId="039DE651" w14:textId="2AB63188" w:rsidR="006A6871" w:rsidRPr="006D0C49" w:rsidRDefault="001F36C3" w:rsidP="00E423BE">
            <w:pPr>
              <w:spacing w:after="120"/>
              <w:jc w:val="both"/>
              <w:rPr>
                <w:rFonts w:ascii="Times New Roman" w:hAnsi="Times New Roman" w:cs="Times New Roman"/>
                <w:sz w:val="20"/>
                <w:szCs w:val="20"/>
              </w:rPr>
            </w:pPr>
            <w:r w:rsidRPr="006D0C49">
              <w:rPr>
                <w:noProof/>
                <w:sz w:val="20"/>
                <w:szCs w:val="20"/>
              </w:rPr>
              <w:drawing>
                <wp:inline distT="0" distB="0" distL="0" distR="0" wp14:anchorId="5F7AF9EE" wp14:editId="1E41407A">
                  <wp:extent cx="2781300" cy="16840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684020"/>
                          </a:xfrm>
                          <a:prstGeom prst="rect">
                            <a:avLst/>
                          </a:prstGeom>
                          <a:noFill/>
                          <a:ln>
                            <a:noFill/>
                          </a:ln>
                        </pic:spPr>
                      </pic:pic>
                    </a:graphicData>
                  </a:graphic>
                </wp:inline>
              </w:drawing>
            </w:r>
          </w:p>
        </w:tc>
        <w:tc>
          <w:tcPr>
            <w:tcW w:w="4531" w:type="dxa"/>
          </w:tcPr>
          <w:p w14:paraId="50DD4B38" w14:textId="7A8F0DC5" w:rsidR="00E423BE" w:rsidRPr="006D0C49" w:rsidRDefault="00E423BE" w:rsidP="00863A0F">
            <w:pPr>
              <w:pStyle w:val="Lgende"/>
              <w:spacing w:before="240"/>
              <w:rPr>
                <w:color w:val="000000" w:themeColor="text1"/>
                <w:sz w:val="20"/>
                <w:szCs w:val="20"/>
              </w:rPr>
            </w:pPr>
            <w:r w:rsidRPr="006D0C49">
              <w:rPr>
                <w:color w:val="000000" w:themeColor="text1"/>
                <w:sz w:val="20"/>
                <w:szCs w:val="20"/>
              </w:rPr>
              <w:t xml:space="preserve">Figure </w:t>
            </w:r>
            <w:r w:rsidRPr="006D0C49">
              <w:rPr>
                <w:color w:val="000000" w:themeColor="text1"/>
                <w:sz w:val="20"/>
                <w:szCs w:val="20"/>
              </w:rPr>
              <w:fldChar w:fldCharType="begin"/>
            </w:r>
            <w:r w:rsidRPr="006D0C49">
              <w:rPr>
                <w:color w:val="000000" w:themeColor="text1"/>
                <w:sz w:val="20"/>
                <w:szCs w:val="20"/>
              </w:rPr>
              <w:instrText xml:space="preserve"> SEQ Figure \* ARABIC </w:instrText>
            </w:r>
            <w:r w:rsidRPr="006D0C49">
              <w:rPr>
                <w:color w:val="000000" w:themeColor="text1"/>
                <w:sz w:val="20"/>
                <w:szCs w:val="20"/>
              </w:rPr>
              <w:fldChar w:fldCharType="separate"/>
            </w:r>
            <w:r w:rsidR="00493EC9">
              <w:rPr>
                <w:noProof/>
                <w:color w:val="000000" w:themeColor="text1"/>
                <w:sz w:val="20"/>
                <w:szCs w:val="20"/>
              </w:rPr>
              <w:t>4</w:t>
            </w:r>
            <w:r w:rsidRPr="006D0C49">
              <w:rPr>
                <w:color w:val="000000" w:themeColor="text1"/>
                <w:sz w:val="20"/>
                <w:szCs w:val="20"/>
              </w:rPr>
              <w:fldChar w:fldCharType="end"/>
            </w:r>
            <w:r w:rsidRPr="006D0C49">
              <w:rPr>
                <w:color w:val="000000" w:themeColor="text1"/>
                <w:sz w:val="20"/>
                <w:szCs w:val="20"/>
              </w:rPr>
              <w:t> : Evolution du nombre d’inscriptions en stage d’insertion professionnelle (24 ans et +, 2014-2016)</w:t>
            </w:r>
          </w:p>
          <w:p w14:paraId="57A36AB0" w14:textId="77777777" w:rsidR="00E423BE" w:rsidRPr="006D0C49" w:rsidRDefault="00E423BE" w:rsidP="00E423BE">
            <w:pPr>
              <w:rPr>
                <w:sz w:val="20"/>
                <w:szCs w:val="20"/>
                <w:lang w:eastAsia="en-US"/>
              </w:rPr>
            </w:pPr>
          </w:p>
          <w:p w14:paraId="4D54DAE1" w14:textId="04542258" w:rsidR="006A6871" w:rsidRPr="006D0C49" w:rsidRDefault="00E423BE" w:rsidP="00E423BE">
            <w:pPr>
              <w:jc w:val="both"/>
              <w:rPr>
                <w:rFonts w:ascii="Times New Roman" w:hAnsi="Times New Roman" w:cs="Times New Roman"/>
                <w:sz w:val="20"/>
                <w:szCs w:val="20"/>
              </w:rPr>
            </w:pPr>
            <w:r w:rsidRPr="006D0C49">
              <w:rPr>
                <w:noProof/>
                <w:sz w:val="20"/>
                <w:szCs w:val="20"/>
              </w:rPr>
              <w:drawing>
                <wp:inline distT="0" distB="0" distL="0" distR="0" wp14:anchorId="25C4243D" wp14:editId="03C632FF">
                  <wp:extent cx="2446020" cy="16814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1529" cy="1699016"/>
                          </a:xfrm>
                          <a:prstGeom prst="rect">
                            <a:avLst/>
                          </a:prstGeom>
                          <a:noFill/>
                          <a:ln>
                            <a:noFill/>
                          </a:ln>
                        </pic:spPr>
                      </pic:pic>
                    </a:graphicData>
                  </a:graphic>
                </wp:inline>
              </w:drawing>
            </w:r>
          </w:p>
        </w:tc>
      </w:tr>
    </w:tbl>
    <w:p w14:paraId="5C8B7E13" w14:textId="29181FE0" w:rsidR="00E423BE" w:rsidRPr="006D0C49" w:rsidRDefault="00E423BE" w:rsidP="002C7485">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Source : Actiris, calculs Observatoire bruxellois de l’Emploi</w:t>
      </w:r>
    </w:p>
    <w:p w14:paraId="00FDF094" w14:textId="41F25CB8" w:rsidR="006928B2" w:rsidRPr="006D0C49" w:rsidRDefault="002C7485" w:rsidP="00161523">
      <w:pPr>
        <w:spacing w:before="240"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t xml:space="preserve">3.2. </w:t>
      </w:r>
      <w:r w:rsidR="006928B2" w:rsidRPr="006D0C49">
        <w:rPr>
          <w:rFonts w:ascii="Times New Roman" w:hAnsi="Times New Roman" w:cs="Times New Roman"/>
          <w:b/>
          <w:sz w:val="20"/>
          <w:szCs w:val="20"/>
        </w:rPr>
        <w:t xml:space="preserve">Les premiers effets de la </w:t>
      </w:r>
      <w:r w:rsidR="00385B58" w:rsidRPr="006D0C49">
        <w:rPr>
          <w:rFonts w:ascii="Times New Roman" w:hAnsi="Times New Roman" w:cs="Times New Roman"/>
          <w:b/>
          <w:sz w:val="20"/>
          <w:szCs w:val="20"/>
        </w:rPr>
        <w:t>Garantie Jeunes</w:t>
      </w:r>
    </w:p>
    <w:p w14:paraId="261F72BB" w14:textId="77EF4B67" w:rsidR="006A6871" w:rsidRPr="003744FF" w:rsidRDefault="006928B2" w:rsidP="003744FF">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Le tableau 2 illustre le suivi à 6 mois, dans le cadre du dispositif de la </w:t>
      </w:r>
      <w:r w:rsidR="00DE1A04" w:rsidRPr="006D0C49">
        <w:rPr>
          <w:rFonts w:ascii="Times New Roman" w:hAnsi="Times New Roman" w:cs="Times New Roman"/>
          <w:sz w:val="20"/>
          <w:szCs w:val="20"/>
        </w:rPr>
        <w:t>GJ</w:t>
      </w:r>
      <w:r w:rsidRPr="006D0C49">
        <w:rPr>
          <w:rFonts w:ascii="Times New Roman" w:hAnsi="Times New Roman" w:cs="Times New Roman"/>
          <w:sz w:val="20"/>
          <w:szCs w:val="20"/>
        </w:rPr>
        <w:t xml:space="preserve">, de la cohorte de jeunes de moins de </w:t>
      </w:r>
      <w:r w:rsidR="00037338" w:rsidRPr="006D0C49">
        <w:rPr>
          <w:rFonts w:ascii="Times New Roman" w:hAnsi="Times New Roman" w:cs="Times New Roman"/>
          <w:sz w:val="20"/>
          <w:szCs w:val="20"/>
        </w:rPr>
        <w:t>30</w:t>
      </w:r>
      <w:r w:rsidRPr="006D0C49">
        <w:rPr>
          <w:rFonts w:ascii="Times New Roman" w:hAnsi="Times New Roman" w:cs="Times New Roman"/>
          <w:sz w:val="20"/>
          <w:szCs w:val="20"/>
        </w:rPr>
        <w:t xml:space="preserve"> ans venus s’inscrire </w:t>
      </w:r>
      <w:r w:rsidR="008F5AF9" w:rsidRPr="006D0C49">
        <w:rPr>
          <w:rFonts w:ascii="Times New Roman" w:hAnsi="Times New Roman" w:cs="Times New Roman"/>
          <w:sz w:val="20"/>
          <w:szCs w:val="20"/>
        </w:rPr>
        <w:t xml:space="preserve">en stage d’insertion professionnelle </w:t>
      </w:r>
      <w:r w:rsidRPr="006D0C49">
        <w:rPr>
          <w:rFonts w:ascii="Times New Roman" w:hAnsi="Times New Roman" w:cs="Times New Roman"/>
          <w:sz w:val="20"/>
          <w:szCs w:val="20"/>
        </w:rPr>
        <w:t>auprès d’Actiris entre janvier et décembre 2015. Sur 10.825 jeunes inscrits, un peu plus de la moitié (52%) ont pu bénéficier d’une solution d’emploi, formation ou stage. Environ un tiers (32%) ont, à défaut d’une telle solution, eu un accompagnement individualisé, dans le cadre d’un Plan d’accompagnement individualisé (PAI) ou d’une action d’insertion classique (telle que rédaction de CV, lettre de motivation ou atelier de recherche active d’emploi). Enfin, 16% de ces jeunes (soit un sur six) n’ont bénéficié d’aucun accompagnement, emploi, stage ou formation. La grande majorité de ces derniers (86%) échappent au suivi institutionnel en ce qu’ils n’étaient plus inscrits auprès du SPE 6 mois après leur inscription.</w:t>
      </w:r>
    </w:p>
    <w:p w14:paraId="5369006C" w14:textId="3DE28A34" w:rsidR="007024D0" w:rsidRDefault="007024D0" w:rsidP="006462F4">
      <w:pPr>
        <w:pStyle w:val="Lgende"/>
        <w:spacing w:after="120"/>
        <w:jc w:val="both"/>
        <w:rPr>
          <w:color w:val="auto"/>
          <w:sz w:val="20"/>
          <w:szCs w:val="20"/>
        </w:rPr>
      </w:pPr>
    </w:p>
    <w:p w14:paraId="75D8E7C5" w14:textId="4D3A5F5B" w:rsidR="006928B2" w:rsidRPr="006D0C49" w:rsidRDefault="006928B2" w:rsidP="006462F4">
      <w:pPr>
        <w:pStyle w:val="Lgende"/>
        <w:spacing w:after="120"/>
        <w:jc w:val="both"/>
        <w:rPr>
          <w:color w:val="auto"/>
          <w:sz w:val="20"/>
          <w:szCs w:val="20"/>
        </w:rPr>
      </w:pPr>
      <w:r w:rsidRPr="006D0C49">
        <w:rPr>
          <w:color w:val="auto"/>
          <w:sz w:val="20"/>
          <w:szCs w:val="20"/>
        </w:rPr>
        <w:t xml:space="preserve">Tableau </w:t>
      </w:r>
      <w:r w:rsidR="00581A1B" w:rsidRPr="006D0C49">
        <w:rPr>
          <w:color w:val="auto"/>
          <w:sz w:val="20"/>
          <w:szCs w:val="20"/>
        </w:rPr>
        <w:fldChar w:fldCharType="begin"/>
      </w:r>
      <w:r w:rsidR="00581A1B" w:rsidRPr="006D0C49">
        <w:rPr>
          <w:color w:val="auto"/>
          <w:sz w:val="20"/>
          <w:szCs w:val="20"/>
        </w:rPr>
        <w:instrText xml:space="preserve"> SEQ Tableau \* ARABIC </w:instrText>
      </w:r>
      <w:r w:rsidR="00581A1B" w:rsidRPr="006D0C49">
        <w:rPr>
          <w:color w:val="auto"/>
          <w:sz w:val="20"/>
          <w:szCs w:val="20"/>
        </w:rPr>
        <w:fldChar w:fldCharType="separate"/>
      </w:r>
      <w:r w:rsidR="00493EC9">
        <w:rPr>
          <w:noProof/>
          <w:color w:val="auto"/>
          <w:sz w:val="20"/>
          <w:szCs w:val="20"/>
        </w:rPr>
        <w:t>2</w:t>
      </w:r>
      <w:r w:rsidR="00581A1B" w:rsidRPr="006D0C49">
        <w:rPr>
          <w:noProof/>
          <w:color w:val="auto"/>
          <w:sz w:val="20"/>
          <w:szCs w:val="20"/>
        </w:rPr>
        <w:fldChar w:fldCharType="end"/>
      </w:r>
      <w:r w:rsidRPr="006D0C49">
        <w:rPr>
          <w:color w:val="auto"/>
          <w:sz w:val="20"/>
          <w:szCs w:val="20"/>
        </w:rPr>
        <w:t xml:space="preserve"> : </w:t>
      </w:r>
      <w:r w:rsidR="004F20FE" w:rsidRPr="006D0C49">
        <w:rPr>
          <w:color w:val="auto"/>
          <w:sz w:val="20"/>
          <w:szCs w:val="20"/>
        </w:rPr>
        <w:t>J</w:t>
      </w:r>
      <w:r w:rsidRPr="006D0C49">
        <w:rPr>
          <w:color w:val="auto"/>
          <w:sz w:val="20"/>
          <w:szCs w:val="20"/>
        </w:rPr>
        <w:t>eunes de moins de 30 ans</w:t>
      </w:r>
      <w:r w:rsidR="004F20FE" w:rsidRPr="006D0C49">
        <w:rPr>
          <w:color w:val="auto"/>
          <w:sz w:val="20"/>
          <w:szCs w:val="20"/>
        </w:rPr>
        <w:t xml:space="preserve"> nouvellement inscrits en stage d’insertion professionnelle – Suivi à 6 mois</w:t>
      </w:r>
      <w:r w:rsidRPr="006D0C49">
        <w:rPr>
          <w:color w:val="auto"/>
          <w:sz w:val="20"/>
          <w:szCs w:val="20"/>
        </w:rPr>
        <w:t xml:space="preserve"> dans le cadre du dispositif « </w:t>
      </w:r>
      <w:r w:rsidR="00385B58" w:rsidRPr="006D0C49">
        <w:rPr>
          <w:color w:val="auto"/>
          <w:sz w:val="20"/>
          <w:szCs w:val="20"/>
        </w:rPr>
        <w:t>Garantie Jeunes</w:t>
      </w:r>
      <w:r w:rsidRPr="006D0C49">
        <w:rPr>
          <w:color w:val="auto"/>
          <w:sz w:val="20"/>
          <w:szCs w:val="20"/>
        </w:rPr>
        <w:t> » en Région de Bruxelles-Capitale (janvier 201</w:t>
      </w:r>
      <w:r w:rsidR="0054563F" w:rsidRPr="006D0C49">
        <w:rPr>
          <w:color w:val="auto"/>
          <w:sz w:val="20"/>
          <w:szCs w:val="20"/>
        </w:rPr>
        <w:t>4</w:t>
      </w:r>
      <w:r w:rsidRPr="006D0C49">
        <w:rPr>
          <w:color w:val="auto"/>
          <w:sz w:val="20"/>
          <w:szCs w:val="20"/>
        </w:rPr>
        <w:t>-juin 2016)</w:t>
      </w:r>
    </w:p>
    <w:tbl>
      <w:tblPr>
        <w:tblW w:w="9348" w:type="dxa"/>
        <w:tblCellMar>
          <w:left w:w="70" w:type="dxa"/>
          <w:right w:w="70" w:type="dxa"/>
        </w:tblCellMar>
        <w:tblLook w:val="04A0" w:firstRow="1" w:lastRow="0" w:firstColumn="1" w:lastColumn="0" w:noHBand="0" w:noVBand="1"/>
      </w:tblPr>
      <w:tblGrid>
        <w:gridCol w:w="5600"/>
        <w:gridCol w:w="988"/>
        <w:gridCol w:w="920"/>
        <w:gridCol w:w="920"/>
        <w:gridCol w:w="920"/>
      </w:tblGrid>
      <w:tr w:rsidR="006928B2" w:rsidRPr="006D0C49" w14:paraId="19CA9F72" w14:textId="77777777" w:rsidTr="00223CD8">
        <w:trPr>
          <w:trHeight w:val="300"/>
        </w:trPr>
        <w:tc>
          <w:tcPr>
            <w:tcW w:w="5600" w:type="dxa"/>
            <w:vMerge w:val="restart"/>
            <w:tcBorders>
              <w:top w:val="single" w:sz="4" w:space="0" w:color="auto"/>
              <w:left w:val="single" w:sz="4" w:space="0" w:color="auto"/>
              <w:right w:val="nil"/>
            </w:tcBorders>
            <w:shd w:val="clear" w:color="auto" w:fill="BFBFBF" w:themeFill="background1" w:themeFillShade="BF"/>
            <w:noWrap/>
            <w:vAlign w:val="bottom"/>
            <w:hideMark/>
          </w:tcPr>
          <w:p w14:paraId="1D4074DB" w14:textId="77777777" w:rsidR="006928B2" w:rsidRPr="00223CD8" w:rsidRDefault="006928B2" w:rsidP="00934AD1">
            <w:pPr>
              <w:spacing w:after="0" w:line="240" w:lineRule="auto"/>
              <w:rPr>
                <w:rFonts w:ascii="Times New Roman" w:eastAsia="Times New Roman" w:hAnsi="Times New Roman" w:cs="Times New Roman"/>
                <w:sz w:val="20"/>
                <w:szCs w:val="20"/>
              </w:rPr>
            </w:pPr>
            <w:r w:rsidRPr="00223CD8">
              <w:rPr>
                <w:rFonts w:ascii="Times New Roman" w:eastAsia="Times New Roman" w:hAnsi="Times New Roman" w:cs="Times New Roman"/>
                <w:sz w:val="20"/>
                <w:szCs w:val="20"/>
              </w:rPr>
              <w:t> </w:t>
            </w:r>
          </w:p>
        </w:tc>
        <w:tc>
          <w:tcPr>
            <w:tcW w:w="19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CCFB03A"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2015</w:t>
            </w:r>
          </w:p>
        </w:tc>
        <w:tc>
          <w:tcPr>
            <w:tcW w:w="184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6A88386"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2014</w:t>
            </w:r>
          </w:p>
        </w:tc>
      </w:tr>
      <w:tr w:rsidR="006928B2" w:rsidRPr="006D0C49" w14:paraId="713AD7AC" w14:textId="77777777" w:rsidTr="00223CD8">
        <w:trPr>
          <w:trHeight w:val="379"/>
        </w:trPr>
        <w:tc>
          <w:tcPr>
            <w:tcW w:w="5600" w:type="dxa"/>
            <w:vMerge/>
            <w:tcBorders>
              <w:left w:val="single" w:sz="4" w:space="0" w:color="auto"/>
              <w:bottom w:val="nil"/>
              <w:right w:val="nil"/>
            </w:tcBorders>
            <w:shd w:val="clear" w:color="auto" w:fill="BFBFBF" w:themeFill="background1" w:themeFillShade="BF"/>
            <w:vAlign w:val="center"/>
            <w:hideMark/>
          </w:tcPr>
          <w:p w14:paraId="0D53A43F" w14:textId="77777777" w:rsidR="006928B2" w:rsidRPr="00223CD8" w:rsidRDefault="006928B2" w:rsidP="00934AD1">
            <w:pPr>
              <w:spacing w:after="0" w:line="240" w:lineRule="auto"/>
              <w:rPr>
                <w:rFonts w:ascii="Times New Roman" w:eastAsia="Times New Roman" w:hAnsi="Times New Roman" w:cs="Times New Roman"/>
                <w:b/>
                <w:bCs/>
                <w:sz w:val="20"/>
                <w:szCs w:val="20"/>
              </w:rPr>
            </w:pPr>
          </w:p>
        </w:tc>
        <w:tc>
          <w:tcPr>
            <w:tcW w:w="988" w:type="dxa"/>
            <w:tcBorders>
              <w:top w:val="nil"/>
              <w:left w:val="single" w:sz="4" w:space="0" w:color="auto"/>
              <w:bottom w:val="nil"/>
              <w:right w:val="single" w:sz="4" w:space="0" w:color="auto"/>
            </w:tcBorders>
            <w:shd w:val="clear" w:color="auto" w:fill="BFBFBF" w:themeFill="background1" w:themeFillShade="BF"/>
            <w:noWrap/>
            <w:vAlign w:val="center"/>
            <w:hideMark/>
          </w:tcPr>
          <w:p w14:paraId="5CD0B178" w14:textId="77777777" w:rsidR="006928B2" w:rsidRPr="00223CD8" w:rsidRDefault="006928B2" w:rsidP="00934AD1">
            <w:pPr>
              <w:spacing w:after="0" w:line="240" w:lineRule="auto"/>
              <w:ind w:firstLineChars="100" w:firstLine="200"/>
              <w:jc w:val="right"/>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10.825</w:t>
            </w:r>
          </w:p>
        </w:tc>
        <w:tc>
          <w:tcPr>
            <w:tcW w:w="920" w:type="dxa"/>
            <w:tcBorders>
              <w:top w:val="nil"/>
              <w:left w:val="nil"/>
              <w:bottom w:val="nil"/>
              <w:right w:val="nil"/>
            </w:tcBorders>
            <w:shd w:val="clear" w:color="auto" w:fill="BFBFBF" w:themeFill="background1" w:themeFillShade="BF"/>
            <w:noWrap/>
            <w:vAlign w:val="center"/>
            <w:hideMark/>
          </w:tcPr>
          <w:p w14:paraId="4D35255B"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100%</w:t>
            </w:r>
          </w:p>
        </w:tc>
        <w:tc>
          <w:tcPr>
            <w:tcW w:w="92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AE6E8F5"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11.587</w:t>
            </w:r>
          </w:p>
        </w:tc>
        <w:tc>
          <w:tcPr>
            <w:tcW w:w="9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783AAC3"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100%</w:t>
            </w:r>
          </w:p>
        </w:tc>
      </w:tr>
      <w:tr w:rsidR="006928B2" w:rsidRPr="006D0C49" w14:paraId="67DA7C1E" w14:textId="77777777" w:rsidTr="00934AD1">
        <w:trPr>
          <w:trHeight w:val="600"/>
        </w:trPr>
        <w:tc>
          <w:tcPr>
            <w:tcW w:w="5600" w:type="dxa"/>
            <w:tcBorders>
              <w:top w:val="single" w:sz="4" w:space="0" w:color="auto"/>
              <w:left w:val="single" w:sz="4" w:space="0" w:color="auto"/>
              <w:bottom w:val="single" w:sz="4" w:space="0" w:color="FFFFFF"/>
              <w:right w:val="nil"/>
            </w:tcBorders>
            <w:shd w:val="clear" w:color="000000" w:fill="DDEBF7"/>
            <w:vAlign w:val="center"/>
            <w:hideMark/>
          </w:tcPr>
          <w:p w14:paraId="7970E3B5" w14:textId="77777777" w:rsidR="006928B2" w:rsidRPr="003744FF" w:rsidRDefault="006928B2" w:rsidP="00934AD1">
            <w:pPr>
              <w:spacing w:after="0" w:line="240" w:lineRule="auto"/>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1. Jeunes ayant travaillé, ayant eu une solution formation ou un stage</w:t>
            </w:r>
          </w:p>
        </w:tc>
        <w:tc>
          <w:tcPr>
            <w:tcW w:w="988" w:type="dxa"/>
            <w:tcBorders>
              <w:top w:val="single" w:sz="4" w:space="0" w:color="auto"/>
              <w:left w:val="single" w:sz="4" w:space="0" w:color="auto"/>
              <w:bottom w:val="single" w:sz="4" w:space="0" w:color="FFFFFF"/>
              <w:right w:val="single" w:sz="4" w:space="0" w:color="auto"/>
            </w:tcBorders>
            <w:shd w:val="clear" w:color="000000" w:fill="DDEBF7"/>
            <w:noWrap/>
            <w:vAlign w:val="center"/>
            <w:hideMark/>
          </w:tcPr>
          <w:p w14:paraId="7ADC8B44" w14:textId="77777777" w:rsidR="006928B2" w:rsidRPr="003744FF" w:rsidRDefault="006928B2" w:rsidP="00934AD1">
            <w:pPr>
              <w:spacing w:after="0" w:line="240" w:lineRule="auto"/>
              <w:ind w:firstLineChars="100" w:firstLine="200"/>
              <w:jc w:val="right"/>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5.665</w:t>
            </w:r>
          </w:p>
        </w:tc>
        <w:tc>
          <w:tcPr>
            <w:tcW w:w="920" w:type="dxa"/>
            <w:tcBorders>
              <w:top w:val="single" w:sz="4" w:space="0" w:color="auto"/>
              <w:left w:val="nil"/>
              <w:bottom w:val="single" w:sz="4" w:space="0" w:color="FFFFFF"/>
              <w:right w:val="nil"/>
            </w:tcBorders>
            <w:shd w:val="clear" w:color="000000" w:fill="DDEBF7"/>
            <w:noWrap/>
            <w:vAlign w:val="center"/>
            <w:hideMark/>
          </w:tcPr>
          <w:p w14:paraId="79D79AEC" w14:textId="77777777" w:rsidR="006928B2" w:rsidRPr="003744FF" w:rsidRDefault="006928B2" w:rsidP="00934AD1">
            <w:pPr>
              <w:spacing w:after="0" w:line="240" w:lineRule="auto"/>
              <w:jc w:val="center"/>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52%</w:t>
            </w:r>
          </w:p>
        </w:tc>
        <w:tc>
          <w:tcPr>
            <w:tcW w:w="920" w:type="dxa"/>
            <w:tcBorders>
              <w:top w:val="nil"/>
              <w:left w:val="single" w:sz="4" w:space="0" w:color="auto"/>
              <w:bottom w:val="nil"/>
              <w:right w:val="single" w:sz="4" w:space="0" w:color="auto"/>
            </w:tcBorders>
            <w:shd w:val="clear" w:color="000000" w:fill="DDEBF7"/>
            <w:noWrap/>
            <w:vAlign w:val="center"/>
            <w:hideMark/>
          </w:tcPr>
          <w:p w14:paraId="5F5F4D3D" w14:textId="77777777" w:rsidR="006928B2" w:rsidRPr="003744FF" w:rsidRDefault="006928B2" w:rsidP="00934AD1">
            <w:pPr>
              <w:spacing w:after="0" w:line="240" w:lineRule="auto"/>
              <w:jc w:val="center"/>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4.572</w:t>
            </w:r>
          </w:p>
        </w:tc>
        <w:tc>
          <w:tcPr>
            <w:tcW w:w="920" w:type="dxa"/>
            <w:tcBorders>
              <w:top w:val="nil"/>
              <w:left w:val="nil"/>
              <w:bottom w:val="nil"/>
              <w:right w:val="single" w:sz="4" w:space="0" w:color="auto"/>
            </w:tcBorders>
            <w:shd w:val="clear" w:color="000000" w:fill="DDEBF7"/>
            <w:noWrap/>
            <w:vAlign w:val="center"/>
            <w:hideMark/>
          </w:tcPr>
          <w:p w14:paraId="66230097" w14:textId="77777777" w:rsidR="006928B2" w:rsidRPr="003744FF" w:rsidRDefault="006928B2" w:rsidP="00934AD1">
            <w:pPr>
              <w:spacing w:after="0" w:line="240" w:lineRule="auto"/>
              <w:jc w:val="center"/>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39%</w:t>
            </w:r>
          </w:p>
        </w:tc>
      </w:tr>
      <w:tr w:rsidR="006928B2" w:rsidRPr="006D0C49" w14:paraId="0CDDE691" w14:textId="77777777" w:rsidTr="00934AD1">
        <w:trPr>
          <w:trHeight w:val="300"/>
        </w:trPr>
        <w:tc>
          <w:tcPr>
            <w:tcW w:w="5600" w:type="dxa"/>
            <w:tcBorders>
              <w:top w:val="nil"/>
              <w:left w:val="single" w:sz="4" w:space="0" w:color="auto"/>
              <w:bottom w:val="dotted" w:sz="4" w:space="0" w:color="auto"/>
              <w:right w:val="nil"/>
            </w:tcBorders>
            <w:shd w:val="clear" w:color="auto" w:fill="auto"/>
            <w:noWrap/>
            <w:vAlign w:val="bottom"/>
            <w:hideMark/>
          </w:tcPr>
          <w:p w14:paraId="43D86DE1"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1.1. Travail</w:t>
            </w:r>
          </w:p>
        </w:tc>
        <w:tc>
          <w:tcPr>
            <w:tcW w:w="988" w:type="dxa"/>
            <w:tcBorders>
              <w:top w:val="nil"/>
              <w:left w:val="single" w:sz="4" w:space="0" w:color="auto"/>
              <w:bottom w:val="dotted" w:sz="4" w:space="0" w:color="auto"/>
              <w:right w:val="single" w:sz="4" w:space="0" w:color="auto"/>
            </w:tcBorders>
            <w:shd w:val="clear" w:color="auto" w:fill="auto"/>
            <w:noWrap/>
            <w:vAlign w:val="center"/>
            <w:hideMark/>
          </w:tcPr>
          <w:p w14:paraId="60FC288D"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4.061</w:t>
            </w:r>
          </w:p>
        </w:tc>
        <w:tc>
          <w:tcPr>
            <w:tcW w:w="920" w:type="dxa"/>
            <w:tcBorders>
              <w:top w:val="nil"/>
              <w:left w:val="nil"/>
              <w:bottom w:val="dotted" w:sz="4" w:space="0" w:color="auto"/>
              <w:right w:val="single" w:sz="4" w:space="0" w:color="auto"/>
            </w:tcBorders>
            <w:shd w:val="clear" w:color="auto" w:fill="auto"/>
            <w:noWrap/>
            <w:vAlign w:val="center"/>
            <w:hideMark/>
          </w:tcPr>
          <w:p w14:paraId="44ACA4EE"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72%</w:t>
            </w:r>
          </w:p>
        </w:tc>
        <w:tc>
          <w:tcPr>
            <w:tcW w:w="920" w:type="dxa"/>
            <w:tcBorders>
              <w:top w:val="nil"/>
              <w:left w:val="nil"/>
              <w:bottom w:val="dotted" w:sz="4" w:space="0" w:color="auto"/>
              <w:right w:val="single" w:sz="4" w:space="0" w:color="auto"/>
            </w:tcBorders>
            <w:shd w:val="clear" w:color="auto" w:fill="auto"/>
            <w:noWrap/>
            <w:vAlign w:val="center"/>
            <w:hideMark/>
          </w:tcPr>
          <w:p w14:paraId="2E401408"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3.895</w:t>
            </w:r>
          </w:p>
        </w:tc>
        <w:tc>
          <w:tcPr>
            <w:tcW w:w="920" w:type="dxa"/>
            <w:tcBorders>
              <w:top w:val="nil"/>
              <w:left w:val="nil"/>
              <w:bottom w:val="dotted" w:sz="4" w:space="0" w:color="auto"/>
              <w:right w:val="single" w:sz="4" w:space="0" w:color="auto"/>
            </w:tcBorders>
            <w:shd w:val="clear" w:color="auto" w:fill="auto"/>
            <w:noWrap/>
            <w:vAlign w:val="center"/>
            <w:hideMark/>
          </w:tcPr>
          <w:p w14:paraId="6B4D3B04"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85%</w:t>
            </w:r>
          </w:p>
        </w:tc>
      </w:tr>
      <w:tr w:rsidR="006928B2" w:rsidRPr="006D0C49" w14:paraId="71F0DA5F" w14:textId="77777777" w:rsidTr="00934AD1">
        <w:trPr>
          <w:trHeight w:val="300"/>
        </w:trPr>
        <w:tc>
          <w:tcPr>
            <w:tcW w:w="5600" w:type="dxa"/>
            <w:tcBorders>
              <w:top w:val="nil"/>
              <w:left w:val="single" w:sz="4" w:space="0" w:color="auto"/>
              <w:bottom w:val="dotted" w:sz="4" w:space="0" w:color="auto"/>
              <w:right w:val="nil"/>
            </w:tcBorders>
            <w:shd w:val="clear" w:color="auto" w:fill="auto"/>
            <w:noWrap/>
            <w:vAlign w:val="bottom"/>
            <w:hideMark/>
          </w:tcPr>
          <w:p w14:paraId="37E3018C"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1.2. Formation</w:t>
            </w:r>
          </w:p>
        </w:tc>
        <w:tc>
          <w:tcPr>
            <w:tcW w:w="988" w:type="dxa"/>
            <w:tcBorders>
              <w:top w:val="nil"/>
              <w:left w:val="single" w:sz="4" w:space="0" w:color="auto"/>
              <w:bottom w:val="dotted" w:sz="4" w:space="0" w:color="auto"/>
              <w:right w:val="single" w:sz="4" w:space="0" w:color="auto"/>
            </w:tcBorders>
            <w:shd w:val="clear" w:color="auto" w:fill="auto"/>
            <w:noWrap/>
            <w:vAlign w:val="center"/>
            <w:hideMark/>
          </w:tcPr>
          <w:p w14:paraId="1ABF2C88"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995</w:t>
            </w:r>
          </w:p>
        </w:tc>
        <w:tc>
          <w:tcPr>
            <w:tcW w:w="920" w:type="dxa"/>
            <w:tcBorders>
              <w:top w:val="nil"/>
              <w:left w:val="nil"/>
              <w:bottom w:val="dotted" w:sz="4" w:space="0" w:color="auto"/>
              <w:right w:val="single" w:sz="4" w:space="0" w:color="auto"/>
            </w:tcBorders>
            <w:shd w:val="clear" w:color="auto" w:fill="auto"/>
            <w:noWrap/>
            <w:vAlign w:val="center"/>
            <w:hideMark/>
          </w:tcPr>
          <w:p w14:paraId="331C1AA0"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18%</w:t>
            </w:r>
          </w:p>
        </w:tc>
        <w:tc>
          <w:tcPr>
            <w:tcW w:w="920" w:type="dxa"/>
            <w:tcBorders>
              <w:top w:val="nil"/>
              <w:left w:val="nil"/>
              <w:bottom w:val="dotted" w:sz="4" w:space="0" w:color="auto"/>
              <w:right w:val="single" w:sz="4" w:space="0" w:color="auto"/>
            </w:tcBorders>
            <w:shd w:val="clear" w:color="auto" w:fill="auto"/>
            <w:noWrap/>
            <w:vAlign w:val="center"/>
            <w:hideMark/>
          </w:tcPr>
          <w:p w14:paraId="58362EF6"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761</w:t>
            </w:r>
          </w:p>
        </w:tc>
        <w:tc>
          <w:tcPr>
            <w:tcW w:w="920" w:type="dxa"/>
            <w:tcBorders>
              <w:top w:val="nil"/>
              <w:left w:val="nil"/>
              <w:bottom w:val="dotted" w:sz="4" w:space="0" w:color="auto"/>
              <w:right w:val="single" w:sz="4" w:space="0" w:color="auto"/>
            </w:tcBorders>
            <w:shd w:val="clear" w:color="auto" w:fill="auto"/>
            <w:noWrap/>
            <w:vAlign w:val="center"/>
            <w:hideMark/>
          </w:tcPr>
          <w:p w14:paraId="31B46E1B"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17%</w:t>
            </w:r>
          </w:p>
        </w:tc>
      </w:tr>
      <w:tr w:rsidR="006928B2" w:rsidRPr="006D0C49" w14:paraId="3E4D7033" w14:textId="77777777" w:rsidTr="00934AD1">
        <w:trPr>
          <w:trHeight w:val="300"/>
        </w:trPr>
        <w:tc>
          <w:tcPr>
            <w:tcW w:w="5600" w:type="dxa"/>
            <w:tcBorders>
              <w:top w:val="nil"/>
              <w:left w:val="single" w:sz="4" w:space="0" w:color="auto"/>
              <w:bottom w:val="single" w:sz="4" w:space="0" w:color="auto"/>
              <w:right w:val="nil"/>
            </w:tcBorders>
            <w:shd w:val="clear" w:color="auto" w:fill="auto"/>
            <w:noWrap/>
            <w:vAlign w:val="bottom"/>
            <w:hideMark/>
          </w:tcPr>
          <w:p w14:paraId="3FF6632D"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1.3. Stage et formation en entreprise</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478824"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577</w:t>
            </w:r>
          </w:p>
        </w:tc>
        <w:tc>
          <w:tcPr>
            <w:tcW w:w="920" w:type="dxa"/>
            <w:tcBorders>
              <w:top w:val="nil"/>
              <w:left w:val="nil"/>
              <w:bottom w:val="single" w:sz="4" w:space="0" w:color="auto"/>
              <w:right w:val="single" w:sz="4" w:space="0" w:color="auto"/>
            </w:tcBorders>
            <w:shd w:val="clear" w:color="auto" w:fill="auto"/>
            <w:noWrap/>
            <w:vAlign w:val="center"/>
            <w:hideMark/>
          </w:tcPr>
          <w:p w14:paraId="553EC244"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10%</w:t>
            </w:r>
          </w:p>
        </w:tc>
        <w:tc>
          <w:tcPr>
            <w:tcW w:w="920" w:type="dxa"/>
            <w:tcBorders>
              <w:top w:val="nil"/>
              <w:left w:val="nil"/>
              <w:bottom w:val="single" w:sz="4" w:space="0" w:color="auto"/>
              <w:right w:val="single" w:sz="4" w:space="0" w:color="auto"/>
            </w:tcBorders>
            <w:shd w:val="clear" w:color="auto" w:fill="auto"/>
            <w:noWrap/>
            <w:vAlign w:val="center"/>
            <w:hideMark/>
          </w:tcPr>
          <w:p w14:paraId="63AF87D6"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252</w:t>
            </w:r>
          </w:p>
        </w:tc>
        <w:tc>
          <w:tcPr>
            <w:tcW w:w="920" w:type="dxa"/>
            <w:tcBorders>
              <w:top w:val="nil"/>
              <w:left w:val="nil"/>
              <w:bottom w:val="single" w:sz="4" w:space="0" w:color="auto"/>
              <w:right w:val="single" w:sz="4" w:space="0" w:color="auto"/>
            </w:tcBorders>
            <w:shd w:val="clear" w:color="auto" w:fill="auto"/>
            <w:noWrap/>
            <w:vAlign w:val="center"/>
            <w:hideMark/>
          </w:tcPr>
          <w:p w14:paraId="5FFB147A"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6%</w:t>
            </w:r>
          </w:p>
        </w:tc>
      </w:tr>
      <w:tr w:rsidR="006928B2" w:rsidRPr="006D0C49" w14:paraId="508CE6F2" w14:textId="77777777" w:rsidTr="00934AD1">
        <w:trPr>
          <w:trHeight w:val="900"/>
        </w:trPr>
        <w:tc>
          <w:tcPr>
            <w:tcW w:w="5600" w:type="dxa"/>
            <w:tcBorders>
              <w:top w:val="nil"/>
              <w:left w:val="single" w:sz="4" w:space="0" w:color="auto"/>
              <w:bottom w:val="single" w:sz="4" w:space="0" w:color="FFFFFF"/>
              <w:right w:val="nil"/>
            </w:tcBorders>
            <w:shd w:val="clear" w:color="000000" w:fill="DDEBF7"/>
            <w:vAlign w:val="center"/>
            <w:hideMark/>
          </w:tcPr>
          <w:p w14:paraId="3BD6333D" w14:textId="77777777" w:rsidR="006928B2" w:rsidRPr="003744FF" w:rsidRDefault="006928B2" w:rsidP="00934AD1">
            <w:pPr>
              <w:spacing w:after="0" w:line="240" w:lineRule="auto"/>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2. Jeunes n'ayant ni travaillé, ni eu une solution formation, ni un stage mais ayant eu un accompagnement individualisé</w:t>
            </w:r>
          </w:p>
        </w:tc>
        <w:tc>
          <w:tcPr>
            <w:tcW w:w="988" w:type="dxa"/>
            <w:tcBorders>
              <w:top w:val="nil"/>
              <w:left w:val="single" w:sz="4" w:space="0" w:color="auto"/>
              <w:bottom w:val="single" w:sz="4" w:space="0" w:color="FFFFFF"/>
              <w:right w:val="single" w:sz="4" w:space="0" w:color="auto"/>
            </w:tcBorders>
            <w:shd w:val="clear" w:color="000000" w:fill="DDEBF7"/>
            <w:noWrap/>
            <w:vAlign w:val="center"/>
            <w:hideMark/>
          </w:tcPr>
          <w:p w14:paraId="2378756B" w14:textId="77777777" w:rsidR="006928B2" w:rsidRPr="003744FF" w:rsidRDefault="006928B2" w:rsidP="00934AD1">
            <w:pPr>
              <w:spacing w:after="0" w:line="240" w:lineRule="auto"/>
              <w:ind w:firstLineChars="100" w:firstLine="200"/>
              <w:jc w:val="right"/>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3.465</w:t>
            </w:r>
          </w:p>
        </w:tc>
        <w:tc>
          <w:tcPr>
            <w:tcW w:w="920" w:type="dxa"/>
            <w:tcBorders>
              <w:top w:val="nil"/>
              <w:left w:val="nil"/>
              <w:bottom w:val="single" w:sz="4" w:space="0" w:color="FFFFFF"/>
              <w:right w:val="nil"/>
            </w:tcBorders>
            <w:shd w:val="clear" w:color="000000" w:fill="DDEBF7"/>
            <w:noWrap/>
            <w:vAlign w:val="center"/>
            <w:hideMark/>
          </w:tcPr>
          <w:p w14:paraId="5F3D3D92" w14:textId="77777777" w:rsidR="006928B2" w:rsidRPr="003744FF" w:rsidRDefault="006928B2" w:rsidP="00934AD1">
            <w:pPr>
              <w:spacing w:after="0" w:line="240" w:lineRule="auto"/>
              <w:jc w:val="center"/>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32%</w:t>
            </w:r>
          </w:p>
        </w:tc>
        <w:tc>
          <w:tcPr>
            <w:tcW w:w="920" w:type="dxa"/>
            <w:tcBorders>
              <w:top w:val="nil"/>
              <w:left w:val="single" w:sz="4" w:space="0" w:color="auto"/>
              <w:bottom w:val="nil"/>
              <w:right w:val="single" w:sz="4" w:space="0" w:color="auto"/>
            </w:tcBorders>
            <w:shd w:val="clear" w:color="000000" w:fill="DDEBF7"/>
            <w:noWrap/>
            <w:vAlign w:val="center"/>
            <w:hideMark/>
          </w:tcPr>
          <w:p w14:paraId="4B6FF09E" w14:textId="77777777" w:rsidR="006928B2" w:rsidRPr="003744FF" w:rsidRDefault="006928B2" w:rsidP="00934AD1">
            <w:pPr>
              <w:spacing w:after="0" w:line="240" w:lineRule="auto"/>
              <w:jc w:val="center"/>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5.484</w:t>
            </w:r>
          </w:p>
        </w:tc>
        <w:tc>
          <w:tcPr>
            <w:tcW w:w="920" w:type="dxa"/>
            <w:tcBorders>
              <w:top w:val="nil"/>
              <w:left w:val="nil"/>
              <w:bottom w:val="nil"/>
              <w:right w:val="single" w:sz="4" w:space="0" w:color="auto"/>
            </w:tcBorders>
            <w:shd w:val="clear" w:color="000000" w:fill="DDEBF7"/>
            <w:noWrap/>
            <w:vAlign w:val="center"/>
            <w:hideMark/>
          </w:tcPr>
          <w:p w14:paraId="206EAA6D" w14:textId="77777777" w:rsidR="006928B2" w:rsidRPr="003744FF" w:rsidRDefault="006928B2" w:rsidP="00934AD1">
            <w:pPr>
              <w:spacing w:after="0" w:line="240" w:lineRule="auto"/>
              <w:jc w:val="center"/>
              <w:rPr>
                <w:rFonts w:ascii="Times New Roman" w:eastAsia="Times New Roman" w:hAnsi="Times New Roman" w:cs="Times New Roman"/>
                <w:b/>
                <w:bCs/>
                <w:sz w:val="20"/>
                <w:szCs w:val="20"/>
              </w:rPr>
            </w:pPr>
            <w:r w:rsidRPr="003744FF">
              <w:rPr>
                <w:rFonts w:ascii="Times New Roman" w:eastAsia="Times New Roman" w:hAnsi="Times New Roman" w:cs="Times New Roman"/>
                <w:b/>
                <w:bCs/>
                <w:sz w:val="20"/>
                <w:szCs w:val="20"/>
              </w:rPr>
              <w:t>47%</w:t>
            </w:r>
          </w:p>
        </w:tc>
      </w:tr>
      <w:tr w:rsidR="006928B2" w:rsidRPr="006D0C49" w14:paraId="6D9B666D" w14:textId="77777777" w:rsidTr="00934AD1">
        <w:trPr>
          <w:trHeight w:val="300"/>
        </w:trPr>
        <w:tc>
          <w:tcPr>
            <w:tcW w:w="5600" w:type="dxa"/>
            <w:tcBorders>
              <w:top w:val="nil"/>
              <w:left w:val="single" w:sz="4" w:space="0" w:color="auto"/>
              <w:bottom w:val="dotted" w:sz="4" w:space="0" w:color="auto"/>
              <w:right w:val="nil"/>
            </w:tcBorders>
            <w:shd w:val="clear" w:color="auto" w:fill="auto"/>
            <w:noWrap/>
            <w:vAlign w:val="bottom"/>
            <w:hideMark/>
          </w:tcPr>
          <w:p w14:paraId="4884B977"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2.1. Plan d'accompagnement individuel</w:t>
            </w:r>
            <w:r w:rsidR="009D3CCD" w:rsidRPr="006D0C49">
              <w:rPr>
                <w:rFonts w:ascii="Times New Roman" w:eastAsia="Times New Roman" w:hAnsi="Times New Roman" w:cs="Times New Roman"/>
                <w:color w:val="000000"/>
                <w:sz w:val="20"/>
                <w:szCs w:val="20"/>
              </w:rPr>
              <w:t xml:space="preserve"> (ex-CPP)</w:t>
            </w:r>
          </w:p>
        </w:tc>
        <w:tc>
          <w:tcPr>
            <w:tcW w:w="988" w:type="dxa"/>
            <w:tcBorders>
              <w:top w:val="nil"/>
              <w:left w:val="single" w:sz="4" w:space="0" w:color="auto"/>
              <w:bottom w:val="dotted" w:sz="4" w:space="0" w:color="auto"/>
              <w:right w:val="single" w:sz="4" w:space="0" w:color="auto"/>
            </w:tcBorders>
            <w:shd w:val="clear" w:color="auto" w:fill="auto"/>
            <w:noWrap/>
            <w:vAlign w:val="center"/>
            <w:hideMark/>
          </w:tcPr>
          <w:p w14:paraId="26CBE51F"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3.342</w:t>
            </w:r>
          </w:p>
        </w:tc>
        <w:tc>
          <w:tcPr>
            <w:tcW w:w="920" w:type="dxa"/>
            <w:tcBorders>
              <w:top w:val="nil"/>
              <w:left w:val="nil"/>
              <w:bottom w:val="dotted" w:sz="4" w:space="0" w:color="auto"/>
              <w:right w:val="single" w:sz="4" w:space="0" w:color="auto"/>
            </w:tcBorders>
            <w:shd w:val="clear" w:color="auto" w:fill="auto"/>
            <w:noWrap/>
            <w:vAlign w:val="center"/>
            <w:hideMark/>
          </w:tcPr>
          <w:p w14:paraId="77219666"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96%</w:t>
            </w:r>
          </w:p>
        </w:tc>
        <w:tc>
          <w:tcPr>
            <w:tcW w:w="920" w:type="dxa"/>
            <w:tcBorders>
              <w:top w:val="nil"/>
              <w:left w:val="nil"/>
              <w:bottom w:val="dotted" w:sz="4" w:space="0" w:color="auto"/>
              <w:right w:val="single" w:sz="4" w:space="0" w:color="auto"/>
            </w:tcBorders>
            <w:shd w:val="clear" w:color="auto" w:fill="auto"/>
            <w:noWrap/>
            <w:vAlign w:val="center"/>
            <w:hideMark/>
          </w:tcPr>
          <w:p w14:paraId="5E93B379"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4.564</w:t>
            </w:r>
          </w:p>
        </w:tc>
        <w:tc>
          <w:tcPr>
            <w:tcW w:w="920" w:type="dxa"/>
            <w:tcBorders>
              <w:top w:val="nil"/>
              <w:left w:val="nil"/>
              <w:bottom w:val="dotted" w:sz="4" w:space="0" w:color="auto"/>
              <w:right w:val="single" w:sz="4" w:space="0" w:color="auto"/>
            </w:tcBorders>
            <w:shd w:val="clear" w:color="auto" w:fill="auto"/>
            <w:noWrap/>
            <w:vAlign w:val="center"/>
            <w:hideMark/>
          </w:tcPr>
          <w:p w14:paraId="635922DD"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83%</w:t>
            </w:r>
          </w:p>
        </w:tc>
      </w:tr>
      <w:tr w:rsidR="006928B2" w:rsidRPr="006D0C49" w14:paraId="123CAA44" w14:textId="77777777" w:rsidTr="00934AD1">
        <w:trPr>
          <w:trHeight w:val="300"/>
        </w:trPr>
        <w:tc>
          <w:tcPr>
            <w:tcW w:w="5600" w:type="dxa"/>
            <w:tcBorders>
              <w:top w:val="nil"/>
              <w:left w:val="single" w:sz="4" w:space="0" w:color="auto"/>
              <w:bottom w:val="single" w:sz="4" w:space="0" w:color="auto"/>
              <w:right w:val="nil"/>
            </w:tcBorders>
            <w:shd w:val="clear" w:color="auto" w:fill="auto"/>
            <w:noWrap/>
            <w:vAlign w:val="bottom"/>
            <w:hideMark/>
          </w:tcPr>
          <w:p w14:paraId="7DB5643F"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2.2. Action d'insertion</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D3C072"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1.030</w:t>
            </w:r>
          </w:p>
        </w:tc>
        <w:tc>
          <w:tcPr>
            <w:tcW w:w="920" w:type="dxa"/>
            <w:tcBorders>
              <w:top w:val="nil"/>
              <w:left w:val="nil"/>
              <w:bottom w:val="single" w:sz="4" w:space="0" w:color="auto"/>
              <w:right w:val="single" w:sz="4" w:space="0" w:color="auto"/>
            </w:tcBorders>
            <w:shd w:val="clear" w:color="auto" w:fill="auto"/>
            <w:noWrap/>
            <w:vAlign w:val="center"/>
            <w:hideMark/>
          </w:tcPr>
          <w:p w14:paraId="008A9D20"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30%</w:t>
            </w:r>
          </w:p>
        </w:tc>
        <w:tc>
          <w:tcPr>
            <w:tcW w:w="920" w:type="dxa"/>
            <w:tcBorders>
              <w:top w:val="nil"/>
              <w:left w:val="nil"/>
              <w:bottom w:val="single" w:sz="4" w:space="0" w:color="auto"/>
              <w:right w:val="single" w:sz="4" w:space="0" w:color="auto"/>
            </w:tcBorders>
            <w:shd w:val="clear" w:color="auto" w:fill="auto"/>
            <w:noWrap/>
            <w:vAlign w:val="center"/>
            <w:hideMark/>
          </w:tcPr>
          <w:p w14:paraId="60BA8195"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1.299</w:t>
            </w:r>
          </w:p>
        </w:tc>
        <w:tc>
          <w:tcPr>
            <w:tcW w:w="920" w:type="dxa"/>
            <w:tcBorders>
              <w:top w:val="nil"/>
              <w:left w:val="nil"/>
              <w:bottom w:val="single" w:sz="4" w:space="0" w:color="auto"/>
              <w:right w:val="single" w:sz="4" w:space="0" w:color="auto"/>
            </w:tcBorders>
            <w:shd w:val="clear" w:color="auto" w:fill="auto"/>
            <w:noWrap/>
            <w:vAlign w:val="center"/>
            <w:hideMark/>
          </w:tcPr>
          <w:p w14:paraId="6E0A0A5E"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24%</w:t>
            </w:r>
          </w:p>
        </w:tc>
      </w:tr>
      <w:tr w:rsidR="006928B2" w:rsidRPr="006D0C49" w14:paraId="2D754EE8" w14:textId="77777777" w:rsidTr="00934AD1">
        <w:trPr>
          <w:trHeight w:val="300"/>
        </w:trPr>
        <w:tc>
          <w:tcPr>
            <w:tcW w:w="5600" w:type="dxa"/>
            <w:tcBorders>
              <w:top w:val="nil"/>
              <w:left w:val="single" w:sz="4" w:space="0" w:color="auto"/>
              <w:bottom w:val="single" w:sz="4" w:space="0" w:color="FFFFFF"/>
              <w:right w:val="nil"/>
            </w:tcBorders>
            <w:shd w:val="clear" w:color="000000" w:fill="DDEBF7"/>
            <w:noWrap/>
            <w:vAlign w:val="bottom"/>
            <w:hideMark/>
          </w:tcPr>
          <w:p w14:paraId="3C5CBEC2" w14:textId="77777777" w:rsidR="006928B2" w:rsidRPr="00223CD8" w:rsidRDefault="006928B2" w:rsidP="00934AD1">
            <w:pPr>
              <w:spacing w:after="0" w:line="240" w:lineRule="auto"/>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3. Jeunes ni 1 ni 2</w:t>
            </w:r>
          </w:p>
        </w:tc>
        <w:tc>
          <w:tcPr>
            <w:tcW w:w="988" w:type="dxa"/>
            <w:tcBorders>
              <w:top w:val="nil"/>
              <w:left w:val="single" w:sz="4" w:space="0" w:color="auto"/>
              <w:bottom w:val="single" w:sz="4" w:space="0" w:color="FFFFFF"/>
              <w:right w:val="single" w:sz="4" w:space="0" w:color="auto"/>
            </w:tcBorders>
            <w:shd w:val="clear" w:color="000000" w:fill="DDEBF7"/>
            <w:noWrap/>
            <w:vAlign w:val="center"/>
            <w:hideMark/>
          </w:tcPr>
          <w:p w14:paraId="4D0ED9F7" w14:textId="77777777" w:rsidR="006928B2" w:rsidRPr="00223CD8" w:rsidRDefault="006928B2" w:rsidP="00934AD1">
            <w:pPr>
              <w:spacing w:after="0" w:line="240" w:lineRule="auto"/>
              <w:ind w:firstLineChars="100" w:firstLine="200"/>
              <w:jc w:val="right"/>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1.695</w:t>
            </w:r>
          </w:p>
        </w:tc>
        <w:tc>
          <w:tcPr>
            <w:tcW w:w="920" w:type="dxa"/>
            <w:tcBorders>
              <w:top w:val="nil"/>
              <w:left w:val="nil"/>
              <w:bottom w:val="single" w:sz="4" w:space="0" w:color="FFFFFF"/>
              <w:right w:val="nil"/>
            </w:tcBorders>
            <w:shd w:val="clear" w:color="000000" w:fill="DDEBF7"/>
            <w:noWrap/>
            <w:vAlign w:val="center"/>
            <w:hideMark/>
          </w:tcPr>
          <w:p w14:paraId="4DCCA921"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16%</w:t>
            </w:r>
          </w:p>
        </w:tc>
        <w:tc>
          <w:tcPr>
            <w:tcW w:w="920" w:type="dxa"/>
            <w:tcBorders>
              <w:top w:val="nil"/>
              <w:left w:val="single" w:sz="4" w:space="0" w:color="auto"/>
              <w:bottom w:val="nil"/>
              <w:right w:val="single" w:sz="4" w:space="0" w:color="auto"/>
            </w:tcBorders>
            <w:shd w:val="clear" w:color="000000" w:fill="DDEBF7"/>
            <w:noWrap/>
            <w:vAlign w:val="center"/>
            <w:hideMark/>
          </w:tcPr>
          <w:p w14:paraId="3F812D02"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1.532</w:t>
            </w:r>
          </w:p>
        </w:tc>
        <w:tc>
          <w:tcPr>
            <w:tcW w:w="920" w:type="dxa"/>
            <w:tcBorders>
              <w:top w:val="nil"/>
              <w:left w:val="nil"/>
              <w:bottom w:val="nil"/>
              <w:right w:val="single" w:sz="4" w:space="0" w:color="auto"/>
            </w:tcBorders>
            <w:shd w:val="clear" w:color="000000" w:fill="DDEBF7"/>
            <w:noWrap/>
            <w:vAlign w:val="center"/>
            <w:hideMark/>
          </w:tcPr>
          <w:p w14:paraId="59A86D48" w14:textId="77777777" w:rsidR="006928B2" w:rsidRPr="00223CD8" w:rsidRDefault="006928B2" w:rsidP="00934AD1">
            <w:pPr>
              <w:spacing w:after="0" w:line="240" w:lineRule="auto"/>
              <w:jc w:val="center"/>
              <w:rPr>
                <w:rFonts w:ascii="Times New Roman" w:eastAsia="Times New Roman" w:hAnsi="Times New Roman" w:cs="Times New Roman"/>
                <w:b/>
                <w:bCs/>
                <w:sz w:val="20"/>
                <w:szCs w:val="20"/>
              </w:rPr>
            </w:pPr>
            <w:r w:rsidRPr="00223CD8">
              <w:rPr>
                <w:rFonts w:ascii="Times New Roman" w:eastAsia="Times New Roman" w:hAnsi="Times New Roman" w:cs="Times New Roman"/>
                <w:b/>
                <w:bCs/>
                <w:sz w:val="20"/>
                <w:szCs w:val="20"/>
              </w:rPr>
              <w:t>13%</w:t>
            </w:r>
          </w:p>
        </w:tc>
      </w:tr>
      <w:tr w:rsidR="006928B2" w:rsidRPr="006D0C49" w14:paraId="2AAF9211" w14:textId="77777777" w:rsidTr="00934AD1">
        <w:trPr>
          <w:trHeight w:val="300"/>
        </w:trPr>
        <w:tc>
          <w:tcPr>
            <w:tcW w:w="5600" w:type="dxa"/>
            <w:tcBorders>
              <w:top w:val="nil"/>
              <w:left w:val="single" w:sz="4" w:space="0" w:color="auto"/>
              <w:bottom w:val="dotted" w:sz="4" w:space="0" w:color="auto"/>
              <w:right w:val="nil"/>
            </w:tcBorders>
            <w:shd w:val="clear" w:color="auto" w:fill="auto"/>
            <w:noWrap/>
            <w:vAlign w:val="bottom"/>
            <w:hideMark/>
          </w:tcPr>
          <w:p w14:paraId="0860D567"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3.1. Encore enregistrés comme DEI en T + 6 mois</w:t>
            </w:r>
          </w:p>
        </w:tc>
        <w:tc>
          <w:tcPr>
            <w:tcW w:w="988" w:type="dxa"/>
            <w:tcBorders>
              <w:top w:val="nil"/>
              <w:left w:val="single" w:sz="4" w:space="0" w:color="auto"/>
              <w:bottom w:val="dotted" w:sz="4" w:space="0" w:color="auto"/>
              <w:right w:val="single" w:sz="4" w:space="0" w:color="auto"/>
            </w:tcBorders>
            <w:shd w:val="clear" w:color="auto" w:fill="auto"/>
            <w:noWrap/>
            <w:vAlign w:val="center"/>
            <w:hideMark/>
          </w:tcPr>
          <w:p w14:paraId="05E78FF6"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238</w:t>
            </w:r>
          </w:p>
        </w:tc>
        <w:tc>
          <w:tcPr>
            <w:tcW w:w="920" w:type="dxa"/>
            <w:tcBorders>
              <w:top w:val="nil"/>
              <w:left w:val="nil"/>
              <w:bottom w:val="dotted" w:sz="4" w:space="0" w:color="auto"/>
              <w:right w:val="single" w:sz="4" w:space="0" w:color="auto"/>
            </w:tcBorders>
            <w:shd w:val="clear" w:color="auto" w:fill="auto"/>
            <w:noWrap/>
            <w:vAlign w:val="center"/>
            <w:hideMark/>
          </w:tcPr>
          <w:p w14:paraId="1F8A850B"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14%</w:t>
            </w:r>
          </w:p>
        </w:tc>
        <w:tc>
          <w:tcPr>
            <w:tcW w:w="920" w:type="dxa"/>
            <w:tcBorders>
              <w:top w:val="nil"/>
              <w:left w:val="nil"/>
              <w:bottom w:val="dotted" w:sz="4" w:space="0" w:color="auto"/>
              <w:right w:val="single" w:sz="4" w:space="0" w:color="auto"/>
            </w:tcBorders>
            <w:shd w:val="clear" w:color="auto" w:fill="auto"/>
            <w:noWrap/>
            <w:vAlign w:val="center"/>
            <w:hideMark/>
          </w:tcPr>
          <w:p w14:paraId="201EC513"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220</w:t>
            </w:r>
          </w:p>
        </w:tc>
        <w:tc>
          <w:tcPr>
            <w:tcW w:w="920" w:type="dxa"/>
            <w:tcBorders>
              <w:top w:val="nil"/>
              <w:left w:val="nil"/>
              <w:bottom w:val="dotted" w:sz="4" w:space="0" w:color="auto"/>
              <w:right w:val="single" w:sz="4" w:space="0" w:color="auto"/>
            </w:tcBorders>
            <w:shd w:val="clear" w:color="auto" w:fill="auto"/>
            <w:noWrap/>
            <w:vAlign w:val="center"/>
            <w:hideMark/>
          </w:tcPr>
          <w:p w14:paraId="577B27B8"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14%</w:t>
            </w:r>
          </w:p>
        </w:tc>
      </w:tr>
      <w:tr w:rsidR="006928B2" w:rsidRPr="006D0C49" w14:paraId="350DBCC1" w14:textId="77777777" w:rsidTr="00934AD1">
        <w:trPr>
          <w:trHeight w:val="300"/>
        </w:trPr>
        <w:tc>
          <w:tcPr>
            <w:tcW w:w="5600" w:type="dxa"/>
            <w:tcBorders>
              <w:top w:val="nil"/>
              <w:left w:val="single" w:sz="4" w:space="0" w:color="auto"/>
              <w:bottom w:val="single" w:sz="4" w:space="0" w:color="auto"/>
              <w:right w:val="nil"/>
            </w:tcBorders>
            <w:shd w:val="clear" w:color="auto" w:fill="auto"/>
            <w:noWrap/>
            <w:vAlign w:val="bottom"/>
            <w:hideMark/>
          </w:tcPr>
          <w:p w14:paraId="2C834FF2" w14:textId="77777777" w:rsidR="006928B2" w:rsidRPr="006D0C49" w:rsidRDefault="006928B2" w:rsidP="00934AD1">
            <w:pPr>
              <w:spacing w:after="0" w:line="240" w:lineRule="auto"/>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3.2. Plus enregistrés comme DEI en T + 6 mois</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9ED27A" w14:textId="77777777" w:rsidR="006928B2" w:rsidRPr="006D0C49" w:rsidRDefault="006928B2" w:rsidP="00934AD1">
            <w:pPr>
              <w:spacing w:after="0" w:line="240" w:lineRule="auto"/>
              <w:ind w:firstLineChars="100" w:firstLine="200"/>
              <w:jc w:val="right"/>
              <w:rPr>
                <w:rFonts w:ascii="Times New Roman" w:eastAsia="Times New Roman" w:hAnsi="Times New Roman" w:cs="Times New Roman"/>
                <w:sz w:val="20"/>
                <w:szCs w:val="20"/>
              </w:rPr>
            </w:pPr>
            <w:r w:rsidRPr="006D0C49">
              <w:rPr>
                <w:rFonts w:ascii="Times New Roman" w:eastAsia="Times New Roman" w:hAnsi="Times New Roman" w:cs="Times New Roman"/>
                <w:sz w:val="20"/>
                <w:szCs w:val="20"/>
              </w:rPr>
              <w:t>1.457</w:t>
            </w:r>
          </w:p>
        </w:tc>
        <w:tc>
          <w:tcPr>
            <w:tcW w:w="920" w:type="dxa"/>
            <w:tcBorders>
              <w:top w:val="nil"/>
              <w:left w:val="nil"/>
              <w:bottom w:val="single" w:sz="4" w:space="0" w:color="auto"/>
              <w:right w:val="single" w:sz="4" w:space="0" w:color="auto"/>
            </w:tcBorders>
            <w:shd w:val="clear" w:color="auto" w:fill="auto"/>
            <w:noWrap/>
            <w:vAlign w:val="center"/>
            <w:hideMark/>
          </w:tcPr>
          <w:p w14:paraId="1BFD6AD0"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86%</w:t>
            </w:r>
          </w:p>
        </w:tc>
        <w:tc>
          <w:tcPr>
            <w:tcW w:w="920" w:type="dxa"/>
            <w:tcBorders>
              <w:top w:val="nil"/>
              <w:left w:val="nil"/>
              <w:bottom w:val="single" w:sz="4" w:space="0" w:color="auto"/>
              <w:right w:val="single" w:sz="4" w:space="0" w:color="auto"/>
            </w:tcBorders>
            <w:shd w:val="clear" w:color="auto" w:fill="auto"/>
            <w:noWrap/>
            <w:vAlign w:val="center"/>
            <w:hideMark/>
          </w:tcPr>
          <w:p w14:paraId="63F774E4"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1.312</w:t>
            </w:r>
          </w:p>
        </w:tc>
        <w:tc>
          <w:tcPr>
            <w:tcW w:w="920" w:type="dxa"/>
            <w:tcBorders>
              <w:top w:val="nil"/>
              <w:left w:val="nil"/>
              <w:bottom w:val="single" w:sz="4" w:space="0" w:color="auto"/>
              <w:right w:val="single" w:sz="4" w:space="0" w:color="auto"/>
            </w:tcBorders>
            <w:shd w:val="clear" w:color="auto" w:fill="auto"/>
            <w:noWrap/>
            <w:vAlign w:val="center"/>
            <w:hideMark/>
          </w:tcPr>
          <w:p w14:paraId="274C4C09" w14:textId="77777777" w:rsidR="006928B2" w:rsidRPr="006D0C49" w:rsidRDefault="006928B2" w:rsidP="00934AD1">
            <w:pPr>
              <w:spacing w:after="0" w:line="240" w:lineRule="auto"/>
              <w:jc w:val="center"/>
              <w:rPr>
                <w:rFonts w:ascii="Times New Roman" w:eastAsia="Times New Roman" w:hAnsi="Times New Roman" w:cs="Times New Roman"/>
                <w:color w:val="000000"/>
                <w:sz w:val="20"/>
                <w:szCs w:val="20"/>
              </w:rPr>
            </w:pPr>
            <w:r w:rsidRPr="006D0C49">
              <w:rPr>
                <w:rFonts w:ascii="Times New Roman" w:eastAsia="Times New Roman" w:hAnsi="Times New Roman" w:cs="Times New Roman"/>
                <w:color w:val="000000"/>
                <w:sz w:val="20"/>
                <w:szCs w:val="20"/>
              </w:rPr>
              <w:t>86%</w:t>
            </w:r>
          </w:p>
        </w:tc>
      </w:tr>
    </w:tbl>
    <w:p w14:paraId="6B0EF687" w14:textId="77777777" w:rsidR="006928B2" w:rsidRPr="006D0C49" w:rsidRDefault="006928B2" w:rsidP="003151CE">
      <w:pPr>
        <w:spacing w:before="120" w:after="120" w:line="240" w:lineRule="auto"/>
        <w:jc w:val="center"/>
        <w:rPr>
          <w:rFonts w:ascii="Times New Roman" w:hAnsi="Times New Roman" w:cs="Times New Roman"/>
          <w:sz w:val="20"/>
          <w:szCs w:val="20"/>
        </w:rPr>
      </w:pPr>
      <w:r w:rsidRPr="006D0C49">
        <w:rPr>
          <w:rFonts w:ascii="Times New Roman" w:hAnsi="Times New Roman" w:cs="Times New Roman"/>
          <w:sz w:val="20"/>
          <w:szCs w:val="20"/>
        </w:rPr>
        <w:t>Source : Actiris, calculs Observatoire bruxellois de l’Emploi</w:t>
      </w:r>
    </w:p>
    <w:p w14:paraId="1CAAC3D2" w14:textId="5E2700AA" w:rsidR="003151CE" w:rsidRPr="006D0C49" w:rsidRDefault="006928B2" w:rsidP="006462F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La comparaison avec les résultats enregistrés en 2014 pour une cohorte similaire de jeunes demandeurs d’emploi de moins de </w:t>
      </w:r>
      <w:r w:rsidR="00EF7AAA" w:rsidRPr="006D0C49">
        <w:rPr>
          <w:rFonts w:ascii="Times New Roman" w:hAnsi="Times New Roman" w:cs="Times New Roman"/>
          <w:sz w:val="20"/>
          <w:szCs w:val="20"/>
        </w:rPr>
        <w:t>30</w:t>
      </w:r>
      <w:r w:rsidRPr="006D0C49">
        <w:rPr>
          <w:rFonts w:ascii="Times New Roman" w:hAnsi="Times New Roman" w:cs="Times New Roman"/>
          <w:sz w:val="20"/>
          <w:szCs w:val="20"/>
        </w:rPr>
        <w:t xml:space="preserve"> ans nouvellement inscrits laisse apparaître une relative efficacité du dispositif de la </w:t>
      </w:r>
      <w:r w:rsidR="00662178" w:rsidRPr="006D0C49">
        <w:rPr>
          <w:rFonts w:ascii="Times New Roman" w:hAnsi="Times New Roman" w:cs="Times New Roman"/>
          <w:sz w:val="20"/>
          <w:szCs w:val="20"/>
        </w:rPr>
        <w:t>GJ</w:t>
      </w:r>
      <w:r w:rsidRPr="006D0C49">
        <w:rPr>
          <w:rFonts w:ascii="Times New Roman" w:hAnsi="Times New Roman" w:cs="Times New Roman"/>
          <w:sz w:val="20"/>
          <w:szCs w:val="20"/>
        </w:rPr>
        <w:t xml:space="preserve">. Une proportion sensiblement plus importante de jeunes a bénéficié d’un emploi, d’un stage et/ou d’une formation endéans une période de 6 mois suivant leur inscription (52% contre 39%). </w:t>
      </w:r>
      <w:r w:rsidR="0096585F" w:rsidRPr="006D0C49">
        <w:rPr>
          <w:rFonts w:ascii="Times New Roman" w:hAnsi="Times New Roman" w:cs="Times New Roman"/>
          <w:sz w:val="20"/>
          <w:szCs w:val="20"/>
        </w:rPr>
        <w:t>O</w:t>
      </w:r>
      <w:r w:rsidRPr="006D0C49">
        <w:rPr>
          <w:rFonts w:ascii="Times New Roman" w:hAnsi="Times New Roman" w:cs="Times New Roman"/>
          <w:sz w:val="20"/>
          <w:szCs w:val="20"/>
        </w:rPr>
        <w:t>n observe</w:t>
      </w:r>
      <w:r w:rsidR="0096585F" w:rsidRPr="006D0C49">
        <w:rPr>
          <w:rFonts w:ascii="Times New Roman" w:hAnsi="Times New Roman" w:cs="Times New Roman"/>
          <w:sz w:val="20"/>
          <w:szCs w:val="20"/>
        </w:rPr>
        <w:t xml:space="preserve"> également</w:t>
      </w:r>
      <w:r w:rsidRPr="006D0C49">
        <w:rPr>
          <w:rFonts w:ascii="Times New Roman" w:hAnsi="Times New Roman" w:cs="Times New Roman"/>
          <w:sz w:val="20"/>
          <w:szCs w:val="20"/>
        </w:rPr>
        <w:t xml:space="preserve"> sans surprise un accompagnement plus intensif en 2015 : la quasi-totalité des jeunes n’ayant pas travaillé, ni été formés, ni bénéficié </w:t>
      </w:r>
      <w:r w:rsidRPr="006D0C49">
        <w:rPr>
          <w:rFonts w:ascii="Times New Roman" w:hAnsi="Times New Roman" w:cs="Times New Roman"/>
          <w:sz w:val="20"/>
          <w:szCs w:val="20"/>
        </w:rPr>
        <w:lastRenderedPageBreak/>
        <w:t>d’un stage en entreprise ont formalisé une relation de suivi avec le SPE dans le cadre d’un PAI. En revanche, la mise en place du dispositif ne garantit pas encore une couverture élargie à l’ensemble du public-cible : 16% des jeunes inscrits (soit une part légèrement plus élevée qu’en 2014) n’ont bénéficié d’aucune forme d’accompagnement ou d’insertion professionnelle.</w:t>
      </w:r>
    </w:p>
    <w:p w14:paraId="366739D9" w14:textId="258D65D7" w:rsidR="00C84557" w:rsidRPr="005E55E1" w:rsidRDefault="0001004B" w:rsidP="0001004B">
      <w:pPr>
        <w:autoSpaceDE w:val="0"/>
        <w:autoSpaceDN w:val="0"/>
        <w:adjustRightInd w:val="0"/>
        <w:spacing w:after="120" w:line="240" w:lineRule="auto"/>
        <w:jc w:val="both"/>
        <w:rPr>
          <w:rFonts w:ascii="Times New Roman" w:hAnsi="Times New Roman" w:cs="Times New Roman"/>
          <w:color w:val="C00000"/>
          <w:sz w:val="20"/>
          <w:szCs w:val="20"/>
        </w:rPr>
      </w:pPr>
      <w:r w:rsidRPr="006D0C49">
        <w:rPr>
          <w:rFonts w:ascii="Times New Roman" w:hAnsi="Times New Roman" w:cs="Times New Roman"/>
          <w:b/>
          <w:sz w:val="20"/>
          <w:szCs w:val="20"/>
        </w:rPr>
        <w:t>CONCLUSION</w:t>
      </w:r>
      <w:r w:rsidR="00700325">
        <w:rPr>
          <w:rFonts w:ascii="Times New Roman" w:hAnsi="Times New Roman" w:cs="Times New Roman"/>
          <w:b/>
          <w:sz w:val="20"/>
          <w:szCs w:val="20"/>
        </w:rPr>
        <w:t xml:space="preserve"> </w:t>
      </w:r>
    </w:p>
    <w:p w14:paraId="3966D20C" w14:textId="22E44D75" w:rsidR="00367494" w:rsidRPr="006D0C49" w:rsidRDefault="00367494" w:rsidP="00367494">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Les premiers résultats de la G</w:t>
      </w:r>
      <w:r w:rsidR="00700325">
        <w:rPr>
          <w:rFonts w:ascii="Times New Roman" w:hAnsi="Times New Roman" w:cs="Times New Roman"/>
          <w:sz w:val="20"/>
          <w:szCs w:val="20"/>
        </w:rPr>
        <w:t xml:space="preserve">arantie </w:t>
      </w:r>
      <w:r w:rsidRPr="006D0C49">
        <w:rPr>
          <w:rFonts w:ascii="Times New Roman" w:hAnsi="Times New Roman" w:cs="Times New Roman"/>
          <w:sz w:val="20"/>
          <w:szCs w:val="20"/>
        </w:rPr>
        <w:t>J</w:t>
      </w:r>
      <w:r w:rsidR="00700325">
        <w:rPr>
          <w:rFonts w:ascii="Times New Roman" w:hAnsi="Times New Roman" w:cs="Times New Roman"/>
          <w:sz w:val="20"/>
          <w:szCs w:val="20"/>
        </w:rPr>
        <w:t>eunes</w:t>
      </w:r>
      <w:r w:rsidRPr="006D0C49">
        <w:rPr>
          <w:rFonts w:ascii="Times New Roman" w:hAnsi="Times New Roman" w:cs="Times New Roman"/>
          <w:sz w:val="20"/>
          <w:szCs w:val="20"/>
        </w:rPr>
        <w:t xml:space="preserve"> montrent qu’une proportion relativement plus importante de jeunes bénéficient d’un accès à l’emploi, à un stage ou à une formation que ce n’était le cas auparavant. </w:t>
      </w:r>
      <w:r w:rsidR="00C64376" w:rsidRPr="006D0C49">
        <w:rPr>
          <w:rFonts w:ascii="Times New Roman" w:hAnsi="Times New Roman" w:cs="Times New Roman"/>
          <w:sz w:val="20"/>
          <w:szCs w:val="20"/>
        </w:rPr>
        <w:t>L</w:t>
      </w:r>
      <w:r w:rsidR="00DD19F7" w:rsidRPr="006D0C49">
        <w:rPr>
          <w:rFonts w:ascii="Times New Roman" w:hAnsi="Times New Roman" w:cs="Times New Roman"/>
          <w:sz w:val="20"/>
          <w:szCs w:val="20"/>
        </w:rPr>
        <w:t>e</w:t>
      </w:r>
      <w:r w:rsidRPr="006D0C49">
        <w:rPr>
          <w:rFonts w:ascii="Times New Roman" w:hAnsi="Times New Roman" w:cs="Times New Roman"/>
          <w:sz w:val="20"/>
          <w:szCs w:val="20"/>
        </w:rPr>
        <w:t xml:space="preserve"> caractère récent du dispositif</w:t>
      </w:r>
      <w:r w:rsidR="00DD19F7" w:rsidRPr="006D0C49">
        <w:rPr>
          <w:rFonts w:ascii="Times New Roman" w:hAnsi="Times New Roman" w:cs="Times New Roman"/>
          <w:sz w:val="20"/>
          <w:szCs w:val="20"/>
        </w:rPr>
        <w:t xml:space="preserve"> ne </w:t>
      </w:r>
      <w:r w:rsidR="00C64376" w:rsidRPr="006D0C49">
        <w:rPr>
          <w:rFonts w:ascii="Times New Roman" w:hAnsi="Times New Roman" w:cs="Times New Roman"/>
          <w:sz w:val="20"/>
          <w:szCs w:val="20"/>
        </w:rPr>
        <w:t xml:space="preserve">permet pas de </w:t>
      </w:r>
      <w:r w:rsidR="00DD19F7" w:rsidRPr="006D0C49">
        <w:rPr>
          <w:rFonts w:ascii="Times New Roman" w:hAnsi="Times New Roman" w:cs="Times New Roman"/>
          <w:sz w:val="20"/>
          <w:szCs w:val="20"/>
        </w:rPr>
        <w:t>dispos</w:t>
      </w:r>
      <w:r w:rsidR="00C64376" w:rsidRPr="006D0C49">
        <w:rPr>
          <w:rFonts w:ascii="Times New Roman" w:hAnsi="Times New Roman" w:cs="Times New Roman"/>
          <w:sz w:val="20"/>
          <w:szCs w:val="20"/>
        </w:rPr>
        <w:t>er</w:t>
      </w:r>
      <w:r w:rsidR="00DD19F7" w:rsidRPr="006D0C49">
        <w:rPr>
          <w:rFonts w:ascii="Times New Roman" w:hAnsi="Times New Roman" w:cs="Times New Roman"/>
          <w:sz w:val="20"/>
          <w:szCs w:val="20"/>
        </w:rPr>
        <w:t xml:space="preserve"> du</w:t>
      </w:r>
      <w:r w:rsidRPr="006D0C49">
        <w:rPr>
          <w:rFonts w:ascii="Times New Roman" w:hAnsi="Times New Roman" w:cs="Times New Roman"/>
          <w:sz w:val="20"/>
          <w:szCs w:val="20"/>
        </w:rPr>
        <w:t xml:space="preserve"> recul nécessaire pour observer s</w:t>
      </w:r>
      <w:r w:rsidR="00C64376" w:rsidRPr="006D0C49">
        <w:rPr>
          <w:rFonts w:ascii="Times New Roman" w:hAnsi="Times New Roman" w:cs="Times New Roman"/>
          <w:sz w:val="20"/>
          <w:szCs w:val="20"/>
        </w:rPr>
        <w:t>’il favorise</w:t>
      </w:r>
      <w:r w:rsidRPr="006D0C49">
        <w:rPr>
          <w:rFonts w:ascii="Times New Roman" w:hAnsi="Times New Roman" w:cs="Times New Roman"/>
          <w:sz w:val="20"/>
          <w:szCs w:val="20"/>
        </w:rPr>
        <w:t xml:space="preserve"> une stabilisation dans un emploi de qualité. Ces résultats montrent en outre qu’une partie des jeunes (environ 1 sur 6) échappent encore à toute forme d’accompagnement.</w:t>
      </w:r>
    </w:p>
    <w:p w14:paraId="31231C24" w14:textId="1D553DB2" w:rsidR="001E0585" w:rsidRPr="006D0C49" w:rsidRDefault="00367494" w:rsidP="001E0585">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Ces dispositifs</w:t>
      </w:r>
      <w:r w:rsidR="001E0585" w:rsidRPr="006D0C49">
        <w:rPr>
          <w:rFonts w:ascii="Times New Roman" w:hAnsi="Times New Roman" w:cs="Times New Roman"/>
          <w:sz w:val="20"/>
          <w:szCs w:val="20"/>
        </w:rPr>
        <w:t xml:space="preserve"> redonnent à la question du chômage une dimension collective et une responsabilité sociétale</w:t>
      </w:r>
      <w:r w:rsidR="00630AD5">
        <w:rPr>
          <w:rFonts w:ascii="Times New Roman" w:hAnsi="Times New Roman" w:cs="Times New Roman"/>
          <w:sz w:val="20"/>
          <w:szCs w:val="20"/>
        </w:rPr>
        <w:t xml:space="preserve"> dans un contexte d’activation accrue</w:t>
      </w:r>
      <w:r w:rsidR="00934AD1">
        <w:rPr>
          <w:rFonts w:ascii="Times New Roman" w:hAnsi="Times New Roman" w:cs="Times New Roman"/>
          <w:sz w:val="20"/>
          <w:szCs w:val="20"/>
        </w:rPr>
        <w:t>. En se voyant garantir l’accès aux solutions emploi, formation et stage</w:t>
      </w:r>
      <w:r w:rsidR="001E0585" w:rsidRPr="006D0C49">
        <w:rPr>
          <w:rFonts w:ascii="Times New Roman" w:hAnsi="Times New Roman" w:cs="Times New Roman"/>
          <w:sz w:val="20"/>
          <w:szCs w:val="20"/>
        </w:rPr>
        <w:t xml:space="preserve"> les individus ne portent dans les faits (le vécu étant peut-être différent) plus seuls la responsabilité de leur situation de non</w:t>
      </w:r>
      <w:r w:rsidR="001F1FA6" w:rsidRPr="006D0C49">
        <w:rPr>
          <w:rFonts w:ascii="Times New Roman" w:hAnsi="Times New Roman" w:cs="Times New Roman"/>
          <w:sz w:val="20"/>
          <w:szCs w:val="20"/>
        </w:rPr>
        <w:t>-</w:t>
      </w:r>
      <w:r w:rsidR="001E0585" w:rsidRPr="006D0C49">
        <w:rPr>
          <w:rFonts w:ascii="Times New Roman" w:hAnsi="Times New Roman" w:cs="Times New Roman"/>
          <w:sz w:val="20"/>
          <w:szCs w:val="20"/>
        </w:rPr>
        <w:t>emploi.</w:t>
      </w:r>
      <w:r w:rsidR="00546EB9" w:rsidRPr="006D0C49">
        <w:rPr>
          <w:rFonts w:ascii="Times New Roman" w:hAnsi="Times New Roman" w:cs="Times New Roman"/>
          <w:sz w:val="20"/>
          <w:szCs w:val="20"/>
        </w:rPr>
        <w:t xml:space="preserve"> Les chômeurs sont en effet soupçonnés d’être responsables de leur situation alors qu’ils sont les boucs émissaires d’enjeux politiques, économiques et sociaux qui les dépassent largement (</w:t>
      </w:r>
      <w:proofErr w:type="spellStart"/>
      <w:r w:rsidR="00546EB9" w:rsidRPr="006D0C49">
        <w:rPr>
          <w:rFonts w:ascii="Times New Roman" w:hAnsi="Times New Roman" w:cs="Times New Roman"/>
          <w:sz w:val="20"/>
          <w:szCs w:val="20"/>
        </w:rPr>
        <w:t>Loriaux</w:t>
      </w:r>
      <w:proofErr w:type="spellEnd"/>
      <w:r w:rsidR="00546EB9" w:rsidRPr="006D0C49">
        <w:rPr>
          <w:rFonts w:ascii="Times New Roman" w:hAnsi="Times New Roman" w:cs="Times New Roman"/>
          <w:sz w:val="20"/>
          <w:szCs w:val="20"/>
        </w:rPr>
        <w:t>, 2015).</w:t>
      </w:r>
      <w:r w:rsidR="001E0585" w:rsidRPr="006D0C49">
        <w:rPr>
          <w:rFonts w:ascii="Times New Roman" w:hAnsi="Times New Roman" w:cs="Times New Roman"/>
          <w:sz w:val="20"/>
          <w:szCs w:val="20"/>
        </w:rPr>
        <w:t xml:space="preserve"> </w:t>
      </w:r>
      <w:r w:rsidR="009A3E7D" w:rsidRPr="006D0C49">
        <w:rPr>
          <w:rFonts w:ascii="Times New Roman" w:hAnsi="Times New Roman" w:cs="Times New Roman"/>
          <w:sz w:val="20"/>
          <w:szCs w:val="20"/>
        </w:rPr>
        <w:t>Ces dispositifs</w:t>
      </w:r>
      <w:r w:rsidR="001E0585" w:rsidRPr="006D0C49">
        <w:rPr>
          <w:rFonts w:ascii="Times New Roman" w:hAnsi="Times New Roman" w:cs="Times New Roman"/>
          <w:sz w:val="20"/>
          <w:szCs w:val="20"/>
        </w:rPr>
        <w:t xml:space="preserve"> aident les demandeurs d’emploi à s’activer en essayant de </w:t>
      </w:r>
      <w:r w:rsidR="00AC3F12" w:rsidRPr="006D0C49">
        <w:rPr>
          <w:rFonts w:ascii="Times New Roman" w:hAnsi="Times New Roman" w:cs="Times New Roman"/>
          <w:sz w:val="20"/>
          <w:szCs w:val="20"/>
        </w:rPr>
        <w:t>« </w:t>
      </w:r>
      <w:r w:rsidR="001E0585" w:rsidRPr="006D0C49">
        <w:rPr>
          <w:rFonts w:ascii="Times New Roman" w:hAnsi="Times New Roman" w:cs="Times New Roman"/>
          <w:sz w:val="20"/>
          <w:szCs w:val="20"/>
        </w:rPr>
        <w:t>sécuriser les parcours</w:t>
      </w:r>
      <w:r w:rsidR="00AC3F12" w:rsidRPr="006D0C49">
        <w:rPr>
          <w:rFonts w:ascii="Times New Roman" w:hAnsi="Times New Roman" w:cs="Times New Roman"/>
          <w:sz w:val="20"/>
          <w:szCs w:val="20"/>
        </w:rPr>
        <w:t> » (</w:t>
      </w:r>
      <w:proofErr w:type="spellStart"/>
      <w:r w:rsidR="00AC3F12" w:rsidRPr="006D0C49">
        <w:rPr>
          <w:rFonts w:ascii="Times New Roman" w:hAnsi="Times New Roman" w:cs="Times New Roman"/>
          <w:sz w:val="20"/>
          <w:szCs w:val="20"/>
        </w:rPr>
        <w:t>Liénard</w:t>
      </w:r>
      <w:proofErr w:type="spellEnd"/>
      <w:r w:rsidR="00AC3F12" w:rsidRPr="006D0C49">
        <w:rPr>
          <w:rFonts w:ascii="Times New Roman" w:hAnsi="Times New Roman" w:cs="Times New Roman"/>
          <w:sz w:val="20"/>
          <w:szCs w:val="20"/>
        </w:rPr>
        <w:t>, 2007)</w:t>
      </w:r>
      <w:r w:rsidR="001E0585" w:rsidRPr="006D0C49">
        <w:rPr>
          <w:rFonts w:ascii="Times New Roman" w:hAnsi="Times New Roman" w:cs="Times New Roman"/>
          <w:sz w:val="20"/>
          <w:szCs w:val="20"/>
        </w:rPr>
        <w:t xml:space="preserve">, </w:t>
      </w:r>
      <w:r w:rsidR="00177448" w:rsidRPr="006D0C49">
        <w:rPr>
          <w:rFonts w:ascii="Times New Roman" w:hAnsi="Times New Roman" w:cs="Times New Roman"/>
          <w:sz w:val="20"/>
          <w:szCs w:val="20"/>
        </w:rPr>
        <w:t xml:space="preserve">de combler les vides et </w:t>
      </w:r>
      <w:r w:rsidR="001E0585" w:rsidRPr="006D0C49">
        <w:rPr>
          <w:rFonts w:ascii="Times New Roman" w:hAnsi="Times New Roman" w:cs="Times New Roman"/>
          <w:sz w:val="20"/>
          <w:szCs w:val="20"/>
        </w:rPr>
        <w:t xml:space="preserve">d’assurer la transition entre deux emplois </w:t>
      </w:r>
      <w:r w:rsidR="00506291" w:rsidRPr="006D0C49">
        <w:rPr>
          <w:rFonts w:ascii="Times New Roman" w:hAnsi="Times New Roman" w:cs="Times New Roman"/>
          <w:sz w:val="20"/>
          <w:szCs w:val="20"/>
        </w:rPr>
        <w:t xml:space="preserve">ou stages </w:t>
      </w:r>
      <w:r w:rsidR="001E0585" w:rsidRPr="006D0C49">
        <w:rPr>
          <w:rFonts w:ascii="Times New Roman" w:hAnsi="Times New Roman" w:cs="Times New Roman"/>
          <w:sz w:val="20"/>
          <w:szCs w:val="20"/>
        </w:rPr>
        <w:t xml:space="preserve">même si la réalité socioéconomique (emplois précaires, mauvaise qualité des emplois, abus des formules de premier emploi ou de stagiaires par les entreprises…) </w:t>
      </w:r>
      <w:r w:rsidR="00C0760F" w:rsidRPr="006D0C49">
        <w:rPr>
          <w:rFonts w:ascii="Times New Roman" w:hAnsi="Times New Roman" w:cs="Times New Roman"/>
          <w:sz w:val="20"/>
          <w:szCs w:val="20"/>
        </w:rPr>
        <w:t>minore</w:t>
      </w:r>
      <w:r w:rsidR="001E0585" w:rsidRPr="006D0C49">
        <w:rPr>
          <w:rFonts w:ascii="Times New Roman" w:hAnsi="Times New Roman" w:cs="Times New Roman"/>
          <w:sz w:val="20"/>
          <w:szCs w:val="20"/>
        </w:rPr>
        <w:t xml:space="preserve"> une partie des efforts des </w:t>
      </w:r>
      <w:r w:rsidR="005F6784" w:rsidRPr="006D0C49">
        <w:rPr>
          <w:rFonts w:ascii="Times New Roman" w:hAnsi="Times New Roman" w:cs="Times New Roman"/>
          <w:sz w:val="20"/>
          <w:szCs w:val="20"/>
        </w:rPr>
        <w:t>services publics de l’emploi et de</w:t>
      </w:r>
      <w:r w:rsidR="00D32A4D" w:rsidRPr="006D0C49">
        <w:rPr>
          <w:rFonts w:ascii="Times New Roman" w:hAnsi="Times New Roman" w:cs="Times New Roman"/>
          <w:sz w:val="20"/>
          <w:szCs w:val="20"/>
        </w:rPr>
        <w:t xml:space="preserve"> la</w:t>
      </w:r>
      <w:r w:rsidR="005F6784" w:rsidRPr="006D0C49">
        <w:rPr>
          <w:rFonts w:ascii="Times New Roman" w:hAnsi="Times New Roman" w:cs="Times New Roman"/>
          <w:sz w:val="20"/>
          <w:szCs w:val="20"/>
        </w:rPr>
        <w:t xml:space="preserve"> formation</w:t>
      </w:r>
      <w:r w:rsidR="001E0585" w:rsidRPr="006D0C49">
        <w:rPr>
          <w:rFonts w:ascii="Times New Roman" w:hAnsi="Times New Roman" w:cs="Times New Roman"/>
          <w:sz w:val="20"/>
          <w:szCs w:val="20"/>
        </w:rPr>
        <w:t xml:space="preserve">. </w:t>
      </w:r>
    </w:p>
    <w:p w14:paraId="6ADD9376" w14:textId="3DB28761" w:rsidR="00700325" w:rsidRPr="006D0C49" w:rsidRDefault="00700325" w:rsidP="00700325">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Le nombre massif d’exclusions constitue un réel défi pour les institutions publiques. En effet, ces personnes risquent de se retrouver dans une zone grise qui échappe aux catégories instituées de chômeurs, allocataires sociaux ou autre. Elles n’ont dès lors plus accès à un accompagnement pour se réinsérer professionnellement et perdent les droits garants d’une certaine forme d’affiliation sociale. Non seulement privées d’emploi mais se voyant aussi refuser l’accès à un certain nombre de droits sociaux, elles peuvent se retrouver soumises à un processus de disqualification sociale (</w:t>
      </w:r>
      <w:proofErr w:type="spellStart"/>
      <w:r w:rsidRPr="006D0C49">
        <w:rPr>
          <w:rFonts w:ascii="Times New Roman" w:hAnsi="Times New Roman" w:cs="Times New Roman"/>
          <w:sz w:val="20"/>
          <w:szCs w:val="20"/>
        </w:rPr>
        <w:t>Paugam</w:t>
      </w:r>
      <w:proofErr w:type="spellEnd"/>
      <w:r w:rsidRPr="006D0C49">
        <w:rPr>
          <w:rFonts w:ascii="Times New Roman" w:hAnsi="Times New Roman" w:cs="Times New Roman"/>
          <w:sz w:val="20"/>
          <w:szCs w:val="20"/>
        </w:rPr>
        <w:t xml:space="preserve">, 2009), de construction d’une identité dévalorisée et finalement de repli (Herman et </w:t>
      </w:r>
      <w:proofErr w:type="spellStart"/>
      <w:r w:rsidRPr="006D0C49">
        <w:rPr>
          <w:rFonts w:ascii="Times New Roman" w:hAnsi="Times New Roman" w:cs="Times New Roman"/>
          <w:sz w:val="20"/>
          <w:szCs w:val="20"/>
        </w:rPr>
        <w:t>Liénard</w:t>
      </w:r>
      <w:proofErr w:type="spellEnd"/>
      <w:r w:rsidRPr="006D0C49">
        <w:rPr>
          <w:rFonts w:ascii="Times New Roman" w:hAnsi="Times New Roman" w:cs="Times New Roman"/>
          <w:sz w:val="20"/>
          <w:szCs w:val="20"/>
        </w:rPr>
        <w:t>, 2007).</w:t>
      </w:r>
      <w:r w:rsidR="00F20600">
        <w:rPr>
          <w:rFonts w:ascii="Times New Roman" w:hAnsi="Times New Roman" w:cs="Times New Roman"/>
          <w:sz w:val="20"/>
          <w:szCs w:val="20"/>
        </w:rPr>
        <w:t xml:space="preserve"> Dès lors, l’en</w:t>
      </w:r>
      <w:r w:rsidR="00DE3E9F">
        <w:rPr>
          <w:rFonts w:ascii="Times New Roman" w:hAnsi="Times New Roman" w:cs="Times New Roman"/>
          <w:sz w:val="20"/>
          <w:szCs w:val="20"/>
        </w:rPr>
        <w:t>jeu pour les institutions publique</w:t>
      </w:r>
      <w:r w:rsidR="00F20600">
        <w:rPr>
          <w:rFonts w:ascii="Times New Roman" w:hAnsi="Times New Roman" w:cs="Times New Roman"/>
          <w:sz w:val="20"/>
          <w:szCs w:val="20"/>
        </w:rPr>
        <w:t xml:space="preserve">s d’emploi est </w:t>
      </w:r>
      <w:r w:rsidR="00DE3E9F">
        <w:rPr>
          <w:rFonts w:ascii="Times New Roman" w:hAnsi="Times New Roman" w:cs="Times New Roman"/>
          <w:sz w:val="20"/>
          <w:szCs w:val="20"/>
        </w:rPr>
        <w:t>de parvenir à récupérer les personnes « hors radars » dans le</w:t>
      </w:r>
      <w:r w:rsidR="00630AD5">
        <w:rPr>
          <w:rFonts w:ascii="Times New Roman" w:hAnsi="Times New Roman" w:cs="Times New Roman"/>
          <w:sz w:val="20"/>
          <w:szCs w:val="20"/>
        </w:rPr>
        <w:t>s</w:t>
      </w:r>
      <w:r w:rsidR="00DE3E9F">
        <w:rPr>
          <w:rFonts w:ascii="Times New Roman" w:hAnsi="Times New Roman" w:cs="Times New Roman"/>
          <w:sz w:val="20"/>
          <w:szCs w:val="20"/>
        </w:rPr>
        <w:t xml:space="preserve"> filet</w:t>
      </w:r>
      <w:r w:rsidR="00630AD5">
        <w:rPr>
          <w:rFonts w:ascii="Times New Roman" w:hAnsi="Times New Roman" w:cs="Times New Roman"/>
          <w:sz w:val="20"/>
          <w:szCs w:val="20"/>
        </w:rPr>
        <w:t>s</w:t>
      </w:r>
      <w:r w:rsidR="00DE3E9F">
        <w:rPr>
          <w:rFonts w:ascii="Times New Roman" w:hAnsi="Times New Roman" w:cs="Times New Roman"/>
          <w:sz w:val="20"/>
          <w:szCs w:val="20"/>
        </w:rPr>
        <w:t xml:space="preserve"> institutionnel</w:t>
      </w:r>
      <w:r w:rsidR="00630AD5">
        <w:rPr>
          <w:rFonts w:ascii="Times New Roman" w:hAnsi="Times New Roman" w:cs="Times New Roman"/>
          <w:sz w:val="20"/>
          <w:szCs w:val="20"/>
        </w:rPr>
        <w:t>s</w:t>
      </w:r>
      <w:r w:rsidR="00DE3E9F">
        <w:rPr>
          <w:rFonts w:ascii="Times New Roman" w:hAnsi="Times New Roman" w:cs="Times New Roman"/>
          <w:sz w:val="20"/>
          <w:szCs w:val="20"/>
        </w:rPr>
        <w:t xml:space="preserve"> afin de leur permettre d’accéder aux solutions mises en œuvre pour l’emploi. Les NEET (jeunes</w:t>
      </w:r>
      <w:r w:rsidR="00F44EFF">
        <w:rPr>
          <w:rFonts w:ascii="Times New Roman" w:hAnsi="Times New Roman" w:cs="Times New Roman"/>
          <w:sz w:val="20"/>
          <w:szCs w:val="20"/>
        </w:rPr>
        <w:t xml:space="preserve"> qui ne sont</w:t>
      </w:r>
      <w:r w:rsidR="00DE3E9F">
        <w:rPr>
          <w:rFonts w:ascii="Times New Roman" w:hAnsi="Times New Roman" w:cs="Times New Roman"/>
          <w:sz w:val="20"/>
          <w:szCs w:val="20"/>
        </w:rPr>
        <w:t xml:space="preserve"> ni à l’emploi, ni dans l’enseignement, ni en formation) représentent à cet égard un public prioritaire en Région bruxelloise vers lesquels les </w:t>
      </w:r>
      <w:r w:rsidR="00824A67">
        <w:rPr>
          <w:rFonts w:ascii="Times New Roman" w:hAnsi="Times New Roman" w:cs="Times New Roman"/>
          <w:sz w:val="20"/>
          <w:szCs w:val="20"/>
        </w:rPr>
        <w:t>pouvoirs publics dirigent une partie croissante de leurs efforts.</w:t>
      </w:r>
    </w:p>
    <w:p w14:paraId="3360A2D1" w14:textId="77777777" w:rsidR="00CD71C8" w:rsidRPr="006D0C49" w:rsidRDefault="0001004B" w:rsidP="0001004B">
      <w:pPr>
        <w:spacing w:after="120" w:line="240" w:lineRule="auto"/>
        <w:jc w:val="both"/>
        <w:rPr>
          <w:rFonts w:ascii="Times New Roman" w:hAnsi="Times New Roman" w:cs="Times New Roman"/>
          <w:b/>
          <w:sz w:val="20"/>
          <w:szCs w:val="20"/>
        </w:rPr>
      </w:pPr>
      <w:r w:rsidRPr="006D0C49">
        <w:rPr>
          <w:rFonts w:ascii="Times New Roman" w:hAnsi="Times New Roman" w:cs="Times New Roman"/>
          <w:b/>
          <w:sz w:val="20"/>
          <w:szCs w:val="20"/>
        </w:rPr>
        <w:t>BIBLIOGRAPHIE </w:t>
      </w:r>
    </w:p>
    <w:p w14:paraId="1D5303AB" w14:textId="5C295733" w:rsidR="00237322" w:rsidRPr="006D0C49" w:rsidRDefault="006D0C49" w:rsidP="0001004B">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Béraud </w:t>
      </w:r>
      <w:r w:rsidR="003C7D32" w:rsidRPr="006D0C49">
        <w:rPr>
          <w:rFonts w:ascii="Times New Roman" w:hAnsi="Times New Roman" w:cs="Times New Roman"/>
          <w:sz w:val="20"/>
          <w:szCs w:val="20"/>
        </w:rPr>
        <w:t>M.</w:t>
      </w:r>
      <w:r w:rsidR="00237322" w:rsidRPr="006D0C49">
        <w:rPr>
          <w:rFonts w:ascii="Times New Roman" w:hAnsi="Times New Roman" w:cs="Times New Roman"/>
          <w:sz w:val="20"/>
          <w:szCs w:val="20"/>
        </w:rPr>
        <w:t xml:space="preserve"> et </w:t>
      </w:r>
      <w:proofErr w:type="spellStart"/>
      <w:r w:rsidRPr="006D0C49">
        <w:rPr>
          <w:rFonts w:ascii="Times New Roman" w:hAnsi="Times New Roman" w:cs="Times New Roman"/>
          <w:sz w:val="20"/>
          <w:szCs w:val="20"/>
        </w:rPr>
        <w:t>Eydoux</w:t>
      </w:r>
      <w:proofErr w:type="spellEnd"/>
      <w:r w:rsidRPr="006D0C49">
        <w:rPr>
          <w:rFonts w:ascii="Times New Roman" w:hAnsi="Times New Roman" w:cs="Times New Roman"/>
          <w:sz w:val="20"/>
          <w:szCs w:val="20"/>
        </w:rPr>
        <w:t xml:space="preserve"> </w:t>
      </w:r>
      <w:r w:rsidR="003C7D32" w:rsidRPr="006D0C49">
        <w:rPr>
          <w:rFonts w:ascii="Times New Roman" w:hAnsi="Times New Roman" w:cs="Times New Roman"/>
          <w:sz w:val="20"/>
          <w:szCs w:val="20"/>
        </w:rPr>
        <w:t xml:space="preserve">A. </w:t>
      </w:r>
      <w:r w:rsidR="000B27E1">
        <w:rPr>
          <w:rFonts w:ascii="Times New Roman" w:hAnsi="Times New Roman" w:cs="Times New Roman"/>
          <w:sz w:val="20"/>
          <w:szCs w:val="20"/>
        </w:rPr>
        <w:t>(2009).</w:t>
      </w:r>
      <w:r w:rsidR="003C7D32" w:rsidRPr="006D0C49">
        <w:rPr>
          <w:rFonts w:ascii="Times New Roman" w:hAnsi="Times New Roman" w:cs="Times New Roman"/>
          <w:sz w:val="20"/>
          <w:szCs w:val="20"/>
        </w:rPr>
        <w:t xml:space="preserve"> « Activation des chômeurs et modernisation du service public de l’emploi : les inflexions du régime français d’activation », </w:t>
      </w:r>
      <w:r w:rsidR="003C7D32" w:rsidRPr="006D0C49">
        <w:rPr>
          <w:rFonts w:ascii="Times New Roman" w:hAnsi="Times New Roman" w:cs="Times New Roman"/>
          <w:i/>
          <w:sz w:val="20"/>
          <w:szCs w:val="20"/>
        </w:rPr>
        <w:t>Travail et emploi</w:t>
      </w:r>
      <w:r>
        <w:rPr>
          <w:rFonts w:ascii="Times New Roman" w:hAnsi="Times New Roman" w:cs="Times New Roman"/>
          <w:sz w:val="20"/>
          <w:szCs w:val="20"/>
        </w:rPr>
        <w:t>,</w:t>
      </w:r>
      <w:r w:rsidR="003C7D32" w:rsidRPr="006D0C49">
        <w:rPr>
          <w:rFonts w:ascii="Times New Roman" w:hAnsi="Times New Roman" w:cs="Times New Roman"/>
          <w:sz w:val="20"/>
          <w:szCs w:val="20"/>
        </w:rPr>
        <w:t xml:space="preserve"> 119</w:t>
      </w:r>
      <w:r>
        <w:rPr>
          <w:rFonts w:ascii="Times New Roman" w:hAnsi="Times New Roman" w:cs="Times New Roman"/>
          <w:sz w:val="20"/>
          <w:szCs w:val="20"/>
        </w:rPr>
        <w:t>,</w:t>
      </w:r>
      <w:r w:rsidR="000A39EA" w:rsidRPr="006D0C49">
        <w:rPr>
          <w:rFonts w:ascii="Times New Roman" w:hAnsi="Times New Roman" w:cs="Times New Roman"/>
          <w:sz w:val="20"/>
          <w:szCs w:val="20"/>
        </w:rPr>
        <w:t xml:space="preserve"> 9-21.</w:t>
      </w:r>
    </w:p>
    <w:p w14:paraId="15762825" w14:textId="53290793" w:rsidR="00237322" w:rsidRPr="006D0C49" w:rsidRDefault="006D0C49" w:rsidP="0001004B">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Herman </w:t>
      </w:r>
      <w:r w:rsidR="00237322" w:rsidRPr="006D0C49">
        <w:rPr>
          <w:rFonts w:ascii="Times New Roman" w:hAnsi="Times New Roman" w:cs="Times New Roman"/>
          <w:sz w:val="20"/>
          <w:szCs w:val="20"/>
        </w:rPr>
        <w:t xml:space="preserve">G. et </w:t>
      </w:r>
      <w:proofErr w:type="spellStart"/>
      <w:r w:rsidRPr="006D0C49">
        <w:rPr>
          <w:rFonts w:ascii="Times New Roman" w:hAnsi="Times New Roman" w:cs="Times New Roman"/>
          <w:sz w:val="20"/>
          <w:szCs w:val="20"/>
        </w:rPr>
        <w:t>Liénard</w:t>
      </w:r>
      <w:proofErr w:type="spellEnd"/>
      <w:r w:rsidRPr="006D0C49">
        <w:rPr>
          <w:rFonts w:ascii="Times New Roman" w:hAnsi="Times New Roman" w:cs="Times New Roman"/>
          <w:sz w:val="20"/>
          <w:szCs w:val="20"/>
        </w:rPr>
        <w:t xml:space="preserve"> </w:t>
      </w:r>
      <w:r w:rsidR="000B27E1">
        <w:rPr>
          <w:rFonts w:ascii="Times New Roman" w:hAnsi="Times New Roman" w:cs="Times New Roman"/>
          <w:sz w:val="20"/>
          <w:szCs w:val="20"/>
        </w:rPr>
        <w:t>G. (2007).</w:t>
      </w:r>
      <w:r w:rsidR="00237322" w:rsidRPr="006D0C49">
        <w:rPr>
          <w:rFonts w:ascii="Times New Roman" w:hAnsi="Times New Roman" w:cs="Times New Roman"/>
          <w:sz w:val="20"/>
          <w:szCs w:val="20"/>
        </w:rPr>
        <w:t xml:space="preserve"> « Vers quelles politiques en matière d’insertion sociale et professionnelle ? » in </w:t>
      </w:r>
      <w:r w:rsidRPr="006D0C49">
        <w:rPr>
          <w:rFonts w:ascii="Times New Roman" w:hAnsi="Times New Roman" w:cs="Times New Roman"/>
          <w:sz w:val="20"/>
          <w:szCs w:val="20"/>
        </w:rPr>
        <w:t xml:space="preserve">Herman </w:t>
      </w:r>
      <w:r w:rsidR="000B27E1">
        <w:rPr>
          <w:rFonts w:ascii="Times New Roman" w:hAnsi="Times New Roman" w:cs="Times New Roman"/>
          <w:sz w:val="20"/>
          <w:szCs w:val="20"/>
        </w:rPr>
        <w:t>G. (s/d).</w:t>
      </w:r>
      <w:r w:rsidR="00237322" w:rsidRPr="006D0C49">
        <w:rPr>
          <w:rFonts w:ascii="Times New Roman" w:hAnsi="Times New Roman" w:cs="Times New Roman"/>
          <w:sz w:val="20"/>
          <w:szCs w:val="20"/>
        </w:rPr>
        <w:t xml:space="preserve"> </w:t>
      </w:r>
      <w:r w:rsidR="00237322" w:rsidRPr="006D0C49">
        <w:rPr>
          <w:rFonts w:ascii="Times New Roman" w:hAnsi="Times New Roman" w:cs="Times New Roman"/>
          <w:i/>
          <w:sz w:val="20"/>
          <w:szCs w:val="20"/>
        </w:rPr>
        <w:t xml:space="preserve">Travail, chômage et stigmatisation. Une analyse psychosociale. </w:t>
      </w:r>
      <w:r w:rsidR="00237322" w:rsidRPr="006D0C49">
        <w:rPr>
          <w:rFonts w:ascii="Times New Roman" w:hAnsi="Times New Roman" w:cs="Times New Roman"/>
          <w:sz w:val="20"/>
          <w:szCs w:val="20"/>
        </w:rPr>
        <w:t>Bruxelles, De Boeck Université.</w:t>
      </w:r>
    </w:p>
    <w:p w14:paraId="15E1598F" w14:textId="7F8B5688" w:rsidR="00237322" w:rsidRPr="006D0C49" w:rsidRDefault="006D0C49" w:rsidP="00A874C4">
      <w:pPr>
        <w:spacing w:before="120" w:after="120" w:line="240" w:lineRule="auto"/>
        <w:jc w:val="both"/>
        <w:rPr>
          <w:rFonts w:ascii="Times New Roman" w:hAnsi="Times New Roman" w:cs="Times New Roman"/>
          <w:sz w:val="20"/>
          <w:szCs w:val="20"/>
        </w:rPr>
      </w:pPr>
      <w:proofErr w:type="spellStart"/>
      <w:r w:rsidRPr="006D0C49">
        <w:rPr>
          <w:rFonts w:ascii="Times New Roman" w:hAnsi="Times New Roman" w:cs="Times New Roman"/>
          <w:sz w:val="20"/>
          <w:szCs w:val="20"/>
        </w:rPr>
        <w:t>Liénard</w:t>
      </w:r>
      <w:proofErr w:type="spellEnd"/>
      <w:r w:rsidRPr="006D0C49">
        <w:rPr>
          <w:rFonts w:ascii="Times New Roman" w:hAnsi="Times New Roman" w:cs="Times New Roman"/>
          <w:sz w:val="20"/>
          <w:szCs w:val="20"/>
        </w:rPr>
        <w:t xml:space="preserve"> </w:t>
      </w:r>
      <w:r w:rsidR="000B27E1">
        <w:rPr>
          <w:rFonts w:ascii="Times New Roman" w:hAnsi="Times New Roman" w:cs="Times New Roman"/>
          <w:sz w:val="20"/>
          <w:szCs w:val="20"/>
        </w:rPr>
        <w:t>G. (2007).</w:t>
      </w:r>
      <w:r w:rsidR="00237322" w:rsidRPr="006D0C49">
        <w:rPr>
          <w:rFonts w:ascii="Times New Roman" w:hAnsi="Times New Roman" w:cs="Times New Roman"/>
          <w:sz w:val="20"/>
          <w:szCs w:val="20"/>
        </w:rPr>
        <w:t xml:space="preserve"> « Crise sociale et responsabilisation des groupes précaires : analyse sociologique »</w:t>
      </w:r>
      <w:r w:rsidR="003330A6" w:rsidRPr="006D0C49">
        <w:rPr>
          <w:rFonts w:ascii="Times New Roman" w:hAnsi="Times New Roman" w:cs="Times New Roman"/>
          <w:sz w:val="20"/>
          <w:szCs w:val="20"/>
        </w:rPr>
        <w:t>,</w:t>
      </w:r>
      <w:r w:rsidR="00237322" w:rsidRPr="006D0C49">
        <w:rPr>
          <w:rFonts w:ascii="Times New Roman" w:hAnsi="Times New Roman" w:cs="Times New Roman"/>
          <w:sz w:val="20"/>
          <w:szCs w:val="20"/>
        </w:rPr>
        <w:t xml:space="preserve"> in </w:t>
      </w:r>
      <w:r w:rsidRPr="006D0C49">
        <w:rPr>
          <w:rFonts w:ascii="Times New Roman" w:hAnsi="Times New Roman" w:cs="Times New Roman"/>
          <w:sz w:val="20"/>
          <w:szCs w:val="20"/>
        </w:rPr>
        <w:t xml:space="preserve">Herman </w:t>
      </w:r>
      <w:r w:rsidR="000B27E1">
        <w:rPr>
          <w:rFonts w:ascii="Times New Roman" w:hAnsi="Times New Roman" w:cs="Times New Roman"/>
          <w:sz w:val="20"/>
          <w:szCs w:val="20"/>
        </w:rPr>
        <w:t>G. (s/d).</w:t>
      </w:r>
      <w:r w:rsidR="00237322" w:rsidRPr="006D0C49">
        <w:rPr>
          <w:rFonts w:ascii="Times New Roman" w:hAnsi="Times New Roman" w:cs="Times New Roman"/>
          <w:sz w:val="20"/>
          <w:szCs w:val="20"/>
        </w:rPr>
        <w:t xml:space="preserve"> </w:t>
      </w:r>
      <w:r w:rsidR="00237322" w:rsidRPr="006D0C49">
        <w:rPr>
          <w:rFonts w:ascii="Times New Roman" w:hAnsi="Times New Roman" w:cs="Times New Roman"/>
          <w:i/>
          <w:sz w:val="20"/>
          <w:szCs w:val="20"/>
        </w:rPr>
        <w:t xml:space="preserve">Travail, chômage et stigmatisation. Une analyse psychosociale. </w:t>
      </w:r>
      <w:r w:rsidR="00237322" w:rsidRPr="006D0C49">
        <w:rPr>
          <w:rFonts w:ascii="Times New Roman" w:hAnsi="Times New Roman" w:cs="Times New Roman"/>
          <w:sz w:val="20"/>
          <w:szCs w:val="20"/>
        </w:rPr>
        <w:t>Bruxelles, De Boeck Université.</w:t>
      </w:r>
    </w:p>
    <w:p w14:paraId="1FF451EE" w14:textId="65D0A658" w:rsidR="00A874C4" w:rsidRPr="006D0C49" w:rsidRDefault="006D0C49" w:rsidP="00A874C4">
      <w:pPr>
        <w:pStyle w:val="PrformatHTML"/>
        <w:spacing w:before="120"/>
        <w:jc w:val="both"/>
        <w:rPr>
          <w:rFonts w:ascii="Times New Roman" w:hAnsi="Times New Roman"/>
          <w:lang w:val="fr-BE"/>
        </w:rPr>
      </w:pPr>
      <w:r w:rsidRPr="006D0C49">
        <w:rPr>
          <w:rFonts w:ascii="Times New Roman" w:hAnsi="Times New Roman"/>
          <w:lang w:val="fr-BE"/>
        </w:rPr>
        <w:t xml:space="preserve">Gazier </w:t>
      </w:r>
      <w:r w:rsidR="00A874C4" w:rsidRPr="006D0C49">
        <w:rPr>
          <w:rFonts w:ascii="Times New Roman" w:hAnsi="Times New Roman"/>
          <w:lang w:val="fr-BE"/>
        </w:rPr>
        <w:t>B. (2009)</w:t>
      </w:r>
      <w:r w:rsidR="000B27E1">
        <w:rPr>
          <w:rFonts w:ascii="Times New Roman" w:hAnsi="Times New Roman"/>
          <w:lang w:val="fr-BE"/>
        </w:rPr>
        <w:t>.</w:t>
      </w:r>
      <w:r w:rsidR="00A874C4" w:rsidRPr="006D0C49">
        <w:rPr>
          <w:rFonts w:ascii="Times New Roman" w:hAnsi="Times New Roman"/>
          <w:lang w:val="fr-BE"/>
        </w:rPr>
        <w:t xml:space="preserve"> </w:t>
      </w:r>
      <w:r w:rsidR="00A874C4" w:rsidRPr="006D0C49">
        <w:rPr>
          <w:rFonts w:ascii="Times New Roman" w:hAnsi="Times New Roman"/>
          <w:i/>
          <w:lang w:val="fr-BE"/>
        </w:rPr>
        <w:t>Vers un nouveau modèle social</w:t>
      </w:r>
      <w:r w:rsidR="00A874C4" w:rsidRPr="006D0C49">
        <w:rPr>
          <w:rFonts w:ascii="Times New Roman" w:hAnsi="Times New Roman"/>
          <w:lang w:val="fr-BE"/>
        </w:rPr>
        <w:t>. Paris, Flammarion.</w:t>
      </w:r>
    </w:p>
    <w:p w14:paraId="0135899C" w14:textId="2D696FFE" w:rsidR="00237322" w:rsidRPr="006D0C49" w:rsidRDefault="006D0C49" w:rsidP="0001004B">
      <w:pPr>
        <w:spacing w:after="120" w:line="240" w:lineRule="auto"/>
        <w:jc w:val="both"/>
        <w:rPr>
          <w:rFonts w:ascii="Times New Roman" w:hAnsi="Times New Roman" w:cs="Times New Roman"/>
          <w:sz w:val="20"/>
          <w:szCs w:val="20"/>
        </w:rPr>
      </w:pPr>
      <w:proofErr w:type="spellStart"/>
      <w:r w:rsidRPr="006D0C49">
        <w:rPr>
          <w:rFonts w:ascii="Times New Roman" w:hAnsi="Times New Roman" w:cs="Times New Roman"/>
          <w:sz w:val="20"/>
          <w:szCs w:val="20"/>
        </w:rPr>
        <w:t>Loriaux</w:t>
      </w:r>
      <w:proofErr w:type="spellEnd"/>
      <w:r w:rsidRPr="006D0C49">
        <w:rPr>
          <w:rFonts w:ascii="Times New Roman" w:hAnsi="Times New Roman" w:cs="Times New Roman"/>
          <w:sz w:val="20"/>
          <w:szCs w:val="20"/>
        </w:rPr>
        <w:t xml:space="preserve"> </w:t>
      </w:r>
      <w:r w:rsidR="000B27E1">
        <w:rPr>
          <w:rFonts w:ascii="Times New Roman" w:hAnsi="Times New Roman" w:cs="Times New Roman"/>
          <w:sz w:val="20"/>
          <w:szCs w:val="20"/>
        </w:rPr>
        <w:t>F. (2015).</w:t>
      </w:r>
      <w:r w:rsidR="00237322" w:rsidRPr="006D0C49">
        <w:rPr>
          <w:rFonts w:ascii="Times New Roman" w:hAnsi="Times New Roman" w:cs="Times New Roman"/>
          <w:sz w:val="20"/>
          <w:szCs w:val="20"/>
        </w:rPr>
        <w:t xml:space="preserve"> </w:t>
      </w:r>
      <w:r w:rsidR="00237322" w:rsidRPr="006D0C49">
        <w:rPr>
          <w:rFonts w:ascii="Times New Roman" w:hAnsi="Times New Roman" w:cs="Times New Roman"/>
          <w:i/>
          <w:sz w:val="20"/>
          <w:szCs w:val="20"/>
        </w:rPr>
        <w:t>Le chômeur suspect. Histoire d’une stigmatisation</w:t>
      </w:r>
      <w:r w:rsidR="000B27E1">
        <w:rPr>
          <w:rFonts w:ascii="Times New Roman" w:hAnsi="Times New Roman" w:cs="Times New Roman"/>
          <w:sz w:val="20"/>
          <w:szCs w:val="20"/>
        </w:rPr>
        <w:t>.</w:t>
      </w:r>
      <w:r w:rsidR="00237322" w:rsidRPr="006D0C49">
        <w:rPr>
          <w:rFonts w:ascii="Times New Roman" w:hAnsi="Times New Roman" w:cs="Times New Roman"/>
          <w:sz w:val="20"/>
          <w:szCs w:val="20"/>
        </w:rPr>
        <w:t xml:space="preserve"> Bruxelles, CARHOP-CRISP.</w:t>
      </w:r>
    </w:p>
    <w:p w14:paraId="0F2DF16F" w14:textId="287247F9" w:rsidR="0031520A" w:rsidRPr="006D0C49" w:rsidRDefault="006D0C49" w:rsidP="0001004B">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Orianne </w:t>
      </w:r>
      <w:r w:rsidR="000B27E1">
        <w:rPr>
          <w:rFonts w:ascii="Times New Roman" w:hAnsi="Times New Roman" w:cs="Times New Roman"/>
          <w:sz w:val="20"/>
          <w:szCs w:val="20"/>
        </w:rPr>
        <w:t xml:space="preserve">J.-F. (2005). </w:t>
      </w:r>
      <w:r w:rsidR="0031520A" w:rsidRPr="000B27E1">
        <w:rPr>
          <w:rFonts w:ascii="Times New Roman" w:hAnsi="Times New Roman" w:cs="Times New Roman"/>
          <w:i/>
          <w:sz w:val="20"/>
          <w:szCs w:val="20"/>
        </w:rPr>
        <w:t xml:space="preserve">Le </w:t>
      </w:r>
      <w:r w:rsidR="000B27E1" w:rsidRPr="000B27E1">
        <w:rPr>
          <w:rFonts w:ascii="Times New Roman" w:hAnsi="Times New Roman" w:cs="Times New Roman"/>
          <w:i/>
          <w:sz w:val="20"/>
          <w:szCs w:val="20"/>
        </w:rPr>
        <w:t>traitement clinique du chômage</w:t>
      </w:r>
      <w:r w:rsidR="000B27E1">
        <w:rPr>
          <w:rFonts w:ascii="Times New Roman" w:hAnsi="Times New Roman" w:cs="Times New Roman"/>
          <w:sz w:val="20"/>
          <w:szCs w:val="20"/>
        </w:rPr>
        <w:t xml:space="preserve">. Thèse de doctorat, </w:t>
      </w:r>
      <w:r w:rsidR="0031520A" w:rsidRPr="006D0C49">
        <w:rPr>
          <w:rFonts w:ascii="Times New Roman" w:hAnsi="Times New Roman" w:cs="Times New Roman"/>
          <w:sz w:val="20"/>
          <w:szCs w:val="20"/>
        </w:rPr>
        <w:t>Université Catholique de Louvain, Belgique.</w:t>
      </w:r>
    </w:p>
    <w:p w14:paraId="7E54C31A" w14:textId="6909A557" w:rsidR="00237322" w:rsidRPr="006D0C49" w:rsidRDefault="006D0C49" w:rsidP="0001004B">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Orianne </w:t>
      </w:r>
      <w:r w:rsidR="00237322" w:rsidRPr="006D0C49">
        <w:rPr>
          <w:rFonts w:ascii="Times New Roman" w:hAnsi="Times New Roman" w:cs="Times New Roman"/>
          <w:sz w:val="20"/>
          <w:szCs w:val="20"/>
        </w:rPr>
        <w:t xml:space="preserve">J.-F et </w:t>
      </w:r>
      <w:r w:rsidRPr="006D0C49">
        <w:rPr>
          <w:rFonts w:ascii="Times New Roman" w:hAnsi="Times New Roman" w:cs="Times New Roman"/>
          <w:sz w:val="20"/>
          <w:szCs w:val="20"/>
        </w:rPr>
        <w:t xml:space="preserve">Conter </w:t>
      </w:r>
      <w:r w:rsidR="000B27E1">
        <w:rPr>
          <w:rFonts w:ascii="Times New Roman" w:hAnsi="Times New Roman" w:cs="Times New Roman"/>
          <w:sz w:val="20"/>
          <w:szCs w:val="20"/>
        </w:rPr>
        <w:t>B. (2007).</w:t>
      </w:r>
      <w:r w:rsidR="00237322" w:rsidRPr="006D0C49">
        <w:rPr>
          <w:rFonts w:ascii="Times New Roman" w:hAnsi="Times New Roman" w:cs="Times New Roman"/>
          <w:sz w:val="20"/>
          <w:szCs w:val="20"/>
        </w:rPr>
        <w:t xml:space="preserve"> « Les politiques d'employabilité en Belgique : traitement clinique des chômeurs et trai</w:t>
      </w:r>
      <w:r w:rsidR="003330A6" w:rsidRPr="006D0C49">
        <w:rPr>
          <w:rFonts w:ascii="Times New Roman" w:hAnsi="Times New Roman" w:cs="Times New Roman"/>
          <w:sz w:val="20"/>
          <w:szCs w:val="20"/>
        </w:rPr>
        <w:t>tement statistique du chômage »,</w:t>
      </w:r>
      <w:r w:rsidR="00237322" w:rsidRPr="006D0C49">
        <w:rPr>
          <w:rFonts w:ascii="Times New Roman" w:hAnsi="Times New Roman" w:cs="Times New Roman"/>
          <w:sz w:val="20"/>
          <w:szCs w:val="20"/>
        </w:rPr>
        <w:t xml:space="preserve"> </w:t>
      </w:r>
      <w:r w:rsidR="00237322" w:rsidRPr="006D0C49">
        <w:rPr>
          <w:rFonts w:ascii="Times New Roman" w:hAnsi="Times New Roman" w:cs="Times New Roman"/>
          <w:i/>
          <w:sz w:val="20"/>
          <w:szCs w:val="20"/>
        </w:rPr>
        <w:t>Recherches Sociologiques et Anthropologiques</w:t>
      </w:r>
      <w:r w:rsidR="000B27E1">
        <w:rPr>
          <w:rFonts w:ascii="Times New Roman" w:hAnsi="Times New Roman" w:cs="Times New Roman"/>
          <w:sz w:val="20"/>
          <w:szCs w:val="20"/>
        </w:rPr>
        <w:t>,</w:t>
      </w:r>
      <w:r w:rsidR="00237322" w:rsidRPr="006D0C49">
        <w:rPr>
          <w:rFonts w:ascii="Times New Roman" w:hAnsi="Times New Roman" w:cs="Times New Roman"/>
          <w:sz w:val="20"/>
          <w:szCs w:val="20"/>
        </w:rPr>
        <w:t xml:space="preserve"> 38</w:t>
      </w:r>
      <w:r>
        <w:rPr>
          <w:rFonts w:ascii="Times New Roman" w:hAnsi="Times New Roman" w:cs="Times New Roman"/>
          <w:sz w:val="20"/>
          <w:szCs w:val="20"/>
        </w:rPr>
        <w:t>,</w:t>
      </w:r>
      <w:r w:rsidR="00237322" w:rsidRPr="006D0C49">
        <w:rPr>
          <w:rFonts w:ascii="Times New Roman" w:hAnsi="Times New Roman" w:cs="Times New Roman"/>
          <w:sz w:val="20"/>
          <w:szCs w:val="20"/>
        </w:rPr>
        <w:t xml:space="preserve"> </w:t>
      </w:r>
      <w:r>
        <w:rPr>
          <w:rFonts w:ascii="Times New Roman" w:hAnsi="Times New Roman" w:cs="Times New Roman"/>
          <w:sz w:val="20"/>
          <w:szCs w:val="20"/>
        </w:rPr>
        <w:t>2,</w:t>
      </w:r>
      <w:r w:rsidR="00237322" w:rsidRPr="006D0C49">
        <w:rPr>
          <w:rFonts w:ascii="Times New Roman" w:hAnsi="Times New Roman" w:cs="Times New Roman"/>
          <w:sz w:val="20"/>
          <w:szCs w:val="20"/>
        </w:rPr>
        <w:t xml:space="preserve"> 175-190.</w:t>
      </w:r>
    </w:p>
    <w:p w14:paraId="30D9DFF0" w14:textId="16CD3AD9" w:rsidR="00673F37" w:rsidRPr="006D0C49" w:rsidRDefault="006D0C49" w:rsidP="00C66536">
      <w:pPr>
        <w:autoSpaceDE w:val="0"/>
        <w:autoSpaceDN w:val="0"/>
        <w:adjustRightInd w:val="0"/>
        <w:spacing w:after="120" w:line="240" w:lineRule="auto"/>
        <w:jc w:val="both"/>
        <w:rPr>
          <w:rFonts w:ascii="Times New Roman" w:hAnsi="Times New Roman" w:cs="Times New Roman"/>
          <w:sz w:val="20"/>
          <w:szCs w:val="20"/>
        </w:rPr>
      </w:pPr>
      <w:proofErr w:type="spellStart"/>
      <w:r w:rsidRPr="006D0C49">
        <w:rPr>
          <w:rFonts w:ascii="Times New Roman" w:hAnsi="Times New Roman" w:cs="Times New Roman"/>
          <w:sz w:val="20"/>
          <w:szCs w:val="20"/>
        </w:rPr>
        <w:t>Paugam</w:t>
      </w:r>
      <w:proofErr w:type="spellEnd"/>
      <w:r w:rsidRPr="006D0C49">
        <w:rPr>
          <w:rFonts w:ascii="Times New Roman" w:hAnsi="Times New Roman" w:cs="Times New Roman"/>
          <w:sz w:val="20"/>
          <w:szCs w:val="20"/>
        </w:rPr>
        <w:t xml:space="preserve"> </w:t>
      </w:r>
      <w:r w:rsidR="000B27E1">
        <w:rPr>
          <w:rFonts w:ascii="Times New Roman" w:hAnsi="Times New Roman" w:cs="Times New Roman"/>
          <w:sz w:val="20"/>
          <w:szCs w:val="20"/>
        </w:rPr>
        <w:t>S. (2009).</w:t>
      </w:r>
      <w:r w:rsidR="00EE093D" w:rsidRPr="006D0C49">
        <w:rPr>
          <w:rFonts w:ascii="Times New Roman" w:hAnsi="Times New Roman" w:cs="Times New Roman"/>
          <w:sz w:val="20"/>
          <w:szCs w:val="20"/>
        </w:rPr>
        <w:t xml:space="preserve"> </w:t>
      </w:r>
      <w:r w:rsidR="00EE093D" w:rsidRPr="006D0C49">
        <w:rPr>
          <w:rFonts w:ascii="Times New Roman" w:hAnsi="Times New Roman" w:cs="Times New Roman"/>
          <w:i/>
          <w:sz w:val="20"/>
          <w:szCs w:val="20"/>
        </w:rPr>
        <w:t>La disqualification sociale. Essai sur la nouvelle pauvreté</w:t>
      </w:r>
      <w:r w:rsidR="00EE093D" w:rsidRPr="006D0C49">
        <w:rPr>
          <w:rFonts w:ascii="Times New Roman" w:hAnsi="Times New Roman" w:cs="Times New Roman"/>
          <w:sz w:val="20"/>
          <w:szCs w:val="20"/>
        </w:rPr>
        <w:t>, Paris, PUF – Collection Quadrige.</w:t>
      </w:r>
    </w:p>
    <w:p w14:paraId="15A201C0" w14:textId="2ECE1C8A" w:rsidR="00237322" w:rsidRPr="006D0C49" w:rsidRDefault="006D0C49" w:rsidP="0001004B">
      <w:pPr>
        <w:spacing w:after="120" w:line="240" w:lineRule="auto"/>
        <w:jc w:val="both"/>
        <w:rPr>
          <w:rFonts w:ascii="Times New Roman" w:hAnsi="Times New Roman" w:cs="Times New Roman"/>
          <w:sz w:val="20"/>
          <w:szCs w:val="20"/>
        </w:rPr>
      </w:pPr>
      <w:proofErr w:type="spellStart"/>
      <w:r w:rsidRPr="006D0C49">
        <w:rPr>
          <w:rFonts w:ascii="Times New Roman" w:hAnsi="Times New Roman" w:cs="Times New Roman"/>
          <w:sz w:val="20"/>
          <w:szCs w:val="20"/>
        </w:rPr>
        <w:t>Thoenig</w:t>
      </w:r>
      <w:proofErr w:type="spellEnd"/>
      <w:r w:rsidRPr="006D0C49">
        <w:rPr>
          <w:rFonts w:ascii="Times New Roman" w:hAnsi="Times New Roman" w:cs="Times New Roman"/>
          <w:sz w:val="20"/>
          <w:szCs w:val="20"/>
        </w:rPr>
        <w:t xml:space="preserve"> </w:t>
      </w:r>
      <w:r w:rsidR="00E70DEE" w:rsidRPr="006D0C49">
        <w:rPr>
          <w:rFonts w:ascii="Times New Roman" w:hAnsi="Times New Roman" w:cs="Times New Roman"/>
          <w:sz w:val="20"/>
          <w:szCs w:val="20"/>
        </w:rPr>
        <w:t>J.C. (1998)</w:t>
      </w:r>
      <w:r w:rsidR="000B27E1">
        <w:rPr>
          <w:rFonts w:ascii="Times New Roman" w:hAnsi="Times New Roman" w:cs="Times New Roman"/>
          <w:sz w:val="20"/>
          <w:szCs w:val="20"/>
        </w:rPr>
        <w:t>.</w:t>
      </w:r>
      <w:r w:rsidR="00237322" w:rsidRPr="006D0C49">
        <w:rPr>
          <w:rFonts w:ascii="Times New Roman" w:hAnsi="Times New Roman" w:cs="Times New Roman"/>
          <w:sz w:val="20"/>
          <w:szCs w:val="20"/>
        </w:rPr>
        <w:t xml:space="preserve"> « Politiques publiques et action publique »</w:t>
      </w:r>
      <w:r w:rsidR="003330A6" w:rsidRPr="006D0C49">
        <w:rPr>
          <w:rFonts w:ascii="Times New Roman" w:hAnsi="Times New Roman" w:cs="Times New Roman"/>
          <w:sz w:val="20"/>
          <w:szCs w:val="20"/>
        </w:rPr>
        <w:t>,</w:t>
      </w:r>
      <w:r w:rsidR="00237322" w:rsidRPr="006D0C49">
        <w:rPr>
          <w:rFonts w:ascii="Times New Roman" w:hAnsi="Times New Roman" w:cs="Times New Roman"/>
          <w:sz w:val="20"/>
          <w:szCs w:val="20"/>
        </w:rPr>
        <w:t xml:space="preserve"> </w:t>
      </w:r>
      <w:r w:rsidR="00237322" w:rsidRPr="006D0C49">
        <w:rPr>
          <w:rFonts w:ascii="Times New Roman" w:hAnsi="Times New Roman" w:cs="Times New Roman"/>
          <w:i/>
          <w:sz w:val="20"/>
          <w:szCs w:val="20"/>
        </w:rPr>
        <w:t>Revue Internationale de Politique Comparée</w:t>
      </w:r>
      <w:r>
        <w:rPr>
          <w:rFonts w:ascii="Times New Roman" w:hAnsi="Times New Roman" w:cs="Times New Roman"/>
          <w:sz w:val="20"/>
          <w:szCs w:val="20"/>
        </w:rPr>
        <w:t>,</w:t>
      </w:r>
      <w:r w:rsidR="00237322" w:rsidRPr="006D0C49">
        <w:rPr>
          <w:rFonts w:ascii="Times New Roman" w:hAnsi="Times New Roman" w:cs="Times New Roman"/>
          <w:sz w:val="20"/>
          <w:szCs w:val="20"/>
        </w:rPr>
        <w:t xml:space="preserve"> 5</w:t>
      </w:r>
      <w:r>
        <w:rPr>
          <w:rFonts w:ascii="Times New Roman" w:hAnsi="Times New Roman" w:cs="Times New Roman"/>
          <w:sz w:val="20"/>
          <w:szCs w:val="20"/>
        </w:rPr>
        <w:t>,</w:t>
      </w:r>
      <w:r w:rsidR="00237322" w:rsidRPr="006D0C49">
        <w:rPr>
          <w:rFonts w:ascii="Times New Roman" w:hAnsi="Times New Roman" w:cs="Times New Roman"/>
          <w:sz w:val="20"/>
          <w:szCs w:val="20"/>
        </w:rPr>
        <w:t xml:space="preserve"> 2</w:t>
      </w:r>
      <w:r>
        <w:rPr>
          <w:rFonts w:ascii="Times New Roman" w:hAnsi="Times New Roman" w:cs="Times New Roman"/>
          <w:sz w:val="20"/>
          <w:szCs w:val="20"/>
        </w:rPr>
        <w:t>,</w:t>
      </w:r>
      <w:r w:rsidR="00237322" w:rsidRPr="006D0C49">
        <w:rPr>
          <w:rFonts w:ascii="Times New Roman" w:hAnsi="Times New Roman" w:cs="Times New Roman"/>
          <w:sz w:val="20"/>
          <w:szCs w:val="20"/>
        </w:rPr>
        <w:t xml:space="preserve"> 295-314.</w:t>
      </w:r>
    </w:p>
    <w:p w14:paraId="530C1A04" w14:textId="4FFAE491" w:rsidR="002C3AC5" w:rsidRPr="006D0C49" w:rsidRDefault="006D0C49" w:rsidP="0001004B">
      <w:pPr>
        <w:spacing w:after="120" w:line="240" w:lineRule="auto"/>
        <w:jc w:val="both"/>
        <w:rPr>
          <w:rFonts w:ascii="Times New Roman" w:hAnsi="Times New Roman" w:cs="Times New Roman"/>
          <w:sz w:val="20"/>
          <w:szCs w:val="20"/>
        </w:rPr>
      </w:pPr>
      <w:r w:rsidRPr="006D0C49">
        <w:rPr>
          <w:rFonts w:ascii="Times New Roman" w:hAnsi="Times New Roman" w:cs="Times New Roman"/>
          <w:sz w:val="20"/>
          <w:szCs w:val="20"/>
        </w:rPr>
        <w:t xml:space="preserve">Vielle </w:t>
      </w:r>
      <w:r w:rsidR="000B27E1">
        <w:rPr>
          <w:rFonts w:ascii="Times New Roman" w:hAnsi="Times New Roman" w:cs="Times New Roman"/>
          <w:sz w:val="20"/>
          <w:szCs w:val="20"/>
        </w:rPr>
        <w:t>P.</w:t>
      </w:r>
      <w:r w:rsidR="005203E6">
        <w:rPr>
          <w:rFonts w:ascii="Times New Roman" w:hAnsi="Times New Roman" w:cs="Times New Roman"/>
          <w:sz w:val="20"/>
          <w:szCs w:val="20"/>
        </w:rPr>
        <w:t>,</w:t>
      </w:r>
      <w:r w:rsidR="002C3AC5" w:rsidRPr="006D0C49">
        <w:rPr>
          <w:rFonts w:ascii="Times New Roman" w:hAnsi="Times New Roman" w:cs="Times New Roman"/>
          <w:sz w:val="20"/>
          <w:szCs w:val="20"/>
        </w:rPr>
        <w:t xml:space="preserve"> </w:t>
      </w:r>
      <w:r w:rsidRPr="006D0C49">
        <w:rPr>
          <w:rFonts w:ascii="Times New Roman" w:hAnsi="Times New Roman" w:cs="Times New Roman"/>
          <w:sz w:val="20"/>
          <w:szCs w:val="20"/>
        </w:rPr>
        <w:t xml:space="preserve">Cassiers </w:t>
      </w:r>
      <w:r w:rsidR="002C3AC5" w:rsidRPr="006D0C49">
        <w:rPr>
          <w:rFonts w:ascii="Times New Roman" w:hAnsi="Times New Roman" w:cs="Times New Roman"/>
          <w:sz w:val="20"/>
          <w:szCs w:val="20"/>
        </w:rPr>
        <w:t xml:space="preserve">I. et </w:t>
      </w:r>
      <w:proofErr w:type="spellStart"/>
      <w:r w:rsidRPr="006D0C49">
        <w:rPr>
          <w:rFonts w:ascii="Times New Roman" w:hAnsi="Times New Roman" w:cs="Times New Roman"/>
          <w:sz w:val="20"/>
          <w:szCs w:val="20"/>
        </w:rPr>
        <w:t>Pochet</w:t>
      </w:r>
      <w:proofErr w:type="spellEnd"/>
      <w:r w:rsidRPr="006D0C49">
        <w:rPr>
          <w:rFonts w:ascii="Times New Roman" w:hAnsi="Times New Roman" w:cs="Times New Roman"/>
          <w:sz w:val="20"/>
          <w:szCs w:val="20"/>
        </w:rPr>
        <w:t xml:space="preserve"> </w:t>
      </w:r>
      <w:r w:rsidR="000B27E1">
        <w:rPr>
          <w:rFonts w:ascii="Times New Roman" w:hAnsi="Times New Roman" w:cs="Times New Roman"/>
          <w:sz w:val="20"/>
          <w:szCs w:val="20"/>
        </w:rPr>
        <w:t>P.</w:t>
      </w:r>
      <w:r w:rsidR="002C3AC5" w:rsidRPr="006D0C49">
        <w:rPr>
          <w:rFonts w:ascii="Times New Roman" w:hAnsi="Times New Roman" w:cs="Times New Roman"/>
          <w:sz w:val="20"/>
          <w:szCs w:val="20"/>
        </w:rPr>
        <w:t xml:space="preserve"> (2005)</w:t>
      </w:r>
      <w:r w:rsidR="000B27E1">
        <w:rPr>
          <w:rFonts w:ascii="Times New Roman" w:hAnsi="Times New Roman" w:cs="Times New Roman"/>
          <w:sz w:val="20"/>
          <w:szCs w:val="20"/>
        </w:rPr>
        <w:t>.</w:t>
      </w:r>
      <w:r w:rsidR="002C3AC5" w:rsidRPr="006D0C49">
        <w:rPr>
          <w:rFonts w:ascii="Times New Roman" w:hAnsi="Times New Roman" w:cs="Times New Roman"/>
          <w:sz w:val="20"/>
          <w:szCs w:val="20"/>
        </w:rPr>
        <w:t xml:space="preserve"> </w:t>
      </w:r>
      <w:r w:rsidR="002C3AC5" w:rsidRPr="006D0C49">
        <w:rPr>
          <w:rFonts w:ascii="Times New Roman" w:hAnsi="Times New Roman" w:cs="Times New Roman"/>
          <w:i/>
          <w:sz w:val="20"/>
          <w:szCs w:val="20"/>
        </w:rPr>
        <w:t>L’Etat social actif : vers un changement de paradigme ?</w:t>
      </w:r>
      <w:r w:rsidR="002C3AC5" w:rsidRPr="006D0C49">
        <w:rPr>
          <w:rFonts w:ascii="Times New Roman" w:hAnsi="Times New Roman" w:cs="Times New Roman"/>
          <w:sz w:val="20"/>
          <w:szCs w:val="20"/>
        </w:rPr>
        <w:t xml:space="preserve"> Bruxelles, PIE-Peter-Lang. </w:t>
      </w:r>
    </w:p>
    <w:p w14:paraId="0329E092" w14:textId="7B117196" w:rsidR="00237322" w:rsidRPr="006D0C49" w:rsidRDefault="00237322" w:rsidP="0001004B">
      <w:pPr>
        <w:spacing w:after="120" w:line="240" w:lineRule="auto"/>
        <w:jc w:val="both"/>
        <w:rPr>
          <w:rFonts w:ascii="Times New Roman" w:hAnsi="Times New Roman" w:cs="Times New Roman"/>
          <w:sz w:val="20"/>
          <w:szCs w:val="20"/>
        </w:rPr>
      </w:pPr>
    </w:p>
    <w:sectPr w:rsidR="00237322" w:rsidRPr="006D0C49" w:rsidSect="00833C3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94F1" w14:textId="77777777" w:rsidR="00FC3B8A" w:rsidRDefault="00FC3B8A" w:rsidP="00F73CCD">
      <w:pPr>
        <w:spacing w:after="0" w:line="240" w:lineRule="auto"/>
      </w:pPr>
      <w:r>
        <w:separator/>
      </w:r>
    </w:p>
  </w:endnote>
  <w:endnote w:type="continuationSeparator" w:id="0">
    <w:p w14:paraId="5E4FD2BA" w14:textId="77777777" w:rsidR="00FC3B8A" w:rsidRDefault="00FC3B8A" w:rsidP="00F7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47522"/>
      <w:docPartObj>
        <w:docPartGallery w:val="Page Numbers (Bottom of Page)"/>
        <w:docPartUnique/>
      </w:docPartObj>
    </w:sdtPr>
    <w:sdtContent>
      <w:p w14:paraId="223E052D" w14:textId="0EB2FD3A" w:rsidR="0009314B" w:rsidRDefault="0009314B">
        <w:pPr>
          <w:pStyle w:val="Pieddepage"/>
          <w:jc w:val="center"/>
        </w:pPr>
        <w:r>
          <w:fldChar w:fldCharType="begin"/>
        </w:r>
        <w:r>
          <w:instrText>PAGE   \* MERGEFORMAT</w:instrText>
        </w:r>
        <w:r>
          <w:fldChar w:fldCharType="separate"/>
        </w:r>
        <w:r w:rsidR="00184788" w:rsidRPr="00184788">
          <w:rPr>
            <w:noProof/>
            <w:lang w:val="fr-FR"/>
          </w:rPr>
          <w:t>8</w:t>
        </w:r>
        <w:r>
          <w:fldChar w:fldCharType="end"/>
        </w:r>
      </w:p>
    </w:sdtContent>
  </w:sdt>
  <w:p w14:paraId="4910D417" w14:textId="77777777" w:rsidR="00934AD1" w:rsidRDefault="00934AD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8AC10" w14:textId="77777777" w:rsidR="00FC3B8A" w:rsidRDefault="00FC3B8A" w:rsidP="00F73CCD">
      <w:pPr>
        <w:spacing w:after="0" w:line="240" w:lineRule="auto"/>
      </w:pPr>
      <w:r>
        <w:separator/>
      </w:r>
    </w:p>
  </w:footnote>
  <w:footnote w:type="continuationSeparator" w:id="0">
    <w:p w14:paraId="0EE64D09" w14:textId="77777777" w:rsidR="00FC3B8A" w:rsidRDefault="00FC3B8A" w:rsidP="00F73CCD">
      <w:pPr>
        <w:spacing w:after="0" w:line="240" w:lineRule="auto"/>
      </w:pPr>
      <w:r>
        <w:continuationSeparator/>
      </w:r>
    </w:p>
  </w:footnote>
  <w:footnote w:id="1">
    <w:p w14:paraId="55C4DB7B" w14:textId="160ECFF1" w:rsidR="00934AD1" w:rsidRPr="00584861" w:rsidRDefault="00934AD1" w:rsidP="00E16D67">
      <w:pPr>
        <w:pStyle w:val="Notedebasdepage"/>
        <w:spacing w:after="120"/>
        <w:ind w:left="0" w:firstLine="0"/>
        <w:jc w:val="both"/>
      </w:pPr>
      <w:r>
        <w:rPr>
          <w:rStyle w:val="Appelnotedebasdep"/>
        </w:rPr>
        <w:footnoteRef/>
      </w:r>
      <w:r>
        <w:t>L</w:t>
      </w:r>
      <w:r w:rsidRPr="00584861">
        <w:t>’assurance-chômage est du ressort de l’</w:t>
      </w:r>
      <w:proofErr w:type="spellStart"/>
      <w:r w:rsidRPr="00584861">
        <w:t>ONEm</w:t>
      </w:r>
      <w:proofErr w:type="spellEnd"/>
      <w:r w:rsidRPr="00584861">
        <w:t xml:space="preserve"> (Office National de l’Emploi).</w:t>
      </w:r>
      <w:r>
        <w:t xml:space="preserve"> L’</w:t>
      </w:r>
      <w:proofErr w:type="spellStart"/>
      <w:r>
        <w:t>ONEm</w:t>
      </w:r>
      <w:proofErr w:type="spellEnd"/>
      <w:r>
        <w:t xml:space="preserve"> </w:t>
      </w:r>
      <w:r w:rsidRPr="00A75543">
        <w:t>est une institution publique de sécurité sociale qui gère le système d’assurance-chômage. Il est aussi compétent pour le système d’interruption de carrière et de crédit-temps.</w:t>
      </w:r>
    </w:p>
  </w:footnote>
  <w:footnote w:id="2">
    <w:p w14:paraId="355006E4" w14:textId="2A482DA4" w:rsidR="00934AD1" w:rsidRPr="00896FDD" w:rsidRDefault="00934AD1" w:rsidP="00896FDD">
      <w:pPr>
        <w:pStyle w:val="Notedebasdepage"/>
        <w:ind w:left="0" w:firstLine="1"/>
        <w:jc w:val="both"/>
        <w:rPr>
          <w:lang w:val="fr-BE"/>
        </w:rPr>
      </w:pPr>
      <w:r>
        <w:rPr>
          <w:rStyle w:val="Appelnotedebasdep"/>
        </w:rPr>
        <w:footnoteRef/>
      </w:r>
      <w:r>
        <w:t xml:space="preserve"> Actiris est une institution publique, en région bruxelloise, qui a pour missions de garantir un accompagnement de qualité à tous/toutes les chercheurs/</w:t>
      </w:r>
      <w:proofErr w:type="spellStart"/>
      <w:r>
        <w:t>euses</w:t>
      </w:r>
      <w:proofErr w:type="spellEnd"/>
      <w:r>
        <w:t xml:space="preserve"> d’emploi dans leur transition vers un emploi durable et de qualité ainsi que de fournir des solutions à l’ensemble des employeurs dans leurs recherches de collaborateurs/</w:t>
      </w:r>
      <w:proofErr w:type="spellStart"/>
      <w:r>
        <w:t>tices</w:t>
      </w:r>
      <w:proofErr w:type="spellEnd"/>
      <w:r>
        <w:t>.</w:t>
      </w:r>
    </w:p>
  </w:footnote>
  <w:footnote w:id="3">
    <w:p w14:paraId="14DAFB14" w14:textId="46A6E370" w:rsidR="00961DC0" w:rsidRPr="0009314B" w:rsidRDefault="00961DC0" w:rsidP="0009314B">
      <w:pPr>
        <w:pStyle w:val="Notedebasdepage"/>
        <w:ind w:left="0" w:firstLine="0"/>
        <w:jc w:val="both"/>
        <w:rPr>
          <w:rFonts w:cs="Times New Roman"/>
        </w:rPr>
      </w:pPr>
      <w:r w:rsidRPr="0009314B">
        <w:rPr>
          <w:rStyle w:val="Appelnotedebasdep"/>
        </w:rPr>
        <w:footnoteRef/>
      </w:r>
      <w:r w:rsidRPr="0009314B">
        <w:rPr>
          <w:rFonts w:cs="Times New Roman"/>
        </w:rPr>
        <w:t xml:space="preserve"> </w:t>
      </w:r>
      <w:r w:rsidRPr="0009314B">
        <w:rPr>
          <w:rFonts w:cs="Times New Roman"/>
          <w:lang w:val="fr-BE"/>
        </w:rPr>
        <w:t>B</w:t>
      </w:r>
      <w:proofErr w:type="spellStart"/>
      <w:r w:rsidRPr="0009314B">
        <w:rPr>
          <w:rFonts w:cs="Times New Roman"/>
        </w:rPr>
        <w:t>ruxelles</w:t>
      </w:r>
      <w:proofErr w:type="spellEnd"/>
      <w:r w:rsidRPr="0009314B">
        <w:rPr>
          <w:rFonts w:cs="Times New Roman"/>
        </w:rPr>
        <w:t xml:space="preserve"> Formation est l'organisme public chargé de la formation professionnelle</w:t>
      </w:r>
      <w:r w:rsidR="0009314B">
        <w:rPr>
          <w:rFonts w:cs="Times New Roman"/>
        </w:rPr>
        <w:t xml:space="preserve"> des chercheurs d'emploi et des </w:t>
      </w:r>
      <w:r w:rsidRPr="0009314B">
        <w:rPr>
          <w:rFonts w:cs="Times New Roman"/>
        </w:rPr>
        <w:t>travailleurs bruxellois francophones de la région de Bruxelles-Capitale. L'Institut aide les chercheurs d'emploi et les travailleurs à se qualifier dans un métier, se perfectionner dans une fonction ou se reconvertir dans une autre profession, et offre également des formations pour les entreprises.</w:t>
      </w:r>
    </w:p>
  </w:footnote>
  <w:footnote w:id="4">
    <w:p w14:paraId="618E72B7" w14:textId="4796FDFE" w:rsidR="00961DC0" w:rsidRPr="0009314B" w:rsidRDefault="00961DC0" w:rsidP="0009314B">
      <w:pPr>
        <w:pStyle w:val="Notedebasdepage"/>
        <w:jc w:val="both"/>
        <w:rPr>
          <w:lang w:val="fr-BE"/>
        </w:rPr>
      </w:pPr>
      <w:r w:rsidRPr="0009314B">
        <w:rPr>
          <w:rStyle w:val="Appelnotedebasdep"/>
        </w:rPr>
        <w:footnoteRef/>
      </w:r>
      <w:r w:rsidRPr="0009314B">
        <w:rPr>
          <w:rFonts w:cs="Times New Roman"/>
        </w:rPr>
        <w:t xml:space="preserve"> </w:t>
      </w:r>
      <w:proofErr w:type="spellStart"/>
      <w:r w:rsidRPr="0009314B">
        <w:rPr>
          <w:rFonts w:cs="Times New Roman"/>
          <w:lang w:val="fr-BE"/>
        </w:rPr>
        <w:t>Vlaamse</w:t>
      </w:r>
      <w:proofErr w:type="spellEnd"/>
      <w:r w:rsidRPr="0009314B">
        <w:rPr>
          <w:rFonts w:cs="Times New Roman"/>
          <w:lang w:val="fr-BE"/>
        </w:rPr>
        <w:t xml:space="preserve"> </w:t>
      </w:r>
      <w:proofErr w:type="spellStart"/>
      <w:r w:rsidRPr="0009314B">
        <w:rPr>
          <w:rFonts w:cs="Times New Roman"/>
          <w:lang w:val="fr-BE"/>
        </w:rPr>
        <w:t>Dienst</w:t>
      </w:r>
      <w:proofErr w:type="spellEnd"/>
      <w:r w:rsidRPr="0009314B">
        <w:rPr>
          <w:rFonts w:cs="Times New Roman"/>
          <w:lang w:val="fr-BE"/>
        </w:rPr>
        <w:t xml:space="preserve"> </w:t>
      </w:r>
      <w:proofErr w:type="spellStart"/>
      <w:r w:rsidRPr="0009314B">
        <w:rPr>
          <w:rFonts w:cs="Times New Roman"/>
          <w:lang w:val="fr-BE"/>
        </w:rPr>
        <w:t>voor</w:t>
      </w:r>
      <w:proofErr w:type="spellEnd"/>
      <w:r w:rsidRPr="0009314B">
        <w:rPr>
          <w:rFonts w:cs="Times New Roman"/>
          <w:lang w:val="fr-BE"/>
        </w:rPr>
        <w:t xml:space="preserve"> </w:t>
      </w:r>
      <w:proofErr w:type="spellStart"/>
      <w:r w:rsidRPr="0009314B">
        <w:rPr>
          <w:rFonts w:cs="Times New Roman"/>
          <w:lang w:val="fr-BE"/>
        </w:rPr>
        <w:t>Arbeidsbemiddeling</w:t>
      </w:r>
      <w:proofErr w:type="spellEnd"/>
      <w:r w:rsidRPr="0009314B">
        <w:rPr>
          <w:rFonts w:cs="Times New Roman"/>
          <w:lang w:val="fr-BE"/>
        </w:rPr>
        <w:t xml:space="preserve"> en </w:t>
      </w:r>
      <w:proofErr w:type="spellStart"/>
      <w:r w:rsidRPr="0009314B">
        <w:rPr>
          <w:rFonts w:cs="Times New Roman"/>
          <w:lang w:val="fr-BE"/>
        </w:rPr>
        <w:t>Beroepsopleiding</w:t>
      </w:r>
      <w:proofErr w:type="spellEnd"/>
      <w:r w:rsidRPr="0009314B">
        <w:rPr>
          <w:rFonts w:cs="Times New Roman"/>
          <w:lang w:val="fr-BE"/>
        </w:rPr>
        <w:t>.</w:t>
      </w:r>
    </w:p>
  </w:footnote>
  <w:footnote w:id="5">
    <w:p w14:paraId="2D34137F" w14:textId="080C7941" w:rsidR="00934AD1" w:rsidRPr="00AE630A" w:rsidRDefault="00934AD1" w:rsidP="007024D0">
      <w:pPr>
        <w:pStyle w:val="Notedebasdepage"/>
        <w:ind w:left="0" w:firstLine="0"/>
        <w:jc w:val="both"/>
      </w:pPr>
      <w:r>
        <w:rPr>
          <w:rStyle w:val="Appelnotedebasdep"/>
        </w:rPr>
        <w:footnoteRef/>
      </w:r>
      <w:r>
        <w:t xml:space="preserve"> Cette philosophie a été assumée publiquement par Actiris dès la mise en œuvre de la Garantie Jeunes en Région bruxelloise. Elle a ensuite été explicitement intégrée au Contrat de Gestion 2017-2022 d’Actiris.</w:t>
      </w:r>
    </w:p>
  </w:footnote>
  <w:footnote w:id="6">
    <w:p w14:paraId="6E830755" w14:textId="284AE7DC" w:rsidR="00934AD1" w:rsidRPr="007024D0" w:rsidRDefault="00934AD1" w:rsidP="007024D0">
      <w:pPr>
        <w:pStyle w:val="Notedebasdepage"/>
        <w:jc w:val="both"/>
        <w:rPr>
          <w:i/>
        </w:rPr>
      </w:pPr>
      <w:r>
        <w:rPr>
          <w:rStyle w:val="Appelnotedebasdep"/>
        </w:rPr>
        <w:footnoteRef/>
      </w:r>
      <w:r>
        <w:t xml:space="preserve"> FGTB, Ecole syndicale de Bruxelles, Fiche d’actualité – 2013/5, </w:t>
      </w:r>
      <w:r>
        <w:rPr>
          <w:i/>
        </w:rPr>
        <w:t>Garantie Jeunes : bluff ou opportunité ?</w:t>
      </w:r>
      <w:r w:rsidR="0009314B">
        <w:rPr>
          <w:i/>
        </w:rPr>
        <w:t xml:space="preserve"> </w:t>
      </w:r>
    </w:p>
  </w:footnote>
  <w:footnote w:id="7">
    <w:p w14:paraId="535AE8B9" w14:textId="558BA14E" w:rsidR="00934AD1" w:rsidRPr="00D57699" w:rsidRDefault="00934AD1" w:rsidP="007024D0">
      <w:pPr>
        <w:pStyle w:val="Notedebasdepage"/>
        <w:ind w:left="0" w:firstLine="0"/>
        <w:jc w:val="both"/>
      </w:pPr>
    </w:p>
  </w:footnote>
  <w:footnote w:id="8">
    <w:p w14:paraId="7BFC2392" w14:textId="77777777" w:rsidR="00934AD1" w:rsidRPr="00CF7184" w:rsidRDefault="00934AD1">
      <w:pPr>
        <w:pStyle w:val="Notedebasdepage"/>
      </w:pPr>
      <w:r>
        <w:rPr>
          <w:rStyle w:val="Appelnotedebasdep"/>
        </w:rPr>
        <w:footnoteRef/>
      </w:r>
      <w:r>
        <w:t xml:space="preserve"> Source : SPF Emploi, DGSIE – Enquête sur les Forces de Travail (EFT).</w:t>
      </w:r>
    </w:p>
  </w:footnote>
  <w:footnote w:id="9">
    <w:p w14:paraId="47E560E4" w14:textId="64BD6A6E" w:rsidR="00934AD1" w:rsidRPr="007024D0" w:rsidRDefault="00934AD1" w:rsidP="0009314B">
      <w:pPr>
        <w:pStyle w:val="Notedebasdepage"/>
        <w:jc w:val="both"/>
        <w:rPr>
          <w:lang w:val="fr-B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B90" w14:textId="14EC9903" w:rsidR="00184788" w:rsidRDefault="00184788" w:rsidP="00184788">
    <w:pPr>
      <w:pStyle w:val="En-tte"/>
    </w:pPr>
    <w:r>
      <w:t xml:space="preserve">Version </w:t>
    </w:r>
    <w:proofErr w:type="spellStart"/>
    <w:r>
      <w:t>préprint</w:t>
    </w:r>
    <w:proofErr w:type="spellEnd"/>
    <w:r>
      <w:t>. Chapitre 3 du livre « </w:t>
    </w:r>
    <w:r w:rsidRPr="00184788">
      <w:t>Les droits sociaux au travail</w:t>
    </w:r>
    <w:r>
      <w:t xml:space="preserve">. Montée de l’emploi incertain et recomposition des catégories de la protection sociale », ouvrage coordonné par Olivier Giraud et Nadège </w:t>
    </w:r>
    <w:proofErr w:type="spellStart"/>
    <w:r>
      <w:t>Vezinat</w:t>
    </w:r>
    <w:proofErr w:type="spellEnd"/>
    <w:r>
      <w:t xml:space="preserve">, </w:t>
    </w:r>
    <w:proofErr w:type="spellStart"/>
    <w:r>
      <w:t>Octarès</w:t>
    </w:r>
    <w:proofErr w:type="spellEnd"/>
    <w:r w:rsidRPr="00184788">
      <w:t xml:space="preserve"> </w:t>
    </w:r>
    <w:r>
      <w:t>Edition</w:t>
    </w:r>
    <w:r>
      <w:t>s, Collection Le travail en débats,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28C"/>
    <w:multiLevelType w:val="hybridMultilevel"/>
    <w:tmpl w:val="922E9B2A"/>
    <w:lvl w:ilvl="0" w:tplc="513A86C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3B515A"/>
    <w:multiLevelType w:val="multilevel"/>
    <w:tmpl w:val="70A8565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E90C2C"/>
    <w:multiLevelType w:val="hybridMultilevel"/>
    <w:tmpl w:val="FDDC962C"/>
    <w:lvl w:ilvl="0" w:tplc="B4849E94">
      <w:start w:val="1"/>
      <w:numFmt w:val="lowerLetter"/>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3" w15:restartNumberingAfterBreak="0">
    <w:nsid w:val="2124201D"/>
    <w:multiLevelType w:val="multilevel"/>
    <w:tmpl w:val="CF50C97C"/>
    <w:lvl w:ilvl="0">
      <w:start w:val="1"/>
      <w:numFmt w:val="decimal"/>
      <w:lvlText w:val="%1."/>
      <w:lvlJc w:val="left"/>
      <w:pPr>
        <w:ind w:left="360" w:hanging="360"/>
      </w:pPr>
      <w:rPr>
        <w:rFonts w:hint="default"/>
      </w:rPr>
    </w:lvl>
    <w:lvl w:ilvl="1">
      <w:start w:val="1"/>
      <w:numFmt w:val="decimal"/>
      <w:isLgl/>
      <w:lvlText w:val="%1.%2."/>
      <w:lvlJc w:val="left"/>
      <w:pPr>
        <w:ind w:left="1276" w:hanging="113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A425661"/>
    <w:multiLevelType w:val="multilevel"/>
    <w:tmpl w:val="76306A20"/>
    <w:lvl w:ilvl="0">
      <w:start w:val="1"/>
      <w:numFmt w:val="decimal"/>
      <w:lvlText w:val="%1."/>
      <w:lvlJc w:val="left"/>
      <w:pPr>
        <w:ind w:left="360" w:hanging="360"/>
      </w:pPr>
      <w:rPr>
        <w:rFonts w:hint="default"/>
      </w:rPr>
    </w:lvl>
    <w:lvl w:ilvl="1">
      <w:start w:val="1"/>
      <w:numFmt w:val="decimal"/>
      <w:isLgl/>
      <w:lvlText w:val="%1.%2."/>
      <w:lvlJc w:val="left"/>
      <w:pPr>
        <w:ind w:left="1361" w:hanging="1361"/>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C2D2800"/>
    <w:multiLevelType w:val="multilevel"/>
    <w:tmpl w:val="53148EA0"/>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46F60A9"/>
    <w:multiLevelType w:val="hybridMultilevel"/>
    <w:tmpl w:val="F41C9E5C"/>
    <w:lvl w:ilvl="0" w:tplc="D7428C94">
      <w:start w:val="1"/>
      <w:numFmt w:val="bullet"/>
      <w:lvlText w:val="-"/>
      <w:lvlJc w:val="left"/>
      <w:pPr>
        <w:ind w:left="720" w:hanging="360"/>
      </w:pPr>
      <w:rPr>
        <w:rFonts w:ascii="Adobe Garamond Pro" w:eastAsia="Times New Roman" w:hAnsi="Adobe Garamond Pro"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6AE673B"/>
    <w:multiLevelType w:val="multilevel"/>
    <w:tmpl w:val="87F2D54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ACC5BA2"/>
    <w:multiLevelType w:val="multilevel"/>
    <w:tmpl w:val="15C0C872"/>
    <w:lvl w:ilvl="0">
      <w:start w:val="1"/>
      <w:numFmt w:val="decimal"/>
      <w:lvlText w:val="%1."/>
      <w:lvlJc w:val="left"/>
      <w:pPr>
        <w:ind w:left="360" w:hanging="360"/>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FCD4FC2"/>
    <w:multiLevelType w:val="hybridMultilevel"/>
    <w:tmpl w:val="254880EE"/>
    <w:lvl w:ilvl="0" w:tplc="82E02CA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7D863F9"/>
    <w:multiLevelType w:val="multilevel"/>
    <w:tmpl w:val="05A288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6"/>
  </w:num>
  <w:num w:numId="4">
    <w:abstractNumId w:val="5"/>
  </w:num>
  <w:num w:numId="5">
    <w:abstractNumId w:val="2"/>
  </w:num>
  <w:num w:numId="6">
    <w:abstractNumId w:val="1"/>
  </w:num>
  <w:num w:numId="7">
    <w:abstractNumId w:val="10"/>
  </w:num>
  <w:num w:numId="8">
    <w:abstractNumId w:val="7"/>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53"/>
    <w:rsid w:val="0000052D"/>
    <w:rsid w:val="0000062E"/>
    <w:rsid w:val="000011E9"/>
    <w:rsid w:val="00007A37"/>
    <w:rsid w:val="0001004B"/>
    <w:rsid w:val="00013319"/>
    <w:rsid w:val="00014220"/>
    <w:rsid w:val="00017D6F"/>
    <w:rsid w:val="0002195D"/>
    <w:rsid w:val="00021D71"/>
    <w:rsid w:val="00030201"/>
    <w:rsid w:val="000339FA"/>
    <w:rsid w:val="0003707C"/>
    <w:rsid w:val="00037338"/>
    <w:rsid w:val="00037F49"/>
    <w:rsid w:val="00044748"/>
    <w:rsid w:val="00052EC3"/>
    <w:rsid w:val="00060310"/>
    <w:rsid w:val="00064526"/>
    <w:rsid w:val="00064806"/>
    <w:rsid w:val="0006655F"/>
    <w:rsid w:val="000679D4"/>
    <w:rsid w:val="00067E47"/>
    <w:rsid w:val="0007606B"/>
    <w:rsid w:val="0008033E"/>
    <w:rsid w:val="0008513A"/>
    <w:rsid w:val="0008669E"/>
    <w:rsid w:val="000878B6"/>
    <w:rsid w:val="00091861"/>
    <w:rsid w:val="0009314B"/>
    <w:rsid w:val="00094E30"/>
    <w:rsid w:val="00097A8E"/>
    <w:rsid w:val="000A39EA"/>
    <w:rsid w:val="000A78A3"/>
    <w:rsid w:val="000A78DE"/>
    <w:rsid w:val="000B27E1"/>
    <w:rsid w:val="000C2F75"/>
    <w:rsid w:val="000C54C2"/>
    <w:rsid w:val="000D08CB"/>
    <w:rsid w:val="000D3CA5"/>
    <w:rsid w:val="000D6751"/>
    <w:rsid w:val="000D76DD"/>
    <w:rsid w:val="000E4D34"/>
    <w:rsid w:val="000E71FC"/>
    <w:rsid w:val="000F08D4"/>
    <w:rsid w:val="000F2CD5"/>
    <w:rsid w:val="000F371A"/>
    <w:rsid w:val="000F4957"/>
    <w:rsid w:val="000F5F0E"/>
    <w:rsid w:val="00101815"/>
    <w:rsid w:val="00111463"/>
    <w:rsid w:val="00112267"/>
    <w:rsid w:val="00115A99"/>
    <w:rsid w:val="00120323"/>
    <w:rsid w:val="001223DC"/>
    <w:rsid w:val="0012352D"/>
    <w:rsid w:val="0012413C"/>
    <w:rsid w:val="001257F1"/>
    <w:rsid w:val="00127ED5"/>
    <w:rsid w:val="0013015C"/>
    <w:rsid w:val="00134D54"/>
    <w:rsid w:val="00136BCF"/>
    <w:rsid w:val="0014003D"/>
    <w:rsid w:val="001400A6"/>
    <w:rsid w:val="001427F3"/>
    <w:rsid w:val="0014305C"/>
    <w:rsid w:val="00151992"/>
    <w:rsid w:val="00161523"/>
    <w:rsid w:val="0016463D"/>
    <w:rsid w:val="0016587A"/>
    <w:rsid w:val="0017382A"/>
    <w:rsid w:val="00177448"/>
    <w:rsid w:val="00184788"/>
    <w:rsid w:val="001851A7"/>
    <w:rsid w:val="001851DC"/>
    <w:rsid w:val="00187A91"/>
    <w:rsid w:val="001932D3"/>
    <w:rsid w:val="00195BDD"/>
    <w:rsid w:val="001964D1"/>
    <w:rsid w:val="00196C15"/>
    <w:rsid w:val="001978A0"/>
    <w:rsid w:val="001A506C"/>
    <w:rsid w:val="001B12D8"/>
    <w:rsid w:val="001C0CAD"/>
    <w:rsid w:val="001D0B33"/>
    <w:rsid w:val="001E0585"/>
    <w:rsid w:val="001E28C0"/>
    <w:rsid w:val="001F1FA6"/>
    <w:rsid w:val="001F3083"/>
    <w:rsid w:val="001F36C3"/>
    <w:rsid w:val="001F59E4"/>
    <w:rsid w:val="0020738B"/>
    <w:rsid w:val="00213110"/>
    <w:rsid w:val="002137F3"/>
    <w:rsid w:val="00223CD8"/>
    <w:rsid w:val="0023202F"/>
    <w:rsid w:val="002347C2"/>
    <w:rsid w:val="00236FD0"/>
    <w:rsid w:val="00237322"/>
    <w:rsid w:val="002377C1"/>
    <w:rsid w:val="00242738"/>
    <w:rsid w:val="00244153"/>
    <w:rsid w:val="00247EA8"/>
    <w:rsid w:val="00250789"/>
    <w:rsid w:val="00250FC3"/>
    <w:rsid w:val="00256DDC"/>
    <w:rsid w:val="002635AF"/>
    <w:rsid w:val="0026719A"/>
    <w:rsid w:val="0027433E"/>
    <w:rsid w:val="00275DB5"/>
    <w:rsid w:val="002879C7"/>
    <w:rsid w:val="0029273C"/>
    <w:rsid w:val="002A44C2"/>
    <w:rsid w:val="002A4C4A"/>
    <w:rsid w:val="002A6E2D"/>
    <w:rsid w:val="002B1E29"/>
    <w:rsid w:val="002C3AC5"/>
    <w:rsid w:val="002C5180"/>
    <w:rsid w:val="002C65EF"/>
    <w:rsid w:val="002C7485"/>
    <w:rsid w:val="002D01CB"/>
    <w:rsid w:val="002D1373"/>
    <w:rsid w:val="002E7EFB"/>
    <w:rsid w:val="002F717D"/>
    <w:rsid w:val="00304304"/>
    <w:rsid w:val="0030564E"/>
    <w:rsid w:val="00310BE4"/>
    <w:rsid w:val="00310C43"/>
    <w:rsid w:val="0031467C"/>
    <w:rsid w:val="003151CE"/>
    <w:rsid w:val="0031520A"/>
    <w:rsid w:val="0031609E"/>
    <w:rsid w:val="00317739"/>
    <w:rsid w:val="0032033A"/>
    <w:rsid w:val="0032376A"/>
    <w:rsid w:val="003240B3"/>
    <w:rsid w:val="00331278"/>
    <w:rsid w:val="003330A6"/>
    <w:rsid w:val="00344101"/>
    <w:rsid w:val="0034475F"/>
    <w:rsid w:val="003452C2"/>
    <w:rsid w:val="00350A2F"/>
    <w:rsid w:val="00367494"/>
    <w:rsid w:val="003744FF"/>
    <w:rsid w:val="00374A01"/>
    <w:rsid w:val="003807CE"/>
    <w:rsid w:val="003840BF"/>
    <w:rsid w:val="003848B3"/>
    <w:rsid w:val="00385B58"/>
    <w:rsid w:val="00393761"/>
    <w:rsid w:val="00395C38"/>
    <w:rsid w:val="00395D63"/>
    <w:rsid w:val="003969C0"/>
    <w:rsid w:val="003976FA"/>
    <w:rsid w:val="003A20E9"/>
    <w:rsid w:val="003A2644"/>
    <w:rsid w:val="003A4C38"/>
    <w:rsid w:val="003B0CE4"/>
    <w:rsid w:val="003B35A7"/>
    <w:rsid w:val="003B3B40"/>
    <w:rsid w:val="003B4D2C"/>
    <w:rsid w:val="003B5C18"/>
    <w:rsid w:val="003B61F8"/>
    <w:rsid w:val="003C0768"/>
    <w:rsid w:val="003C7D32"/>
    <w:rsid w:val="003D314D"/>
    <w:rsid w:val="003D3488"/>
    <w:rsid w:val="003D504E"/>
    <w:rsid w:val="003D54CB"/>
    <w:rsid w:val="003D74E0"/>
    <w:rsid w:val="003E19CD"/>
    <w:rsid w:val="003F22E0"/>
    <w:rsid w:val="003F27F0"/>
    <w:rsid w:val="003F3F96"/>
    <w:rsid w:val="00403BF5"/>
    <w:rsid w:val="004060B3"/>
    <w:rsid w:val="0041764C"/>
    <w:rsid w:val="00421CE0"/>
    <w:rsid w:val="00424D23"/>
    <w:rsid w:val="00426F7E"/>
    <w:rsid w:val="004279CB"/>
    <w:rsid w:val="00427E6A"/>
    <w:rsid w:val="004308F0"/>
    <w:rsid w:val="00431FA9"/>
    <w:rsid w:val="00434AEC"/>
    <w:rsid w:val="004428BD"/>
    <w:rsid w:val="004469FD"/>
    <w:rsid w:val="00447E63"/>
    <w:rsid w:val="00450F27"/>
    <w:rsid w:val="00452387"/>
    <w:rsid w:val="00454556"/>
    <w:rsid w:val="00455056"/>
    <w:rsid w:val="0045533C"/>
    <w:rsid w:val="0045540A"/>
    <w:rsid w:val="00470D85"/>
    <w:rsid w:val="004714A6"/>
    <w:rsid w:val="004723C6"/>
    <w:rsid w:val="004725DE"/>
    <w:rsid w:val="00473208"/>
    <w:rsid w:val="004803D7"/>
    <w:rsid w:val="004859F7"/>
    <w:rsid w:val="00491DBC"/>
    <w:rsid w:val="00493EC9"/>
    <w:rsid w:val="0049572A"/>
    <w:rsid w:val="00496405"/>
    <w:rsid w:val="00496BAF"/>
    <w:rsid w:val="004970B2"/>
    <w:rsid w:val="004A4DEA"/>
    <w:rsid w:val="004B09AB"/>
    <w:rsid w:val="004B1B3B"/>
    <w:rsid w:val="004B4802"/>
    <w:rsid w:val="004C1FF8"/>
    <w:rsid w:val="004C34D2"/>
    <w:rsid w:val="004C36B7"/>
    <w:rsid w:val="004C3EA9"/>
    <w:rsid w:val="004C5A2B"/>
    <w:rsid w:val="004D059B"/>
    <w:rsid w:val="004D0F27"/>
    <w:rsid w:val="004D24EB"/>
    <w:rsid w:val="004D2920"/>
    <w:rsid w:val="004D30B3"/>
    <w:rsid w:val="004D47B7"/>
    <w:rsid w:val="004D4D52"/>
    <w:rsid w:val="004D60D8"/>
    <w:rsid w:val="004D68B0"/>
    <w:rsid w:val="004E1006"/>
    <w:rsid w:val="004E527E"/>
    <w:rsid w:val="004E5F91"/>
    <w:rsid w:val="004F20FE"/>
    <w:rsid w:val="004F4523"/>
    <w:rsid w:val="004F65BD"/>
    <w:rsid w:val="00506291"/>
    <w:rsid w:val="005113D9"/>
    <w:rsid w:val="00515ED1"/>
    <w:rsid w:val="005203E6"/>
    <w:rsid w:val="0052308B"/>
    <w:rsid w:val="00524981"/>
    <w:rsid w:val="00530830"/>
    <w:rsid w:val="00532B43"/>
    <w:rsid w:val="00532FA0"/>
    <w:rsid w:val="0054258F"/>
    <w:rsid w:val="00545571"/>
    <w:rsid w:val="0054563F"/>
    <w:rsid w:val="00546D82"/>
    <w:rsid w:val="00546EB9"/>
    <w:rsid w:val="00547EB8"/>
    <w:rsid w:val="00553C84"/>
    <w:rsid w:val="00563FEA"/>
    <w:rsid w:val="00564039"/>
    <w:rsid w:val="00565709"/>
    <w:rsid w:val="005711DF"/>
    <w:rsid w:val="00573732"/>
    <w:rsid w:val="00574D83"/>
    <w:rsid w:val="00577220"/>
    <w:rsid w:val="005807D2"/>
    <w:rsid w:val="00581A1B"/>
    <w:rsid w:val="00584861"/>
    <w:rsid w:val="0058599C"/>
    <w:rsid w:val="00590782"/>
    <w:rsid w:val="0059233D"/>
    <w:rsid w:val="00594C33"/>
    <w:rsid w:val="005A2E63"/>
    <w:rsid w:val="005A4E88"/>
    <w:rsid w:val="005A7AB3"/>
    <w:rsid w:val="005C0996"/>
    <w:rsid w:val="005D40D2"/>
    <w:rsid w:val="005D4F68"/>
    <w:rsid w:val="005D575D"/>
    <w:rsid w:val="005D6909"/>
    <w:rsid w:val="005D786E"/>
    <w:rsid w:val="005E24A3"/>
    <w:rsid w:val="005E29A3"/>
    <w:rsid w:val="005E55E1"/>
    <w:rsid w:val="005E753B"/>
    <w:rsid w:val="005F0D68"/>
    <w:rsid w:val="005F25E1"/>
    <w:rsid w:val="005F4472"/>
    <w:rsid w:val="005F452B"/>
    <w:rsid w:val="005F5F60"/>
    <w:rsid w:val="005F6784"/>
    <w:rsid w:val="005F6D48"/>
    <w:rsid w:val="00601C05"/>
    <w:rsid w:val="00611503"/>
    <w:rsid w:val="00616958"/>
    <w:rsid w:val="00616EB6"/>
    <w:rsid w:val="00621E94"/>
    <w:rsid w:val="00625DA5"/>
    <w:rsid w:val="00630AD5"/>
    <w:rsid w:val="00631E98"/>
    <w:rsid w:val="00634FD4"/>
    <w:rsid w:val="00637292"/>
    <w:rsid w:val="00637FCE"/>
    <w:rsid w:val="00641E83"/>
    <w:rsid w:val="006462F4"/>
    <w:rsid w:val="00647242"/>
    <w:rsid w:val="0065077A"/>
    <w:rsid w:val="0065139E"/>
    <w:rsid w:val="006515C4"/>
    <w:rsid w:val="00654BD9"/>
    <w:rsid w:val="00655EFA"/>
    <w:rsid w:val="00655F78"/>
    <w:rsid w:val="0065704F"/>
    <w:rsid w:val="00660597"/>
    <w:rsid w:val="00662178"/>
    <w:rsid w:val="006627F3"/>
    <w:rsid w:val="00663D3A"/>
    <w:rsid w:val="00664739"/>
    <w:rsid w:val="00673F37"/>
    <w:rsid w:val="00674ED2"/>
    <w:rsid w:val="00680791"/>
    <w:rsid w:val="006828CD"/>
    <w:rsid w:val="006920DB"/>
    <w:rsid w:val="006928B2"/>
    <w:rsid w:val="006975B7"/>
    <w:rsid w:val="006A3483"/>
    <w:rsid w:val="006A4607"/>
    <w:rsid w:val="006A6871"/>
    <w:rsid w:val="006B2E56"/>
    <w:rsid w:val="006B4474"/>
    <w:rsid w:val="006C0BE2"/>
    <w:rsid w:val="006C0CC1"/>
    <w:rsid w:val="006C11A6"/>
    <w:rsid w:val="006C21F5"/>
    <w:rsid w:val="006C3318"/>
    <w:rsid w:val="006D0C49"/>
    <w:rsid w:val="006E1BE2"/>
    <w:rsid w:val="006E4203"/>
    <w:rsid w:val="006E65F6"/>
    <w:rsid w:val="006E7D13"/>
    <w:rsid w:val="006F0431"/>
    <w:rsid w:val="006F14B2"/>
    <w:rsid w:val="006F3F88"/>
    <w:rsid w:val="006F47D1"/>
    <w:rsid w:val="006F48B7"/>
    <w:rsid w:val="006F58E3"/>
    <w:rsid w:val="006F5D14"/>
    <w:rsid w:val="006F6754"/>
    <w:rsid w:val="00700325"/>
    <w:rsid w:val="007024D0"/>
    <w:rsid w:val="00704DBD"/>
    <w:rsid w:val="00704F34"/>
    <w:rsid w:val="0070661E"/>
    <w:rsid w:val="007107B5"/>
    <w:rsid w:val="00713EA4"/>
    <w:rsid w:val="00723AB9"/>
    <w:rsid w:val="00724095"/>
    <w:rsid w:val="00730BDA"/>
    <w:rsid w:val="0073361A"/>
    <w:rsid w:val="007372E5"/>
    <w:rsid w:val="00741AB4"/>
    <w:rsid w:val="007500C1"/>
    <w:rsid w:val="00750C00"/>
    <w:rsid w:val="0075140D"/>
    <w:rsid w:val="00755124"/>
    <w:rsid w:val="00756927"/>
    <w:rsid w:val="00761D7C"/>
    <w:rsid w:val="007716B2"/>
    <w:rsid w:val="00773893"/>
    <w:rsid w:val="0077496A"/>
    <w:rsid w:val="00774B3F"/>
    <w:rsid w:val="00791547"/>
    <w:rsid w:val="007A4AC6"/>
    <w:rsid w:val="007B3A23"/>
    <w:rsid w:val="007D7596"/>
    <w:rsid w:val="007E039C"/>
    <w:rsid w:val="007E32B0"/>
    <w:rsid w:val="007E47F5"/>
    <w:rsid w:val="007E64D9"/>
    <w:rsid w:val="007E7030"/>
    <w:rsid w:val="007F24A0"/>
    <w:rsid w:val="00803645"/>
    <w:rsid w:val="00803C43"/>
    <w:rsid w:val="00803FE2"/>
    <w:rsid w:val="00806541"/>
    <w:rsid w:val="00813151"/>
    <w:rsid w:val="0082047F"/>
    <w:rsid w:val="00821663"/>
    <w:rsid w:val="00824A67"/>
    <w:rsid w:val="00831D1C"/>
    <w:rsid w:val="00832C57"/>
    <w:rsid w:val="00833C32"/>
    <w:rsid w:val="00833E58"/>
    <w:rsid w:val="00834094"/>
    <w:rsid w:val="008408F4"/>
    <w:rsid w:val="008428E3"/>
    <w:rsid w:val="008438F6"/>
    <w:rsid w:val="00843E8D"/>
    <w:rsid w:val="00845CE3"/>
    <w:rsid w:val="00850869"/>
    <w:rsid w:val="00855314"/>
    <w:rsid w:val="008614FA"/>
    <w:rsid w:val="008620E3"/>
    <w:rsid w:val="008627DC"/>
    <w:rsid w:val="00863A0F"/>
    <w:rsid w:val="008642E8"/>
    <w:rsid w:val="00866B39"/>
    <w:rsid w:val="00866BEE"/>
    <w:rsid w:val="0087697D"/>
    <w:rsid w:val="0088469E"/>
    <w:rsid w:val="00884AC7"/>
    <w:rsid w:val="00885221"/>
    <w:rsid w:val="00887BFC"/>
    <w:rsid w:val="00896F53"/>
    <w:rsid w:val="00896FDD"/>
    <w:rsid w:val="0089785E"/>
    <w:rsid w:val="008A1D8E"/>
    <w:rsid w:val="008A7492"/>
    <w:rsid w:val="008B0B3D"/>
    <w:rsid w:val="008B49ED"/>
    <w:rsid w:val="008B6B6A"/>
    <w:rsid w:val="008C1431"/>
    <w:rsid w:val="008D4D20"/>
    <w:rsid w:val="008D6493"/>
    <w:rsid w:val="008E0453"/>
    <w:rsid w:val="008E1600"/>
    <w:rsid w:val="008E28FE"/>
    <w:rsid w:val="008E35AB"/>
    <w:rsid w:val="008F5AF9"/>
    <w:rsid w:val="00900960"/>
    <w:rsid w:val="009017A2"/>
    <w:rsid w:val="00903FF1"/>
    <w:rsid w:val="009130C6"/>
    <w:rsid w:val="0091407E"/>
    <w:rsid w:val="009200B2"/>
    <w:rsid w:val="009255C0"/>
    <w:rsid w:val="009277F7"/>
    <w:rsid w:val="00927CB8"/>
    <w:rsid w:val="0093162D"/>
    <w:rsid w:val="00934AD1"/>
    <w:rsid w:val="00941349"/>
    <w:rsid w:val="00950FF4"/>
    <w:rsid w:val="00953DC8"/>
    <w:rsid w:val="00956775"/>
    <w:rsid w:val="00961DC0"/>
    <w:rsid w:val="00963C0E"/>
    <w:rsid w:val="009651D0"/>
    <w:rsid w:val="00965454"/>
    <w:rsid w:val="0096585F"/>
    <w:rsid w:val="00973095"/>
    <w:rsid w:val="00982A96"/>
    <w:rsid w:val="00984306"/>
    <w:rsid w:val="009903B3"/>
    <w:rsid w:val="009928A6"/>
    <w:rsid w:val="00994D70"/>
    <w:rsid w:val="0099711A"/>
    <w:rsid w:val="00997F2F"/>
    <w:rsid w:val="009A37E1"/>
    <w:rsid w:val="009A3E7D"/>
    <w:rsid w:val="009A56B0"/>
    <w:rsid w:val="009A68E3"/>
    <w:rsid w:val="009B0F6A"/>
    <w:rsid w:val="009B2456"/>
    <w:rsid w:val="009B313F"/>
    <w:rsid w:val="009B749E"/>
    <w:rsid w:val="009C1048"/>
    <w:rsid w:val="009C266E"/>
    <w:rsid w:val="009C6653"/>
    <w:rsid w:val="009D07DD"/>
    <w:rsid w:val="009D1CDB"/>
    <w:rsid w:val="009D3CCD"/>
    <w:rsid w:val="009D59D1"/>
    <w:rsid w:val="009F275F"/>
    <w:rsid w:val="009F4333"/>
    <w:rsid w:val="00A01625"/>
    <w:rsid w:val="00A03764"/>
    <w:rsid w:val="00A0450C"/>
    <w:rsid w:val="00A04D5E"/>
    <w:rsid w:val="00A07933"/>
    <w:rsid w:val="00A16ACF"/>
    <w:rsid w:val="00A175ED"/>
    <w:rsid w:val="00A24D10"/>
    <w:rsid w:val="00A27A33"/>
    <w:rsid w:val="00A30508"/>
    <w:rsid w:val="00A42A27"/>
    <w:rsid w:val="00A56318"/>
    <w:rsid w:val="00A57722"/>
    <w:rsid w:val="00A57BD3"/>
    <w:rsid w:val="00A60742"/>
    <w:rsid w:val="00A627F4"/>
    <w:rsid w:val="00A62A61"/>
    <w:rsid w:val="00A6564C"/>
    <w:rsid w:val="00A66887"/>
    <w:rsid w:val="00A75543"/>
    <w:rsid w:val="00A767E4"/>
    <w:rsid w:val="00A77212"/>
    <w:rsid w:val="00A77E17"/>
    <w:rsid w:val="00A81E79"/>
    <w:rsid w:val="00A874C4"/>
    <w:rsid w:val="00A9352C"/>
    <w:rsid w:val="00A93E62"/>
    <w:rsid w:val="00A97479"/>
    <w:rsid w:val="00AA220F"/>
    <w:rsid w:val="00AA34CC"/>
    <w:rsid w:val="00AB0E15"/>
    <w:rsid w:val="00AB1A4F"/>
    <w:rsid w:val="00AB4E85"/>
    <w:rsid w:val="00AB5F10"/>
    <w:rsid w:val="00AC2660"/>
    <w:rsid w:val="00AC3F12"/>
    <w:rsid w:val="00AC7042"/>
    <w:rsid w:val="00AC72D8"/>
    <w:rsid w:val="00AD035A"/>
    <w:rsid w:val="00AD1DB4"/>
    <w:rsid w:val="00AD79CD"/>
    <w:rsid w:val="00AE0154"/>
    <w:rsid w:val="00AE129E"/>
    <w:rsid w:val="00AE43CC"/>
    <w:rsid w:val="00AE630A"/>
    <w:rsid w:val="00AF0E24"/>
    <w:rsid w:val="00AF3CE4"/>
    <w:rsid w:val="00B01E68"/>
    <w:rsid w:val="00B05079"/>
    <w:rsid w:val="00B069BE"/>
    <w:rsid w:val="00B06DE0"/>
    <w:rsid w:val="00B103BB"/>
    <w:rsid w:val="00B14E77"/>
    <w:rsid w:val="00B168BA"/>
    <w:rsid w:val="00B17AE2"/>
    <w:rsid w:val="00B3763F"/>
    <w:rsid w:val="00B406F0"/>
    <w:rsid w:val="00B41C65"/>
    <w:rsid w:val="00B46CD1"/>
    <w:rsid w:val="00B5121B"/>
    <w:rsid w:val="00B52AA6"/>
    <w:rsid w:val="00B52E12"/>
    <w:rsid w:val="00B54406"/>
    <w:rsid w:val="00B54E60"/>
    <w:rsid w:val="00B56347"/>
    <w:rsid w:val="00B612FC"/>
    <w:rsid w:val="00B61AB4"/>
    <w:rsid w:val="00B62F82"/>
    <w:rsid w:val="00B6467F"/>
    <w:rsid w:val="00B67842"/>
    <w:rsid w:val="00B71CBA"/>
    <w:rsid w:val="00B84C19"/>
    <w:rsid w:val="00B84FFF"/>
    <w:rsid w:val="00B87F9B"/>
    <w:rsid w:val="00B926E4"/>
    <w:rsid w:val="00B92F3D"/>
    <w:rsid w:val="00B93C6A"/>
    <w:rsid w:val="00B95C28"/>
    <w:rsid w:val="00BA27C1"/>
    <w:rsid w:val="00BA3E21"/>
    <w:rsid w:val="00BA4296"/>
    <w:rsid w:val="00BA685A"/>
    <w:rsid w:val="00BB4C0C"/>
    <w:rsid w:val="00BB5217"/>
    <w:rsid w:val="00BC023B"/>
    <w:rsid w:val="00BC788F"/>
    <w:rsid w:val="00BD2FB5"/>
    <w:rsid w:val="00BD3213"/>
    <w:rsid w:val="00BE17A0"/>
    <w:rsid w:val="00BF0241"/>
    <w:rsid w:val="00BF4746"/>
    <w:rsid w:val="00BF5CF9"/>
    <w:rsid w:val="00BF6B0C"/>
    <w:rsid w:val="00C00233"/>
    <w:rsid w:val="00C02134"/>
    <w:rsid w:val="00C024D7"/>
    <w:rsid w:val="00C02596"/>
    <w:rsid w:val="00C02B30"/>
    <w:rsid w:val="00C03AC2"/>
    <w:rsid w:val="00C053B7"/>
    <w:rsid w:val="00C05BF4"/>
    <w:rsid w:val="00C073F6"/>
    <w:rsid w:val="00C0760F"/>
    <w:rsid w:val="00C101C5"/>
    <w:rsid w:val="00C103B0"/>
    <w:rsid w:val="00C121A9"/>
    <w:rsid w:val="00C15235"/>
    <w:rsid w:val="00C1615D"/>
    <w:rsid w:val="00C30EDD"/>
    <w:rsid w:val="00C33291"/>
    <w:rsid w:val="00C33E2D"/>
    <w:rsid w:val="00C34135"/>
    <w:rsid w:val="00C41726"/>
    <w:rsid w:val="00C448C8"/>
    <w:rsid w:val="00C44E27"/>
    <w:rsid w:val="00C4779D"/>
    <w:rsid w:val="00C540B4"/>
    <w:rsid w:val="00C62502"/>
    <w:rsid w:val="00C64376"/>
    <w:rsid w:val="00C66536"/>
    <w:rsid w:val="00C70E9F"/>
    <w:rsid w:val="00C713B1"/>
    <w:rsid w:val="00C734B6"/>
    <w:rsid w:val="00C74DA3"/>
    <w:rsid w:val="00C76ADE"/>
    <w:rsid w:val="00C82347"/>
    <w:rsid w:val="00C82DD2"/>
    <w:rsid w:val="00C8450F"/>
    <w:rsid w:val="00C84557"/>
    <w:rsid w:val="00C8638D"/>
    <w:rsid w:val="00C874D3"/>
    <w:rsid w:val="00C927D2"/>
    <w:rsid w:val="00C945A8"/>
    <w:rsid w:val="00C96F2C"/>
    <w:rsid w:val="00C97762"/>
    <w:rsid w:val="00C97857"/>
    <w:rsid w:val="00CA05E4"/>
    <w:rsid w:val="00CA1901"/>
    <w:rsid w:val="00CA6C9B"/>
    <w:rsid w:val="00CC21D0"/>
    <w:rsid w:val="00CD1484"/>
    <w:rsid w:val="00CD71C8"/>
    <w:rsid w:val="00CF4E0D"/>
    <w:rsid w:val="00CF7184"/>
    <w:rsid w:val="00D01443"/>
    <w:rsid w:val="00D04991"/>
    <w:rsid w:val="00D04C9F"/>
    <w:rsid w:val="00D10E4C"/>
    <w:rsid w:val="00D15950"/>
    <w:rsid w:val="00D27B60"/>
    <w:rsid w:val="00D30756"/>
    <w:rsid w:val="00D32A4D"/>
    <w:rsid w:val="00D4073C"/>
    <w:rsid w:val="00D43EC6"/>
    <w:rsid w:val="00D44147"/>
    <w:rsid w:val="00D46D63"/>
    <w:rsid w:val="00D47B00"/>
    <w:rsid w:val="00D47B77"/>
    <w:rsid w:val="00D47DDD"/>
    <w:rsid w:val="00D536C8"/>
    <w:rsid w:val="00D57699"/>
    <w:rsid w:val="00D576D3"/>
    <w:rsid w:val="00D67DE8"/>
    <w:rsid w:val="00D82FBA"/>
    <w:rsid w:val="00D8378E"/>
    <w:rsid w:val="00D95945"/>
    <w:rsid w:val="00D974B7"/>
    <w:rsid w:val="00DB0C0A"/>
    <w:rsid w:val="00DB1A91"/>
    <w:rsid w:val="00DB4FCF"/>
    <w:rsid w:val="00DB59B8"/>
    <w:rsid w:val="00DB72BC"/>
    <w:rsid w:val="00DC2FF0"/>
    <w:rsid w:val="00DD19F7"/>
    <w:rsid w:val="00DD4C8B"/>
    <w:rsid w:val="00DD5508"/>
    <w:rsid w:val="00DD55FE"/>
    <w:rsid w:val="00DD5DFE"/>
    <w:rsid w:val="00DD6526"/>
    <w:rsid w:val="00DD6663"/>
    <w:rsid w:val="00DD72CE"/>
    <w:rsid w:val="00DE01FC"/>
    <w:rsid w:val="00DE0454"/>
    <w:rsid w:val="00DE1983"/>
    <w:rsid w:val="00DE1A04"/>
    <w:rsid w:val="00DE3E9F"/>
    <w:rsid w:val="00DE6E9C"/>
    <w:rsid w:val="00DE7F83"/>
    <w:rsid w:val="00DF038E"/>
    <w:rsid w:val="00DF0500"/>
    <w:rsid w:val="00E16AD9"/>
    <w:rsid w:val="00E16D67"/>
    <w:rsid w:val="00E17B57"/>
    <w:rsid w:val="00E22897"/>
    <w:rsid w:val="00E239AB"/>
    <w:rsid w:val="00E25A00"/>
    <w:rsid w:val="00E27515"/>
    <w:rsid w:val="00E27E98"/>
    <w:rsid w:val="00E41A22"/>
    <w:rsid w:val="00E423BE"/>
    <w:rsid w:val="00E4328A"/>
    <w:rsid w:val="00E44113"/>
    <w:rsid w:val="00E44183"/>
    <w:rsid w:val="00E449BF"/>
    <w:rsid w:val="00E47767"/>
    <w:rsid w:val="00E47A92"/>
    <w:rsid w:val="00E5575E"/>
    <w:rsid w:val="00E55CB3"/>
    <w:rsid w:val="00E60F1A"/>
    <w:rsid w:val="00E619EC"/>
    <w:rsid w:val="00E61C3A"/>
    <w:rsid w:val="00E6220F"/>
    <w:rsid w:val="00E632AE"/>
    <w:rsid w:val="00E70DEE"/>
    <w:rsid w:val="00E72514"/>
    <w:rsid w:val="00E76C38"/>
    <w:rsid w:val="00E96EC3"/>
    <w:rsid w:val="00EA0D64"/>
    <w:rsid w:val="00EA4A24"/>
    <w:rsid w:val="00EA5DE2"/>
    <w:rsid w:val="00EB1188"/>
    <w:rsid w:val="00EC587B"/>
    <w:rsid w:val="00EC7DB1"/>
    <w:rsid w:val="00ED6E41"/>
    <w:rsid w:val="00EE093D"/>
    <w:rsid w:val="00EE7BC5"/>
    <w:rsid w:val="00EF1898"/>
    <w:rsid w:val="00EF56AA"/>
    <w:rsid w:val="00EF5DB4"/>
    <w:rsid w:val="00EF6990"/>
    <w:rsid w:val="00EF7AAA"/>
    <w:rsid w:val="00F043F0"/>
    <w:rsid w:val="00F11A32"/>
    <w:rsid w:val="00F20600"/>
    <w:rsid w:val="00F22B51"/>
    <w:rsid w:val="00F2322F"/>
    <w:rsid w:val="00F24D72"/>
    <w:rsid w:val="00F3110D"/>
    <w:rsid w:val="00F34EFC"/>
    <w:rsid w:val="00F361A4"/>
    <w:rsid w:val="00F36718"/>
    <w:rsid w:val="00F379E6"/>
    <w:rsid w:val="00F449D3"/>
    <w:rsid w:val="00F44EFF"/>
    <w:rsid w:val="00F45462"/>
    <w:rsid w:val="00F471D6"/>
    <w:rsid w:val="00F47D48"/>
    <w:rsid w:val="00F50709"/>
    <w:rsid w:val="00F50D2F"/>
    <w:rsid w:val="00F556FE"/>
    <w:rsid w:val="00F64401"/>
    <w:rsid w:val="00F64AD7"/>
    <w:rsid w:val="00F65839"/>
    <w:rsid w:val="00F728B7"/>
    <w:rsid w:val="00F73CCD"/>
    <w:rsid w:val="00F74AB2"/>
    <w:rsid w:val="00F77EF2"/>
    <w:rsid w:val="00F80B0A"/>
    <w:rsid w:val="00F820F4"/>
    <w:rsid w:val="00F831D9"/>
    <w:rsid w:val="00F91FEE"/>
    <w:rsid w:val="00F93578"/>
    <w:rsid w:val="00F96AA3"/>
    <w:rsid w:val="00FB02CE"/>
    <w:rsid w:val="00FB3899"/>
    <w:rsid w:val="00FC055F"/>
    <w:rsid w:val="00FC139B"/>
    <w:rsid w:val="00FC3B8A"/>
    <w:rsid w:val="00FD3B21"/>
    <w:rsid w:val="00FE5AA7"/>
    <w:rsid w:val="00FF13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386DB"/>
  <w15:docId w15:val="{0A4DE901-5B9C-4E10-8636-EAD84C20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653"/>
    <w:pPr>
      <w:ind w:left="720"/>
      <w:contextualSpacing/>
    </w:pPr>
  </w:style>
  <w:style w:type="character" w:styleId="Appelnotedebasdep">
    <w:name w:val="footnote reference"/>
    <w:basedOn w:val="Policepardfaut"/>
    <w:uiPriority w:val="99"/>
    <w:rsid w:val="00F73CCD"/>
    <w:rPr>
      <w:rFonts w:cs="Times New Roman"/>
      <w:vertAlign w:val="superscript"/>
    </w:rPr>
  </w:style>
  <w:style w:type="paragraph" w:styleId="Notedebasdepage">
    <w:name w:val="footnote text"/>
    <w:basedOn w:val="Normal"/>
    <w:link w:val="NotedebasdepageCar"/>
    <w:uiPriority w:val="99"/>
    <w:rsid w:val="00454556"/>
    <w:pPr>
      <w:widowControl w:val="0"/>
      <w:suppressLineNumbers/>
      <w:suppressAutoHyphens/>
      <w:spacing w:after="0" w:line="240" w:lineRule="auto"/>
      <w:ind w:left="283" w:hanging="283"/>
    </w:pPr>
    <w:rPr>
      <w:rFonts w:ascii="Times New Roman" w:eastAsia="SimSun" w:hAnsi="Times New Roman" w:cs="Arial"/>
      <w:kern w:val="1"/>
      <w:sz w:val="20"/>
      <w:szCs w:val="20"/>
      <w:lang w:val="fr-FR" w:eastAsia="hi-IN" w:bidi="hi-IN"/>
    </w:rPr>
  </w:style>
  <w:style w:type="character" w:customStyle="1" w:styleId="NotedebasdepageCar">
    <w:name w:val="Note de bas de page Car"/>
    <w:basedOn w:val="Policepardfaut"/>
    <w:link w:val="Notedebasdepage"/>
    <w:uiPriority w:val="99"/>
    <w:rsid w:val="00454556"/>
    <w:rPr>
      <w:rFonts w:ascii="Times New Roman" w:eastAsia="SimSun" w:hAnsi="Times New Roman" w:cs="Arial"/>
      <w:kern w:val="1"/>
      <w:sz w:val="20"/>
      <w:szCs w:val="20"/>
      <w:lang w:val="fr-FR" w:eastAsia="hi-IN" w:bidi="hi-IN"/>
    </w:rPr>
  </w:style>
  <w:style w:type="paragraph" w:styleId="Textedebulles">
    <w:name w:val="Balloon Text"/>
    <w:basedOn w:val="Normal"/>
    <w:link w:val="TextedebullesCar"/>
    <w:uiPriority w:val="99"/>
    <w:semiHidden/>
    <w:unhideWhenUsed/>
    <w:rsid w:val="008408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08F4"/>
    <w:rPr>
      <w:rFonts w:ascii="Tahoma" w:hAnsi="Tahoma" w:cs="Tahoma"/>
      <w:sz w:val="16"/>
      <w:szCs w:val="16"/>
    </w:rPr>
  </w:style>
  <w:style w:type="character" w:styleId="Marquedecommentaire">
    <w:name w:val="annotation reference"/>
    <w:basedOn w:val="Policepardfaut"/>
    <w:uiPriority w:val="99"/>
    <w:semiHidden/>
    <w:unhideWhenUsed/>
    <w:rsid w:val="00C927D2"/>
    <w:rPr>
      <w:sz w:val="16"/>
      <w:szCs w:val="16"/>
    </w:rPr>
  </w:style>
  <w:style w:type="paragraph" w:styleId="Commentaire">
    <w:name w:val="annotation text"/>
    <w:basedOn w:val="Normal"/>
    <w:link w:val="CommentaireCar"/>
    <w:uiPriority w:val="99"/>
    <w:semiHidden/>
    <w:unhideWhenUsed/>
    <w:rsid w:val="00C927D2"/>
    <w:pPr>
      <w:spacing w:line="240" w:lineRule="auto"/>
    </w:pPr>
    <w:rPr>
      <w:sz w:val="20"/>
      <w:szCs w:val="20"/>
    </w:rPr>
  </w:style>
  <w:style w:type="character" w:customStyle="1" w:styleId="CommentaireCar">
    <w:name w:val="Commentaire Car"/>
    <w:basedOn w:val="Policepardfaut"/>
    <w:link w:val="Commentaire"/>
    <w:uiPriority w:val="99"/>
    <w:semiHidden/>
    <w:rsid w:val="00C927D2"/>
    <w:rPr>
      <w:sz w:val="20"/>
      <w:szCs w:val="20"/>
    </w:rPr>
  </w:style>
  <w:style w:type="paragraph" w:styleId="Objetducommentaire">
    <w:name w:val="annotation subject"/>
    <w:basedOn w:val="Commentaire"/>
    <w:next w:val="Commentaire"/>
    <w:link w:val="ObjetducommentaireCar"/>
    <w:uiPriority w:val="99"/>
    <w:semiHidden/>
    <w:unhideWhenUsed/>
    <w:rsid w:val="00C927D2"/>
    <w:rPr>
      <w:b/>
      <w:bCs/>
    </w:rPr>
  </w:style>
  <w:style w:type="character" w:customStyle="1" w:styleId="ObjetducommentaireCar">
    <w:name w:val="Objet du commentaire Car"/>
    <w:basedOn w:val="CommentaireCar"/>
    <w:link w:val="Objetducommentaire"/>
    <w:uiPriority w:val="99"/>
    <w:semiHidden/>
    <w:rsid w:val="00C927D2"/>
    <w:rPr>
      <w:b/>
      <w:bCs/>
      <w:sz w:val="20"/>
      <w:szCs w:val="20"/>
    </w:rPr>
  </w:style>
  <w:style w:type="character" w:styleId="Lienhypertexte">
    <w:name w:val="Hyperlink"/>
    <w:basedOn w:val="Policepardfaut"/>
    <w:uiPriority w:val="99"/>
    <w:unhideWhenUsed/>
    <w:rsid w:val="00CD71C8"/>
    <w:rPr>
      <w:color w:val="0000FF" w:themeColor="hyperlink"/>
      <w:u w:val="single"/>
    </w:rPr>
  </w:style>
  <w:style w:type="paragraph" w:styleId="En-tte">
    <w:name w:val="header"/>
    <w:basedOn w:val="Normal"/>
    <w:link w:val="En-tteCar"/>
    <w:uiPriority w:val="99"/>
    <w:unhideWhenUsed/>
    <w:rsid w:val="0001004B"/>
    <w:pPr>
      <w:tabs>
        <w:tab w:val="center" w:pos="4536"/>
        <w:tab w:val="right" w:pos="9072"/>
      </w:tabs>
      <w:spacing w:after="0" w:line="240" w:lineRule="auto"/>
    </w:pPr>
  </w:style>
  <w:style w:type="character" w:customStyle="1" w:styleId="En-tteCar">
    <w:name w:val="En-tête Car"/>
    <w:basedOn w:val="Policepardfaut"/>
    <w:link w:val="En-tte"/>
    <w:uiPriority w:val="99"/>
    <w:rsid w:val="0001004B"/>
  </w:style>
  <w:style w:type="paragraph" w:styleId="Pieddepage">
    <w:name w:val="footer"/>
    <w:basedOn w:val="Normal"/>
    <w:link w:val="PieddepageCar"/>
    <w:uiPriority w:val="99"/>
    <w:unhideWhenUsed/>
    <w:rsid w:val="00010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04B"/>
  </w:style>
  <w:style w:type="paragraph" w:styleId="Lgende">
    <w:name w:val="caption"/>
    <w:basedOn w:val="Normal"/>
    <w:next w:val="Normal"/>
    <w:uiPriority w:val="35"/>
    <w:unhideWhenUsed/>
    <w:qFormat/>
    <w:rsid w:val="006928B2"/>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unhideWhenUsed/>
    <w:rsid w:val="006928B2"/>
    <w:pPr>
      <w:spacing w:after="0" w:line="240" w:lineRule="auto"/>
    </w:pPr>
    <w:rPr>
      <w:rFonts w:ascii="Times New Roman" w:eastAsiaTheme="minorHAnsi" w:hAnsi="Times New Roman" w:cs="Times New Roman"/>
      <w:sz w:val="24"/>
      <w:szCs w:val="24"/>
    </w:rPr>
  </w:style>
  <w:style w:type="paragraph" w:styleId="Rvision">
    <w:name w:val="Revision"/>
    <w:hidden/>
    <w:uiPriority w:val="99"/>
    <w:semiHidden/>
    <w:rsid w:val="00C8450F"/>
    <w:pPr>
      <w:spacing w:after="0" w:line="240" w:lineRule="auto"/>
    </w:pPr>
  </w:style>
  <w:style w:type="paragraph" w:styleId="PrformatHTML">
    <w:name w:val="HTML Preformatted"/>
    <w:basedOn w:val="Normal"/>
    <w:link w:val="PrformatHTMLCar"/>
    <w:rsid w:val="00A87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80" w:after="120" w:line="240" w:lineRule="auto"/>
    </w:pPr>
    <w:rPr>
      <w:rFonts w:ascii="Courier New" w:eastAsia="Times New Roman" w:hAnsi="Courier New" w:cs="Times New Roman"/>
      <w:sz w:val="20"/>
      <w:szCs w:val="20"/>
      <w:lang w:val="x-none" w:eastAsia="zh-CN"/>
    </w:rPr>
  </w:style>
  <w:style w:type="character" w:customStyle="1" w:styleId="PrformatHTMLCar">
    <w:name w:val="Préformaté HTML Car"/>
    <w:basedOn w:val="Policepardfaut"/>
    <w:link w:val="PrformatHTML"/>
    <w:rsid w:val="00A874C4"/>
    <w:rPr>
      <w:rFonts w:ascii="Courier New" w:eastAsia="Times New Roman" w:hAnsi="Courier New" w:cs="Times New Roman"/>
      <w:sz w:val="20"/>
      <w:szCs w:val="20"/>
      <w:lang w:val="x-none" w:eastAsia="zh-CN"/>
    </w:rPr>
  </w:style>
  <w:style w:type="table" w:styleId="Grilledutableau">
    <w:name w:val="Table Grid"/>
    <w:basedOn w:val="TableauNormal"/>
    <w:uiPriority w:val="59"/>
    <w:rsid w:val="001C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77561">
      <w:bodyDiv w:val="1"/>
      <w:marLeft w:val="0"/>
      <w:marRight w:val="0"/>
      <w:marTop w:val="0"/>
      <w:marBottom w:val="0"/>
      <w:divBdr>
        <w:top w:val="none" w:sz="0" w:space="0" w:color="auto"/>
        <w:left w:val="none" w:sz="0" w:space="0" w:color="auto"/>
        <w:bottom w:val="none" w:sz="0" w:space="0" w:color="auto"/>
        <w:right w:val="none" w:sz="0" w:space="0" w:color="auto"/>
      </w:divBdr>
    </w:div>
    <w:div w:id="1244415299">
      <w:bodyDiv w:val="1"/>
      <w:marLeft w:val="0"/>
      <w:marRight w:val="0"/>
      <w:marTop w:val="0"/>
      <w:marBottom w:val="0"/>
      <w:divBdr>
        <w:top w:val="none" w:sz="0" w:space="0" w:color="auto"/>
        <w:left w:val="none" w:sz="0" w:space="0" w:color="auto"/>
        <w:bottom w:val="none" w:sz="0" w:space="0" w:color="auto"/>
        <w:right w:val="none" w:sz="0" w:space="0" w:color="auto"/>
      </w:divBdr>
    </w:div>
    <w:div w:id="13057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my@bruxellesformation.be"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ksenhadji@actiris.b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CA9C-7265-47F4-8EB8-0CE56B35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4879</Words>
  <Characters>26840</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Remy Céline</dc:creator>
  <cp:lastModifiedBy>REMY Céline</cp:lastModifiedBy>
  <cp:revision>5</cp:revision>
  <cp:lastPrinted>2018-06-12T07:19:00Z</cp:lastPrinted>
  <dcterms:created xsi:type="dcterms:W3CDTF">2020-05-04T16:56:00Z</dcterms:created>
  <dcterms:modified xsi:type="dcterms:W3CDTF">2020-05-04T17:08:00Z</dcterms:modified>
</cp:coreProperties>
</file>