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97" w:rsidRPr="00C57211" w:rsidRDefault="001316E5" w:rsidP="00C57211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</w:pPr>
      <w:r w:rsidRPr="00C57211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First spore data of the Upper Devonian </w:t>
      </w:r>
      <w:proofErr w:type="spellStart"/>
      <w:r w:rsidRPr="00C57211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Bolloncillos</w:t>
      </w:r>
      <w:proofErr w:type="spellEnd"/>
      <w:r w:rsidRPr="00C57211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Formation (NE Iberian Peninsula)</w:t>
      </w:r>
    </w:p>
    <w:p w:rsidR="006B3997" w:rsidRPr="00C57211" w:rsidRDefault="006B3997" w:rsidP="00C57211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en-US" w:eastAsia="fr-FR"/>
        </w:rPr>
      </w:pPr>
    </w:p>
    <w:p w:rsidR="002E72B0" w:rsidRPr="004B7A74" w:rsidRDefault="002E72B0" w:rsidP="00C57211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</w:pP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B</w:t>
      </w:r>
      <w:r w:rsidR="00C57211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orja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Cascales-Minana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1*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P</w:t>
      </w:r>
      <w:r w:rsidR="00C57211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hilippe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Steemans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2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G</w:t>
      </w:r>
      <w:r w:rsidR="00C57211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onzalo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Rial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2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P</w:t>
      </w:r>
      <w:r w:rsidR="00C57211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hilippe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Gerrienne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2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="004B7A74" w:rsidRPr="004B7A74">
        <w:rPr>
          <w:rFonts w:ascii="Tahoma" w:hAnsi="Tahoma" w:cs="Tahoma"/>
          <w:b/>
          <w:sz w:val="24"/>
          <w:szCs w:val="24"/>
        </w:rPr>
        <w:t xml:space="preserve">Rodolfo 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Gozalo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3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="004B7A74" w:rsidRPr="004B7A74">
        <w:rPr>
          <w:rFonts w:ascii="Tahoma" w:hAnsi="Tahoma" w:cs="Tahoma"/>
          <w:b/>
          <w:sz w:val="24"/>
          <w:szCs w:val="24"/>
        </w:rPr>
        <w:t>José B.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Diez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4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, </w:t>
      </w:r>
      <w:r w:rsidR="004B7A74" w:rsidRPr="004B7A74">
        <w:rPr>
          <w:rFonts w:ascii="Tahoma" w:hAnsi="Tahoma" w:cs="Tahoma"/>
          <w:b/>
          <w:sz w:val="24"/>
          <w:szCs w:val="24"/>
        </w:rPr>
        <w:t>osé I.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Valenzuela-Rios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3</w:t>
      </w:r>
      <w:r w:rsidR="006B3997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&amp; 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M</w:t>
      </w:r>
      <w:r w:rsidR="00C57211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>aurice</w:t>
      </w:r>
      <w:r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Streel</w:t>
      </w:r>
      <w:r w:rsidR="00F60CB5" w:rsidRPr="004B7A74">
        <w:rPr>
          <w:rFonts w:ascii="Tahoma" w:eastAsia="Times New Roman" w:hAnsi="Tahoma" w:cs="Tahoma"/>
          <w:b/>
          <w:color w:val="000000" w:themeColor="text1"/>
          <w:sz w:val="24"/>
          <w:szCs w:val="24"/>
          <w:vertAlign w:val="superscript"/>
          <w:lang w:val="en-US" w:eastAsia="fr-FR"/>
        </w:rPr>
        <w:t>2</w:t>
      </w:r>
    </w:p>
    <w:p w:rsidR="008258DE" w:rsidRPr="00C57211" w:rsidRDefault="008258DE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</w:p>
    <w:p w:rsidR="00F60CB5" w:rsidRPr="004B7A74" w:rsidRDefault="00F60CB5" w:rsidP="004B7A7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4B7A74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val="en-US" w:eastAsia="fr-FR"/>
        </w:rPr>
        <w:t>1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Evo-Eco-Paleo, UMR 8198-CNRS, University of Lille, F-59655 Villeneuve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d'Ascq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, France</w:t>
      </w:r>
      <w:r w:rsidR="00C57211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. borja.cascales-minana@univ-lille1.fr</w:t>
      </w:r>
    </w:p>
    <w:p w:rsidR="00F60CB5" w:rsidRPr="004B7A74" w:rsidRDefault="00F60CB5" w:rsidP="004B7A7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4B7A74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val="en-US" w:eastAsia="fr-FR"/>
        </w:rPr>
        <w:t>2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University of Liege,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Palaeobiogeology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Palaeobotany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Palaeopalynology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Quartier Agora, 152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Allée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du 6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A</w:t>
      </w:r>
      <w:r w:rsidR="00271752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oût</w:t>
      </w:r>
      <w:proofErr w:type="spellEnd"/>
      <w:r w:rsidR="00271752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71752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Bât</w:t>
      </w:r>
      <w:proofErr w:type="spellEnd"/>
      <w:r w:rsidR="00271752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. B-18, parking 40, B-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4000 Liège 1, Belgium</w:t>
      </w:r>
      <w:r w:rsidR="00C57211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. </w:t>
      </w:r>
      <w:hyperlink r:id="rId4" w:history="1">
        <w:r w:rsidR="00C57211" w:rsidRPr="004B7A74">
          <w:rPr>
            <w:rStyle w:val="Lienhypertexte"/>
            <w:rFonts w:ascii="Tahoma" w:hAnsi="Tahoma" w:cs="Tahoma"/>
            <w:sz w:val="24"/>
            <w:szCs w:val="24"/>
            <w:lang w:val="en-US"/>
          </w:rPr>
          <w:t>P.steemans@ulg.ac.be</w:t>
        </w:r>
      </w:hyperlink>
      <w:r w:rsidR="00C57211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;</w:t>
      </w:r>
      <w:r w:rsidR="004B7A74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hyperlink r:id="rId5" w:tgtFrame="_blank" w:history="1">
        <w:r w:rsidR="004B7A74" w:rsidRPr="004B7A74">
          <w:rPr>
            <w:rStyle w:val="Lienhypertexte"/>
            <w:rFonts w:ascii="Tahoma" w:hAnsi="Tahoma" w:cs="Tahoma"/>
            <w:sz w:val="24"/>
            <w:szCs w:val="24"/>
          </w:rPr>
          <w:t>gontnq@gmail.com</w:t>
        </w:r>
      </w:hyperlink>
      <w:proofErr w:type="gramStart"/>
      <w:r w:rsidR="004B7A74" w:rsidRPr="004B7A74">
        <w:rPr>
          <w:rStyle w:val="object"/>
          <w:rFonts w:ascii="Tahoma" w:hAnsi="Tahoma" w:cs="Tahoma"/>
          <w:sz w:val="24"/>
          <w:szCs w:val="24"/>
        </w:rPr>
        <w:t xml:space="preserve">; </w:t>
      </w:r>
      <w:r w:rsidR="00C57211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proofErr w:type="gramEnd"/>
      <w:r w:rsidR="004B7A74" w:rsidRPr="004B7A74">
        <w:rPr>
          <w:rFonts w:ascii="Tahoma" w:hAnsi="Tahoma" w:cs="Tahoma"/>
          <w:sz w:val="24"/>
          <w:szCs w:val="24"/>
        </w:rPr>
        <w:fldChar w:fldCharType="begin"/>
      </w:r>
      <w:r w:rsidR="004B7A74" w:rsidRPr="004B7A74">
        <w:rPr>
          <w:rFonts w:ascii="Tahoma" w:hAnsi="Tahoma" w:cs="Tahoma"/>
          <w:sz w:val="24"/>
          <w:szCs w:val="24"/>
        </w:rPr>
        <w:instrText xml:space="preserve"> HYPERLINK "mailto:p.gerrienne@ulg.ac.be" </w:instrText>
      </w:r>
      <w:r w:rsidR="004B7A74" w:rsidRPr="004B7A74">
        <w:rPr>
          <w:rFonts w:ascii="Tahoma" w:hAnsi="Tahoma" w:cs="Tahoma"/>
          <w:sz w:val="24"/>
          <w:szCs w:val="24"/>
        </w:rPr>
        <w:fldChar w:fldCharType="separate"/>
      </w:r>
      <w:r w:rsidR="00C57211" w:rsidRPr="004B7A74">
        <w:rPr>
          <w:rStyle w:val="Lienhypertexte"/>
          <w:rFonts w:ascii="Tahoma" w:hAnsi="Tahoma" w:cs="Tahoma"/>
          <w:sz w:val="24"/>
          <w:szCs w:val="24"/>
          <w:lang w:val="en-US"/>
        </w:rPr>
        <w:t>p.gerrienne@ulg.ac.be</w:t>
      </w:r>
      <w:r w:rsidR="004B7A74" w:rsidRPr="004B7A74">
        <w:rPr>
          <w:rStyle w:val="Lienhypertexte"/>
          <w:rFonts w:ascii="Tahoma" w:hAnsi="Tahoma" w:cs="Tahoma"/>
          <w:sz w:val="24"/>
          <w:szCs w:val="24"/>
          <w:lang w:val="en-US"/>
        </w:rPr>
        <w:fldChar w:fldCharType="end"/>
      </w:r>
      <w:r w:rsidR="00C57211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; Maurice.streel@ulg.ac.be</w:t>
      </w:r>
    </w:p>
    <w:p w:rsidR="00F60CB5" w:rsidRPr="004B7A74" w:rsidRDefault="00F60CB5" w:rsidP="004B7A7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4B7A74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val="en-US" w:eastAsia="fr-FR"/>
        </w:rPr>
        <w:t>3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Departament of Geology,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Universiy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of </w:t>
      </w:r>
      <w:r w:rsidR="0097509B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Valencia</w:t>
      </w:r>
      <w:r w:rsidR="0003585C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c/ Dr. </w:t>
      </w:r>
      <w:proofErr w:type="spellStart"/>
      <w:r w:rsidR="0003585C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Moliner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50</w:t>
      </w:r>
      <w:r w:rsidR="0003585C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,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E-46100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Burjassot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, Spain.</w:t>
      </w:r>
      <w:r w:rsidR="004B7A74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hyperlink r:id="rId6" w:tgtFrame="_blank" w:history="1">
        <w:r w:rsidR="004B7A74" w:rsidRPr="004B7A74">
          <w:rPr>
            <w:rStyle w:val="Lienhypertexte"/>
            <w:rFonts w:ascii="Tahoma" w:hAnsi="Tahoma" w:cs="Tahoma"/>
            <w:sz w:val="24"/>
            <w:szCs w:val="24"/>
          </w:rPr>
          <w:t>rodolfo.gozalo@uv.es</w:t>
        </w:r>
      </w:hyperlink>
      <w:r w:rsidR="004B7A74" w:rsidRPr="004B7A74">
        <w:rPr>
          <w:rStyle w:val="object"/>
          <w:rFonts w:ascii="Tahoma" w:hAnsi="Tahoma" w:cs="Tahoma"/>
          <w:sz w:val="24"/>
          <w:szCs w:val="24"/>
        </w:rPr>
        <w:t xml:space="preserve">; </w:t>
      </w:r>
      <w:hyperlink r:id="rId7" w:tgtFrame="_blank" w:history="1">
        <w:r w:rsidR="004B7A74" w:rsidRPr="004B7A74">
          <w:rPr>
            <w:rStyle w:val="Lienhypertexte"/>
            <w:rFonts w:ascii="Tahoma" w:hAnsi="Tahoma" w:cs="Tahoma"/>
            <w:sz w:val="24"/>
            <w:szCs w:val="24"/>
          </w:rPr>
          <w:t>jose.i.valenzuela@uv.es</w:t>
        </w:r>
      </w:hyperlink>
    </w:p>
    <w:p w:rsidR="00F60CB5" w:rsidRPr="004B7A74" w:rsidRDefault="00F60CB5" w:rsidP="004B7A7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4B7A74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val="en-US" w:eastAsia="fr-FR"/>
        </w:rPr>
        <w:t>4</w:t>
      </w:r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Departamento de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Xeociencias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Mariñas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Ordenación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Territorio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>Universidade</w:t>
      </w:r>
      <w:proofErr w:type="spellEnd"/>
      <w:r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de 7 Vigo. 36200, Vigo, Spain</w:t>
      </w:r>
      <w:r w:rsidR="004B7A74" w:rsidRPr="004B7A74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. </w:t>
      </w:r>
      <w:hyperlink r:id="rId8" w:tgtFrame="_blank" w:history="1">
        <w:r w:rsidR="004B7A74" w:rsidRPr="004B7A74">
          <w:rPr>
            <w:rStyle w:val="Lienhypertexte"/>
            <w:rFonts w:ascii="Tahoma" w:hAnsi="Tahoma" w:cs="Tahoma"/>
            <w:sz w:val="24"/>
            <w:szCs w:val="24"/>
          </w:rPr>
          <w:t>jbdiez@uvigo.es</w:t>
        </w:r>
      </w:hyperlink>
    </w:p>
    <w:p w:rsidR="00F60CB5" w:rsidRPr="00C57211" w:rsidRDefault="00F60CB5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</w:p>
    <w:p w:rsidR="00291C74" w:rsidRPr="00C57211" w:rsidRDefault="00291C74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C57211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val="en-US" w:eastAsia="fr-FR"/>
        </w:rPr>
        <w:t>*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Corresponding author: borja.cascales-minana@univ-lille1.fr</w:t>
      </w:r>
    </w:p>
    <w:p w:rsidR="00291C74" w:rsidRPr="00C57211" w:rsidRDefault="00291C74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</w:p>
    <w:p w:rsidR="00D676F7" w:rsidRPr="00C57211" w:rsidRDefault="00FE22D9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GB"/>
        </w:rPr>
      </w:pP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The Upper Devonian </w:t>
      </w:r>
      <w:proofErr w:type="spellStart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Bolloncillos</w:t>
      </w:r>
      <w:proofErr w:type="spellEnd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Formation consists of a series of </w:t>
      </w:r>
      <w:proofErr w:type="spellStart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det</w:t>
      </w:r>
      <w:r w:rsidR="00840791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rit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ic</w:t>
      </w:r>
      <w:proofErr w:type="spellEnd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rocks </w:t>
      </w:r>
      <w:proofErr w:type="gramStart"/>
      <w:r w:rsidR="00840791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with  </w:t>
      </w:r>
      <w:proofErr w:type="spellStart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alternance</w:t>
      </w:r>
      <w:proofErr w:type="spellEnd"/>
      <w:proofErr w:type="gramEnd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of shales and sandstones. </w:t>
      </w:r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Previous works have documented a great diversity of ostracods, </w:t>
      </w:r>
      <w:proofErr w:type="spellStart"/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tentaculites</w:t>
      </w:r>
      <w:proofErr w:type="spellEnd"/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and conodonts from which key </w:t>
      </w:r>
      <w:proofErr w:type="spellStart"/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biozone</w:t>
      </w:r>
      <w:proofErr w:type="spellEnd"/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correlations of marine environments have been done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.</w:t>
      </w:r>
      <w:r w:rsidRPr="00C57211">
        <w:rPr>
          <w:rFonts w:ascii="Tahoma" w:eastAsia="Times New Roman" w:hAnsi="Tahoma" w:cs="Tahoma"/>
          <w:b/>
          <w:color w:val="000000" w:themeColor="text1"/>
          <w:sz w:val="24"/>
          <w:szCs w:val="24"/>
          <w:lang w:val="en-US" w:eastAsia="fr-FR"/>
        </w:rPr>
        <w:t xml:space="preserve"> </w:t>
      </w:r>
      <w:r w:rsidR="00840791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In this communica</w:t>
      </w:r>
      <w:r w:rsidR="002966AB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tion, we present the first dispersed spore </w:t>
      </w:r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data</w:t>
      </w:r>
      <w:r w:rsidR="002966AB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of 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this formation.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The isolated spore assemblage is formed by 26 spore taxa</w:t>
      </w:r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,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belonging to 20 genera</w:t>
      </w:r>
      <w:r w:rsidR="0003585C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, including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Acino</w:t>
      </w:r>
      <w:bookmarkStart w:id="0" w:name="_GoBack"/>
      <w:bookmarkEnd w:id="0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sporites </w:t>
      </w:r>
      <w:hyperlink r:id="rId9" w:anchor="ref-50" w:history="1">
        <w:r w:rsidR="00D676F7" w:rsidRPr="00C57211">
          <w:rPr>
            <w:rFonts w:ascii="Tahoma" w:hAnsi="Tahoma" w:cs="Tahoma"/>
            <w:color w:val="000000" w:themeColor="text1"/>
            <w:sz w:val="24"/>
            <w:szCs w:val="24"/>
            <w:lang w:val="en-GB"/>
          </w:rPr>
          <w:t xml:space="preserve">sp., </w:t>
        </w:r>
      </w:hyperlink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Ambitisporites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avitus-dilutus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,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Aneurospora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greggsii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D676F7" w:rsidRPr="00C57211">
        <w:rPr>
          <w:rStyle w:val="apple-converted-space"/>
          <w:rFonts w:ascii="Tahoma" w:hAnsi="Tahoma" w:cs="Tahoma"/>
          <w:i/>
          <w:color w:val="000000" w:themeColor="text1"/>
          <w:sz w:val="24"/>
          <w:szCs w:val="24"/>
          <w:shd w:val="clear" w:color="auto" w:fill="FFFFFF"/>
          <w:lang w:val="en-US"/>
        </w:rPr>
        <w:t>Aneurospora</w:t>
      </w:r>
      <w:proofErr w:type="spellEnd"/>
      <w:r w:rsidR="00D676F7" w:rsidRPr="00C57211">
        <w:rPr>
          <w:rStyle w:val="apple-converted-space"/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 sp.,</w:t>
      </w:r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Convolutispora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sp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.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Emphanisporites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mcgregorii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Emphanisporites rotates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,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Geminospora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punctata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Geminospora</w:t>
      </w:r>
      <w:proofErr w:type="spellEnd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lemurata</w:t>
      </w:r>
      <w:proofErr w:type="spellEnd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Retusotriletes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rotundus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Retusotriletes</w:t>
      </w:r>
      <w:proofErr w:type="spellEnd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rugulatus</w:t>
      </w:r>
      <w:proofErr w:type="spellEnd"/>
      <w:r w:rsidR="00840791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,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Rugospora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r w:rsidR="00D676F7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cf.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spinosa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  <w:lang w:val="en-US"/>
        </w:rPr>
        <w:t>Rugospora</w:t>
      </w:r>
      <w:proofErr w:type="spellEnd"/>
      <w:r w:rsidR="00D676F7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 cf.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  <w:lang w:val="en-US"/>
        </w:rPr>
        <w:t>minuta</w:t>
      </w:r>
      <w:proofErr w:type="spellEnd"/>
      <w:r w:rsidR="007E1D96" w:rsidRPr="00C57211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Samarisporites</w:t>
      </w:r>
      <w:proofErr w:type="spellEnd"/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4819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triangulatus</w:t>
      </w:r>
      <w:proofErr w:type="spellEnd"/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, </w:t>
      </w:r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Verrucosisporites </w:t>
      </w:r>
      <w:proofErr w:type="spellStart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bulliferus</w:t>
      </w:r>
      <w:proofErr w:type="spellEnd"/>
      <w:r w:rsidR="00D676F7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 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and </w:t>
      </w:r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Zonotriletes brevivelatus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(among others).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Spore evidence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(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Retusotriletes</w:t>
      </w:r>
      <w:proofErr w:type="spellEnd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rugulatus</w:t>
      </w:r>
      <w:proofErr w:type="spellEnd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and </w:t>
      </w:r>
      <w:r w:rsidR="002B6200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Verrucosisporites </w:t>
      </w:r>
      <w:proofErr w:type="spellStart"/>
      <w:r w:rsidR="002B6200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bulliferus</w:t>
      </w:r>
      <w:proofErr w:type="spellEnd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)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suggests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that the time interval covered by 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the palynoflora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would correspond to the 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ovalis-bulliferous</w:t>
      </w:r>
      <w:proofErr w:type="spellEnd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Assemblage Zone </w:t>
      </w:r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of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the Old Red Sandstone </w:t>
      </w:r>
      <w:proofErr w:type="spellStart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Palaeocontinent</w:t>
      </w:r>
      <w:proofErr w:type="spellEnd"/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. This zone, 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equivalent to several key spore zonations of western Europe, such as </w:t>
      </w:r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the 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BJ (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bulliferus-jekhowskyi</w:t>
      </w:r>
      <w:proofErr w:type="spellEnd"/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)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,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BM (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bulliferus</w:t>
      </w:r>
      <w:proofErr w:type="spellEnd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-media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)</w:t>
      </w:r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zones, as well as the 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BA (</w:t>
      </w:r>
      <w:proofErr w:type="spellStart"/>
      <w:r w:rsidR="00E2711D"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bricei-acanthaceus</w:t>
      </w:r>
      <w:proofErr w:type="spellEnd"/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) spore zone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(lower part)</w:t>
      </w:r>
      <w:r w:rsidR="002B6200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,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advocates for</w:t>
      </w:r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 </w:t>
      </w:r>
      <w:r w:rsidR="00747902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mid- to late </w:t>
      </w:r>
      <w:proofErr w:type="spellStart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Frasnian</w:t>
      </w:r>
      <w:proofErr w:type="spellEnd"/>
      <w:r w:rsidR="00E2711D"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age for the outcrop.</w:t>
      </w:r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 xml:space="preserve">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R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esults also </w:t>
      </w:r>
      <w:r w:rsidR="00533A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indicate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that </w:t>
      </w:r>
      <w:r w:rsidR="007E1D96" w:rsidRPr="00C57211">
        <w:rPr>
          <w:rFonts w:ascii="Tahoma" w:hAnsi="Tahoma" w:cs="Tahoma"/>
          <w:i/>
          <w:color w:val="000000" w:themeColor="text1"/>
          <w:sz w:val="24"/>
          <w:szCs w:val="24"/>
          <w:lang w:val="en-GB"/>
        </w:rPr>
        <w:t>Zonotriletes brevivelatus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, a </w:t>
      </w:r>
      <w:proofErr w:type="spellStart"/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taxon</w:t>
      </w:r>
      <w:proofErr w:type="spellEnd"/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previously only documented from the Lower Devonian of North Africa, would extend its distribution through Devonian. </w:t>
      </w:r>
      <w:r w:rsidR="00747902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The n</w:t>
      </w:r>
      <w:r w:rsidR="00B158EB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ew data </w:t>
      </w:r>
      <w:r w:rsidR="00747902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presented here </w:t>
      </w:r>
      <w:r w:rsidR="00B158EB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allow improv</w:t>
      </w:r>
      <w:r w:rsidR="00747902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ed</w:t>
      </w:r>
      <w:r w:rsidR="00B158EB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comparisons between marine biostratigraphy and Devonian terrestrial facies zonations. 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Implications of </w:t>
      </w:r>
      <w:r w:rsidR="00747902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the </w:t>
      </w:r>
      <w:r w:rsidR="007E1D96" w:rsidRPr="00C57211">
        <w:rPr>
          <w:rFonts w:ascii="Tahoma" w:hAnsi="Tahoma" w:cs="Tahoma"/>
          <w:color w:val="000000" w:themeColor="text1"/>
          <w:sz w:val="24"/>
          <w:szCs w:val="24"/>
          <w:lang w:val="en-GB"/>
        </w:rPr>
        <w:t>temporal-spatial distribution of spore taxa are discussed.</w:t>
      </w:r>
    </w:p>
    <w:p w:rsidR="00291C74" w:rsidRPr="00C57211" w:rsidRDefault="00291C74" w:rsidP="00291C74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en-GB"/>
        </w:rPr>
      </w:pPr>
    </w:p>
    <w:p w:rsidR="00291C74" w:rsidRPr="00C57211" w:rsidRDefault="00291C74" w:rsidP="00291C74">
      <w:pPr>
        <w:spacing w:after="0" w:line="24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  <w:lang w:val="en-GB"/>
        </w:rPr>
      </w:pPr>
      <w:r w:rsidRPr="00C57211">
        <w:rPr>
          <w:rFonts w:ascii="Tahoma" w:hAnsi="Tahoma" w:cs="Tahoma"/>
          <w:b/>
          <w:color w:val="000000" w:themeColor="text1"/>
          <w:sz w:val="24"/>
          <w:szCs w:val="24"/>
          <w:lang w:val="en-GB"/>
        </w:rPr>
        <w:t xml:space="preserve">Acknowledgements. 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BCM thanks the support provided by the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Région</w:t>
      </w:r>
      <w:proofErr w:type="spell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Hauts</w:t>
      </w:r>
      <w:proofErr w:type="spell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-de-France</w:t>
      </w:r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and the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Ministère</w:t>
      </w:r>
      <w:proofErr w:type="spell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de</w:t>
      </w:r>
      <w:r w:rsidRPr="00C57211">
        <w:rPr>
          <w:rFonts w:ascii="Tahoma" w:hAnsi="Tahoma" w:cs="Tahoma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l’Enseignement</w:t>
      </w:r>
      <w:proofErr w:type="spell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Supérieur</w:t>
      </w:r>
      <w:proofErr w:type="spell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et</w:t>
      </w:r>
      <w:proofErr w:type="gramEnd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C57211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>Recherche</w:t>
      </w:r>
      <w:proofErr w:type="spellEnd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(CPER </w:t>
      </w:r>
      <w:proofErr w:type="spellStart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Climibio</w:t>
      </w:r>
      <w:proofErr w:type="spellEnd"/>
      <w:r w:rsidRPr="00C57211">
        <w:rPr>
          <w:rFonts w:ascii="Tahoma" w:hAnsi="Tahoma" w:cs="Tahoma"/>
          <w:color w:val="000000" w:themeColor="text1"/>
          <w:sz w:val="24"/>
          <w:szCs w:val="24"/>
          <w:lang w:val="en-US"/>
        </w:rPr>
        <w:t>), and the European Fund for Regional Economic Development.</w:t>
      </w:r>
    </w:p>
    <w:p w:rsidR="00291C74" w:rsidRPr="00747902" w:rsidRDefault="00291C74" w:rsidP="00291C74">
      <w:pPr>
        <w:spacing w:after="0"/>
        <w:jc w:val="both"/>
        <w:rPr>
          <w:rFonts w:ascii="Liberation Serif" w:hAnsi="Liberation Serif" w:cs="Liberation Serif"/>
          <w:color w:val="000000" w:themeColor="text1"/>
          <w:sz w:val="24"/>
          <w:szCs w:val="24"/>
          <w:lang w:val="en-GB"/>
        </w:rPr>
      </w:pPr>
    </w:p>
    <w:sectPr w:rsidR="00291C74" w:rsidRPr="00747902" w:rsidSect="000A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B0"/>
    <w:rsid w:val="0003585C"/>
    <w:rsid w:val="000A1824"/>
    <w:rsid w:val="000E0049"/>
    <w:rsid w:val="001316E5"/>
    <w:rsid w:val="00271752"/>
    <w:rsid w:val="00291C74"/>
    <w:rsid w:val="002966AB"/>
    <w:rsid w:val="002B6200"/>
    <w:rsid w:val="002E72B0"/>
    <w:rsid w:val="004B7A74"/>
    <w:rsid w:val="00533A96"/>
    <w:rsid w:val="006B3997"/>
    <w:rsid w:val="00747902"/>
    <w:rsid w:val="007E1D96"/>
    <w:rsid w:val="008258DE"/>
    <w:rsid w:val="00840791"/>
    <w:rsid w:val="008519C8"/>
    <w:rsid w:val="008D02F7"/>
    <w:rsid w:val="0097509B"/>
    <w:rsid w:val="009B4819"/>
    <w:rsid w:val="00B158EB"/>
    <w:rsid w:val="00C57211"/>
    <w:rsid w:val="00D676F7"/>
    <w:rsid w:val="00D86DF7"/>
    <w:rsid w:val="00E2711D"/>
    <w:rsid w:val="00E52E01"/>
    <w:rsid w:val="00F60CB5"/>
    <w:rsid w:val="00F6780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A1C40-07E3-4ACE-BC62-CAE40B6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676F7"/>
  </w:style>
  <w:style w:type="paragraph" w:styleId="Textedebulles">
    <w:name w:val="Balloon Text"/>
    <w:basedOn w:val="Normal"/>
    <w:link w:val="TextedebullesCar"/>
    <w:uiPriority w:val="99"/>
    <w:semiHidden/>
    <w:unhideWhenUsed/>
    <w:rsid w:val="00C5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21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7211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4B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diez@uvigo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.i.valenzuela@uv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olfo.gozalo@uv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ntnq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.steemans@ulg.ac.be" TargetMode="External"/><Relationship Id="rId9" Type="http://schemas.openxmlformats.org/officeDocument/2006/relationships/hyperlink" Target="http://www.amjbot.org/content/96/10/1849.fu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Borja Cascales Minana</dc:creator>
  <cp:lastModifiedBy>Philippe Steemans</cp:lastModifiedBy>
  <cp:revision>2</cp:revision>
  <dcterms:created xsi:type="dcterms:W3CDTF">2017-12-05T12:26:00Z</dcterms:created>
  <dcterms:modified xsi:type="dcterms:W3CDTF">2017-12-05T12:26:00Z</dcterms:modified>
</cp:coreProperties>
</file>