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88F65" w14:textId="77777777" w:rsidR="00CB42A3" w:rsidRDefault="00CB42A3" w:rsidP="00F8210B">
      <w:pPr>
        <w:pStyle w:val="Titre1"/>
        <w:rPr>
          <w:b/>
          <w:i w:val="0"/>
          <w:u w:val="none"/>
          <w:lang w:val="en-GB"/>
        </w:rPr>
      </w:pPr>
      <w:r w:rsidRPr="00CB42A3">
        <w:rPr>
          <w:b/>
          <w:i w:val="0"/>
          <w:u w:val="none"/>
          <w:lang w:val="en-GB"/>
        </w:rPr>
        <w:t>Abstract</w:t>
      </w:r>
      <w:r>
        <w:rPr>
          <w:b/>
          <w:i w:val="0"/>
          <w:u w:val="none"/>
          <w:lang w:val="en-GB"/>
        </w:rPr>
        <w:t xml:space="preserve"> TISSA</w:t>
      </w:r>
    </w:p>
    <w:p w14:paraId="2FE1FF7E" w14:textId="77777777" w:rsidR="00CB42A3" w:rsidRDefault="00CB42A3" w:rsidP="00F8210B"/>
    <w:p w14:paraId="0C134A89" w14:textId="77777777" w:rsidR="00C51178" w:rsidRPr="00597778" w:rsidRDefault="00C51178" w:rsidP="00F8210B">
      <w:pPr>
        <w:rPr>
          <w:b/>
          <w:sz w:val="24"/>
          <w:lang w:val="en-US"/>
        </w:rPr>
      </w:pPr>
      <w:r w:rsidRPr="00597778">
        <w:rPr>
          <w:b/>
          <w:sz w:val="24"/>
        </w:rPr>
        <w:t>Theorising c</w:t>
      </w:r>
      <w:proofErr w:type="spellStart"/>
      <w:r w:rsidRPr="00597778">
        <w:rPr>
          <w:b/>
          <w:sz w:val="24"/>
          <w:lang w:val="en-US"/>
        </w:rPr>
        <w:t>onstructions</w:t>
      </w:r>
      <w:proofErr w:type="spellEnd"/>
      <w:r w:rsidRPr="00597778">
        <w:rPr>
          <w:b/>
          <w:sz w:val="24"/>
          <w:lang w:val="en-US"/>
        </w:rPr>
        <w:t xml:space="preserve"> of employability and processes of social disqualification towards children and parents in poverty situations: An exploration of the work of Robert Castel and Serge </w:t>
      </w:r>
      <w:proofErr w:type="spellStart"/>
      <w:r w:rsidRPr="00597778">
        <w:rPr>
          <w:b/>
          <w:sz w:val="24"/>
          <w:lang w:val="en-US"/>
        </w:rPr>
        <w:t>Paugam</w:t>
      </w:r>
      <w:proofErr w:type="spellEnd"/>
    </w:p>
    <w:p w14:paraId="5B1F215D" w14:textId="77777777" w:rsidR="00C51178" w:rsidRPr="00C51178" w:rsidRDefault="00C51178" w:rsidP="00F8210B">
      <w:pPr>
        <w:rPr>
          <w:lang w:val="en-US"/>
        </w:rPr>
      </w:pPr>
    </w:p>
    <w:p w14:paraId="544FE472" w14:textId="77777777" w:rsidR="00180D89" w:rsidRPr="00180D89" w:rsidRDefault="00180D89" w:rsidP="00F8210B">
      <w:pPr>
        <w:rPr>
          <w:lang w:val="nl-BE"/>
        </w:rPr>
      </w:pPr>
      <w:r w:rsidRPr="00180D89">
        <w:rPr>
          <w:lang w:val="nl-BE"/>
        </w:rPr>
        <w:t xml:space="preserve">Nicolas Jacquet, Dorien Van Haute, Laurent Nisen, Michel Vandenbroeck &amp; Griet Roets </w:t>
      </w:r>
    </w:p>
    <w:p w14:paraId="17FBC654" w14:textId="77777777" w:rsidR="00180D89" w:rsidRDefault="00180D89" w:rsidP="00F8210B">
      <w:pPr>
        <w:rPr>
          <w:lang w:val="nl-BE"/>
        </w:rPr>
      </w:pPr>
    </w:p>
    <w:p w14:paraId="30F440FC" w14:textId="77777777" w:rsidR="00CB42A3" w:rsidRPr="00180D89" w:rsidRDefault="00CB42A3" w:rsidP="00F8210B">
      <w:pPr>
        <w:rPr>
          <w:lang w:val="nl-BE"/>
        </w:rPr>
      </w:pPr>
    </w:p>
    <w:p w14:paraId="256DCD6E" w14:textId="77777777" w:rsidR="00CB42A3" w:rsidRPr="00CB42A3" w:rsidRDefault="00CB42A3" w:rsidP="00F8210B">
      <w:pPr>
        <w:autoSpaceDE w:val="0"/>
        <w:autoSpaceDN w:val="0"/>
        <w:adjustRightInd w:val="0"/>
        <w:rPr>
          <w:rFonts w:ascii="AdvTT5843c571" w:hAnsi="AdvTT5843c571" w:cs="AdvTT5843c571"/>
          <w:sz w:val="24"/>
          <w:lang w:val="en-US"/>
        </w:rPr>
      </w:pPr>
      <w:r w:rsidRPr="00CB42A3">
        <w:rPr>
          <w:rFonts w:ascii="AdvTT5843c571" w:eastAsiaTheme="minorEastAsia" w:hAnsi="AdvTT5843c571" w:cs="AdvTT5843c571"/>
          <w:color w:val="000000"/>
          <w:sz w:val="24"/>
          <w:lang w:val="en-US" w:eastAsia="fr-FR"/>
        </w:rPr>
        <w:t>Since the introduction of the Lisbon strategy (2000</w:t>
      </w:r>
      <w:r w:rsidRPr="00CB42A3">
        <w:rPr>
          <w:rFonts w:ascii="AdvOTb0c9bf5d+20" w:eastAsiaTheme="minorEastAsia" w:hAnsi="AdvOTb0c9bf5d+20" w:cs="AdvOTb0c9bf5d+20"/>
          <w:color w:val="000000"/>
          <w:sz w:val="24"/>
          <w:lang w:val="en-US" w:eastAsia="fr-FR"/>
        </w:rPr>
        <w:t>–</w:t>
      </w:r>
      <w:r w:rsidRPr="00CB42A3">
        <w:rPr>
          <w:rFonts w:ascii="AdvTT5843c571" w:eastAsiaTheme="minorEastAsia" w:hAnsi="AdvTT5843c571" w:cs="AdvTT5843c571"/>
          <w:color w:val="000000"/>
          <w:sz w:val="24"/>
          <w:lang w:val="en-US" w:eastAsia="fr-FR"/>
        </w:rPr>
        <w:t>2010) and the EU 2020 strategy (2010</w:t>
      </w:r>
      <w:r w:rsidRPr="00CB42A3">
        <w:rPr>
          <w:rFonts w:ascii="AdvOTb0c9bf5d+20" w:eastAsiaTheme="minorEastAsia" w:hAnsi="AdvOTb0c9bf5d+20" w:cs="AdvOTb0c9bf5d+20"/>
          <w:color w:val="000000"/>
          <w:sz w:val="24"/>
          <w:lang w:val="en-US" w:eastAsia="fr-FR"/>
        </w:rPr>
        <w:t>–</w:t>
      </w:r>
      <w:r w:rsidRPr="00CB42A3">
        <w:rPr>
          <w:rFonts w:ascii="AdvTT5843c571" w:eastAsiaTheme="minorEastAsia" w:hAnsi="AdvTT5843c571" w:cs="AdvTT5843c571"/>
          <w:color w:val="000000"/>
          <w:sz w:val="24"/>
          <w:lang w:val="en-US" w:eastAsia="fr-FR"/>
        </w:rPr>
        <w:t xml:space="preserve">2020), European welfare states have developed a particular concern to generate tangible results from the efforts made to combat child poverty (Council of the European </w:t>
      </w:r>
      <w:r w:rsidRPr="00186019">
        <w:rPr>
          <w:rFonts w:ascii="AdvTT5843c571" w:eastAsiaTheme="minorEastAsia" w:hAnsi="AdvTT5843c571" w:cs="AdvTT5843c571"/>
          <w:sz w:val="24"/>
          <w:lang w:val="en-US" w:eastAsia="fr-FR"/>
        </w:rPr>
        <w:t xml:space="preserve">Union, 2006; Schiettecat, Roets &amp; </w:t>
      </w:r>
      <w:proofErr w:type="spellStart"/>
      <w:r w:rsidRPr="00186019">
        <w:rPr>
          <w:rFonts w:ascii="AdvTT5843c571" w:eastAsiaTheme="minorEastAsia" w:hAnsi="AdvTT5843c571" w:cs="AdvTT5843c571"/>
          <w:sz w:val="24"/>
          <w:lang w:val="en-US" w:eastAsia="fr-FR"/>
        </w:rPr>
        <w:t>Vandenbroeck</w:t>
      </w:r>
      <w:proofErr w:type="spellEnd"/>
      <w:r w:rsidRPr="00186019">
        <w:rPr>
          <w:rFonts w:ascii="AdvTT5843c571" w:eastAsiaTheme="minorEastAsia" w:hAnsi="AdvTT5843c571" w:cs="AdvTT5843c571"/>
          <w:sz w:val="24"/>
          <w:lang w:val="en-US" w:eastAsia="fr-FR"/>
        </w:rPr>
        <w:t>, 2014).</w:t>
      </w:r>
      <w:r w:rsidRPr="00CB42A3">
        <w:rPr>
          <w:rFonts w:ascii="AdvTT5843c571" w:eastAsiaTheme="minorEastAsia" w:hAnsi="AdvTT5843c571" w:cs="AdvTT5843c571"/>
          <w:color w:val="000000"/>
          <w:sz w:val="24"/>
          <w:lang w:val="en-US" w:eastAsia="fr-FR"/>
        </w:rPr>
        <w:t xml:space="preserve"> We will argue that this emphasis</w:t>
      </w:r>
      <w:r>
        <w:rPr>
          <w:rFonts w:ascii="AdvTT5843c571" w:eastAsiaTheme="minorEastAsia" w:hAnsi="AdvTT5843c571" w:cs="AdvTT5843c571"/>
          <w:color w:val="000000"/>
          <w:sz w:val="24"/>
          <w:lang w:val="en-US" w:eastAsia="fr-FR"/>
        </w:rPr>
        <w:t xml:space="preserve"> in anti-poverty strategies</w:t>
      </w:r>
      <w:r w:rsidRPr="00CB42A3">
        <w:rPr>
          <w:rFonts w:ascii="AdvTT5843c571" w:eastAsiaTheme="minorEastAsia" w:hAnsi="AdvTT5843c571" w:cs="AdvTT5843c571"/>
          <w:color w:val="000000"/>
          <w:sz w:val="24"/>
          <w:lang w:val="en-US" w:eastAsia="fr-FR"/>
        </w:rPr>
        <w:t xml:space="preserve"> coincides with a stringent social investment rhetoric, </w:t>
      </w:r>
      <w:r w:rsidRPr="00CB42A3">
        <w:rPr>
          <w:sz w:val="24"/>
        </w:rPr>
        <w:t>which is often reflected in national social inclusion policies in European welfare states</w:t>
      </w:r>
      <w:r>
        <w:rPr>
          <w:sz w:val="24"/>
        </w:rPr>
        <w:t xml:space="preserve"> and </w:t>
      </w:r>
      <w:r w:rsidRPr="00CB42A3">
        <w:rPr>
          <w:sz w:val="24"/>
        </w:rPr>
        <w:t xml:space="preserve">based on ideas of active citizenship </w:t>
      </w:r>
      <w:r>
        <w:rPr>
          <w:sz w:val="24"/>
        </w:rPr>
        <w:t xml:space="preserve">and employability </w:t>
      </w:r>
      <w:r w:rsidRPr="00CB42A3">
        <w:rPr>
          <w:sz w:val="24"/>
        </w:rPr>
        <w:t xml:space="preserve">(Roets et al., 2012; </w:t>
      </w:r>
      <w:proofErr w:type="spellStart"/>
      <w:r>
        <w:rPr>
          <w:sz w:val="24"/>
        </w:rPr>
        <w:t>Orianne</w:t>
      </w:r>
      <w:proofErr w:type="spellEnd"/>
      <w:r>
        <w:rPr>
          <w:sz w:val="24"/>
        </w:rPr>
        <w:t xml:space="preserve">, 2012; </w:t>
      </w:r>
      <w:r w:rsidRPr="00CB42A3">
        <w:rPr>
          <w:sz w:val="24"/>
        </w:rPr>
        <w:t>Gray, 2014). As Gray (2014, p. 1751) asserts, while social inclusion centres on ‘championing the rights of poor, marginalised, oppressed and socially excluded groups in society</w:t>
      </w:r>
      <w:r>
        <w:rPr>
          <w:sz w:val="24"/>
        </w:rPr>
        <w:t>’</w:t>
      </w:r>
      <w:r w:rsidRPr="00CB42A3">
        <w:rPr>
          <w:sz w:val="24"/>
        </w:rPr>
        <w:t>, it is</w:t>
      </w:r>
      <w:r>
        <w:rPr>
          <w:sz w:val="24"/>
        </w:rPr>
        <w:t xml:space="preserve"> equally well</w:t>
      </w:r>
      <w:r w:rsidRPr="00CB42A3">
        <w:rPr>
          <w:sz w:val="24"/>
        </w:rPr>
        <w:t xml:space="preserve"> juxtaposed against neo-liberal stringency</w:t>
      </w:r>
      <w:r w:rsidR="00180D89">
        <w:rPr>
          <w:sz w:val="24"/>
        </w:rPr>
        <w:t xml:space="preserve">, austerity measures to reduce welfare </w:t>
      </w:r>
      <w:proofErr w:type="spellStart"/>
      <w:r w:rsidR="00180D89">
        <w:rPr>
          <w:sz w:val="24"/>
        </w:rPr>
        <w:t>consts</w:t>
      </w:r>
      <w:proofErr w:type="spellEnd"/>
      <w:r w:rsidR="00180D89">
        <w:rPr>
          <w:sz w:val="24"/>
        </w:rPr>
        <w:t>,</w:t>
      </w:r>
      <w:r w:rsidRPr="00CB42A3">
        <w:rPr>
          <w:sz w:val="24"/>
        </w:rPr>
        <w:t xml:space="preserve"> </w:t>
      </w:r>
      <w:r>
        <w:rPr>
          <w:sz w:val="24"/>
        </w:rPr>
        <w:t>and</w:t>
      </w:r>
      <w:r w:rsidRPr="00CB42A3">
        <w:rPr>
          <w:sz w:val="24"/>
        </w:rPr>
        <w:t xml:space="preserve"> welfare-to-work programmes.</w:t>
      </w:r>
      <w:r>
        <w:rPr>
          <w:sz w:val="24"/>
        </w:rPr>
        <w:t xml:space="preserve"> </w:t>
      </w:r>
      <w:r w:rsidRPr="00CB42A3">
        <w:rPr>
          <w:sz w:val="24"/>
        </w:rPr>
        <w:t xml:space="preserve">These policies proclaim a focus on human and social capital development, such as </w:t>
      </w:r>
      <w:bookmarkStart w:id="0" w:name="_GoBack"/>
      <w:bookmarkEnd w:id="0"/>
      <w:r>
        <w:rPr>
          <w:sz w:val="24"/>
        </w:rPr>
        <w:t>marketable skills, knowledge,</w:t>
      </w:r>
      <w:r w:rsidRPr="00CB42A3">
        <w:rPr>
          <w:sz w:val="24"/>
        </w:rPr>
        <w:t xml:space="preserve"> </w:t>
      </w:r>
      <w:r>
        <w:rPr>
          <w:sz w:val="24"/>
        </w:rPr>
        <w:t>employability</w:t>
      </w:r>
      <w:r w:rsidRPr="00CB42A3">
        <w:rPr>
          <w:sz w:val="24"/>
        </w:rPr>
        <w:t xml:space="preserve">, </w:t>
      </w:r>
      <w:r>
        <w:rPr>
          <w:sz w:val="24"/>
        </w:rPr>
        <w:t xml:space="preserve">and self-responsibility, </w:t>
      </w:r>
      <w:r w:rsidRPr="00CB42A3">
        <w:rPr>
          <w:sz w:val="24"/>
        </w:rPr>
        <w:t xml:space="preserve">being justified by the promise that these strategies prevent </w:t>
      </w:r>
      <w:r>
        <w:rPr>
          <w:sz w:val="24"/>
        </w:rPr>
        <w:t xml:space="preserve">poverty </w:t>
      </w:r>
      <w:r w:rsidRPr="00CB42A3">
        <w:rPr>
          <w:sz w:val="24"/>
        </w:rPr>
        <w:t xml:space="preserve">by reinserting those who have been marginalised from education or the labour market into society, or enable them to reintegrate themselves (Dean, 2003; </w:t>
      </w:r>
      <w:proofErr w:type="spellStart"/>
      <w:r w:rsidRPr="00CB42A3">
        <w:rPr>
          <w:sz w:val="24"/>
        </w:rPr>
        <w:t>Villadson</w:t>
      </w:r>
      <w:proofErr w:type="spellEnd"/>
      <w:r w:rsidRPr="00CB42A3">
        <w:rPr>
          <w:sz w:val="24"/>
        </w:rPr>
        <w:t xml:space="preserve">, 2007; MacDonald &amp; Marston, 2005; </w:t>
      </w:r>
      <w:proofErr w:type="spellStart"/>
      <w:r w:rsidRPr="00CB42A3">
        <w:rPr>
          <w:sz w:val="24"/>
        </w:rPr>
        <w:t>Vrancken</w:t>
      </w:r>
      <w:proofErr w:type="spellEnd"/>
      <w:r w:rsidRPr="00CB42A3">
        <w:rPr>
          <w:sz w:val="24"/>
        </w:rPr>
        <w:t>, 2012). The dependency of citizens on the social welfare system (e.g. in the case of unemployment) has been considered as a vital social risk, and (future) economic participation is put forward as the key marker to recognise people as citizens (Lister, 2003; Jorgensen, 2004). In that sense</w:t>
      </w:r>
      <w:r w:rsidRPr="00CB42A3">
        <w:rPr>
          <w:rFonts w:eastAsiaTheme="minorEastAsia"/>
          <w:sz w:val="24"/>
          <w:lang w:val="en-US" w:eastAsia="fr-FR"/>
        </w:rPr>
        <w:t>, children as citizen-workers- of-the-future along with parents in poverty</w:t>
      </w:r>
      <w:r w:rsidRPr="00E56417">
        <w:rPr>
          <w:rFonts w:ascii="AdvTT5843c571" w:eastAsiaTheme="minorEastAsia" w:hAnsi="AdvTT5843c571" w:cs="AdvTT5843c571"/>
          <w:sz w:val="24"/>
          <w:lang w:val="en-US" w:eastAsia="fr-FR"/>
        </w:rPr>
        <w:t xml:space="preserve"> situations</w:t>
      </w:r>
      <w:r w:rsidRPr="00CB42A3">
        <w:rPr>
          <w:rFonts w:ascii="AdvTT5843c571" w:eastAsiaTheme="minorEastAsia" w:hAnsi="AdvTT5843c571" w:cs="AdvTT5843c571"/>
          <w:sz w:val="24"/>
          <w:lang w:val="en-US" w:eastAsia="fr-FR"/>
        </w:rPr>
        <w:t xml:space="preserve"> who are perceived as being responsible for the</w:t>
      </w:r>
      <w:r w:rsidRPr="00E56417">
        <w:rPr>
          <w:rFonts w:eastAsiaTheme="minorEastAsia"/>
          <w:color w:val="231F20"/>
          <w:sz w:val="24"/>
          <w:lang w:val="en-US" w:eastAsia="fr-FR"/>
        </w:rPr>
        <w:t xml:space="preserve"> </w:t>
      </w:r>
      <w:r w:rsidRPr="00CB42A3">
        <w:rPr>
          <w:rFonts w:ascii="AdvTT5843c571" w:eastAsiaTheme="minorEastAsia" w:hAnsi="AdvTT5843c571" w:cs="AdvTT5843c571"/>
          <w:sz w:val="24"/>
          <w:lang w:val="en-US" w:eastAsia="fr-FR"/>
        </w:rPr>
        <w:t xml:space="preserve">well-being of </w:t>
      </w:r>
      <w:r>
        <w:rPr>
          <w:rFonts w:ascii="AdvTT5843c571" w:eastAsiaTheme="minorEastAsia" w:hAnsi="AdvTT5843c571" w:cs="AdvTT5843c571"/>
          <w:sz w:val="24"/>
          <w:lang w:val="en-US" w:eastAsia="fr-FR"/>
        </w:rPr>
        <w:t xml:space="preserve">their </w:t>
      </w:r>
      <w:r w:rsidR="00180D89">
        <w:rPr>
          <w:rFonts w:ascii="AdvTT5843c571" w:eastAsiaTheme="minorEastAsia" w:hAnsi="AdvTT5843c571" w:cs="AdvTT5843c571"/>
          <w:sz w:val="24"/>
          <w:lang w:val="en-US" w:eastAsia="fr-FR"/>
        </w:rPr>
        <w:t>children</w:t>
      </w:r>
      <w:r w:rsidRPr="00CB42A3">
        <w:rPr>
          <w:rFonts w:ascii="AdvTT5843c571" w:eastAsiaTheme="minorEastAsia" w:hAnsi="AdvTT5843c571" w:cs="AdvTT5843c571"/>
          <w:sz w:val="24"/>
          <w:lang w:val="en-US" w:eastAsia="fr-FR"/>
        </w:rPr>
        <w:t xml:space="preserve"> have become the central </w:t>
      </w:r>
      <w:r w:rsidRPr="00E56417">
        <w:rPr>
          <w:rFonts w:ascii="AdvTT5843c571" w:eastAsiaTheme="minorEastAsia" w:hAnsi="AdvTT5843c571" w:cs="AdvTT5843c571"/>
          <w:sz w:val="24"/>
          <w:lang w:val="en-US" w:eastAsia="fr-FR"/>
        </w:rPr>
        <w:t xml:space="preserve">targets and </w:t>
      </w:r>
      <w:r w:rsidRPr="00CB42A3">
        <w:rPr>
          <w:rFonts w:ascii="AdvTT5843c571" w:eastAsiaTheme="minorEastAsia" w:hAnsi="AdvTT5843c571" w:cs="AdvTT5843c571"/>
          <w:sz w:val="24"/>
          <w:lang w:val="en-US" w:eastAsia="fr-FR"/>
        </w:rPr>
        <w:t>objects of</w:t>
      </w:r>
      <w:r w:rsidRPr="00E56417">
        <w:rPr>
          <w:rFonts w:ascii="AdvTT5843c571" w:eastAsiaTheme="minorEastAsia" w:hAnsi="AdvTT5843c571" w:cs="AdvTT5843c571"/>
          <w:sz w:val="24"/>
          <w:lang w:val="en-US" w:eastAsia="fr-FR"/>
        </w:rPr>
        <w:t xml:space="preserve"> policy</w:t>
      </w:r>
      <w:r w:rsidRPr="00CB42A3">
        <w:rPr>
          <w:rFonts w:ascii="AdvTT5843c571" w:eastAsiaTheme="minorEastAsia" w:hAnsi="AdvTT5843c571" w:cs="AdvTT5843c571"/>
          <w:sz w:val="24"/>
          <w:lang w:val="en-US" w:eastAsia="fr-FR"/>
        </w:rPr>
        <w:t xml:space="preserve"> intervention</w:t>
      </w:r>
      <w:r>
        <w:rPr>
          <w:rFonts w:ascii="AdvTT5843c571" w:eastAsiaTheme="minorEastAsia" w:hAnsi="AdvTT5843c571" w:cs="AdvTT5843c571"/>
          <w:sz w:val="24"/>
          <w:lang w:val="en-US" w:eastAsia="fr-FR"/>
        </w:rPr>
        <w:t xml:space="preserve"> (Lister, 2006). </w:t>
      </w:r>
      <w:r w:rsidRPr="00CB42A3">
        <w:rPr>
          <w:rFonts w:ascii="AdvTT5843c571" w:eastAsiaTheme="minorEastAsia" w:hAnsi="AdvTT5843c571" w:cs="AdvTT5843c571"/>
          <w:sz w:val="24"/>
          <w:lang w:val="en-US" w:eastAsia="fr-FR"/>
        </w:rPr>
        <w:t xml:space="preserve">As Schiettecat et al. (2014) argue, </w:t>
      </w:r>
      <w:r w:rsidRPr="00CB42A3">
        <w:rPr>
          <w:rFonts w:ascii="AdvTT5843c571" w:hAnsi="AdvTT5843c571" w:cs="AdvTT5843c571"/>
          <w:sz w:val="24"/>
          <w:lang w:val="en-US"/>
        </w:rPr>
        <w:t xml:space="preserve">the paradigm of social investment has found practical expression in preventative interventions, constructing the problem of poverty in terms of education and activation of both children and their parents. </w:t>
      </w:r>
    </w:p>
    <w:p w14:paraId="006EAC30" w14:textId="77777777" w:rsidR="00CB42A3" w:rsidRDefault="00CB42A3" w:rsidP="00F8210B">
      <w:pPr>
        <w:autoSpaceDE w:val="0"/>
        <w:autoSpaceDN w:val="0"/>
        <w:adjustRightInd w:val="0"/>
        <w:rPr>
          <w:rFonts w:ascii="AdvTT5843c571" w:eastAsiaTheme="minorEastAsia" w:hAnsi="AdvTT5843c571" w:cs="AdvTT5843c571"/>
          <w:sz w:val="24"/>
          <w:lang w:val="en-US" w:eastAsia="fr-FR"/>
        </w:rPr>
      </w:pPr>
    </w:p>
    <w:p w14:paraId="30D05BE5" w14:textId="77777777" w:rsidR="00CB42A3" w:rsidRPr="00A97CE8" w:rsidRDefault="00CB42A3" w:rsidP="00F8210B">
      <w:pPr>
        <w:autoSpaceDE w:val="0"/>
        <w:autoSpaceDN w:val="0"/>
        <w:adjustRightInd w:val="0"/>
        <w:rPr>
          <w:sz w:val="24"/>
        </w:rPr>
      </w:pPr>
      <w:r w:rsidRPr="00A97CE8">
        <w:rPr>
          <w:sz w:val="24"/>
        </w:rPr>
        <w:t>Our contribution is based on the theoretical and conceptual underpinnings of a qualitative research project in Belgium</w:t>
      </w:r>
      <w:r>
        <w:rPr>
          <w:sz w:val="24"/>
        </w:rPr>
        <w:t>,</w:t>
      </w:r>
      <w:r w:rsidRPr="00A97CE8">
        <w:rPr>
          <w:rFonts w:eastAsia="Times New Roman"/>
          <w:color w:val="00000A"/>
          <w:sz w:val="24"/>
          <w:szCs w:val="22"/>
          <w:lang w:val="en-US" w:eastAsia="nl-BE"/>
        </w:rPr>
        <w:t xml:space="preserve"> in which the network dynamics of four</w:t>
      </w:r>
      <w:r>
        <w:rPr>
          <w:rFonts w:eastAsia="Times New Roman"/>
          <w:color w:val="00000A"/>
          <w:sz w:val="24"/>
          <w:szCs w:val="22"/>
          <w:lang w:val="en-US" w:eastAsia="nl-BE"/>
        </w:rPr>
        <w:t xml:space="preserve"> local and</w:t>
      </w:r>
      <w:r w:rsidRPr="00A97CE8">
        <w:rPr>
          <w:rFonts w:eastAsia="Times New Roman"/>
          <w:color w:val="00000A"/>
          <w:sz w:val="24"/>
          <w:szCs w:val="22"/>
          <w:lang w:val="en-US" w:eastAsia="nl-BE"/>
        </w:rPr>
        <w:t xml:space="preserve"> inter-organizational networks </w:t>
      </w:r>
      <w:r>
        <w:rPr>
          <w:rFonts w:eastAsia="Times New Roman"/>
          <w:color w:val="00000A"/>
          <w:sz w:val="24"/>
          <w:szCs w:val="22"/>
          <w:lang w:val="en-US" w:eastAsia="nl-BE"/>
        </w:rPr>
        <w:t xml:space="preserve">of welfare actors </w:t>
      </w:r>
      <w:r w:rsidRPr="00A97CE8">
        <w:rPr>
          <w:rFonts w:eastAsia="Times New Roman"/>
          <w:color w:val="00000A"/>
          <w:sz w:val="24"/>
          <w:szCs w:val="22"/>
          <w:lang w:val="en-US" w:eastAsia="nl-BE"/>
        </w:rPr>
        <w:t xml:space="preserve">are </w:t>
      </w:r>
      <w:proofErr w:type="gramStart"/>
      <w:r w:rsidRPr="00A97CE8">
        <w:rPr>
          <w:rFonts w:eastAsia="Times New Roman"/>
          <w:color w:val="00000A"/>
          <w:sz w:val="24"/>
          <w:szCs w:val="22"/>
          <w:lang w:val="en-US" w:eastAsia="nl-BE"/>
        </w:rPr>
        <w:t>explored</w:t>
      </w:r>
      <w:proofErr w:type="gramEnd"/>
      <w:r w:rsidRPr="00A97CE8">
        <w:rPr>
          <w:rFonts w:eastAsia="Times New Roman"/>
          <w:color w:val="00000A"/>
          <w:sz w:val="24"/>
          <w:szCs w:val="22"/>
          <w:lang w:val="en-US" w:eastAsia="nl-BE"/>
        </w:rPr>
        <w:t xml:space="preserve"> that are formed to combat child poverty </w:t>
      </w:r>
      <w:r w:rsidRPr="00A97CE8">
        <w:rPr>
          <w:sz w:val="24"/>
        </w:rPr>
        <w:t xml:space="preserve">(see </w:t>
      </w:r>
      <w:proofErr w:type="spellStart"/>
      <w:r w:rsidRPr="00A97CE8">
        <w:rPr>
          <w:sz w:val="24"/>
        </w:rPr>
        <w:t>INCh</w:t>
      </w:r>
      <w:proofErr w:type="spellEnd"/>
      <w:r w:rsidRPr="00A97CE8">
        <w:rPr>
          <w:sz w:val="24"/>
        </w:rPr>
        <w:t xml:space="preserve">, 2014). </w:t>
      </w:r>
      <w:r>
        <w:rPr>
          <w:rFonts w:ascii="AdvTT5843c571" w:eastAsiaTheme="minorEastAsia" w:hAnsi="AdvTT5843c571" w:cs="AdvTT5843c571"/>
          <w:sz w:val="24"/>
          <w:lang w:val="en-US" w:eastAsia="fr-FR"/>
        </w:rPr>
        <w:t xml:space="preserve">We will argue that </w:t>
      </w:r>
      <w:r>
        <w:rPr>
          <w:rFonts w:ascii="AdvTT5843c571" w:eastAsiaTheme="minorEastAsia" w:hAnsi="AdvTT5843c571" w:cs="AdvTT5843c571"/>
          <w:sz w:val="20"/>
          <w:szCs w:val="20"/>
          <w:lang w:val="en-US" w:eastAsia="fr-FR"/>
        </w:rPr>
        <w:t>t</w:t>
      </w:r>
      <w:r>
        <w:rPr>
          <w:sz w:val="24"/>
        </w:rPr>
        <w:t>hose recent</w:t>
      </w:r>
      <w:r w:rsidRPr="00CB42A3">
        <w:rPr>
          <w:sz w:val="24"/>
        </w:rPr>
        <w:t xml:space="preserve"> </w:t>
      </w:r>
      <w:r>
        <w:rPr>
          <w:sz w:val="24"/>
        </w:rPr>
        <w:t xml:space="preserve">social policy reforms and </w:t>
      </w:r>
      <w:r w:rsidRPr="00CB42A3">
        <w:rPr>
          <w:sz w:val="24"/>
        </w:rPr>
        <w:t xml:space="preserve">developments reflect </w:t>
      </w:r>
      <w:r w:rsidRPr="00CB42A3">
        <w:rPr>
          <w:rFonts w:eastAsiaTheme="minorEastAsia"/>
          <w:color w:val="231F20"/>
          <w:sz w:val="24"/>
          <w:lang w:val="en-US" w:eastAsia="fr-FR"/>
        </w:rPr>
        <w:t>the emblematic ‘triumph of a more individualist</w:t>
      </w:r>
      <w:r>
        <w:rPr>
          <w:rFonts w:eastAsiaTheme="minorEastAsia"/>
          <w:color w:val="231F20"/>
          <w:sz w:val="24"/>
          <w:lang w:val="en-US" w:eastAsia="fr-FR"/>
        </w:rPr>
        <w:t xml:space="preserve"> </w:t>
      </w:r>
      <w:r w:rsidRPr="00CB42A3">
        <w:rPr>
          <w:rFonts w:eastAsiaTheme="minorEastAsia"/>
          <w:color w:val="231F20"/>
          <w:sz w:val="24"/>
          <w:lang w:val="en-US" w:eastAsia="fr-FR"/>
        </w:rPr>
        <w:t xml:space="preserve">understanding of social relations that weakens the idea of collective responsibility’ (Marston &amp; McDonald, 2014, p. </w:t>
      </w:r>
      <w:r w:rsidRPr="00A97CE8">
        <w:rPr>
          <w:rFonts w:eastAsiaTheme="minorEastAsia"/>
          <w:color w:val="231F20"/>
          <w:sz w:val="24"/>
          <w:lang w:val="en-US" w:eastAsia="fr-FR"/>
        </w:rPr>
        <w:t>1023), and demonstrate an ideological shift to conditionalization (</w:t>
      </w:r>
      <w:proofErr w:type="spellStart"/>
      <w:r w:rsidRPr="00A97CE8">
        <w:rPr>
          <w:rFonts w:eastAsiaTheme="minorEastAsia"/>
          <w:color w:val="231F20"/>
          <w:sz w:val="24"/>
          <w:lang w:val="en-US" w:eastAsia="fr-FR"/>
        </w:rPr>
        <w:t>Vrancken</w:t>
      </w:r>
      <w:proofErr w:type="spellEnd"/>
      <w:r w:rsidRPr="00A97CE8">
        <w:rPr>
          <w:rFonts w:eastAsiaTheme="minorEastAsia"/>
          <w:color w:val="231F20"/>
          <w:sz w:val="24"/>
          <w:lang w:val="en-US" w:eastAsia="fr-FR"/>
        </w:rPr>
        <w:t xml:space="preserve">, 2002). </w:t>
      </w:r>
      <w:r w:rsidRPr="00A97CE8">
        <w:rPr>
          <w:color w:val="231F20"/>
          <w:sz w:val="24"/>
          <w:lang w:val="en-US"/>
        </w:rPr>
        <w:t xml:space="preserve">This conditionality of welfare rights implies that citizens have no rights without responsibilities, and that welfare rights - often rather subtly - shift into social obligations (Dwyer, 2004; Dean, 2015; Lorenz, 2016). </w:t>
      </w:r>
      <w:r>
        <w:rPr>
          <w:sz w:val="24"/>
          <w:lang w:val="en-US"/>
        </w:rPr>
        <w:t xml:space="preserve">In our paper presentation, we will mainly rely on the work of Robert Castel and Serge </w:t>
      </w:r>
      <w:proofErr w:type="spellStart"/>
      <w:r>
        <w:rPr>
          <w:sz w:val="24"/>
          <w:lang w:val="en-US"/>
        </w:rPr>
        <w:t>Paugam</w:t>
      </w:r>
      <w:proofErr w:type="spellEnd"/>
      <w:r>
        <w:rPr>
          <w:sz w:val="24"/>
          <w:lang w:val="en-US"/>
        </w:rPr>
        <w:t xml:space="preserve"> </w:t>
      </w:r>
      <w:r w:rsidR="00C964CA">
        <w:rPr>
          <w:sz w:val="24"/>
          <w:lang w:val="en-US"/>
        </w:rPr>
        <w:t>to explore theoretical</w:t>
      </w:r>
      <w:r>
        <w:rPr>
          <w:sz w:val="24"/>
          <w:lang w:val="en-US"/>
        </w:rPr>
        <w:t xml:space="preserve"> notions of employability</w:t>
      </w:r>
      <w:r w:rsidR="00C964CA">
        <w:rPr>
          <w:sz w:val="24"/>
          <w:lang w:val="en-US"/>
        </w:rPr>
        <w:t xml:space="preserve"> towards</w:t>
      </w:r>
      <w:r>
        <w:rPr>
          <w:sz w:val="24"/>
          <w:lang w:val="en-US"/>
        </w:rPr>
        <w:t xml:space="preserve"> both parents and children in the</w:t>
      </w:r>
      <w:r w:rsidR="00C964CA">
        <w:rPr>
          <w:sz w:val="24"/>
          <w:lang w:val="en-US"/>
        </w:rPr>
        <w:t>se local realities</w:t>
      </w:r>
      <w:r w:rsidR="00180D89">
        <w:rPr>
          <w:sz w:val="24"/>
          <w:lang w:val="en-US"/>
        </w:rPr>
        <w:t xml:space="preserve">, </w:t>
      </w:r>
      <w:r w:rsidR="009F5A0B">
        <w:rPr>
          <w:sz w:val="24"/>
          <w:lang w:val="en-US"/>
        </w:rPr>
        <w:t xml:space="preserve">and </w:t>
      </w:r>
      <w:r w:rsidR="00C964CA">
        <w:rPr>
          <w:sz w:val="24"/>
          <w:lang w:val="en-US"/>
        </w:rPr>
        <w:t>to theorize</w:t>
      </w:r>
      <w:r w:rsidR="009F5A0B">
        <w:rPr>
          <w:sz w:val="24"/>
          <w:lang w:val="en-US"/>
        </w:rPr>
        <w:t xml:space="preserve"> processes of social disqualification that make us able to understand poverty as a result of combined inequalities.  </w:t>
      </w:r>
    </w:p>
    <w:p w14:paraId="44622B59" w14:textId="77777777" w:rsidR="00CB42A3" w:rsidRPr="00CB42A3" w:rsidRDefault="00CB42A3" w:rsidP="00F8210B">
      <w:pPr>
        <w:autoSpaceDE w:val="0"/>
        <w:autoSpaceDN w:val="0"/>
        <w:adjustRightInd w:val="0"/>
        <w:rPr>
          <w:rFonts w:ascii="AdvTT5843c571" w:eastAsiaTheme="minorEastAsia" w:hAnsi="AdvTT5843c571" w:cs="AdvTT5843c571"/>
          <w:sz w:val="20"/>
          <w:szCs w:val="20"/>
          <w:lang w:eastAsia="fr-FR"/>
        </w:rPr>
      </w:pPr>
    </w:p>
    <w:p w14:paraId="0525BB6E" w14:textId="77777777" w:rsidR="00CB42A3" w:rsidRPr="00CB42A3" w:rsidRDefault="00CB42A3" w:rsidP="00F8210B">
      <w:pPr>
        <w:autoSpaceDE w:val="0"/>
        <w:autoSpaceDN w:val="0"/>
        <w:adjustRightInd w:val="0"/>
        <w:rPr>
          <w:sz w:val="20"/>
          <w:szCs w:val="20"/>
        </w:rPr>
      </w:pPr>
    </w:p>
    <w:p w14:paraId="13942EB3" w14:textId="77777777" w:rsidR="001426AA" w:rsidRDefault="001426AA" w:rsidP="00F8210B"/>
    <w:sectPr w:rsidR="00142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roman"/>
    <w:pitch w:val="variable"/>
  </w:font>
  <w:font w:name="AdvTT5843c57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dvOTb0c9bf5d+2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A3"/>
    <w:rsid w:val="001426AA"/>
    <w:rsid w:val="00180D89"/>
    <w:rsid w:val="00186019"/>
    <w:rsid w:val="00597778"/>
    <w:rsid w:val="009F5A0B"/>
    <w:rsid w:val="00C51178"/>
    <w:rsid w:val="00C964CA"/>
    <w:rsid w:val="00CB42A3"/>
    <w:rsid w:val="00F8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D8E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A3"/>
    <w:pPr>
      <w:spacing w:after="0" w:line="240" w:lineRule="auto"/>
      <w:jc w:val="both"/>
    </w:pPr>
    <w:rPr>
      <w:rFonts w:ascii="Times New Roman" w:hAnsi="Times New Roman" w:cs="Times New Roman"/>
      <w:szCs w:val="24"/>
      <w:lang w:val="en-GB"/>
    </w:rPr>
  </w:style>
  <w:style w:type="paragraph" w:styleId="Titre1">
    <w:name w:val="heading 1"/>
    <w:basedOn w:val="Titre2"/>
    <w:next w:val="Normal"/>
    <w:link w:val="Titre1Car"/>
    <w:uiPriority w:val="9"/>
    <w:qFormat/>
    <w:rsid w:val="00CB42A3"/>
    <w:pPr>
      <w:keepNext w:val="0"/>
      <w:keepLines w:val="0"/>
      <w:spacing w:before="0"/>
      <w:contextualSpacing/>
      <w:outlineLvl w:val="0"/>
    </w:pPr>
    <w:rPr>
      <w:rFonts w:ascii="Times New Roman" w:eastAsiaTheme="minorHAnsi" w:hAnsi="Times New Roman" w:cs="Times New Roman"/>
      <w:bCs/>
      <w:i/>
      <w:color w:val="333333"/>
      <w:sz w:val="24"/>
      <w:szCs w:val="20"/>
      <w:u w:val="double"/>
      <w:lang w:val="fr-B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42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42A3"/>
    <w:rPr>
      <w:rFonts w:ascii="Times New Roman" w:hAnsi="Times New Roman" w:cs="Times New Roman"/>
      <w:bCs/>
      <w:i/>
      <w:color w:val="333333"/>
      <w:sz w:val="24"/>
      <w:szCs w:val="20"/>
      <w:u w:val="double"/>
      <w:lang w:val="fr-BE"/>
    </w:rPr>
  </w:style>
  <w:style w:type="character" w:customStyle="1" w:styleId="Titre2Car">
    <w:name w:val="Titre 2 Car"/>
    <w:basedOn w:val="Policepardfaut"/>
    <w:link w:val="Titre2"/>
    <w:uiPriority w:val="9"/>
    <w:semiHidden/>
    <w:rsid w:val="00CB42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42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2A3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A3"/>
    <w:pPr>
      <w:spacing w:after="0" w:line="240" w:lineRule="auto"/>
      <w:jc w:val="both"/>
    </w:pPr>
    <w:rPr>
      <w:rFonts w:ascii="Times New Roman" w:hAnsi="Times New Roman" w:cs="Times New Roman"/>
      <w:szCs w:val="24"/>
      <w:lang w:val="en-GB"/>
    </w:rPr>
  </w:style>
  <w:style w:type="paragraph" w:styleId="Titre1">
    <w:name w:val="heading 1"/>
    <w:basedOn w:val="Titre2"/>
    <w:next w:val="Normal"/>
    <w:link w:val="Titre1Car"/>
    <w:uiPriority w:val="9"/>
    <w:qFormat/>
    <w:rsid w:val="00CB42A3"/>
    <w:pPr>
      <w:keepNext w:val="0"/>
      <w:keepLines w:val="0"/>
      <w:spacing w:before="0"/>
      <w:contextualSpacing/>
      <w:outlineLvl w:val="0"/>
    </w:pPr>
    <w:rPr>
      <w:rFonts w:ascii="Times New Roman" w:eastAsiaTheme="minorHAnsi" w:hAnsi="Times New Roman" w:cs="Times New Roman"/>
      <w:bCs/>
      <w:i/>
      <w:color w:val="333333"/>
      <w:sz w:val="24"/>
      <w:szCs w:val="20"/>
      <w:u w:val="double"/>
      <w:lang w:val="fr-B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42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42A3"/>
    <w:rPr>
      <w:rFonts w:ascii="Times New Roman" w:hAnsi="Times New Roman" w:cs="Times New Roman"/>
      <w:bCs/>
      <w:i/>
      <w:color w:val="333333"/>
      <w:sz w:val="24"/>
      <w:szCs w:val="20"/>
      <w:u w:val="double"/>
      <w:lang w:val="fr-BE"/>
    </w:rPr>
  </w:style>
  <w:style w:type="character" w:customStyle="1" w:styleId="Titre2Car">
    <w:name w:val="Titre 2 Car"/>
    <w:basedOn w:val="Policepardfaut"/>
    <w:link w:val="Titre2"/>
    <w:uiPriority w:val="9"/>
    <w:semiHidden/>
    <w:rsid w:val="00CB42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42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2A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554</Words>
  <Characters>3049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Griet Roets</dc:creator>
  <cp:keywords/>
  <dc:description/>
  <cp:lastModifiedBy>Jacquet Nicolas</cp:lastModifiedBy>
  <cp:revision>7</cp:revision>
  <dcterms:created xsi:type="dcterms:W3CDTF">2017-06-12T11:26:00Z</dcterms:created>
  <dcterms:modified xsi:type="dcterms:W3CDTF">2017-06-12T12:26:00Z</dcterms:modified>
</cp:coreProperties>
</file>