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5907" w14:textId="007DE1C1" w:rsidR="002219AB" w:rsidRDefault="00463A8F" w:rsidP="0097629A">
      <w:pPr>
        <w:jc w:val="center"/>
        <w:rPr>
          <w:b/>
          <w:u w:val="single"/>
          <w:lang w:val="fr-BE"/>
        </w:rPr>
      </w:pPr>
      <w:r>
        <w:rPr>
          <w:b/>
          <w:u w:val="single"/>
          <w:lang w:val="fr-BE"/>
        </w:rPr>
        <w:t xml:space="preserve">Intérêt de nouveaux </w:t>
      </w:r>
      <w:r w:rsidR="00B61918">
        <w:rPr>
          <w:b/>
          <w:u w:val="single"/>
          <w:lang w:val="fr-BE"/>
        </w:rPr>
        <w:t xml:space="preserve">marqueurs </w:t>
      </w:r>
      <w:r>
        <w:rPr>
          <w:b/>
          <w:u w:val="single"/>
          <w:lang w:val="fr-BE"/>
        </w:rPr>
        <w:t xml:space="preserve">biologiques </w:t>
      </w:r>
      <w:r w:rsidR="00284C7E">
        <w:rPr>
          <w:b/>
          <w:u w:val="single"/>
          <w:lang w:val="fr-BE"/>
        </w:rPr>
        <w:t>dans l</w:t>
      </w:r>
      <w:r>
        <w:rPr>
          <w:b/>
          <w:u w:val="single"/>
          <w:lang w:val="fr-BE"/>
        </w:rPr>
        <w:t>’évaluation de</w:t>
      </w:r>
      <w:r w:rsidR="00284C7E">
        <w:rPr>
          <w:b/>
          <w:u w:val="single"/>
          <w:lang w:val="fr-BE"/>
        </w:rPr>
        <w:t xml:space="preserve"> la sarcopénie</w:t>
      </w:r>
      <w:r w:rsidR="0097629A">
        <w:rPr>
          <w:b/>
          <w:u w:val="single"/>
          <w:lang w:val="fr-BE"/>
        </w:rPr>
        <w:t xml:space="preserve"> en hémodialyse </w:t>
      </w:r>
    </w:p>
    <w:p w14:paraId="327C57DB" w14:textId="77777777" w:rsidR="0097629A" w:rsidRDefault="0097629A" w:rsidP="0097629A">
      <w:pPr>
        <w:jc w:val="center"/>
        <w:rPr>
          <w:b/>
          <w:u w:val="single"/>
          <w:lang w:val="fr-BE"/>
        </w:rPr>
      </w:pPr>
    </w:p>
    <w:p w14:paraId="67433F21" w14:textId="77777777" w:rsidR="0097629A" w:rsidRDefault="0097629A" w:rsidP="0097629A">
      <w:pPr>
        <w:jc w:val="center"/>
        <w:rPr>
          <w:rFonts w:eastAsia="Times New Roman"/>
          <w:b/>
          <w:vertAlign w:val="superscript"/>
          <w:lang w:val="fr-BE"/>
        </w:rPr>
      </w:pPr>
      <w:r>
        <w:rPr>
          <w:b/>
          <w:lang w:val="fr-BE"/>
        </w:rPr>
        <w:t>Pierre Delanaye</w:t>
      </w:r>
      <w:r>
        <w:rPr>
          <w:b/>
          <w:vertAlign w:val="superscript"/>
          <w:lang w:val="fr-BE"/>
        </w:rPr>
        <w:t>1</w:t>
      </w:r>
      <w:r>
        <w:rPr>
          <w:b/>
          <w:lang w:val="fr-BE"/>
        </w:rPr>
        <w:t xml:space="preserve">, </w:t>
      </w:r>
      <w:r w:rsidRPr="0097629A">
        <w:rPr>
          <w:rFonts w:eastAsia="Times New Roman"/>
          <w:b/>
          <w:lang w:val="fr-BE"/>
        </w:rPr>
        <w:t>Kevin Quinonez</w:t>
      </w:r>
      <w:r w:rsidRPr="0097629A">
        <w:rPr>
          <w:rFonts w:eastAsia="Times New Roman"/>
          <w:b/>
          <w:vertAlign w:val="superscript"/>
          <w:lang w:val="fr-BE"/>
        </w:rPr>
        <w:t>1</w:t>
      </w:r>
      <w:r w:rsidRPr="0097629A">
        <w:rPr>
          <w:rFonts w:eastAsia="Times New Roman"/>
          <w:b/>
          <w:lang w:val="fr-BE"/>
        </w:rPr>
        <w:t>,</w:t>
      </w:r>
      <w:r w:rsidRPr="0097629A">
        <w:rPr>
          <w:rFonts w:eastAsia="Times New Roman"/>
          <w:b/>
          <w:vertAlign w:val="superscript"/>
          <w:lang w:val="fr-BE"/>
        </w:rPr>
        <w:t xml:space="preserve"> </w:t>
      </w:r>
      <w:r w:rsidRPr="0097629A">
        <w:rPr>
          <w:rFonts w:eastAsia="Times New Roman"/>
          <w:b/>
          <w:lang w:val="fr-BE"/>
        </w:rPr>
        <w:t>Fanny Buckinx</w:t>
      </w:r>
      <w:r w:rsidRPr="0097629A">
        <w:rPr>
          <w:rFonts w:eastAsia="Times New Roman"/>
          <w:b/>
          <w:vertAlign w:val="superscript"/>
          <w:lang w:val="fr-BE"/>
        </w:rPr>
        <w:t>2</w:t>
      </w:r>
      <w:r w:rsidRPr="0097629A">
        <w:rPr>
          <w:rFonts w:eastAsia="Times New Roman"/>
          <w:b/>
          <w:lang w:val="fr-BE"/>
        </w:rPr>
        <w:t>, Olivier Bruyère</w:t>
      </w:r>
      <w:r w:rsidRPr="0097629A">
        <w:rPr>
          <w:rFonts w:eastAsia="Times New Roman"/>
          <w:b/>
          <w:vertAlign w:val="superscript"/>
          <w:lang w:val="fr-BE"/>
        </w:rPr>
        <w:t>2</w:t>
      </w:r>
      <w:r w:rsidRPr="0097629A">
        <w:rPr>
          <w:rFonts w:eastAsia="Times New Roman"/>
          <w:b/>
          <w:lang w:val="fr-BE"/>
        </w:rPr>
        <w:t>,</w:t>
      </w:r>
      <w:r>
        <w:rPr>
          <w:rFonts w:eastAsia="Times New Roman"/>
          <w:b/>
          <w:lang w:val="fr-BE"/>
        </w:rPr>
        <w:t xml:space="preserve"> Etienne Cavalier</w:t>
      </w:r>
      <w:r>
        <w:rPr>
          <w:rFonts w:eastAsia="Times New Roman"/>
          <w:b/>
          <w:vertAlign w:val="superscript"/>
          <w:lang w:val="fr-BE"/>
        </w:rPr>
        <w:t>3</w:t>
      </w:r>
    </w:p>
    <w:p w14:paraId="19D9B546" w14:textId="77777777" w:rsidR="0097629A" w:rsidRPr="00E06432" w:rsidRDefault="0097629A" w:rsidP="0097629A">
      <w:pPr>
        <w:pStyle w:val="Normal1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06432">
        <w:rPr>
          <w:rFonts w:ascii="Times New Roman" w:eastAsia="Times New Roman" w:hAnsi="Times New Roman" w:cs="Times New Roman"/>
          <w:sz w:val="24"/>
          <w:szCs w:val="24"/>
        </w:rPr>
        <w:t xml:space="preserve">Service de Néphrologie-Dialyse, CHU Sart </w:t>
      </w:r>
      <w:proofErr w:type="spellStart"/>
      <w:r w:rsidRPr="00E06432">
        <w:rPr>
          <w:rFonts w:ascii="Times New Roman" w:eastAsia="Times New Roman" w:hAnsi="Times New Roman" w:cs="Times New Roman"/>
          <w:sz w:val="24"/>
          <w:szCs w:val="24"/>
        </w:rPr>
        <w:t>Tilman</w:t>
      </w:r>
      <w:proofErr w:type="spellEnd"/>
      <w:r w:rsidRPr="00E06432">
        <w:rPr>
          <w:rFonts w:ascii="Times New Roman" w:eastAsia="Times New Roman" w:hAnsi="Times New Roman" w:cs="Times New Roman"/>
          <w:sz w:val="24"/>
          <w:szCs w:val="24"/>
        </w:rPr>
        <w:t>, Liège, Université de Liège, Belgique</w:t>
      </w:r>
    </w:p>
    <w:p w14:paraId="500C0191" w14:textId="77777777" w:rsidR="0097629A" w:rsidRPr="0097629A" w:rsidRDefault="0097629A" w:rsidP="0097629A">
      <w:pPr>
        <w:pStyle w:val="Normal1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6432">
        <w:rPr>
          <w:rFonts w:ascii="Times New Roman" w:eastAsia="Times New Roman" w:hAnsi="Times New Roman" w:cs="Times New Roman"/>
          <w:sz w:val="24"/>
          <w:szCs w:val="24"/>
          <w:highlight w:val="white"/>
        </w:rPr>
        <w:t>Service de Santé Publique, d’Epidémiologie et d’Economie de la santé, Université de Liège, Belgique</w:t>
      </w:r>
      <w:r w:rsidRPr="00E06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A4E7EC" w14:textId="77777777" w:rsidR="0097629A" w:rsidRPr="00FB2E30" w:rsidRDefault="0097629A" w:rsidP="0097629A">
      <w:pPr>
        <w:pStyle w:val="Normal1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Service de Chimie Clinique, </w:t>
      </w:r>
      <w:r w:rsidRPr="00E0643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Université de Liège, </w:t>
      </w:r>
      <w:r w:rsidR="00FB2E30">
        <w:rPr>
          <w:rFonts w:ascii="Times New Roman" w:eastAsia="Times New Roman" w:hAnsi="Times New Roman" w:cs="Times New Roman"/>
          <w:sz w:val="24"/>
          <w:szCs w:val="24"/>
          <w:highlight w:val="white"/>
        </w:rPr>
        <w:t>Belgique</w:t>
      </w:r>
    </w:p>
    <w:p w14:paraId="0C62372F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EBAFA9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  <w:r w:rsidR="00B61918"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 w14:paraId="22BEB8F8" w14:textId="1A12AEE9" w:rsidR="00B61918" w:rsidRPr="00B61918" w:rsidRDefault="004772C8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 sarcopénie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et la fragilité sont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 fréquemment observée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 chez le patient hémodialysé. Différents dosages biologiques ont été proposés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dans le cadre de leurs évaluations</w:t>
      </w:r>
      <w:r w:rsidR="003006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6FF">
        <w:rPr>
          <w:rFonts w:ascii="Times New Roman" w:eastAsia="Times New Roman" w:hAnsi="Times New Roman" w:cs="Times New Roman"/>
          <w:sz w:val="24"/>
          <w:szCs w:val="24"/>
        </w:rPr>
        <w:t xml:space="preserve">La créatinine est le plus simple de ces dosages mais a </w:t>
      </w:r>
      <w:r w:rsidR="002D6EEA">
        <w:rPr>
          <w:rFonts w:ascii="Times New Roman" w:eastAsia="Times New Roman" w:hAnsi="Times New Roman" w:cs="Times New Roman"/>
          <w:sz w:val="24"/>
          <w:szCs w:val="24"/>
        </w:rPr>
        <w:t>le désavantage d’être influencé</w:t>
      </w:r>
      <w:r w:rsidR="003006FF">
        <w:rPr>
          <w:rFonts w:ascii="Times New Roman" w:eastAsia="Times New Roman" w:hAnsi="Times New Roman" w:cs="Times New Roman"/>
          <w:sz w:val="24"/>
          <w:szCs w:val="24"/>
        </w:rPr>
        <w:t xml:space="preserve"> par la fonction rénale résiduelle. 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Dans ce travail, nous avons testé </w:t>
      </w:r>
      <w:r w:rsidR="0063595D">
        <w:rPr>
          <w:rFonts w:ascii="Times New Roman" w:eastAsia="Times New Roman" w:hAnsi="Times New Roman" w:cs="Times New Roman"/>
          <w:sz w:val="24"/>
          <w:szCs w:val="24"/>
        </w:rPr>
        <w:t xml:space="preserve">l’intérêt </w:t>
      </w:r>
      <w:r w:rsidR="00804DC3">
        <w:rPr>
          <w:rFonts w:ascii="Times New Roman" w:eastAsia="Times New Roman" w:hAnsi="Times New Roman" w:cs="Times New Roman"/>
          <w:sz w:val="24"/>
          <w:szCs w:val="24"/>
        </w:rPr>
        <w:t>d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>e nouvea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>ux biomarqueurs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 : la </w:t>
      </w:r>
      <w:proofErr w:type="spellStart"/>
      <w:r w:rsidR="00B61918">
        <w:rPr>
          <w:rFonts w:ascii="Times New Roman" w:eastAsia="Times New Roman" w:hAnsi="Times New Roman" w:cs="Times New Roman"/>
          <w:sz w:val="24"/>
          <w:szCs w:val="24"/>
        </w:rPr>
        <w:t>follistatine</w:t>
      </w:r>
      <w:proofErr w:type="spellEnd"/>
      <w:r w:rsidR="00B61918">
        <w:rPr>
          <w:rFonts w:ascii="Times New Roman" w:eastAsia="Times New Roman" w:hAnsi="Times New Roman" w:cs="Times New Roman"/>
          <w:sz w:val="24"/>
          <w:szCs w:val="24"/>
        </w:rPr>
        <w:t>, le « </w:t>
      </w:r>
      <w:r w:rsidR="00B61918" w:rsidRPr="00B61918">
        <w:rPr>
          <w:rFonts w:ascii="Times New Roman" w:eastAsia="Times New Roman" w:hAnsi="Times New Roman" w:cs="Times New Roman"/>
          <w:sz w:val="24"/>
          <w:szCs w:val="24"/>
        </w:rPr>
        <w:t xml:space="preserve">Brain </w:t>
      </w:r>
      <w:proofErr w:type="spellStart"/>
      <w:r w:rsidR="00B61918" w:rsidRPr="00B61918">
        <w:rPr>
          <w:rFonts w:ascii="Times New Roman" w:eastAsia="Times New Roman" w:hAnsi="Times New Roman" w:cs="Times New Roman"/>
          <w:sz w:val="24"/>
          <w:szCs w:val="24"/>
        </w:rPr>
        <w:t>Derived</w:t>
      </w:r>
      <w:proofErr w:type="spellEnd"/>
      <w:r w:rsidR="00B61918" w:rsidRPr="00B61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1918">
        <w:rPr>
          <w:rFonts w:ascii="Times New Roman" w:eastAsia="Times New Roman" w:hAnsi="Times New Roman" w:cs="Times New Roman"/>
          <w:sz w:val="24"/>
          <w:szCs w:val="24"/>
        </w:rPr>
        <w:t>N</w:t>
      </w:r>
      <w:r w:rsidR="00B61918" w:rsidRPr="00B61918">
        <w:rPr>
          <w:rFonts w:ascii="Times New Roman" w:eastAsia="Times New Roman" w:hAnsi="Times New Roman" w:cs="Times New Roman"/>
          <w:sz w:val="24"/>
          <w:szCs w:val="24"/>
        </w:rPr>
        <w:t>eurotrophic</w:t>
      </w:r>
      <w:proofErr w:type="spellEnd"/>
      <w:r w:rsidR="00B61918" w:rsidRPr="00B61918">
        <w:rPr>
          <w:rFonts w:ascii="Times New Roman" w:eastAsia="Times New Roman" w:hAnsi="Times New Roman" w:cs="Times New Roman"/>
          <w:sz w:val="24"/>
          <w:szCs w:val="24"/>
        </w:rPr>
        <w:t xml:space="preserve"> Factor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> », l’</w:t>
      </w:r>
      <w:proofErr w:type="spellStart"/>
      <w:r w:rsidR="00B61918">
        <w:rPr>
          <w:rFonts w:ascii="Times New Roman" w:eastAsia="Times New Roman" w:hAnsi="Times New Roman" w:cs="Times New Roman"/>
          <w:sz w:val="24"/>
          <w:szCs w:val="24"/>
        </w:rPr>
        <w:t>activine</w:t>
      </w:r>
      <w:proofErr w:type="spellEnd"/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 A, la myostatine, </w:t>
      </w:r>
      <w:r w:rsidR="00AE5C28">
        <w:rPr>
          <w:rFonts w:ascii="Times New Roman" w:eastAsia="Times New Roman" w:hAnsi="Times New Roman" w:cs="Times New Roman"/>
          <w:sz w:val="24"/>
          <w:szCs w:val="24"/>
        </w:rPr>
        <w:t xml:space="preserve">le P3NP, </w:t>
      </w:r>
      <w:r w:rsidR="00B61918">
        <w:rPr>
          <w:rFonts w:ascii="Times New Roman" w:eastAsia="Times New Roman" w:hAnsi="Times New Roman" w:cs="Times New Roman"/>
          <w:sz w:val="24"/>
          <w:szCs w:val="24"/>
        </w:rPr>
        <w:t xml:space="preserve">la sclérostine et l’IGF-1. </w:t>
      </w:r>
    </w:p>
    <w:p w14:paraId="09CABC04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Matériel et méthodes</w:t>
      </w:r>
    </w:p>
    <w:p w14:paraId="419BA897" w14:textId="54FE7046" w:rsidR="00FB2E30" w:rsidRPr="00B61918" w:rsidRDefault="002D1835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Ces biomarqueurs ont été mesuré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dans une cohorte de patients dialysés</w:t>
      </w:r>
      <w:r w:rsidR="00AE5C28">
        <w:rPr>
          <w:rFonts w:ascii="Times New Roman" w:eastAsia="Times New Roman" w:hAnsi="Times New Roman" w:cs="Times New Roman"/>
          <w:sz w:val="24"/>
          <w:szCs w:val="24"/>
        </w:rPr>
        <w:t xml:space="preserve"> provenant d’un centre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>hospitalo-</w:t>
      </w:r>
      <w:r w:rsidR="00AE5C28">
        <w:rPr>
          <w:rFonts w:ascii="Times New Roman" w:eastAsia="Times New Roman" w:hAnsi="Times New Roman" w:cs="Times New Roman"/>
          <w:sz w:val="24"/>
          <w:szCs w:val="24"/>
        </w:rPr>
        <w:t>universitaire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 xml:space="preserve">Chez ces sujets, différents tests ont été réalisés : </w:t>
      </w:r>
      <w:r>
        <w:rPr>
          <w:rFonts w:ascii="Times New Roman" w:eastAsia="Times New Roman" w:hAnsi="Times New Roman" w:cs="Times New Roman"/>
          <w:sz w:val="24"/>
          <w:szCs w:val="24"/>
        </w:rPr>
        <w:t>un test de marche sur 4,6 mètres</w:t>
      </w:r>
      <w:r w:rsidR="005804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une mesure de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 xml:space="preserve"> la force de préhension avec </w:t>
      </w:r>
      <w:r>
        <w:rPr>
          <w:rFonts w:ascii="Times New Roman" w:eastAsia="Times New Roman" w:hAnsi="Times New Roman" w:cs="Times New Roman"/>
          <w:sz w:val="24"/>
          <w:szCs w:val="24"/>
        </w:rPr>
        <w:t>dynamomètre</w:t>
      </w:r>
      <w:r w:rsidR="005804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un score de fragilité selon Fried</w:t>
      </w:r>
      <w:r w:rsidR="005804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06FF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D43670">
        <w:rPr>
          <w:rFonts w:ascii="Times New Roman" w:eastAsia="Times New Roman" w:hAnsi="Times New Roman" w:cs="Times New Roman"/>
          <w:sz w:val="24"/>
          <w:szCs w:val="24"/>
        </w:rPr>
        <w:t xml:space="preserve">un test « assis-debout ». Dans un premier temps, nous avons recherché si une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corrélation existait entre ces mesure</w:t>
      </w:r>
      <w:r w:rsidR="00D43670">
        <w:rPr>
          <w:rFonts w:ascii="Times New Roman" w:eastAsia="Times New Roman" w:hAnsi="Times New Roman" w:cs="Times New Roman"/>
          <w:sz w:val="24"/>
          <w:szCs w:val="24"/>
        </w:rPr>
        <w:t xml:space="preserve">s et les biomarqueurs (régression linéaire simple). Lorsqu’une telle relation était trouvée, nous avons étudiés par analyses ROC la capacité des biomarqueurs à détecter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>un test fonctionnel diminué</w:t>
      </w:r>
      <w:r w:rsidR="005804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F791B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Résultats</w:t>
      </w:r>
    </w:p>
    <w:p w14:paraId="7FF5C8E3" w14:textId="0F9A48C7" w:rsidR="00FB2E30" w:rsidRPr="0063595D" w:rsidRDefault="00AE5C28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L’étude a porté sur 68 patients hémodialysés (65% d’hommes) avec un âge médian de 64,5</w:t>
      </w:r>
      <w:r w:rsidR="00804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ans (P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25: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46 ; P75:77). Nous retrouvons une associ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 xml:space="preserve">négative </w:t>
      </w:r>
      <w:r>
        <w:rPr>
          <w:rFonts w:ascii="Times New Roman" w:eastAsia="Times New Roman" w:hAnsi="Times New Roman" w:cs="Times New Roman"/>
          <w:sz w:val="24"/>
          <w:szCs w:val="24"/>
        </w:rPr>
        <w:t>entre l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 xml:space="preserve">es résultats du </w:t>
      </w:r>
      <w:r>
        <w:rPr>
          <w:rFonts w:ascii="Times New Roman" w:eastAsia="Times New Roman" w:hAnsi="Times New Roman" w:cs="Times New Roman"/>
          <w:sz w:val="24"/>
          <w:szCs w:val="24"/>
        </w:rPr>
        <w:t>test ass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>is-debout et la créatinine (p=0,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0071), l’IGF-1 (p=0,0054) et la myostatine (p=0,0002). La vitesse de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marche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 xml:space="preserve">inversement 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>corrélée avec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 xml:space="preserve"> la créatinine (p=0,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011),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préalbumine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(p=0,0114), l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>e P3NP (p=0,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0189</w:t>
      </w:r>
      <w:r>
        <w:rPr>
          <w:rFonts w:ascii="Times New Roman" w:eastAsia="Times New Roman" w:hAnsi="Times New Roman" w:cs="Times New Roman"/>
          <w:sz w:val="24"/>
          <w:szCs w:val="24"/>
        </w:rPr>
        <w:t>), l’IGF-1 (p=0,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0121</w:t>
      </w:r>
      <w:r>
        <w:rPr>
          <w:rFonts w:ascii="Times New Roman" w:eastAsia="Times New Roman" w:hAnsi="Times New Roman" w:cs="Times New Roman"/>
          <w:sz w:val="24"/>
          <w:szCs w:val="24"/>
        </w:rPr>
        <w:t>) et la myostatine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 (p&lt;0,0001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 La force de préhension est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 xml:space="preserve">positivement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corrélée à</w:t>
      </w:r>
      <w:r w:rsidR="006B10A8" w:rsidRPr="006B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la créatinine (p&lt;0,0001), l’IGF-1 (p=0,0001) et la myostatine (p&lt;0,0001). Le score de fragilité de </w:t>
      </w:r>
      <w:proofErr w:type="spellStart"/>
      <w:r w:rsidR="006B10A8">
        <w:rPr>
          <w:rFonts w:ascii="Times New Roman" w:eastAsia="Times New Roman" w:hAnsi="Times New Roman" w:cs="Times New Roman"/>
          <w:sz w:val="24"/>
          <w:szCs w:val="24"/>
        </w:rPr>
        <w:t>Fried</w:t>
      </w:r>
      <w:proofErr w:type="spellEnd"/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 est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 xml:space="preserve">inversement 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>corrélé à la créatinine (p=0,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0001), l’IGF-1 (p=0,001) et la myostatine (p&lt;0,0001).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A41CCD">
        <w:rPr>
          <w:rFonts w:ascii="Times New Roman" w:eastAsia="Times New Roman" w:hAnsi="Times New Roman" w:cs="Times New Roman"/>
          <w:sz w:val="24"/>
          <w:szCs w:val="24"/>
        </w:rPr>
        <w:t>créatinine et la myostatine ont</w:t>
      </w:r>
      <w:r w:rsidR="00904C56">
        <w:rPr>
          <w:rFonts w:ascii="Times New Roman" w:eastAsia="Times New Roman" w:hAnsi="Times New Roman" w:cs="Times New Roman"/>
          <w:sz w:val="24"/>
          <w:szCs w:val="24"/>
        </w:rPr>
        <w:t xml:space="preserve"> globalement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les meilleures aires sur la courbe (ASC) pour détecter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test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fonctionnels diminués</w:t>
      </w:r>
      <w:r w:rsidR="006B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DC3">
        <w:rPr>
          <w:rFonts w:ascii="Times New Roman" w:eastAsia="Times New Roman" w:hAnsi="Times New Roman" w:cs="Times New Roman"/>
          <w:sz w:val="24"/>
          <w:szCs w:val="24"/>
        </w:rPr>
        <w:t>L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>a myostatine est</w:t>
      </w:r>
      <w:r w:rsidR="00804DC3">
        <w:rPr>
          <w:rFonts w:ascii="Times New Roman" w:eastAsia="Times New Roman" w:hAnsi="Times New Roman" w:cs="Times New Roman"/>
          <w:sz w:val="24"/>
          <w:szCs w:val="24"/>
        </w:rPr>
        <w:t xml:space="preserve"> même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 xml:space="preserve"> meilleure</w:t>
      </w:r>
      <w:r w:rsidR="0063595D">
        <w:rPr>
          <w:rFonts w:ascii="Times New Roman" w:eastAsia="Times New Roman" w:hAnsi="Times New Roman" w:cs="Times New Roman"/>
          <w:sz w:val="24"/>
          <w:szCs w:val="24"/>
        </w:rPr>
        <w:t xml:space="preserve"> que la créatinine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 xml:space="preserve"> pour détecter 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un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>e vitesse de marche diminuée (0,</w:t>
      </w:r>
      <w:r w:rsidR="00433857">
        <w:rPr>
          <w:rFonts w:ascii="Times New Roman" w:eastAsia="Times New Roman" w:hAnsi="Times New Roman" w:cs="Times New Roman"/>
          <w:sz w:val="24"/>
          <w:szCs w:val="24"/>
        </w:rPr>
        <w:t>8m/s)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 xml:space="preserve"> (ASC de 0,</w:t>
      </w:r>
      <w:r w:rsidR="004772C8">
        <w:rPr>
          <w:rFonts w:ascii="Times New Roman" w:eastAsia="Times New Roman" w:hAnsi="Times New Roman" w:cs="Times New Roman"/>
          <w:sz w:val="24"/>
          <w:szCs w:val="24"/>
        </w:rPr>
        <w:t>82 et 0,64, respectivement, p=0,</w:t>
      </w:r>
      <w:r w:rsidR="00AC6111">
        <w:rPr>
          <w:rFonts w:ascii="Times New Roman" w:eastAsia="Times New Roman" w:hAnsi="Times New Roman" w:cs="Times New Roman"/>
          <w:sz w:val="24"/>
          <w:szCs w:val="24"/>
        </w:rPr>
        <w:t>0165).</w:t>
      </w:r>
    </w:p>
    <w:p w14:paraId="1328A2A1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18F3BF33" w14:textId="73E7669C" w:rsidR="00FB2E30" w:rsidRPr="00AC6111" w:rsidRDefault="00AC6111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6111">
        <w:rPr>
          <w:rFonts w:ascii="Times New Roman" w:eastAsia="Times New Roman" w:hAnsi="Times New Roman" w:cs="Times New Roman"/>
          <w:sz w:val="24"/>
          <w:szCs w:val="24"/>
        </w:rPr>
        <w:t>La myostatine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2D9E">
        <w:rPr>
          <w:rFonts w:ascii="Times New Roman" w:eastAsia="Times New Roman" w:hAnsi="Times New Roman" w:cs="Times New Roman"/>
          <w:sz w:val="24"/>
          <w:szCs w:val="24"/>
        </w:rPr>
        <w:t xml:space="preserve">semble un </w:t>
      </w:r>
      <w:r>
        <w:rPr>
          <w:rFonts w:ascii="Times New Roman" w:eastAsia="Times New Roman" w:hAnsi="Times New Roman" w:cs="Times New Roman"/>
          <w:sz w:val="24"/>
          <w:szCs w:val="24"/>
        </w:rPr>
        <w:t>marqueur</w:t>
      </w:r>
      <w:r w:rsidR="00B82D9E">
        <w:rPr>
          <w:rFonts w:ascii="Times New Roman" w:eastAsia="Times New Roman" w:hAnsi="Times New Roman" w:cs="Times New Roman"/>
          <w:sz w:val="24"/>
          <w:szCs w:val="24"/>
        </w:rPr>
        <w:t xml:space="preserve"> biologique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intéressant </w:t>
      </w:r>
      <w:r w:rsidR="005804E6">
        <w:rPr>
          <w:rFonts w:ascii="Times New Roman" w:eastAsia="Times New Roman" w:hAnsi="Times New Roman" w:cs="Times New Roman"/>
          <w:sz w:val="24"/>
          <w:szCs w:val="24"/>
        </w:rPr>
        <w:t xml:space="preserve">dans </w:t>
      </w:r>
      <w:r w:rsidR="005A7525">
        <w:rPr>
          <w:rFonts w:ascii="Times New Roman" w:eastAsia="Times New Roman" w:hAnsi="Times New Roman" w:cs="Times New Roman"/>
          <w:sz w:val="24"/>
          <w:szCs w:val="24"/>
        </w:rPr>
        <w:t xml:space="preserve">l’évaluation des tests fonctionnels diminués liés à la sarcopénie </w:t>
      </w:r>
      <w:r>
        <w:rPr>
          <w:rFonts w:ascii="Times New Roman" w:eastAsia="Times New Roman" w:hAnsi="Times New Roman" w:cs="Times New Roman"/>
          <w:sz w:val="24"/>
          <w:szCs w:val="24"/>
        </w:rPr>
        <w:t>chez le patient dialysé. De plus, sa concentration ne semble pas influencée ni par l’inflammation ni par le niveau de fonction rénal</w:t>
      </w:r>
      <w:r w:rsidR="00F438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FAD0A8" w14:textId="77777777" w:rsidR="00FB2E30" w:rsidRDefault="00FB2E30" w:rsidP="00FB2E3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Conclusions</w:t>
      </w:r>
    </w:p>
    <w:p w14:paraId="0623A1AA" w14:textId="77777777" w:rsidR="0097629A" w:rsidRDefault="00A41CCD" w:rsidP="00904C56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L’étude de la</w:t>
      </w:r>
      <w:r w:rsidR="00AC6111" w:rsidRPr="00AC6111">
        <w:rPr>
          <w:rFonts w:ascii="Times New Roman" w:eastAsia="Times New Roman" w:hAnsi="Times New Roman" w:cs="Times New Roman"/>
          <w:sz w:val="24"/>
          <w:szCs w:val="24"/>
        </w:rPr>
        <w:t xml:space="preserve"> myostatine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comme </w:t>
      </w:r>
      <w:r w:rsidR="00AC6111" w:rsidRPr="00AC6111">
        <w:rPr>
          <w:rFonts w:ascii="Times New Roman" w:eastAsia="Times New Roman" w:hAnsi="Times New Roman" w:cs="Times New Roman"/>
          <w:sz w:val="24"/>
          <w:szCs w:val="24"/>
        </w:rPr>
        <w:t xml:space="preserve">biomarqueur de la sarcopénie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doit être approfondie </w:t>
      </w:r>
      <w:r w:rsidR="00AC6111" w:rsidRPr="00AC6111">
        <w:rPr>
          <w:rFonts w:ascii="Times New Roman" w:eastAsia="Times New Roman" w:hAnsi="Times New Roman" w:cs="Times New Roman"/>
          <w:sz w:val="24"/>
          <w:szCs w:val="24"/>
        </w:rPr>
        <w:t>dans la population dialysée.</w:t>
      </w:r>
    </w:p>
    <w:p w14:paraId="1FFDA810" w14:textId="77777777" w:rsidR="007C4E75" w:rsidRDefault="007C4E75" w:rsidP="00904C56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253538" w14:textId="77777777" w:rsidR="007C4E75" w:rsidRDefault="007C4E75" w:rsidP="007C4E75">
      <w:pPr>
        <w:pStyle w:val="Paragraphedeliste"/>
        <w:widowControl w:val="0"/>
        <w:numPr>
          <w:ilvl w:val="3"/>
          <w:numId w:val="1"/>
        </w:numPr>
        <w:autoSpaceDE w:val="0"/>
        <w:autoSpaceDN w:val="0"/>
        <w:adjustRightInd w:val="0"/>
        <w:spacing w:line="240" w:lineRule="auto"/>
        <w:rPr>
          <w:noProof/>
        </w:rPr>
      </w:pPr>
      <w:r w:rsidRPr="00E06432">
        <w:rPr>
          <w:noProof/>
        </w:rPr>
        <w:t xml:space="preserve">Fried, L. P. </w:t>
      </w:r>
      <w:r w:rsidRPr="007C4E75">
        <w:rPr>
          <w:i/>
          <w:iCs/>
          <w:noProof/>
        </w:rPr>
        <w:t>et al.</w:t>
      </w:r>
      <w:r w:rsidRPr="00E06432">
        <w:rPr>
          <w:noProof/>
        </w:rPr>
        <w:t xml:space="preserve"> Frailty in older adults: Evidence for a phenotype. </w:t>
      </w:r>
      <w:r w:rsidRPr="007C4E75">
        <w:rPr>
          <w:i/>
          <w:iCs/>
          <w:noProof/>
        </w:rPr>
        <w:t>J. Gerontol. Med. Sci.</w:t>
      </w:r>
      <w:r w:rsidRPr="00E06432">
        <w:rPr>
          <w:noProof/>
        </w:rPr>
        <w:t xml:space="preserve"> </w:t>
      </w:r>
      <w:r w:rsidRPr="007C4E75">
        <w:rPr>
          <w:b/>
          <w:bCs/>
          <w:noProof/>
        </w:rPr>
        <w:t>56,</w:t>
      </w:r>
      <w:r w:rsidRPr="00E06432">
        <w:rPr>
          <w:noProof/>
        </w:rPr>
        <w:t xml:space="preserve"> 146–164 (2001).</w:t>
      </w:r>
    </w:p>
    <w:p w14:paraId="6B778327" w14:textId="4F462D4C" w:rsidR="007C4E75" w:rsidRPr="00E06432" w:rsidRDefault="007C4E75" w:rsidP="007C4E75">
      <w:pPr>
        <w:pStyle w:val="Paragraphedeliste"/>
        <w:widowControl w:val="0"/>
        <w:numPr>
          <w:ilvl w:val="3"/>
          <w:numId w:val="1"/>
        </w:numPr>
        <w:autoSpaceDE w:val="0"/>
        <w:autoSpaceDN w:val="0"/>
        <w:adjustRightInd w:val="0"/>
        <w:spacing w:line="240" w:lineRule="auto"/>
        <w:rPr>
          <w:noProof/>
        </w:rPr>
      </w:pPr>
      <w:bookmarkStart w:id="0" w:name="_GoBack"/>
      <w:r>
        <w:rPr>
          <w:noProof/>
        </w:rPr>
        <w:t xml:space="preserve">Cavalier E. </w:t>
      </w:r>
      <w:r>
        <w:rPr>
          <w:i/>
          <w:noProof/>
        </w:rPr>
        <w:t xml:space="preserve">et al. </w:t>
      </w:r>
      <w:r>
        <w:rPr>
          <w:noProof/>
        </w:rPr>
        <w:t>Critical analytical evaluation of promising markers for sarcopenia.</w:t>
      </w:r>
      <w:r>
        <w:rPr>
          <w:i/>
          <w:noProof/>
        </w:rPr>
        <w:t xml:space="preserve"> </w:t>
      </w:r>
      <w:r w:rsidR="001576D1">
        <w:rPr>
          <w:i/>
          <w:noProof/>
        </w:rPr>
        <w:t xml:space="preserve">Eur Geriatr Med. </w:t>
      </w:r>
      <w:r w:rsidR="001576D1">
        <w:rPr>
          <w:b/>
          <w:noProof/>
        </w:rPr>
        <w:t xml:space="preserve">7, </w:t>
      </w:r>
      <w:r w:rsidR="001576D1">
        <w:rPr>
          <w:noProof/>
        </w:rPr>
        <w:t>239-242 (2016)</w:t>
      </w:r>
      <w:bookmarkEnd w:id="0"/>
    </w:p>
    <w:p w14:paraId="62EF58E4" w14:textId="77777777" w:rsidR="007C4E75" w:rsidRPr="007C4E75" w:rsidRDefault="007C4E75" w:rsidP="00904C56">
      <w:pPr>
        <w:pStyle w:val="Normal1"/>
        <w:spacing w:after="0" w:line="240" w:lineRule="auto"/>
        <w:ind w:left="720"/>
        <w:rPr>
          <w:b/>
          <w:vertAlign w:val="superscript"/>
          <w:lang w:val="en-US"/>
        </w:rPr>
      </w:pPr>
    </w:p>
    <w:sectPr w:rsidR="007C4E75" w:rsidRPr="007C4E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CB"/>
    <w:multiLevelType w:val="multilevel"/>
    <w:tmpl w:val="C0E0EC28"/>
    <w:lvl w:ilvl="0">
      <w:start w:val="1"/>
      <w:numFmt w:val="decimal"/>
      <w:lvlText w:val="%1."/>
      <w:lvlJc w:val="left"/>
      <w:pPr>
        <w:ind w:left="720" w:firstLine="108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9A"/>
    <w:rsid w:val="000D5ACF"/>
    <w:rsid w:val="001576D1"/>
    <w:rsid w:val="00180A45"/>
    <w:rsid w:val="002219AB"/>
    <w:rsid w:val="00284C7E"/>
    <w:rsid w:val="002D1835"/>
    <w:rsid w:val="002D6EEA"/>
    <w:rsid w:val="003006FF"/>
    <w:rsid w:val="003B37E1"/>
    <w:rsid w:val="00433857"/>
    <w:rsid w:val="00463A8F"/>
    <w:rsid w:val="004772C8"/>
    <w:rsid w:val="005804E6"/>
    <w:rsid w:val="005A7525"/>
    <w:rsid w:val="0063595D"/>
    <w:rsid w:val="006B10A8"/>
    <w:rsid w:val="007C4E75"/>
    <w:rsid w:val="00804DC3"/>
    <w:rsid w:val="00904C56"/>
    <w:rsid w:val="0097629A"/>
    <w:rsid w:val="00A41CCD"/>
    <w:rsid w:val="00AC6111"/>
    <w:rsid w:val="00AE222A"/>
    <w:rsid w:val="00AE5C28"/>
    <w:rsid w:val="00B61918"/>
    <w:rsid w:val="00B82D9E"/>
    <w:rsid w:val="00D43670"/>
    <w:rsid w:val="00EB0B7F"/>
    <w:rsid w:val="00F438F6"/>
    <w:rsid w:val="00F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A71"/>
  <w15:chartTrackingRefBased/>
  <w15:docId w15:val="{F9611CB2-1E06-4B61-B619-9B03C84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97629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7C4E7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338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8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8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8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8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PDelanaye</dc:creator>
  <cp:keywords/>
  <dc:description/>
  <cp:lastModifiedBy>PDelanaye</cp:lastModifiedBy>
  <cp:revision>9</cp:revision>
  <dcterms:created xsi:type="dcterms:W3CDTF">2017-04-27T18:17:00Z</dcterms:created>
  <dcterms:modified xsi:type="dcterms:W3CDTF">2017-04-27T19:01:00Z</dcterms:modified>
</cp:coreProperties>
</file>