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CC02B" w14:textId="77777777" w:rsidR="00816FF2" w:rsidRPr="00275694" w:rsidRDefault="00816FF2" w:rsidP="00816FF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2"/>
          <w:lang w:val="fr-FR"/>
        </w:rPr>
      </w:pPr>
      <w:bookmarkStart w:id="0" w:name="_GoBack"/>
      <w:bookmarkEnd w:id="0"/>
      <w:r w:rsidRPr="00275694">
        <w:rPr>
          <w:rFonts w:ascii="Times" w:hAnsi="Times" w:cs="Times"/>
          <w:b/>
          <w:bCs/>
          <w:sz w:val="52"/>
          <w:szCs w:val="64"/>
          <w:lang w:val="fr-FR"/>
        </w:rPr>
        <w:t xml:space="preserve">Penser (avec) la culture </w:t>
      </w:r>
      <w:proofErr w:type="spellStart"/>
      <w:r w:rsidRPr="00275694">
        <w:rPr>
          <w:rFonts w:ascii="Times" w:hAnsi="Times" w:cs="Times"/>
          <w:b/>
          <w:bCs/>
          <w:sz w:val="52"/>
          <w:szCs w:val="64"/>
          <w:lang w:val="fr-FR"/>
        </w:rPr>
        <w:t>vidéoludique</w:t>
      </w:r>
      <w:proofErr w:type="spellEnd"/>
      <w:r w:rsidRPr="00275694">
        <w:rPr>
          <w:rFonts w:ascii="Times" w:hAnsi="Times" w:cs="Times"/>
          <w:b/>
          <w:bCs/>
          <w:sz w:val="52"/>
          <w:szCs w:val="64"/>
          <w:lang w:val="fr-FR"/>
        </w:rPr>
        <w:t xml:space="preserve"> </w:t>
      </w:r>
    </w:p>
    <w:p w14:paraId="49050F0E" w14:textId="77777777" w:rsidR="00816FF2" w:rsidRDefault="00816FF2" w:rsidP="00816FF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fr-FR"/>
        </w:rPr>
      </w:pPr>
      <w:r>
        <w:rPr>
          <w:rFonts w:ascii="Times" w:hAnsi="Times" w:cs="Times"/>
          <w:i/>
          <w:iCs/>
          <w:sz w:val="38"/>
          <w:szCs w:val="38"/>
          <w:lang w:val="fr-FR"/>
        </w:rPr>
        <w:t xml:space="preserve">Colloque international sur le jeu vidéo comme objet de recherche et médium pédagogique </w:t>
      </w:r>
    </w:p>
    <w:p w14:paraId="621F7968" w14:textId="77777777" w:rsidR="00816FF2" w:rsidRDefault="00816FF2" w:rsidP="00816FF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fr-FR"/>
        </w:rPr>
      </w:pPr>
      <w:r>
        <w:rPr>
          <w:rFonts w:ascii="Times" w:hAnsi="Times" w:cs="Times"/>
          <w:b/>
          <w:bCs/>
          <w:sz w:val="46"/>
          <w:szCs w:val="46"/>
          <w:lang w:val="fr-FR"/>
        </w:rPr>
        <w:t xml:space="preserve">Université de Lausanne, du 5 au 7 octobre 2017 </w:t>
      </w:r>
    </w:p>
    <w:p w14:paraId="6C816524" w14:textId="77777777" w:rsidR="00F01FEA" w:rsidRDefault="00F01FEA"/>
    <w:p w14:paraId="4043D606" w14:textId="4570A51D" w:rsidR="00816FF2" w:rsidRDefault="00816FF2" w:rsidP="00816FF2">
      <w:pPr>
        <w:jc w:val="both"/>
        <w:rPr>
          <w:sz w:val="28"/>
          <w:szCs w:val="28"/>
        </w:rPr>
      </w:pPr>
      <w:r>
        <w:rPr>
          <w:sz w:val="28"/>
          <w:szCs w:val="28"/>
        </w:rPr>
        <w:t>Björn-Olav</w:t>
      </w:r>
      <w:r w:rsidR="0000137E" w:rsidRPr="0000137E">
        <w:rPr>
          <w:sz w:val="28"/>
          <w:szCs w:val="28"/>
        </w:rPr>
        <w:t xml:space="preserve"> </w:t>
      </w:r>
      <w:r w:rsidR="0000137E">
        <w:rPr>
          <w:sz w:val="28"/>
          <w:szCs w:val="28"/>
        </w:rPr>
        <w:t xml:space="preserve">DOZO et </w:t>
      </w:r>
      <w:r>
        <w:rPr>
          <w:sz w:val="28"/>
          <w:szCs w:val="28"/>
        </w:rPr>
        <w:t>Boris</w:t>
      </w:r>
      <w:r w:rsidR="0000137E" w:rsidRPr="0000137E">
        <w:rPr>
          <w:sz w:val="28"/>
          <w:szCs w:val="28"/>
        </w:rPr>
        <w:t xml:space="preserve"> </w:t>
      </w:r>
      <w:r w:rsidR="0000137E">
        <w:rPr>
          <w:sz w:val="28"/>
          <w:szCs w:val="28"/>
        </w:rPr>
        <w:t>KRYWICKI – Université de Liège</w:t>
      </w:r>
    </w:p>
    <w:p w14:paraId="05767C00" w14:textId="77777777" w:rsidR="00816FF2" w:rsidRDefault="00816FF2" w:rsidP="00816FF2">
      <w:pPr>
        <w:jc w:val="both"/>
        <w:rPr>
          <w:sz w:val="28"/>
          <w:szCs w:val="28"/>
        </w:rPr>
      </w:pPr>
    </w:p>
    <w:p w14:paraId="2D7FBAFB" w14:textId="7DD0FCB9" w:rsidR="00816FF2" w:rsidRDefault="0000137E" w:rsidP="00816F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 Beaux livres » sur les jeux vidéo et </w:t>
      </w:r>
      <w:r w:rsidR="00257830">
        <w:rPr>
          <w:sz w:val="28"/>
          <w:szCs w:val="28"/>
        </w:rPr>
        <w:t>p</w:t>
      </w:r>
      <w:r w:rsidR="00816FF2">
        <w:rPr>
          <w:sz w:val="28"/>
          <w:szCs w:val="28"/>
        </w:rPr>
        <w:t xml:space="preserve">resse </w:t>
      </w:r>
      <w:r>
        <w:rPr>
          <w:sz w:val="28"/>
          <w:szCs w:val="28"/>
        </w:rPr>
        <w:t>vidéoludique</w:t>
      </w:r>
      <w:r w:rsidR="00816FF2">
        <w:rPr>
          <w:sz w:val="28"/>
          <w:szCs w:val="28"/>
        </w:rPr>
        <w:t xml:space="preserve"> : </w:t>
      </w:r>
      <w:r>
        <w:rPr>
          <w:sz w:val="28"/>
          <w:szCs w:val="28"/>
        </w:rPr>
        <w:t xml:space="preserve">transferts et </w:t>
      </w:r>
      <w:r w:rsidR="00816FF2">
        <w:rPr>
          <w:sz w:val="28"/>
          <w:szCs w:val="28"/>
        </w:rPr>
        <w:t>transformation</w:t>
      </w:r>
      <w:r>
        <w:rPr>
          <w:sz w:val="28"/>
          <w:szCs w:val="28"/>
        </w:rPr>
        <w:t>s</w:t>
      </w:r>
      <w:r w:rsidR="00816FF2">
        <w:rPr>
          <w:sz w:val="28"/>
          <w:szCs w:val="28"/>
        </w:rPr>
        <w:t xml:space="preserve"> du capital ludique. </w:t>
      </w:r>
    </w:p>
    <w:p w14:paraId="183504C1" w14:textId="77777777" w:rsidR="00095D21" w:rsidRDefault="00095D21" w:rsidP="00816FF2">
      <w:pPr>
        <w:jc w:val="both"/>
        <w:rPr>
          <w:sz w:val="28"/>
          <w:szCs w:val="28"/>
        </w:rPr>
      </w:pPr>
    </w:p>
    <w:p w14:paraId="0C04B9DE" w14:textId="1960505C" w:rsidR="00CA5699" w:rsidRPr="0000137E" w:rsidRDefault="0000137E" w:rsidP="00816FF2">
      <w:pPr>
        <w:jc w:val="both"/>
        <w:rPr>
          <w:b/>
        </w:rPr>
      </w:pPr>
      <w:r w:rsidRPr="0000137E">
        <w:rPr>
          <w:b/>
        </w:rPr>
        <w:t>Résumé</w:t>
      </w:r>
    </w:p>
    <w:p w14:paraId="411593D7" w14:textId="77777777" w:rsidR="00CA5699" w:rsidRDefault="00CA5699" w:rsidP="00816FF2">
      <w:pPr>
        <w:jc w:val="both"/>
      </w:pPr>
    </w:p>
    <w:p w14:paraId="73D576EB" w14:textId="32DB048C" w:rsidR="00CA5699" w:rsidRDefault="009201F7" w:rsidP="00FC5058">
      <w:pPr>
        <w:ind w:firstLine="708"/>
        <w:jc w:val="both"/>
      </w:pPr>
      <w:r>
        <w:t>Plusieurs auteurs l’ont souligné : l</w:t>
      </w:r>
      <w:r w:rsidR="00471C93">
        <w:t>a presse spécialisée en jeu vidéo contribue à bâtir la culture de ce médium</w:t>
      </w:r>
      <w:r>
        <w:t xml:space="preserve"> (Zagal et Ladd, 2009 ; Nieborg et Sihvonen, 2009)</w:t>
      </w:r>
      <w:r w:rsidR="00471C93">
        <w:t>.</w:t>
      </w:r>
      <w:r>
        <w:t xml:space="preserve"> </w:t>
      </w:r>
      <w:r w:rsidR="0045492D">
        <w:t xml:space="preserve">Elle sert de vecteur de communication aux éditeurs, agrège les communautés de joueurs – déjà avec le courrier des lecteurs des magazines papier, </w:t>
      </w:r>
      <w:r w:rsidR="0045492D">
        <w:rPr>
          <w:i/>
        </w:rPr>
        <w:t xml:space="preserve">a fortiori </w:t>
      </w:r>
      <w:r w:rsidR="0045492D">
        <w:t xml:space="preserve">depuis l’arrivée des forums en ligne – et propose des référents aux lecteurs pour bâtir leurs goûts (genres de jeux, </w:t>
      </w:r>
      <w:r w:rsidR="00257830">
        <w:t>critères d’évaluation…). Parmi ces différentes fonctions, il faut souligner le rôle de passeur qu’occupent cette presse et ses journalistes.</w:t>
      </w:r>
    </w:p>
    <w:p w14:paraId="37DC01E9" w14:textId="77777777" w:rsidR="00CA5699" w:rsidRDefault="00CA5699" w:rsidP="00CA5699">
      <w:pPr>
        <w:ind w:firstLine="708"/>
        <w:jc w:val="both"/>
      </w:pPr>
    </w:p>
    <w:p w14:paraId="1D6C01B4" w14:textId="0E0069F5" w:rsidR="00FC5058" w:rsidRDefault="00257830" w:rsidP="00CA5699">
      <w:pPr>
        <w:ind w:firstLine="708"/>
        <w:jc w:val="both"/>
      </w:pPr>
      <w:r>
        <w:t>Au fil des livraisons, ceux-ci</w:t>
      </w:r>
      <w:r w:rsidR="00FC5058">
        <w:t xml:space="preserve"> transmettent aux lecteurs ce que certains chercheurs appellent le </w:t>
      </w:r>
      <w:r w:rsidR="00FC5058">
        <w:rPr>
          <w:i/>
        </w:rPr>
        <w:t xml:space="preserve">game capital </w:t>
      </w:r>
      <w:r w:rsidR="00FC5058">
        <w:t>(Consalvo, 2007 ; Walsh et Apperley, 2008). Cette notion de capital ludiqu</w:t>
      </w:r>
      <w:r w:rsidR="00B84CF8">
        <w:t xml:space="preserve">e englobe en réalité ce que </w:t>
      </w:r>
      <w:r w:rsidR="00C75858">
        <w:t xml:space="preserve">l’appel à contributions du colloque désigne </w:t>
      </w:r>
      <w:r w:rsidR="00FC5058">
        <w:t xml:space="preserve">plus communément </w:t>
      </w:r>
      <w:r w:rsidR="00C75858">
        <w:t xml:space="preserve">comme la </w:t>
      </w:r>
      <w:r w:rsidR="00FC5058">
        <w:t>« culture vidéoludique » :</w:t>
      </w:r>
      <w:r w:rsidR="00015711">
        <w:t xml:space="preserve"> maitrise</w:t>
      </w:r>
      <w:r w:rsidR="00FC5058">
        <w:t xml:space="preserve"> des mécanismes de jeu, </w:t>
      </w:r>
      <w:r>
        <w:t xml:space="preserve">connaissance </w:t>
      </w:r>
      <w:r w:rsidR="00FC5058">
        <w:t>des logiciels classiques</w:t>
      </w:r>
      <w:r>
        <w:t xml:space="preserve"> dénotant un canon commun, curiosité pour les </w:t>
      </w:r>
      <w:r w:rsidR="00FC5058">
        <w:t>coulisses de l’industrie</w:t>
      </w:r>
      <w:r w:rsidR="00C75858">
        <w:t>, etc</w:t>
      </w:r>
      <w:r w:rsidR="00FC5058">
        <w:t xml:space="preserve">. </w:t>
      </w:r>
      <w:r w:rsidR="00015711">
        <w:t xml:space="preserve">Comme les autres capitaux décrits par Bourdieu, </w:t>
      </w:r>
      <w:r>
        <w:t>ce capital ludique</w:t>
      </w:r>
      <w:r w:rsidR="00015711">
        <w:t xml:space="preserve"> peut ensuite être transformé en d’autres </w:t>
      </w:r>
      <w:r w:rsidR="00C75858">
        <w:t xml:space="preserve">forme de </w:t>
      </w:r>
      <w:r w:rsidR="00015711">
        <w:t>capita</w:t>
      </w:r>
      <w:r w:rsidR="00C75858">
        <w:t>l</w:t>
      </w:r>
      <w:r>
        <w:t>, à différents moments de la vie</w:t>
      </w:r>
      <w:r w:rsidR="00015711">
        <w:t xml:space="preserve"> : </w:t>
      </w:r>
      <w:r>
        <w:t xml:space="preserve">capital </w:t>
      </w:r>
      <w:r w:rsidR="00015711">
        <w:t>social</w:t>
      </w:r>
      <w:r>
        <w:t xml:space="preserve"> (lors de discussions dans la cour de récréation par exemple)</w:t>
      </w:r>
      <w:r w:rsidR="00015711">
        <w:t xml:space="preserve">, </w:t>
      </w:r>
      <w:r>
        <w:t xml:space="preserve">capital </w:t>
      </w:r>
      <w:r w:rsidR="00015711">
        <w:t>culturel</w:t>
      </w:r>
      <w:r>
        <w:t xml:space="preserve"> (lors de travaux sur le sujet dans un cursus sanctionné par un diplôme)</w:t>
      </w:r>
      <w:r w:rsidR="00015711">
        <w:t xml:space="preserve">, </w:t>
      </w:r>
      <w:r>
        <w:t xml:space="preserve">voire capital </w:t>
      </w:r>
      <w:r w:rsidR="00015711">
        <w:t>économique</w:t>
      </w:r>
      <w:r>
        <w:t xml:space="preserve"> (en valorisant ces connaissances pour obtenir un emploi dans le domaine)</w:t>
      </w:r>
      <w:r w:rsidR="00C75858">
        <w:t>.</w:t>
      </w:r>
    </w:p>
    <w:p w14:paraId="2A1284A3" w14:textId="77777777" w:rsidR="00015711" w:rsidRDefault="00015711" w:rsidP="00CA5699">
      <w:pPr>
        <w:ind w:firstLine="708"/>
        <w:jc w:val="both"/>
      </w:pPr>
    </w:p>
    <w:p w14:paraId="23773CB4" w14:textId="3688B8C5" w:rsidR="00015711" w:rsidRDefault="00C75858" w:rsidP="00CA5699">
      <w:pPr>
        <w:ind w:firstLine="708"/>
        <w:jc w:val="both"/>
      </w:pPr>
      <w:r>
        <w:t>À partir de ce cadre référentiel, nous prendrons pour objet un vecteur original de ce capital ludique : l</w:t>
      </w:r>
      <w:r w:rsidR="00FF2C69">
        <w:t xml:space="preserve">es « beaux livres » sur le jeu vidéo. </w:t>
      </w:r>
      <w:r>
        <w:t xml:space="preserve">Ceux-ci constituent des objets hybrides, au confluent du livre d’art, du guide de jeu, de l’encyclopédie spécialisée et de la célébration mercantile jouant sur la nostalgie. </w:t>
      </w:r>
    </w:p>
    <w:p w14:paraId="32A36D41" w14:textId="77777777" w:rsidR="001709D4" w:rsidRDefault="001709D4" w:rsidP="00CA5699">
      <w:pPr>
        <w:ind w:firstLine="708"/>
        <w:jc w:val="both"/>
      </w:pPr>
    </w:p>
    <w:p w14:paraId="42A324C3" w14:textId="1B8536C4" w:rsidR="001709D4" w:rsidRPr="00FC5058" w:rsidRDefault="001709D4" w:rsidP="00CA5699">
      <w:pPr>
        <w:ind w:firstLine="708"/>
        <w:jc w:val="both"/>
      </w:pPr>
      <w:r>
        <w:t xml:space="preserve">La plupart de ces ouvrages étant rédigés par des (anciens) journalistes, nous </w:t>
      </w:r>
      <w:r w:rsidR="000728CB">
        <w:t>proposerons une</w:t>
      </w:r>
      <w:r>
        <w:t xml:space="preserve"> sociographie de ces rédacteurs de la presse magazine </w:t>
      </w:r>
      <w:r w:rsidR="000728CB">
        <w:t xml:space="preserve">vidéoludique </w:t>
      </w:r>
      <w:r>
        <w:t xml:space="preserve">des </w:t>
      </w:r>
      <w:r w:rsidR="000728CB">
        <w:lastRenderedPageBreak/>
        <w:t xml:space="preserve">années 1980 et </w:t>
      </w:r>
      <w:r>
        <w:t>1990</w:t>
      </w:r>
      <w:r w:rsidR="000728CB">
        <w:t>,</w:t>
      </w:r>
      <w:r>
        <w:t xml:space="preserve"> pour mieux expliquer leur </w:t>
      </w:r>
      <w:r w:rsidR="000728CB">
        <w:t xml:space="preserve">propre </w:t>
      </w:r>
      <w:r>
        <w:t xml:space="preserve">accumulation de capital ludique. </w:t>
      </w:r>
      <w:r w:rsidR="000728CB">
        <w:t>À cette époque, ces journalistes adoptent à la fois l’</w:t>
      </w:r>
      <w:r w:rsidR="000728CB">
        <w:rPr>
          <w:i/>
        </w:rPr>
        <w:t xml:space="preserve">ethos </w:t>
      </w:r>
      <w:r w:rsidR="000728CB">
        <w:t>de passionnés en adhésion avec l’industrie et de critiques au service du lectorat. Leur</w:t>
      </w:r>
      <w:r w:rsidR="0000137E">
        <w:t>s</w:t>
      </w:r>
      <w:r w:rsidR="000728CB">
        <w:t xml:space="preserve"> figure</w:t>
      </w:r>
      <w:r w:rsidR="0000137E">
        <w:t>s</w:t>
      </w:r>
      <w:r w:rsidR="000728CB">
        <w:t xml:space="preserve"> cristallise</w:t>
      </w:r>
      <w:r w:rsidR="0000137E">
        <w:t>nt</w:t>
      </w:r>
      <w:r w:rsidR="000728CB">
        <w:t xml:space="preserve"> l’intérêt des amateurs, dans une sorte de star system autarcique, alors que </w:t>
      </w:r>
      <w:r w:rsidR="0000137E">
        <w:t xml:space="preserve">les véritables professionnels de </w:t>
      </w:r>
      <w:r w:rsidR="000728CB">
        <w:t>l’industrie</w:t>
      </w:r>
      <w:r w:rsidR="0000137E">
        <w:t xml:space="preserve"> </w:t>
      </w:r>
      <w:r w:rsidR="000728CB">
        <w:t xml:space="preserve">– les développeurs derrière la création des logiciels – sont longtemps restés dans l’ombre. </w:t>
      </w:r>
      <w:r w:rsidR="0000137E">
        <w:t xml:space="preserve">Notre hypothèse est </w:t>
      </w:r>
      <w:r w:rsidR="0059418B">
        <w:t>que les plus médiatisés de ces journalistes ont pu constituer, à renfort de mises en scène humor</w:t>
      </w:r>
      <w:r w:rsidR="00E15823">
        <w:t xml:space="preserve">istiques de la rédaction, un sentiment de </w:t>
      </w:r>
      <w:r w:rsidR="0000137E">
        <w:t>« </w:t>
      </w:r>
      <w:r w:rsidR="00E15823">
        <w:t xml:space="preserve">complicité </w:t>
      </w:r>
      <w:r w:rsidR="0000137E">
        <w:t xml:space="preserve">distante » </w:t>
      </w:r>
      <w:r w:rsidR="00E15823">
        <w:t>avec les lecteurs, incarnant ainsi l’interface par laquelle ils accéda</w:t>
      </w:r>
      <w:r w:rsidR="000728CB">
        <w:t xml:space="preserve">ient à l’univers du jeu vidéo. C’est à travers leur point de vue, par l’entremise de leurs mises en scène que la culture vidéoludique d’une génération s’est constituée. Il nous semble </w:t>
      </w:r>
      <w:r w:rsidR="0000137E">
        <w:t xml:space="preserve">donc </w:t>
      </w:r>
      <w:r w:rsidR="000728CB">
        <w:t>primordial de poser ces questions : quelles formes de savoir transmettent ces rédacteurs ? De quelles réappropriations par les lecteurs ces informations peuvent-elles faire l’objet au sein de leur culture vidéoludique (comment circulent les avis sur un jeu ? quelles visions de l’industrie sont-elles mises en circulation ?) ?</w:t>
      </w:r>
      <w:r w:rsidR="0000137E">
        <w:t xml:space="preserve"> quelles traces de ces scènes d’énonciation spécifiques à l’époque (Maingueneau) subsistent dans ces « beaux livres » actuels ?</w:t>
      </w:r>
    </w:p>
    <w:p w14:paraId="72AC0FAE" w14:textId="77777777" w:rsidR="00FC5058" w:rsidRDefault="00FC5058" w:rsidP="00CA5699">
      <w:pPr>
        <w:ind w:firstLine="708"/>
        <w:jc w:val="both"/>
      </w:pPr>
    </w:p>
    <w:p w14:paraId="1C83D333" w14:textId="77777777" w:rsidR="009201F7" w:rsidRDefault="009201F7" w:rsidP="00816FF2">
      <w:pPr>
        <w:jc w:val="both"/>
      </w:pPr>
    </w:p>
    <w:p w14:paraId="084A1A48" w14:textId="1855035D" w:rsidR="009201F7" w:rsidRPr="0000137E" w:rsidRDefault="0000137E" w:rsidP="00816FF2">
      <w:pPr>
        <w:jc w:val="both"/>
        <w:rPr>
          <w:rFonts w:cs="Times New Roman"/>
          <w:b/>
          <w:lang w:val="en-US"/>
        </w:rPr>
      </w:pPr>
      <w:proofErr w:type="spellStart"/>
      <w:r w:rsidRPr="0000137E">
        <w:rPr>
          <w:rFonts w:cs="Times New Roman"/>
          <w:b/>
          <w:lang w:val="en-US"/>
        </w:rPr>
        <w:t>Bibliographie</w:t>
      </w:r>
      <w:proofErr w:type="spellEnd"/>
    </w:p>
    <w:p w14:paraId="0C0F11DD" w14:textId="77777777" w:rsidR="009201F7" w:rsidRPr="00257830" w:rsidRDefault="009201F7" w:rsidP="00816FF2">
      <w:pPr>
        <w:jc w:val="both"/>
        <w:rPr>
          <w:rFonts w:ascii="Times New Roman" w:hAnsi="Times New Roman" w:cs="Times New Roman"/>
          <w:b/>
          <w:lang w:val="en-US"/>
        </w:rPr>
      </w:pPr>
    </w:p>
    <w:p w14:paraId="03820B88" w14:textId="796B268D" w:rsidR="007E63B6" w:rsidRPr="0000137E" w:rsidRDefault="007E63B6" w:rsidP="009201F7">
      <w:pPr>
        <w:spacing w:after="200" w:line="276" w:lineRule="auto"/>
        <w:jc w:val="both"/>
        <w:rPr>
          <w:rFonts w:eastAsia="Calibri" w:cs="Times New Roman"/>
          <w:lang w:val="en-US"/>
        </w:rPr>
      </w:pPr>
      <w:r w:rsidRPr="0000137E">
        <w:rPr>
          <w:rFonts w:eastAsia="Calibri" w:cs="Times New Roman"/>
          <w:lang w:val="en-US"/>
        </w:rPr>
        <w:t xml:space="preserve">CONSALVO Mia, </w:t>
      </w:r>
      <w:proofErr w:type="gramStart"/>
      <w:r w:rsidRPr="0000137E">
        <w:rPr>
          <w:rFonts w:eastAsia="Calibri" w:cs="Times New Roman"/>
          <w:i/>
          <w:lang w:val="en-US"/>
        </w:rPr>
        <w:t>Cheating :Gaining</w:t>
      </w:r>
      <w:proofErr w:type="gramEnd"/>
      <w:r w:rsidRPr="0000137E">
        <w:rPr>
          <w:rFonts w:eastAsia="Calibri" w:cs="Times New Roman"/>
          <w:i/>
          <w:lang w:val="en-US"/>
        </w:rPr>
        <w:t xml:space="preserve"> Advantage in Videogames, </w:t>
      </w:r>
      <w:r w:rsidRPr="0000137E">
        <w:rPr>
          <w:rFonts w:eastAsia="Calibri" w:cs="Times New Roman"/>
          <w:lang w:val="en-US"/>
        </w:rPr>
        <w:t xml:space="preserve">Cambridge :MIT Press, 2007. </w:t>
      </w:r>
    </w:p>
    <w:p w14:paraId="032CBD93" w14:textId="77777777" w:rsidR="0000137E" w:rsidRPr="0000137E" w:rsidRDefault="0000137E" w:rsidP="0000137E">
      <w:pPr>
        <w:spacing w:after="200" w:line="276" w:lineRule="auto"/>
        <w:jc w:val="both"/>
        <w:rPr>
          <w:lang w:val="en-US"/>
        </w:rPr>
      </w:pPr>
      <w:r w:rsidRPr="0000137E">
        <w:t xml:space="preserve">MAINGUENEAU Dominique, </w:t>
      </w:r>
      <w:r w:rsidRPr="0000137E">
        <w:rPr>
          <w:i/>
        </w:rPr>
        <w:t>Le discours littéraire : Paratopie et scène d'énonciation</w:t>
      </w:r>
      <w:r w:rsidRPr="0000137E">
        <w:t xml:space="preserve">, Paris, </w:t>
      </w:r>
      <w:r w:rsidRPr="0000137E">
        <w:rPr>
          <w:rFonts w:eastAsia="Calibri" w:cs="Times New Roman"/>
          <w:lang w:val="en-US"/>
        </w:rPr>
        <w:t>Armand</w:t>
      </w:r>
      <w:r w:rsidRPr="0000137E">
        <w:t xml:space="preserve"> Colin, Coll. </w:t>
      </w:r>
      <w:r w:rsidRPr="0000137E">
        <w:rPr>
          <w:lang w:val="en-US"/>
        </w:rPr>
        <w:t>« U », 2004.</w:t>
      </w:r>
    </w:p>
    <w:p w14:paraId="45042439" w14:textId="7532171A" w:rsidR="00095D21" w:rsidRPr="0000137E" w:rsidRDefault="009201F7" w:rsidP="0000137E">
      <w:pPr>
        <w:spacing w:after="200" w:line="276" w:lineRule="auto"/>
        <w:jc w:val="both"/>
        <w:rPr>
          <w:rFonts w:eastAsia="Calibri" w:cs="Times New Roman"/>
          <w:lang w:val="en-US"/>
        </w:rPr>
      </w:pPr>
      <w:r w:rsidRPr="0000137E">
        <w:rPr>
          <w:rFonts w:eastAsia="Calibri" w:cs="Times New Roman"/>
          <w:lang w:val="en-US"/>
        </w:rPr>
        <w:t>N</w:t>
      </w:r>
      <w:r w:rsidR="007E63B6" w:rsidRPr="0000137E">
        <w:rPr>
          <w:rFonts w:eastAsia="Calibri" w:cs="Times New Roman"/>
          <w:lang w:val="en-US"/>
        </w:rPr>
        <w:t>IEBORG David, SIHVONEN</w:t>
      </w:r>
      <w:r w:rsidRPr="0000137E">
        <w:rPr>
          <w:rFonts w:eastAsia="Calibri" w:cs="Times New Roman"/>
          <w:lang w:val="en-US"/>
        </w:rPr>
        <w:t xml:space="preserve"> Tanja, </w:t>
      </w:r>
      <w:r w:rsidRPr="0000137E">
        <w:rPr>
          <w:rFonts w:eastAsia="Calibri" w:cs="Times New Roman"/>
          <w:i/>
          <w:lang w:val="en-US"/>
        </w:rPr>
        <w:t xml:space="preserve">The new </w:t>
      </w:r>
      <w:proofErr w:type="gramStart"/>
      <w:r w:rsidRPr="0000137E">
        <w:rPr>
          <w:rFonts w:eastAsia="Calibri" w:cs="Times New Roman"/>
          <w:i/>
          <w:lang w:val="en-US"/>
        </w:rPr>
        <w:t>gatekeepers :</w:t>
      </w:r>
      <w:proofErr w:type="gramEnd"/>
      <w:r w:rsidRPr="0000137E">
        <w:rPr>
          <w:rFonts w:eastAsia="Calibri" w:cs="Times New Roman"/>
          <w:i/>
          <w:lang w:val="en-US"/>
        </w:rPr>
        <w:t xml:space="preserve"> The occupational ideology of game journalism</w:t>
      </w:r>
      <w:r w:rsidRPr="0000137E">
        <w:rPr>
          <w:rFonts w:eastAsia="Calibri" w:cs="Times New Roman"/>
          <w:lang w:val="en-US"/>
        </w:rPr>
        <w:t xml:space="preserve"> in "Breaking New Ground : Innovation in Games, Play, Practice and Theory. </w:t>
      </w:r>
      <w:proofErr w:type="gramStart"/>
      <w:r w:rsidRPr="0000137E">
        <w:rPr>
          <w:rFonts w:eastAsia="Calibri" w:cs="Times New Roman"/>
          <w:lang w:val="en-US"/>
        </w:rPr>
        <w:t xml:space="preserve">Proceedings of </w:t>
      </w:r>
      <w:proofErr w:type="spellStart"/>
      <w:r w:rsidRPr="0000137E">
        <w:rPr>
          <w:rFonts w:eastAsia="Calibri" w:cs="Times New Roman"/>
          <w:lang w:val="en-US"/>
        </w:rPr>
        <w:t>DiGRA</w:t>
      </w:r>
      <w:proofErr w:type="spellEnd"/>
      <w:r w:rsidRPr="0000137E">
        <w:rPr>
          <w:rFonts w:eastAsia="Calibri" w:cs="Times New Roman"/>
          <w:lang w:val="en-US"/>
        </w:rPr>
        <w:t xml:space="preserve"> 2009", 2009.</w:t>
      </w:r>
      <w:proofErr w:type="gramEnd"/>
      <w:r w:rsidRPr="0000137E">
        <w:rPr>
          <w:rFonts w:eastAsia="Calibri" w:cs="Times New Roman"/>
          <w:lang w:val="en-US"/>
        </w:rPr>
        <w:t xml:space="preserve"> </w:t>
      </w:r>
    </w:p>
    <w:p w14:paraId="6B072D25" w14:textId="77777777" w:rsidR="0000137E" w:rsidRPr="0000137E" w:rsidRDefault="00A500FD" w:rsidP="0000137E">
      <w:pPr>
        <w:spacing w:after="200" w:line="276" w:lineRule="auto"/>
        <w:jc w:val="both"/>
        <w:rPr>
          <w:rFonts w:cs="Times New Roman"/>
          <w:lang w:val="en-US"/>
        </w:rPr>
      </w:pPr>
      <w:r w:rsidRPr="0000137E">
        <w:rPr>
          <w:rFonts w:cs="Times New Roman"/>
          <w:lang w:val="en-US"/>
        </w:rPr>
        <w:t xml:space="preserve">WALSH Christopher, APPERLEY Thomas « Gaming </w:t>
      </w:r>
      <w:proofErr w:type="gramStart"/>
      <w:r w:rsidRPr="0000137E">
        <w:rPr>
          <w:rFonts w:cs="Times New Roman"/>
          <w:lang w:val="en-US"/>
        </w:rPr>
        <w:t>capital :</w:t>
      </w:r>
      <w:proofErr w:type="gramEnd"/>
      <w:r w:rsidRPr="0000137E">
        <w:rPr>
          <w:rFonts w:cs="Times New Roman"/>
          <w:lang w:val="en-US"/>
        </w:rPr>
        <w:t xml:space="preserve"> Rethinking literacy », </w:t>
      </w:r>
      <w:r w:rsidRPr="0000137E">
        <w:rPr>
          <w:rFonts w:cs="Times New Roman"/>
          <w:i/>
          <w:lang w:val="en-US"/>
        </w:rPr>
        <w:t>Changing Climates :Education for sustainable futures</w:t>
      </w:r>
      <w:r w:rsidRPr="0000137E">
        <w:rPr>
          <w:rFonts w:cs="Times New Roman"/>
          <w:lang w:val="en-US"/>
        </w:rPr>
        <w:t xml:space="preserve">, Proceedings of the AARE 2008 International Education Research Conference, </w:t>
      </w:r>
      <w:r w:rsidRPr="0000137E">
        <w:rPr>
          <w:rFonts w:eastAsia="Calibri" w:cs="Times New Roman"/>
          <w:lang w:val="en-US"/>
        </w:rPr>
        <w:t>Queensland</w:t>
      </w:r>
      <w:r w:rsidRPr="0000137E">
        <w:rPr>
          <w:rFonts w:cs="Times New Roman"/>
          <w:lang w:val="en-US"/>
        </w:rPr>
        <w:t xml:space="preserve"> </w:t>
      </w:r>
      <w:r w:rsidR="0000137E" w:rsidRPr="0000137E">
        <w:rPr>
          <w:rFonts w:cs="Times New Roman"/>
          <w:lang w:val="en-US"/>
        </w:rPr>
        <w:t>University of Technology, 2008.</w:t>
      </w:r>
    </w:p>
    <w:p w14:paraId="46CCC4F7" w14:textId="7CAF573B" w:rsidR="0000137E" w:rsidRPr="0000137E" w:rsidRDefault="0000137E" w:rsidP="0000137E">
      <w:pPr>
        <w:spacing w:after="200" w:line="276" w:lineRule="auto"/>
        <w:jc w:val="both"/>
        <w:rPr>
          <w:rFonts w:cs="Times New Roman"/>
          <w:lang w:val="en-US"/>
        </w:rPr>
      </w:pPr>
      <w:r w:rsidRPr="0000137E">
        <w:rPr>
          <w:rFonts w:cs="Times New Roman"/>
          <w:lang w:val="en-US"/>
        </w:rPr>
        <w:t xml:space="preserve">ZAGAL José, LADD </w:t>
      </w:r>
      <w:r w:rsidRPr="0000137E">
        <w:rPr>
          <w:rFonts w:eastAsia="Calibri" w:cs="Times New Roman"/>
          <w:lang w:val="en-US"/>
        </w:rPr>
        <w:t>Amanda</w:t>
      </w:r>
      <w:r w:rsidRPr="0000137E">
        <w:rPr>
          <w:rFonts w:cs="Times New Roman"/>
          <w:lang w:val="en-US"/>
        </w:rPr>
        <w:t xml:space="preserve">, </w:t>
      </w:r>
      <w:r w:rsidRPr="0000137E">
        <w:rPr>
          <w:rFonts w:cs="Times New Roman"/>
          <w:i/>
          <w:lang w:val="en-US"/>
        </w:rPr>
        <w:t>Characterizing and Understanding Game Reviews</w:t>
      </w:r>
      <w:r w:rsidRPr="0000137E">
        <w:rPr>
          <w:rFonts w:cs="Times New Roman"/>
          <w:lang w:val="en-US"/>
        </w:rPr>
        <w:t xml:space="preserve">, ICFDG (Orlando), 2009. </w:t>
      </w:r>
    </w:p>
    <w:sectPr w:rsidR="0000137E" w:rsidRPr="0000137E" w:rsidSect="00A500F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F2"/>
    <w:rsid w:val="0000137E"/>
    <w:rsid w:val="00015711"/>
    <w:rsid w:val="000728CB"/>
    <w:rsid w:val="00095D21"/>
    <w:rsid w:val="001709D4"/>
    <w:rsid w:val="00253F8E"/>
    <w:rsid w:val="00257830"/>
    <w:rsid w:val="00275694"/>
    <w:rsid w:val="0045492D"/>
    <w:rsid w:val="00471C93"/>
    <w:rsid w:val="0059418B"/>
    <w:rsid w:val="00707441"/>
    <w:rsid w:val="00792883"/>
    <w:rsid w:val="007E63B6"/>
    <w:rsid w:val="00816FF2"/>
    <w:rsid w:val="008A4341"/>
    <w:rsid w:val="009201F7"/>
    <w:rsid w:val="00952E35"/>
    <w:rsid w:val="00A500FD"/>
    <w:rsid w:val="00AF129D"/>
    <w:rsid w:val="00B84CF8"/>
    <w:rsid w:val="00C75858"/>
    <w:rsid w:val="00CA5699"/>
    <w:rsid w:val="00CD271A"/>
    <w:rsid w:val="00D8319A"/>
    <w:rsid w:val="00E15823"/>
    <w:rsid w:val="00F01FEA"/>
    <w:rsid w:val="00FC5058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373D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961C2-280A-124A-A521-0CE9CA86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3756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Krywicki</dc:creator>
  <cp:lastModifiedBy>Boris Krywicki</cp:lastModifiedBy>
  <cp:revision>2</cp:revision>
  <dcterms:created xsi:type="dcterms:W3CDTF">2017-02-14T21:32:00Z</dcterms:created>
  <dcterms:modified xsi:type="dcterms:W3CDTF">2017-02-14T21:32:00Z</dcterms:modified>
</cp:coreProperties>
</file>