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D60CF" w14:textId="04790B3B" w:rsidR="00781085" w:rsidRPr="009D65FC" w:rsidRDefault="00781085" w:rsidP="00781085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noProof/>
          <w:color w:val="000000"/>
          <w:lang w:eastAsia="fr-FR"/>
        </w:rPr>
        <w:drawing>
          <wp:inline distT="0" distB="0" distL="0" distR="0" wp14:anchorId="1CDA2EAD" wp14:editId="693ECAE1">
            <wp:extent cx="6267577" cy="1880273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37" cy="18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5FC">
        <w:rPr>
          <w:rFonts w:ascii="Times" w:hAnsi="Times" w:cs="Times"/>
          <w:color w:val="000000"/>
          <w:lang w:val="en-US"/>
        </w:rPr>
        <w:t xml:space="preserve"> </w:t>
      </w:r>
    </w:p>
    <w:p w14:paraId="2BAC3BDB" w14:textId="77777777" w:rsidR="00887C49" w:rsidRDefault="00887C49" w:rsidP="00887C49">
      <w:pPr>
        <w:rPr>
          <w:rFonts w:ascii="Times" w:hAnsi="Times" w:cs="Times"/>
          <w:b/>
          <w:bCs/>
          <w:color w:val="000000"/>
          <w:sz w:val="21"/>
          <w:szCs w:val="21"/>
          <w:lang w:val="en-US"/>
        </w:rPr>
      </w:pPr>
    </w:p>
    <w:p w14:paraId="5A8E9F4E" w14:textId="77777777" w:rsidR="00A81F59" w:rsidRDefault="00A81F59" w:rsidP="00887C49">
      <w:pPr>
        <w:rPr>
          <w:lang w:val="en-US"/>
        </w:rPr>
      </w:pPr>
    </w:p>
    <w:p w14:paraId="098107F8" w14:textId="41323FA2" w:rsidR="00887C49" w:rsidRPr="00A81F59" w:rsidRDefault="00887C49" w:rsidP="00A81F59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Arial" w:hAnsi="Arial" w:cs="Arial"/>
          <w:color w:val="000000"/>
          <w:sz w:val="32"/>
          <w:lang w:val="en-US"/>
        </w:rPr>
      </w:pPr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>Evolution of rate and genotypes of resistance to macrolide/</w:t>
      </w:r>
      <w:proofErr w:type="spellStart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>lincosamide</w:t>
      </w:r>
      <w:proofErr w:type="spellEnd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 xml:space="preserve"> among invasive Group B Streptococcus (GBS): Development of a multiplex PCR tool for simultaneou</w:t>
      </w:r>
      <w:r w:rsidR="00057B13" w:rsidRPr="00A81F59">
        <w:rPr>
          <w:rFonts w:ascii="Arial" w:hAnsi="Arial" w:cs="Arial"/>
          <w:b/>
          <w:bCs/>
          <w:color w:val="000000"/>
          <w:szCs w:val="21"/>
          <w:lang w:val="en-US"/>
        </w:rPr>
        <w:t>s</w:t>
      </w:r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 xml:space="preserve"> detection of </w:t>
      </w:r>
      <w:proofErr w:type="spellStart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>ErmB</w:t>
      </w:r>
      <w:proofErr w:type="spellEnd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 xml:space="preserve">, </w:t>
      </w:r>
      <w:proofErr w:type="spellStart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>ErmTr</w:t>
      </w:r>
      <w:proofErr w:type="spellEnd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 xml:space="preserve">, </w:t>
      </w:r>
      <w:proofErr w:type="spellStart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>MefA</w:t>
      </w:r>
      <w:proofErr w:type="spellEnd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 xml:space="preserve"> and </w:t>
      </w:r>
      <w:proofErr w:type="spellStart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>LsaC</w:t>
      </w:r>
      <w:proofErr w:type="spellEnd"/>
      <w:r w:rsidRPr="00A81F59">
        <w:rPr>
          <w:rFonts w:ascii="Arial" w:hAnsi="Arial" w:cs="Arial"/>
          <w:b/>
          <w:bCs/>
          <w:color w:val="000000"/>
          <w:szCs w:val="21"/>
          <w:lang w:val="en-US"/>
        </w:rPr>
        <w:t xml:space="preserve"> resistance genes. </w:t>
      </w:r>
    </w:p>
    <w:p w14:paraId="3FBFF2FB" w14:textId="77777777" w:rsidR="00A81F59" w:rsidRDefault="00887C49" w:rsidP="00A81F59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Arial" w:hAnsi="Arial" w:cs="Arial"/>
          <w:color w:val="000000"/>
          <w:position w:val="8"/>
          <w:sz w:val="20"/>
          <w:szCs w:val="16"/>
        </w:rPr>
      </w:pPr>
      <w:r w:rsidRPr="00A81F59">
        <w:rPr>
          <w:rFonts w:ascii="Arial" w:hAnsi="Arial" w:cs="Arial"/>
          <w:color w:val="000000"/>
          <w:sz w:val="21"/>
          <w:szCs w:val="18"/>
        </w:rPr>
        <w:t xml:space="preserve">Rosalie </w:t>
      </w:r>
      <w:proofErr w:type="spellStart"/>
      <w:r w:rsidRPr="00A81F59">
        <w:rPr>
          <w:rFonts w:ascii="Arial" w:hAnsi="Arial" w:cs="Arial"/>
          <w:color w:val="000000"/>
          <w:sz w:val="21"/>
          <w:szCs w:val="18"/>
        </w:rPr>
        <w:t>Sacheli</w:t>
      </w:r>
      <w:proofErr w:type="spellEnd"/>
      <w:r w:rsidRPr="00A81F59">
        <w:rPr>
          <w:rFonts w:ascii="Arial" w:hAnsi="Arial" w:cs="Arial"/>
          <w:color w:val="000000"/>
          <w:sz w:val="21"/>
          <w:szCs w:val="18"/>
        </w:rPr>
        <w:t xml:space="preserve"> </w:t>
      </w:r>
      <w:r w:rsidRPr="00A81F59">
        <w:rPr>
          <w:rFonts w:ascii="Arial" w:hAnsi="Arial" w:cs="Arial"/>
          <w:color w:val="000000"/>
          <w:position w:val="8"/>
          <w:sz w:val="20"/>
          <w:szCs w:val="16"/>
        </w:rPr>
        <w:t xml:space="preserve">1 </w:t>
      </w:r>
      <w:r w:rsidRPr="00A81F59">
        <w:rPr>
          <w:rFonts w:ascii="Arial" w:hAnsi="Arial" w:cs="Arial"/>
          <w:color w:val="000000"/>
          <w:sz w:val="21"/>
          <w:szCs w:val="18"/>
        </w:rPr>
        <w:t xml:space="preserve">, Julie </w:t>
      </w:r>
      <w:proofErr w:type="spellStart"/>
      <w:r w:rsidRPr="00A81F59">
        <w:rPr>
          <w:rFonts w:ascii="Arial" w:hAnsi="Arial" w:cs="Arial"/>
          <w:color w:val="000000"/>
          <w:sz w:val="21"/>
          <w:szCs w:val="18"/>
        </w:rPr>
        <w:t>Descy</w:t>
      </w:r>
      <w:proofErr w:type="spellEnd"/>
      <w:r w:rsidRPr="00A81F59">
        <w:rPr>
          <w:rFonts w:ascii="Arial" w:hAnsi="Arial" w:cs="Arial"/>
          <w:color w:val="000000"/>
          <w:sz w:val="21"/>
          <w:szCs w:val="18"/>
        </w:rPr>
        <w:t xml:space="preserve"> </w:t>
      </w:r>
      <w:r w:rsidRPr="00A81F59">
        <w:rPr>
          <w:rFonts w:ascii="Arial" w:hAnsi="Arial" w:cs="Arial"/>
          <w:color w:val="000000"/>
          <w:position w:val="8"/>
          <w:sz w:val="20"/>
          <w:szCs w:val="16"/>
        </w:rPr>
        <w:t xml:space="preserve">1 </w:t>
      </w:r>
      <w:r w:rsidRPr="00A81F59">
        <w:rPr>
          <w:rFonts w:ascii="Arial" w:hAnsi="Arial" w:cs="Arial"/>
          <w:color w:val="000000"/>
          <w:sz w:val="21"/>
          <w:szCs w:val="18"/>
        </w:rPr>
        <w:t xml:space="preserve">, Cécile </w:t>
      </w:r>
      <w:proofErr w:type="spellStart"/>
      <w:r w:rsidRPr="00A81F59">
        <w:rPr>
          <w:rFonts w:ascii="Arial" w:hAnsi="Arial" w:cs="Arial"/>
          <w:color w:val="000000"/>
          <w:sz w:val="21"/>
          <w:szCs w:val="18"/>
        </w:rPr>
        <w:t>Meex</w:t>
      </w:r>
      <w:proofErr w:type="spellEnd"/>
      <w:r w:rsidRPr="00A81F59">
        <w:rPr>
          <w:rFonts w:ascii="Arial" w:hAnsi="Arial" w:cs="Arial"/>
          <w:color w:val="000000"/>
          <w:sz w:val="21"/>
          <w:szCs w:val="18"/>
        </w:rPr>
        <w:t xml:space="preserve"> </w:t>
      </w:r>
      <w:r w:rsidRPr="00A81F59">
        <w:rPr>
          <w:rFonts w:ascii="Arial" w:hAnsi="Arial" w:cs="Arial"/>
          <w:color w:val="000000"/>
          <w:position w:val="8"/>
          <w:sz w:val="20"/>
          <w:szCs w:val="16"/>
        </w:rPr>
        <w:t xml:space="preserve">1 </w:t>
      </w:r>
      <w:r w:rsidRPr="00A81F59">
        <w:rPr>
          <w:rFonts w:ascii="Arial" w:hAnsi="Arial" w:cs="Arial"/>
          <w:color w:val="000000"/>
          <w:sz w:val="21"/>
          <w:szCs w:val="18"/>
        </w:rPr>
        <w:t xml:space="preserve">, Pascale Huynen </w:t>
      </w:r>
      <w:r w:rsidRPr="00A81F59">
        <w:rPr>
          <w:rFonts w:ascii="Arial" w:hAnsi="Arial" w:cs="Arial"/>
          <w:color w:val="000000"/>
          <w:position w:val="8"/>
          <w:sz w:val="20"/>
          <w:szCs w:val="16"/>
        </w:rPr>
        <w:t xml:space="preserve">2 </w:t>
      </w:r>
      <w:r w:rsidRPr="00A81F59">
        <w:rPr>
          <w:rFonts w:ascii="Arial" w:hAnsi="Arial" w:cs="Arial"/>
          <w:color w:val="000000"/>
          <w:sz w:val="21"/>
          <w:szCs w:val="18"/>
        </w:rPr>
        <w:t xml:space="preserve">, Marie-Pierre </w:t>
      </w:r>
      <w:proofErr w:type="spellStart"/>
      <w:r w:rsidRPr="00A81F59">
        <w:rPr>
          <w:rFonts w:ascii="Arial" w:hAnsi="Arial" w:cs="Arial"/>
          <w:color w:val="000000"/>
          <w:sz w:val="21"/>
          <w:szCs w:val="18"/>
        </w:rPr>
        <w:t>Hayette</w:t>
      </w:r>
      <w:proofErr w:type="spellEnd"/>
      <w:r w:rsidRPr="00A81F59">
        <w:rPr>
          <w:rFonts w:ascii="Arial" w:hAnsi="Arial" w:cs="Arial"/>
          <w:color w:val="000000"/>
          <w:sz w:val="21"/>
          <w:szCs w:val="18"/>
        </w:rPr>
        <w:t xml:space="preserve"> </w:t>
      </w:r>
      <w:r w:rsidRPr="00A81F59">
        <w:rPr>
          <w:rFonts w:ascii="Arial" w:hAnsi="Arial" w:cs="Arial"/>
          <w:color w:val="000000"/>
          <w:position w:val="8"/>
          <w:sz w:val="20"/>
          <w:szCs w:val="16"/>
        </w:rPr>
        <w:t xml:space="preserve">2 </w:t>
      </w:r>
      <w:r w:rsidRPr="00A81F59">
        <w:rPr>
          <w:rFonts w:ascii="Arial" w:hAnsi="Arial" w:cs="Arial"/>
          <w:color w:val="000000"/>
          <w:sz w:val="21"/>
          <w:szCs w:val="18"/>
        </w:rPr>
        <w:t xml:space="preserve">, </w:t>
      </w:r>
      <w:r w:rsidRPr="00A81F59">
        <w:rPr>
          <w:rFonts w:ascii="Arial" w:hAnsi="Arial" w:cs="Arial"/>
          <w:b/>
          <w:bCs/>
          <w:color w:val="000000"/>
          <w:sz w:val="21"/>
          <w:szCs w:val="18"/>
        </w:rPr>
        <w:t xml:space="preserve">Pierrette </w:t>
      </w:r>
      <w:proofErr w:type="spellStart"/>
      <w:r w:rsidRPr="00A81F59">
        <w:rPr>
          <w:rFonts w:ascii="Arial" w:hAnsi="Arial" w:cs="Arial"/>
          <w:b/>
          <w:bCs/>
          <w:color w:val="000000"/>
          <w:sz w:val="21"/>
          <w:szCs w:val="18"/>
        </w:rPr>
        <w:t>Melin</w:t>
      </w:r>
      <w:proofErr w:type="spellEnd"/>
      <w:r w:rsidRPr="00A81F59">
        <w:rPr>
          <w:rFonts w:ascii="Arial" w:hAnsi="Arial" w:cs="Arial"/>
          <w:b/>
          <w:bCs/>
          <w:color w:val="000000"/>
          <w:sz w:val="21"/>
          <w:szCs w:val="18"/>
        </w:rPr>
        <w:t xml:space="preserve"> </w:t>
      </w:r>
      <w:r w:rsidRPr="00A81F59">
        <w:rPr>
          <w:rFonts w:ascii="Arial" w:hAnsi="Arial" w:cs="Arial"/>
          <w:color w:val="000000"/>
          <w:position w:val="8"/>
          <w:sz w:val="20"/>
          <w:szCs w:val="16"/>
        </w:rPr>
        <w:t xml:space="preserve">1 </w:t>
      </w:r>
    </w:p>
    <w:p w14:paraId="361B6C8B" w14:textId="09856528" w:rsidR="00887C49" w:rsidRPr="00A81F59" w:rsidRDefault="00887C49" w:rsidP="00A81F59">
      <w:pPr>
        <w:widowControl w:val="0"/>
        <w:autoSpaceDE w:val="0"/>
        <w:autoSpaceDN w:val="0"/>
        <w:adjustRightInd w:val="0"/>
        <w:spacing w:after="240" w:line="200" w:lineRule="atLeast"/>
        <w:rPr>
          <w:rFonts w:ascii="MS Mincho" w:eastAsia="MS Mincho" w:hAnsi="MS Mincho" w:cs="MS Mincho"/>
          <w:i/>
          <w:iCs/>
          <w:color w:val="000000"/>
          <w:sz w:val="21"/>
          <w:szCs w:val="18"/>
          <w:lang w:val="en-US"/>
        </w:rPr>
      </w:pP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1. National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Reference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Centre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for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Streptococcus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proofErr w:type="spellStart"/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agalactiae</w:t>
      </w:r>
      <w:proofErr w:type="spellEnd"/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–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University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proofErr w:type="gramStart"/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Hospital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 CIRM</w:t>
      </w:r>
      <w:proofErr w:type="gramEnd"/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,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LIEGE,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Belgium</w:t>
      </w:r>
      <w:r w:rsidRPr="00A81F59">
        <w:rPr>
          <w:rFonts w:ascii="MS Mincho" w:eastAsia="MS Mincho" w:hAnsi="MS Mincho" w:cs="MS Mincho"/>
          <w:i/>
          <w:iCs/>
          <w:color w:val="000000"/>
          <w:sz w:val="21"/>
          <w:szCs w:val="18"/>
          <w:lang w:val="en-US"/>
        </w:rPr>
        <w:t> </w:t>
      </w:r>
      <w:r w:rsidR="00A81F59">
        <w:rPr>
          <w:rFonts w:ascii="MS Mincho" w:eastAsia="MS Mincho" w:hAnsi="MS Mincho" w:cs="MS Mincho"/>
          <w:i/>
          <w:iCs/>
          <w:color w:val="000000"/>
          <w:sz w:val="21"/>
          <w:szCs w:val="18"/>
          <w:lang w:val="en-US"/>
        </w:rPr>
        <w:br/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2. Clinical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microbiology,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University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Hospital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of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Liege,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CIRM,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>LIEGE,</w:t>
      </w:r>
      <w:r w:rsid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 </w:t>
      </w:r>
      <w:r w:rsidRPr="00A81F59">
        <w:rPr>
          <w:rFonts w:ascii="Arial" w:hAnsi="Arial" w:cs="Arial"/>
          <w:i/>
          <w:iCs/>
          <w:color w:val="000000"/>
          <w:sz w:val="21"/>
          <w:szCs w:val="18"/>
          <w:lang w:val="en-US"/>
        </w:rPr>
        <w:t xml:space="preserve">Belgium </w:t>
      </w:r>
    </w:p>
    <w:p w14:paraId="551FD3DB" w14:textId="5D866328" w:rsidR="00887C49" w:rsidRPr="00A81F59" w:rsidRDefault="00887C49" w:rsidP="00A81F59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2"/>
          <w:lang w:val="en-US"/>
        </w:rPr>
      </w:pPr>
      <w:r w:rsidRPr="00A81F59">
        <w:rPr>
          <w:rFonts w:ascii="Arial" w:hAnsi="Arial" w:cs="Arial"/>
          <w:b/>
          <w:bCs/>
          <w:color w:val="000000"/>
          <w:sz w:val="20"/>
          <w:szCs w:val="16"/>
          <w:lang w:val="en-US"/>
        </w:rPr>
        <w:t xml:space="preserve">Methods: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>A multiplex-PCR, using a set of specifically designed or already described (</w:t>
      </w:r>
      <w:proofErr w:type="spellStart"/>
      <w:r w:rsidRPr="00A81F59">
        <w:rPr>
          <w:rFonts w:ascii="Arial" w:hAnsi="Arial" w:cs="Arial"/>
          <w:color w:val="000000"/>
          <w:sz w:val="20"/>
          <w:szCs w:val="16"/>
          <w:lang w:val="en-US"/>
        </w:rPr>
        <w:t>Kataja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, 1999; </w:t>
      </w:r>
      <w:proofErr w:type="spellStart"/>
      <w:r w:rsidRPr="00A81F59">
        <w:rPr>
          <w:rFonts w:ascii="Arial" w:hAnsi="Arial" w:cs="Arial"/>
          <w:color w:val="000000"/>
          <w:sz w:val="20"/>
          <w:szCs w:val="16"/>
          <w:lang w:val="en-US"/>
        </w:rPr>
        <w:t>Malbruny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>, 2011) primers was developed and used to detect, in GBS, three genes for erythromyc</w:t>
      </w:r>
      <w:r w:rsidR="00A81F59">
        <w:rPr>
          <w:rFonts w:ascii="Arial" w:hAnsi="Arial" w:cs="Arial"/>
          <w:color w:val="000000"/>
          <w:sz w:val="20"/>
          <w:szCs w:val="16"/>
          <w:lang w:val="en-US"/>
        </w:rPr>
        <w:t>in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 resistance,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ermB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,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ermTR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,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mefA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and one gene for clindamycin-resistance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lsaC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.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AdhP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gene amplification was used as control for GBS identification. </w:t>
      </w:r>
      <w:proofErr w:type="gramStart"/>
      <w:r w:rsidRPr="00A81F59">
        <w:rPr>
          <w:rFonts w:ascii="Arial" w:hAnsi="Arial" w:cs="Arial"/>
          <w:color w:val="000000"/>
          <w:sz w:val="20"/>
          <w:szCs w:val="16"/>
          <w:lang w:val="en-US"/>
        </w:rPr>
        <w:t>All(</w:t>
      </w:r>
      <w:proofErr w:type="gram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219) GBS isolates from invasive infections in newborns and adults received by the Belgian National Reference Center for GBS in 2015, and control strains were tested for erythromycin/clindamycin susceptibility (disk-diffusion/broth- microdilution) and for detection of resistance genes. </w:t>
      </w:r>
    </w:p>
    <w:p w14:paraId="410F5DB6" w14:textId="0796D525" w:rsidR="00887C49" w:rsidRPr="00A81F59" w:rsidRDefault="00887C49" w:rsidP="00A81F59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2"/>
          <w:lang w:val="en-US"/>
        </w:rPr>
      </w:pPr>
      <w:r w:rsidRPr="00A81F59">
        <w:rPr>
          <w:rFonts w:ascii="Arial" w:hAnsi="Arial" w:cs="Arial"/>
          <w:b/>
          <w:bCs/>
          <w:color w:val="000000"/>
          <w:sz w:val="20"/>
          <w:szCs w:val="16"/>
          <w:lang w:val="en-US"/>
        </w:rPr>
        <w:t xml:space="preserve">Results: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>PCR products demonstrated the expected respective sizes. The method has been validated successfully according to ISO15189 analytical requirements. Of the 219 isolates, 67(30,67%) w</w:t>
      </w:r>
      <w:r w:rsidR="00A81F59">
        <w:rPr>
          <w:rFonts w:ascii="Arial" w:hAnsi="Arial" w:cs="Arial"/>
          <w:color w:val="000000"/>
          <w:sz w:val="20"/>
          <w:szCs w:val="16"/>
          <w:lang w:val="en-US"/>
        </w:rPr>
        <w:t>ere</w:t>
      </w:r>
      <w:bookmarkStart w:id="0" w:name="_GoBack"/>
      <w:bookmarkEnd w:id="0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 resistant to erythromycin and/or clindamycin: 44/67(65,78%) showed a constitutive-MLS phenotype and 10/67(14,9%) the inducible-MLS phenotype. Among the constitutive-MLS strains, 73% </w:t>
      </w:r>
      <w:proofErr w:type="spellStart"/>
      <w:r w:rsidRPr="00A81F59">
        <w:rPr>
          <w:rFonts w:ascii="Arial" w:hAnsi="Arial" w:cs="Arial"/>
          <w:color w:val="000000"/>
          <w:sz w:val="20"/>
          <w:szCs w:val="16"/>
          <w:lang w:val="en-US"/>
        </w:rPr>
        <w:t>harboured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ErmB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gene, 13%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ErmTR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, 7%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ErmB+mefA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and 7%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ermB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together with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LsaC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gene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. The inducible-MLS strains </w:t>
      </w:r>
      <w:proofErr w:type="spellStart"/>
      <w:r w:rsidRPr="00A81F59">
        <w:rPr>
          <w:rFonts w:ascii="Arial" w:hAnsi="Arial" w:cs="Arial"/>
          <w:color w:val="000000"/>
          <w:sz w:val="20"/>
          <w:szCs w:val="16"/>
          <w:lang w:val="en-US"/>
        </w:rPr>
        <w:t>harboured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 mostly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ErmTr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gene (89%) and the others the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ErmB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gene. Among the 10/67(14,9%) GBS strains with an M-phenotype (isolated resistance to erythromycin), the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MefA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gene was exclusively detected. Among the 3(4,48%) strains showing an isolated resistance to clindamycin (L-phenotype), the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LsaC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gene was detected. </w:t>
      </w:r>
    </w:p>
    <w:p w14:paraId="058AF134" w14:textId="77777777" w:rsidR="00887C49" w:rsidRPr="00A81F59" w:rsidRDefault="00887C49" w:rsidP="00A81F59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2"/>
          <w:lang w:val="en-US"/>
        </w:rPr>
      </w:pPr>
      <w:r w:rsidRPr="00A81F59">
        <w:rPr>
          <w:rFonts w:ascii="Arial" w:hAnsi="Arial" w:cs="Arial"/>
          <w:b/>
          <w:bCs/>
          <w:color w:val="000000"/>
          <w:sz w:val="20"/>
          <w:szCs w:val="16"/>
          <w:lang w:val="en-US"/>
        </w:rPr>
        <w:t xml:space="preserve">Conclusion: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The developed multiplex PCR is able to detect simultaneously four genes involved in MLS resistance in GBS. In 2015, 30,6% of the invasive GBS strains isolated in Belgium were resist to macrolides and/or </w:t>
      </w:r>
      <w:proofErr w:type="spellStart"/>
      <w:r w:rsidRPr="00A81F59">
        <w:rPr>
          <w:rFonts w:ascii="Arial" w:hAnsi="Arial" w:cs="Arial"/>
          <w:color w:val="000000"/>
          <w:sz w:val="20"/>
          <w:szCs w:val="16"/>
          <w:lang w:val="en-US"/>
        </w:rPr>
        <w:t>lincosamides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. The emergence of the L-phenotype in GBS described since 2010, justifies the relevance to also detect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LsaC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gene together with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ErmB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,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ErmTr</w:t>
      </w:r>
      <w:proofErr w:type="spellEnd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 xml:space="preserve"> </w:t>
      </w:r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and </w:t>
      </w:r>
      <w:proofErr w:type="spellStart"/>
      <w:r w:rsidRPr="00A81F59">
        <w:rPr>
          <w:rFonts w:ascii="Arial" w:hAnsi="Arial" w:cs="Arial"/>
          <w:i/>
          <w:iCs/>
          <w:color w:val="000000"/>
          <w:sz w:val="20"/>
          <w:szCs w:val="16"/>
          <w:lang w:val="en-US"/>
        </w:rPr>
        <w:t>MefA</w:t>
      </w:r>
      <w:proofErr w:type="spellEnd"/>
      <w:r w:rsidRPr="00A81F59">
        <w:rPr>
          <w:rFonts w:ascii="Arial" w:hAnsi="Arial" w:cs="Arial"/>
          <w:color w:val="000000"/>
          <w:sz w:val="20"/>
          <w:szCs w:val="16"/>
          <w:lang w:val="en-US"/>
        </w:rPr>
        <w:t xml:space="preserve">. </w:t>
      </w:r>
    </w:p>
    <w:p w14:paraId="3E540273" w14:textId="77777777" w:rsidR="00887C49" w:rsidRPr="00A81F59" w:rsidRDefault="00887C49" w:rsidP="00A81F59">
      <w:pPr>
        <w:jc w:val="both"/>
        <w:rPr>
          <w:rFonts w:ascii="Arial" w:hAnsi="Arial" w:cs="Arial"/>
          <w:sz w:val="32"/>
          <w:lang w:val="en-US"/>
        </w:rPr>
      </w:pPr>
    </w:p>
    <w:p w14:paraId="632D866F" w14:textId="77777777" w:rsidR="00887C49" w:rsidRPr="00887C49" w:rsidRDefault="00887C49" w:rsidP="00887C49">
      <w:pPr>
        <w:rPr>
          <w:lang w:val="en-US"/>
        </w:rPr>
      </w:pPr>
    </w:p>
    <w:sectPr w:rsidR="00887C49" w:rsidRPr="00887C49" w:rsidSect="009268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71DB2"/>
    <w:multiLevelType w:val="hybridMultilevel"/>
    <w:tmpl w:val="DB26E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49"/>
    <w:rsid w:val="000444E6"/>
    <w:rsid w:val="00057B13"/>
    <w:rsid w:val="000713F3"/>
    <w:rsid w:val="001E1CE3"/>
    <w:rsid w:val="00252A6F"/>
    <w:rsid w:val="003D5CB3"/>
    <w:rsid w:val="00401931"/>
    <w:rsid w:val="00781085"/>
    <w:rsid w:val="00887C49"/>
    <w:rsid w:val="00926874"/>
    <w:rsid w:val="009D65FC"/>
    <w:rsid w:val="00A81F59"/>
    <w:rsid w:val="00D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494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D65F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87C4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D65FC"/>
    <w:rPr>
      <w:rFonts w:ascii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1975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20th Lancefield International Symposium on Streptococci and Streptococcal Diseas</vt:lpstr>
    </vt:vector>
  </TitlesOfParts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2017-08-22T12:54:00Z</dcterms:created>
  <dcterms:modified xsi:type="dcterms:W3CDTF">2017-08-22T13:58:00Z</dcterms:modified>
</cp:coreProperties>
</file>