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B9B6F" w14:textId="039B25E9" w:rsidR="00E21973" w:rsidRDefault="00E21973" w:rsidP="00E21973">
      <w:pPr>
        <w:pStyle w:val="Titre"/>
        <w:jc w:val="both"/>
      </w:pPr>
      <w:r>
        <w:t xml:space="preserve">La communication scientifique directe vers un public </w:t>
      </w:r>
      <w:r w:rsidR="005717E0" w:rsidRPr="00D60810">
        <w:t>élargi</w:t>
      </w:r>
      <w:r w:rsidRPr="00D60810">
        <w:t>.</w:t>
      </w:r>
      <w:r>
        <w:t xml:space="preserve"> L’actualité sociale traitée par des chercheurs dans les carnets de recherche </w:t>
      </w:r>
      <w:r>
        <w:rPr>
          <w:i/>
        </w:rPr>
        <w:t>Hypothèses</w:t>
      </w:r>
    </w:p>
    <w:p w14:paraId="01E6A687" w14:textId="77777777" w:rsidR="00E21973" w:rsidRDefault="00E21973" w:rsidP="00E21973">
      <w:pPr>
        <w:pStyle w:val="Sansinterligne"/>
      </w:pPr>
      <w:r>
        <w:t xml:space="preserve">Ingrid </w:t>
      </w:r>
      <w:r w:rsidRPr="0030148B">
        <w:rPr>
          <w:smallCaps/>
        </w:rPr>
        <w:t>Mayeur</w:t>
      </w:r>
    </w:p>
    <w:p w14:paraId="088F3B2C" w14:textId="6C5C03DD" w:rsidR="00E21973" w:rsidRDefault="00E21973" w:rsidP="00E21973">
      <w:pPr>
        <w:pStyle w:val="Sansinterligne"/>
        <w:spacing w:before="120"/>
      </w:pPr>
      <w:r w:rsidRPr="0035549D">
        <w:t xml:space="preserve">Ingrid </w:t>
      </w:r>
      <w:r>
        <w:t>Mayeur est doctorante à l’Université de Liège (</w:t>
      </w:r>
      <w:r w:rsidRPr="00221012">
        <w:t>U</w:t>
      </w:r>
      <w:r w:rsidR="00ED0D05">
        <w:t xml:space="preserve">nité de </w:t>
      </w:r>
      <w:r w:rsidRPr="00221012">
        <w:t>R</w:t>
      </w:r>
      <w:r w:rsidR="00ED0D05">
        <w:t>echerche</w:t>
      </w:r>
      <w:r w:rsidRPr="00221012">
        <w:t xml:space="preserve"> </w:t>
      </w:r>
      <w:r w:rsidRPr="00ED0D05">
        <w:rPr>
          <w:i/>
        </w:rPr>
        <w:t>Traverses</w:t>
      </w:r>
      <w:r w:rsidRPr="00221012">
        <w:t>, Sémiotique et Rhétorique</w:t>
      </w:r>
      <w:r>
        <w:t>).</w:t>
      </w:r>
    </w:p>
    <w:p w14:paraId="79DDCE51" w14:textId="77777777" w:rsidR="00E21973" w:rsidRDefault="00186B2A" w:rsidP="00E21973">
      <w:pPr>
        <w:pStyle w:val="Sansinterligne"/>
      </w:pPr>
      <w:hyperlink r:id="rId8" w:history="1">
        <w:r w:rsidR="00E21973" w:rsidRPr="00315353">
          <w:rPr>
            <w:rStyle w:val="Lienhypertexte"/>
          </w:rPr>
          <w:t>Ingrid.Mayeur@ulg.ac.be</w:t>
        </w:r>
      </w:hyperlink>
      <w:r w:rsidR="00E21973">
        <w:t xml:space="preserve"> </w:t>
      </w:r>
    </w:p>
    <w:p w14:paraId="4D40E743" w14:textId="77777777" w:rsidR="00E21973" w:rsidRPr="0035549D" w:rsidRDefault="00E21973" w:rsidP="00E21973">
      <w:pPr>
        <w:pStyle w:val="Sansinterligne"/>
      </w:pPr>
    </w:p>
    <w:p w14:paraId="4DF4CAFB" w14:textId="1F53FA24" w:rsidR="00E21973" w:rsidRDefault="00E21973" w:rsidP="00E21973">
      <w:pPr>
        <w:jc w:val="both"/>
        <w:rPr>
          <w:i/>
        </w:rPr>
      </w:pPr>
      <w:r w:rsidRPr="003B5087">
        <w:rPr>
          <w:i/>
        </w:rPr>
        <w:t>Note de l’auteur</w:t>
      </w:r>
      <w:r>
        <w:rPr>
          <w:i/>
        </w:rPr>
        <w:t>e</w:t>
      </w:r>
      <w:r w:rsidR="006B43DE">
        <w:rPr>
          <w:i/>
        </w:rPr>
        <w:t> </w:t>
      </w:r>
      <w:r w:rsidR="006B43DE" w:rsidRPr="003B5087">
        <w:rPr>
          <w:i/>
        </w:rPr>
        <w:t>:</w:t>
      </w:r>
      <w:r w:rsidRPr="003B5087">
        <w:rPr>
          <w:i/>
        </w:rPr>
        <w:t xml:space="preserve"> Je tiens à remercier l’équipe du C</w:t>
      </w:r>
      <w:r>
        <w:rPr>
          <w:i/>
        </w:rPr>
        <w:t>entre pour l’édition électronique ouverte</w:t>
      </w:r>
      <w:r w:rsidRPr="003B5087">
        <w:rPr>
          <w:i/>
        </w:rPr>
        <w:t xml:space="preserve">, et en particulier Marin Dacos, pour l’accès </w:t>
      </w:r>
      <w:r>
        <w:rPr>
          <w:i/>
        </w:rPr>
        <w:t xml:space="preserve">à divers documents et données relatifs à </w:t>
      </w:r>
      <w:proofErr w:type="spellStart"/>
      <w:r w:rsidRPr="003B5087">
        <w:rPr>
          <w:i/>
        </w:rPr>
        <w:t>OpenEdition</w:t>
      </w:r>
      <w:proofErr w:type="spellEnd"/>
      <w:r>
        <w:rPr>
          <w:i/>
        </w:rPr>
        <w:t>,</w:t>
      </w:r>
      <w:r w:rsidRPr="003B5087">
        <w:rPr>
          <w:i/>
        </w:rPr>
        <w:t xml:space="preserve"> qui a facilité la réalisation de cet article.</w:t>
      </w:r>
      <w:r>
        <w:rPr>
          <w:i/>
        </w:rPr>
        <w:t xml:space="preserve"> </w:t>
      </w:r>
    </w:p>
    <w:p w14:paraId="431BF0A0" w14:textId="07F413B8" w:rsidR="00E21973" w:rsidRDefault="00E21973" w:rsidP="00E21973">
      <w:pPr>
        <w:jc w:val="both"/>
      </w:pPr>
      <w:r w:rsidRPr="00C44DEB">
        <w:rPr>
          <w:u w:val="single"/>
        </w:rPr>
        <w:t>Résumé</w:t>
      </w:r>
      <w:r w:rsidR="006B43DE">
        <w:t> :</w:t>
      </w:r>
      <w:r>
        <w:t xml:space="preserve"> Cette contribution entend questionner un type de médiation sociale qu’autorise la communication scientifique en régime d’accès ouvert, à savoir la divulgation de connaissances en sciences humaines et sociales – ci-après SHS – auprès d’un public dé</w:t>
      </w:r>
      <w:r w:rsidR="00313EC4">
        <w:t>pass</w:t>
      </w:r>
      <w:r>
        <w:t xml:space="preserve">ant la </w:t>
      </w:r>
      <w:r w:rsidR="00C14AF3">
        <w:t xml:space="preserve">seule </w:t>
      </w:r>
      <w:r>
        <w:t xml:space="preserve">sphère académique. Je prendrai pour terrain d’investigation la plateforme d’édition numérique </w:t>
      </w:r>
      <w:proofErr w:type="spellStart"/>
      <w:r>
        <w:rPr>
          <w:i/>
        </w:rPr>
        <w:t>OpenEdition</w:t>
      </w:r>
      <w:proofErr w:type="spellEnd"/>
      <w:r>
        <w:rPr>
          <w:i/>
        </w:rPr>
        <w:t xml:space="preserve">, </w:t>
      </w:r>
      <w:r>
        <w:t xml:space="preserve">et plus spécifiquement </w:t>
      </w:r>
      <w:r>
        <w:rPr>
          <w:i/>
        </w:rPr>
        <w:t>Hypothèses</w:t>
      </w:r>
      <w:r>
        <w:t xml:space="preserve">, espace de </w:t>
      </w:r>
      <w:proofErr w:type="spellStart"/>
      <w:r>
        <w:t>blogging</w:t>
      </w:r>
      <w:proofErr w:type="spellEnd"/>
      <w:r>
        <w:t xml:space="preserve"> scientifique. Il sera question d’une modalité </w:t>
      </w:r>
      <w:r w:rsidR="009E2574">
        <w:t xml:space="preserve">particulière de divulgation, qui </w:t>
      </w:r>
      <w:r>
        <w:t xml:space="preserve">est le traitement de l’actualité par des chercheurs à travers leurs grilles de lectures disciplinaires en sciences humaines et sociales. Dans l’exploration du corpus, je mettrai l’accent sur les modes d’appropriation du dispositif éditorial </w:t>
      </w:r>
      <w:r w:rsidRPr="00F02B5F">
        <w:t>d’</w:t>
      </w:r>
      <w:r w:rsidRPr="00F02B5F">
        <w:rPr>
          <w:i/>
        </w:rPr>
        <w:t>Hypothèses</w:t>
      </w:r>
      <w:r>
        <w:t xml:space="preserve"> </w:t>
      </w:r>
      <w:r w:rsidRPr="00F02B5F">
        <w:t>par</w:t>
      </w:r>
      <w:r>
        <w:t xml:space="preserve"> les chercheurs qui y commentent l’actualité, les auditoires </w:t>
      </w:r>
      <w:r w:rsidR="008E7221">
        <w:t>et usages que laissent entrevoir les textes</w:t>
      </w:r>
      <w:r>
        <w:t xml:space="preserve">, ainsi que les procédés discursifs d’ajustement </w:t>
      </w:r>
      <w:r w:rsidR="00256662">
        <w:t>mis</w:t>
      </w:r>
      <w:r>
        <w:t xml:space="preserve"> en œuvre. J’espère ainsi contribuer à décrire les caractéristiques de la médiation produite par cette forme de traitement de l’actualité, pour mettre en cause le caractère </w:t>
      </w:r>
      <w:r w:rsidRPr="003F2184">
        <w:rPr>
          <w:i/>
        </w:rPr>
        <w:t>direct</w:t>
      </w:r>
      <w:r>
        <w:t xml:space="preserve"> de la communication scientifique sur un carnet de recherche en ligne inscrit dans une plateforme d’édition numérique en accès ouvert. </w:t>
      </w:r>
    </w:p>
    <w:p w14:paraId="21EB041E" w14:textId="742A9BC8" w:rsidR="00E21973" w:rsidRPr="00347AD9" w:rsidRDefault="00E21973" w:rsidP="00E21973">
      <w:pPr>
        <w:jc w:val="both"/>
      </w:pPr>
      <w:r w:rsidRPr="00997789">
        <w:rPr>
          <w:u w:val="single"/>
        </w:rPr>
        <w:t>Mots-clés</w:t>
      </w:r>
      <w:r w:rsidR="006B43DE">
        <w:t> :</w:t>
      </w:r>
      <w:r>
        <w:t xml:space="preserve"> communication scientifique directe</w:t>
      </w:r>
      <w:r w:rsidR="006B43DE">
        <w:t> ;</w:t>
      </w:r>
      <w:r>
        <w:t xml:space="preserve"> </w:t>
      </w:r>
      <w:proofErr w:type="spellStart"/>
      <w:r>
        <w:t>blogging</w:t>
      </w:r>
      <w:proofErr w:type="spellEnd"/>
      <w:r>
        <w:t xml:space="preserve"> scientifique</w:t>
      </w:r>
      <w:r w:rsidR="006B43DE">
        <w:t> ;</w:t>
      </w:r>
      <w:r>
        <w:t xml:space="preserve"> actualité</w:t>
      </w:r>
      <w:r w:rsidR="006B43DE">
        <w:t> ;</w:t>
      </w:r>
      <w:r>
        <w:t xml:space="preserve"> </w:t>
      </w:r>
      <w:r>
        <w:rPr>
          <w:i/>
        </w:rPr>
        <w:t>Hypothèses</w:t>
      </w:r>
      <w:r w:rsidR="006B43DE">
        <w:t> ;</w:t>
      </w:r>
      <w:r>
        <w:t xml:space="preserve"> trivialité</w:t>
      </w:r>
    </w:p>
    <w:p w14:paraId="5009AC25" w14:textId="6501AEFE" w:rsidR="00E21973" w:rsidRPr="00D15427" w:rsidRDefault="00E21973" w:rsidP="00E21973">
      <w:pPr>
        <w:jc w:val="both"/>
        <w:rPr>
          <w:lang w:val="en-US"/>
        </w:rPr>
      </w:pPr>
      <w:r w:rsidRPr="000765E9">
        <w:rPr>
          <w:u w:val="single"/>
          <w:lang w:val="en-US"/>
        </w:rPr>
        <w:t>Abstract</w:t>
      </w:r>
      <w:r w:rsidR="006B43DE">
        <w:rPr>
          <w:lang w:val="en-US"/>
        </w:rPr>
        <w:t>:</w:t>
      </w:r>
      <w:r>
        <w:rPr>
          <w:lang w:val="en-US"/>
        </w:rPr>
        <w:t xml:space="preserve"> This contribution aims to examine a social mediation allowed by the open access, which is imparting knowledge in Social Sciences and Humanities (thereafter SSH) through a broader public. I will consider the platform </w:t>
      </w:r>
      <w:proofErr w:type="spellStart"/>
      <w:r>
        <w:rPr>
          <w:i/>
          <w:lang w:val="en-US"/>
        </w:rPr>
        <w:t>OpenEdition</w:t>
      </w:r>
      <w:proofErr w:type="spellEnd"/>
      <w:r>
        <w:rPr>
          <w:i/>
          <w:lang w:val="en-US"/>
        </w:rPr>
        <w:t xml:space="preserve"> </w:t>
      </w:r>
      <w:r w:rsidRPr="000765E9">
        <w:rPr>
          <w:lang w:val="en-US"/>
        </w:rPr>
        <w:t>(</w:t>
      </w:r>
      <w:r>
        <w:rPr>
          <w:lang w:val="en-US"/>
        </w:rPr>
        <w:t xml:space="preserve">and specifically </w:t>
      </w:r>
      <w:proofErr w:type="spellStart"/>
      <w:r>
        <w:rPr>
          <w:i/>
          <w:lang w:val="en-US"/>
        </w:rPr>
        <w:t>Hypothèses</w:t>
      </w:r>
      <w:proofErr w:type="spellEnd"/>
      <w:r>
        <w:rPr>
          <w:lang w:val="en-US"/>
        </w:rPr>
        <w:t xml:space="preserve"> that concerns academic blogging) as a ground of investigation. The matter will be a specific way to impart knowledge, which is the treatment of the actuality by researchers through their reading grids in SSH. In the corpus analysis, I will stress the appropriation modes of the device by the researchers that comment the actuality, the </w:t>
      </w:r>
      <w:r w:rsidR="004A7044">
        <w:rPr>
          <w:lang w:val="en-US"/>
        </w:rPr>
        <w:t xml:space="preserve">expected </w:t>
      </w:r>
      <w:r>
        <w:rPr>
          <w:lang w:val="en-US"/>
        </w:rPr>
        <w:t>aud</w:t>
      </w:r>
      <w:r w:rsidR="004A7044">
        <w:rPr>
          <w:lang w:val="en-US"/>
        </w:rPr>
        <w:t xml:space="preserve">ience and </w:t>
      </w:r>
      <w:r w:rsidR="00C65FEE">
        <w:rPr>
          <w:lang w:val="en-US"/>
        </w:rPr>
        <w:t>practice</w:t>
      </w:r>
      <w:r w:rsidR="004A7044">
        <w:rPr>
          <w:lang w:val="en-US"/>
        </w:rPr>
        <w:t>s that the text</w:t>
      </w:r>
      <w:r w:rsidR="00B93306">
        <w:rPr>
          <w:lang w:val="en-US"/>
        </w:rPr>
        <w:t>s</w:t>
      </w:r>
      <w:r w:rsidR="004A7044">
        <w:rPr>
          <w:lang w:val="en-US"/>
        </w:rPr>
        <w:t xml:space="preserve"> suggest</w:t>
      </w:r>
      <w:r>
        <w:rPr>
          <w:lang w:val="en-US"/>
        </w:rPr>
        <w:t>, a</w:t>
      </w:r>
      <w:r w:rsidR="00C65FEE">
        <w:rPr>
          <w:lang w:val="en-US"/>
        </w:rPr>
        <w:t>nd the discursive processes that are</w:t>
      </w:r>
      <w:r>
        <w:rPr>
          <w:lang w:val="en-US"/>
        </w:rPr>
        <w:t xml:space="preserve"> use</w:t>
      </w:r>
      <w:r w:rsidR="00C65FEE">
        <w:rPr>
          <w:lang w:val="en-US"/>
        </w:rPr>
        <w:t>d</w:t>
      </w:r>
      <w:r>
        <w:rPr>
          <w:lang w:val="en-US"/>
        </w:rPr>
        <w:t>. I also will question how “direct” such scientific communication is on an academic blog published on a platform in open access.</w:t>
      </w:r>
    </w:p>
    <w:p w14:paraId="1E1DD897" w14:textId="23782944" w:rsidR="00E21973" w:rsidRDefault="00E21973" w:rsidP="00E21973">
      <w:pPr>
        <w:jc w:val="both"/>
        <w:rPr>
          <w:lang w:val="en-US"/>
        </w:rPr>
      </w:pPr>
      <w:r w:rsidRPr="000765E9">
        <w:rPr>
          <w:u w:val="single"/>
          <w:lang w:val="en-US"/>
        </w:rPr>
        <w:t>Keywords</w:t>
      </w:r>
      <w:r w:rsidR="006B43DE" w:rsidRPr="000765E9">
        <w:rPr>
          <w:lang w:val="en-US"/>
        </w:rPr>
        <w:t>:</w:t>
      </w:r>
      <w:r w:rsidRPr="000765E9">
        <w:rPr>
          <w:lang w:val="en-US"/>
        </w:rPr>
        <w:t xml:space="preserve"> direct scientific communication</w:t>
      </w:r>
      <w:r w:rsidR="006B43DE" w:rsidRPr="000765E9">
        <w:rPr>
          <w:lang w:val="en-US"/>
        </w:rPr>
        <w:t>;</w:t>
      </w:r>
      <w:r w:rsidRPr="000765E9">
        <w:rPr>
          <w:lang w:val="en-US"/>
        </w:rPr>
        <w:t xml:space="preserve"> academic blogging</w:t>
      </w:r>
      <w:r w:rsidR="006B43DE" w:rsidRPr="000765E9">
        <w:rPr>
          <w:lang w:val="en-US"/>
        </w:rPr>
        <w:t>;</w:t>
      </w:r>
      <w:r w:rsidRPr="000765E9">
        <w:rPr>
          <w:lang w:val="en-US"/>
        </w:rPr>
        <w:t xml:space="preserve"> actuality</w:t>
      </w:r>
      <w:r w:rsidR="006B43DE" w:rsidRPr="000765E9">
        <w:rPr>
          <w:lang w:val="en-US"/>
        </w:rPr>
        <w:t>;</w:t>
      </w:r>
      <w:r w:rsidRPr="000765E9">
        <w:rPr>
          <w:lang w:val="en-US"/>
        </w:rPr>
        <w:t xml:space="preserve"> </w:t>
      </w:r>
      <w:proofErr w:type="spellStart"/>
      <w:r>
        <w:rPr>
          <w:i/>
          <w:lang w:val="en-US"/>
        </w:rPr>
        <w:t>Hypothèses</w:t>
      </w:r>
      <w:proofErr w:type="spellEnd"/>
      <w:r w:rsidR="006B43DE">
        <w:rPr>
          <w:lang w:val="en-US"/>
        </w:rPr>
        <w:t>;</w:t>
      </w:r>
      <w:r>
        <w:rPr>
          <w:lang w:val="en-US"/>
        </w:rPr>
        <w:t xml:space="preserve"> triviality</w:t>
      </w:r>
    </w:p>
    <w:p w14:paraId="7A0AE7D4" w14:textId="77777777" w:rsidR="00E21973" w:rsidRPr="00E21973" w:rsidRDefault="00E21973" w:rsidP="00E21973">
      <w:pPr>
        <w:jc w:val="both"/>
        <w:rPr>
          <w:lang w:val="en-US"/>
        </w:rPr>
      </w:pPr>
      <w:r w:rsidRPr="00E21973">
        <w:rPr>
          <w:lang w:val="en-US"/>
        </w:rPr>
        <w:br w:type="page"/>
      </w:r>
    </w:p>
    <w:p w14:paraId="0F6C9B17" w14:textId="78065688" w:rsidR="00E21973" w:rsidRDefault="00E21973" w:rsidP="00E21973">
      <w:pPr>
        <w:jc w:val="both"/>
      </w:pPr>
      <w:r>
        <w:lastRenderedPageBreak/>
        <w:t xml:space="preserve">C’est désormais un lieu commun de rappeler que l’environnement numérique a profondément transformé les modes de diffusion des résultats de la recherche. </w:t>
      </w:r>
      <w:proofErr w:type="spellStart"/>
      <w:r>
        <w:t>Guyslaine</w:t>
      </w:r>
      <w:proofErr w:type="spellEnd"/>
      <w:r>
        <w:t xml:space="preserve"> Beaudry, dans son étude consacrée à </w:t>
      </w:r>
      <w:r>
        <w:rPr>
          <w:i/>
        </w:rPr>
        <w:t>La communication scientifique et le numérique</w:t>
      </w:r>
      <w:r>
        <w:rPr>
          <w:rStyle w:val="Appelnotedebasdep"/>
        </w:rPr>
        <w:footnoteReference w:id="1"/>
      </w:r>
      <w:r>
        <w:rPr>
          <w:i/>
        </w:rPr>
        <w:t>,</w:t>
      </w:r>
      <w:r>
        <w:t xml:space="preserve"> relève, parmi d’autres évolutions, deux impacts majeurs du numérique sur la communication scientifique</w:t>
      </w:r>
      <w:r w:rsidR="006B43DE">
        <w:t> :</w:t>
      </w:r>
      <w:r>
        <w:t xml:space="preserve"> le passage à l’</w:t>
      </w:r>
      <w:r>
        <w:rPr>
          <w:i/>
        </w:rPr>
        <w:t>ère de l’accès</w:t>
      </w:r>
      <w:r w:rsidR="00607E70">
        <w:t xml:space="preserve"> </w:t>
      </w:r>
      <w:r w:rsidR="00607E70">
        <w:sym w:font="Symbol" w:char="F02D"/>
      </w:r>
      <w:r>
        <w:t xml:space="preserve"> soit la rémunération des éditeurs par les bibliothèques pour la simple consultation des ressources, et non plus leur acquisition</w:t>
      </w:r>
      <w:r w:rsidR="006B43DE">
        <w:t> ;</w:t>
      </w:r>
      <w:r>
        <w:t xml:space="preserve"> et la systématisation de la </w:t>
      </w:r>
      <w:r w:rsidRPr="00C933F5">
        <w:rPr>
          <w:i/>
        </w:rPr>
        <w:t>communication scientifique directe</w:t>
      </w:r>
      <w:r>
        <w:t xml:space="preserve">. Beaudry définit celle-ci comme </w:t>
      </w:r>
      <w:r w:rsidR="006B43DE">
        <w:t>« </w:t>
      </w:r>
      <w:r>
        <w:t>l</w:t>
      </w:r>
      <w:r w:rsidR="006B43DE">
        <w:t>’</w:t>
      </w:r>
      <w:r>
        <w:t>absence d</w:t>
      </w:r>
      <w:r w:rsidR="006B43DE">
        <w:t>’</w:t>
      </w:r>
      <w:r>
        <w:t>intermédiaire intervenant sur le traitement et la diffusion des documents à rendre publics</w:t>
      </w:r>
      <w:r w:rsidR="006B43DE">
        <w:t> »</w:t>
      </w:r>
      <w:r>
        <w:t xml:space="preserve">, si ce n’est </w:t>
      </w:r>
      <w:r w:rsidR="006B43DE">
        <w:t>« </w:t>
      </w:r>
      <w:r>
        <w:t>la mise en place et […] la gestion d</w:t>
      </w:r>
      <w:r w:rsidR="006B43DE">
        <w:t>’</w:t>
      </w:r>
      <w:r>
        <w:t>un système auquel les chercheurs ont accès pour déposer et rendre accessibles gratuitement en ligne leurs fichiers</w:t>
      </w:r>
      <w:r w:rsidR="006B43DE">
        <w:t> »</w:t>
      </w:r>
      <w:r w:rsidR="006B43DE">
        <w:rPr>
          <w:rStyle w:val="Appelnotedebasdep"/>
        </w:rPr>
        <w:footnoteReference w:id="2"/>
      </w:r>
      <w:r>
        <w:t xml:space="preserve">. Sont ainsi mis à </w:t>
      </w:r>
      <w:r w:rsidR="0085099E">
        <w:t xml:space="preserve">la </w:t>
      </w:r>
      <w:r>
        <w:t>disposition du public des archives de chercheurs (prépublications, notes de synthèse), de la littérature grise (rapports, dossiers de demande de subvention), des échanges entre pairs (évaluations ouvertes, podcasts de séminaires), des carnets de recherche matérialisant les réflexions en cours, etc. Ce type de communication s’inscrit le cas échéant dans des infrastructures spécifiques</w:t>
      </w:r>
      <w:r w:rsidR="006B43DE">
        <w:t> :</w:t>
      </w:r>
      <w:r>
        <w:t xml:space="preserve"> dépôts d’archives, sites institutionnels ou plateformes de communication scientifique.</w:t>
      </w:r>
    </w:p>
    <w:p w14:paraId="54868A8F" w14:textId="70771570" w:rsidR="00E21973" w:rsidRDefault="00E21973" w:rsidP="00E21973">
      <w:pPr>
        <w:jc w:val="both"/>
      </w:pPr>
      <w:r>
        <w:t>Le mo</w:t>
      </w:r>
      <w:r w:rsidR="001A2142">
        <w:t>uvement de l’accès ouvert</w:t>
      </w:r>
      <w:r w:rsidR="00E0512B">
        <w:t xml:space="preserve"> et, plus largement, de la science ouverte</w:t>
      </w:r>
      <w:r w:rsidR="006A2EE6">
        <w:t>,</w:t>
      </w:r>
      <w:r w:rsidR="001A2142">
        <w:t xml:space="preserve"> </w:t>
      </w:r>
      <w:r>
        <w:t>accompagne ces mutations, et œuvre en faveur d’un retour des résultats scientifiques vers la société civile par l’abolissement des barrières éditoriales. La recherche étant en grande partie financée par des fonds publics, il apparaît logique que les résultats soient accessibles aux citoyens et utilisables par eux, mais aussi que cette recherche issue d’un effort financier de la société civile serve l’intérêt commun. Avec l’arrivée du Web, les humanités numériques ont également fait de cette préoccupation l’un de leurs chevaux de bataille, et ont travaillé au renouvellement des modes de communication scientifique. Les plateformes d’édition en ligne sont l’une de leurs réalisations concrètes, au titre d’infrastructure de diffusion de la recherche</w:t>
      </w:r>
      <w:r>
        <w:rPr>
          <w:rStyle w:val="Appelnotedebasdep"/>
        </w:rPr>
        <w:footnoteReference w:id="3"/>
      </w:r>
      <w:r>
        <w:t xml:space="preserve">. </w:t>
      </w:r>
    </w:p>
    <w:p w14:paraId="487E7B8C" w14:textId="71C2A22E" w:rsidR="00E21973" w:rsidRDefault="00E21973" w:rsidP="00E21973">
      <w:pPr>
        <w:jc w:val="both"/>
      </w:pPr>
      <w:r w:rsidRPr="000655F3">
        <w:t>Outre ce</w:t>
      </w:r>
      <w:r>
        <w:t>s</w:t>
      </w:r>
      <w:r w:rsidRPr="000655F3">
        <w:t xml:space="preserve"> </w:t>
      </w:r>
      <w:r>
        <w:t>transformations de</w:t>
      </w:r>
      <w:r w:rsidRPr="000655F3">
        <w:t xml:space="preserve"> l’économie de l’édition scientifique</w:t>
      </w:r>
      <w:r>
        <w:t xml:space="preserve"> et d</w:t>
      </w:r>
      <w:r w:rsidRPr="000655F3">
        <w:t xml:space="preserve">es acteurs de sa diffusion, l’inscription du texte numérique dans l’environnement réticulaire </w:t>
      </w:r>
      <w:r>
        <w:t>du We</w:t>
      </w:r>
      <w:r w:rsidRPr="000655F3">
        <w:t xml:space="preserve">b en reconfigure les conditions d’écriture, de lecture et de mise en visibilité. </w:t>
      </w:r>
      <w:r>
        <w:t>I</w:t>
      </w:r>
      <w:r w:rsidRPr="000655F3">
        <w:t xml:space="preserve">l doit </w:t>
      </w:r>
      <w:r>
        <w:t xml:space="preserve">en réalité </w:t>
      </w:r>
      <w:r w:rsidRPr="000655F3">
        <w:t xml:space="preserve">faire l’objet d’une </w:t>
      </w:r>
      <w:proofErr w:type="spellStart"/>
      <w:r w:rsidRPr="000655F3">
        <w:rPr>
          <w:i/>
        </w:rPr>
        <w:t>éditorialisation</w:t>
      </w:r>
      <w:proofErr w:type="spellEnd"/>
      <w:r w:rsidRPr="00BD45D3">
        <w:rPr>
          <w:rStyle w:val="Appelnotedebasdep"/>
        </w:rPr>
        <w:footnoteReference w:id="4"/>
      </w:r>
      <w:r w:rsidRPr="000655F3">
        <w:rPr>
          <w:i/>
        </w:rPr>
        <w:t xml:space="preserve"> </w:t>
      </w:r>
      <w:r w:rsidRPr="000655F3">
        <w:t xml:space="preserve">particulière, que les infrastructures de </w:t>
      </w:r>
      <w:r w:rsidR="00295452">
        <w:t>communication</w:t>
      </w:r>
      <w:r w:rsidRPr="000655F3">
        <w:t xml:space="preserve"> de la recherche intègrent progressivement avec des fortunes diverses.</w:t>
      </w:r>
      <w:r>
        <w:t xml:space="preserve"> Le </w:t>
      </w:r>
      <w:proofErr w:type="spellStart"/>
      <w:r>
        <w:t>blogging</w:t>
      </w:r>
      <w:proofErr w:type="spellEnd"/>
      <w:r>
        <w:t xml:space="preserve"> scientifique correspond à un mode de production et de diffusion de la recherche spécifique à l’environnement numérique</w:t>
      </w:r>
      <w:r w:rsidR="006B43DE">
        <w:t> :</w:t>
      </w:r>
      <w:r>
        <w:t xml:space="preserve"> </w:t>
      </w:r>
      <w:r w:rsidR="00E677E8">
        <w:t>il repose</w:t>
      </w:r>
      <w:r>
        <w:t xml:space="preserve"> sur une présentation </w:t>
      </w:r>
      <w:proofErr w:type="spellStart"/>
      <w:r w:rsidR="00CC3953">
        <w:t>anté</w:t>
      </w:r>
      <w:r>
        <w:t>chronologique</w:t>
      </w:r>
      <w:proofErr w:type="spellEnd"/>
      <w:r>
        <w:t xml:space="preserve"> de notes brèves ouvertes </w:t>
      </w:r>
      <w:r w:rsidR="00E677E8">
        <w:t>aux commentaires</w:t>
      </w:r>
      <w:r>
        <w:t xml:space="preserve"> dont le format influe directement sur les pratiques d’écriture, les contenus et les publics envisagés. </w:t>
      </w:r>
    </w:p>
    <w:p w14:paraId="37567D68" w14:textId="4AAC16FC" w:rsidR="00E21973" w:rsidRDefault="00E21973" w:rsidP="00E21973">
      <w:pPr>
        <w:jc w:val="both"/>
      </w:pPr>
      <w:r>
        <w:t>La présente contribution souhaite rendre compte d’un type particulier de communication scientifique, à savo</w:t>
      </w:r>
      <w:r w:rsidR="00823B11">
        <w:t xml:space="preserve">ir le traitement de faits d’actualité </w:t>
      </w:r>
      <w:r>
        <w:t>au sein de carnets de recherche en sciences humaines et sociales</w:t>
      </w:r>
      <w:r w:rsidR="005C2B3C">
        <w:t xml:space="preserve"> (désormais SHS)</w:t>
      </w:r>
      <w:r>
        <w:t xml:space="preserve">. </w:t>
      </w:r>
      <w:r w:rsidR="003F5BA0">
        <w:t xml:space="preserve">Je voudrais montrer </w:t>
      </w:r>
      <w:r w:rsidR="00894E2B">
        <w:t xml:space="preserve">comment </w:t>
      </w:r>
      <w:r w:rsidR="003F5BA0">
        <w:t xml:space="preserve">un </w:t>
      </w:r>
      <w:r w:rsidR="003F5BA0" w:rsidRPr="003F5BA0">
        <w:rPr>
          <w:i/>
        </w:rPr>
        <w:t>dispositif médiatisant</w:t>
      </w:r>
      <w:r w:rsidR="003F5BA0">
        <w:rPr>
          <w:rStyle w:val="Appelnotedebasdep"/>
          <w:i/>
        </w:rPr>
        <w:footnoteReference w:id="5"/>
      </w:r>
      <w:r w:rsidR="003F5BA0">
        <w:t xml:space="preserve"> </w:t>
      </w:r>
      <w:r w:rsidR="005717E0">
        <w:t>comme celui de la</w:t>
      </w:r>
      <w:r w:rsidR="003F5BA0">
        <w:t xml:space="preserve"> plateforme</w:t>
      </w:r>
      <w:r w:rsidR="005717E0">
        <w:t xml:space="preserve"> </w:t>
      </w:r>
      <w:r w:rsidR="005717E0">
        <w:rPr>
          <w:i/>
        </w:rPr>
        <w:t>Hypothèses</w:t>
      </w:r>
      <w:r w:rsidR="003F5BA0">
        <w:t xml:space="preserve"> amène le chercheur à travailler les formes de l’écrit scientifique</w:t>
      </w:r>
      <w:r w:rsidR="00DF0FED">
        <w:t xml:space="preserve"> pour</w:t>
      </w:r>
      <w:r w:rsidR="005717E0">
        <w:t xml:space="preserve"> favoriser la circulation</w:t>
      </w:r>
      <w:r w:rsidR="007E743D">
        <w:t xml:space="preserve"> des connaissances</w:t>
      </w:r>
      <w:r w:rsidR="005717E0">
        <w:t xml:space="preserve">. </w:t>
      </w:r>
      <w:r w:rsidR="003F5BA0">
        <w:t>À travers une étude exploratoire menée sur la base d’un corpus de dix blogs</w:t>
      </w:r>
      <w:r w:rsidR="001B0B25">
        <w:t>,</w:t>
      </w:r>
      <w:r w:rsidR="003F5BA0">
        <w:t xml:space="preserve"> </w:t>
      </w:r>
      <w:r>
        <w:t xml:space="preserve">il s’agira, d’une part, </w:t>
      </w:r>
      <w:r w:rsidR="004D47FE">
        <w:t>d’interroger</w:t>
      </w:r>
      <w:r>
        <w:t xml:space="preserve"> </w:t>
      </w:r>
      <w:r w:rsidR="000910DC">
        <w:t>les caractéristiques</w:t>
      </w:r>
      <w:r>
        <w:t xml:space="preserve"> de la médiation des savoirs en scien</w:t>
      </w:r>
      <w:r w:rsidR="001B0B25">
        <w:t xml:space="preserve">ces </w:t>
      </w:r>
      <w:r w:rsidR="001B0B25">
        <w:lastRenderedPageBreak/>
        <w:t>humaines et sociales qui se</w:t>
      </w:r>
      <w:r>
        <w:t xml:space="preserve"> joue</w:t>
      </w:r>
      <w:r w:rsidR="001B0B25">
        <w:t xml:space="preserve"> dans ces carnets traitant, totalement ou en partie, de faits d’actualité </w:t>
      </w:r>
      <w:r w:rsidR="000910DC">
        <w:t>et,</w:t>
      </w:r>
      <w:r w:rsidR="00AD2EEC">
        <w:t xml:space="preserve"> d</w:t>
      </w:r>
      <w:r w:rsidR="004D47FE">
        <w:t>’autre part</w:t>
      </w:r>
      <w:r w:rsidR="007673DC">
        <w:t>,</w:t>
      </w:r>
      <w:r>
        <w:t xml:space="preserve"> de remettre en cause le caractère </w:t>
      </w:r>
      <w:r w:rsidR="006B43DE">
        <w:t>« </w:t>
      </w:r>
      <w:r>
        <w:t>direct</w:t>
      </w:r>
      <w:r w:rsidR="006B43DE">
        <w:t> »</w:t>
      </w:r>
      <w:r>
        <w:t xml:space="preserve"> de la communication scientifique publiée sur des blogs de </w:t>
      </w:r>
      <w:r w:rsidR="00B012AD">
        <w:t>recherche</w:t>
      </w:r>
      <w:r w:rsidR="00591EA8">
        <w:rPr>
          <w:rStyle w:val="Appelnotedebasdep"/>
        </w:rPr>
        <w:footnoteReference w:id="6"/>
      </w:r>
      <w:r>
        <w:t>.</w:t>
      </w:r>
    </w:p>
    <w:p w14:paraId="0C15C691" w14:textId="77777777" w:rsidR="00E21973" w:rsidRDefault="00E21973" w:rsidP="00E21973">
      <w:pPr>
        <w:pStyle w:val="Titre1"/>
      </w:pPr>
      <w:r>
        <w:t>État des lieux et cadre théorique</w:t>
      </w:r>
    </w:p>
    <w:p w14:paraId="465CE3E9" w14:textId="7005FF87" w:rsidR="009566E3" w:rsidRDefault="00E21973" w:rsidP="009566E3">
      <w:pPr>
        <w:jc w:val="both"/>
      </w:pPr>
      <w:r>
        <w:t>L’</w:t>
      </w:r>
      <w:r w:rsidR="00DD7A96">
        <w:t xml:space="preserve">écriture scientifique sur blog </w:t>
      </w:r>
      <w:r>
        <w:t xml:space="preserve">prend des formes variées </w:t>
      </w:r>
      <w:r w:rsidR="007857CF">
        <w:t>selon les</w:t>
      </w:r>
      <w:r>
        <w:t xml:space="preserve"> </w:t>
      </w:r>
      <w:r>
        <w:rPr>
          <w:i/>
        </w:rPr>
        <w:t xml:space="preserve">acteurs </w:t>
      </w:r>
      <w:r w:rsidR="00F93CCF">
        <w:t xml:space="preserve">et </w:t>
      </w:r>
      <w:r>
        <w:t xml:space="preserve">leurs </w:t>
      </w:r>
      <w:r>
        <w:rPr>
          <w:i/>
        </w:rPr>
        <w:t>stratégies</w:t>
      </w:r>
      <w:r w:rsidR="00DD7A96">
        <w:rPr>
          <w:rStyle w:val="Appelnotedebasdep"/>
        </w:rPr>
        <w:footnoteReference w:id="7"/>
      </w:r>
      <w:r w:rsidR="006B43DE">
        <w:t> ;</w:t>
      </w:r>
      <w:r>
        <w:t xml:space="preserve"> elle donne lieu à un large éventail de publications (communication de notes de recherche</w:t>
      </w:r>
      <w:r w:rsidR="006B43DE">
        <w:t> ;</w:t>
      </w:r>
      <w:r>
        <w:t xml:space="preserve"> annonces de conférences</w:t>
      </w:r>
      <w:r w:rsidR="006B43DE">
        <w:t> ;</w:t>
      </w:r>
      <w:r>
        <w:t xml:space="preserve"> recensions</w:t>
      </w:r>
      <w:r w:rsidR="006B43DE">
        <w:t> ;</w:t>
      </w:r>
      <w:r>
        <w:t xml:space="preserve"> textes de vulgarisation</w:t>
      </w:r>
      <w:r w:rsidR="006B43DE">
        <w:t> ;</w:t>
      </w:r>
      <w:r>
        <w:t xml:space="preserve"> etc.) susceptibles de s’adresser à des publics </w:t>
      </w:r>
      <w:r w:rsidR="00520FA2">
        <w:t>diver</w:t>
      </w:r>
      <w:r>
        <w:t>s</w:t>
      </w:r>
      <w:r w:rsidR="008F6E78">
        <w:t xml:space="preserve">. </w:t>
      </w:r>
      <w:r w:rsidR="00814109">
        <w:t xml:space="preserve">Avec l’élargissement </w:t>
      </w:r>
      <w:r w:rsidR="00C20C97">
        <w:t>du lectorat</w:t>
      </w:r>
      <w:r w:rsidR="00814109" w:rsidRPr="007B6C23">
        <w:t xml:space="preserve"> qu’amène le contexte de </w:t>
      </w:r>
      <w:r w:rsidR="007B6C23" w:rsidRPr="007B6C23">
        <w:t xml:space="preserve">la </w:t>
      </w:r>
      <w:r w:rsidR="00814109" w:rsidRPr="007B6C23">
        <w:t>science ouverte,</w:t>
      </w:r>
      <w:r w:rsidR="00814109">
        <w:t xml:space="preserve"> i</w:t>
      </w:r>
      <w:r w:rsidR="009566E3" w:rsidRPr="005F2095">
        <w:t xml:space="preserve">l est désormais </w:t>
      </w:r>
      <w:r w:rsidR="00D776AE">
        <w:t>envisagea</w:t>
      </w:r>
      <w:r w:rsidR="009566E3" w:rsidRPr="005F2095">
        <w:t xml:space="preserve">ble de faire participer les publics non universitaires au processus de </w:t>
      </w:r>
      <w:r w:rsidR="009566E3">
        <w:t xml:space="preserve">la </w:t>
      </w:r>
      <w:r w:rsidR="009566E3" w:rsidRPr="005F2095">
        <w:t xml:space="preserve">recherche, </w:t>
      </w:r>
      <w:r w:rsidR="009566E3">
        <w:t xml:space="preserve">de les mettre en </w:t>
      </w:r>
      <w:r w:rsidR="009566E3">
        <w:rPr>
          <w:i/>
        </w:rPr>
        <w:t>dialogue</w:t>
      </w:r>
      <w:r w:rsidR="009566E3">
        <w:t xml:space="preserve"> avec leur </w:t>
      </w:r>
      <w:r w:rsidR="009566E3">
        <w:rPr>
          <w:i/>
        </w:rPr>
        <w:t>patrimoine culturel</w:t>
      </w:r>
      <w:r w:rsidR="009566E3">
        <w:rPr>
          <w:rStyle w:val="Appelnotedebasdep"/>
        </w:rPr>
        <w:footnoteReference w:id="8"/>
      </w:r>
      <w:r w:rsidR="009566E3">
        <w:t xml:space="preserve">. </w:t>
      </w:r>
      <w:r w:rsidR="006063A2">
        <w:t>Ce qui ne revient pas pour autant à dire que les carnets de recherche</w:t>
      </w:r>
      <w:r w:rsidR="006140C8">
        <w:t xml:space="preserve"> </w:t>
      </w:r>
      <w:r w:rsidR="006063A2">
        <w:t>s’adressent par défaut à un public</w:t>
      </w:r>
      <w:r w:rsidR="0038618F">
        <w:t xml:space="preserve"> extra-universitaire</w:t>
      </w:r>
      <w:r w:rsidR="006B43DE">
        <w:t> :</w:t>
      </w:r>
      <w:r w:rsidR="006063A2">
        <w:t xml:space="preserve"> de nombreux blogs de chercheurs s’inscrivent dans une dynamique d’échange avec les pairs et ne sont pas accessibles au profane en raison des connaissances préalables qu’ils requièrent</w:t>
      </w:r>
      <w:r w:rsidR="006063A2" w:rsidRPr="00203BFD">
        <w:t xml:space="preserve">. </w:t>
      </w:r>
      <w:r w:rsidR="00AF54D3">
        <w:t xml:space="preserve">Cependant, </w:t>
      </w:r>
      <w:r w:rsidR="006A74AD">
        <w:t>la</w:t>
      </w:r>
      <w:r w:rsidR="006063A2" w:rsidRPr="007F299A">
        <w:t xml:space="preserve"> </w:t>
      </w:r>
      <w:r w:rsidR="00A134C4">
        <w:t xml:space="preserve">publicisation de la </w:t>
      </w:r>
      <w:r w:rsidR="006063A2" w:rsidRPr="007F299A">
        <w:t xml:space="preserve">communication scientifique </w:t>
      </w:r>
      <w:r w:rsidR="006A74AD">
        <w:t xml:space="preserve">sur le </w:t>
      </w:r>
      <w:r w:rsidR="007B231B">
        <w:t>W</w:t>
      </w:r>
      <w:r w:rsidR="006A74AD">
        <w:t xml:space="preserve">eb </w:t>
      </w:r>
      <w:r w:rsidR="00736A7F" w:rsidRPr="007F299A">
        <w:t xml:space="preserve">amène certains chercheurs à tenir </w:t>
      </w:r>
      <w:r w:rsidR="00AF54D3">
        <w:t>compte, dans leurs écrits, de</w:t>
      </w:r>
      <w:r w:rsidR="00736A7F" w:rsidRPr="007F299A">
        <w:t xml:space="preserve">s nouveaux lecteurs </w:t>
      </w:r>
      <w:r w:rsidR="00AF54D3">
        <w:t>potenti</w:t>
      </w:r>
      <w:r w:rsidR="003E0309" w:rsidRPr="007F299A">
        <w:t>els</w:t>
      </w:r>
      <w:r w:rsidR="00F360A9">
        <w:t>. Le traitement</w:t>
      </w:r>
      <w:r w:rsidR="000B10F2" w:rsidRPr="007F299A">
        <w:t xml:space="preserve"> des sujets d’actualité</w:t>
      </w:r>
      <w:r w:rsidR="00F360A9">
        <w:t xml:space="preserve"> par des chercheurs en sciences humaines et sociales </w:t>
      </w:r>
      <w:r w:rsidR="00A54388">
        <w:t>peut</w:t>
      </w:r>
      <w:r w:rsidR="00386462">
        <w:t xml:space="preserve"> s’inscrire </w:t>
      </w:r>
      <w:r w:rsidR="00F360A9">
        <w:t>dans cette perspective</w:t>
      </w:r>
      <w:r w:rsidR="004C0D28" w:rsidRPr="00C35D77">
        <w:t>.</w:t>
      </w:r>
      <w:r w:rsidR="00A54388" w:rsidRPr="00C35D77">
        <w:t xml:space="preserve"> </w:t>
      </w:r>
      <w:r w:rsidR="00B93681" w:rsidRPr="00F036CD">
        <w:t>L</w:t>
      </w:r>
      <w:r w:rsidR="004C0D28" w:rsidRPr="00F036CD">
        <w:t>es faits d’actualité</w:t>
      </w:r>
      <w:r w:rsidR="00CC3CD2" w:rsidRPr="00F036CD">
        <w:t xml:space="preserve"> </w:t>
      </w:r>
      <w:r w:rsidR="004C0D28" w:rsidRPr="00F036CD">
        <w:t xml:space="preserve">ne sont </w:t>
      </w:r>
      <w:r w:rsidR="0022638D" w:rsidRPr="00F036CD">
        <w:t xml:space="preserve">pas </w:t>
      </w:r>
      <w:r w:rsidR="004C0D28" w:rsidRPr="00F036CD">
        <w:t>en principe un objet de la recherche,</w:t>
      </w:r>
      <w:r w:rsidR="004C0D28" w:rsidRPr="00C35D77">
        <w:t xml:space="preserve"> et leur traitement se voit généralement réservé aux journalistes. Mais ils présentent</w:t>
      </w:r>
      <w:r w:rsidR="00093640" w:rsidRPr="00C35D77">
        <w:t xml:space="preserve"> l’avantage de constituer</w:t>
      </w:r>
      <w:r w:rsidR="00586309" w:rsidRPr="00C35D77">
        <w:t xml:space="preserve"> un horizon partagé tant par l</w:t>
      </w:r>
      <w:r w:rsidR="00D1786F" w:rsidRPr="00C35D77">
        <w:t xml:space="preserve">es </w:t>
      </w:r>
      <w:r w:rsidR="00586309" w:rsidRPr="00C35D77">
        <w:t>universitaire</w:t>
      </w:r>
      <w:r w:rsidR="00D1786F" w:rsidRPr="00C35D77">
        <w:t>s</w:t>
      </w:r>
      <w:r w:rsidR="00586309" w:rsidRPr="00C35D77">
        <w:t xml:space="preserve"> que </w:t>
      </w:r>
      <w:r w:rsidR="00D1786F" w:rsidRPr="00C35D77">
        <w:t>par le public extra-académique</w:t>
      </w:r>
      <w:r w:rsidR="00586309" w:rsidRPr="00C35D77">
        <w:t>, à l’inverse des savoirs scientifique</w:t>
      </w:r>
      <w:r w:rsidR="00093640" w:rsidRPr="00C35D77">
        <w:t>s</w:t>
      </w:r>
      <w:r w:rsidR="00586309" w:rsidRPr="00C35D77">
        <w:t>.</w:t>
      </w:r>
      <w:r w:rsidR="00A54388" w:rsidRPr="00C35D77">
        <w:t xml:space="preserve"> </w:t>
      </w:r>
      <w:r w:rsidR="00AD7CA7" w:rsidRPr="00C35D77">
        <w:t xml:space="preserve">Il s’agit </w:t>
      </w:r>
      <w:r w:rsidR="00093640" w:rsidRPr="00C35D77">
        <w:t xml:space="preserve">là </w:t>
      </w:r>
      <w:r w:rsidR="00AD7CA7" w:rsidRPr="00C35D77">
        <w:t>d’un terrain commun sur lequel le chercheur peut montrer la pertinence de ses outils d’</w:t>
      </w:r>
      <w:r w:rsidR="003E47E4" w:rsidRPr="00C35D77">
        <w:t>analyse, et rendre certains savoirs appropriables par le lecteur.</w:t>
      </w:r>
      <w:r w:rsidR="00EB29D3">
        <w:t xml:space="preserve"> </w:t>
      </w:r>
    </w:p>
    <w:p w14:paraId="029BB777" w14:textId="0B89A0FF" w:rsidR="001D1764" w:rsidRDefault="0048046F" w:rsidP="00E21973">
      <w:pPr>
        <w:jc w:val="both"/>
      </w:pPr>
      <w:r>
        <w:t>La volonté d’un passage des connaissances scientifiques vers la société civile</w:t>
      </w:r>
      <w:r w:rsidR="00082A47">
        <w:rPr>
          <w:rStyle w:val="Appelnotedebasdep"/>
        </w:rPr>
        <w:footnoteReference w:id="9"/>
      </w:r>
      <w:r>
        <w:t xml:space="preserve">, solidaire du projet de formation de l’opinion publique porté par les Lumières, s’inscrit dans une tradition remontant au siècle classique où, sur le mode de la conversation, les actualités de la recherche circulaient dans les salons de Lettrés. Bernadette </w:t>
      </w:r>
      <w:proofErr w:type="spellStart"/>
      <w:r>
        <w:t>Bensaude</w:t>
      </w:r>
      <w:proofErr w:type="spellEnd"/>
      <w:r>
        <w:t>-Vincent</w:t>
      </w:r>
      <w:r>
        <w:rPr>
          <w:rStyle w:val="Appelnotedebasdep"/>
        </w:rPr>
        <w:footnoteReference w:id="10"/>
      </w:r>
      <w:r>
        <w:t xml:space="preserve"> propose une synthèse utile des formes de divulgation des savoirs à travers le temps. L’auteure distingue tout d’abord entre la </w:t>
      </w:r>
      <w:r>
        <w:rPr>
          <w:i/>
        </w:rPr>
        <w:t>science populaire</w:t>
      </w:r>
      <w:r>
        <w:t xml:space="preserve"> et la </w:t>
      </w:r>
      <w:r w:rsidRPr="004C58B0">
        <w:rPr>
          <w:i/>
        </w:rPr>
        <w:t>vulgarisation</w:t>
      </w:r>
      <w:r>
        <w:t xml:space="preserve"> au cours du </w:t>
      </w:r>
      <w:proofErr w:type="spellStart"/>
      <w:r w:rsidR="005473E1" w:rsidRPr="005473E1">
        <w:rPr>
          <w:smallCaps/>
        </w:rPr>
        <w:t>xix</w:t>
      </w:r>
      <w:r w:rsidRPr="005473E1">
        <w:rPr>
          <w:vertAlign w:val="superscript"/>
        </w:rPr>
        <w:t>e</w:t>
      </w:r>
      <w:proofErr w:type="spellEnd"/>
      <w:r>
        <w:t xml:space="preserve"> siècle</w:t>
      </w:r>
      <w:r w:rsidR="006B43DE">
        <w:t> :</w:t>
      </w:r>
      <w:r>
        <w:t xml:space="preserve"> d’une part, une forme de science </w:t>
      </w:r>
      <w:r>
        <w:rPr>
          <w:i/>
        </w:rPr>
        <w:t>alternative</w:t>
      </w:r>
      <w:r>
        <w:t>, réalisée par des non scientifiques</w:t>
      </w:r>
      <w:r w:rsidR="006B43DE">
        <w:t> ;</w:t>
      </w:r>
      <w:r>
        <w:t xml:space="preserve"> d’autre part, une science dont la langue est </w:t>
      </w:r>
      <w:r>
        <w:rPr>
          <w:i/>
        </w:rPr>
        <w:t>traduite</w:t>
      </w:r>
      <w:r>
        <w:t xml:space="preserve"> pour un public supposé ignorant. Au </w:t>
      </w:r>
      <w:proofErr w:type="spellStart"/>
      <w:r w:rsidR="005473E1" w:rsidRPr="005473E1">
        <w:rPr>
          <w:smallCaps/>
        </w:rPr>
        <w:t>xx</w:t>
      </w:r>
      <w:r w:rsidRPr="005473E1">
        <w:rPr>
          <w:vertAlign w:val="superscript"/>
        </w:rPr>
        <w:t>e</w:t>
      </w:r>
      <w:proofErr w:type="spellEnd"/>
      <w:r>
        <w:t xml:space="preserve"> siècle, les pratiques de vulgarisation se donnent pour objectif de jeter des ponts par-delà un fossé toujours plus profond entre les mondes savant et non-savant</w:t>
      </w:r>
      <w:r w:rsidR="006B43DE">
        <w:t> ;</w:t>
      </w:r>
      <w:r>
        <w:t xml:space="preserve"> elle</w:t>
      </w:r>
      <w:r w:rsidR="00CC3CD2">
        <w:t>s</w:t>
      </w:r>
      <w:r>
        <w:t xml:space="preserve"> matérialise</w:t>
      </w:r>
      <w:r w:rsidR="00CC3CD2">
        <w:t>nt</w:t>
      </w:r>
      <w:r>
        <w:t xml:space="preserve"> </w:t>
      </w:r>
      <w:r w:rsidR="006B43DE">
        <w:t>« </w:t>
      </w:r>
      <w:r>
        <w:t>l’alliance des journalistes et des scientifiques</w:t>
      </w:r>
      <w:r w:rsidR="006B43DE">
        <w:t> »</w:t>
      </w:r>
      <w:r>
        <w:t xml:space="preserve"> dans l’information au public. Avec le développement des nouveaux moyens de communication, on privilégie à la fin du </w:t>
      </w:r>
      <w:proofErr w:type="spellStart"/>
      <w:r w:rsidR="005473E1" w:rsidRPr="005473E1">
        <w:rPr>
          <w:smallCaps/>
        </w:rPr>
        <w:t>xx</w:t>
      </w:r>
      <w:r w:rsidR="005473E1" w:rsidRPr="005473E1">
        <w:rPr>
          <w:vertAlign w:val="superscript"/>
        </w:rPr>
        <w:t>e</w:t>
      </w:r>
      <w:proofErr w:type="spellEnd"/>
      <w:r>
        <w:t xml:space="preserve"> siècle la perspective d’une </w:t>
      </w:r>
      <w:r>
        <w:rPr>
          <w:i/>
        </w:rPr>
        <w:t xml:space="preserve">communication </w:t>
      </w:r>
      <w:proofErr w:type="gramStart"/>
      <w:r>
        <w:rPr>
          <w:i/>
        </w:rPr>
        <w:lastRenderedPageBreak/>
        <w:t>scientifique</w:t>
      </w:r>
      <w:proofErr w:type="gramEnd"/>
      <w:r>
        <w:rPr>
          <w:i/>
        </w:rPr>
        <w:t xml:space="preserve"> publique</w:t>
      </w:r>
      <w:r>
        <w:t xml:space="preserve"> ou d’une </w:t>
      </w:r>
      <w:r>
        <w:rPr>
          <w:i/>
        </w:rPr>
        <w:t>médiatisation de la science</w:t>
      </w:r>
      <w:r w:rsidRPr="00155F3F">
        <w:rPr>
          <w:rStyle w:val="Appelnotedebasdep"/>
        </w:rPr>
        <w:footnoteReference w:id="11"/>
      </w:r>
      <w:r>
        <w:t xml:space="preserve">. Dans la foulée, c’est désormais le </w:t>
      </w:r>
      <w:r w:rsidRPr="00BD36F5">
        <w:rPr>
          <w:i/>
        </w:rPr>
        <w:t>citoyen</w:t>
      </w:r>
      <w:r>
        <w:t xml:space="preserve"> qui est appelé à participer au processus de </w:t>
      </w:r>
      <w:r w:rsidR="007D32CE">
        <w:t>construc</w:t>
      </w:r>
      <w:r>
        <w:t xml:space="preserve">tion des savoirs, que ce soit par une contribution active à la démarche de recherche (on pense aux pratiques de </w:t>
      </w:r>
      <w:proofErr w:type="spellStart"/>
      <w:r w:rsidRPr="002E32A6">
        <w:rPr>
          <w:i/>
        </w:rPr>
        <w:t>crowdsourcing</w:t>
      </w:r>
      <w:proofErr w:type="spellEnd"/>
      <w:r>
        <w:t xml:space="preserve">), ou par une appropriation en vue d’un usage futur. La </w:t>
      </w:r>
      <w:r w:rsidRPr="00546510">
        <w:rPr>
          <w:i/>
        </w:rPr>
        <w:t>science citoyenne</w:t>
      </w:r>
      <w:r>
        <w:t xml:space="preserve"> du </w:t>
      </w:r>
      <w:proofErr w:type="spellStart"/>
      <w:r w:rsidR="005C72F3" w:rsidRPr="005C72F3">
        <w:rPr>
          <w:smallCaps/>
        </w:rPr>
        <w:t>xxi</w:t>
      </w:r>
      <w:r w:rsidRPr="005C72F3">
        <w:rPr>
          <w:vertAlign w:val="superscript"/>
        </w:rPr>
        <w:t>e</w:t>
      </w:r>
      <w:proofErr w:type="spellEnd"/>
      <w:r>
        <w:t xml:space="preserve"> siècle ouvre ainsi la voie à une dimension politique de la diffusion des savoirs, que ne possédaient pas aussi explicitement les pratiques de médiation</w:t>
      </w:r>
      <w:r w:rsidR="005C72F3">
        <w:t>s</w:t>
      </w:r>
      <w:r>
        <w:t xml:space="preserve"> antérieures. On ajoutera à la suite de </w:t>
      </w:r>
      <w:proofErr w:type="spellStart"/>
      <w:r>
        <w:t>Bensaude</w:t>
      </w:r>
      <w:proofErr w:type="spellEnd"/>
      <w:r>
        <w:t>-Vincent que la science citoyenne opère en réalité sur deux versants</w:t>
      </w:r>
      <w:r w:rsidR="006B43DE">
        <w:t> :</w:t>
      </w:r>
      <w:r>
        <w:t xml:space="preserve"> non seulement par la participation des citoyens à la construction des savoirs ou leur investissement cognitif en vue de leur appropriation, mais aussi par l’implication des chercheurs dans une recherche qui sert le bien public – comme l’illustre la figure du </w:t>
      </w:r>
      <w:proofErr w:type="spellStart"/>
      <w:r>
        <w:rPr>
          <w:i/>
        </w:rPr>
        <w:t>civic</w:t>
      </w:r>
      <w:proofErr w:type="spellEnd"/>
      <w:r>
        <w:rPr>
          <w:i/>
        </w:rPr>
        <w:t xml:space="preserve"> </w:t>
      </w:r>
      <w:proofErr w:type="spellStart"/>
      <w:r>
        <w:rPr>
          <w:i/>
        </w:rPr>
        <w:t>scientist</w:t>
      </w:r>
      <w:proofErr w:type="spellEnd"/>
      <w:r w:rsidRPr="00203BFD">
        <w:rPr>
          <w:rStyle w:val="Appelnotedebasdep"/>
        </w:rPr>
        <w:footnoteReference w:id="12"/>
      </w:r>
      <w:r w:rsidR="00632B07">
        <w:t xml:space="preserve">. </w:t>
      </w:r>
    </w:p>
    <w:p w14:paraId="7A087A8C" w14:textId="402FA0D7" w:rsidR="00E21973" w:rsidRPr="005C7CB1" w:rsidRDefault="001D1764" w:rsidP="00E21973">
      <w:pPr>
        <w:jc w:val="both"/>
      </w:pPr>
      <w:r>
        <w:t>F</w:t>
      </w:r>
      <w:r w:rsidR="0048046F">
        <w:t xml:space="preserve">orce est de constater </w:t>
      </w:r>
      <w:r w:rsidR="0095448C">
        <w:t>la</w:t>
      </w:r>
      <w:r w:rsidR="0048046F">
        <w:t xml:space="preserve"> marginalisation des sciences humaines et sociales dans la littérature consacrée aux pratiques de divulgation des savoirs vers la société civile, </w:t>
      </w:r>
      <w:r w:rsidR="0095448C">
        <w:t xml:space="preserve">surtout </w:t>
      </w:r>
      <w:r w:rsidR="0048046F">
        <w:t xml:space="preserve">préoccupée des sciences naturelles. </w:t>
      </w:r>
      <w:r w:rsidR="0095448C">
        <w:t>L</w:t>
      </w:r>
      <w:r w:rsidR="0048046F">
        <w:t xml:space="preserve">es SHS seraient </w:t>
      </w:r>
      <w:r w:rsidR="0095448C">
        <w:t>pourtant</w:t>
      </w:r>
      <w:r w:rsidR="0048046F">
        <w:t xml:space="preserve"> à même de porter ce projet d’une </w:t>
      </w:r>
      <w:r w:rsidR="006B43DE">
        <w:t>« </w:t>
      </w:r>
      <w:r w:rsidR="0048046F">
        <w:t>démocratisation</w:t>
      </w:r>
      <w:r w:rsidR="006B43DE">
        <w:t> »</w:t>
      </w:r>
      <w:r w:rsidR="0048046F">
        <w:t xml:space="preserve"> de la science, au sens politique du terme. Claire Lemercier le signalait très justement</w:t>
      </w:r>
      <w:r w:rsidR="006B43DE">
        <w:t> :</w:t>
      </w:r>
      <w:r w:rsidR="0048046F">
        <w:t xml:space="preserve"> </w:t>
      </w:r>
      <w:r w:rsidR="006B43DE">
        <w:t>« </w:t>
      </w:r>
      <w:r w:rsidR="0048046F" w:rsidRPr="00F668E0">
        <w:t>Objet d’un procès permanent en inutilité, [les sciences humaines et sociales] se défendent au nom de leur capacité à opérer une critique sociale, mais aussi à donner à tout un chacun les armes pour l’opérer soi-même</w:t>
      </w:r>
      <w:r w:rsidR="006B43DE">
        <w:t> </w:t>
      </w:r>
      <w:r w:rsidR="006B43DE" w:rsidRPr="00F668E0">
        <w:t>;</w:t>
      </w:r>
      <w:r w:rsidR="0048046F" w:rsidRPr="00F668E0">
        <w:t xml:space="preserve"> et/ou d’une revendication du simple plaisir de comprendre, de donner à lire des œuvres du passé, voire de faire revivre ce dernier</w:t>
      </w:r>
      <w:r w:rsidR="006B43DE">
        <w:t> </w:t>
      </w:r>
      <w:r w:rsidR="006B43DE" w:rsidRPr="00F668E0">
        <w:t>»</w:t>
      </w:r>
      <w:r w:rsidR="0048046F" w:rsidRPr="005F5E08">
        <w:rPr>
          <w:rStyle w:val="Appelnotedebasdep"/>
          <w:sz w:val="20"/>
          <w:szCs w:val="20"/>
        </w:rPr>
        <w:footnoteReference w:id="13"/>
      </w:r>
      <w:r w:rsidR="0048046F">
        <w:t>.</w:t>
      </w:r>
      <w:r w:rsidR="0048046F" w:rsidRPr="005F5E08">
        <w:rPr>
          <w:sz w:val="20"/>
          <w:szCs w:val="20"/>
        </w:rPr>
        <w:t xml:space="preserve"> </w:t>
      </w:r>
      <w:r w:rsidR="0048046F">
        <w:t xml:space="preserve">Aux yeux de l’historienne, l’accroissement du lectorat </w:t>
      </w:r>
      <w:r w:rsidR="00EE314B">
        <w:t>permis par</w:t>
      </w:r>
      <w:r w:rsidR="0083616B">
        <w:t xml:space="preserve"> l</w:t>
      </w:r>
      <w:r w:rsidR="0048046F">
        <w:t xml:space="preserve">’accès ouvert </w:t>
      </w:r>
      <w:r w:rsidR="00F0451B">
        <w:t xml:space="preserve">permet de servir ces objectifs. </w:t>
      </w:r>
      <w:r w:rsidR="00E21973">
        <w:t>Seulement, le constat d’un élargissement des publics et la mise à disposition de savoirs ne suffisent pas</w:t>
      </w:r>
      <w:r w:rsidR="006B43DE">
        <w:t> ;</w:t>
      </w:r>
      <w:r w:rsidR="00E21973">
        <w:t xml:space="preserve"> il s’agit de les rendre appropriables par le citoyen afin qu’il puisse, à son tour, se doter des outils pour pratiquer cette </w:t>
      </w:r>
      <w:r w:rsidR="00E21973">
        <w:rPr>
          <w:i/>
        </w:rPr>
        <w:t xml:space="preserve">critique </w:t>
      </w:r>
      <w:r w:rsidR="00E21973" w:rsidRPr="00C70A2A">
        <w:rPr>
          <w:i/>
        </w:rPr>
        <w:t>sociale</w:t>
      </w:r>
      <w:r w:rsidR="00E21973">
        <w:t>. Nous recour</w:t>
      </w:r>
      <w:r w:rsidR="00AA5E2E">
        <w:t>r</w:t>
      </w:r>
      <w:r w:rsidR="00E21973">
        <w:t xml:space="preserve">ons ici aux recherches menées par Yves Jeanneret autour de la </w:t>
      </w:r>
      <w:r w:rsidR="00E21973">
        <w:rPr>
          <w:i/>
        </w:rPr>
        <w:t>trivialité</w:t>
      </w:r>
      <w:r w:rsidR="00E21973">
        <w:t xml:space="preserve"> </w:t>
      </w:r>
      <w:r w:rsidR="005E7240">
        <w:t>ainsi qu’</w:t>
      </w:r>
      <w:r w:rsidR="009C6F2F">
        <w:t>aux outils de</w:t>
      </w:r>
      <w:r w:rsidR="005E7240">
        <w:t xml:space="preserve"> l’analyse du discours</w:t>
      </w:r>
      <w:r w:rsidR="00FB61A0">
        <w:t xml:space="preserve">, </w:t>
      </w:r>
      <w:r w:rsidR="003A3070">
        <w:t>y</w:t>
      </w:r>
      <w:r w:rsidR="00FB61A0">
        <w:t xml:space="preserve"> compris dans sa dimension numérique,</w:t>
      </w:r>
      <w:r w:rsidR="005E7240">
        <w:t xml:space="preserve"> </w:t>
      </w:r>
      <w:r w:rsidR="00E21973">
        <w:t xml:space="preserve">pour rendre compte des moyens mis au service de cette appropriation. </w:t>
      </w:r>
    </w:p>
    <w:p w14:paraId="1BAA0F03" w14:textId="39F20146" w:rsidR="00850DE7" w:rsidRDefault="00E21973" w:rsidP="00E21973">
      <w:pPr>
        <w:jc w:val="both"/>
      </w:pPr>
      <w:r>
        <w:t xml:space="preserve">Yves Jeanneret a défini la </w:t>
      </w:r>
      <w:r w:rsidRPr="000E6E2E">
        <w:rPr>
          <w:i/>
        </w:rPr>
        <w:t>trivialité</w:t>
      </w:r>
      <w:r w:rsidR="007B6C23">
        <w:t xml:space="preserve"> comme</w:t>
      </w:r>
      <w:r w:rsidRPr="00853822">
        <w:t xml:space="preserve"> </w:t>
      </w:r>
      <w:r w:rsidR="006B43DE">
        <w:t>« </w:t>
      </w:r>
      <w:r>
        <w:t>le caractère fondamental des processus qui permettent le partage, la transformation, l’appropriation des objets et des savoirs au sein d’un espace social hétérogène.</w:t>
      </w:r>
      <w:r w:rsidR="006B43DE">
        <w:t> »</w:t>
      </w:r>
      <w:r>
        <w:rPr>
          <w:rStyle w:val="Appelnotedebasdep"/>
        </w:rPr>
        <w:footnoteReference w:id="14"/>
      </w:r>
      <w:r>
        <w:t xml:space="preserve"> Les connaissances scientifiques ont vocation à être réécrites (traduites, recensées, critiquées, vulgarisées, etc.) et à circuler (entre disciplines, dans la société, dans différents médias, etc.). Les pratiques triviales qui </w:t>
      </w:r>
      <w:r w:rsidR="00A04D2F">
        <w:t>rendent possible</w:t>
      </w:r>
      <w:r w:rsidR="005C72F3">
        <w:t>s</w:t>
      </w:r>
      <w:r>
        <w:t xml:space="preserve"> la diffusion et l’appropriation passent par un travail sur les formes du texte, porteuses de sens auprès des publics. </w:t>
      </w:r>
      <w:r w:rsidR="00EC239E">
        <w:t xml:space="preserve">Dans l’environnement numérique, ces formes sont largement tributaires des </w:t>
      </w:r>
      <w:proofErr w:type="spellStart"/>
      <w:r w:rsidR="00EC239E">
        <w:rPr>
          <w:i/>
        </w:rPr>
        <w:t>architextes</w:t>
      </w:r>
      <w:proofErr w:type="spellEnd"/>
      <w:r w:rsidR="00EC239E">
        <w:rPr>
          <w:i/>
        </w:rPr>
        <w:t xml:space="preserve"> informatisés</w:t>
      </w:r>
      <w:r w:rsidR="00EC239E">
        <w:t xml:space="preserve"> que sont les CMS ou logiciels, outils d’écriture qui</w:t>
      </w:r>
      <w:r w:rsidR="006A0302">
        <w:t xml:space="preserve"> résultent de choix préalables quant aux formats et à l’organisation textuelle et</w:t>
      </w:r>
      <w:r w:rsidR="00EC239E">
        <w:t xml:space="preserve"> conditionnent </w:t>
      </w:r>
      <w:r w:rsidR="006A0302">
        <w:t>de ce fait la matérialité d</w:t>
      </w:r>
      <w:r w:rsidR="00850DE7">
        <w:t>es productions écrites.</w:t>
      </w:r>
    </w:p>
    <w:p w14:paraId="21C87160" w14:textId="6BF869BB" w:rsidR="00CC3CD2" w:rsidRDefault="00183C45" w:rsidP="00E21973">
      <w:pPr>
        <w:jc w:val="both"/>
      </w:pPr>
      <w:r>
        <w:t>Les p</w:t>
      </w:r>
      <w:r w:rsidR="00EC239E">
        <w:t xml:space="preserve">ortails et plateformes numériques </w:t>
      </w:r>
      <w:r>
        <w:t xml:space="preserve">répondent à </w:t>
      </w:r>
      <w:r w:rsidR="00EC239E">
        <w:t>une conception particulière de la communication</w:t>
      </w:r>
      <w:r w:rsidR="006B43DE">
        <w:t> :</w:t>
      </w:r>
      <w:r w:rsidR="00EC239E">
        <w:t xml:space="preserve"> celle-ci s’exprime dans une </w:t>
      </w:r>
      <w:r w:rsidR="00EC239E">
        <w:rPr>
          <w:i/>
        </w:rPr>
        <w:t>promesse communicationnelle</w:t>
      </w:r>
      <w:r w:rsidR="00EC239E">
        <w:t xml:space="preserve">, </w:t>
      </w:r>
      <w:r w:rsidR="00296581">
        <w:t xml:space="preserve">qui peut être explicite ou non, et </w:t>
      </w:r>
      <w:r w:rsidR="00EC239E">
        <w:t>dont le dispositif est l’</w:t>
      </w:r>
      <w:r w:rsidR="00EC239E">
        <w:rPr>
          <w:i/>
        </w:rPr>
        <w:t>implication</w:t>
      </w:r>
      <w:r w:rsidR="00296581">
        <w:rPr>
          <w:i/>
        </w:rPr>
        <w:t xml:space="preserve"> </w:t>
      </w:r>
      <w:r w:rsidR="00296581" w:rsidRPr="005A6D0B">
        <w:t>–</w:t>
      </w:r>
      <w:r w:rsidR="00EA200A" w:rsidRPr="005A6D0B">
        <w:t xml:space="preserve"> un des </w:t>
      </w:r>
      <w:r w:rsidR="00296581" w:rsidRPr="005A6D0B">
        <w:t>exemple</w:t>
      </w:r>
      <w:r w:rsidR="00EA200A" w:rsidRPr="005A6D0B">
        <w:t>s</w:t>
      </w:r>
      <w:r w:rsidR="00296581" w:rsidRPr="005A6D0B">
        <w:t xml:space="preserve"> convoqué</w:t>
      </w:r>
      <w:r w:rsidR="00EA200A" w:rsidRPr="005A6D0B">
        <w:t>s</w:t>
      </w:r>
      <w:r w:rsidR="00296581" w:rsidRPr="005A6D0B">
        <w:t xml:space="preserve"> par Jeanneret est celui de </w:t>
      </w:r>
      <w:proofErr w:type="spellStart"/>
      <w:r w:rsidR="00296581" w:rsidRPr="005A6D0B">
        <w:rPr>
          <w:i/>
        </w:rPr>
        <w:t>Wikipedia</w:t>
      </w:r>
      <w:proofErr w:type="spellEnd"/>
      <w:r w:rsidR="00296581" w:rsidRPr="005A6D0B">
        <w:t>,</w:t>
      </w:r>
      <w:r w:rsidR="00296581">
        <w:t xml:space="preserve"> dont </w:t>
      </w:r>
      <w:r w:rsidR="005E2863">
        <w:t xml:space="preserve">la </w:t>
      </w:r>
      <w:r w:rsidR="005E2863" w:rsidRPr="00B828D5">
        <w:rPr>
          <w:i/>
        </w:rPr>
        <w:t>promesse</w:t>
      </w:r>
      <w:r w:rsidR="00296581">
        <w:t xml:space="preserve"> de création d’une encyclopédie co</w:t>
      </w:r>
      <w:r w:rsidR="005E2863">
        <w:t>llaborative</w:t>
      </w:r>
      <w:r w:rsidR="00296581">
        <w:t xml:space="preserve"> en ligne est </w:t>
      </w:r>
      <w:r w:rsidR="005E2863">
        <w:t>instrumenté</w:t>
      </w:r>
      <w:r w:rsidR="00B828D5">
        <w:t>e</w:t>
      </w:r>
      <w:r w:rsidR="005E2863">
        <w:t xml:space="preserve"> par le</w:t>
      </w:r>
      <w:r w:rsidR="00FC1466">
        <w:t xml:space="preserve"> recours à un outil d’aide à la publication web de type</w:t>
      </w:r>
      <w:r w:rsidR="00296581">
        <w:t xml:space="preserve"> </w:t>
      </w:r>
      <w:r w:rsidR="00296581">
        <w:rPr>
          <w:i/>
        </w:rPr>
        <w:t>Wiki</w:t>
      </w:r>
      <w:r w:rsidR="00296581">
        <w:t xml:space="preserve"> (</w:t>
      </w:r>
      <w:r w:rsidR="00B828D5">
        <w:t>au sein duquel</w:t>
      </w:r>
      <w:r w:rsidR="00296581">
        <w:t xml:space="preserve"> les </w:t>
      </w:r>
      <w:r w:rsidR="00FC1466">
        <w:t xml:space="preserve">liens </w:t>
      </w:r>
      <w:r w:rsidR="00296581">
        <w:t xml:space="preserve">hypertextes sont bidirectionnels) </w:t>
      </w:r>
      <w:r w:rsidR="00296581">
        <w:lastRenderedPageBreak/>
        <w:t>et par la possibilité de création et de validation de</w:t>
      </w:r>
      <w:r w:rsidR="00850DE7">
        <w:t>s</w:t>
      </w:r>
      <w:r w:rsidR="00296581">
        <w:t xml:space="preserve"> contenu</w:t>
      </w:r>
      <w:r w:rsidR="00850DE7">
        <w:t>s</w:t>
      </w:r>
      <w:r w:rsidR="00296581">
        <w:t xml:space="preserve"> par tout utilisateur inscrit</w:t>
      </w:r>
      <w:r w:rsidR="00EC239E">
        <w:t xml:space="preserve">. La communication se trouve </w:t>
      </w:r>
      <w:r w:rsidR="00A3245E">
        <w:t>ainsi</w:t>
      </w:r>
      <w:r w:rsidR="00EC239E">
        <w:t xml:space="preserve"> </w:t>
      </w:r>
      <w:r w:rsidR="00DB3799">
        <w:t>outill</w:t>
      </w:r>
      <w:r w:rsidR="00EC239E">
        <w:t xml:space="preserve">ée de manière concrète en vue de réaliser </w:t>
      </w:r>
      <w:r w:rsidR="00E252C8">
        <w:t>la</w:t>
      </w:r>
      <w:r w:rsidR="00EC239E">
        <w:t xml:space="preserve"> </w:t>
      </w:r>
      <w:r w:rsidR="00EC239E" w:rsidRPr="00083547">
        <w:rPr>
          <w:i/>
        </w:rPr>
        <w:t>promesse</w:t>
      </w:r>
      <w:r w:rsidR="00E252C8">
        <w:rPr>
          <w:i/>
        </w:rPr>
        <w:t xml:space="preserve"> </w:t>
      </w:r>
      <w:r w:rsidR="00E252C8">
        <w:t>portée par la plateforme</w:t>
      </w:r>
      <w:r w:rsidR="00EC239E">
        <w:t>.</w:t>
      </w:r>
      <w:r w:rsidR="00CC3CD2">
        <w:t xml:space="preserve"> </w:t>
      </w:r>
    </w:p>
    <w:p w14:paraId="5C0BC2E7" w14:textId="22149398" w:rsidR="00CC3CD2" w:rsidRPr="005E421A" w:rsidRDefault="00CC3CD2" w:rsidP="00CC3CD2">
      <w:pPr>
        <w:jc w:val="both"/>
      </w:pPr>
      <w:r>
        <w:t xml:space="preserve">Or, le concept de communication scientifique </w:t>
      </w:r>
      <w:r w:rsidRPr="004C537E">
        <w:rPr>
          <w:i/>
        </w:rPr>
        <w:t>directe</w:t>
      </w:r>
      <w:r w:rsidR="002F2BF4">
        <w:t>, tel</w:t>
      </w:r>
      <w:r>
        <w:t xml:space="preserve"> qu’on l’a vu défini par Beaudry</w:t>
      </w:r>
      <w:r w:rsidR="00E8601F">
        <w:t xml:space="preserve"> et qui </w:t>
      </w:r>
      <w:r w:rsidR="00FE6AA8">
        <w:t>concerne</w:t>
      </w:r>
      <w:r w:rsidR="00E8601F">
        <w:t xml:space="preserve"> notamment les écrits de blogs</w:t>
      </w:r>
      <w:r>
        <w:t xml:space="preserve">, ne rend </w:t>
      </w:r>
      <w:r w:rsidR="00543D82">
        <w:t>pas compte de l</w:t>
      </w:r>
      <w:r>
        <w:t xml:space="preserve">a médiation </w:t>
      </w:r>
      <w:r w:rsidR="00BE7C71">
        <w:t>de</w:t>
      </w:r>
      <w:r w:rsidR="009B5E79">
        <w:t>s écrits de</w:t>
      </w:r>
      <w:r w:rsidR="00BE7C71">
        <w:t xml:space="preserve"> la recherche</w:t>
      </w:r>
      <w:r w:rsidR="00543D82">
        <w:t xml:space="preserve"> </w:t>
      </w:r>
      <w:r>
        <w:t>par un dispositif qui n’est en réalité pas neutre, mais porteur d’un projet éditorial que sous-tend un projet scientifique. Le commentaire de l’actualité sur un blog n’est pas en soi une pratique innovante</w:t>
      </w:r>
      <w:r w:rsidR="006B43DE">
        <w:t> :</w:t>
      </w:r>
      <w:r>
        <w:t xml:space="preserve"> intellectuels, journalistes, chercheurs ou citoyens y recourent communément. La spécificité du corpus envisagé ici réside en son inscription au sein d’une plateforme de communication scientifique, </w:t>
      </w:r>
      <w:r>
        <w:rPr>
          <w:i/>
        </w:rPr>
        <w:t>Hypothèses</w:t>
      </w:r>
      <w:r>
        <w:t xml:space="preserve">. Le traitement de l’actualité sociale par les chercheurs s’insère dans un environnement particulier, en situation de </w:t>
      </w:r>
      <w:proofErr w:type="spellStart"/>
      <w:r>
        <w:t>co-présence</w:t>
      </w:r>
      <w:proofErr w:type="spellEnd"/>
      <w:r>
        <w:t xml:space="preserve"> avec l’actualité scientifique</w:t>
      </w:r>
      <w:r w:rsidR="006B43DE">
        <w:t> :</w:t>
      </w:r>
      <w:r w:rsidR="00FE6AA8">
        <w:t xml:space="preserve"> il peut s’agir à cet égard de l’actualité du chercheur qui consigne l’avancement de sa réflexion sur son carnet en ligne, de l’actualité d’un secteur de recherche dont font écho les activités de veille et d’annonces (recensions, annonces de parutions, séminaires, etc.), ou de l’actualité d’un média de la recherche (carnets de recherche adossés à une revue scientifique).</w:t>
      </w:r>
      <w:r w:rsidR="00464B73">
        <w:t xml:space="preserve"> L’inscription de textes portant sur l’actualité sociale dans un tel environnement leur</w:t>
      </w:r>
      <w:r>
        <w:t xml:space="preserve"> confère une portée singulière. En effet, si l’on suit Roger Chartier, qui parle à cet endroit de l’article de journal, </w:t>
      </w:r>
      <w:r w:rsidR="006B43DE">
        <w:t>« </w:t>
      </w:r>
      <w:r>
        <w:t>[l]</w:t>
      </w:r>
      <w:r w:rsidRPr="009A2D4D">
        <w:t>e lecteur construit la signification de l’article qu’il lit à partir de sa mise en relation, même inconsciente, avec ce qui le précède, l’accompagne ou le suit et, également, à partir de sa perception de l’intention éditoriale et du projet intellectuel, esthétique ou politique qui gouvernent la publication.</w:t>
      </w:r>
      <w:r w:rsidR="006B43DE">
        <w:t> »</w:t>
      </w:r>
      <w:r w:rsidRPr="009A2D4D">
        <w:rPr>
          <w:vertAlign w:val="superscript"/>
        </w:rPr>
        <w:footnoteReference w:id="15"/>
      </w:r>
      <w:r>
        <w:t xml:space="preserve">. L’analyse de l’actualité sociale par des chercheurs au sein d’un blog s’apparente </w:t>
      </w:r>
      <w:r w:rsidR="00FE6AA8">
        <w:t>ainsi</w:t>
      </w:r>
      <w:r>
        <w:t xml:space="preserve"> à la médiatisation d’un travail de recherche.</w:t>
      </w:r>
      <w:r>
        <w:rPr>
          <w:i/>
        </w:rPr>
        <w:t xml:space="preserve"> </w:t>
      </w:r>
    </w:p>
    <w:p w14:paraId="5E4B1275" w14:textId="33A33271" w:rsidR="006C7C03" w:rsidRDefault="00CC3CD2" w:rsidP="00AC02B4">
      <w:pPr>
        <w:jc w:val="both"/>
      </w:pPr>
      <w:r w:rsidRPr="00083547">
        <w:t>L’une</w:t>
      </w:r>
      <w:r>
        <w:t xml:space="preserve"> des </w:t>
      </w:r>
      <w:r>
        <w:rPr>
          <w:i/>
        </w:rPr>
        <w:t xml:space="preserve">promesses </w:t>
      </w:r>
      <w:r>
        <w:t xml:space="preserve">auxquelles répond le dispositif de la plateforme </w:t>
      </w:r>
      <w:r w:rsidRPr="005A4F88">
        <w:rPr>
          <w:i/>
        </w:rPr>
        <w:t>Hypothèses</w:t>
      </w:r>
      <w:r>
        <w:t xml:space="preserve"> </w:t>
      </w:r>
      <w:r w:rsidRPr="005A4F88">
        <w:t>est</w:t>
      </w:r>
      <w:r>
        <w:t xml:space="preserve"> celle d’une ouverture vers la société civile, afin de fournir au public des connaissances destinées à jouer un rôle critique – en témoigne ainsi le discours de Marin Dacos, directeur d’</w:t>
      </w:r>
      <w:proofErr w:type="spellStart"/>
      <w:r w:rsidRPr="004408E6">
        <w:rPr>
          <w:i/>
        </w:rPr>
        <w:t>OpenEdition</w:t>
      </w:r>
      <w:proofErr w:type="spellEnd"/>
      <w:r>
        <w:t xml:space="preserve">, prononcé lors de la réception de la médaille </w:t>
      </w:r>
      <w:r w:rsidR="006E2483">
        <w:t xml:space="preserve">de l’innovation </w:t>
      </w:r>
      <w:r>
        <w:t xml:space="preserve">du CNRS et intitulé </w:t>
      </w:r>
      <w:r w:rsidR="006B43DE">
        <w:t>« </w:t>
      </w:r>
      <w:r>
        <w:t>Le savoir est une arme</w:t>
      </w:r>
      <w:r w:rsidR="006B43DE">
        <w:t> »</w:t>
      </w:r>
      <w:r w:rsidR="006B43DE">
        <w:rPr>
          <w:rStyle w:val="Appelnotedebasdep"/>
        </w:rPr>
        <w:footnoteReference w:id="16"/>
      </w:r>
      <w:r>
        <w:t>. C’était déjà, dans un article de 2012</w:t>
      </w:r>
      <w:r>
        <w:rPr>
          <w:rStyle w:val="Appelnotedebasdep"/>
        </w:rPr>
        <w:footnoteReference w:id="17"/>
      </w:r>
      <w:r>
        <w:t xml:space="preserve">, la volonté de créer un média en sciences humaines et sociales proposant une alternative aux médias traditionnels grâce aux directives européennes relatives à l’accès ouvert. Enfin, la rubrique </w:t>
      </w:r>
      <w:r w:rsidR="006B43DE">
        <w:t>« </w:t>
      </w:r>
      <w:r>
        <w:t>À propos</w:t>
      </w:r>
      <w:r w:rsidR="006B43DE">
        <w:t> »</w:t>
      </w:r>
      <w:r>
        <w:t xml:space="preserve"> du portail mentionne cette volonté d’ouverture à un public extra-académique sans qu’il ne s’agisse pour autant d’u</w:t>
      </w:r>
      <w:r w:rsidR="00145B54">
        <w:t>ne plateforme de vulgarisation (</w:t>
      </w:r>
      <w:r>
        <w:t>bien qu’une série de carnets hébergés rentrent dans cette catégorie</w:t>
      </w:r>
      <w:r w:rsidR="00145B54">
        <w:t>)</w:t>
      </w:r>
      <w:r>
        <w:t xml:space="preserve">. On rejoint ainsi pleinement cette préoccupation d’une science à destination du citoyen, que réalise </w:t>
      </w:r>
      <w:r w:rsidRPr="00381B0E">
        <w:t>l’</w:t>
      </w:r>
      <w:r w:rsidRPr="00A14EC5">
        <w:rPr>
          <w:i/>
        </w:rPr>
        <w:t>implication</w:t>
      </w:r>
      <w:r w:rsidR="00381B0E">
        <w:t xml:space="preserve"> par le choix d’un dispositif favorisant</w:t>
      </w:r>
      <w:r>
        <w:t xml:space="preserve"> l</w:t>
      </w:r>
      <w:r w:rsidR="00D21E7C">
        <w:t>a science</w:t>
      </w:r>
      <w:r>
        <w:t xml:space="preserve"> ouvert</w:t>
      </w:r>
      <w:r w:rsidR="00D21E7C">
        <w:t>e</w:t>
      </w:r>
      <w:r w:rsidR="00174D1A">
        <w:t xml:space="preserve"> et d’un large accès </w:t>
      </w:r>
      <w:r w:rsidR="00296050">
        <w:t>à l’administration des</w:t>
      </w:r>
      <w:r w:rsidR="00174D1A">
        <w:t xml:space="preserve"> carnets de recherche</w:t>
      </w:r>
      <w:r w:rsidR="006B43DE">
        <w:t> :</w:t>
      </w:r>
      <w:r w:rsidR="00174D1A">
        <w:t xml:space="preserve"> ceux-ci ne sont pas réservés uniquement aux chercheurs, mais également aux professionnels (bibliothécaires, etc.) ou étudiants</w:t>
      </w:r>
      <w:r>
        <w:t xml:space="preserve">. </w:t>
      </w:r>
      <w:r w:rsidR="00C33ED8">
        <w:t xml:space="preserve">Par ailleurs, </w:t>
      </w:r>
      <w:r w:rsidR="00C33ED8">
        <w:rPr>
          <w:i/>
        </w:rPr>
        <w:t>Hypothèses</w:t>
      </w:r>
      <w:r w:rsidR="00C33ED8" w:rsidRPr="004C5887">
        <w:t xml:space="preserve"> </w:t>
      </w:r>
      <w:r w:rsidR="006C7C03">
        <w:t>valorise une communication réguliè</w:t>
      </w:r>
      <w:r w:rsidR="004C5887">
        <w:t xml:space="preserve">re et en phase avec l’actualité : la plateforme </w:t>
      </w:r>
      <w:r w:rsidR="006C7C03" w:rsidRPr="006C7C03">
        <w:rPr>
          <w:iCs/>
        </w:rPr>
        <w:t xml:space="preserve">épingle à sa </w:t>
      </w:r>
      <w:r w:rsidR="006B43DE">
        <w:rPr>
          <w:iCs/>
        </w:rPr>
        <w:t>« </w:t>
      </w:r>
      <w:r w:rsidR="006C7C03" w:rsidRPr="006C7C03">
        <w:rPr>
          <w:iCs/>
        </w:rPr>
        <w:t>Une</w:t>
      </w:r>
      <w:r w:rsidR="006B43DE">
        <w:rPr>
          <w:iCs/>
        </w:rPr>
        <w:t> </w:t>
      </w:r>
      <w:r w:rsidR="006B43DE" w:rsidRPr="006C7C03">
        <w:rPr>
          <w:iCs/>
        </w:rPr>
        <w:t>»</w:t>
      </w:r>
      <w:r w:rsidR="006C7C03" w:rsidRPr="006C7C03">
        <w:rPr>
          <w:iCs/>
        </w:rPr>
        <w:t xml:space="preserve"> quotidienne</w:t>
      </w:r>
      <w:r w:rsidR="006C7C03" w:rsidRPr="006C7C03">
        <w:rPr>
          <w:rStyle w:val="Appelnotedebasdep"/>
          <w:iCs/>
        </w:rPr>
        <w:footnoteReference w:id="18"/>
      </w:r>
      <w:r w:rsidR="006C7C03" w:rsidRPr="006C7C03">
        <w:rPr>
          <w:iCs/>
        </w:rPr>
        <w:t xml:space="preserve"> les billets les plus récents, sélectionnés par le comité scientifique</w:t>
      </w:r>
      <w:r w:rsidR="006B43DE">
        <w:rPr>
          <w:iCs/>
        </w:rPr>
        <w:t> </w:t>
      </w:r>
      <w:r w:rsidR="006B43DE" w:rsidRPr="006C7C03">
        <w:rPr>
          <w:iCs/>
        </w:rPr>
        <w:t>;</w:t>
      </w:r>
      <w:r w:rsidR="006C7C03" w:rsidRPr="006C7C03">
        <w:rPr>
          <w:iCs/>
        </w:rPr>
        <w:t xml:space="preserve"> billets qui sont pour la plupart relayés sur Twitter – indice d’une </w:t>
      </w:r>
      <w:r w:rsidR="006C7C03" w:rsidRPr="006C7C03">
        <w:rPr>
          <w:i/>
          <w:iCs/>
        </w:rPr>
        <w:t xml:space="preserve">prétention communicationnelle </w:t>
      </w:r>
      <w:r w:rsidR="006C7C03" w:rsidRPr="006C7C03">
        <w:rPr>
          <w:iCs/>
        </w:rPr>
        <w:t xml:space="preserve">qui place l’actuel et l’immédiatement mobilisable au rang de ses valeurs. </w:t>
      </w:r>
    </w:p>
    <w:p w14:paraId="00C3A450" w14:textId="2E5DB822" w:rsidR="00AC02B4" w:rsidRDefault="008C1230" w:rsidP="00AC02B4">
      <w:pPr>
        <w:jc w:val="both"/>
      </w:pPr>
      <w:r>
        <w:lastRenderedPageBreak/>
        <w:t>L</w:t>
      </w:r>
      <w:r w:rsidR="006840F1">
        <w:t>a communicati</w:t>
      </w:r>
      <w:r w:rsidR="00E7546F">
        <w:t xml:space="preserve">on scientifique ainsi diffusée </w:t>
      </w:r>
      <w:r w:rsidR="006840F1">
        <w:t>porte</w:t>
      </w:r>
      <w:r w:rsidR="00AC02B4">
        <w:t xml:space="preserve"> la marque des contraintes matérielles du dispositif et de ses </w:t>
      </w:r>
      <w:proofErr w:type="spellStart"/>
      <w:r w:rsidR="00AC02B4">
        <w:rPr>
          <w:i/>
        </w:rPr>
        <w:t>architextes</w:t>
      </w:r>
      <w:proofErr w:type="spellEnd"/>
      <w:r w:rsidR="00AC02B4">
        <w:t xml:space="preserve">. </w:t>
      </w:r>
      <w:r w:rsidR="00867218">
        <w:t>En effet, l</w:t>
      </w:r>
      <w:r w:rsidR="00AC02B4">
        <w:t xml:space="preserve">e texte numérique ou </w:t>
      </w:r>
      <w:proofErr w:type="spellStart"/>
      <w:r w:rsidR="00AC02B4">
        <w:rPr>
          <w:i/>
        </w:rPr>
        <w:t>textiel</w:t>
      </w:r>
      <w:proofErr w:type="spellEnd"/>
      <w:r w:rsidR="00AC02B4" w:rsidRPr="001571C3">
        <w:rPr>
          <w:rStyle w:val="Appelnotedebasdep"/>
        </w:rPr>
        <w:footnoteReference w:id="19"/>
      </w:r>
      <w:r w:rsidR="00AC02B4">
        <w:t xml:space="preserve"> est un objet non seulement langagier mais également opératoire, technique, manipulable. Empruntant ici le vocabulaire élaboré par Marie-Anne Paveau dans ses recherches sur le discours numérique, on retiendra les possibilités de </w:t>
      </w:r>
      <w:proofErr w:type="spellStart"/>
      <w:r w:rsidR="00AC02B4">
        <w:rPr>
          <w:i/>
        </w:rPr>
        <w:t>redocumentation</w:t>
      </w:r>
      <w:proofErr w:type="spellEnd"/>
      <w:r w:rsidR="00AC02B4">
        <w:t xml:space="preserve"> des matériaux discursifs (soit leur organisation selon une logique autre que celle du fil chronologique du blog) permises par l’</w:t>
      </w:r>
      <w:proofErr w:type="spellStart"/>
      <w:r w:rsidR="00AC02B4">
        <w:rPr>
          <w:i/>
        </w:rPr>
        <w:t>investigabilité</w:t>
      </w:r>
      <w:proofErr w:type="spellEnd"/>
      <w:r w:rsidR="00AC02B4" w:rsidRPr="00B07E82">
        <w:rPr>
          <w:i/>
        </w:rPr>
        <w:t xml:space="preserve"> </w:t>
      </w:r>
      <w:r w:rsidR="00AC02B4">
        <w:t xml:space="preserve">du texte ou l’activation de </w:t>
      </w:r>
      <w:proofErr w:type="spellStart"/>
      <w:r w:rsidR="00AC02B4">
        <w:rPr>
          <w:i/>
        </w:rPr>
        <w:t>technomots</w:t>
      </w:r>
      <w:proofErr w:type="spellEnd"/>
      <w:r w:rsidR="00AC02B4">
        <w:t xml:space="preserve"> (étiquettes ou libellés de catégories)</w:t>
      </w:r>
      <w:r w:rsidR="006B43DE">
        <w:t> ;</w:t>
      </w:r>
      <w:r w:rsidR="00AC02B4">
        <w:t xml:space="preserve"> de même que l’insertion facilitée de contenus </w:t>
      </w:r>
      <w:proofErr w:type="spellStart"/>
      <w:r w:rsidR="00AC02B4">
        <w:t>audios</w:t>
      </w:r>
      <w:proofErr w:type="spellEnd"/>
      <w:r w:rsidR="00AC02B4">
        <w:t xml:space="preserve">, vidéos, iconographiques ouvrant une dimension de </w:t>
      </w:r>
      <w:proofErr w:type="spellStart"/>
      <w:r w:rsidR="00AC02B4">
        <w:rPr>
          <w:i/>
        </w:rPr>
        <w:t>plurisémioticité</w:t>
      </w:r>
      <w:proofErr w:type="spellEnd"/>
      <w:r w:rsidR="006B43DE">
        <w:t> ;</w:t>
      </w:r>
      <w:r w:rsidR="00AC02B4">
        <w:t xml:space="preserve"> ou encore la </w:t>
      </w:r>
      <w:proofErr w:type="spellStart"/>
      <w:r w:rsidR="00AC02B4" w:rsidRPr="00B07E82">
        <w:rPr>
          <w:i/>
        </w:rPr>
        <w:t>délinéarisation</w:t>
      </w:r>
      <w:proofErr w:type="spellEnd"/>
      <w:r w:rsidR="00AC02B4">
        <w:t xml:space="preserve"> des discours par l’usage de l’hyperlien (sous forme de lien </w:t>
      </w:r>
      <w:r w:rsidR="00484F62">
        <w:t>développé</w:t>
      </w:r>
      <w:r w:rsidR="00AC02B4">
        <w:t xml:space="preserve"> ou de </w:t>
      </w:r>
      <w:proofErr w:type="spellStart"/>
      <w:r w:rsidR="00AC02B4" w:rsidRPr="00AA62E5">
        <w:rPr>
          <w:i/>
        </w:rPr>
        <w:t>technomot</w:t>
      </w:r>
      <w:proofErr w:type="spellEnd"/>
      <w:r w:rsidR="006B43DE">
        <w:t xml:space="preserve"> </w:t>
      </w:r>
      <w:r w:rsidR="00AC02B4">
        <w:t xml:space="preserve">soit un </w:t>
      </w:r>
      <w:r w:rsidR="00AC02B4" w:rsidRPr="00AA62E5">
        <w:t>mot</w:t>
      </w:r>
      <w:r w:rsidR="00AC02B4">
        <w:t xml:space="preserve"> du discours, titre de site, etc. cliquable, activant un hyperlien)</w:t>
      </w:r>
      <w:r w:rsidR="00AC02B4">
        <w:rPr>
          <w:rStyle w:val="Appelnotedebasdep"/>
        </w:rPr>
        <w:footnoteReference w:id="20"/>
      </w:r>
      <w:r w:rsidR="00AC02B4">
        <w:t xml:space="preserve">. </w:t>
      </w:r>
      <w:r w:rsidR="00AC02B4" w:rsidRPr="002725A8">
        <w:t xml:space="preserve">Cette dimension matérielle du discours numérique entre aussi en jeu dans la construction de savoirs appropriables, </w:t>
      </w:r>
      <w:r w:rsidR="00AC02B4">
        <w:t xml:space="preserve">et invite le lecteur à </w:t>
      </w:r>
      <w:r w:rsidR="00AC02B4" w:rsidRPr="002725A8">
        <w:t>agir concrètement sur le texte pour construire ses apprentissages.</w:t>
      </w:r>
      <w:r w:rsidR="00F9477E">
        <w:t xml:space="preserve"> </w:t>
      </w:r>
      <w:r w:rsidR="00F9477E" w:rsidRPr="0049041E">
        <w:t>Ce sont ces différentes couches de médiations que je voudrais mettre en avant, et questionner le rôle qu’elles jouent dans le processus de transmission des savoirs.</w:t>
      </w:r>
    </w:p>
    <w:p w14:paraId="20688EC9" w14:textId="77777777" w:rsidR="00E21973" w:rsidRDefault="00E21973" w:rsidP="00E21973">
      <w:pPr>
        <w:pStyle w:val="Titre1"/>
      </w:pPr>
      <w:r>
        <w:t>Terrain et méthode</w:t>
      </w:r>
    </w:p>
    <w:p w14:paraId="663A7562" w14:textId="4CFCF5D5" w:rsidR="00E21973" w:rsidRDefault="00E21973" w:rsidP="00E21973">
      <w:pPr>
        <w:jc w:val="both"/>
      </w:pPr>
      <w:r>
        <w:t>L’analyse qui va suivre porte sur un corpus de dix carnets de recherche, établi d’après une investigation sur le catalogue francophone d’</w:t>
      </w:r>
      <w:r>
        <w:rPr>
          <w:i/>
        </w:rPr>
        <w:t>Hypothèses</w:t>
      </w:r>
      <w:r>
        <w:t xml:space="preserve">, avec </w:t>
      </w:r>
      <w:r w:rsidR="009503B1">
        <w:t>comme</w:t>
      </w:r>
      <w:r>
        <w:t xml:space="preserve"> critère </w:t>
      </w:r>
      <w:r w:rsidR="0076478E">
        <w:t xml:space="preserve">de sélection </w:t>
      </w:r>
      <w:r>
        <w:t xml:space="preserve">la marque d’une préoccupation pour </w:t>
      </w:r>
      <w:r w:rsidRPr="00210EE0">
        <w:t>l’actualité</w:t>
      </w:r>
      <w:r>
        <w:t xml:space="preserve"> politique et sociale d’une région du monde. Après leur consultation, j’ai écarté les carnets ne comptant que quelques billets, ou ne réalisant pas le projet de traitement de l’actualité exprimé dans la notice</w:t>
      </w:r>
      <w:r w:rsidR="006B43DE">
        <w:t> ;</w:t>
      </w:r>
      <w:r>
        <w:t xml:space="preserve"> ce corpus ne prétend par ailleurs nullement à l’exhaustivité et est établi comme base de travail pour une étude exploratoire. </w:t>
      </w:r>
      <w:r w:rsidR="004E3386">
        <w:t>Les carnets retenus consistent soit en des blogs essentiellement consacrés au traitement des actualités (</w:t>
      </w:r>
      <w:proofErr w:type="spellStart"/>
      <w:r w:rsidR="004E3386" w:rsidRPr="00726E8C">
        <w:rPr>
          <w:i/>
        </w:rPr>
        <w:t>UC@ctualité</w:t>
      </w:r>
      <w:proofErr w:type="spellEnd"/>
      <w:r w:rsidR="004E3386">
        <w:t xml:space="preserve">, </w:t>
      </w:r>
      <w:r w:rsidR="004E3386" w:rsidRPr="00726E8C">
        <w:rPr>
          <w:i/>
        </w:rPr>
        <w:t>Culture et politique arabes</w:t>
      </w:r>
      <w:r w:rsidR="004E3386">
        <w:t xml:space="preserve">, </w:t>
      </w:r>
      <w:proofErr w:type="spellStart"/>
      <w:r w:rsidR="004E3386" w:rsidRPr="00D55BCE">
        <w:rPr>
          <w:i/>
        </w:rPr>
        <w:t>Ovipot</w:t>
      </w:r>
      <w:proofErr w:type="spellEnd"/>
      <w:r w:rsidR="004E3386">
        <w:t xml:space="preserve">, </w:t>
      </w:r>
      <w:proofErr w:type="spellStart"/>
      <w:r w:rsidR="004E3386">
        <w:rPr>
          <w:i/>
        </w:rPr>
        <w:t>LAM</w:t>
      </w:r>
      <w:r w:rsidR="004E3386" w:rsidRPr="00D55BCE">
        <w:rPr>
          <w:i/>
        </w:rPr>
        <w:t>enparle</w:t>
      </w:r>
      <w:proofErr w:type="spellEnd"/>
      <w:r w:rsidR="004E3386">
        <w:t>) ou en des carnets qui, entre autres thèmes (annonces de séminaire, recherches en cours, etc.), intègrent des billets réagissant à l’actualité (</w:t>
      </w:r>
      <w:r w:rsidR="004E3386" w:rsidRPr="006B16E0">
        <w:rPr>
          <w:i/>
        </w:rPr>
        <w:t>Japon contemporain</w:t>
      </w:r>
      <w:r w:rsidR="004E3386">
        <w:rPr>
          <w:i/>
        </w:rPr>
        <w:t>,</w:t>
      </w:r>
      <w:r w:rsidR="004E3386" w:rsidRPr="00D55BCE">
        <w:rPr>
          <w:i/>
        </w:rPr>
        <w:t xml:space="preserve"> Les carnets de l’IREMAM</w:t>
      </w:r>
      <w:r w:rsidR="004E3386">
        <w:t xml:space="preserve">, </w:t>
      </w:r>
      <w:r w:rsidR="004E3386">
        <w:rPr>
          <w:i/>
        </w:rPr>
        <w:t xml:space="preserve">L’atome de </w:t>
      </w:r>
      <w:r w:rsidR="004E3386" w:rsidRPr="006B16E0">
        <w:rPr>
          <w:i/>
        </w:rPr>
        <w:t>discorde</w:t>
      </w:r>
      <w:r w:rsidR="004E3386">
        <w:rPr>
          <w:i/>
        </w:rPr>
        <w:t xml:space="preserve">, </w:t>
      </w:r>
      <w:proofErr w:type="spellStart"/>
      <w:r w:rsidR="004E3386">
        <w:rPr>
          <w:i/>
        </w:rPr>
        <w:t>RussEurope</w:t>
      </w:r>
      <w:proofErr w:type="spellEnd"/>
      <w:r w:rsidR="004E3386">
        <w:t>). Certains blogs se consacrent à l’étude de faits historiques, politiques ou sociaux, sans qu’il ne s’agisse nécessairement d’actualité – mais on en trouve de manière significative, raison pour laquelle ils ont été retenus (</w:t>
      </w:r>
      <w:r w:rsidR="004E3386">
        <w:rPr>
          <w:i/>
        </w:rPr>
        <w:t xml:space="preserve">L’intelligence du </w:t>
      </w:r>
      <w:r w:rsidR="004E3386" w:rsidRPr="007D2DF5">
        <w:rPr>
          <w:i/>
        </w:rPr>
        <w:t>monde</w:t>
      </w:r>
      <w:r w:rsidR="004E3386">
        <w:rPr>
          <w:i/>
        </w:rPr>
        <w:t xml:space="preserve">, </w:t>
      </w:r>
      <w:proofErr w:type="spellStart"/>
      <w:r w:rsidR="004E3386">
        <w:rPr>
          <w:i/>
        </w:rPr>
        <w:t>Polit’Bistro</w:t>
      </w:r>
      <w:proofErr w:type="spellEnd"/>
      <w:r w:rsidR="004E3386">
        <w:t xml:space="preserve">). </w:t>
      </w:r>
      <w:r w:rsidR="0020455D">
        <w:t>L’analyse</w:t>
      </w:r>
      <w:r w:rsidR="005214D1" w:rsidRPr="007B6023">
        <w:t xml:space="preserve"> a été menée durant le mois de </w:t>
      </w:r>
      <w:r w:rsidR="00CE6544">
        <w:t>février</w:t>
      </w:r>
      <w:r w:rsidR="005214D1" w:rsidRPr="007B6023">
        <w:t xml:space="preserve"> 201</w:t>
      </w:r>
      <w:r w:rsidR="00B30132" w:rsidRPr="007B6023">
        <w:t>7</w:t>
      </w:r>
      <w:r w:rsidR="00AE31DD">
        <w:t xml:space="preserve">, </w:t>
      </w:r>
      <w:r w:rsidR="00C510C4">
        <w:t>à partir d’une observation</w:t>
      </w:r>
      <w:r w:rsidR="0040533F">
        <w:t xml:space="preserve"> des contenus </w:t>
      </w:r>
      <w:r w:rsidR="00A7736F">
        <w:t xml:space="preserve">récents </w:t>
      </w:r>
      <w:r w:rsidR="0040533F">
        <w:t xml:space="preserve">et de l’organisation </w:t>
      </w:r>
      <w:r w:rsidR="00584DE9">
        <w:t xml:space="preserve">générale </w:t>
      </w:r>
      <w:r w:rsidR="0040533F">
        <w:t>d</w:t>
      </w:r>
      <w:r w:rsidR="005C72F3">
        <w:t>es</w:t>
      </w:r>
      <w:r w:rsidR="00C510C4">
        <w:t xml:space="preserve"> carnet</w:t>
      </w:r>
      <w:r w:rsidR="005C72F3">
        <w:t>s</w:t>
      </w:r>
      <w:r w:rsidR="00C510C4">
        <w:t xml:space="preserve"> </w:t>
      </w:r>
      <w:r w:rsidR="00584DE9">
        <w:t>ainsi</w:t>
      </w:r>
      <w:r w:rsidR="001C0F51">
        <w:t xml:space="preserve"> que</w:t>
      </w:r>
      <w:r w:rsidR="00C510C4">
        <w:t xml:space="preserve">, </w:t>
      </w:r>
      <w:r w:rsidR="00BE4E71">
        <w:t>pour la constitution du tableau 2</w:t>
      </w:r>
      <w:r w:rsidR="00C510C4">
        <w:t>, d’</w:t>
      </w:r>
      <w:r w:rsidR="00AE31DD">
        <w:t>un échantillon des huit derniers billets</w:t>
      </w:r>
      <w:r w:rsidR="00702396">
        <w:t xml:space="preserve"> de chaque carnet</w:t>
      </w:r>
      <w:r w:rsidR="00AE31DD">
        <w:t xml:space="preserve"> publiés en date du 25 janvier 2017.</w:t>
      </w:r>
    </w:p>
    <w:p w14:paraId="3BECA56E" w14:textId="053B96A4" w:rsidR="00CD35DA" w:rsidRDefault="00CD35DA" w:rsidP="00CD35DA">
      <w:pPr>
        <w:jc w:val="both"/>
        <w:rPr>
          <w:u w:val="single"/>
        </w:rPr>
      </w:pPr>
      <w:r>
        <w:t>Le tableau qui suit ré</w:t>
      </w:r>
      <w:r w:rsidR="005214D1">
        <w:t>capitule les dix carnets du corpus</w:t>
      </w:r>
      <w:r>
        <w:t>, leur URL, les disciplines associées et les statistiques de consultation</w:t>
      </w:r>
      <w:r w:rsidR="00BB4FEB">
        <w:rPr>
          <w:rStyle w:val="Appelnotedebasdep"/>
          <w:b/>
        </w:rPr>
        <w:footnoteReference w:id="21"/>
      </w:r>
      <w:r w:rsidR="006B43DE">
        <w:t> :</w:t>
      </w:r>
    </w:p>
    <w:p w14:paraId="009339D7" w14:textId="5DBB1854" w:rsidR="00CD35DA" w:rsidRPr="00E21988" w:rsidRDefault="00CD35DA" w:rsidP="00CD35DA">
      <w:pPr>
        <w:spacing w:after="0" w:line="240" w:lineRule="auto"/>
        <w:jc w:val="both"/>
        <w:rPr>
          <w:u w:val="single"/>
        </w:rPr>
      </w:pPr>
      <w:r w:rsidRPr="00E21988">
        <w:rPr>
          <w:u w:val="single"/>
        </w:rPr>
        <w:lastRenderedPageBreak/>
        <w:t>Tableau 1</w:t>
      </w:r>
      <w:r w:rsidR="006B43DE">
        <w:rPr>
          <w:u w:val="single"/>
        </w:rPr>
        <w:t> </w:t>
      </w:r>
      <w:r w:rsidR="006B43DE" w:rsidRPr="00E21988">
        <w:rPr>
          <w:u w:val="single"/>
        </w:rPr>
        <w:t>:</w:t>
      </w:r>
      <w:r w:rsidRPr="00E21988">
        <w:rPr>
          <w:u w:val="single"/>
        </w:rPr>
        <w:t xml:space="preserve"> </w:t>
      </w:r>
      <w:r>
        <w:rPr>
          <w:u w:val="single"/>
        </w:rPr>
        <w:t>C</w:t>
      </w:r>
      <w:r w:rsidRPr="00E21988">
        <w:rPr>
          <w:u w:val="single"/>
        </w:rPr>
        <w:t>arnets de recherche</w:t>
      </w:r>
      <w:r>
        <w:rPr>
          <w:u w:val="single"/>
        </w:rPr>
        <w:t xml:space="preserve"> étudiés</w:t>
      </w:r>
      <w:r w:rsidRPr="00E21988">
        <w:rPr>
          <w:u w:val="single"/>
        </w:rPr>
        <w:t xml:space="preserve"> </w:t>
      </w:r>
    </w:p>
    <w:tbl>
      <w:tblPr>
        <w:tblStyle w:val="Grilledutableau"/>
        <w:tblpPr w:leftFromText="141" w:rightFromText="141" w:vertAnchor="text" w:horzAnchor="margin" w:tblpXSpec="center" w:tblpY="248"/>
        <w:tblW w:w="11052" w:type="dxa"/>
        <w:tblLayout w:type="fixed"/>
        <w:tblLook w:val="04A0" w:firstRow="1" w:lastRow="0" w:firstColumn="1" w:lastColumn="0" w:noHBand="0" w:noVBand="1"/>
      </w:tblPr>
      <w:tblGrid>
        <w:gridCol w:w="1984"/>
        <w:gridCol w:w="3969"/>
        <w:gridCol w:w="2122"/>
        <w:gridCol w:w="1134"/>
        <w:gridCol w:w="1134"/>
        <w:gridCol w:w="709"/>
      </w:tblGrid>
      <w:tr w:rsidR="00CD35DA" w:rsidRPr="00140493" w14:paraId="15DDAEC5" w14:textId="77777777" w:rsidTr="00AE2E88">
        <w:tc>
          <w:tcPr>
            <w:tcW w:w="1984" w:type="dxa"/>
            <w:shd w:val="clear" w:color="auto" w:fill="D9D9D9" w:themeFill="background1" w:themeFillShade="D9"/>
          </w:tcPr>
          <w:p w14:paraId="2B1EAE85" w14:textId="77777777" w:rsidR="00CD35DA" w:rsidRPr="00140493" w:rsidRDefault="00CD35DA" w:rsidP="00AE2E88">
            <w:pPr>
              <w:keepNext/>
              <w:jc w:val="both"/>
              <w:rPr>
                <w:b/>
              </w:rPr>
            </w:pPr>
            <w:r w:rsidRPr="00140493">
              <w:rPr>
                <w:b/>
              </w:rPr>
              <w:t>Nom du carnet</w:t>
            </w:r>
          </w:p>
        </w:tc>
        <w:tc>
          <w:tcPr>
            <w:tcW w:w="3969" w:type="dxa"/>
            <w:shd w:val="clear" w:color="auto" w:fill="D9D9D9" w:themeFill="background1" w:themeFillShade="D9"/>
          </w:tcPr>
          <w:p w14:paraId="5319EDBF" w14:textId="77777777" w:rsidR="00CD35DA" w:rsidRPr="00140493" w:rsidRDefault="00CD35DA" w:rsidP="00AE2E88">
            <w:pPr>
              <w:jc w:val="both"/>
              <w:rPr>
                <w:b/>
              </w:rPr>
            </w:pPr>
            <w:r>
              <w:rPr>
                <w:b/>
              </w:rPr>
              <w:t>URL</w:t>
            </w:r>
          </w:p>
        </w:tc>
        <w:tc>
          <w:tcPr>
            <w:tcW w:w="2122" w:type="dxa"/>
            <w:shd w:val="clear" w:color="auto" w:fill="D9D9D9" w:themeFill="background1" w:themeFillShade="D9"/>
          </w:tcPr>
          <w:p w14:paraId="24C29E07" w14:textId="179333EC" w:rsidR="00CD35DA" w:rsidRPr="00140493" w:rsidRDefault="00CD35DA" w:rsidP="00BB4FEB">
            <w:pPr>
              <w:jc w:val="both"/>
              <w:rPr>
                <w:b/>
              </w:rPr>
            </w:pPr>
            <w:r w:rsidRPr="00140493">
              <w:rPr>
                <w:b/>
              </w:rPr>
              <w:t>Disciplines</w:t>
            </w:r>
          </w:p>
        </w:tc>
        <w:tc>
          <w:tcPr>
            <w:tcW w:w="1134" w:type="dxa"/>
            <w:shd w:val="clear" w:color="auto" w:fill="D9D9D9" w:themeFill="background1" w:themeFillShade="D9"/>
          </w:tcPr>
          <w:p w14:paraId="59354869" w14:textId="7525DBAE" w:rsidR="00CD35DA" w:rsidRPr="00140493" w:rsidRDefault="00CD35DA" w:rsidP="00AE2E88">
            <w:pPr>
              <w:jc w:val="both"/>
              <w:rPr>
                <w:b/>
              </w:rPr>
            </w:pPr>
            <w:r>
              <w:rPr>
                <w:b/>
              </w:rPr>
              <w:t>Nombre de visiteurs uniques (2016</w:t>
            </w:r>
            <w:r w:rsidR="003713C1">
              <w:rPr>
                <w:b/>
              </w:rPr>
              <w:t>)</w:t>
            </w:r>
          </w:p>
        </w:tc>
        <w:tc>
          <w:tcPr>
            <w:tcW w:w="1134" w:type="dxa"/>
            <w:shd w:val="clear" w:color="auto" w:fill="D9D9D9" w:themeFill="background1" w:themeFillShade="D9"/>
          </w:tcPr>
          <w:p w14:paraId="6C27C420" w14:textId="77777777" w:rsidR="00CD35DA" w:rsidRDefault="00CD35DA" w:rsidP="00AE2E88">
            <w:pPr>
              <w:jc w:val="both"/>
              <w:rPr>
                <w:b/>
              </w:rPr>
            </w:pPr>
            <w:r>
              <w:rPr>
                <w:b/>
              </w:rPr>
              <w:t>Nombre de visites (2016)</w:t>
            </w:r>
          </w:p>
        </w:tc>
        <w:tc>
          <w:tcPr>
            <w:tcW w:w="709" w:type="dxa"/>
            <w:shd w:val="clear" w:color="auto" w:fill="D9D9D9" w:themeFill="background1" w:themeFillShade="D9"/>
          </w:tcPr>
          <w:p w14:paraId="4C9BF39D" w14:textId="3421F6F7" w:rsidR="00CD35DA" w:rsidRDefault="00CD35DA" w:rsidP="005C72F3">
            <w:pPr>
              <w:jc w:val="both"/>
              <w:rPr>
                <w:b/>
              </w:rPr>
            </w:pPr>
            <w:r>
              <w:rPr>
                <w:b/>
              </w:rPr>
              <w:t>Taux de fidélité</w:t>
            </w:r>
          </w:p>
        </w:tc>
      </w:tr>
      <w:tr w:rsidR="00CD35DA" w:rsidRPr="00140493" w14:paraId="5C32EEF2" w14:textId="77777777" w:rsidTr="00AE2E88">
        <w:trPr>
          <w:trHeight w:val="681"/>
        </w:trPr>
        <w:tc>
          <w:tcPr>
            <w:tcW w:w="1984" w:type="dxa"/>
            <w:hideMark/>
          </w:tcPr>
          <w:p w14:paraId="74868225" w14:textId="77777777" w:rsidR="00CD35DA" w:rsidRPr="00140493" w:rsidRDefault="00CD35DA" w:rsidP="00AE2E88">
            <w:pPr>
              <w:keepNext/>
              <w:rPr>
                <w:rFonts w:ascii="Calibri" w:eastAsia="Times New Roman" w:hAnsi="Calibri" w:cs="Calibri"/>
                <w:b/>
                <w:i/>
                <w:color w:val="000000"/>
                <w:lang w:eastAsia="fr-BE"/>
              </w:rPr>
            </w:pPr>
            <w:r w:rsidRPr="00140493">
              <w:rPr>
                <w:rFonts w:ascii="Calibri" w:eastAsia="Times New Roman" w:hAnsi="Calibri" w:cs="Calibri"/>
                <w:b/>
                <w:i/>
                <w:color w:val="000000"/>
                <w:lang w:eastAsia="fr-BE"/>
              </w:rPr>
              <w:t>Culture et politique arabes</w:t>
            </w:r>
            <w:r w:rsidRPr="00FB44D9">
              <w:rPr>
                <w:rFonts w:ascii="Calibri" w:eastAsia="Times New Roman" w:hAnsi="Calibri" w:cs="Calibri"/>
                <w:i/>
                <w:color w:val="000000"/>
                <w:lang w:eastAsia="fr-BE"/>
              </w:rPr>
              <w:t>.</w:t>
            </w:r>
            <w:r>
              <w:rPr>
                <w:rFonts w:ascii="Calibri" w:eastAsia="Times New Roman" w:hAnsi="Calibri" w:cs="Calibri"/>
                <w:b/>
                <w:i/>
                <w:color w:val="000000"/>
                <w:lang w:eastAsia="fr-BE"/>
              </w:rPr>
              <w:t xml:space="preserve"> </w:t>
            </w:r>
            <w:r w:rsidRPr="00FB44D9">
              <w:rPr>
                <w:rFonts w:ascii="Calibri" w:eastAsia="Times New Roman" w:hAnsi="Calibri" w:cs="Calibri"/>
                <w:i/>
                <w:color w:val="000000"/>
                <w:lang w:eastAsia="fr-BE"/>
              </w:rPr>
              <w:t xml:space="preserve">Chaque lundi, un peu de la </w:t>
            </w:r>
            <w:r>
              <w:rPr>
                <w:rFonts w:ascii="Calibri" w:eastAsia="Times New Roman" w:hAnsi="Calibri" w:cs="Calibri"/>
                <w:i/>
                <w:color w:val="000000"/>
                <w:lang w:eastAsia="fr-BE"/>
              </w:rPr>
              <w:t>culture arabe actuelle</w:t>
            </w:r>
            <w:r w:rsidRPr="00FB44D9">
              <w:rPr>
                <w:rFonts w:ascii="Calibri" w:eastAsia="Times New Roman" w:hAnsi="Calibri" w:cs="Calibri"/>
                <w:i/>
                <w:color w:val="000000"/>
                <w:lang w:eastAsia="fr-BE"/>
              </w:rPr>
              <w:t xml:space="preserve"> pour comprendre ce qu’elle nous dit sur l’</w:t>
            </w:r>
            <w:r>
              <w:rPr>
                <w:rFonts w:ascii="Calibri" w:eastAsia="Times New Roman" w:hAnsi="Calibri" w:cs="Calibri"/>
                <w:i/>
                <w:color w:val="000000"/>
                <w:lang w:eastAsia="fr-BE"/>
              </w:rPr>
              <w:t>actualité politique arabe</w:t>
            </w:r>
          </w:p>
        </w:tc>
        <w:tc>
          <w:tcPr>
            <w:tcW w:w="3969" w:type="dxa"/>
            <w:hideMark/>
          </w:tcPr>
          <w:p w14:paraId="673BC9B0" w14:textId="16B6E264" w:rsidR="00CD35DA" w:rsidRPr="00140493" w:rsidRDefault="00186B2A" w:rsidP="00AE2E88">
            <w:pPr>
              <w:rPr>
                <w:rFonts w:ascii="Calibri" w:eastAsia="Times New Roman" w:hAnsi="Calibri" w:cs="Calibri"/>
                <w:color w:val="0563C1"/>
                <w:u w:val="single"/>
                <w:lang w:eastAsia="fr-BE"/>
              </w:rPr>
            </w:pPr>
            <w:hyperlink r:id="rId9" w:history="1">
              <w:r w:rsidR="006B43DE">
                <w:rPr>
                  <w:rFonts w:ascii="Calibri" w:eastAsia="Times New Roman" w:hAnsi="Calibri" w:cs="Calibri"/>
                  <w:color w:val="0563C1"/>
                  <w:u w:val="single"/>
                  <w:lang w:eastAsia="fr-BE"/>
                </w:rPr>
                <w:t>http://</w:t>
              </w:r>
              <w:r w:rsidR="00CD35DA" w:rsidRPr="00140493">
                <w:rPr>
                  <w:rFonts w:ascii="Calibri" w:eastAsia="Times New Roman" w:hAnsi="Calibri" w:cs="Calibri"/>
                  <w:color w:val="0563C1"/>
                  <w:u w:val="single"/>
                  <w:lang w:eastAsia="fr-BE"/>
                </w:rPr>
                <w:t xml:space="preserve">cpa.hypotheses.org/ </w:t>
              </w:r>
            </w:hyperlink>
          </w:p>
        </w:tc>
        <w:tc>
          <w:tcPr>
            <w:tcW w:w="2122" w:type="dxa"/>
            <w:hideMark/>
          </w:tcPr>
          <w:p w14:paraId="7BB555B4" w14:textId="77777777" w:rsidR="00CD35DA" w:rsidRPr="00140493" w:rsidRDefault="00CD35DA" w:rsidP="00AE2E88">
            <w:pPr>
              <w:rPr>
                <w:rFonts w:ascii="Calibri" w:eastAsia="Times New Roman" w:hAnsi="Calibri" w:cs="Calibri"/>
                <w:color w:val="000000"/>
                <w:lang w:eastAsia="fr-BE"/>
              </w:rPr>
            </w:pPr>
            <w:r w:rsidRPr="00140493">
              <w:rPr>
                <w:rFonts w:ascii="Calibri" w:eastAsia="Times New Roman" w:hAnsi="Calibri" w:cs="Calibri"/>
                <w:color w:val="000000"/>
                <w:lang w:eastAsia="fr-BE"/>
              </w:rPr>
              <w:t>Sciences politiques, Études régionales</w:t>
            </w:r>
          </w:p>
        </w:tc>
        <w:tc>
          <w:tcPr>
            <w:tcW w:w="1134" w:type="dxa"/>
          </w:tcPr>
          <w:p w14:paraId="76A5C263" w14:textId="77777777" w:rsidR="00CD35DA" w:rsidRPr="00140493" w:rsidRDefault="00CD35DA" w:rsidP="00AE2E88">
            <w:pPr>
              <w:rPr>
                <w:rFonts w:ascii="Calibri" w:eastAsia="Times New Roman" w:hAnsi="Calibri" w:cs="Calibri"/>
                <w:color w:val="000000"/>
                <w:lang w:eastAsia="fr-BE"/>
              </w:rPr>
            </w:pPr>
            <w:r>
              <w:rPr>
                <w:rFonts w:ascii="Calibri" w:eastAsia="Times New Roman" w:hAnsi="Calibri" w:cs="Calibri"/>
                <w:color w:val="000000"/>
                <w:lang w:eastAsia="fr-BE"/>
              </w:rPr>
              <w:t>107 744</w:t>
            </w:r>
          </w:p>
        </w:tc>
        <w:tc>
          <w:tcPr>
            <w:tcW w:w="1134" w:type="dxa"/>
          </w:tcPr>
          <w:p w14:paraId="501F54AA" w14:textId="77777777" w:rsidR="00CD35DA" w:rsidRDefault="00CD35DA" w:rsidP="00AE2E88">
            <w:pPr>
              <w:rPr>
                <w:rFonts w:ascii="Calibri" w:eastAsia="Times New Roman" w:hAnsi="Calibri" w:cs="Calibri"/>
                <w:color w:val="000000"/>
                <w:lang w:eastAsia="fr-BE"/>
              </w:rPr>
            </w:pPr>
            <w:r>
              <w:rPr>
                <w:rFonts w:ascii="Calibri" w:eastAsia="Times New Roman" w:hAnsi="Calibri" w:cs="Calibri"/>
                <w:color w:val="000000"/>
                <w:lang w:eastAsia="fr-BE"/>
              </w:rPr>
              <w:t>299 </w:t>
            </w:r>
            <w:r w:rsidRPr="009049B5">
              <w:rPr>
                <w:rFonts w:ascii="Calibri" w:eastAsia="Times New Roman" w:hAnsi="Calibri" w:cs="Calibri"/>
                <w:color w:val="000000"/>
                <w:lang w:eastAsia="fr-BE"/>
              </w:rPr>
              <w:t>511</w:t>
            </w:r>
          </w:p>
        </w:tc>
        <w:tc>
          <w:tcPr>
            <w:tcW w:w="709" w:type="dxa"/>
          </w:tcPr>
          <w:p w14:paraId="5CFFCB9B" w14:textId="77777777" w:rsidR="00CD35DA" w:rsidRDefault="00CD35DA" w:rsidP="00AE2E88">
            <w:pPr>
              <w:rPr>
                <w:rFonts w:ascii="Calibri" w:eastAsia="Times New Roman" w:hAnsi="Calibri" w:cs="Calibri"/>
                <w:color w:val="000000"/>
                <w:lang w:eastAsia="fr-BE"/>
              </w:rPr>
            </w:pPr>
            <w:r>
              <w:rPr>
                <w:rFonts w:ascii="Calibri" w:eastAsia="Times New Roman" w:hAnsi="Calibri" w:cs="Calibri"/>
                <w:color w:val="000000"/>
                <w:lang w:eastAsia="fr-BE"/>
              </w:rPr>
              <w:t>2,77</w:t>
            </w:r>
          </w:p>
        </w:tc>
      </w:tr>
      <w:tr w:rsidR="00CD35DA" w:rsidRPr="00140493" w14:paraId="668B87A5" w14:textId="77777777" w:rsidTr="00AE2E88">
        <w:trPr>
          <w:trHeight w:val="718"/>
        </w:trPr>
        <w:tc>
          <w:tcPr>
            <w:tcW w:w="1984" w:type="dxa"/>
            <w:shd w:val="clear" w:color="auto" w:fill="FFFFFF" w:themeFill="background1"/>
            <w:hideMark/>
          </w:tcPr>
          <w:p w14:paraId="29059A80" w14:textId="77777777" w:rsidR="00CD35DA" w:rsidRPr="00140493" w:rsidRDefault="00CD35DA" w:rsidP="00AE2E88">
            <w:pPr>
              <w:rPr>
                <w:rFonts w:ascii="Calibri" w:eastAsia="Times New Roman" w:hAnsi="Calibri" w:cs="Calibri"/>
                <w:b/>
                <w:i/>
                <w:color w:val="000000"/>
                <w:lang w:eastAsia="fr-BE"/>
              </w:rPr>
            </w:pPr>
            <w:r w:rsidRPr="00140493">
              <w:rPr>
                <w:rFonts w:ascii="Calibri" w:eastAsia="Times New Roman" w:hAnsi="Calibri" w:cs="Calibri"/>
                <w:b/>
                <w:i/>
                <w:color w:val="000000"/>
                <w:lang w:eastAsia="fr-BE"/>
              </w:rPr>
              <w:t>Japon contemporain</w:t>
            </w:r>
          </w:p>
        </w:tc>
        <w:tc>
          <w:tcPr>
            <w:tcW w:w="3969" w:type="dxa"/>
            <w:shd w:val="clear" w:color="auto" w:fill="FFFFFF" w:themeFill="background1"/>
            <w:hideMark/>
          </w:tcPr>
          <w:p w14:paraId="5704D925" w14:textId="45B46E03" w:rsidR="00CD35DA" w:rsidRPr="00140493" w:rsidRDefault="00186B2A" w:rsidP="00AE2E88">
            <w:pPr>
              <w:rPr>
                <w:rFonts w:ascii="Calibri" w:eastAsia="Times New Roman" w:hAnsi="Calibri" w:cs="Calibri"/>
                <w:color w:val="0563C1"/>
                <w:u w:val="single"/>
                <w:lang w:eastAsia="fr-BE"/>
              </w:rPr>
            </w:pPr>
            <w:hyperlink r:id="rId10" w:history="1">
              <w:r w:rsidR="006B43DE">
                <w:rPr>
                  <w:rFonts w:ascii="Calibri" w:eastAsia="Times New Roman" w:hAnsi="Calibri" w:cs="Calibri"/>
                  <w:color w:val="0563C1"/>
                  <w:u w:val="single"/>
                  <w:lang w:eastAsia="fr-BE"/>
                </w:rPr>
                <w:t>https://</w:t>
              </w:r>
              <w:r w:rsidR="00CD35DA" w:rsidRPr="00140493">
                <w:rPr>
                  <w:rFonts w:ascii="Calibri" w:eastAsia="Times New Roman" w:hAnsi="Calibri" w:cs="Calibri"/>
                  <w:color w:val="0563C1"/>
                  <w:u w:val="single"/>
                  <w:lang w:eastAsia="fr-BE"/>
                </w:rPr>
                <w:t xml:space="preserve">jpcontempo.hypotheses.org/ </w:t>
              </w:r>
            </w:hyperlink>
          </w:p>
        </w:tc>
        <w:tc>
          <w:tcPr>
            <w:tcW w:w="2122" w:type="dxa"/>
            <w:shd w:val="clear" w:color="auto" w:fill="FFFFFF" w:themeFill="background1"/>
            <w:hideMark/>
          </w:tcPr>
          <w:p w14:paraId="700B4691" w14:textId="77777777" w:rsidR="00CD35DA" w:rsidRPr="00140493" w:rsidRDefault="00CD35DA" w:rsidP="00AE2E88">
            <w:pPr>
              <w:rPr>
                <w:rFonts w:ascii="Calibri" w:eastAsia="Times New Roman" w:hAnsi="Calibri" w:cs="Calibri"/>
                <w:color w:val="000000"/>
                <w:lang w:eastAsia="fr-BE"/>
              </w:rPr>
            </w:pPr>
            <w:r w:rsidRPr="00140493">
              <w:rPr>
                <w:rFonts w:ascii="Calibri" w:eastAsia="Times New Roman" w:hAnsi="Calibri" w:cs="Calibri"/>
                <w:color w:val="000000"/>
                <w:lang w:eastAsia="fr-BE"/>
              </w:rPr>
              <w:t>Études asiatiques, Sociologie</w:t>
            </w:r>
          </w:p>
        </w:tc>
        <w:tc>
          <w:tcPr>
            <w:tcW w:w="1134" w:type="dxa"/>
            <w:shd w:val="clear" w:color="auto" w:fill="FFFFFF" w:themeFill="background1"/>
          </w:tcPr>
          <w:p w14:paraId="7B9F189E" w14:textId="77777777" w:rsidR="00CD35DA" w:rsidRPr="00140493" w:rsidRDefault="00CD35DA" w:rsidP="00AE2E88">
            <w:pPr>
              <w:rPr>
                <w:rFonts w:ascii="Calibri" w:eastAsia="Times New Roman" w:hAnsi="Calibri" w:cs="Calibri"/>
                <w:color w:val="000000"/>
                <w:lang w:eastAsia="fr-BE"/>
              </w:rPr>
            </w:pPr>
            <w:r>
              <w:rPr>
                <w:rFonts w:ascii="Calibri" w:eastAsia="Times New Roman" w:hAnsi="Calibri" w:cs="Calibri"/>
                <w:color w:val="000000"/>
                <w:lang w:eastAsia="fr-BE"/>
              </w:rPr>
              <w:t>1 404</w:t>
            </w:r>
          </w:p>
        </w:tc>
        <w:tc>
          <w:tcPr>
            <w:tcW w:w="1134" w:type="dxa"/>
            <w:shd w:val="clear" w:color="auto" w:fill="FFFFFF" w:themeFill="background1"/>
          </w:tcPr>
          <w:p w14:paraId="21804DA0" w14:textId="77777777" w:rsidR="00CD35DA" w:rsidRDefault="00CD35DA" w:rsidP="00AE2E88">
            <w:pPr>
              <w:rPr>
                <w:rFonts w:ascii="Calibri" w:eastAsia="Times New Roman" w:hAnsi="Calibri" w:cs="Calibri"/>
                <w:color w:val="000000"/>
                <w:lang w:eastAsia="fr-BE"/>
              </w:rPr>
            </w:pPr>
            <w:r>
              <w:rPr>
                <w:rFonts w:ascii="Calibri" w:eastAsia="Times New Roman" w:hAnsi="Calibri" w:cs="Calibri"/>
                <w:color w:val="000000"/>
                <w:lang w:eastAsia="fr-BE"/>
              </w:rPr>
              <w:t>2 </w:t>
            </w:r>
            <w:r w:rsidRPr="00D03218">
              <w:rPr>
                <w:rFonts w:ascii="Calibri" w:eastAsia="Times New Roman" w:hAnsi="Calibri" w:cs="Calibri"/>
                <w:color w:val="000000"/>
                <w:lang w:eastAsia="fr-BE"/>
              </w:rPr>
              <w:t>524</w:t>
            </w:r>
          </w:p>
        </w:tc>
        <w:tc>
          <w:tcPr>
            <w:tcW w:w="709" w:type="dxa"/>
            <w:shd w:val="clear" w:color="auto" w:fill="FFFFFF" w:themeFill="background1"/>
          </w:tcPr>
          <w:p w14:paraId="522EC013" w14:textId="77777777" w:rsidR="00CD35DA" w:rsidRDefault="00CD35DA" w:rsidP="00AE2E88">
            <w:pPr>
              <w:rPr>
                <w:rFonts w:ascii="Calibri" w:eastAsia="Times New Roman" w:hAnsi="Calibri" w:cs="Calibri"/>
                <w:color w:val="000000"/>
                <w:lang w:eastAsia="fr-BE"/>
              </w:rPr>
            </w:pPr>
            <w:r>
              <w:rPr>
                <w:rFonts w:ascii="Calibri" w:eastAsia="Times New Roman" w:hAnsi="Calibri" w:cs="Calibri"/>
                <w:color w:val="000000"/>
                <w:lang w:eastAsia="fr-BE"/>
              </w:rPr>
              <w:t>1,79</w:t>
            </w:r>
          </w:p>
        </w:tc>
      </w:tr>
      <w:tr w:rsidR="00CD35DA" w:rsidRPr="00140493" w14:paraId="66DEAE89" w14:textId="77777777" w:rsidTr="00AE2E88">
        <w:trPr>
          <w:trHeight w:val="1687"/>
        </w:trPr>
        <w:tc>
          <w:tcPr>
            <w:tcW w:w="1984" w:type="dxa"/>
            <w:hideMark/>
          </w:tcPr>
          <w:p w14:paraId="11DFB09E" w14:textId="7D89C7C8" w:rsidR="00CD35DA" w:rsidRPr="00140493" w:rsidRDefault="00CD35DA" w:rsidP="00AE2E88">
            <w:pPr>
              <w:rPr>
                <w:rFonts w:ascii="Calibri" w:eastAsia="Times New Roman" w:hAnsi="Calibri" w:cs="Calibri"/>
                <w:b/>
                <w:i/>
                <w:color w:val="000000"/>
                <w:lang w:eastAsia="fr-BE"/>
              </w:rPr>
            </w:pPr>
            <w:r>
              <w:rPr>
                <w:rFonts w:ascii="Calibri" w:eastAsia="Times New Roman" w:hAnsi="Calibri" w:cs="Calibri"/>
                <w:b/>
                <w:i/>
                <w:color w:val="000000"/>
                <w:lang w:eastAsia="fr-BE"/>
              </w:rPr>
              <w:t xml:space="preserve">L’atome de </w:t>
            </w:r>
            <w:r w:rsidRPr="00140493">
              <w:rPr>
                <w:rFonts w:ascii="Calibri" w:eastAsia="Times New Roman" w:hAnsi="Calibri" w:cs="Calibri"/>
                <w:b/>
                <w:i/>
                <w:color w:val="000000"/>
                <w:lang w:eastAsia="fr-BE"/>
              </w:rPr>
              <w:t>discorde</w:t>
            </w:r>
            <w:r>
              <w:rPr>
                <w:rFonts w:ascii="Calibri" w:eastAsia="Times New Roman" w:hAnsi="Calibri" w:cs="Calibri"/>
                <w:b/>
                <w:i/>
                <w:color w:val="000000"/>
                <w:lang w:eastAsia="fr-BE"/>
              </w:rPr>
              <w:t>.</w:t>
            </w:r>
            <w:r w:rsidRPr="00140493">
              <w:rPr>
                <w:rFonts w:ascii="Calibri" w:eastAsia="Times New Roman" w:hAnsi="Calibri" w:cs="Calibri"/>
                <w:b/>
                <w:i/>
                <w:color w:val="000000"/>
                <w:lang w:eastAsia="fr-BE"/>
              </w:rPr>
              <w:t xml:space="preserve"> </w:t>
            </w:r>
            <w:r w:rsidRPr="00140493">
              <w:rPr>
                <w:rFonts w:ascii="Calibri" w:eastAsia="Times New Roman" w:hAnsi="Calibri" w:cs="Calibri"/>
                <w:i/>
                <w:color w:val="000000"/>
                <w:lang w:eastAsia="fr-BE"/>
              </w:rPr>
              <w:t>Une étude géopolitique des débats su</w:t>
            </w:r>
            <w:r>
              <w:rPr>
                <w:rFonts w:ascii="Calibri" w:eastAsia="Times New Roman" w:hAnsi="Calibri" w:cs="Calibri"/>
                <w:i/>
                <w:color w:val="000000"/>
                <w:lang w:eastAsia="fr-BE"/>
              </w:rPr>
              <w:t>r l</w:t>
            </w:r>
            <w:r w:rsidR="006B43DE">
              <w:rPr>
                <w:rFonts w:ascii="Calibri" w:eastAsia="Times New Roman" w:hAnsi="Calibri" w:cs="Calibri"/>
                <w:i/>
                <w:color w:val="000000"/>
                <w:lang w:eastAsia="fr-BE"/>
              </w:rPr>
              <w:t>’</w:t>
            </w:r>
            <w:r>
              <w:rPr>
                <w:rFonts w:ascii="Calibri" w:eastAsia="Times New Roman" w:hAnsi="Calibri" w:cs="Calibri"/>
                <w:i/>
                <w:color w:val="000000"/>
                <w:lang w:eastAsia="fr-BE"/>
              </w:rPr>
              <w:t>énergie nucléaire en Europe</w:t>
            </w:r>
          </w:p>
        </w:tc>
        <w:tc>
          <w:tcPr>
            <w:tcW w:w="3969" w:type="dxa"/>
            <w:hideMark/>
          </w:tcPr>
          <w:p w14:paraId="4D87518C" w14:textId="7175EE3E" w:rsidR="00CD35DA" w:rsidRPr="00140493" w:rsidRDefault="00186B2A" w:rsidP="00AE2E88">
            <w:pPr>
              <w:rPr>
                <w:rFonts w:ascii="Calibri" w:eastAsia="Times New Roman" w:hAnsi="Calibri" w:cs="Calibri"/>
                <w:color w:val="0563C1"/>
                <w:u w:val="single"/>
                <w:lang w:eastAsia="fr-BE"/>
              </w:rPr>
            </w:pPr>
            <w:hyperlink r:id="rId11" w:history="1">
              <w:r w:rsidR="006B43DE">
                <w:rPr>
                  <w:rFonts w:ascii="Calibri" w:eastAsia="Times New Roman" w:hAnsi="Calibri" w:cs="Calibri"/>
                  <w:color w:val="0563C1"/>
                  <w:u w:val="single"/>
                  <w:lang w:eastAsia="fr-BE"/>
                </w:rPr>
                <w:t>https://</w:t>
              </w:r>
              <w:r w:rsidR="00CD35DA" w:rsidRPr="00140493">
                <w:rPr>
                  <w:rFonts w:ascii="Calibri" w:eastAsia="Times New Roman" w:hAnsi="Calibri" w:cs="Calibri"/>
                  <w:color w:val="0563C1"/>
                  <w:u w:val="single"/>
                  <w:lang w:eastAsia="fr-BE"/>
                </w:rPr>
                <w:t xml:space="preserve">geoposvea.hypotheses.org/ </w:t>
              </w:r>
            </w:hyperlink>
          </w:p>
        </w:tc>
        <w:tc>
          <w:tcPr>
            <w:tcW w:w="2122" w:type="dxa"/>
            <w:hideMark/>
          </w:tcPr>
          <w:p w14:paraId="5B5051E2" w14:textId="77777777" w:rsidR="00CD35DA" w:rsidRPr="00140493" w:rsidRDefault="00CD35DA" w:rsidP="00AE2E88">
            <w:pPr>
              <w:rPr>
                <w:rFonts w:ascii="Calibri" w:eastAsia="Times New Roman" w:hAnsi="Calibri" w:cs="Calibri"/>
                <w:color w:val="000000"/>
                <w:lang w:eastAsia="fr-BE"/>
              </w:rPr>
            </w:pPr>
            <w:r w:rsidRPr="00140493">
              <w:rPr>
                <w:rFonts w:ascii="Calibri" w:eastAsia="Times New Roman" w:hAnsi="Calibri" w:cs="Calibri"/>
                <w:color w:val="000000"/>
                <w:lang w:eastAsia="fr-BE"/>
              </w:rPr>
              <w:t>Sciences politiques, administration publique et développement, Relations internationales</w:t>
            </w:r>
          </w:p>
        </w:tc>
        <w:tc>
          <w:tcPr>
            <w:tcW w:w="1134" w:type="dxa"/>
          </w:tcPr>
          <w:p w14:paraId="336225C4" w14:textId="77777777" w:rsidR="00CD35DA" w:rsidRPr="00140493" w:rsidRDefault="00CD35DA" w:rsidP="00AE2E88">
            <w:pPr>
              <w:rPr>
                <w:rFonts w:ascii="Calibri" w:eastAsia="Times New Roman" w:hAnsi="Calibri" w:cs="Calibri"/>
                <w:color w:val="000000"/>
                <w:lang w:eastAsia="fr-BE"/>
              </w:rPr>
            </w:pPr>
            <w:r>
              <w:rPr>
                <w:rFonts w:ascii="Calibri" w:eastAsia="Times New Roman" w:hAnsi="Calibri" w:cs="Calibri"/>
                <w:color w:val="000000"/>
                <w:lang w:eastAsia="fr-BE"/>
              </w:rPr>
              <w:t>10 999</w:t>
            </w:r>
          </w:p>
        </w:tc>
        <w:tc>
          <w:tcPr>
            <w:tcW w:w="1134" w:type="dxa"/>
          </w:tcPr>
          <w:p w14:paraId="574FA1CD" w14:textId="77777777" w:rsidR="00CD35DA" w:rsidRDefault="00CD35DA" w:rsidP="00AE2E88">
            <w:pPr>
              <w:rPr>
                <w:rFonts w:ascii="Calibri" w:eastAsia="Times New Roman" w:hAnsi="Calibri" w:cs="Calibri"/>
                <w:color w:val="000000"/>
                <w:lang w:eastAsia="fr-BE"/>
              </w:rPr>
            </w:pPr>
            <w:r w:rsidRPr="00D03218">
              <w:rPr>
                <w:rFonts w:ascii="Calibri" w:eastAsia="Times New Roman" w:hAnsi="Calibri" w:cs="Calibri"/>
                <w:color w:val="000000"/>
                <w:lang w:eastAsia="fr-BE"/>
              </w:rPr>
              <w:t>16</w:t>
            </w:r>
            <w:r>
              <w:rPr>
                <w:rFonts w:ascii="Calibri" w:eastAsia="Times New Roman" w:hAnsi="Calibri" w:cs="Calibri"/>
                <w:color w:val="000000"/>
                <w:lang w:eastAsia="fr-BE"/>
              </w:rPr>
              <w:t> </w:t>
            </w:r>
            <w:r w:rsidRPr="00D03218">
              <w:rPr>
                <w:rFonts w:ascii="Calibri" w:eastAsia="Times New Roman" w:hAnsi="Calibri" w:cs="Calibri"/>
                <w:color w:val="000000"/>
                <w:lang w:eastAsia="fr-BE"/>
              </w:rPr>
              <w:t>656</w:t>
            </w:r>
          </w:p>
        </w:tc>
        <w:tc>
          <w:tcPr>
            <w:tcW w:w="709" w:type="dxa"/>
          </w:tcPr>
          <w:p w14:paraId="24FF07E5" w14:textId="77777777" w:rsidR="00CD35DA" w:rsidRDefault="00CD35DA" w:rsidP="00AE2E88">
            <w:pPr>
              <w:rPr>
                <w:rFonts w:ascii="Calibri" w:eastAsia="Times New Roman" w:hAnsi="Calibri" w:cs="Calibri"/>
                <w:color w:val="000000"/>
                <w:lang w:eastAsia="fr-BE"/>
              </w:rPr>
            </w:pPr>
            <w:r>
              <w:rPr>
                <w:rFonts w:ascii="Calibri" w:eastAsia="Times New Roman" w:hAnsi="Calibri" w:cs="Calibri"/>
                <w:color w:val="000000"/>
                <w:lang w:eastAsia="fr-BE"/>
              </w:rPr>
              <w:t>1,51</w:t>
            </w:r>
          </w:p>
        </w:tc>
      </w:tr>
      <w:tr w:rsidR="00CD35DA" w:rsidRPr="00140493" w14:paraId="497C8BE0" w14:textId="77777777" w:rsidTr="00AE2E88">
        <w:trPr>
          <w:trHeight w:val="549"/>
        </w:trPr>
        <w:tc>
          <w:tcPr>
            <w:tcW w:w="1984" w:type="dxa"/>
            <w:hideMark/>
          </w:tcPr>
          <w:p w14:paraId="07DAAF84" w14:textId="196226BF" w:rsidR="00CD35DA" w:rsidRPr="00A9116A" w:rsidRDefault="00CD35DA" w:rsidP="00AE2E88">
            <w:pPr>
              <w:rPr>
                <w:rFonts w:ascii="Calibri" w:eastAsia="Times New Roman" w:hAnsi="Calibri" w:cs="Calibri"/>
                <w:i/>
                <w:color w:val="000000"/>
                <w:lang w:eastAsia="fr-BE"/>
              </w:rPr>
            </w:pPr>
            <w:r w:rsidRPr="00140493">
              <w:rPr>
                <w:rFonts w:ascii="Calibri" w:eastAsia="Times New Roman" w:hAnsi="Calibri" w:cs="Calibri"/>
                <w:b/>
                <w:i/>
                <w:color w:val="000000"/>
                <w:lang w:eastAsia="fr-BE"/>
              </w:rPr>
              <w:t>L’intelligence du monde</w:t>
            </w:r>
            <w:r>
              <w:rPr>
                <w:rFonts w:ascii="Calibri" w:eastAsia="Times New Roman" w:hAnsi="Calibri" w:cs="Calibri"/>
                <w:i/>
                <w:color w:val="000000"/>
                <w:lang w:eastAsia="fr-BE"/>
              </w:rPr>
              <w:t xml:space="preserve">. </w:t>
            </w:r>
            <w:r w:rsidRPr="00A9116A">
              <w:rPr>
                <w:rFonts w:ascii="Calibri" w:eastAsia="Times New Roman" w:hAnsi="Calibri" w:cs="Calibri"/>
                <w:i/>
                <w:color w:val="000000"/>
                <w:lang w:eastAsia="fr-BE"/>
              </w:rPr>
              <w:t>Regards de la recherche française sur l</w:t>
            </w:r>
            <w:r w:rsidR="006B43DE">
              <w:rPr>
                <w:rFonts w:ascii="Calibri" w:eastAsia="Times New Roman" w:hAnsi="Calibri" w:cs="Calibri"/>
                <w:i/>
                <w:color w:val="000000"/>
                <w:lang w:eastAsia="fr-BE"/>
              </w:rPr>
              <w:t>’</w:t>
            </w:r>
            <w:r w:rsidRPr="00A9116A">
              <w:rPr>
                <w:rFonts w:ascii="Calibri" w:eastAsia="Times New Roman" w:hAnsi="Calibri" w:cs="Calibri"/>
                <w:i/>
                <w:color w:val="000000"/>
                <w:lang w:eastAsia="fr-BE"/>
              </w:rPr>
              <w:t>homme et la société</w:t>
            </w:r>
          </w:p>
          <w:p w14:paraId="6B8C0416" w14:textId="77777777" w:rsidR="00CD35DA" w:rsidRPr="00140493" w:rsidRDefault="00CD35DA" w:rsidP="00AE2E88">
            <w:pPr>
              <w:rPr>
                <w:rFonts w:ascii="Calibri" w:eastAsia="Times New Roman" w:hAnsi="Calibri" w:cs="Calibri"/>
                <w:i/>
                <w:color w:val="000000"/>
                <w:lang w:eastAsia="fr-BE"/>
              </w:rPr>
            </w:pPr>
          </w:p>
        </w:tc>
        <w:tc>
          <w:tcPr>
            <w:tcW w:w="3969" w:type="dxa"/>
            <w:hideMark/>
          </w:tcPr>
          <w:p w14:paraId="7585B57A" w14:textId="76669586" w:rsidR="00CD35DA" w:rsidRPr="00140493" w:rsidRDefault="00186B2A" w:rsidP="00AE2E88">
            <w:pPr>
              <w:rPr>
                <w:rFonts w:ascii="Calibri" w:eastAsia="Times New Roman" w:hAnsi="Calibri" w:cs="Calibri"/>
                <w:color w:val="0563C1"/>
                <w:u w:val="single"/>
                <w:lang w:eastAsia="fr-BE"/>
              </w:rPr>
            </w:pPr>
            <w:hyperlink r:id="rId12" w:history="1">
              <w:r w:rsidR="006B43DE">
                <w:rPr>
                  <w:rFonts w:ascii="Calibri" w:eastAsia="Times New Roman" w:hAnsi="Calibri" w:cs="Calibri"/>
                  <w:color w:val="0563C1"/>
                  <w:u w:val="single"/>
                  <w:lang w:eastAsia="fr-BE"/>
                </w:rPr>
                <w:t>https://</w:t>
              </w:r>
              <w:r w:rsidR="00CD35DA" w:rsidRPr="00140493">
                <w:rPr>
                  <w:rFonts w:ascii="Calibri" w:eastAsia="Times New Roman" w:hAnsi="Calibri" w:cs="Calibri"/>
                  <w:color w:val="0563C1"/>
                  <w:u w:val="single"/>
                  <w:lang w:eastAsia="fr-BE"/>
                </w:rPr>
                <w:t>idm.hypotheses.org/</w:t>
              </w:r>
            </w:hyperlink>
          </w:p>
        </w:tc>
        <w:tc>
          <w:tcPr>
            <w:tcW w:w="2122" w:type="dxa"/>
            <w:hideMark/>
          </w:tcPr>
          <w:p w14:paraId="25900255" w14:textId="3CA6B9FE" w:rsidR="00CD35DA" w:rsidRPr="00140493" w:rsidRDefault="00CD35DA" w:rsidP="00AE2E88">
            <w:pPr>
              <w:rPr>
                <w:lang w:eastAsia="fr-BE"/>
              </w:rPr>
            </w:pPr>
            <w:r>
              <w:rPr>
                <w:lang w:eastAsia="fr-BE"/>
              </w:rPr>
              <w:t>[humanités interdisciplinaires</w:t>
            </w:r>
            <w:r w:rsidR="006B43DE">
              <w:rPr>
                <w:lang w:eastAsia="fr-BE"/>
              </w:rPr>
              <w:t> ;</w:t>
            </w:r>
            <w:r>
              <w:rPr>
                <w:lang w:eastAsia="fr-BE"/>
              </w:rPr>
              <w:t xml:space="preserve"> sciences sociales interdisciplinaires]</w:t>
            </w:r>
          </w:p>
        </w:tc>
        <w:tc>
          <w:tcPr>
            <w:tcW w:w="1134" w:type="dxa"/>
          </w:tcPr>
          <w:p w14:paraId="20B637D8" w14:textId="77777777" w:rsidR="00CD35DA" w:rsidRDefault="00CD35DA" w:rsidP="00AE2E88">
            <w:pPr>
              <w:rPr>
                <w:lang w:eastAsia="fr-BE"/>
              </w:rPr>
            </w:pPr>
            <w:r>
              <w:rPr>
                <w:lang w:eastAsia="fr-BE"/>
              </w:rPr>
              <w:t>5</w:t>
            </w:r>
            <w:r>
              <w:rPr>
                <w:rFonts w:ascii="Calibri" w:eastAsia="Times New Roman" w:hAnsi="Calibri" w:cs="Calibri"/>
                <w:color w:val="000000"/>
                <w:lang w:eastAsia="fr-BE"/>
              </w:rPr>
              <w:t> </w:t>
            </w:r>
            <w:r>
              <w:rPr>
                <w:lang w:eastAsia="fr-BE"/>
              </w:rPr>
              <w:t>909</w:t>
            </w:r>
          </w:p>
        </w:tc>
        <w:tc>
          <w:tcPr>
            <w:tcW w:w="1134" w:type="dxa"/>
          </w:tcPr>
          <w:p w14:paraId="09891F75" w14:textId="77777777" w:rsidR="00CD35DA" w:rsidRDefault="00CD35DA" w:rsidP="00AE2E88">
            <w:pPr>
              <w:rPr>
                <w:lang w:eastAsia="fr-BE"/>
              </w:rPr>
            </w:pPr>
            <w:r>
              <w:rPr>
                <w:lang w:eastAsia="fr-BE"/>
              </w:rPr>
              <w:t>13</w:t>
            </w:r>
            <w:r>
              <w:rPr>
                <w:rFonts w:ascii="Calibri" w:eastAsia="Times New Roman" w:hAnsi="Calibri" w:cs="Calibri"/>
                <w:color w:val="000000"/>
                <w:lang w:eastAsia="fr-BE"/>
              </w:rPr>
              <w:t> </w:t>
            </w:r>
            <w:r w:rsidRPr="00D03218">
              <w:rPr>
                <w:lang w:eastAsia="fr-BE"/>
              </w:rPr>
              <w:t>089</w:t>
            </w:r>
          </w:p>
        </w:tc>
        <w:tc>
          <w:tcPr>
            <w:tcW w:w="709" w:type="dxa"/>
          </w:tcPr>
          <w:p w14:paraId="6C8871A4" w14:textId="77777777" w:rsidR="00CD35DA" w:rsidRDefault="00CD35DA" w:rsidP="00AE2E88">
            <w:pPr>
              <w:rPr>
                <w:lang w:eastAsia="fr-BE"/>
              </w:rPr>
            </w:pPr>
            <w:r>
              <w:rPr>
                <w:lang w:eastAsia="fr-BE"/>
              </w:rPr>
              <w:t>2,21</w:t>
            </w:r>
          </w:p>
        </w:tc>
      </w:tr>
      <w:tr w:rsidR="00CD35DA" w:rsidRPr="00140493" w14:paraId="74B1A043" w14:textId="77777777" w:rsidTr="00AE2E88">
        <w:trPr>
          <w:trHeight w:val="1175"/>
        </w:trPr>
        <w:tc>
          <w:tcPr>
            <w:tcW w:w="1984" w:type="dxa"/>
            <w:hideMark/>
          </w:tcPr>
          <w:p w14:paraId="4A0EEE69" w14:textId="77777777" w:rsidR="00CD35DA" w:rsidRPr="00140493" w:rsidRDefault="00CD35DA" w:rsidP="00AE2E88">
            <w:pPr>
              <w:rPr>
                <w:rFonts w:ascii="Calibri" w:eastAsia="Times New Roman" w:hAnsi="Calibri" w:cs="Calibri"/>
                <w:i/>
                <w:color w:val="000000"/>
                <w:lang w:eastAsia="fr-BE"/>
              </w:rPr>
            </w:pPr>
            <w:proofErr w:type="spellStart"/>
            <w:r w:rsidRPr="00140493">
              <w:rPr>
                <w:rFonts w:ascii="Calibri" w:eastAsia="Times New Roman" w:hAnsi="Calibri" w:cs="Calibri"/>
                <w:b/>
                <w:i/>
                <w:color w:val="000000"/>
                <w:lang w:eastAsia="fr-BE"/>
              </w:rPr>
              <w:t>LAMenparle</w:t>
            </w:r>
            <w:proofErr w:type="spellEnd"/>
            <w:r>
              <w:rPr>
                <w:rFonts w:ascii="Calibri" w:eastAsia="Times New Roman" w:hAnsi="Calibri" w:cs="Calibri"/>
                <w:i/>
                <w:color w:val="000000"/>
                <w:lang w:eastAsia="fr-BE"/>
              </w:rPr>
              <w:t>. L</w:t>
            </w:r>
            <w:r w:rsidRPr="00140493">
              <w:rPr>
                <w:rFonts w:ascii="Calibri" w:eastAsia="Times New Roman" w:hAnsi="Calibri" w:cs="Calibri"/>
                <w:i/>
                <w:color w:val="000000"/>
                <w:lang w:eastAsia="fr-BE"/>
              </w:rPr>
              <w:t>’actualité des Afriques vues par LAM</w:t>
            </w:r>
          </w:p>
        </w:tc>
        <w:tc>
          <w:tcPr>
            <w:tcW w:w="3969" w:type="dxa"/>
            <w:hideMark/>
          </w:tcPr>
          <w:p w14:paraId="39DD0A69" w14:textId="3E240080" w:rsidR="00CD35DA" w:rsidRPr="00140493" w:rsidRDefault="00186B2A" w:rsidP="00AE2E88">
            <w:pPr>
              <w:rPr>
                <w:rFonts w:ascii="Calibri" w:eastAsia="Times New Roman" w:hAnsi="Calibri" w:cs="Calibri"/>
                <w:color w:val="0563C1"/>
                <w:u w:val="single"/>
                <w:lang w:eastAsia="fr-BE"/>
              </w:rPr>
            </w:pPr>
            <w:hyperlink r:id="rId13" w:history="1">
              <w:r w:rsidR="006B43DE">
                <w:rPr>
                  <w:rFonts w:ascii="Calibri" w:eastAsia="Times New Roman" w:hAnsi="Calibri" w:cs="Calibri"/>
                  <w:color w:val="0563C1"/>
                  <w:u w:val="single"/>
                  <w:lang w:eastAsia="fr-BE"/>
                </w:rPr>
                <w:t>https://</w:t>
              </w:r>
              <w:r w:rsidR="00CD35DA" w:rsidRPr="00140493">
                <w:rPr>
                  <w:rFonts w:ascii="Calibri" w:eastAsia="Times New Roman" w:hAnsi="Calibri" w:cs="Calibri"/>
                  <w:color w:val="0563C1"/>
                  <w:u w:val="single"/>
                  <w:lang w:eastAsia="fr-BE"/>
                </w:rPr>
                <w:t xml:space="preserve">lamenparle.hypotheses.org/ </w:t>
              </w:r>
            </w:hyperlink>
          </w:p>
        </w:tc>
        <w:tc>
          <w:tcPr>
            <w:tcW w:w="2122" w:type="dxa"/>
            <w:hideMark/>
          </w:tcPr>
          <w:p w14:paraId="6FE536EF" w14:textId="77777777" w:rsidR="00CD35DA" w:rsidRPr="00140493" w:rsidRDefault="00CD35DA" w:rsidP="00AE2E88">
            <w:pPr>
              <w:rPr>
                <w:rFonts w:ascii="Calibri" w:eastAsia="Times New Roman" w:hAnsi="Calibri" w:cs="Calibri"/>
                <w:color w:val="000000"/>
                <w:lang w:eastAsia="fr-BE"/>
              </w:rPr>
            </w:pPr>
            <w:r w:rsidRPr="00140493">
              <w:rPr>
                <w:rFonts w:ascii="Calibri" w:eastAsia="Times New Roman" w:hAnsi="Calibri" w:cs="Calibri"/>
                <w:color w:val="000000"/>
                <w:lang w:eastAsia="fr-BE"/>
              </w:rPr>
              <w:t>Sciences sociales interdisciplinaires, Sociologie et anthropologie</w:t>
            </w:r>
          </w:p>
        </w:tc>
        <w:tc>
          <w:tcPr>
            <w:tcW w:w="1134" w:type="dxa"/>
          </w:tcPr>
          <w:p w14:paraId="47795207" w14:textId="77777777" w:rsidR="00CD35DA" w:rsidRPr="00140493" w:rsidRDefault="00CD35DA" w:rsidP="00AE2E88">
            <w:pPr>
              <w:rPr>
                <w:rFonts w:ascii="Calibri" w:eastAsia="Times New Roman" w:hAnsi="Calibri" w:cs="Calibri"/>
                <w:color w:val="000000"/>
                <w:lang w:eastAsia="fr-BE"/>
              </w:rPr>
            </w:pPr>
            <w:r>
              <w:rPr>
                <w:rFonts w:ascii="Calibri" w:eastAsia="Times New Roman" w:hAnsi="Calibri" w:cs="Calibri"/>
                <w:color w:val="000000"/>
                <w:lang w:eastAsia="fr-BE"/>
              </w:rPr>
              <w:t>20 323</w:t>
            </w:r>
          </w:p>
        </w:tc>
        <w:tc>
          <w:tcPr>
            <w:tcW w:w="1134" w:type="dxa"/>
          </w:tcPr>
          <w:p w14:paraId="144CC344" w14:textId="77777777" w:rsidR="00CD35DA" w:rsidRDefault="00CD35DA" w:rsidP="00AE2E88">
            <w:pPr>
              <w:rPr>
                <w:rFonts w:ascii="Calibri" w:eastAsia="Times New Roman" w:hAnsi="Calibri" w:cs="Calibri"/>
                <w:color w:val="000000"/>
                <w:lang w:eastAsia="fr-BE"/>
              </w:rPr>
            </w:pPr>
            <w:r>
              <w:rPr>
                <w:rFonts w:ascii="Calibri" w:eastAsia="Times New Roman" w:hAnsi="Calibri" w:cs="Calibri"/>
                <w:color w:val="000000"/>
                <w:lang w:eastAsia="fr-BE"/>
              </w:rPr>
              <w:t>32 </w:t>
            </w:r>
            <w:r w:rsidRPr="00852830">
              <w:rPr>
                <w:rFonts w:ascii="Calibri" w:eastAsia="Times New Roman" w:hAnsi="Calibri" w:cs="Calibri"/>
                <w:color w:val="000000"/>
                <w:lang w:eastAsia="fr-BE"/>
              </w:rPr>
              <w:t>904</w:t>
            </w:r>
          </w:p>
        </w:tc>
        <w:tc>
          <w:tcPr>
            <w:tcW w:w="709" w:type="dxa"/>
          </w:tcPr>
          <w:p w14:paraId="5FEBD0AF" w14:textId="77777777" w:rsidR="00CD35DA" w:rsidRDefault="00CD35DA" w:rsidP="00AE2E88">
            <w:pPr>
              <w:rPr>
                <w:rFonts w:ascii="Calibri" w:eastAsia="Times New Roman" w:hAnsi="Calibri" w:cs="Calibri"/>
                <w:color w:val="000000"/>
                <w:lang w:eastAsia="fr-BE"/>
              </w:rPr>
            </w:pPr>
            <w:r>
              <w:rPr>
                <w:rFonts w:ascii="Calibri" w:eastAsia="Times New Roman" w:hAnsi="Calibri" w:cs="Calibri"/>
                <w:color w:val="000000"/>
                <w:lang w:eastAsia="fr-BE"/>
              </w:rPr>
              <w:t>1,61</w:t>
            </w:r>
          </w:p>
        </w:tc>
      </w:tr>
      <w:tr w:rsidR="00CD35DA" w:rsidRPr="00140493" w14:paraId="0AD8FD23" w14:textId="77777777" w:rsidTr="00AE2E88">
        <w:trPr>
          <w:trHeight w:val="1666"/>
        </w:trPr>
        <w:tc>
          <w:tcPr>
            <w:tcW w:w="1984" w:type="dxa"/>
            <w:hideMark/>
          </w:tcPr>
          <w:p w14:paraId="0D349638" w14:textId="77777777" w:rsidR="00CD35DA" w:rsidRPr="00140493" w:rsidRDefault="00CD35DA" w:rsidP="00AE2E88">
            <w:pPr>
              <w:rPr>
                <w:rFonts w:ascii="Calibri" w:eastAsia="Times New Roman" w:hAnsi="Calibri" w:cs="Calibri"/>
                <w:i/>
                <w:color w:val="000000"/>
                <w:lang w:eastAsia="fr-BE"/>
              </w:rPr>
            </w:pPr>
            <w:r w:rsidRPr="00140493">
              <w:rPr>
                <w:rFonts w:ascii="Calibri" w:eastAsia="Times New Roman" w:hAnsi="Calibri" w:cs="Calibri"/>
                <w:b/>
                <w:i/>
                <w:color w:val="000000"/>
                <w:lang w:eastAsia="fr-BE"/>
              </w:rPr>
              <w:t>Les carnets de l’IREMAM</w:t>
            </w:r>
            <w:r>
              <w:rPr>
                <w:rFonts w:ascii="Calibri" w:eastAsia="Times New Roman" w:hAnsi="Calibri" w:cs="Calibri"/>
                <w:i/>
                <w:color w:val="000000"/>
                <w:lang w:eastAsia="fr-BE"/>
              </w:rPr>
              <w:t xml:space="preserve"> [Institut de Recherche et d’Études sur le Monde Arabe et Musulman]</w:t>
            </w:r>
          </w:p>
        </w:tc>
        <w:tc>
          <w:tcPr>
            <w:tcW w:w="3969" w:type="dxa"/>
            <w:hideMark/>
          </w:tcPr>
          <w:p w14:paraId="3573A076" w14:textId="1384768D" w:rsidR="00CD35DA" w:rsidRPr="00140493" w:rsidRDefault="00186B2A" w:rsidP="00AE2E88">
            <w:pPr>
              <w:rPr>
                <w:rFonts w:ascii="Calibri" w:eastAsia="Times New Roman" w:hAnsi="Calibri" w:cs="Calibri"/>
                <w:color w:val="0563C1"/>
                <w:u w:val="single"/>
                <w:lang w:eastAsia="fr-BE"/>
              </w:rPr>
            </w:pPr>
            <w:hyperlink r:id="rId14" w:history="1">
              <w:r w:rsidR="006B43DE">
                <w:rPr>
                  <w:rFonts w:ascii="Calibri" w:eastAsia="Times New Roman" w:hAnsi="Calibri" w:cs="Calibri"/>
                  <w:color w:val="0563C1"/>
                  <w:u w:val="single"/>
                  <w:lang w:eastAsia="fr-BE"/>
                </w:rPr>
                <w:t>https://</w:t>
              </w:r>
              <w:r w:rsidR="00CD35DA" w:rsidRPr="00140493">
                <w:rPr>
                  <w:rFonts w:ascii="Calibri" w:eastAsia="Times New Roman" w:hAnsi="Calibri" w:cs="Calibri"/>
                  <w:color w:val="0563C1"/>
                  <w:u w:val="single"/>
                  <w:lang w:eastAsia="fr-BE"/>
                </w:rPr>
                <w:t>iremam.hypotheses.org/</w:t>
              </w:r>
            </w:hyperlink>
          </w:p>
        </w:tc>
        <w:tc>
          <w:tcPr>
            <w:tcW w:w="2122" w:type="dxa"/>
            <w:hideMark/>
          </w:tcPr>
          <w:p w14:paraId="2FDF9899" w14:textId="77777777" w:rsidR="00CD35DA" w:rsidRPr="00140493" w:rsidRDefault="00CD35DA" w:rsidP="00AE2E88">
            <w:pPr>
              <w:rPr>
                <w:rFonts w:ascii="Calibri" w:eastAsia="Times New Roman" w:hAnsi="Calibri" w:cs="Calibri"/>
                <w:color w:val="000000"/>
                <w:lang w:eastAsia="fr-BE"/>
              </w:rPr>
            </w:pPr>
            <w:r w:rsidRPr="00140493">
              <w:rPr>
                <w:rFonts w:ascii="Calibri" w:eastAsia="Times New Roman" w:hAnsi="Calibri" w:cs="Calibri"/>
                <w:color w:val="000000"/>
                <w:lang w:eastAsia="fr-BE"/>
              </w:rPr>
              <w:t>Histoire, Pluridisciplinarité, Sciences sociales interdisciplinaires, Sciences politiques, Études régionales</w:t>
            </w:r>
          </w:p>
        </w:tc>
        <w:tc>
          <w:tcPr>
            <w:tcW w:w="1134" w:type="dxa"/>
          </w:tcPr>
          <w:p w14:paraId="2FEDF53B" w14:textId="77777777" w:rsidR="00CD35DA" w:rsidRPr="00140493" w:rsidRDefault="00CD35DA" w:rsidP="00AE2E88">
            <w:pPr>
              <w:rPr>
                <w:rFonts w:ascii="Calibri" w:eastAsia="Times New Roman" w:hAnsi="Calibri" w:cs="Calibri"/>
                <w:color w:val="000000"/>
                <w:lang w:eastAsia="fr-BE"/>
              </w:rPr>
            </w:pPr>
            <w:r>
              <w:rPr>
                <w:rFonts w:ascii="Calibri" w:eastAsia="Times New Roman" w:hAnsi="Calibri" w:cs="Calibri"/>
                <w:color w:val="000000"/>
                <w:lang w:eastAsia="fr-BE"/>
              </w:rPr>
              <w:t>30 411</w:t>
            </w:r>
          </w:p>
        </w:tc>
        <w:tc>
          <w:tcPr>
            <w:tcW w:w="1134" w:type="dxa"/>
          </w:tcPr>
          <w:p w14:paraId="56E5B57E" w14:textId="77777777" w:rsidR="00CD35DA" w:rsidRDefault="00CD35DA" w:rsidP="00AE2E88">
            <w:pPr>
              <w:rPr>
                <w:rFonts w:ascii="Calibri" w:eastAsia="Times New Roman" w:hAnsi="Calibri" w:cs="Calibri"/>
                <w:color w:val="000000"/>
                <w:lang w:eastAsia="fr-BE"/>
              </w:rPr>
            </w:pPr>
            <w:r>
              <w:rPr>
                <w:rFonts w:ascii="Calibri" w:eastAsia="Times New Roman" w:hAnsi="Calibri" w:cs="Calibri"/>
                <w:color w:val="000000"/>
                <w:lang w:eastAsia="fr-BE"/>
              </w:rPr>
              <w:t>66 </w:t>
            </w:r>
            <w:r w:rsidRPr="00852830">
              <w:rPr>
                <w:rFonts w:ascii="Calibri" w:eastAsia="Times New Roman" w:hAnsi="Calibri" w:cs="Calibri"/>
                <w:color w:val="000000"/>
                <w:lang w:eastAsia="fr-BE"/>
              </w:rPr>
              <w:t>596</w:t>
            </w:r>
          </w:p>
        </w:tc>
        <w:tc>
          <w:tcPr>
            <w:tcW w:w="709" w:type="dxa"/>
          </w:tcPr>
          <w:p w14:paraId="4570938A" w14:textId="77777777" w:rsidR="00CD35DA" w:rsidRDefault="00CD35DA" w:rsidP="00AE2E88">
            <w:pPr>
              <w:rPr>
                <w:rFonts w:ascii="Calibri" w:eastAsia="Times New Roman" w:hAnsi="Calibri" w:cs="Calibri"/>
                <w:color w:val="000000"/>
                <w:lang w:eastAsia="fr-BE"/>
              </w:rPr>
            </w:pPr>
            <w:r>
              <w:rPr>
                <w:rFonts w:ascii="Calibri" w:eastAsia="Times New Roman" w:hAnsi="Calibri" w:cs="Calibri"/>
                <w:color w:val="000000"/>
                <w:lang w:eastAsia="fr-BE"/>
              </w:rPr>
              <w:t>2,18</w:t>
            </w:r>
          </w:p>
        </w:tc>
      </w:tr>
      <w:tr w:rsidR="00CD35DA" w:rsidRPr="00140493" w14:paraId="778D494C" w14:textId="77777777" w:rsidTr="00AE2E88">
        <w:trPr>
          <w:trHeight w:val="1137"/>
        </w:trPr>
        <w:tc>
          <w:tcPr>
            <w:tcW w:w="1984" w:type="dxa"/>
            <w:hideMark/>
          </w:tcPr>
          <w:p w14:paraId="4173DFB0" w14:textId="77777777" w:rsidR="00CD35DA" w:rsidRPr="00140493" w:rsidRDefault="00CD35DA" w:rsidP="00AE2E88">
            <w:pPr>
              <w:rPr>
                <w:rFonts w:ascii="Calibri" w:eastAsia="Times New Roman" w:hAnsi="Calibri" w:cs="Calibri"/>
                <w:b/>
                <w:i/>
                <w:color w:val="000000"/>
                <w:lang w:eastAsia="fr-BE"/>
              </w:rPr>
            </w:pPr>
            <w:r w:rsidRPr="00140493">
              <w:rPr>
                <w:rFonts w:ascii="Calibri" w:eastAsia="Times New Roman" w:hAnsi="Calibri" w:cs="Calibri"/>
                <w:b/>
                <w:i/>
                <w:color w:val="000000"/>
                <w:lang w:eastAsia="fr-BE"/>
              </w:rPr>
              <w:t>Observatoire de la vie politique turque</w:t>
            </w:r>
          </w:p>
        </w:tc>
        <w:tc>
          <w:tcPr>
            <w:tcW w:w="3969" w:type="dxa"/>
            <w:hideMark/>
          </w:tcPr>
          <w:p w14:paraId="155930B7" w14:textId="23FFAF17" w:rsidR="00CD35DA" w:rsidRPr="00140493" w:rsidRDefault="00186B2A" w:rsidP="00AE2E88">
            <w:pPr>
              <w:rPr>
                <w:rFonts w:ascii="Calibri" w:eastAsia="Times New Roman" w:hAnsi="Calibri" w:cs="Calibri"/>
                <w:color w:val="0563C1"/>
                <w:u w:val="single"/>
                <w:lang w:eastAsia="fr-BE"/>
              </w:rPr>
            </w:pPr>
            <w:hyperlink r:id="rId15" w:history="1">
              <w:r w:rsidR="006B43DE">
                <w:rPr>
                  <w:rStyle w:val="Lienhypertexte"/>
                  <w:rFonts w:ascii="Calibri" w:eastAsia="Times New Roman" w:hAnsi="Calibri" w:cs="Calibri"/>
                  <w:lang w:eastAsia="fr-BE"/>
                </w:rPr>
                <w:t>https://</w:t>
              </w:r>
              <w:r w:rsidR="00CD35DA" w:rsidRPr="00141335">
                <w:rPr>
                  <w:rStyle w:val="Lienhypertexte"/>
                  <w:rFonts w:ascii="Calibri" w:eastAsia="Times New Roman" w:hAnsi="Calibri" w:cs="Calibri"/>
                  <w:lang w:eastAsia="fr-BE"/>
                </w:rPr>
                <w:t>ovipot.hypotheses.org/</w:t>
              </w:r>
            </w:hyperlink>
          </w:p>
        </w:tc>
        <w:tc>
          <w:tcPr>
            <w:tcW w:w="2122" w:type="dxa"/>
            <w:hideMark/>
          </w:tcPr>
          <w:p w14:paraId="19AEA4CA" w14:textId="77777777" w:rsidR="00CD35DA" w:rsidRPr="00140493" w:rsidRDefault="00CD35DA" w:rsidP="00AE2E88">
            <w:pPr>
              <w:rPr>
                <w:rFonts w:ascii="Calibri" w:eastAsia="Times New Roman" w:hAnsi="Calibri" w:cs="Calibri"/>
                <w:color w:val="000000"/>
                <w:lang w:eastAsia="fr-BE"/>
              </w:rPr>
            </w:pPr>
            <w:r w:rsidRPr="00140493">
              <w:rPr>
                <w:rFonts w:ascii="Calibri" w:eastAsia="Times New Roman" w:hAnsi="Calibri" w:cs="Calibri"/>
                <w:color w:val="000000"/>
                <w:lang w:eastAsia="fr-BE"/>
              </w:rPr>
              <w:t>Sciences politiques, administration publique et développement, Sociologie</w:t>
            </w:r>
          </w:p>
        </w:tc>
        <w:tc>
          <w:tcPr>
            <w:tcW w:w="1134" w:type="dxa"/>
          </w:tcPr>
          <w:p w14:paraId="5BF497B9" w14:textId="77777777" w:rsidR="00CD35DA" w:rsidRPr="00140493" w:rsidRDefault="00CD35DA" w:rsidP="00AE2E88">
            <w:pPr>
              <w:rPr>
                <w:rFonts w:ascii="Calibri" w:eastAsia="Times New Roman" w:hAnsi="Calibri" w:cs="Calibri"/>
                <w:color w:val="000000"/>
                <w:lang w:eastAsia="fr-BE"/>
              </w:rPr>
            </w:pPr>
            <w:r>
              <w:rPr>
                <w:rFonts w:ascii="Calibri" w:eastAsia="Times New Roman" w:hAnsi="Calibri" w:cs="Calibri"/>
                <w:color w:val="000000"/>
                <w:lang w:eastAsia="fr-BE"/>
              </w:rPr>
              <w:t>85 357</w:t>
            </w:r>
          </w:p>
        </w:tc>
        <w:tc>
          <w:tcPr>
            <w:tcW w:w="1134" w:type="dxa"/>
          </w:tcPr>
          <w:p w14:paraId="516D72D7" w14:textId="77777777" w:rsidR="00CD35DA" w:rsidRDefault="00CD35DA" w:rsidP="00AE2E88">
            <w:pPr>
              <w:rPr>
                <w:rFonts w:ascii="Calibri" w:eastAsia="Times New Roman" w:hAnsi="Calibri" w:cs="Calibri"/>
                <w:color w:val="000000"/>
                <w:lang w:eastAsia="fr-BE"/>
              </w:rPr>
            </w:pPr>
            <w:r>
              <w:rPr>
                <w:rFonts w:ascii="Calibri" w:eastAsia="Times New Roman" w:hAnsi="Calibri" w:cs="Calibri"/>
                <w:color w:val="000000"/>
                <w:lang w:eastAsia="fr-BE"/>
              </w:rPr>
              <w:t>180 </w:t>
            </w:r>
            <w:r w:rsidRPr="00852830">
              <w:rPr>
                <w:rFonts w:ascii="Calibri" w:eastAsia="Times New Roman" w:hAnsi="Calibri" w:cs="Calibri"/>
                <w:color w:val="000000"/>
                <w:lang w:eastAsia="fr-BE"/>
              </w:rPr>
              <w:t>317</w:t>
            </w:r>
          </w:p>
        </w:tc>
        <w:tc>
          <w:tcPr>
            <w:tcW w:w="709" w:type="dxa"/>
          </w:tcPr>
          <w:p w14:paraId="6EDB8BC0" w14:textId="77777777" w:rsidR="00CD35DA" w:rsidRDefault="00CD35DA" w:rsidP="00AE2E88">
            <w:pPr>
              <w:rPr>
                <w:rFonts w:ascii="Calibri" w:eastAsia="Times New Roman" w:hAnsi="Calibri" w:cs="Calibri"/>
                <w:color w:val="000000"/>
                <w:lang w:eastAsia="fr-BE"/>
              </w:rPr>
            </w:pPr>
            <w:r>
              <w:rPr>
                <w:rFonts w:ascii="Calibri" w:eastAsia="Times New Roman" w:hAnsi="Calibri" w:cs="Calibri"/>
                <w:color w:val="000000"/>
                <w:lang w:eastAsia="fr-BE"/>
              </w:rPr>
              <w:t>2,11</w:t>
            </w:r>
          </w:p>
        </w:tc>
      </w:tr>
      <w:tr w:rsidR="00D15B1A" w:rsidRPr="00140493" w14:paraId="16BECA75" w14:textId="77777777" w:rsidTr="00AE2E88">
        <w:trPr>
          <w:trHeight w:val="1137"/>
        </w:trPr>
        <w:tc>
          <w:tcPr>
            <w:tcW w:w="1984" w:type="dxa"/>
          </w:tcPr>
          <w:p w14:paraId="371904E9" w14:textId="5D600314" w:rsidR="00D15B1A" w:rsidRPr="00140493" w:rsidRDefault="00D15B1A" w:rsidP="00D15B1A">
            <w:pPr>
              <w:rPr>
                <w:rFonts w:ascii="Calibri" w:eastAsia="Times New Roman" w:hAnsi="Calibri" w:cs="Calibri"/>
                <w:b/>
                <w:i/>
                <w:color w:val="000000"/>
                <w:lang w:eastAsia="fr-BE"/>
              </w:rPr>
            </w:pPr>
            <w:proofErr w:type="spellStart"/>
            <w:r w:rsidRPr="00140493">
              <w:rPr>
                <w:rFonts w:ascii="Calibri" w:eastAsia="Times New Roman" w:hAnsi="Calibri" w:cs="Calibri"/>
                <w:b/>
                <w:i/>
                <w:color w:val="000000"/>
                <w:lang w:eastAsia="fr-BE"/>
              </w:rPr>
              <w:t>Polit</w:t>
            </w:r>
            <w:r w:rsidR="006B43DE">
              <w:rPr>
                <w:rFonts w:ascii="Calibri" w:eastAsia="Times New Roman" w:hAnsi="Calibri" w:cs="Calibri"/>
                <w:b/>
                <w:i/>
                <w:color w:val="000000"/>
                <w:lang w:eastAsia="fr-BE"/>
              </w:rPr>
              <w:t>’</w:t>
            </w:r>
            <w:r w:rsidRPr="00140493">
              <w:rPr>
                <w:rFonts w:ascii="Calibri" w:eastAsia="Times New Roman" w:hAnsi="Calibri" w:cs="Calibri"/>
                <w:b/>
                <w:i/>
                <w:color w:val="000000"/>
                <w:lang w:eastAsia="fr-BE"/>
              </w:rPr>
              <w:t>bistro</w:t>
            </w:r>
            <w:proofErr w:type="spellEnd"/>
            <w:r w:rsidR="006B43DE">
              <w:rPr>
                <w:rFonts w:ascii="Calibri" w:eastAsia="Times New Roman" w:hAnsi="Calibri" w:cs="Calibri"/>
                <w:b/>
                <w:i/>
                <w:color w:val="000000"/>
                <w:lang w:eastAsia="fr-BE"/>
              </w:rPr>
              <w:t> </w:t>
            </w:r>
            <w:r w:rsidR="006B43DE" w:rsidRPr="00140493">
              <w:rPr>
                <w:rFonts w:ascii="Calibri" w:eastAsia="Times New Roman" w:hAnsi="Calibri" w:cs="Calibri"/>
                <w:b/>
                <w:i/>
                <w:color w:val="000000"/>
                <w:lang w:eastAsia="fr-BE"/>
              </w:rPr>
              <w:t>:</w:t>
            </w:r>
            <w:r w:rsidRPr="00140493">
              <w:rPr>
                <w:rFonts w:ascii="Calibri" w:eastAsia="Times New Roman" w:hAnsi="Calibri" w:cs="Calibri"/>
                <w:b/>
                <w:i/>
                <w:color w:val="000000"/>
                <w:lang w:eastAsia="fr-BE"/>
              </w:rPr>
              <w:t xml:space="preserve"> des politiques, du café</w:t>
            </w:r>
            <w:r>
              <w:rPr>
                <w:rFonts w:ascii="Calibri" w:eastAsia="Times New Roman" w:hAnsi="Calibri" w:cs="Calibri"/>
                <w:b/>
                <w:i/>
                <w:color w:val="000000"/>
                <w:lang w:eastAsia="fr-BE"/>
              </w:rPr>
              <w:t>.</w:t>
            </w:r>
            <w:r w:rsidRPr="00140493">
              <w:rPr>
                <w:rFonts w:ascii="Calibri" w:eastAsia="Times New Roman" w:hAnsi="Calibri" w:cs="Calibri"/>
                <w:i/>
                <w:color w:val="000000"/>
                <w:lang w:eastAsia="fr-BE"/>
              </w:rPr>
              <w:t xml:space="preserve"> Un blog-comp</w:t>
            </w:r>
            <w:r>
              <w:rPr>
                <w:rFonts w:ascii="Calibri" w:eastAsia="Times New Roman" w:hAnsi="Calibri" w:cs="Calibri"/>
                <w:i/>
                <w:color w:val="000000"/>
                <w:lang w:eastAsia="fr-BE"/>
              </w:rPr>
              <w:t>t</w:t>
            </w:r>
            <w:r w:rsidRPr="00140493">
              <w:rPr>
                <w:rFonts w:ascii="Calibri" w:eastAsia="Times New Roman" w:hAnsi="Calibri" w:cs="Calibri"/>
                <w:i/>
                <w:color w:val="000000"/>
                <w:lang w:eastAsia="fr-BE"/>
              </w:rPr>
              <w:t xml:space="preserve">oir de jeunes </w:t>
            </w:r>
            <w:r w:rsidRPr="00140493">
              <w:rPr>
                <w:rFonts w:ascii="Calibri" w:eastAsia="Times New Roman" w:hAnsi="Calibri" w:cs="Calibri"/>
                <w:i/>
                <w:color w:val="000000"/>
                <w:lang w:eastAsia="fr-BE"/>
              </w:rPr>
              <w:lastRenderedPageBreak/>
              <w:t>ch</w:t>
            </w:r>
            <w:r>
              <w:rPr>
                <w:rFonts w:ascii="Calibri" w:eastAsia="Times New Roman" w:hAnsi="Calibri" w:cs="Calibri"/>
                <w:i/>
                <w:color w:val="000000"/>
                <w:lang w:eastAsia="fr-BE"/>
              </w:rPr>
              <w:t>ercheurs en sciences politiques</w:t>
            </w:r>
          </w:p>
        </w:tc>
        <w:tc>
          <w:tcPr>
            <w:tcW w:w="3969" w:type="dxa"/>
          </w:tcPr>
          <w:p w14:paraId="55DE2B25" w14:textId="7044A07C" w:rsidR="00D15B1A" w:rsidRDefault="00186B2A" w:rsidP="00D15B1A">
            <w:hyperlink r:id="rId16" w:history="1">
              <w:r w:rsidR="006B43DE">
                <w:rPr>
                  <w:rFonts w:ascii="Calibri" w:eastAsia="Times New Roman" w:hAnsi="Calibri" w:cs="Calibri"/>
                  <w:color w:val="0563C1"/>
                  <w:u w:val="single"/>
                  <w:lang w:eastAsia="fr-BE"/>
                </w:rPr>
                <w:t>https://</w:t>
              </w:r>
              <w:r w:rsidR="00D15B1A" w:rsidRPr="00140493">
                <w:rPr>
                  <w:rFonts w:ascii="Calibri" w:eastAsia="Times New Roman" w:hAnsi="Calibri" w:cs="Calibri"/>
                  <w:color w:val="0563C1"/>
                  <w:u w:val="single"/>
                  <w:lang w:eastAsia="fr-BE"/>
                </w:rPr>
                <w:t>politbistro.hypotheses.org/</w:t>
              </w:r>
            </w:hyperlink>
          </w:p>
        </w:tc>
        <w:tc>
          <w:tcPr>
            <w:tcW w:w="2122" w:type="dxa"/>
          </w:tcPr>
          <w:p w14:paraId="472A15BD" w14:textId="76538CD4" w:rsidR="00D15B1A" w:rsidRPr="00140493" w:rsidRDefault="00D15B1A" w:rsidP="00D15B1A">
            <w:pPr>
              <w:rPr>
                <w:rFonts w:ascii="Calibri" w:eastAsia="Times New Roman" w:hAnsi="Calibri" w:cs="Calibri"/>
                <w:color w:val="000000"/>
                <w:lang w:eastAsia="fr-BE"/>
              </w:rPr>
            </w:pPr>
            <w:r w:rsidRPr="00140493">
              <w:rPr>
                <w:rFonts w:ascii="Calibri" w:eastAsia="Times New Roman" w:hAnsi="Calibri" w:cs="Calibri"/>
                <w:color w:val="000000"/>
                <w:lang w:eastAsia="fr-BE"/>
              </w:rPr>
              <w:t>Sciences politiques</w:t>
            </w:r>
          </w:p>
        </w:tc>
        <w:tc>
          <w:tcPr>
            <w:tcW w:w="1134" w:type="dxa"/>
          </w:tcPr>
          <w:p w14:paraId="3490D1B2" w14:textId="7E4E905B" w:rsidR="00D15B1A" w:rsidRDefault="00D15B1A" w:rsidP="00D15B1A">
            <w:pPr>
              <w:rPr>
                <w:rFonts w:ascii="Calibri" w:eastAsia="Times New Roman" w:hAnsi="Calibri" w:cs="Calibri"/>
                <w:color w:val="000000"/>
                <w:lang w:eastAsia="fr-BE"/>
              </w:rPr>
            </w:pPr>
            <w:r>
              <w:rPr>
                <w:rFonts w:ascii="Calibri" w:eastAsia="Times New Roman" w:hAnsi="Calibri" w:cs="Calibri"/>
                <w:color w:val="000000"/>
                <w:lang w:eastAsia="fr-BE"/>
              </w:rPr>
              <w:t>51 997</w:t>
            </w:r>
          </w:p>
        </w:tc>
        <w:tc>
          <w:tcPr>
            <w:tcW w:w="1134" w:type="dxa"/>
          </w:tcPr>
          <w:p w14:paraId="32C971EE" w14:textId="2704F044" w:rsidR="00D15B1A" w:rsidRDefault="00D15B1A" w:rsidP="00D15B1A">
            <w:pPr>
              <w:rPr>
                <w:rFonts w:ascii="Calibri" w:eastAsia="Times New Roman" w:hAnsi="Calibri" w:cs="Calibri"/>
                <w:color w:val="000000"/>
                <w:lang w:eastAsia="fr-BE"/>
              </w:rPr>
            </w:pPr>
            <w:r>
              <w:rPr>
                <w:rFonts w:ascii="Calibri" w:eastAsia="Times New Roman" w:hAnsi="Calibri" w:cs="Calibri"/>
                <w:color w:val="000000"/>
                <w:lang w:eastAsia="fr-BE"/>
              </w:rPr>
              <w:t>173 </w:t>
            </w:r>
            <w:r w:rsidRPr="00CE2878">
              <w:rPr>
                <w:rFonts w:ascii="Calibri" w:eastAsia="Times New Roman" w:hAnsi="Calibri" w:cs="Calibri"/>
                <w:color w:val="000000"/>
                <w:lang w:eastAsia="fr-BE"/>
              </w:rPr>
              <w:t>725</w:t>
            </w:r>
          </w:p>
        </w:tc>
        <w:tc>
          <w:tcPr>
            <w:tcW w:w="709" w:type="dxa"/>
          </w:tcPr>
          <w:p w14:paraId="7524903F" w14:textId="03822843" w:rsidR="00D15B1A" w:rsidRDefault="00D15B1A" w:rsidP="00D15B1A">
            <w:pPr>
              <w:rPr>
                <w:rFonts w:ascii="Calibri" w:eastAsia="Times New Roman" w:hAnsi="Calibri" w:cs="Calibri"/>
                <w:color w:val="000000"/>
                <w:lang w:eastAsia="fr-BE"/>
              </w:rPr>
            </w:pPr>
            <w:r>
              <w:rPr>
                <w:rFonts w:ascii="Calibri" w:eastAsia="Times New Roman" w:hAnsi="Calibri" w:cs="Calibri"/>
                <w:color w:val="000000"/>
                <w:lang w:eastAsia="fr-BE"/>
              </w:rPr>
              <w:t>3,34</w:t>
            </w:r>
          </w:p>
        </w:tc>
      </w:tr>
      <w:tr w:rsidR="00CD35DA" w:rsidRPr="00140493" w14:paraId="25A6B821" w14:textId="77777777" w:rsidTr="00AE2E88">
        <w:trPr>
          <w:trHeight w:val="1229"/>
        </w:trPr>
        <w:tc>
          <w:tcPr>
            <w:tcW w:w="1984" w:type="dxa"/>
            <w:hideMark/>
          </w:tcPr>
          <w:p w14:paraId="07D6CFD0" w14:textId="3DBB3E47" w:rsidR="00CD35DA" w:rsidRPr="009049B5" w:rsidRDefault="00CD35DA" w:rsidP="00AE2E88">
            <w:pPr>
              <w:rPr>
                <w:rFonts w:ascii="Calibri" w:eastAsia="Times New Roman" w:hAnsi="Calibri" w:cs="Calibri"/>
                <w:i/>
                <w:color w:val="000000"/>
                <w:lang w:eastAsia="fr-BE"/>
              </w:rPr>
            </w:pPr>
            <w:proofErr w:type="spellStart"/>
            <w:r>
              <w:rPr>
                <w:rFonts w:ascii="Calibri" w:eastAsia="Times New Roman" w:hAnsi="Calibri" w:cs="Calibri"/>
                <w:b/>
                <w:i/>
                <w:color w:val="000000"/>
                <w:lang w:eastAsia="fr-BE"/>
              </w:rPr>
              <w:t>RussEurope</w:t>
            </w:r>
            <w:proofErr w:type="spellEnd"/>
            <w:r>
              <w:rPr>
                <w:rFonts w:ascii="Calibri" w:eastAsia="Times New Roman" w:hAnsi="Calibri" w:cs="Calibri"/>
                <w:b/>
                <w:i/>
                <w:color w:val="000000"/>
                <w:lang w:eastAsia="fr-BE"/>
              </w:rPr>
              <w:t>.</w:t>
            </w:r>
            <w:r>
              <w:rPr>
                <w:rFonts w:ascii="Calibri" w:eastAsia="Times New Roman" w:hAnsi="Calibri" w:cs="Calibri"/>
                <w:i/>
                <w:color w:val="000000"/>
                <w:lang w:eastAsia="fr-BE"/>
              </w:rPr>
              <w:t xml:space="preserve"> </w:t>
            </w:r>
            <w:r w:rsidRPr="009049B5">
              <w:rPr>
                <w:rFonts w:ascii="Calibri" w:eastAsia="Times New Roman" w:hAnsi="Calibri" w:cs="Calibri"/>
                <w:i/>
                <w:color w:val="000000"/>
                <w:lang w:eastAsia="fr-BE"/>
              </w:rPr>
              <w:t>Blog de Jacques Sapir sur la Russie et l</w:t>
            </w:r>
            <w:r w:rsidR="006B43DE">
              <w:rPr>
                <w:rFonts w:ascii="Calibri" w:eastAsia="Times New Roman" w:hAnsi="Calibri" w:cs="Calibri"/>
                <w:i/>
                <w:color w:val="000000"/>
                <w:lang w:eastAsia="fr-BE"/>
              </w:rPr>
              <w:t>’</w:t>
            </w:r>
            <w:r w:rsidRPr="009049B5">
              <w:rPr>
                <w:rFonts w:ascii="Calibri" w:eastAsia="Times New Roman" w:hAnsi="Calibri" w:cs="Calibri"/>
                <w:i/>
                <w:color w:val="000000"/>
                <w:lang w:eastAsia="fr-BE"/>
              </w:rPr>
              <w:t>Europe</w:t>
            </w:r>
          </w:p>
        </w:tc>
        <w:tc>
          <w:tcPr>
            <w:tcW w:w="3969" w:type="dxa"/>
            <w:hideMark/>
          </w:tcPr>
          <w:p w14:paraId="56EF0154" w14:textId="55281000" w:rsidR="00CD35DA" w:rsidRPr="00140493" w:rsidRDefault="00186B2A" w:rsidP="00AE2E88">
            <w:pPr>
              <w:rPr>
                <w:rFonts w:ascii="Calibri" w:eastAsia="Times New Roman" w:hAnsi="Calibri" w:cs="Calibri"/>
                <w:color w:val="0563C1"/>
                <w:u w:val="single"/>
                <w:lang w:eastAsia="fr-BE"/>
              </w:rPr>
            </w:pPr>
            <w:hyperlink r:id="rId17" w:history="1">
              <w:r w:rsidR="006B43DE">
                <w:rPr>
                  <w:rStyle w:val="Lienhypertexte"/>
                </w:rPr>
                <w:t>https://</w:t>
              </w:r>
              <w:r w:rsidR="00CD35DA" w:rsidRPr="0040010B">
                <w:rPr>
                  <w:rStyle w:val="Lienhypertexte"/>
                </w:rPr>
                <w:t>russeurope.hypotheses.org/</w:t>
              </w:r>
            </w:hyperlink>
          </w:p>
        </w:tc>
        <w:tc>
          <w:tcPr>
            <w:tcW w:w="2122" w:type="dxa"/>
            <w:hideMark/>
          </w:tcPr>
          <w:p w14:paraId="2A12D825" w14:textId="77777777" w:rsidR="00CD35DA" w:rsidRPr="00140493" w:rsidRDefault="00CD35DA" w:rsidP="00AE2E88">
            <w:pPr>
              <w:rPr>
                <w:rFonts w:ascii="Calibri" w:eastAsia="Times New Roman" w:hAnsi="Calibri" w:cs="Calibri"/>
                <w:color w:val="000000"/>
                <w:lang w:eastAsia="fr-BE"/>
              </w:rPr>
            </w:pPr>
            <w:r w:rsidRPr="009049B5">
              <w:rPr>
                <w:rFonts w:ascii="Calibri" w:eastAsia="Times New Roman" w:hAnsi="Calibri" w:cs="Calibri"/>
                <w:color w:val="000000"/>
                <w:lang w:eastAsia="fr-BE"/>
              </w:rPr>
              <w:t>Économie, Finance, Sciences politiques, administration publique et développement, Questions sociales</w:t>
            </w:r>
          </w:p>
        </w:tc>
        <w:tc>
          <w:tcPr>
            <w:tcW w:w="1134" w:type="dxa"/>
          </w:tcPr>
          <w:p w14:paraId="2FFADB1C" w14:textId="79B53142" w:rsidR="00CD35DA" w:rsidRPr="00140493" w:rsidRDefault="006B43DE" w:rsidP="00AE2E88">
            <w:pPr>
              <w:rPr>
                <w:rFonts w:ascii="Calibri" w:eastAsia="Times New Roman" w:hAnsi="Calibri" w:cs="Calibri"/>
                <w:color w:val="000000"/>
                <w:lang w:eastAsia="fr-BE"/>
              </w:rPr>
            </w:pPr>
            <w:r>
              <w:rPr>
                <w:rFonts w:ascii="Calibri" w:eastAsia="Times New Roman" w:hAnsi="Calibri" w:cs="Calibri"/>
                <w:color w:val="000000"/>
                <w:lang w:eastAsia="fr-BE"/>
              </w:rPr>
              <w:t>1 043</w:t>
            </w:r>
            <w:r w:rsidR="00CD35DA">
              <w:rPr>
                <w:rFonts w:ascii="Calibri" w:eastAsia="Times New Roman" w:hAnsi="Calibri" w:cs="Calibri"/>
                <w:color w:val="000000"/>
                <w:lang w:eastAsia="fr-BE"/>
              </w:rPr>
              <w:t> 900</w:t>
            </w:r>
          </w:p>
        </w:tc>
        <w:tc>
          <w:tcPr>
            <w:tcW w:w="1134" w:type="dxa"/>
          </w:tcPr>
          <w:p w14:paraId="45B48894" w14:textId="130C79E6" w:rsidR="00CD35DA" w:rsidRDefault="006B43DE" w:rsidP="00AE2E88">
            <w:pPr>
              <w:rPr>
                <w:rFonts w:ascii="Calibri" w:eastAsia="Times New Roman" w:hAnsi="Calibri" w:cs="Calibri"/>
                <w:color w:val="000000"/>
                <w:lang w:eastAsia="fr-BE"/>
              </w:rPr>
            </w:pPr>
            <w:r w:rsidRPr="009049B5">
              <w:rPr>
                <w:rFonts w:ascii="Calibri" w:eastAsia="Times New Roman" w:hAnsi="Calibri" w:cs="Calibri"/>
                <w:color w:val="000000"/>
                <w:lang w:eastAsia="fr-BE"/>
              </w:rPr>
              <w:t>2</w:t>
            </w:r>
            <w:r>
              <w:rPr>
                <w:rFonts w:ascii="Calibri" w:eastAsia="Times New Roman" w:hAnsi="Calibri" w:cs="Calibri"/>
                <w:color w:val="000000"/>
                <w:lang w:eastAsia="fr-BE"/>
              </w:rPr>
              <w:t> </w:t>
            </w:r>
            <w:r w:rsidRPr="009049B5">
              <w:rPr>
                <w:rFonts w:ascii="Calibri" w:eastAsia="Times New Roman" w:hAnsi="Calibri" w:cs="Calibri"/>
                <w:color w:val="000000"/>
                <w:lang w:eastAsia="fr-BE"/>
              </w:rPr>
              <w:t>641</w:t>
            </w:r>
            <w:r w:rsidR="00CD35DA">
              <w:rPr>
                <w:rFonts w:ascii="Calibri" w:eastAsia="Times New Roman" w:hAnsi="Calibri" w:cs="Calibri"/>
                <w:color w:val="000000"/>
                <w:lang w:eastAsia="fr-BE"/>
              </w:rPr>
              <w:t> </w:t>
            </w:r>
            <w:r w:rsidR="00CD35DA" w:rsidRPr="009049B5">
              <w:rPr>
                <w:rFonts w:ascii="Calibri" w:eastAsia="Times New Roman" w:hAnsi="Calibri" w:cs="Calibri"/>
                <w:color w:val="000000"/>
                <w:lang w:eastAsia="fr-BE"/>
              </w:rPr>
              <w:t>020</w:t>
            </w:r>
          </w:p>
        </w:tc>
        <w:tc>
          <w:tcPr>
            <w:tcW w:w="709" w:type="dxa"/>
          </w:tcPr>
          <w:p w14:paraId="39E87394" w14:textId="77777777" w:rsidR="00CD35DA" w:rsidRDefault="00CD35DA" w:rsidP="00AE2E88">
            <w:pPr>
              <w:rPr>
                <w:rFonts w:ascii="Calibri" w:eastAsia="Times New Roman" w:hAnsi="Calibri" w:cs="Calibri"/>
                <w:color w:val="000000"/>
                <w:lang w:eastAsia="fr-BE"/>
              </w:rPr>
            </w:pPr>
            <w:r>
              <w:rPr>
                <w:rFonts w:ascii="Calibri" w:eastAsia="Times New Roman" w:hAnsi="Calibri" w:cs="Calibri"/>
                <w:color w:val="000000"/>
                <w:lang w:eastAsia="fr-BE"/>
              </w:rPr>
              <w:t>2,52</w:t>
            </w:r>
          </w:p>
        </w:tc>
      </w:tr>
      <w:tr w:rsidR="003C7591" w:rsidRPr="00140493" w14:paraId="6F81FC64" w14:textId="77777777" w:rsidTr="00E30525">
        <w:trPr>
          <w:trHeight w:val="1420"/>
        </w:trPr>
        <w:tc>
          <w:tcPr>
            <w:tcW w:w="1984" w:type="dxa"/>
            <w:hideMark/>
          </w:tcPr>
          <w:p w14:paraId="072AB767" w14:textId="64C05E23" w:rsidR="003C7591" w:rsidRPr="00140493" w:rsidRDefault="003C7591" w:rsidP="003C7591">
            <w:pPr>
              <w:rPr>
                <w:rFonts w:ascii="Calibri" w:eastAsia="Times New Roman" w:hAnsi="Calibri" w:cs="Calibri"/>
                <w:i/>
                <w:color w:val="000000"/>
                <w:lang w:eastAsia="fr-BE"/>
              </w:rPr>
            </w:pPr>
            <w:proofErr w:type="spellStart"/>
            <w:r w:rsidRPr="00140493">
              <w:rPr>
                <w:rFonts w:ascii="Calibri" w:eastAsia="Times New Roman" w:hAnsi="Calibri" w:cs="Calibri"/>
                <w:b/>
                <w:i/>
                <w:color w:val="000000"/>
                <w:lang w:eastAsia="fr-BE"/>
              </w:rPr>
              <w:t>UC@ctualité</w:t>
            </w:r>
            <w:proofErr w:type="spellEnd"/>
            <w:r>
              <w:rPr>
                <w:rFonts w:ascii="Calibri" w:eastAsia="Times New Roman" w:hAnsi="Calibri" w:cs="Calibri"/>
                <w:i/>
                <w:color w:val="000000"/>
                <w:lang w:eastAsia="fr-BE"/>
              </w:rPr>
              <w:t>. U</w:t>
            </w:r>
            <w:r w:rsidRPr="00140493">
              <w:rPr>
                <w:rFonts w:ascii="Calibri" w:eastAsia="Times New Roman" w:hAnsi="Calibri" w:cs="Calibri"/>
                <w:i/>
                <w:color w:val="000000"/>
                <w:lang w:eastAsia="fr-BE"/>
              </w:rPr>
              <w:t xml:space="preserve">ne mise en </w:t>
            </w:r>
            <w:r>
              <w:rPr>
                <w:rFonts w:ascii="Calibri" w:eastAsia="Times New Roman" w:hAnsi="Calibri" w:cs="Calibri"/>
                <w:i/>
                <w:color w:val="000000"/>
                <w:lang w:eastAsia="fr-BE"/>
              </w:rPr>
              <w:t>perspective de l</w:t>
            </w:r>
            <w:r w:rsidR="006B43DE">
              <w:rPr>
                <w:rFonts w:ascii="Calibri" w:eastAsia="Times New Roman" w:hAnsi="Calibri" w:cs="Calibri"/>
                <w:i/>
                <w:color w:val="000000"/>
                <w:lang w:eastAsia="fr-BE"/>
              </w:rPr>
              <w:t>’</w:t>
            </w:r>
            <w:r>
              <w:rPr>
                <w:rFonts w:ascii="Calibri" w:eastAsia="Times New Roman" w:hAnsi="Calibri" w:cs="Calibri"/>
                <w:i/>
                <w:color w:val="000000"/>
                <w:lang w:eastAsia="fr-BE"/>
              </w:rPr>
              <w:t>actualité par l</w:t>
            </w:r>
            <w:r w:rsidRPr="00140493">
              <w:rPr>
                <w:rFonts w:ascii="Calibri" w:eastAsia="Times New Roman" w:hAnsi="Calibri" w:cs="Calibri"/>
                <w:i/>
                <w:color w:val="000000"/>
                <w:lang w:eastAsia="fr-BE"/>
              </w:rPr>
              <w:t>es universitaires </w:t>
            </w:r>
          </w:p>
        </w:tc>
        <w:tc>
          <w:tcPr>
            <w:tcW w:w="3969" w:type="dxa"/>
            <w:hideMark/>
          </w:tcPr>
          <w:p w14:paraId="0CCAA265" w14:textId="37890C52" w:rsidR="003C7591" w:rsidRPr="00140493" w:rsidRDefault="00186B2A" w:rsidP="003C7591">
            <w:pPr>
              <w:rPr>
                <w:rFonts w:ascii="Calibri" w:eastAsia="Times New Roman" w:hAnsi="Calibri" w:cs="Calibri"/>
                <w:color w:val="0563C1"/>
                <w:u w:val="single"/>
                <w:lang w:eastAsia="fr-BE"/>
              </w:rPr>
            </w:pPr>
            <w:hyperlink r:id="rId18" w:history="1">
              <w:r w:rsidR="006B43DE">
                <w:rPr>
                  <w:rFonts w:ascii="Calibri" w:eastAsia="Times New Roman" w:hAnsi="Calibri" w:cs="Calibri"/>
                  <w:color w:val="0563C1"/>
                  <w:u w:val="single"/>
                  <w:lang w:eastAsia="fr-BE"/>
                </w:rPr>
                <w:t>https://</w:t>
              </w:r>
              <w:r w:rsidR="003C7591" w:rsidRPr="00140493">
                <w:rPr>
                  <w:rFonts w:ascii="Calibri" w:eastAsia="Times New Roman" w:hAnsi="Calibri" w:cs="Calibri"/>
                  <w:color w:val="0563C1"/>
                  <w:u w:val="single"/>
                  <w:lang w:eastAsia="fr-BE"/>
                </w:rPr>
                <w:t xml:space="preserve">ucactualite.hypotheses.org/ </w:t>
              </w:r>
            </w:hyperlink>
          </w:p>
        </w:tc>
        <w:tc>
          <w:tcPr>
            <w:tcW w:w="2122" w:type="dxa"/>
            <w:hideMark/>
          </w:tcPr>
          <w:p w14:paraId="54C4A41A" w14:textId="5812A906" w:rsidR="003C7591" w:rsidRPr="00140493" w:rsidRDefault="003C7591" w:rsidP="003C7591">
            <w:pPr>
              <w:rPr>
                <w:lang w:eastAsia="fr-BE"/>
              </w:rPr>
            </w:pPr>
            <w:r>
              <w:rPr>
                <w:lang w:eastAsia="fr-BE"/>
              </w:rPr>
              <w:t>[humanités multidisciplinaires</w:t>
            </w:r>
            <w:r w:rsidR="006B43DE">
              <w:rPr>
                <w:lang w:eastAsia="fr-BE"/>
              </w:rPr>
              <w:t> ;</w:t>
            </w:r>
            <w:r>
              <w:rPr>
                <w:lang w:eastAsia="fr-BE"/>
              </w:rPr>
              <w:t xml:space="preserve"> sciences sociales multidisciplinaires]</w:t>
            </w:r>
          </w:p>
        </w:tc>
        <w:tc>
          <w:tcPr>
            <w:tcW w:w="1134" w:type="dxa"/>
          </w:tcPr>
          <w:p w14:paraId="16D8681E" w14:textId="77777777" w:rsidR="003C7591" w:rsidRDefault="003C7591" w:rsidP="003C7591">
            <w:pPr>
              <w:rPr>
                <w:lang w:eastAsia="fr-BE"/>
              </w:rPr>
            </w:pPr>
            <w:r>
              <w:rPr>
                <w:lang w:eastAsia="fr-BE"/>
              </w:rPr>
              <w:t>723</w:t>
            </w:r>
          </w:p>
        </w:tc>
        <w:tc>
          <w:tcPr>
            <w:tcW w:w="1134" w:type="dxa"/>
          </w:tcPr>
          <w:p w14:paraId="071F053E" w14:textId="77777777" w:rsidR="003C7591" w:rsidRDefault="003C7591" w:rsidP="003C7591">
            <w:pPr>
              <w:rPr>
                <w:lang w:eastAsia="fr-BE"/>
              </w:rPr>
            </w:pPr>
            <w:r>
              <w:rPr>
                <w:lang w:eastAsia="fr-BE"/>
              </w:rPr>
              <w:t>1154</w:t>
            </w:r>
          </w:p>
        </w:tc>
        <w:tc>
          <w:tcPr>
            <w:tcW w:w="709" w:type="dxa"/>
          </w:tcPr>
          <w:p w14:paraId="4C18D3CB" w14:textId="77777777" w:rsidR="003C7591" w:rsidRDefault="003C7591" w:rsidP="003C7591">
            <w:pPr>
              <w:rPr>
                <w:lang w:eastAsia="fr-BE"/>
              </w:rPr>
            </w:pPr>
            <w:r>
              <w:rPr>
                <w:lang w:eastAsia="fr-BE"/>
              </w:rPr>
              <w:t>1,59</w:t>
            </w:r>
          </w:p>
        </w:tc>
      </w:tr>
    </w:tbl>
    <w:p w14:paraId="46BFB5DC" w14:textId="44C68EDA" w:rsidR="00967C7C" w:rsidRDefault="00EF4370" w:rsidP="00E21973">
      <w:pPr>
        <w:jc w:val="both"/>
      </w:pPr>
      <w:r>
        <w:t xml:space="preserve">Les statistiques disponibles </w:t>
      </w:r>
      <w:r w:rsidR="003713C1">
        <w:t xml:space="preserve">quant aux logs de connexion, dont le nombre est parfois très élevé comme </w:t>
      </w:r>
      <w:r w:rsidR="00B20281">
        <w:t>pour les</w:t>
      </w:r>
      <w:r w:rsidR="003713C1">
        <w:t xml:space="preserve"> carnets </w:t>
      </w:r>
      <w:r w:rsidR="003713C1">
        <w:rPr>
          <w:i/>
        </w:rPr>
        <w:t>Culture et politique arabes</w:t>
      </w:r>
      <w:r w:rsidR="003713C1">
        <w:t xml:space="preserve">, </w:t>
      </w:r>
      <w:proofErr w:type="spellStart"/>
      <w:r w:rsidR="003713C1">
        <w:rPr>
          <w:i/>
        </w:rPr>
        <w:t>Russ</w:t>
      </w:r>
      <w:r w:rsidR="00500D69">
        <w:rPr>
          <w:i/>
        </w:rPr>
        <w:t>E</w:t>
      </w:r>
      <w:r w:rsidR="003713C1">
        <w:rPr>
          <w:i/>
        </w:rPr>
        <w:t>urope</w:t>
      </w:r>
      <w:proofErr w:type="spellEnd"/>
      <w:r w:rsidR="003713C1">
        <w:rPr>
          <w:i/>
        </w:rPr>
        <w:t xml:space="preserve"> </w:t>
      </w:r>
      <w:r w:rsidR="003713C1">
        <w:t>ou</w:t>
      </w:r>
      <w:r w:rsidR="004B60DB">
        <w:t>,</w:t>
      </w:r>
      <w:r w:rsidR="00536816">
        <w:t xml:space="preserve"> dans une moindre mesure</w:t>
      </w:r>
      <w:r w:rsidR="004B60DB">
        <w:t>,</w:t>
      </w:r>
      <w:r w:rsidR="003713C1">
        <w:rPr>
          <w:i/>
        </w:rPr>
        <w:t xml:space="preserve"> Observatoire de la vie politique turque</w:t>
      </w:r>
      <w:r w:rsidR="00F036CD">
        <w:rPr>
          <w:i/>
        </w:rPr>
        <w:t xml:space="preserve"> </w:t>
      </w:r>
      <w:r w:rsidR="00F036CD">
        <w:t xml:space="preserve">et </w:t>
      </w:r>
      <w:proofErr w:type="spellStart"/>
      <w:r w:rsidR="00F036CD">
        <w:rPr>
          <w:i/>
        </w:rPr>
        <w:t>Polit’Bistro</w:t>
      </w:r>
      <w:proofErr w:type="spellEnd"/>
      <w:r w:rsidR="003713C1">
        <w:t>, laissent envisager une consultation</w:t>
      </w:r>
      <w:r w:rsidR="00C00B77">
        <w:t xml:space="preserve"> des blogs </w:t>
      </w:r>
      <w:r w:rsidR="003713C1">
        <w:t xml:space="preserve">par un public extra-académique. Pourtant, </w:t>
      </w:r>
      <w:r w:rsidR="00500D69">
        <w:t>les données fournies par cet</w:t>
      </w:r>
      <w:r w:rsidR="003713C1">
        <w:t xml:space="preserve"> indicateur </w:t>
      </w:r>
      <w:r w:rsidR="00500D69">
        <w:t xml:space="preserve">et </w:t>
      </w:r>
      <w:r w:rsidR="003713C1">
        <w:t xml:space="preserve">les informations associées (provenance géographique, temps de connexion etc.) restent à ce stade partiellement faussés par la présence massive de </w:t>
      </w:r>
      <w:r w:rsidR="003713C1" w:rsidRPr="003713C1">
        <w:rPr>
          <w:i/>
        </w:rPr>
        <w:t>bots</w:t>
      </w:r>
      <w:r w:rsidR="003713C1">
        <w:t>.</w:t>
      </w:r>
      <w:r w:rsidR="00500D69">
        <w:t xml:space="preserve"> D</w:t>
      </w:r>
      <w:r w:rsidR="00427048">
        <w:t xml:space="preserve">ans leur tentative de cerner le lectorat de </w:t>
      </w:r>
      <w:r w:rsidR="00427048">
        <w:rPr>
          <w:i/>
        </w:rPr>
        <w:t xml:space="preserve">Revues.org </w:t>
      </w:r>
      <w:r w:rsidR="00427048">
        <w:t>en 2008 et 2009</w:t>
      </w:r>
      <w:r w:rsidR="00500D69">
        <w:t xml:space="preserve">, Dacos et </w:t>
      </w:r>
      <w:proofErr w:type="spellStart"/>
      <w:r w:rsidR="00500D69">
        <w:t>Bester</w:t>
      </w:r>
      <w:proofErr w:type="spellEnd"/>
      <w:r w:rsidR="003D07DA">
        <w:rPr>
          <w:rStyle w:val="Appelnotedebasdep"/>
        </w:rPr>
        <w:footnoteReference w:id="22"/>
      </w:r>
      <w:r w:rsidR="00427048">
        <w:t xml:space="preserve"> signal</w:t>
      </w:r>
      <w:r w:rsidR="00500D69">
        <w:t>ai</w:t>
      </w:r>
      <w:r w:rsidR="00427048">
        <w:t>ent</w:t>
      </w:r>
      <w:r w:rsidR="00C156E6">
        <w:t xml:space="preserve"> ainsi</w:t>
      </w:r>
      <w:r w:rsidR="003D07DA">
        <w:t xml:space="preserve"> les limites</w:t>
      </w:r>
      <w:r w:rsidR="00742D58">
        <w:t xml:space="preserve"> d’une étude des usagers centrée sur les logs</w:t>
      </w:r>
      <w:r w:rsidR="006A05EA">
        <w:t xml:space="preserve"> de connexion</w:t>
      </w:r>
      <w:r w:rsidR="001050F0">
        <w:t>. S</w:t>
      </w:r>
      <w:r w:rsidR="00CF5674">
        <w:t xml:space="preserve">eul le </w:t>
      </w:r>
      <w:r w:rsidR="00CF5674">
        <w:rPr>
          <w:i/>
        </w:rPr>
        <w:t>taux de fidélité</w:t>
      </w:r>
      <w:r w:rsidR="00CF5674">
        <w:t xml:space="preserve"> permet</w:t>
      </w:r>
      <w:r w:rsidR="007F39FA">
        <w:t>t</w:t>
      </w:r>
      <w:r w:rsidR="001050F0">
        <w:t>rai</w:t>
      </w:r>
      <w:r w:rsidR="007F39FA">
        <w:t>t</w:t>
      </w:r>
      <w:r w:rsidR="00CF5674">
        <w:t xml:space="preserve"> peu ou prou de se faire une idée du lien qui se noue entre un carnet et un public</w:t>
      </w:r>
      <w:r w:rsidR="00F05C8D">
        <w:t>, mais les études manquent pour le confirmer</w:t>
      </w:r>
      <w:r w:rsidR="00967C7C">
        <w:t>. On peut tenter de corriger ces imprécisions en menant des enquêtes qualitatives auprès des usagers</w:t>
      </w:r>
      <w:r w:rsidR="00526247">
        <w:t xml:space="preserve">, mais de telles </w:t>
      </w:r>
      <w:r w:rsidR="00967C7C">
        <w:t xml:space="preserve">enquêtes présentent également des biais, comme celui d’interroger des personnes au capital socio-culturel élevé qui ne sont pas forcément représentatifs des usagers </w:t>
      </w:r>
      <w:r w:rsidR="006B43DE">
        <w:t>« </w:t>
      </w:r>
      <w:r w:rsidR="00967C7C">
        <w:t>réels</w:t>
      </w:r>
      <w:r w:rsidR="006B43DE">
        <w:t> »</w:t>
      </w:r>
      <w:r w:rsidR="00967C7C">
        <w:t xml:space="preserve">. </w:t>
      </w:r>
    </w:p>
    <w:p w14:paraId="0EE4E3FE" w14:textId="2D639113" w:rsidR="00967C7C" w:rsidRDefault="00967C7C" w:rsidP="00967C7C">
      <w:pPr>
        <w:jc w:val="both"/>
      </w:pPr>
      <w:r>
        <w:t xml:space="preserve">Pour cette raison, je voudrais </w:t>
      </w:r>
      <w:r w:rsidR="00D15DB3">
        <w:t>adopter ici un angle différent, centré</w:t>
      </w:r>
      <w:r>
        <w:t xml:space="preserve"> sur ce que les textes</w:t>
      </w:r>
      <w:r w:rsidR="00D15DB3">
        <w:t xml:space="preserve"> et discours</w:t>
      </w:r>
      <w:r>
        <w:t xml:space="preserve"> publiés </w:t>
      </w:r>
      <w:r w:rsidR="00CB6999">
        <w:t>au sein des</w:t>
      </w:r>
      <w:r>
        <w:t xml:space="preserve"> carnets de recherche nous disent </w:t>
      </w:r>
      <w:r w:rsidR="00742896">
        <w:t>de l’allocutaire envisagé</w:t>
      </w:r>
      <w:r w:rsidR="002D15D0">
        <w:t xml:space="preserve">, </w:t>
      </w:r>
      <w:r>
        <w:t>des usages attendus</w:t>
      </w:r>
      <w:r w:rsidR="00490007">
        <w:t>, et de l’entreprise de médiation ou de médiatisation des connaissances</w:t>
      </w:r>
      <w:r w:rsidR="00F65487">
        <w:t xml:space="preserve"> qui </w:t>
      </w:r>
      <w:r w:rsidR="00DA319D">
        <w:t xml:space="preserve">s’y </w:t>
      </w:r>
      <w:r w:rsidR="00A5203B">
        <w:t>joue</w:t>
      </w:r>
      <w:r w:rsidR="001F0790">
        <w:rPr>
          <w:rStyle w:val="Appelnotedebasdep"/>
        </w:rPr>
        <w:footnoteReference w:id="23"/>
      </w:r>
      <w:r>
        <w:t xml:space="preserve">. </w:t>
      </w:r>
      <w:r w:rsidR="00AC02B4">
        <w:t xml:space="preserve">Jeanneret situe le discours au rang des </w:t>
      </w:r>
      <w:r w:rsidR="00AC02B4" w:rsidRPr="001B0926">
        <w:rPr>
          <w:i/>
        </w:rPr>
        <w:t>opérateurs de trivialité</w:t>
      </w:r>
      <w:r w:rsidR="00AC02B4">
        <w:t xml:space="preserve">, comme </w:t>
      </w:r>
      <w:r w:rsidR="006B43DE">
        <w:t>« </w:t>
      </w:r>
      <w:proofErr w:type="spellStart"/>
      <w:proofErr w:type="gramStart"/>
      <w:r w:rsidR="00AC02B4" w:rsidRPr="009C1396">
        <w:t>révélat</w:t>
      </w:r>
      <w:proofErr w:type="spellEnd"/>
      <w:r w:rsidR="00AC02B4" w:rsidRPr="009C1396">
        <w:t>[</w:t>
      </w:r>
      <w:proofErr w:type="spellStart"/>
      <w:proofErr w:type="gramEnd"/>
      <w:r w:rsidR="00AC02B4" w:rsidRPr="009C1396">
        <w:t>eur</w:t>
      </w:r>
      <w:proofErr w:type="spellEnd"/>
      <w:r w:rsidR="00AC02B4" w:rsidRPr="009C1396">
        <w:t>] de l’importance et de la nature des activités de réappropriation et de transformation des êtres culturels</w:t>
      </w:r>
      <w:r w:rsidR="006B43DE">
        <w:t> </w:t>
      </w:r>
      <w:r w:rsidR="006B43DE" w:rsidRPr="009C1396">
        <w:t>»</w:t>
      </w:r>
      <w:r w:rsidR="00AC02B4">
        <w:rPr>
          <w:rStyle w:val="Appelnotedebasdep"/>
        </w:rPr>
        <w:footnoteReference w:id="24"/>
      </w:r>
      <w:r w:rsidR="00AC02B4">
        <w:t xml:space="preserve">. </w:t>
      </w:r>
      <w:r w:rsidR="009758B1">
        <w:t>D’après</w:t>
      </w:r>
      <w:r w:rsidR="00AC02B4">
        <w:t xml:space="preserve"> </w:t>
      </w:r>
      <w:r w:rsidR="009758B1">
        <w:t>lui</w:t>
      </w:r>
      <w:r w:rsidR="00AC02B4">
        <w:t>, quatre pôles peuvent être convoqués pour étudier le discours dans la perspective de la trivialité</w:t>
      </w:r>
      <w:r w:rsidR="006B43DE">
        <w:t> :</w:t>
      </w:r>
      <w:r w:rsidR="00AC02B4">
        <w:t xml:space="preserve"> </w:t>
      </w:r>
      <w:r w:rsidR="00AC02B4" w:rsidRPr="000E6E2E">
        <w:rPr>
          <w:i/>
        </w:rPr>
        <w:t>l’anticipation</w:t>
      </w:r>
      <w:r w:rsidR="00AC02B4">
        <w:t xml:space="preserve"> des publics, la </w:t>
      </w:r>
      <w:r w:rsidR="00AC02B4" w:rsidRPr="000E6E2E">
        <w:rPr>
          <w:i/>
        </w:rPr>
        <w:t>densification sémiotique</w:t>
      </w:r>
      <w:r w:rsidR="00AC02B4">
        <w:rPr>
          <w:i/>
        </w:rPr>
        <w:t xml:space="preserve"> </w:t>
      </w:r>
      <w:r w:rsidR="00AC02B4">
        <w:t xml:space="preserve">(reprise d’énoncés porteurs de sens dans un univers culturel </w:t>
      </w:r>
      <w:r w:rsidR="00AC02B4">
        <w:lastRenderedPageBreak/>
        <w:t xml:space="preserve">donné), les </w:t>
      </w:r>
      <w:r w:rsidR="00AC02B4" w:rsidRPr="000E6E2E">
        <w:rPr>
          <w:i/>
        </w:rPr>
        <w:t>pratiques de citation</w:t>
      </w:r>
      <w:r w:rsidR="00AC02B4">
        <w:t xml:space="preserve"> et l’</w:t>
      </w:r>
      <w:r w:rsidR="00AC02B4" w:rsidRPr="000E6E2E">
        <w:rPr>
          <w:i/>
        </w:rPr>
        <w:t>énonciation éditoriale</w:t>
      </w:r>
      <w:r w:rsidR="00CB0A95">
        <w:t xml:space="preserve"> –</w:t>
      </w:r>
      <w:r w:rsidR="004F065F">
        <w:t xml:space="preserve"> </w:t>
      </w:r>
      <w:r w:rsidR="00CB0A95">
        <w:t>notio</w:t>
      </w:r>
      <w:r w:rsidR="004F065F">
        <w:t>n</w:t>
      </w:r>
      <w:r w:rsidR="00CB0A95">
        <w:t xml:space="preserve"> </w:t>
      </w:r>
      <w:r w:rsidR="00AC02B4">
        <w:t xml:space="preserve">définie par Jeanneret et </w:t>
      </w:r>
      <w:proofErr w:type="spellStart"/>
      <w:r w:rsidR="00AC02B4">
        <w:t>Souchier</w:t>
      </w:r>
      <w:proofErr w:type="spellEnd"/>
      <w:r w:rsidR="00AC02B4">
        <w:t xml:space="preserve"> comme </w:t>
      </w:r>
      <w:r w:rsidR="006B43DE">
        <w:t>« </w:t>
      </w:r>
      <w:r w:rsidR="00AC02B4">
        <w:t>ce qui contribue à la production matérielle des formes qui donnent au texte sa consistance, son ‘’image de texte’</w:t>
      </w:r>
      <w:r w:rsidR="006B43DE">
        <w:t>’« </w:t>
      </w:r>
      <w:r w:rsidR="00AC02B4">
        <w:t xml:space="preserve"> qui lui permet d</w:t>
      </w:r>
      <w:r w:rsidR="006B43DE">
        <w:t>’« </w:t>
      </w:r>
      <w:r w:rsidR="00AC02B4">
        <w:t>exister matériellement, socialement, culturellement… aux yeux du lecteur</w:t>
      </w:r>
      <w:r w:rsidR="006B43DE">
        <w:t> »</w:t>
      </w:r>
      <w:r w:rsidR="00AC02B4">
        <w:rPr>
          <w:rStyle w:val="Appelnotedebasdep"/>
        </w:rPr>
        <w:footnoteReference w:id="25"/>
      </w:r>
      <w:r w:rsidR="00AC02B4">
        <w:t xml:space="preserve">. Ce dernier exerce là une compétence de reconnaissance de formats textuels standardisés, acquise lors de ses expériences de lectures antérieures, qui guidera les pratiques de lecture. </w:t>
      </w:r>
      <w:r>
        <w:t xml:space="preserve">Je privilégierai ainsi une approche </w:t>
      </w:r>
      <w:r w:rsidR="00D15DB3">
        <w:t>ciblant</w:t>
      </w:r>
      <w:r>
        <w:t xml:space="preserve"> le versant de la production</w:t>
      </w:r>
      <w:r w:rsidR="003535EA">
        <w:t xml:space="preserve"> </w:t>
      </w:r>
      <w:r>
        <w:t xml:space="preserve">des textes traitant de l’actualité publiés sur </w:t>
      </w:r>
      <w:r w:rsidRPr="00153791">
        <w:rPr>
          <w:i/>
        </w:rPr>
        <w:t>Hypothèses</w:t>
      </w:r>
      <w:r>
        <w:t>. L</w:t>
      </w:r>
      <w:r w:rsidRPr="00B44109">
        <w:t>e</w:t>
      </w:r>
      <w:r w:rsidRPr="00C27533">
        <w:t xml:space="preserve"> fait de postuler un public extra-académique, qui répond à la </w:t>
      </w:r>
      <w:r w:rsidRPr="00C27533">
        <w:rPr>
          <w:i/>
        </w:rPr>
        <w:t>promesse</w:t>
      </w:r>
      <w:r w:rsidRPr="00C27533">
        <w:t xml:space="preserve"> communicationnelle du dispositif, amène une autre classe d’usagers, les chercheurs, à s’approprier l’espace du carnet de recherche d’une manière spécifique</w:t>
      </w:r>
      <w:r>
        <w:t>, en travaillant les formes de la communication scientifique</w:t>
      </w:r>
      <w:r w:rsidR="006B43DE">
        <w:t> :</w:t>
      </w:r>
      <w:r w:rsidR="003170F9">
        <w:t xml:space="preserve"> je voudrais ici en relever quelques</w:t>
      </w:r>
      <w:r w:rsidRPr="00C27533">
        <w:t xml:space="preserve"> marques textuelles et discursives</w:t>
      </w:r>
      <w:r w:rsidR="00E73611">
        <w:t xml:space="preserve"> à travers l’exploration des blogs du corpus</w:t>
      </w:r>
      <w:r w:rsidRPr="00C27533">
        <w:t>.</w:t>
      </w:r>
      <w:r>
        <w:t xml:space="preserve"> </w:t>
      </w:r>
    </w:p>
    <w:p w14:paraId="5552FB4D" w14:textId="5FE9E9C9" w:rsidR="00E21973" w:rsidRDefault="000A4630" w:rsidP="003653E6">
      <w:pPr>
        <w:pStyle w:val="Titre2"/>
      </w:pPr>
      <w:r>
        <w:t>L</w:t>
      </w:r>
      <w:r w:rsidR="00A16574">
        <w:t xml:space="preserve">es </w:t>
      </w:r>
      <w:r w:rsidR="00887C76">
        <w:t>médiations</w:t>
      </w:r>
      <w:r w:rsidR="00A16574">
        <w:t xml:space="preserve"> de l’</w:t>
      </w:r>
      <w:r>
        <w:t>écriture</w:t>
      </w:r>
      <w:r w:rsidR="00E21973">
        <w:t xml:space="preserve"> sur un carnet de recherche</w:t>
      </w:r>
    </w:p>
    <w:p w14:paraId="4DAC836C" w14:textId="2A985A8A" w:rsidR="00FE65FD" w:rsidRPr="00533147" w:rsidRDefault="00291B20" w:rsidP="005E262F">
      <w:pPr>
        <w:jc w:val="both"/>
      </w:pPr>
      <w:r>
        <w:t xml:space="preserve">L’énonciation éditoriale </w:t>
      </w:r>
      <w:r w:rsidR="00692F1F">
        <w:t xml:space="preserve">du blog </w:t>
      </w:r>
      <w:r>
        <w:t xml:space="preserve">favorise un format de billet </w:t>
      </w:r>
      <w:r w:rsidR="00FE65FD">
        <w:t>bref</w:t>
      </w:r>
      <w:r w:rsidR="006B43DE">
        <w:t> ;</w:t>
      </w:r>
      <w:r>
        <w:t xml:space="preserve"> elle se rapproche des modèles de la presse (titres de la Une, colonnes de brèves, organisation par rubriques, etc.) davantage que des modèles traditionnels de la publication scientifique, calibrés sur des articles d’environ 30 000 signes.</w:t>
      </w:r>
      <w:r w:rsidR="008E068F">
        <w:t xml:space="preserve"> Bien qu’il ne s’agisse pas d’un CMS spécialisé pour l’édition de text</w:t>
      </w:r>
      <w:r w:rsidR="00F67BC7">
        <w:t>es (</w:t>
      </w:r>
      <w:r w:rsidR="00D06052">
        <w:t>comme l’est</w:t>
      </w:r>
      <w:r w:rsidR="008E068F">
        <w:t xml:space="preserve"> </w:t>
      </w:r>
      <w:proofErr w:type="spellStart"/>
      <w:r w:rsidR="008E068F">
        <w:rPr>
          <w:i/>
        </w:rPr>
        <w:t>Lodel</w:t>
      </w:r>
      <w:proofErr w:type="spellEnd"/>
      <w:r w:rsidR="003C6801">
        <w:t>,</w:t>
      </w:r>
      <w:r w:rsidR="008E068F">
        <w:t xml:space="preserve"> qui est</w:t>
      </w:r>
      <w:r w:rsidR="00D06052">
        <w:t xml:space="preserve"> quant à lui</w:t>
      </w:r>
      <w:r w:rsidR="008E068F">
        <w:t xml:space="preserve"> utilisé pour le </w:t>
      </w:r>
      <w:proofErr w:type="spellStart"/>
      <w:r w:rsidR="008E068F">
        <w:t>stylage</w:t>
      </w:r>
      <w:proofErr w:type="spellEnd"/>
      <w:r w:rsidR="008E068F">
        <w:t xml:space="preserve"> des articles sur la plateforme</w:t>
      </w:r>
      <w:r w:rsidR="001C5C97">
        <w:t xml:space="preserve"> de périodiques</w:t>
      </w:r>
      <w:r w:rsidR="008E068F">
        <w:t xml:space="preserve"> </w:t>
      </w:r>
      <w:r w:rsidR="008E068F">
        <w:rPr>
          <w:i/>
        </w:rPr>
        <w:t>Revues.org</w:t>
      </w:r>
      <w:r w:rsidR="00F67BC7">
        <w:t>)</w:t>
      </w:r>
      <w:r w:rsidR="008E068F">
        <w:t>,</w:t>
      </w:r>
      <w:r w:rsidR="001C5C97">
        <w:t xml:space="preserve"> le CMS</w:t>
      </w:r>
      <w:r>
        <w:t xml:space="preserve"> </w:t>
      </w:r>
      <w:r w:rsidR="00A014A4">
        <w:rPr>
          <w:i/>
        </w:rPr>
        <w:t>WordPress</w:t>
      </w:r>
      <w:r w:rsidR="00FE65FD">
        <w:t xml:space="preserve"> </w:t>
      </w:r>
      <w:r w:rsidR="00F67BC7">
        <w:t>d</w:t>
      </w:r>
      <w:r w:rsidR="001011C2">
        <w:t>es carnets de recherche</w:t>
      </w:r>
      <w:r w:rsidR="001C5C97">
        <w:t xml:space="preserve"> </w:t>
      </w:r>
      <w:r w:rsidR="001C5C97">
        <w:rPr>
          <w:i/>
        </w:rPr>
        <w:t xml:space="preserve">Hypothèses </w:t>
      </w:r>
      <w:r w:rsidR="00FE65FD">
        <w:t xml:space="preserve">est cependant mieux adapté qu’un CMS de </w:t>
      </w:r>
      <w:proofErr w:type="spellStart"/>
      <w:r w:rsidR="00FE65FD">
        <w:t>blogging</w:t>
      </w:r>
      <w:proofErr w:type="spellEnd"/>
      <w:r w:rsidR="00127E36">
        <w:t xml:space="preserve"> comme</w:t>
      </w:r>
      <w:r w:rsidR="00FE65FD">
        <w:t xml:space="preserve"> </w:t>
      </w:r>
      <w:r w:rsidR="00FE65FD">
        <w:rPr>
          <w:i/>
        </w:rPr>
        <w:t>Tumblr</w:t>
      </w:r>
      <w:r w:rsidR="00FE65FD">
        <w:t xml:space="preserve"> à l’édition de textes</w:t>
      </w:r>
      <w:r w:rsidR="00A014A4">
        <w:t xml:space="preserve"> structurés</w:t>
      </w:r>
      <w:r w:rsidR="001C5C97">
        <w:t>. R</w:t>
      </w:r>
      <w:r w:rsidR="00F65D5A">
        <w:t>ien n’empêche donc d’y publier un billet plus long</w:t>
      </w:r>
      <w:r w:rsidR="001C5C97">
        <w:t xml:space="preserve">, d’y insérer des niveaux de titres ou des blocs de citation </w:t>
      </w:r>
      <w:r w:rsidR="00F65D5A">
        <w:t>– là où</w:t>
      </w:r>
      <w:r w:rsidR="001C5C97">
        <w:t xml:space="preserve"> </w:t>
      </w:r>
      <w:r w:rsidR="00F65D5A">
        <w:rPr>
          <w:i/>
        </w:rPr>
        <w:t>Tumblr</w:t>
      </w:r>
      <w:r w:rsidR="00F65D5A">
        <w:t xml:space="preserve">, davantage orienté vers le </w:t>
      </w:r>
      <w:r w:rsidR="00533147">
        <w:t>partage et les réseaux sociaux</w:t>
      </w:r>
      <w:r w:rsidR="001C5C97">
        <w:t xml:space="preserve">, </w:t>
      </w:r>
      <w:r w:rsidR="00D61D06">
        <w:t xml:space="preserve">appelle des contenus très brefs et se rapproche davantage du </w:t>
      </w:r>
      <w:proofErr w:type="spellStart"/>
      <w:r w:rsidR="00D61D06">
        <w:t>microblogging</w:t>
      </w:r>
      <w:proofErr w:type="spellEnd"/>
      <w:r w:rsidR="00D61D06">
        <w:rPr>
          <w:rStyle w:val="Appelnotedebasdep"/>
        </w:rPr>
        <w:footnoteReference w:id="26"/>
      </w:r>
      <w:r w:rsidR="008E068F">
        <w:t xml:space="preserve">. </w:t>
      </w:r>
      <w:r w:rsidR="008E068F">
        <w:rPr>
          <w:i/>
        </w:rPr>
        <w:t>WordPress</w:t>
      </w:r>
      <w:r w:rsidR="008E068F">
        <w:t xml:space="preserve"> permet en outre un meilleur référencement des pages sur les moteurs de recherche, et de nombreuses </w:t>
      </w:r>
      <w:r w:rsidR="00533147">
        <w:t xml:space="preserve">fonctionnalités </w:t>
      </w:r>
      <w:r w:rsidR="00A16F07">
        <w:t>de</w:t>
      </w:r>
      <w:r w:rsidR="001C5C97">
        <w:t xml:space="preserve"> personnalisation </w:t>
      </w:r>
      <w:r w:rsidR="00533147">
        <w:t>(</w:t>
      </w:r>
      <w:r w:rsidR="001C5C97">
        <w:t xml:space="preserve">structure, </w:t>
      </w:r>
      <w:r w:rsidR="003D2CD9">
        <w:t>plug</w:t>
      </w:r>
      <w:r w:rsidR="00533147">
        <w:t>in, etc.) – bien que l’équipe d’</w:t>
      </w:r>
      <w:r w:rsidR="00533147">
        <w:rPr>
          <w:i/>
        </w:rPr>
        <w:t>Hypothèses</w:t>
      </w:r>
      <w:r w:rsidR="00533147">
        <w:t xml:space="preserve"> ait dû y opérer une sélection, ne pouvant assurer la maintenance de l’ensemble des thèmes et plugin</w:t>
      </w:r>
      <w:r w:rsidR="003D2CD9">
        <w:t>s</w:t>
      </w:r>
      <w:r w:rsidR="007B7754">
        <w:t xml:space="preserve"> sur la</w:t>
      </w:r>
      <w:r w:rsidR="00533147">
        <w:t xml:space="preserve"> plateforme.</w:t>
      </w:r>
    </w:p>
    <w:p w14:paraId="05FFDDA1" w14:textId="1916AA46" w:rsidR="005E262F" w:rsidRDefault="00291B20" w:rsidP="005E262F">
      <w:pPr>
        <w:jc w:val="both"/>
      </w:pPr>
      <w:r>
        <w:t xml:space="preserve">On peut dès à présent distinguer entre un mode d’organisation </w:t>
      </w:r>
      <w:r w:rsidR="005435DE">
        <w:t xml:space="preserve">de </w:t>
      </w:r>
      <w:r>
        <w:t xml:space="preserve">type </w:t>
      </w:r>
      <w:r w:rsidR="006B43DE">
        <w:t>« </w:t>
      </w:r>
      <w:r>
        <w:t>blog</w:t>
      </w:r>
      <w:r w:rsidR="006B43DE">
        <w:t> »</w:t>
      </w:r>
      <w:r>
        <w:t xml:space="preserve">, </w:t>
      </w:r>
      <w:r w:rsidR="005435DE">
        <w:t>où les billets</w:t>
      </w:r>
      <w:r>
        <w:t xml:space="preserve"> se succèdent verticalement les uns aux autres (thèmes </w:t>
      </w:r>
      <w:proofErr w:type="spellStart"/>
      <w:r w:rsidRPr="00E05AA1">
        <w:rPr>
          <w:i/>
        </w:rPr>
        <w:t>Twenty</w:t>
      </w:r>
      <w:proofErr w:type="spellEnd"/>
      <w:r w:rsidRPr="00E05AA1">
        <w:rPr>
          <w:i/>
        </w:rPr>
        <w:t xml:space="preserve"> </w:t>
      </w:r>
      <w:proofErr w:type="spellStart"/>
      <w:r w:rsidRPr="00E05AA1">
        <w:rPr>
          <w:i/>
        </w:rPr>
        <w:t>sixteen</w:t>
      </w:r>
      <w:proofErr w:type="spellEnd"/>
      <w:r>
        <w:t xml:space="preserve">, </w:t>
      </w:r>
      <w:proofErr w:type="spellStart"/>
      <w:r w:rsidRPr="00E05AA1">
        <w:rPr>
          <w:i/>
        </w:rPr>
        <w:t>Twenty</w:t>
      </w:r>
      <w:proofErr w:type="spellEnd"/>
      <w:r w:rsidRPr="00E05AA1">
        <w:rPr>
          <w:i/>
        </w:rPr>
        <w:t xml:space="preserve"> </w:t>
      </w:r>
      <w:proofErr w:type="spellStart"/>
      <w:r w:rsidRPr="00E05AA1">
        <w:rPr>
          <w:i/>
        </w:rPr>
        <w:t>fifteen</w:t>
      </w:r>
      <w:proofErr w:type="spellEnd"/>
      <w:r>
        <w:t xml:space="preserve">, etc.) et un mode d’organisation de type </w:t>
      </w:r>
      <w:r w:rsidR="006B43DE">
        <w:t>« </w:t>
      </w:r>
      <w:r>
        <w:t>magazine</w:t>
      </w:r>
      <w:r w:rsidR="006B43DE">
        <w:t> »</w:t>
      </w:r>
      <w:r>
        <w:t xml:space="preserve"> (thèmes </w:t>
      </w:r>
      <w:proofErr w:type="spellStart"/>
      <w:r w:rsidRPr="00E05AA1">
        <w:rPr>
          <w:i/>
        </w:rPr>
        <w:t>Hueman</w:t>
      </w:r>
      <w:proofErr w:type="spellEnd"/>
      <w:r>
        <w:t xml:space="preserve">, </w:t>
      </w:r>
      <w:proofErr w:type="spellStart"/>
      <w:r w:rsidRPr="00E05AA1">
        <w:rPr>
          <w:i/>
        </w:rPr>
        <w:t>Twenty</w:t>
      </w:r>
      <w:proofErr w:type="spellEnd"/>
      <w:r w:rsidRPr="00E05AA1">
        <w:rPr>
          <w:i/>
        </w:rPr>
        <w:t xml:space="preserve"> </w:t>
      </w:r>
      <w:proofErr w:type="spellStart"/>
      <w:r w:rsidRPr="00E05AA1">
        <w:rPr>
          <w:i/>
        </w:rPr>
        <w:t>Fourteen</w:t>
      </w:r>
      <w:proofErr w:type="spellEnd"/>
      <w:r>
        <w:t xml:space="preserve">) au sein duquel ils sont juxtaposés sur deux colonnes – les deux modes d’organisation respectent toutefois </w:t>
      </w:r>
      <w:r w:rsidR="003C6801">
        <w:t>le</w:t>
      </w:r>
      <w:r>
        <w:t xml:space="preserve"> principe du classement </w:t>
      </w:r>
      <w:proofErr w:type="spellStart"/>
      <w:r>
        <w:t>antéchronologique</w:t>
      </w:r>
      <w:proofErr w:type="spellEnd"/>
      <w:r>
        <w:t xml:space="preserve"> des contenus, où les publications les plus récentes sont placé</w:t>
      </w:r>
      <w:r w:rsidR="00AD5AFA">
        <w:t>e</w:t>
      </w:r>
      <w:r>
        <w:t>s en tête.</w:t>
      </w:r>
      <w:r w:rsidR="005E262F">
        <w:t xml:space="preserve"> La variété des thèmes </w:t>
      </w:r>
      <w:r w:rsidR="003C6801">
        <w:rPr>
          <w:i/>
        </w:rPr>
        <w:t>WordP</w:t>
      </w:r>
      <w:r w:rsidR="005E262F" w:rsidRPr="005A039B">
        <w:rPr>
          <w:i/>
        </w:rPr>
        <w:t>ress</w:t>
      </w:r>
      <w:r w:rsidR="005E262F">
        <w:t xml:space="preserve"> disponibles sur </w:t>
      </w:r>
      <w:r w:rsidR="005E262F">
        <w:rPr>
          <w:i/>
        </w:rPr>
        <w:t>Hypothèses</w:t>
      </w:r>
      <w:r w:rsidR="005E262F">
        <w:t xml:space="preserve"> laisse entrevoir une diversité d’appropriations par les chercheurs, qui anticipent des pratiques de lectures différenciées. Le point commun, minimal, est la présence d’un bandeau de titre, d’un menu et de catégories de publication, dont la dénomination est laissée à l’appréciation du gestionnaire. À cela s’ajoute, très souvent, une colonne latérale où défilent des flux d’actualité ou récapitulant les thèmes abordés. </w:t>
      </w:r>
      <w:r w:rsidR="00A7782B">
        <w:t xml:space="preserve">Les billets sont généralement présentés par le titre suivi de quelques lignes d’accroche, précédant la mention </w:t>
      </w:r>
      <w:r w:rsidR="006B43DE">
        <w:t>« </w:t>
      </w:r>
      <w:r w:rsidR="00A7782B">
        <w:t>lire la suite</w:t>
      </w:r>
      <w:r w:rsidR="006B43DE">
        <w:t> »</w:t>
      </w:r>
      <w:r w:rsidR="00E12B0C">
        <w:t>,</w:t>
      </w:r>
      <w:r w:rsidR="006B43DE">
        <w:t xml:space="preserve"> </w:t>
      </w:r>
      <w:r w:rsidR="00A7782B">
        <w:t xml:space="preserve">ce qui permet la visualisation simultanée des contenus les plus récents du carnet de recherche. </w:t>
      </w:r>
      <w:r w:rsidR="007B7754">
        <w:t xml:space="preserve">Parmi les carnets organisant l’information linéairement, on relève </w:t>
      </w:r>
      <w:proofErr w:type="spellStart"/>
      <w:r w:rsidR="007B7754">
        <w:rPr>
          <w:i/>
        </w:rPr>
        <w:t>UC@ctualité</w:t>
      </w:r>
      <w:proofErr w:type="spellEnd"/>
      <w:r w:rsidR="007B7754">
        <w:t>, au sein duquel les chercheurs sont invités à prendre la plume et à soumettre une lecture de l’actualité (le premier thème étant un regard sur la société post-attentats)</w:t>
      </w:r>
      <w:r w:rsidR="006B43DE">
        <w:t> ;</w:t>
      </w:r>
      <w:r w:rsidR="007B7754">
        <w:t xml:space="preserve"> les contributions sont de ce fait irrégulières. </w:t>
      </w:r>
      <w:r w:rsidR="007B7754">
        <w:rPr>
          <w:i/>
        </w:rPr>
        <w:t>Culture et politique arabes</w:t>
      </w:r>
      <w:r w:rsidR="007B7754">
        <w:t xml:space="preserve"> fournit un billet hebdomadaire touchant aux actualités du monde arabo-musulman</w:t>
      </w:r>
      <w:r w:rsidR="002E1E0E">
        <w:t xml:space="preserve"> à partir d’un objet culturel</w:t>
      </w:r>
      <w:r w:rsidR="006B43DE">
        <w:t> ;</w:t>
      </w:r>
      <w:r w:rsidR="007B7754">
        <w:t xml:space="preserve"> </w:t>
      </w:r>
      <w:proofErr w:type="spellStart"/>
      <w:r w:rsidR="007B7754">
        <w:rPr>
          <w:i/>
        </w:rPr>
        <w:t>Polit’bistro</w:t>
      </w:r>
      <w:proofErr w:type="spellEnd"/>
      <w:r w:rsidR="007B7754">
        <w:t xml:space="preserve">, carnet de jeunes chercheurs en sciences politiques qui </w:t>
      </w:r>
      <w:r w:rsidR="007B7754">
        <w:lastRenderedPageBreak/>
        <w:t xml:space="preserve">réagissent régulièrement aux événements du monde, publie deux à trois fois par semaine. Le blog </w:t>
      </w:r>
      <w:r w:rsidR="007B7754">
        <w:rPr>
          <w:i/>
        </w:rPr>
        <w:t>Japon contemporain</w:t>
      </w:r>
      <w:r w:rsidR="007B7754">
        <w:t xml:space="preserve"> fait se succéder informations ponctuelles et enquêtes sur la société nippone</w:t>
      </w:r>
      <w:r w:rsidR="006B43DE">
        <w:t> ;</w:t>
      </w:r>
      <w:r w:rsidR="007B7754">
        <w:t xml:space="preserve"> </w:t>
      </w:r>
      <w:proofErr w:type="spellStart"/>
      <w:r w:rsidR="007B7754">
        <w:rPr>
          <w:i/>
        </w:rPr>
        <w:t>LAMenparle</w:t>
      </w:r>
      <w:proofErr w:type="spellEnd"/>
      <w:r w:rsidR="007B7754">
        <w:t xml:space="preserve"> propose des billets de réflexion sur l’actualité africaine. On trouve encore dans cette catégorie </w:t>
      </w:r>
      <w:r w:rsidR="007B7754">
        <w:rPr>
          <w:i/>
        </w:rPr>
        <w:t>L’intelligence du monde</w:t>
      </w:r>
      <w:r w:rsidR="007B7754">
        <w:t>, espace éditorial à part entière, assurant</w:t>
      </w:r>
      <w:r w:rsidR="007B7754" w:rsidRPr="008D26A2">
        <w:t xml:space="preserve"> la promotion médiatique </w:t>
      </w:r>
      <w:r w:rsidR="007B7754">
        <w:t xml:space="preserve">de billets choisis sur </w:t>
      </w:r>
      <w:r w:rsidR="007B7754">
        <w:rPr>
          <w:i/>
        </w:rPr>
        <w:t>Hypothèses</w:t>
      </w:r>
      <w:r w:rsidR="007B7754" w:rsidRPr="008D26A2">
        <w:t xml:space="preserve"> selon les critères du public </w:t>
      </w:r>
      <w:r w:rsidR="007B7754">
        <w:t>auquel il s’adresse</w:t>
      </w:r>
      <w:r w:rsidR="007B7754" w:rsidRPr="008D26A2">
        <w:t xml:space="preserve"> (</w:t>
      </w:r>
      <w:r w:rsidR="007B7754">
        <w:t>les membres de l’</w:t>
      </w:r>
      <w:r w:rsidR="007B7754" w:rsidRPr="008D26A2">
        <w:t>Institut français)</w:t>
      </w:r>
      <w:r w:rsidR="007B7754">
        <w:t xml:space="preserve">. Concernant les carnets ayant opté pour le mode </w:t>
      </w:r>
      <w:r w:rsidR="006B43DE">
        <w:t>« </w:t>
      </w:r>
      <w:r w:rsidR="007B7754">
        <w:t>magazine</w:t>
      </w:r>
      <w:r w:rsidR="006B43DE">
        <w:t> »</w:t>
      </w:r>
      <w:r w:rsidR="007B7754">
        <w:t xml:space="preserve">, on relève </w:t>
      </w:r>
      <w:r w:rsidR="007B7754">
        <w:rPr>
          <w:i/>
        </w:rPr>
        <w:t>L’atome de discorde</w:t>
      </w:r>
      <w:r w:rsidR="007B7754">
        <w:t xml:space="preserve">, où la juxtaposition des vignettes fait dans un certain sens écho au projet de la recherche reposant sur des éléments cartographiques, et participe d’un mode d’appréhension des données global et synthétique. </w:t>
      </w:r>
      <w:proofErr w:type="spellStart"/>
      <w:r w:rsidR="007B7754">
        <w:rPr>
          <w:i/>
        </w:rPr>
        <w:t>Ovipot</w:t>
      </w:r>
      <w:proofErr w:type="spellEnd"/>
      <w:r w:rsidR="007B7754">
        <w:rPr>
          <w:i/>
        </w:rPr>
        <w:t xml:space="preserve">, </w:t>
      </w:r>
      <w:r w:rsidR="007B7754">
        <w:t xml:space="preserve">ainsi qu’en témoigne le nombre impressionnant de rubriques touchant à différents secteurs de la vie politique turque dans son actualité, opte pour un traitement </w:t>
      </w:r>
      <w:proofErr w:type="spellStart"/>
      <w:r w:rsidR="007B7754">
        <w:t>multiaspectuel</w:t>
      </w:r>
      <w:proofErr w:type="spellEnd"/>
      <w:r w:rsidR="007B7754">
        <w:t xml:space="preserve"> de son sujet qui se reflète dans l’énonciation éditoriale du carnet. Une logique similaire anime l’organisation du carnet </w:t>
      </w:r>
      <w:proofErr w:type="spellStart"/>
      <w:r w:rsidR="007B7754" w:rsidRPr="00E932EC">
        <w:rPr>
          <w:i/>
        </w:rPr>
        <w:t>RussEurope</w:t>
      </w:r>
      <w:proofErr w:type="spellEnd"/>
      <w:r w:rsidR="007B7754">
        <w:t xml:space="preserve">. </w:t>
      </w:r>
      <w:r w:rsidR="007B7754" w:rsidRPr="00E932EC">
        <w:t>Un</w:t>
      </w:r>
      <w:r w:rsidR="007B7754">
        <w:t xml:space="preserve"> entre-deux se dessine avec une organisation comme celle du </w:t>
      </w:r>
      <w:r w:rsidR="007B7754">
        <w:rPr>
          <w:i/>
        </w:rPr>
        <w:t>Carnet de l’IREMAM</w:t>
      </w:r>
      <w:r w:rsidR="007B7754">
        <w:t xml:space="preserve">, où le fil des billets est encadré par deux colonnes très denses en termes de contenus (mots-clés, récapitulation des billets les plus récents, flux RSS, etc.) qui augmentent la dimension globale de la présentation des éléments. </w:t>
      </w:r>
      <w:r w:rsidR="00CA7A4C">
        <w:t>Le choix du mode d’organisation des billets laisse entrevoir une anticipation de l’usage du lectorat</w:t>
      </w:r>
      <w:r w:rsidR="006B43DE">
        <w:t> :</w:t>
      </w:r>
      <w:r w:rsidR="00CA7A4C">
        <w:t xml:space="preserve"> d’une part, pour le mode </w:t>
      </w:r>
      <w:r w:rsidR="006B43DE">
        <w:t>« </w:t>
      </w:r>
      <w:r w:rsidR="00CA7A4C">
        <w:t>magazine</w:t>
      </w:r>
      <w:r w:rsidR="006B43DE">
        <w:t> »</w:t>
      </w:r>
      <w:r w:rsidR="00CA7A4C">
        <w:t xml:space="preserve">, </w:t>
      </w:r>
      <w:r w:rsidR="00C0269D">
        <w:t>une</w:t>
      </w:r>
      <w:r w:rsidR="00CA7A4C">
        <w:t xml:space="preserve"> consult</w:t>
      </w:r>
      <w:r w:rsidR="00C0269D">
        <w:t>ation panoramique, ou la</w:t>
      </w:r>
      <w:r w:rsidR="00CA7A4C">
        <w:t xml:space="preserve"> mise en correspondance </w:t>
      </w:r>
      <w:r w:rsidR="00C0269D">
        <w:t xml:space="preserve">du traitement de l’actualité </w:t>
      </w:r>
      <w:r w:rsidR="00CA7A4C">
        <w:t>avec d’autres volets d’une recherche en cours</w:t>
      </w:r>
      <w:r w:rsidR="006B43DE">
        <w:t> ;</w:t>
      </w:r>
      <w:r w:rsidR="00CA7A4C">
        <w:t xml:space="preserve"> d’autre part, pour le mode </w:t>
      </w:r>
      <w:r w:rsidR="006B43DE">
        <w:t>« </w:t>
      </w:r>
      <w:r w:rsidR="00CA7A4C">
        <w:t>blog</w:t>
      </w:r>
      <w:r w:rsidR="006B43DE">
        <w:t> »</w:t>
      </w:r>
      <w:r w:rsidR="00CA7A4C">
        <w:t>, l’invitation au suivi, anticipant une consultation régulière et un lectorat d’habitués.</w:t>
      </w:r>
    </w:p>
    <w:p w14:paraId="455A25DB" w14:textId="3E7FE10B" w:rsidR="00291B20" w:rsidRPr="0014077F" w:rsidRDefault="00291B20" w:rsidP="00291B20">
      <w:pPr>
        <w:jc w:val="both"/>
        <w:rPr>
          <w:u w:val="single"/>
        </w:rPr>
      </w:pPr>
      <w:r w:rsidRPr="0014077F">
        <w:rPr>
          <w:u w:val="single"/>
        </w:rPr>
        <w:t xml:space="preserve">Fig. </w:t>
      </w:r>
      <w:r w:rsidR="008A6ED0">
        <w:rPr>
          <w:u w:val="single"/>
        </w:rPr>
        <w:t>1</w:t>
      </w:r>
      <w:r w:rsidR="006B43DE">
        <w:rPr>
          <w:u w:val="single"/>
        </w:rPr>
        <w:t> </w:t>
      </w:r>
      <w:r w:rsidR="006B43DE" w:rsidRPr="0014077F">
        <w:rPr>
          <w:u w:val="single"/>
        </w:rPr>
        <w:t>:</w:t>
      </w:r>
      <w:r w:rsidRPr="0014077F">
        <w:rPr>
          <w:u w:val="single"/>
        </w:rPr>
        <w:t xml:space="preserve"> Capture d’écran du carnet </w:t>
      </w:r>
      <w:proofErr w:type="spellStart"/>
      <w:r w:rsidRPr="0014077F">
        <w:rPr>
          <w:i/>
          <w:u w:val="single"/>
        </w:rPr>
        <w:t>Ovipot</w:t>
      </w:r>
      <w:proofErr w:type="spellEnd"/>
      <w:r w:rsidRPr="0014077F">
        <w:rPr>
          <w:u w:val="single"/>
        </w:rPr>
        <w:t xml:space="preserve">, privilégiant un mode d’organisation des billets de type </w:t>
      </w:r>
      <w:r w:rsidR="006B43DE">
        <w:rPr>
          <w:u w:val="single"/>
        </w:rPr>
        <w:t>« </w:t>
      </w:r>
      <w:r w:rsidRPr="0014077F">
        <w:rPr>
          <w:u w:val="single"/>
        </w:rPr>
        <w:t>magazine</w:t>
      </w:r>
      <w:r w:rsidR="006B43DE">
        <w:rPr>
          <w:u w:val="single"/>
        </w:rPr>
        <w:t> </w:t>
      </w:r>
      <w:r w:rsidR="006B43DE" w:rsidRPr="0014077F">
        <w:rPr>
          <w:u w:val="single"/>
        </w:rPr>
        <w:t>»</w:t>
      </w:r>
      <w:r w:rsidRPr="0014077F">
        <w:rPr>
          <w:u w:val="single"/>
        </w:rPr>
        <w:t xml:space="preserve"> </w:t>
      </w:r>
      <w:r w:rsidRPr="0009758D">
        <w:rPr>
          <w:u w:val="single"/>
        </w:rPr>
        <w:t>(</w:t>
      </w:r>
      <w:r w:rsidR="0009758D" w:rsidRPr="0009758D">
        <w:rPr>
          <w:u w:val="single"/>
        </w:rPr>
        <w:t>capturé le</w:t>
      </w:r>
      <w:r w:rsidRPr="0009758D">
        <w:rPr>
          <w:u w:val="single"/>
        </w:rPr>
        <w:t xml:space="preserve"> 18 janvier 2017</w:t>
      </w:r>
      <w:r w:rsidR="0009758D">
        <w:rPr>
          <w:u w:val="single"/>
        </w:rPr>
        <w:t xml:space="preserve">, d’après </w:t>
      </w:r>
      <w:proofErr w:type="spellStart"/>
      <w:r w:rsidR="0009758D">
        <w:rPr>
          <w:i/>
          <w:u w:val="single"/>
        </w:rPr>
        <w:t>InternetArchive</w:t>
      </w:r>
      <w:proofErr w:type="spellEnd"/>
      <w:r w:rsidRPr="0009758D">
        <w:rPr>
          <w:u w:val="single"/>
        </w:rPr>
        <w:t>)</w:t>
      </w:r>
    </w:p>
    <w:p w14:paraId="2E6B29F6" w14:textId="77777777" w:rsidR="00291B20" w:rsidRDefault="00291B20" w:rsidP="00291B20">
      <w:pPr>
        <w:jc w:val="center"/>
      </w:pPr>
      <w:r>
        <w:rPr>
          <w:noProof/>
          <w:lang w:eastAsia="fr-BE"/>
        </w:rPr>
        <w:lastRenderedPageBreak/>
        <w:drawing>
          <wp:inline distT="0" distB="0" distL="0" distR="0" wp14:anchorId="717B2E4A" wp14:editId="6D422488">
            <wp:extent cx="5091037" cy="675132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 d'écran 2017-08-07 13.48.44.jpg"/>
                    <pic:cNvPicPr/>
                  </pic:nvPicPr>
                  <pic:blipFill>
                    <a:blip r:embed="rId19">
                      <a:extLst>
                        <a:ext uri="{28A0092B-C50C-407E-A947-70E740481C1C}">
                          <a14:useLocalDpi xmlns:a14="http://schemas.microsoft.com/office/drawing/2010/main" val="0"/>
                        </a:ext>
                      </a:extLst>
                    </a:blip>
                    <a:stretch>
                      <a:fillRect/>
                    </a:stretch>
                  </pic:blipFill>
                  <pic:spPr>
                    <a:xfrm>
                      <a:off x="0" y="0"/>
                      <a:ext cx="5103420" cy="6767741"/>
                    </a:xfrm>
                    <a:prstGeom prst="rect">
                      <a:avLst/>
                    </a:prstGeom>
                  </pic:spPr>
                </pic:pic>
              </a:graphicData>
            </a:graphic>
          </wp:inline>
        </w:drawing>
      </w:r>
    </w:p>
    <w:p w14:paraId="60358F51" w14:textId="7045B59E" w:rsidR="00291B20" w:rsidRDefault="00291B20" w:rsidP="00291B20">
      <w:pPr>
        <w:jc w:val="both"/>
        <w:rPr>
          <w:u w:val="single"/>
        </w:rPr>
      </w:pPr>
      <w:r>
        <w:rPr>
          <w:u w:val="single"/>
        </w:rPr>
        <w:t xml:space="preserve">Fig. </w:t>
      </w:r>
      <w:r w:rsidR="008A6ED0">
        <w:rPr>
          <w:u w:val="single"/>
        </w:rPr>
        <w:t>2</w:t>
      </w:r>
      <w:r w:rsidR="006B43DE">
        <w:rPr>
          <w:u w:val="single"/>
        </w:rPr>
        <w:t> :</w:t>
      </w:r>
      <w:r>
        <w:rPr>
          <w:u w:val="single"/>
        </w:rPr>
        <w:t xml:space="preserve"> </w:t>
      </w:r>
      <w:r w:rsidRPr="0014077F">
        <w:rPr>
          <w:u w:val="single"/>
        </w:rPr>
        <w:t>Capture d’écran du carne</w:t>
      </w:r>
      <w:r w:rsidRPr="00BE5F43">
        <w:rPr>
          <w:u w:val="single"/>
        </w:rPr>
        <w:t xml:space="preserve">t </w:t>
      </w:r>
      <w:proofErr w:type="spellStart"/>
      <w:r w:rsidRPr="00E12B0C">
        <w:rPr>
          <w:i/>
          <w:u w:val="single"/>
        </w:rPr>
        <w:t>UC@ctualité</w:t>
      </w:r>
      <w:proofErr w:type="spellEnd"/>
      <w:r w:rsidRPr="00E12B0C">
        <w:rPr>
          <w:u w:val="single"/>
        </w:rPr>
        <w:t>,</w:t>
      </w:r>
      <w:r w:rsidRPr="0014077F">
        <w:rPr>
          <w:u w:val="single"/>
        </w:rPr>
        <w:t xml:space="preserve"> privilégiant un mode d’organisation des billets de type </w:t>
      </w:r>
      <w:r w:rsidR="006B43DE">
        <w:rPr>
          <w:u w:val="single"/>
        </w:rPr>
        <w:t>« </w:t>
      </w:r>
      <w:r>
        <w:rPr>
          <w:u w:val="single"/>
        </w:rPr>
        <w:t>blog</w:t>
      </w:r>
      <w:r w:rsidR="006B43DE">
        <w:rPr>
          <w:u w:val="single"/>
        </w:rPr>
        <w:t> »</w:t>
      </w:r>
      <w:r w:rsidRPr="0014077F">
        <w:rPr>
          <w:u w:val="single"/>
        </w:rPr>
        <w:t xml:space="preserve"> </w:t>
      </w:r>
      <w:r w:rsidRPr="00AE31DD">
        <w:rPr>
          <w:u w:val="single"/>
        </w:rPr>
        <w:t>(</w:t>
      </w:r>
      <w:r w:rsidR="00AE31DD" w:rsidRPr="00AE31DD">
        <w:rPr>
          <w:u w:val="single"/>
        </w:rPr>
        <w:t xml:space="preserve">capturé le </w:t>
      </w:r>
      <w:r w:rsidRPr="00AE31DD">
        <w:rPr>
          <w:u w:val="single"/>
        </w:rPr>
        <w:t>7 août 2017)</w:t>
      </w:r>
    </w:p>
    <w:p w14:paraId="01C8052D" w14:textId="77777777" w:rsidR="00291B20" w:rsidRDefault="00291B20" w:rsidP="00291B20">
      <w:pPr>
        <w:jc w:val="center"/>
        <w:rPr>
          <w:u w:val="single"/>
        </w:rPr>
      </w:pPr>
      <w:r>
        <w:rPr>
          <w:noProof/>
          <w:u w:val="single"/>
          <w:lang w:eastAsia="fr-BE"/>
        </w:rPr>
        <w:lastRenderedPageBreak/>
        <w:drawing>
          <wp:inline distT="0" distB="0" distL="0" distR="0" wp14:anchorId="63018C94" wp14:editId="4D7AE255">
            <wp:extent cx="3489688" cy="7845238"/>
            <wp:effectExtent l="0" t="0" r="0" b="381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e d'écran 2017-08-07 14.01.11.jpg"/>
                    <pic:cNvPicPr/>
                  </pic:nvPicPr>
                  <pic:blipFill>
                    <a:blip r:embed="rId20">
                      <a:extLst>
                        <a:ext uri="{28A0092B-C50C-407E-A947-70E740481C1C}">
                          <a14:useLocalDpi xmlns:a14="http://schemas.microsoft.com/office/drawing/2010/main" val="0"/>
                        </a:ext>
                      </a:extLst>
                    </a:blip>
                    <a:stretch>
                      <a:fillRect/>
                    </a:stretch>
                  </pic:blipFill>
                  <pic:spPr>
                    <a:xfrm>
                      <a:off x="0" y="0"/>
                      <a:ext cx="3506992" cy="7884139"/>
                    </a:xfrm>
                    <a:prstGeom prst="rect">
                      <a:avLst/>
                    </a:prstGeom>
                  </pic:spPr>
                </pic:pic>
              </a:graphicData>
            </a:graphic>
          </wp:inline>
        </w:drawing>
      </w:r>
    </w:p>
    <w:p w14:paraId="21E11F60" w14:textId="600676E4" w:rsidR="008E2448" w:rsidRDefault="00E21973" w:rsidP="00E21973">
      <w:pPr>
        <w:jc w:val="both"/>
      </w:pPr>
      <w:r>
        <w:t xml:space="preserve">Si les carnets du corpus mobilisent dans leur ensemble les procédés de </w:t>
      </w:r>
      <w:proofErr w:type="spellStart"/>
      <w:r w:rsidRPr="00967F6A">
        <w:rPr>
          <w:i/>
        </w:rPr>
        <w:t>redocumentation</w:t>
      </w:r>
      <w:proofErr w:type="spellEnd"/>
      <w:r>
        <w:rPr>
          <w:i/>
        </w:rPr>
        <w:t xml:space="preserve"> </w:t>
      </w:r>
      <w:r w:rsidR="00193ECE">
        <w:t xml:space="preserve">des contenus </w:t>
      </w:r>
      <w:r>
        <w:t xml:space="preserve">qu’autorise </w:t>
      </w:r>
      <w:r w:rsidR="00E12B0C">
        <w:rPr>
          <w:i/>
        </w:rPr>
        <w:t>WordP</w:t>
      </w:r>
      <w:r w:rsidR="00B22926">
        <w:rPr>
          <w:i/>
        </w:rPr>
        <w:t>ress</w:t>
      </w:r>
      <w:r w:rsidR="00C075A9">
        <w:rPr>
          <w:i/>
        </w:rPr>
        <w:t xml:space="preserve"> </w:t>
      </w:r>
      <w:r w:rsidR="00C075A9">
        <w:t>(</w:t>
      </w:r>
      <w:r w:rsidR="00C075A9">
        <w:rPr>
          <w:lang w:eastAsia="fr-BE"/>
        </w:rPr>
        <w:t>catégories thématiques, fil de commentaires, rubriques mensuelles, nuage d’étiquettes</w:t>
      </w:r>
      <w:r w:rsidR="00C075A9">
        <w:t>)</w:t>
      </w:r>
      <w:r>
        <w:t xml:space="preserve">, ils usent diversement des possibilités de </w:t>
      </w:r>
      <w:proofErr w:type="spellStart"/>
      <w:r>
        <w:rPr>
          <w:i/>
        </w:rPr>
        <w:t>plurisémioticité</w:t>
      </w:r>
      <w:proofErr w:type="spellEnd"/>
      <w:r>
        <w:t xml:space="preserve"> et de </w:t>
      </w:r>
      <w:proofErr w:type="spellStart"/>
      <w:r>
        <w:rPr>
          <w:i/>
        </w:rPr>
        <w:t>délinéarisation</w:t>
      </w:r>
      <w:proofErr w:type="spellEnd"/>
      <w:r>
        <w:rPr>
          <w:i/>
        </w:rPr>
        <w:t xml:space="preserve"> </w:t>
      </w:r>
      <w:r>
        <w:t xml:space="preserve">du discours numérique. Les billets de </w:t>
      </w:r>
      <w:r w:rsidR="00FE449B">
        <w:rPr>
          <w:i/>
        </w:rPr>
        <w:t>Culture et politique arabes</w:t>
      </w:r>
      <w:r>
        <w:t xml:space="preserve"> se distinguent par l’insertion massive de </w:t>
      </w:r>
      <w:r>
        <w:lastRenderedPageBreak/>
        <w:t xml:space="preserve">vidéos appuyant ou développant une information, ainsi que de </w:t>
      </w:r>
      <w:proofErr w:type="spellStart"/>
      <w:r w:rsidRPr="00203832">
        <w:rPr>
          <w:i/>
        </w:rPr>
        <w:t>technomots</w:t>
      </w:r>
      <w:proofErr w:type="spellEnd"/>
      <w:r>
        <w:t xml:space="preserve"> parsemant le texte, permettant d’accéder à des ressources </w:t>
      </w:r>
      <w:proofErr w:type="spellStart"/>
      <w:r>
        <w:t>hyperliées</w:t>
      </w:r>
      <w:proofErr w:type="spellEnd"/>
      <w:r>
        <w:t xml:space="preserve">. </w:t>
      </w:r>
    </w:p>
    <w:p w14:paraId="26931BA3" w14:textId="15F674D7" w:rsidR="00DB5901" w:rsidRPr="00DB5901" w:rsidRDefault="00DB5901" w:rsidP="00DB5901">
      <w:pPr>
        <w:jc w:val="both"/>
        <w:rPr>
          <w:u w:val="single"/>
        </w:rPr>
      </w:pPr>
      <w:r w:rsidRPr="00DB5901">
        <w:rPr>
          <w:u w:val="single"/>
        </w:rPr>
        <w:t xml:space="preserve">Fig. </w:t>
      </w:r>
      <w:r w:rsidR="008A6ED0">
        <w:rPr>
          <w:u w:val="single"/>
        </w:rPr>
        <w:t>3</w:t>
      </w:r>
      <w:r w:rsidR="006B43DE">
        <w:rPr>
          <w:u w:val="single"/>
        </w:rPr>
        <w:t> </w:t>
      </w:r>
      <w:r w:rsidR="006B43DE" w:rsidRPr="00DB5901">
        <w:rPr>
          <w:u w:val="single"/>
        </w:rPr>
        <w:t>:</w:t>
      </w:r>
      <w:r w:rsidRPr="00DB5901">
        <w:rPr>
          <w:u w:val="single"/>
        </w:rPr>
        <w:t xml:space="preserve"> Capture d’écran du carnet </w:t>
      </w:r>
      <w:r w:rsidRPr="00DB5901">
        <w:rPr>
          <w:i/>
          <w:u w:val="single"/>
        </w:rPr>
        <w:t xml:space="preserve">Culture et politique arabes </w:t>
      </w:r>
      <w:r w:rsidRPr="00DB5901">
        <w:rPr>
          <w:u w:val="single"/>
        </w:rPr>
        <w:t>(Yves Gonzalez-</w:t>
      </w:r>
      <w:proofErr w:type="spellStart"/>
      <w:r w:rsidRPr="00DB5901">
        <w:rPr>
          <w:u w:val="single"/>
        </w:rPr>
        <w:t>Quijano</w:t>
      </w:r>
      <w:proofErr w:type="spellEnd"/>
      <w:r w:rsidRPr="00DB5901">
        <w:rPr>
          <w:u w:val="single"/>
        </w:rPr>
        <w:t xml:space="preserve">, </w:t>
      </w:r>
      <w:r w:rsidR="006B43DE">
        <w:rPr>
          <w:u w:val="single"/>
        </w:rPr>
        <w:t>« </w:t>
      </w:r>
      <w:r w:rsidRPr="00DB5901">
        <w:rPr>
          <w:u w:val="single"/>
        </w:rPr>
        <w:t>Menaces sur les journalistes arabes, même bien en cour…</w:t>
      </w:r>
      <w:r w:rsidR="006B43DE">
        <w:rPr>
          <w:u w:val="single"/>
        </w:rPr>
        <w:t> </w:t>
      </w:r>
      <w:r w:rsidR="006B43DE" w:rsidRPr="00DB5901">
        <w:rPr>
          <w:u w:val="single"/>
        </w:rPr>
        <w:t>»</w:t>
      </w:r>
      <w:r w:rsidRPr="00DB5901">
        <w:rPr>
          <w:u w:val="single"/>
        </w:rPr>
        <w:t xml:space="preserve">, </w:t>
      </w:r>
      <w:r w:rsidRPr="00DB5901">
        <w:rPr>
          <w:i/>
          <w:u w:val="single"/>
        </w:rPr>
        <w:t>Culture et politique arabes</w:t>
      </w:r>
      <w:r w:rsidRPr="00DB5901">
        <w:rPr>
          <w:u w:val="single"/>
        </w:rPr>
        <w:t>, publié le 01/12/2016</w:t>
      </w:r>
      <w:r w:rsidR="002F1DE0">
        <w:rPr>
          <w:u w:val="single"/>
        </w:rPr>
        <w:t xml:space="preserve"> (capturé le 7 août 2017)</w:t>
      </w:r>
      <w:r w:rsidRPr="00DB5901">
        <w:rPr>
          <w:u w:val="single"/>
        </w:rPr>
        <w:t>. En ligne</w:t>
      </w:r>
      <w:r w:rsidR="006B43DE">
        <w:rPr>
          <w:u w:val="single"/>
        </w:rPr>
        <w:t> </w:t>
      </w:r>
      <w:r w:rsidR="006B43DE" w:rsidRPr="00DB5901">
        <w:rPr>
          <w:u w:val="single"/>
        </w:rPr>
        <w:t>:</w:t>
      </w:r>
      <w:r w:rsidRPr="00DB5901">
        <w:rPr>
          <w:u w:val="single"/>
        </w:rPr>
        <w:t xml:space="preserve"> </w:t>
      </w:r>
      <w:hyperlink r:id="rId21" w:history="1">
        <w:r w:rsidR="006B43DE">
          <w:rPr>
            <w:rStyle w:val="Lienhypertexte"/>
          </w:rPr>
          <w:t>http://</w:t>
        </w:r>
        <w:r w:rsidRPr="00DB5901">
          <w:rPr>
            <w:rStyle w:val="Lienhypertexte"/>
          </w:rPr>
          <w:t>cpa.hypotheses.org/6109</w:t>
        </w:r>
      </w:hyperlink>
      <w:r w:rsidRPr="00DB5901">
        <w:rPr>
          <w:u w:val="single"/>
        </w:rPr>
        <w:t>).</w:t>
      </w:r>
    </w:p>
    <w:p w14:paraId="7354C079" w14:textId="77777777" w:rsidR="00DB5901" w:rsidRDefault="00DB5901" w:rsidP="00E21973">
      <w:pPr>
        <w:jc w:val="both"/>
      </w:pPr>
    </w:p>
    <w:p w14:paraId="2524ED7F" w14:textId="1CA203B8" w:rsidR="008E2448" w:rsidRDefault="008E2448" w:rsidP="00E21973">
      <w:pPr>
        <w:jc w:val="both"/>
      </w:pPr>
      <w:r w:rsidRPr="008E2448">
        <w:rPr>
          <w:noProof/>
          <w:lang w:eastAsia="fr-BE"/>
        </w:rPr>
        <w:drawing>
          <wp:inline distT="0" distB="0" distL="0" distR="0" wp14:anchorId="488A2AE0" wp14:editId="1B3AD6E8">
            <wp:extent cx="5760720" cy="2907318"/>
            <wp:effectExtent l="0" t="0" r="0" b="7620"/>
            <wp:docPr id="2" name="Image 2" descr="C:\Users\Ingrid\AppData\Local\Temp\6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grid\AppData\Local\Temp\6109.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0720" cy="2907318"/>
                    </a:xfrm>
                    <a:prstGeom prst="rect">
                      <a:avLst/>
                    </a:prstGeom>
                    <a:noFill/>
                    <a:ln>
                      <a:noFill/>
                    </a:ln>
                  </pic:spPr>
                </pic:pic>
              </a:graphicData>
            </a:graphic>
          </wp:inline>
        </w:drawing>
      </w:r>
    </w:p>
    <w:p w14:paraId="1835C6FA" w14:textId="4FE0C1B2" w:rsidR="00E21973" w:rsidRPr="00634908" w:rsidRDefault="004C5F14" w:rsidP="00E21973">
      <w:pPr>
        <w:jc w:val="both"/>
      </w:pPr>
      <w:r>
        <w:t xml:space="preserve">C’est également le cas du carnet </w:t>
      </w:r>
      <w:proofErr w:type="spellStart"/>
      <w:r w:rsidR="00E21973">
        <w:rPr>
          <w:i/>
        </w:rPr>
        <w:t>Ovipot</w:t>
      </w:r>
      <w:proofErr w:type="spellEnd"/>
      <w:r w:rsidR="00E21973">
        <w:t xml:space="preserve"> </w:t>
      </w:r>
      <w:r>
        <w:t xml:space="preserve">qui </w:t>
      </w:r>
      <w:r w:rsidR="00E21973">
        <w:t xml:space="preserve">utilise </w:t>
      </w:r>
      <w:r w:rsidR="00F26C98">
        <w:t>de la même manière</w:t>
      </w:r>
      <w:r w:rsidR="00E21973">
        <w:t xml:space="preserve">, au sein de ses billets, des </w:t>
      </w:r>
      <w:proofErr w:type="spellStart"/>
      <w:r w:rsidR="00E21973" w:rsidRPr="00967F6A">
        <w:rPr>
          <w:i/>
        </w:rPr>
        <w:t>technomots</w:t>
      </w:r>
      <w:proofErr w:type="spellEnd"/>
      <w:r w:rsidR="00E21973">
        <w:t xml:space="preserve"> pointant le plus souvent vers des ressources internes</w:t>
      </w:r>
      <w:r w:rsidR="00CC1689">
        <w:t xml:space="preserve">. Ces renvois aux </w:t>
      </w:r>
      <w:r w:rsidR="00E21973">
        <w:t xml:space="preserve">billets antérieurs créent un réseau très dense entre les </w:t>
      </w:r>
      <w:r w:rsidR="00817A08">
        <w:t xml:space="preserve">publications </w:t>
      </w:r>
      <w:r w:rsidR="00E21973">
        <w:t xml:space="preserve">et mettent en lien des billets publiés parfois à plusieurs années d’intervalle. Les </w:t>
      </w:r>
      <w:proofErr w:type="spellStart"/>
      <w:r w:rsidR="00E21973" w:rsidRPr="00BC35B7">
        <w:rPr>
          <w:i/>
        </w:rPr>
        <w:t>technomots</w:t>
      </w:r>
      <w:proofErr w:type="spellEnd"/>
      <w:r w:rsidR="00E21973">
        <w:t xml:space="preserve"> pointant vers des sites ou ressources externes, très fournis, sont listés dans la barre latérale de gauche. </w:t>
      </w:r>
      <w:r w:rsidR="008E64E2">
        <w:t xml:space="preserve">Dans le même registre, les billets de </w:t>
      </w:r>
      <w:proofErr w:type="spellStart"/>
      <w:r w:rsidR="008E64E2">
        <w:rPr>
          <w:i/>
        </w:rPr>
        <w:t>Polit’Bistro</w:t>
      </w:r>
      <w:proofErr w:type="spellEnd"/>
      <w:r w:rsidR="008E64E2">
        <w:t xml:space="preserve"> se distinguent par l’insertion massive de vidéos appuyant ou développant une information, ainsi que de </w:t>
      </w:r>
      <w:proofErr w:type="spellStart"/>
      <w:r w:rsidR="008E64E2" w:rsidRPr="00203832">
        <w:rPr>
          <w:i/>
        </w:rPr>
        <w:t>technomots</w:t>
      </w:r>
      <w:proofErr w:type="spellEnd"/>
      <w:r w:rsidR="008E64E2">
        <w:t xml:space="preserve"> parsemant le texte, permettant d’accéder à des ressources </w:t>
      </w:r>
      <w:proofErr w:type="spellStart"/>
      <w:r w:rsidR="008E64E2">
        <w:t>hyperliées</w:t>
      </w:r>
      <w:proofErr w:type="spellEnd"/>
      <w:r w:rsidR="008E64E2">
        <w:t>.</w:t>
      </w:r>
      <w:r w:rsidR="00634908">
        <w:t xml:space="preserve"> Si, dans les autres carnets, des </w:t>
      </w:r>
      <w:proofErr w:type="spellStart"/>
      <w:r w:rsidR="00634908">
        <w:rPr>
          <w:i/>
        </w:rPr>
        <w:t>technomots</w:t>
      </w:r>
      <w:proofErr w:type="spellEnd"/>
      <w:r w:rsidR="00634908">
        <w:t xml:space="preserve"> peuvent apparaître, on recourt plus volontiers aux hyperliens, </w:t>
      </w:r>
      <w:r w:rsidR="00531F3B">
        <w:t xml:space="preserve">insérés </w:t>
      </w:r>
      <w:r w:rsidR="00634908">
        <w:t>dans le</w:t>
      </w:r>
      <w:r w:rsidR="006A01FA">
        <w:t xml:space="preserve"> corps du</w:t>
      </w:r>
      <w:r w:rsidR="00634908">
        <w:t xml:space="preserve"> texte ou les notes.</w:t>
      </w:r>
      <w:r w:rsidR="006B43DE">
        <w:t xml:space="preserve"> </w:t>
      </w:r>
    </w:p>
    <w:p w14:paraId="3B18E795" w14:textId="17F00BAB" w:rsidR="00CF1E39" w:rsidRDefault="000F3AD0" w:rsidP="000F3AD0">
      <w:pPr>
        <w:jc w:val="both"/>
      </w:pPr>
      <w:r>
        <w:t xml:space="preserve">Ainsi que le montrent ces quelques exemples tirés du corpus, c’est, de manière plus générale, le rapport à l’archive qui se voit reconfiguré dans cet environnement. La matérialité du texte numérique, les procédés </w:t>
      </w:r>
      <w:proofErr w:type="spellStart"/>
      <w:r>
        <w:rPr>
          <w:i/>
        </w:rPr>
        <w:t>technodiscursifs</w:t>
      </w:r>
      <w:proofErr w:type="spellEnd"/>
      <w:r>
        <w:t xml:space="preserve"> mis en œuvre, incitent le lecteur</w:t>
      </w:r>
      <w:r w:rsidR="003A2F4B">
        <w:t xml:space="preserve"> </w:t>
      </w:r>
      <w:r>
        <w:t xml:space="preserve">à circuler au sein du carnet, à inscrire sa lecture </w:t>
      </w:r>
      <w:r w:rsidR="00214CB8">
        <w:t xml:space="preserve">du traitement </w:t>
      </w:r>
      <w:r>
        <w:t xml:space="preserve">d’une actualité dans un contexte plus large (de recherche, historique, politique, etc.), à la compléter par des visualisations d’images ou de graphiques, ainsi qu’à l’enrichir le cas échéant par l’activation d’une vidéo. </w:t>
      </w:r>
      <w:r w:rsidR="005109BF">
        <w:t xml:space="preserve">Ces archives convoquées par la </w:t>
      </w:r>
      <w:proofErr w:type="spellStart"/>
      <w:r w:rsidR="005109BF">
        <w:t>délinéarisation</w:t>
      </w:r>
      <w:proofErr w:type="spellEnd"/>
      <w:r w:rsidR="005109BF">
        <w:t xml:space="preserve"> possible du discours – qu’Alain </w:t>
      </w:r>
      <w:proofErr w:type="spellStart"/>
      <w:r w:rsidR="005109BF">
        <w:t>Rabatel</w:t>
      </w:r>
      <w:proofErr w:type="spellEnd"/>
      <w:r w:rsidR="005109BF">
        <w:t xml:space="preserve"> avait identifiées comme de nouvelles formes de citation ne reposant pas sur des paroles rapportées</w:t>
      </w:r>
      <w:r w:rsidR="005109BF">
        <w:rPr>
          <w:rStyle w:val="Appelnotedebasdep"/>
        </w:rPr>
        <w:footnoteReference w:id="27"/>
      </w:r>
      <w:r w:rsidR="005109BF">
        <w:t xml:space="preserve"> - </w:t>
      </w:r>
      <w:r w:rsidR="00164727">
        <w:t xml:space="preserve">nous </w:t>
      </w:r>
      <w:r w:rsidR="00171B90">
        <w:t xml:space="preserve">renseignent </w:t>
      </w:r>
      <w:r w:rsidR="00366072">
        <w:t xml:space="preserve">par ailleurs </w:t>
      </w:r>
      <w:r w:rsidR="00171B90">
        <w:t xml:space="preserve">sur l’intertexte du carnet. </w:t>
      </w:r>
    </w:p>
    <w:p w14:paraId="720FDBA6" w14:textId="404D6FB1" w:rsidR="000A065C" w:rsidRDefault="003B4329" w:rsidP="000F3AD0">
      <w:pPr>
        <w:jc w:val="both"/>
      </w:pPr>
      <w:r>
        <w:t xml:space="preserve">Le tableau 2 (infra) </w:t>
      </w:r>
      <w:r w:rsidR="00DA29E1">
        <w:t xml:space="preserve">relève les archives convoquées par les hyperliens et </w:t>
      </w:r>
      <w:proofErr w:type="spellStart"/>
      <w:r w:rsidR="00DA29E1" w:rsidRPr="00DA29E1">
        <w:rPr>
          <w:i/>
        </w:rPr>
        <w:t>technomots</w:t>
      </w:r>
      <w:proofErr w:type="spellEnd"/>
      <w:r w:rsidR="00DA29E1">
        <w:t xml:space="preserve"> présents dans l’échantillon étudié</w:t>
      </w:r>
      <w:r w:rsidR="006B43DE">
        <w:t> :</w:t>
      </w:r>
      <w:r w:rsidR="00DA29E1">
        <w:t xml:space="preserve"> presse (en ce compris radiophonique), renvois internes</w:t>
      </w:r>
      <w:r w:rsidR="00B95B77">
        <w:t xml:space="preserve"> au carnet</w:t>
      </w:r>
      <w:r w:rsidR="00DA29E1">
        <w:t xml:space="preserve">, archive </w:t>
      </w:r>
      <w:r w:rsidR="00DA29E1">
        <w:lastRenderedPageBreak/>
        <w:t xml:space="preserve">scientifique (article ou billet, programme, extrait vidéo de journée d’étude, etc.) ou archive non-scientifique (rapports, pages de site ou réseaux sociaux, notices </w:t>
      </w:r>
      <w:proofErr w:type="spellStart"/>
      <w:r w:rsidR="00DA29E1">
        <w:rPr>
          <w:i/>
        </w:rPr>
        <w:t>Wikipedia</w:t>
      </w:r>
      <w:proofErr w:type="spellEnd"/>
      <w:r w:rsidR="00DA29E1">
        <w:t xml:space="preserve">, </w:t>
      </w:r>
      <w:r w:rsidR="00356F41">
        <w:t>extraits vidéo de chansons ou films, etc.).</w:t>
      </w:r>
      <w:r w:rsidR="00CF1E39">
        <w:t xml:space="preserve"> </w:t>
      </w:r>
      <w:r w:rsidR="00742F33">
        <w:t>L’enquête fait apparaître que certains carnets accordent une place extrêmement importante au renvoi vers des sites de presse en ligne, alors que le renvoi (</w:t>
      </w:r>
      <w:proofErr w:type="spellStart"/>
      <w:r w:rsidR="00742F33">
        <w:t>technodiscursif</w:t>
      </w:r>
      <w:proofErr w:type="spellEnd"/>
      <w:r w:rsidR="00742F33">
        <w:t>) vers des sources scientifiques est très limité</w:t>
      </w:r>
      <w:r w:rsidR="006B43DE">
        <w:t> :</w:t>
      </w:r>
      <w:r w:rsidR="00742F33">
        <w:t xml:space="preserve"> c’est le cas des carnets </w:t>
      </w:r>
      <w:r w:rsidR="00742F33">
        <w:rPr>
          <w:i/>
        </w:rPr>
        <w:t>Culture et politique arabes</w:t>
      </w:r>
      <w:r w:rsidR="00742F33">
        <w:t xml:space="preserve">, </w:t>
      </w:r>
      <w:proofErr w:type="spellStart"/>
      <w:r w:rsidR="00742F33">
        <w:rPr>
          <w:i/>
        </w:rPr>
        <w:t>Ovipot</w:t>
      </w:r>
      <w:proofErr w:type="spellEnd"/>
      <w:r w:rsidR="00742F33">
        <w:t xml:space="preserve">, </w:t>
      </w:r>
      <w:proofErr w:type="spellStart"/>
      <w:r w:rsidR="00742F33">
        <w:rPr>
          <w:i/>
        </w:rPr>
        <w:t>RussEurope</w:t>
      </w:r>
      <w:proofErr w:type="spellEnd"/>
      <w:r w:rsidR="00742F33">
        <w:rPr>
          <w:i/>
        </w:rPr>
        <w:t xml:space="preserve"> </w:t>
      </w:r>
      <w:r w:rsidR="00742F33">
        <w:t xml:space="preserve">et, dans une moindre mesure, de </w:t>
      </w:r>
      <w:proofErr w:type="spellStart"/>
      <w:r w:rsidR="00742F33">
        <w:rPr>
          <w:i/>
        </w:rPr>
        <w:t>LAMenparle</w:t>
      </w:r>
      <w:proofErr w:type="spellEnd"/>
      <w:r w:rsidR="00742F33">
        <w:t xml:space="preserve">. </w:t>
      </w:r>
      <w:r w:rsidR="00A264D5">
        <w:t xml:space="preserve">On remarquera que, pour l’échantillon de billets </w:t>
      </w:r>
      <w:r w:rsidR="00F65799">
        <w:t>observé</w:t>
      </w:r>
      <w:r w:rsidR="00A264D5">
        <w:t xml:space="preserve">, huit carnets sur les </w:t>
      </w:r>
      <w:r w:rsidR="00DF48E4">
        <w:t>dix</w:t>
      </w:r>
      <w:r w:rsidR="00A264D5">
        <w:t xml:space="preserve"> renvoient vers une archive de presse.</w:t>
      </w:r>
      <w:r w:rsidR="00075D33">
        <w:t xml:space="preserve"> D’une manière générale, à l’exception des </w:t>
      </w:r>
      <w:r w:rsidR="00075D33">
        <w:rPr>
          <w:i/>
        </w:rPr>
        <w:t>Carnets de l’IREMAM</w:t>
      </w:r>
      <w:r w:rsidR="00075D33">
        <w:t xml:space="preserve"> où l’étude de l’échantillon ne montre qu’une </w:t>
      </w:r>
      <w:proofErr w:type="spellStart"/>
      <w:r w:rsidR="00075D33">
        <w:t>délinéarisation</w:t>
      </w:r>
      <w:proofErr w:type="spellEnd"/>
      <w:r w:rsidR="00075D33">
        <w:t xml:space="preserve"> vers des contenus scientifiques</w:t>
      </w:r>
      <w:r w:rsidR="00D81610">
        <w:t xml:space="preserve">, l’archive scientifique </w:t>
      </w:r>
      <w:r w:rsidR="00C21915">
        <w:t>côtoie l’</w:t>
      </w:r>
      <w:r w:rsidR="00BB32FD">
        <w:t>archive non-scientif</w:t>
      </w:r>
      <w:r w:rsidR="00C21915">
        <w:t>ique.</w:t>
      </w:r>
      <w:r w:rsidR="00742F33">
        <w:t xml:space="preserve"> </w:t>
      </w:r>
      <w:r w:rsidR="000A065C">
        <w:t xml:space="preserve">À l’inverse d’un carnet de </w:t>
      </w:r>
      <w:r w:rsidR="00EA28EF">
        <w:t>recherche</w:t>
      </w:r>
      <w:r w:rsidR="000A065C">
        <w:t xml:space="preserve"> qui ne s’adresserait qu’à</w:t>
      </w:r>
      <w:r w:rsidR="00075D33">
        <w:t xml:space="preserve"> un lectorat de pairs, les carnets du corpus dans leur grande majorité semblent bien se situer </w:t>
      </w:r>
      <w:r w:rsidR="00D81610">
        <w:t>au sein d’</w:t>
      </w:r>
      <w:r w:rsidR="00075D33">
        <w:t>un intertexte appréhendable par un public élargi</w:t>
      </w:r>
      <w:r w:rsidR="001D2C30">
        <w:t xml:space="preserve"> et pas uniquement composé de </w:t>
      </w:r>
      <w:r w:rsidR="00C242A7">
        <w:t>chercheur</w:t>
      </w:r>
      <w:r w:rsidR="001D2C30">
        <w:t xml:space="preserve">s. </w:t>
      </w:r>
    </w:p>
    <w:p w14:paraId="1038E726" w14:textId="0A2435FC" w:rsidR="00B27E9D" w:rsidRDefault="00B27E9D" w:rsidP="00B27E9D">
      <w:pPr>
        <w:jc w:val="both"/>
      </w:pPr>
      <w:r>
        <w:t>O</w:t>
      </w:r>
      <w:r w:rsidRPr="00AE15B8">
        <w:t xml:space="preserve">n observe que les </w:t>
      </w:r>
      <w:r>
        <w:t>trois</w:t>
      </w:r>
      <w:r w:rsidR="00FC79CC">
        <w:t xml:space="preserve"> carnets </w:t>
      </w:r>
      <w:r w:rsidRPr="00AE15B8">
        <w:t>recourant massivement</w:t>
      </w:r>
      <w:r w:rsidR="00FC79CC">
        <w:t xml:space="preserve"> à l’insertion de </w:t>
      </w:r>
      <w:proofErr w:type="spellStart"/>
      <w:r w:rsidR="00FC79CC">
        <w:rPr>
          <w:i/>
        </w:rPr>
        <w:t>technomots</w:t>
      </w:r>
      <w:proofErr w:type="spellEnd"/>
      <w:r w:rsidR="00FC79CC">
        <w:t xml:space="preserve"> </w:t>
      </w:r>
      <w:r w:rsidR="007E6F4B">
        <w:t>et dans une certaine mesure</w:t>
      </w:r>
      <w:r w:rsidR="00FC79CC">
        <w:t xml:space="preserve"> de contenus </w:t>
      </w:r>
      <w:proofErr w:type="spellStart"/>
      <w:r w:rsidR="00FC79CC">
        <w:t>plurisémiotiques</w:t>
      </w:r>
      <w:proofErr w:type="spellEnd"/>
      <w:r w:rsidRPr="00AE15B8">
        <w:t xml:space="preserve">, à savoir </w:t>
      </w:r>
      <w:proofErr w:type="spellStart"/>
      <w:r w:rsidRPr="00AE15B8">
        <w:rPr>
          <w:i/>
        </w:rPr>
        <w:t>Ovipot</w:t>
      </w:r>
      <w:proofErr w:type="spellEnd"/>
      <w:r>
        <w:t xml:space="preserve">, </w:t>
      </w:r>
      <w:proofErr w:type="spellStart"/>
      <w:r>
        <w:rPr>
          <w:i/>
        </w:rPr>
        <w:t>Polit’Bistro</w:t>
      </w:r>
      <w:proofErr w:type="spellEnd"/>
      <w:r w:rsidRPr="00AE15B8">
        <w:t xml:space="preserve"> et </w:t>
      </w:r>
      <w:r w:rsidRPr="00AE15B8">
        <w:rPr>
          <w:i/>
        </w:rPr>
        <w:t>Culture et politique arabes</w:t>
      </w:r>
      <w:r w:rsidRPr="00AE15B8">
        <w:t xml:space="preserve">, ont en commun (i) de se définir comme appartenant aux sciences politiques, (ii) de jouer sur </w:t>
      </w:r>
      <w:r>
        <w:t>les</w:t>
      </w:r>
      <w:r w:rsidRPr="00AE15B8">
        <w:t xml:space="preserve"> renvois internes</w:t>
      </w:r>
      <w:r>
        <w:t xml:space="preserve"> au carnet, (iii) de proposer de nombreux renvois aux sites de presse</w:t>
      </w:r>
      <w:r w:rsidRPr="00AE15B8">
        <w:t xml:space="preserve"> et (iv) d’être consultés par un public conséquent (plus </w:t>
      </w:r>
      <w:r w:rsidRPr="008872F0">
        <w:t>de 170</w:t>
      </w:r>
      <w:r>
        <w:t> </w:t>
      </w:r>
      <w:r w:rsidRPr="008872F0">
        <w:t>000 visiteurs uniques sur l’année 2016,</w:t>
      </w:r>
      <w:r>
        <w:t xml:space="preserve"> voir tableau 1</w:t>
      </w:r>
      <w:r w:rsidRPr="00AE15B8">
        <w:t>).</w:t>
      </w:r>
      <w:r w:rsidR="006B43DE">
        <w:t xml:space="preserve"> </w:t>
      </w:r>
      <w:r>
        <w:t>Ils diffèrent par l’énonciation éditoriale</w:t>
      </w:r>
      <w:r w:rsidR="006B43DE">
        <w:t> :</w:t>
      </w:r>
      <w:r>
        <w:t xml:space="preserve"> dans un cas, le mode </w:t>
      </w:r>
      <w:r w:rsidR="006B43DE">
        <w:t>« </w:t>
      </w:r>
      <w:r>
        <w:t>blog</w:t>
      </w:r>
      <w:r w:rsidR="006B43DE">
        <w:t> »</w:t>
      </w:r>
      <w:r>
        <w:t xml:space="preserve"> est l’espace de chronique d’un chercheur unique ou de deux chercheurs agissant en tandem, pour l’autre, le mode </w:t>
      </w:r>
      <w:r w:rsidR="006B43DE">
        <w:t>« </w:t>
      </w:r>
      <w:r>
        <w:t>magazine</w:t>
      </w:r>
      <w:r w:rsidR="006B43DE">
        <w:t> »</w:t>
      </w:r>
      <w:r>
        <w:t xml:space="preserve"> est le lieu d’expression de plusieurs chercheurs appartenant à un même centre de recherche</w:t>
      </w:r>
      <w:r w:rsidR="00E3734E">
        <w:t xml:space="preserve"> et animant de très nombreuses rubriques</w:t>
      </w:r>
      <w:r>
        <w:t xml:space="preserve">. On constate </w:t>
      </w:r>
      <w:r w:rsidR="0013730E">
        <w:t>aussi</w:t>
      </w:r>
      <w:r>
        <w:t xml:space="preserve"> une corrélation entre renvois internes</w:t>
      </w:r>
      <w:r w:rsidR="0013730E">
        <w:t xml:space="preserve"> au sein du carnet, indice de cohérence éditoriale,</w:t>
      </w:r>
      <w:r>
        <w:t xml:space="preserve"> et taux de fidélité (cf. tableau 1)</w:t>
      </w:r>
      <w:r w:rsidR="006B43DE">
        <w:t> :</w:t>
      </w:r>
      <w:r>
        <w:t xml:space="preserve"> les cinq carnets de recherche y recourant disposent tous d’un taux de fidélité supérieur à 2. </w:t>
      </w:r>
    </w:p>
    <w:p w14:paraId="469F33A2" w14:textId="24CE4A8A" w:rsidR="00301AB7" w:rsidRPr="00951E7D" w:rsidRDefault="00301AB7" w:rsidP="00301AB7">
      <w:pPr>
        <w:jc w:val="both"/>
        <w:rPr>
          <w:u w:val="single"/>
        </w:rPr>
      </w:pPr>
      <w:r w:rsidRPr="00951E7D">
        <w:rPr>
          <w:u w:val="single"/>
        </w:rPr>
        <w:t>Tableau 2</w:t>
      </w:r>
      <w:r w:rsidR="006B43DE">
        <w:rPr>
          <w:u w:val="single"/>
        </w:rPr>
        <w:t> :</w:t>
      </w:r>
      <w:r w:rsidR="00C64E48">
        <w:rPr>
          <w:u w:val="single"/>
        </w:rPr>
        <w:t xml:space="preserve"> P</w:t>
      </w:r>
      <w:r w:rsidRPr="00951E7D">
        <w:rPr>
          <w:u w:val="single"/>
        </w:rPr>
        <w:t xml:space="preserve">rocédés </w:t>
      </w:r>
      <w:proofErr w:type="spellStart"/>
      <w:r w:rsidRPr="00951E7D">
        <w:rPr>
          <w:u w:val="single"/>
        </w:rPr>
        <w:t>technodiscursifs</w:t>
      </w:r>
      <w:proofErr w:type="spellEnd"/>
      <w:r w:rsidR="001A28C8">
        <w:rPr>
          <w:u w:val="single"/>
        </w:rPr>
        <w:t>, nature de l’archive</w:t>
      </w:r>
      <w:r w:rsidR="009C7F34">
        <w:rPr>
          <w:u w:val="single"/>
        </w:rPr>
        <w:t xml:space="preserve"> c</w:t>
      </w:r>
      <w:r w:rsidR="00245C10">
        <w:rPr>
          <w:u w:val="single"/>
        </w:rPr>
        <w:t>onvoquée</w:t>
      </w:r>
      <w:r w:rsidRPr="00951E7D">
        <w:rPr>
          <w:u w:val="single"/>
        </w:rPr>
        <w:t xml:space="preserve"> </w:t>
      </w:r>
      <w:r>
        <w:rPr>
          <w:u w:val="single"/>
        </w:rPr>
        <w:t>et énonciation éditoriale des car</w:t>
      </w:r>
      <w:r w:rsidRPr="00951E7D">
        <w:rPr>
          <w:u w:val="single"/>
        </w:rPr>
        <w:t>nets du corpus</w:t>
      </w:r>
    </w:p>
    <w:tbl>
      <w:tblPr>
        <w:tblStyle w:val="Grilledutableau"/>
        <w:tblpPr w:leftFromText="141" w:rightFromText="141" w:vertAnchor="text" w:horzAnchor="margin" w:tblpXSpec="center" w:tblpY="248"/>
        <w:tblW w:w="9215" w:type="dxa"/>
        <w:tblLayout w:type="fixed"/>
        <w:tblLook w:val="04A0" w:firstRow="1" w:lastRow="0" w:firstColumn="1" w:lastColumn="0" w:noHBand="0" w:noVBand="1"/>
      </w:tblPr>
      <w:tblGrid>
        <w:gridCol w:w="2689"/>
        <w:gridCol w:w="1984"/>
        <w:gridCol w:w="3124"/>
        <w:gridCol w:w="1418"/>
      </w:tblGrid>
      <w:tr w:rsidR="003B202A" w:rsidRPr="00140493" w14:paraId="024481FA" w14:textId="78356EC4" w:rsidTr="00634908">
        <w:tc>
          <w:tcPr>
            <w:tcW w:w="2689" w:type="dxa"/>
            <w:shd w:val="clear" w:color="auto" w:fill="D9D9D9" w:themeFill="background1" w:themeFillShade="D9"/>
          </w:tcPr>
          <w:p w14:paraId="6F883CB2" w14:textId="77777777" w:rsidR="003B202A" w:rsidRPr="00140493" w:rsidRDefault="003B202A" w:rsidP="00B527B8">
            <w:pPr>
              <w:keepNext/>
              <w:jc w:val="both"/>
              <w:rPr>
                <w:b/>
              </w:rPr>
            </w:pPr>
            <w:r w:rsidRPr="00140493">
              <w:rPr>
                <w:b/>
              </w:rPr>
              <w:t>Nom du carnet</w:t>
            </w:r>
          </w:p>
        </w:tc>
        <w:tc>
          <w:tcPr>
            <w:tcW w:w="1984" w:type="dxa"/>
            <w:shd w:val="clear" w:color="auto" w:fill="D9D9D9" w:themeFill="background1" w:themeFillShade="D9"/>
          </w:tcPr>
          <w:p w14:paraId="588D672F" w14:textId="62F15E29" w:rsidR="003B202A" w:rsidRPr="00951E7D" w:rsidRDefault="00634908" w:rsidP="00634908">
            <w:pPr>
              <w:rPr>
                <w:b/>
              </w:rPr>
            </w:pPr>
            <w:proofErr w:type="spellStart"/>
            <w:r>
              <w:rPr>
                <w:b/>
              </w:rPr>
              <w:t>Technodiscursivité</w:t>
            </w:r>
            <w:proofErr w:type="spellEnd"/>
          </w:p>
        </w:tc>
        <w:tc>
          <w:tcPr>
            <w:tcW w:w="3124" w:type="dxa"/>
            <w:shd w:val="clear" w:color="auto" w:fill="D9D9D9" w:themeFill="background1" w:themeFillShade="D9"/>
          </w:tcPr>
          <w:p w14:paraId="06A18BC9" w14:textId="21E74D65" w:rsidR="003B202A" w:rsidRDefault="003B202A" w:rsidP="00B527B8">
            <w:pPr>
              <w:jc w:val="both"/>
              <w:rPr>
                <w:b/>
              </w:rPr>
            </w:pPr>
            <w:r>
              <w:rPr>
                <w:b/>
              </w:rPr>
              <w:t xml:space="preserve">Archive convoquée par la </w:t>
            </w:r>
            <w:proofErr w:type="spellStart"/>
            <w:r>
              <w:rPr>
                <w:b/>
              </w:rPr>
              <w:t>délinéarisation</w:t>
            </w:r>
            <w:proofErr w:type="spellEnd"/>
          </w:p>
        </w:tc>
        <w:tc>
          <w:tcPr>
            <w:tcW w:w="1418" w:type="dxa"/>
            <w:shd w:val="clear" w:color="auto" w:fill="D9D9D9" w:themeFill="background1" w:themeFillShade="D9"/>
          </w:tcPr>
          <w:p w14:paraId="29DF9ADB" w14:textId="685641C5" w:rsidR="003B202A" w:rsidRDefault="003B202A" w:rsidP="00B527B8">
            <w:pPr>
              <w:jc w:val="both"/>
              <w:rPr>
                <w:b/>
              </w:rPr>
            </w:pPr>
            <w:r>
              <w:rPr>
                <w:b/>
              </w:rPr>
              <w:t>Énonciation éditoriale</w:t>
            </w:r>
          </w:p>
        </w:tc>
      </w:tr>
      <w:tr w:rsidR="003B202A" w:rsidRPr="00140493" w14:paraId="7809E91C" w14:textId="26C1EB30" w:rsidTr="00634908">
        <w:trPr>
          <w:trHeight w:val="681"/>
        </w:trPr>
        <w:tc>
          <w:tcPr>
            <w:tcW w:w="2689" w:type="dxa"/>
            <w:hideMark/>
          </w:tcPr>
          <w:p w14:paraId="193B1310" w14:textId="21A6AC02" w:rsidR="003B202A" w:rsidRPr="00140493" w:rsidRDefault="003B202A" w:rsidP="00B65C3B">
            <w:pPr>
              <w:keepNext/>
              <w:rPr>
                <w:rFonts w:ascii="Calibri" w:eastAsia="Times New Roman" w:hAnsi="Calibri" w:cs="Calibri"/>
                <w:b/>
                <w:i/>
                <w:color w:val="000000"/>
                <w:lang w:eastAsia="fr-BE"/>
              </w:rPr>
            </w:pPr>
            <w:r w:rsidRPr="00140493">
              <w:rPr>
                <w:rFonts w:ascii="Calibri" w:eastAsia="Times New Roman" w:hAnsi="Calibri" w:cs="Calibri"/>
                <w:b/>
                <w:i/>
                <w:color w:val="000000"/>
                <w:lang w:eastAsia="fr-BE"/>
              </w:rPr>
              <w:t>Culture et politique arabes</w:t>
            </w:r>
          </w:p>
        </w:tc>
        <w:tc>
          <w:tcPr>
            <w:tcW w:w="1984" w:type="dxa"/>
          </w:tcPr>
          <w:p w14:paraId="0A570BFC" w14:textId="7800E320" w:rsidR="003B202A" w:rsidRPr="00140493" w:rsidRDefault="003B202A" w:rsidP="00070C8F">
            <w:pPr>
              <w:rPr>
                <w:lang w:eastAsia="fr-BE"/>
              </w:rPr>
            </w:pPr>
            <w:r w:rsidRPr="00B118D3">
              <w:rPr>
                <w:lang w:eastAsia="fr-BE"/>
              </w:rPr>
              <w:t>Forte</w:t>
            </w:r>
            <w:r>
              <w:rPr>
                <w:lang w:eastAsia="fr-BE"/>
              </w:rPr>
              <w:t xml:space="preserve"> </w:t>
            </w:r>
          </w:p>
        </w:tc>
        <w:tc>
          <w:tcPr>
            <w:tcW w:w="3124" w:type="dxa"/>
          </w:tcPr>
          <w:p w14:paraId="34B3858A" w14:textId="0F3A4CB9" w:rsidR="009E091C" w:rsidRDefault="003B202A" w:rsidP="009E091C">
            <w:pPr>
              <w:pStyle w:val="Paragraphedeliste"/>
              <w:numPr>
                <w:ilvl w:val="0"/>
                <w:numId w:val="11"/>
              </w:numPr>
              <w:rPr>
                <w:rFonts w:ascii="Calibri" w:eastAsia="Times New Roman" w:hAnsi="Calibri" w:cs="Calibri"/>
                <w:color w:val="000000"/>
                <w:lang w:eastAsia="fr-BE"/>
              </w:rPr>
            </w:pPr>
            <w:r w:rsidRPr="009E091C">
              <w:rPr>
                <w:rFonts w:ascii="Calibri" w:eastAsia="Times New Roman" w:hAnsi="Calibri" w:cs="Calibri"/>
                <w:color w:val="000000"/>
                <w:lang w:eastAsia="fr-BE"/>
              </w:rPr>
              <w:t>Presse</w:t>
            </w:r>
            <w:r w:rsidR="006B43DE">
              <w:rPr>
                <w:rFonts w:ascii="Calibri" w:eastAsia="Times New Roman" w:hAnsi="Calibri" w:cs="Calibri"/>
                <w:color w:val="000000"/>
                <w:lang w:eastAsia="fr-BE"/>
              </w:rPr>
              <w:t> </w:t>
            </w:r>
            <w:r w:rsidR="006B43DE" w:rsidRPr="009E091C">
              <w:rPr>
                <w:rFonts w:ascii="Calibri" w:eastAsia="Times New Roman" w:hAnsi="Calibri" w:cs="Calibri"/>
                <w:color w:val="000000"/>
                <w:lang w:eastAsia="fr-BE"/>
              </w:rPr>
              <w:t>;</w:t>
            </w:r>
            <w:r w:rsidR="006B43DE">
              <w:rPr>
                <w:rFonts w:ascii="Calibri" w:eastAsia="Times New Roman" w:hAnsi="Calibri" w:cs="Calibri"/>
                <w:color w:val="000000"/>
                <w:lang w:eastAsia="fr-BE"/>
              </w:rPr>
              <w:t xml:space="preserve"> </w:t>
            </w:r>
          </w:p>
          <w:p w14:paraId="53FAE405" w14:textId="2D74DF97" w:rsidR="009E091C" w:rsidRDefault="009E091C" w:rsidP="009E091C">
            <w:pPr>
              <w:pStyle w:val="Paragraphedeliste"/>
              <w:numPr>
                <w:ilvl w:val="0"/>
                <w:numId w:val="11"/>
              </w:numPr>
              <w:rPr>
                <w:rFonts w:ascii="Calibri" w:eastAsia="Times New Roman" w:hAnsi="Calibri" w:cs="Calibri"/>
                <w:color w:val="000000"/>
                <w:lang w:eastAsia="fr-BE"/>
              </w:rPr>
            </w:pPr>
            <w:r>
              <w:rPr>
                <w:rFonts w:ascii="Calibri" w:eastAsia="Times New Roman" w:hAnsi="Calibri" w:cs="Calibri"/>
                <w:color w:val="000000"/>
                <w:lang w:eastAsia="fr-BE"/>
              </w:rPr>
              <w:t>R</w:t>
            </w:r>
            <w:r w:rsidR="003B202A" w:rsidRPr="009E091C">
              <w:rPr>
                <w:rFonts w:ascii="Calibri" w:eastAsia="Times New Roman" w:hAnsi="Calibri" w:cs="Calibri"/>
                <w:color w:val="000000"/>
                <w:lang w:eastAsia="fr-BE"/>
              </w:rPr>
              <w:t>envois internes</w:t>
            </w:r>
            <w:r w:rsidR="006B43DE">
              <w:rPr>
                <w:rFonts w:ascii="Calibri" w:eastAsia="Times New Roman" w:hAnsi="Calibri" w:cs="Calibri"/>
                <w:color w:val="000000"/>
                <w:lang w:eastAsia="fr-BE"/>
              </w:rPr>
              <w:t> </w:t>
            </w:r>
            <w:r w:rsidR="006B43DE" w:rsidRPr="009E091C">
              <w:rPr>
                <w:rFonts w:ascii="Calibri" w:eastAsia="Times New Roman" w:hAnsi="Calibri" w:cs="Calibri"/>
                <w:color w:val="000000"/>
                <w:lang w:eastAsia="fr-BE"/>
              </w:rPr>
              <w:t>;</w:t>
            </w:r>
            <w:r w:rsidR="006B43DE">
              <w:rPr>
                <w:rFonts w:ascii="Calibri" w:eastAsia="Times New Roman" w:hAnsi="Calibri" w:cs="Calibri"/>
                <w:color w:val="000000"/>
                <w:lang w:eastAsia="fr-BE"/>
              </w:rPr>
              <w:t xml:space="preserve"> </w:t>
            </w:r>
          </w:p>
          <w:p w14:paraId="029443B5" w14:textId="1A2F28D3" w:rsidR="003B202A" w:rsidRPr="009E091C" w:rsidRDefault="009E091C" w:rsidP="009E091C">
            <w:pPr>
              <w:pStyle w:val="Paragraphedeliste"/>
              <w:numPr>
                <w:ilvl w:val="0"/>
                <w:numId w:val="11"/>
              </w:numPr>
              <w:rPr>
                <w:rFonts w:ascii="Calibri" w:eastAsia="Times New Roman" w:hAnsi="Calibri" w:cs="Calibri"/>
                <w:color w:val="000000"/>
                <w:lang w:eastAsia="fr-BE"/>
              </w:rPr>
            </w:pPr>
            <w:r>
              <w:rPr>
                <w:rFonts w:ascii="Calibri" w:eastAsia="Times New Roman" w:hAnsi="Calibri" w:cs="Calibri"/>
                <w:color w:val="000000"/>
                <w:lang w:eastAsia="fr-BE"/>
              </w:rPr>
              <w:t>Archive non-scientifique</w:t>
            </w:r>
            <w:r w:rsidR="003B202A" w:rsidRPr="009E091C">
              <w:rPr>
                <w:rFonts w:ascii="Calibri" w:eastAsia="Times New Roman" w:hAnsi="Calibri" w:cs="Calibri"/>
                <w:color w:val="000000"/>
                <w:lang w:eastAsia="fr-BE"/>
              </w:rPr>
              <w:t>.</w:t>
            </w:r>
          </w:p>
        </w:tc>
        <w:tc>
          <w:tcPr>
            <w:tcW w:w="1418" w:type="dxa"/>
          </w:tcPr>
          <w:p w14:paraId="0EEB6838" w14:textId="66FCD2B4" w:rsidR="003B202A" w:rsidRDefault="003B202A" w:rsidP="00B527B8">
            <w:pPr>
              <w:rPr>
                <w:rFonts w:ascii="Calibri" w:eastAsia="Times New Roman" w:hAnsi="Calibri" w:cs="Calibri"/>
                <w:color w:val="000000"/>
                <w:lang w:eastAsia="fr-BE"/>
              </w:rPr>
            </w:pPr>
            <w:r>
              <w:rPr>
                <w:rFonts w:ascii="Calibri" w:eastAsia="Times New Roman" w:hAnsi="Calibri" w:cs="Calibri"/>
                <w:color w:val="000000"/>
                <w:lang w:eastAsia="fr-BE"/>
              </w:rPr>
              <w:t xml:space="preserve">Mode </w:t>
            </w:r>
            <w:r w:rsidR="006B43DE">
              <w:rPr>
                <w:rFonts w:ascii="Calibri" w:eastAsia="Times New Roman" w:hAnsi="Calibri" w:cs="Calibri"/>
                <w:color w:val="000000"/>
                <w:lang w:eastAsia="fr-BE"/>
              </w:rPr>
              <w:t>« </w:t>
            </w:r>
            <w:r>
              <w:rPr>
                <w:rFonts w:ascii="Calibri" w:eastAsia="Times New Roman" w:hAnsi="Calibri" w:cs="Calibri"/>
                <w:color w:val="000000"/>
                <w:lang w:eastAsia="fr-BE"/>
              </w:rPr>
              <w:t>blog</w:t>
            </w:r>
            <w:r w:rsidR="006B43DE">
              <w:rPr>
                <w:rFonts w:ascii="Calibri" w:eastAsia="Times New Roman" w:hAnsi="Calibri" w:cs="Calibri"/>
                <w:color w:val="000000"/>
                <w:lang w:eastAsia="fr-BE"/>
              </w:rPr>
              <w:t> »</w:t>
            </w:r>
          </w:p>
        </w:tc>
      </w:tr>
      <w:tr w:rsidR="003B202A" w:rsidRPr="00140493" w14:paraId="286D5654" w14:textId="58859A2E" w:rsidTr="00634908">
        <w:trPr>
          <w:trHeight w:val="486"/>
        </w:trPr>
        <w:tc>
          <w:tcPr>
            <w:tcW w:w="2689" w:type="dxa"/>
            <w:shd w:val="clear" w:color="auto" w:fill="FFFFFF" w:themeFill="background1"/>
            <w:hideMark/>
          </w:tcPr>
          <w:p w14:paraId="360D45A5" w14:textId="77777777" w:rsidR="003B202A" w:rsidRPr="00140493" w:rsidRDefault="003B202A" w:rsidP="00B527B8">
            <w:pPr>
              <w:rPr>
                <w:rFonts w:ascii="Calibri" w:eastAsia="Times New Roman" w:hAnsi="Calibri" w:cs="Calibri"/>
                <w:b/>
                <w:i/>
                <w:color w:val="000000"/>
                <w:lang w:eastAsia="fr-BE"/>
              </w:rPr>
            </w:pPr>
            <w:r w:rsidRPr="00140493">
              <w:rPr>
                <w:rFonts w:ascii="Calibri" w:eastAsia="Times New Roman" w:hAnsi="Calibri" w:cs="Calibri"/>
                <w:b/>
                <w:i/>
                <w:color w:val="000000"/>
                <w:lang w:eastAsia="fr-BE"/>
              </w:rPr>
              <w:t>Japon contemporain</w:t>
            </w:r>
          </w:p>
        </w:tc>
        <w:tc>
          <w:tcPr>
            <w:tcW w:w="1984" w:type="dxa"/>
            <w:shd w:val="clear" w:color="auto" w:fill="FFFFFF" w:themeFill="background1"/>
          </w:tcPr>
          <w:p w14:paraId="36359FE9" w14:textId="627DF797" w:rsidR="003B202A" w:rsidRPr="00140493" w:rsidRDefault="003B202A" w:rsidP="00855D41">
            <w:pPr>
              <w:rPr>
                <w:lang w:eastAsia="fr-BE"/>
              </w:rPr>
            </w:pPr>
            <w:r w:rsidRPr="00855D41">
              <w:rPr>
                <w:lang w:eastAsia="fr-BE"/>
              </w:rPr>
              <w:t>Faible</w:t>
            </w:r>
          </w:p>
        </w:tc>
        <w:tc>
          <w:tcPr>
            <w:tcW w:w="3124" w:type="dxa"/>
            <w:shd w:val="clear" w:color="auto" w:fill="FFFFFF" w:themeFill="background1"/>
          </w:tcPr>
          <w:p w14:paraId="21987204" w14:textId="0B8F8BAE" w:rsidR="003B202A" w:rsidRDefault="009E091C" w:rsidP="009E091C">
            <w:pPr>
              <w:pStyle w:val="Paragraphedeliste"/>
              <w:numPr>
                <w:ilvl w:val="0"/>
                <w:numId w:val="11"/>
              </w:numPr>
              <w:rPr>
                <w:rFonts w:ascii="Calibri" w:eastAsia="Times New Roman" w:hAnsi="Calibri" w:cs="Calibri"/>
                <w:color w:val="000000"/>
                <w:lang w:eastAsia="fr-BE"/>
              </w:rPr>
            </w:pPr>
            <w:r>
              <w:rPr>
                <w:rFonts w:ascii="Calibri" w:eastAsia="Times New Roman" w:hAnsi="Calibri" w:cs="Calibri"/>
                <w:color w:val="000000"/>
                <w:lang w:eastAsia="fr-BE"/>
              </w:rPr>
              <w:t>Archive scientifique</w:t>
            </w:r>
            <w:r w:rsidR="006B43DE">
              <w:rPr>
                <w:rFonts w:ascii="Calibri" w:eastAsia="Times New Roman" w:hAnsi="Calibri" w:cs="Calibri"/>
                <w:color w:val="000000"/>
                <w:lang w:eastAsia="fr-BE"/>
              </w:rPr>
              <w:t> ;</w:t>
            </w:r>
          </w:p>
          <w:p w14:paraId="393FAE06" w14:textId="1B0B2C32" w:rsidR="009E091C" w:rsidRPr="009E091C" w:rsidRDefault="009E091C" w:rsidP="009E091C">
            <w:pPr>
              <w:pStyle w:val="Paragraphedeliste"/>
              <w:numPr>
                <w:ilvl w:val="0"/>
                <w:numId w:val="11"/>
              </w:numPr>
              <w:rPr>
                <w:rFonts w:ascii="Calibri" w:eastAsia="Times New Roman" w:hAnsi="Calibri" w:cs="Calibri"/>
                <w:color w:val="000000"/>
                <w:lang w:eastAsia="fr-BE"/>
              </w:rPr>
            </w:pPr>
            <w:r>
              <w:rPr>
                <w:rFonts w:ascii="Calibri" w:eastAsia="Times New Roman" w:hAnsi="Calibri" w:cs="Calibri"/>
                <w:color w:val="000000"/>
                <w:lang w:eastAsia="fr-BE"/>
              </w:rPr>
              <w:t>Archive non-scientifique</w:t>
            </w:r>
            <w:r w:rsidR="00A01D06">
              <w:rPr>
                <w:rFonts w:ascii="Calibri" w:eastAsia="Times New Roman" w:hAnsi="Calibri" w:cs="Calibri"/>
                <w:color w:val="000000"/>
                <w:lang w:eastAsia="fr-BE"/>
              </w:rPr>
              <w:t>.</w:t>
            </w:r>
          </w:p>
        </w:tc>
        <w:tc>
          <w:tcPr>
            <w:tcW w:w="1418" w:type="dxa"/>
            <w:shd w:val="clear" w:color="auto" w:fill="FFFFFF" w:themeFill="background1"/>
          </w:tcPr>
          <w:p w14:paraId="59F1B303" w14:textId="16EB09C2" w:rsidR="003B202A" w:rsidRDefault="003B202A" w:rsidP="00B527B8">
            <w:pPr>
              <w:rPr>
                <w:rFonts w:ascii="Calibri" w:eastAsia="Times New Roman" w:hAnsi="Calibri" w:cs="Calibri"/>
                <w:color w:val="000000"/>
                <w:lang w:eastAsia="fr-BE"/>
              </w:rPr>
            </w:pPr>
            <w:r>
              <w:rPr>
                <w:rFonts w:ascii="Calibri" w:eastAsia="Times New Roman" w:hAnsi="Calibri" w:cs="Calibri"/>
                <w:color w:val="000000"/>
                <w:lang w:eastAsia="fr-BE"/>
              </w:rPr>
              <w:t xml:space="preserve">Mode </w:t>
            </w:r>
            <w:r w:rsidR="006B43DE">
              <w:rPr>
                <w:rFonts w:ascii="Calibri" w:eastAsia="Times New Roman" w:hAnsi="Calibri" w:cs="Calibri"/>
                <w:color w:val="000000"/>
                <w:lang w:eastAsia="fr-BE"/>
              </w:rPr>
              <w:t>« </w:t>
            </w:r>
            <w:r>
              <w:rPr>
                <w:rFonts w:ascii="Calibri" w:eastAsia="Times New Roman" w:hAnsi="Calibri" w:cs="Calibri"/>
                <w:color w:val="000000"/>
                <w:lang w:eastAsia="fr-BE"/>
              </w:rPr>
              <w:t>blog</w:t>
            </w:r>
            <w:r w:rsidR="006B43DE">
              <w:rPr>
                <w:rFonts w:ascii="Calibri" w:eastAsia="Times New Roman" w:hAnsi="Calibri" w:cs="Calibri"/>
                <w:color w:val="000000"/>
                <w:lang w:eastAsia="fr-BE"/>
              </w:rPr>
              <w:t> »</w:t>
            </w:r>
          </w:p>
        </w:tc>
      </w:tr>
      <w:tr w:rsidR="003B202A" w:rsidRPr="00140493" w14:paraId="1AC1CD59" w14:textId="6A841299" w:rsidTr="00634908">
        <w:trPr>
          <w:trHeight w:val="494"/>
        </w:trPr>
        <w:tc>
          <w:tcPr>
            <w:tcW w:w="2689" w:type="dxa"/>
            <w:hideMark/>
          </w:tcPr>
          <w:p w14:paraId="05959F00" w14:textId="29B502C3" w:rsidR="003B202A" w:rsidRPr="00140493" w:rsidRDefault="003B202A" w:rsidP="00B65C3B">
            <w:pPr>
              <w:rPr>
                <w:rFonts w:ascii="Calibri" w:eastAsia="Times New Roman" w:hAnsi="Calibri" w:cs="Calibri"/>
                <w:b/>
                <w:i/>
                <w:color w:val="000000"/>
                <w:lang w:eastAsia="fr-BE"/>
              </w:rPr>
            </w:pPr>
            <w:r>
              <w:rPr>
                <w:rFonts w:ascii="Calibri" w:eastAsia="Times New Roman" w:hAnsi="Calibri" w:cs="Calibri"/>
                <w:b/>
                <w:i/>
                <w:color w:val="000000"/>
                <w:lang w:eastAsia="fr-BE"/>
              </w:rPr>
              <w:t xml:space="preserve">L’atome de </w:t>
            </w:r>
            <w:r w:rsidRPr="00140493">
              <w:rPr>
                <w:rFonts w:ascii="Calibri" w:eastAsia="Times New Roman" w:hAnsi="Calibri" w:cs="Calibri"/>
                <w:b/>
                <w:i/>
                <w:color w:val="000000"/>
                <w:lang w:eastAsia="fr-BE"/>
              </w:rPr>
              <w:t>discorde</w:t>
            </w:r>
          </w:p>
        </w:tc>
        <w:tc>
          <w:tcPr>
            <w:tcW w:w="1984" w:type="dxa"/>
          </w:tcPr>
          <w:p w14:paraId="5801653E" w14:textId="47A13E62" w:rsidR="003B202A" w:rsidRPr="00140493" w:rsidRDefault="003B202A" w:rsidP="00065887">
            <w:pPr>
              <w:rPr>
                <w:lang w:eastAsia="fr-BE"/>
              </w:rPr>
            </w:pPr>
            <w:r w:rsidRPr="00065887">
              <w:rPr>
                <w:lang w:eastAsia="fr-BE"/>
              </w:rPr>
              <w:t>Faible</w:t>
            </w:r>
            <w:r>
              <w:rPr>
                <w:lang w:eastAsia="fr-BE"/>
              </w:rPr>
              <w:t xml:space="preserve"> </w:t>
            </w:r>
          </w:p>
        </w:tc>
        <w:tc>
          <w:tcPr>
            <w:tcW w:w="3124" w:type="dxa"/>
          </w:tcPr>
          <w:p w14:paraId="42CE064E" w14:textId="4881DE1B" w:rsidR="003B202A" w:rsidRPr="00A01D06" w:rsidRDefault="00A01D06" w:rsidP="00A01D06">
            <w:pPr>
              <w:pStyle w:val="Paragraphedeliste"/>
              <w:numPr>
                <w:ilvl w:val="0"/>
                <w:numId w:val="11"/>
              </w:numPr>
              <w:rPr>
                <w:rFonts w:ascii="Calibri" w:eastAsia="Times New Roman" w:hAnsi="Calibri" w:cs="Calibri"/>
                <w:color w:val="000000"/>
                <w:lang w:eastAsia="fr-BE"/>
              </w:rPr>
            </w:pPr>
            <w:r>
              <w:rPr>
                <w:rFonts w:ascii="Calibri" w:eastAsia="Times New Roman" w:hAnsi="Calibri" w:cs="Calibri"/>
                <w:color w:val="000000"/>
                <w:lang w:eastAsia="fr-BE"/>
              </w:rPr>
              <w:t>Presse.</w:t>
            </w:r>
          </w:p>
        </w:tc>
        <w:tc>
          <w:tcPr>
            <w:tcW w:w="1418" w:type="dxa"/>
          </w:tcPr>
          <w:p w14:paraId="373581D0" w14:textId="6A82A503" w:rsidR="003B202A" w:rsidRDefault="003B202A" w:rsidP="00B527B8">
            <w:pPr>
              <w:rPr>
                <w:rFonts w:ascii="Calibri" w:eastAsia="Times New Roman" w:hAnsi="Calibri" w:cs="Calibri"/>
                <w:color w:val="000000"/>
                <w:lang w:eastAsia="fr-BE"/>
              </w:rPr>
            </w:pPr>
            <w:r>
              <w:rPr>
                <w:rFonts w:ascii="Calibri" w:eastAsia="Times New Roman" w:hAnsi="Calibri" w:cs="Calibri"/>
                <w:color w:val="000000"/>
                <w:lang w:eastAsia="fr-BE"/>
              </w:rPr>
              <w:t xml:space="preserve">Mode </w:t>
            </w:r>
            <w:r w:rsidR="006B43DE">
              <w:rPr>
                <w:rFonts w:ascii="Calibri" w:eastAsia="Times New Roman" w:hAnsi="Calibri" w:cs="Calibri"/>
                <w:color w:val="000000"/>
                <w:lang w:eastAsia="fr-BE"/>
              </w:rPr>
              <w:t>« </w:t>
            </w:r>
            <w:r>
              <w:rPr>
                <w:rFonts w:ascii="Calibri" w:eastAsia="Times New Roman" w:hAnsi="Calibri" w:cs="Calibri"/>
                <w:color w:val="000000"/>
                <w:lang w:eastAsia="fr-BE"/>
              </w:rPr>
              <w:t>magazine</w:t>
            </w:r>
            <w:r w:rsidR="006B43DE">
              <w:rPr>
                <w:rFonts w:ascii="Calibri" w:eastAsia="Times New Roman" w:hAnsi="Calibri" w:cs="Calibri"/>
                <w:color w:val="000000"/>
                <w:lang w:eastAsia="fr-BE"/>
              </w:rPr>
              <w:t> »</w:t>
            </w:r>
          </w:p>
        </w:tc>
      </w:tr>
      <w:tr w:rsidR="003B202A" w:rsidRPr="00140493" w14:paraId="6A71E8E6" w14:textId="5A3D4FE7" w:rsidTr="00634908">
        <w:trPr>
          <w:trHeight w:val="549"/>
        </w:trPr>
        <w:tc>
          <w:tcPr>
            <w:tcW w:w="2689" w:type="dxa"/>
            <w:hideMark/>
          </w:tcPr>
          <w:p w14:paraId="5EC41F78" w14:textId="51A1E275" w:rsidR="003B202A" w:rsidRPr="00140493" w:rsidRDefault="003B202A" w:rsidP="00B65C3B">
            <w:pPr>
              <w:rPr>
                <w:rFonts w:ascii="Calibri" w:eastAsia="Times New Roman" w:hAnsi="Calibri" w:cs="Calibri"/>
                <w:i/>
                <w:color w:val="000000"/>
                <w:lang w:eastAsia="fr-BE"/>
              </w:rPr>
            </w:pPr>
            <w:r w:rsidRPr="00140493">
              <w:rPr>
                <w:rFonts w:ascii="Calibri" w:eastAsia="Times New Roman" w:hAnsi="Calibri" w:cs="Calibri"/>
                <w:b/>
                <w:i/>
                <w:color w:val="000000"/>
                <w:lang w:eastAsia="fr-BE"/>
              </w:rPr>
              <w:t>L’intelligence du monde</w:t>
            </w:r>
          </w:p>
        </w:tc>
        <w:tc>
          <w:tcPr>
            <w:tcW w:w="1984" w:type="dxa"/>
          </w:tcPr>
          <w:p w14:paraId="24F816A3" w14:textId="25BFF0FB" w:rsidR="003B202A" w:rsidRPr="00065887" w:rsidRDefault="003B202A" w:rsidP="00065887">
            <w:pPr>
              <w:rPr>
                <w:rFonts w:ascii="Calibri" w:eastAsia="Times New Roman" w:hAnsi="Calibri" w:cs="Calibri"/>
                <w:color w:val="0563C1"/>
                <w:u w:val="single"/>
                <w:lang w:eastAsia="fr-BE"/>
              </w:rPr>
            </w:pPr>
            <w:r w:rsidRPr="00065887">
              <w:t xml:space="preserve">Moyenne à faible </w:t>
            </w:r>
          </w:p>
        </w:tc>
        <w:tc>
          <w:tcPr>
            <w:tcW w:w="3124" w:type="dxa"/>
          </w:tcPr>
          <w:p w14:paraId="39327AF0" w14:textId="5EF68A27" w:rsidR="00A01D06" w:rsidRDefault="00A01D06" w:rsidP="00A01D06">
            <w:pPr>
              <w:pStyle w:val="Paragraphedeliste"/>
              <w:numPr>
                <w:ilvl w:val="0"/>
                <w:numId w:val="11"/>
              </w:numPr>
              <w:rPr>
                <w:lang w:eastAsia="fr-BE"/>
              </w:rPr>
            </w:pPr>
            <w:r>
              <w:rPr>
                <w:lang w:eastAsia="fr-BE"/>
              </w:rPr>
              <w:t>Presse</w:t>
            </w:r>
            <w:r w:rsidR="006B43DE">
              <w:rPr>
                <w:lang w:eastAsia="fr-BE"/>
              </w:rPr>
              <w:t> ;</w:t>
            </w:r>
          </w:p>
          <w:p w14:paraId="7F3D9E9C" w14:textId="5F19A83C" w:rsidR="00A01D06" w:rsidRDefault="00A01D06" w:rsidP="00A01D06">
            <w:pPr>
              <w:pStyle w:val="Paragraphedeliste"/>
              <w:numPr>
                <w:ilvl w:val="0"/>
                <w:numId w:val="11"/>
              </w:numPr>
              <w:rPr>
                <w:lang w:eastAsia="fr-BE"/>
              </w:rPr>
            </w:pPr>
            <w:r>
              <w:rPr>
                <w:lang w:eastAsia="fr-BE"/>
              </w:rPr>
              <w:t>Archive non-scientifique</w:t>
            </w:r>
            <w:r w:rsidR="006B43DE">
              <w:rPr>
                <w:lang w:eastAsia="fr-BE"/>
              </w:rPr>
              <w:t> ;</w:t>
            </w:r>
          </w:p>
          <w:p w14:paraId="21BE3019" w14:textId="613F2FBC" w:rsidR="003B202A" w:rsidRDefault="00A01D06" w:rsidP="00A01D06">
            <w:pPr>
              <w:pStyle w:val="Paragraphedeliste"/>
              <w:numPr>
                <w:ilvl w:val="0"/>
                <w:numId w:val="11"/>
              </w:numPr>
              <w:rPr>
                <w:lang w:eastAsia="fr-BE"/>
              </w:rPr>
            </w:pPr>
            <w:r>
              <w:rPr>
                <w:lang w:eastAsia="fr-BE"/>
              </w:rPr>
              <w:t>Archive scientifique.</w:t>
            </w:r>
          </w:p>
        </w:tc>
        <w:tc>
          <w:tcPr>
            <w:tcW w:w="1418" w:type="dxa"/>
          </w:tcPr>
          <w:p w14:paraId="15E0C1A7" w14:textId="1D65E370" w:rsidR="003B202A" w:rsidRDefault="003B202A" w:rsidP="00B527B8">
            <w:pPr>
              <w:rPr>
                <w:lang w:eastAsia="fr-BE"/>
              </w:rPr>
            </w:pPr>
            <w:r>
              <w:rPr>
                <w:lang w:eastAsia="fr-BE"/>
              </w:rPr>
              <w:t xml:space="preserve">Mode </w:t>
            </w:r>
            <w:r w:rsidR="006B43DE">
              <w:rPr>
                <w:lang w:eastAsia="fr-BE"/>
              </w:rPr>
              <w:t>« </w:t>
            </w:r>
            <w:r>
              <w:rPr>
                <w:lang w:eastAsia="fr-BE"/>
              </w:rPr>
              <w:t>blog</w:t>
            </w:r>
            <w:r w:rsidR="006B43DE">
              <w:rPr>
                <w:lang w:eastAsia="fr-BE"/>
              </w:rPr>
              <w:t> »</w:t>
            </w:r>
          </w:p>
        </w:tc>
      </w:tr>
      <w:tr w:rsidR="003B202A" w:rsidRPr="00140493" w14:paraId="29913F16" w14:textId="15E9E1C1" w:rsidTr="00634908">
        <w:trPr>
          <w:trHeight w:val="840"/>
        </w:trPr>
        <w:tc>
          <w:tcPr>
            <w:tcW w:w="2689" w:type="dxa"/>
            <w:hideMark/>
          </w:tcPr>
          <w:p w14:paraId="2F00B977" w14:textId="54FC529E" w:rsidR="003B202A" w:rsidRPr="00140493" w:rsidRDefault="003B202A" w:rsidP="00B65C3B">
            <w:pPr>
              <w:rPr>
                <w:rFonts w:ascii="Calibri" w:eastAsia="Times New Roman" w:hAnsi="Calibri" w:cs="Calibri"/>
                <w:i/>
                <w:color w:val="000000"/>
                <w:lang w:eastAsia="fr-BE"/>
              </w:rPr>
            </w:pPr>
            <w:proofErr w:type="spellStart"/>
            <w:r>
              <w:rPr>
                <w:rFonts w:ascii="Calibri" w:eastAsia="Times New Roman" w:hAnsi="Calibri" w:cs="Calibri"/>
                <w:b/>
                <w:i/>
                <w:color w:val="000000"/>
                <w:lang w:eastAsia="fr-BE"/>
              </w:rPr>
              <w:t>LAMenparle</w:t>
            </w:r>
            <w:proofErr w:type="spellEnd"/>
          </w:p>
        </w:tc>
        <w:tc>
          <w:tcPr>
            <w:tcW w:w="1984" w:type="dxa"/>
          </w:tcPr>
          <w:p w14:paraId="49D7D203" w14:textId="7A8712A0" w:rsidR="003B202A" w:rsidRPr="00140493" w:rsidRDefault="003B202A" w:rsidP="00065887">
            <w:pPr>
              <w:rPr>
                <w:lang w:eastAsia="fr-BE"/>
              </w:rPr>
            </w:pPr>
            <w:r w:rsidRPr="00065887">
              <w:rPr>
                <w:lang w:eastAsia="fr-BE"/>
              </w:rPr>
              <w:t>Faible</w:t>
            </w:r>
          </w:p>
        </w:tc>
        <w:tc>
          <w:tcPr>
            <w:tcW w:w="3124" w:type="dxa"/>
          </w:tcPr>
          <w:p w14:paraId="50171DA2" w14:textId="313A87BA" w:rsidR="00A01D06" w:rsidRDefault="00A01D06" w:rsidP="00A01D06">
            <w:pPr>
              <w:pStyle w:val="Paragraphedeliste"/>
              <w:numPr>
                <w:ilvl w:val="0"/>
                <w:numId w:val="11"/>
              </w:numPr>
              <w:rPr>
                <w:rFonts w:ascii="Calibri" w:eastAsia="Times New Roman" w:hAnsi="Calibri" w:cs="Calibri"/>
                <w:color w:val="000000"/>
                <w:lang w:eastAsia="fr-BE"/>
              </w:rPr>
            </w:pPr>
            <w:r>
              <w:rPr>
                <w:rFonts w:ascii="Calibri" w:eastAsia="Times New Roman" w:hAnsi="Calibri" w:cs="Calibri"/>
                <w:color w:val="000000"/>
                <w:lang w:eastAsia="fr-BE"/>
              </w:rPr>
              <w:t>Presse</w:t>
            </w:r>
            <w:r w:rsidR="006B43DE">
              <w:rPr>
                <w:rFonts w:ascii="Calibri" w:eastAsia="Times New Roman" w:hAnsi="Calibri" w:cs="Calibri"/>
                <w:color w:val="000000"/>
                <w:lang w:eastAsia="fr-BE"/>
              </w:rPr>
              <w:t> ;</w:t>
            </w:r>
          </w:p>
          <w:p w14:paraId="44C9AFB6" w14:textId="65E6926A" w:rsidR="00A01D06" w:rsidRDefault="00A01D06" w:rsidP="00A01D06">
            <w:pPr>
              <w:pStyle w:val="Paragraphedeliste"/>
              <w:numPr>
                <w:ilvl w:val="0"/>
                <w:numId w:val="11"/>
              </w:numPr>
              <w:rPr>
                <w:rFonts w:ascii="Calibri" w:eastAsia="Times New Roman" w:hAnsi="Calibri" w:cs="Calibri"/>
                <w:color w:val="000000"/>
                <w:lang w:eastAsia="fr-BE"/>
              </w:rPr>
            </w:pPr>
            <w:r>
              <w:rPr>
                <w:rFonts w:ascii="Calibri" w:eastAsia="Times New Roman" w:hAnsi="Calibri" w:cs="Calibri"/>
                <w:color w:val="000000"/>
                <w:lang w:eastAsia="fr-BE"/>
              </w:rPr>
              <w:t>Archive scientifique</w:t>
            </w:r>
            <w:r w:rsidR="006B43DE">
              <w:rPr>
                <w:rFonts w:ascii="Calibri" w:eastAsia="Times New Roman" w:hAnsi="Calibri" w:cs="Calibri"/>
                <w:color w:val="000000"/>
                <w:lang w:eastAsia="fr-BE"/>
              </w:rPr>
              <w:t> ;</w:t>
            </w:r>
          </w:p>
          <w:p w14:paraId="1977D1DD" w14:textId="27DFE706" w:rsidR="003B202A" w:rsidRPr="00A01D06" w:rsidRDefault="00A01D06" w:rsidP="00065887">
            <w:pPr>
              <w:pStyle w:val="Paragraphedeliste"/>
              <w:numPr>
                <w:ilvl w:val="0"/>
                <w:numId w:val="11"/>
              </w:numPr>
              <w:rPr>
                <w:rFonts w:ascii="Calibri" w:eastAsia="Times New Roman" w:hAnsi="Calibri" w:cs="Calibri"/>
                <w:color w:val="000000"/>
                <w:lang w:eastAsia="fr-BE"/>
              </w:rPr>
            </w:pPr>
            <w:r>
              <w:rPr>
                <w:rFonts w:ascii="Calibri" w:eastAsia="Times New Roman" w:hAnsi="Calibri" w:cs="Calibri"/>
                <w:color w:val="000000"/>
                <w:lang w:eastAsia="fr-BE"/>
              </w:rPr>
              <w:t>Archive non-scientifique.</w:t>
            </w:r>
          </w:p>
        </w:tc>
        <w:tc>
          <w:tcPr>
            <w:tcW w:w="1418" w:type="dxa"/>
          </w:tcPr>
          <w:p w14:paraId="66DC395B" w14:textId="022E8842" w:rsidR="003B202A" w:rsidRDefault="003B202A" w:rsidP="00B527B8">
            <w:pPr>
              <w:rPr>
                <w:rFonts w:ascii="Calibri" w:eastAsia="Times New Roman" w:hAnsi="Calibri" w:cs="Calibri"/>
                <w:color w:val="000000"/>
                <w:lang w:eastAsia="fr-BE"/>
              </w:rPr>
            </w:pPr>
            <w:r>
              <w:rPr>
                <w:rFonts w:ascii="Calibri" w:eastAsia="Times New Roman" w:hAnsi="Calibri" w:cs="Calibri"/>
                <w:color w:val="000000"/>
                <w:lang w:eastAsia="fr-BE"/>
              </w:rPr>
              <w:t xml:space="preserve">Mode </w:t>
            </w:r>
            <w:r w:rsidR="006B43DE">
              <w:rPr>
                <w:rFonts w:ascii="Calibri" w:eastAsia="Times New Roman" w:hAnsi="Calibri" w:cs="Calibri"/>
                <w:color w:val="000000"/>
                <w:lang w:eastAsia="fr-BE"/>
              </w:rPr>
              <w:t>« </w:t>
            </w:r>
            <w:r>
              <w:rPr>
                <w:rFonts w:ascii="Calibri" w:eastAsia="Times New Roman" w:hAnsi="Calibri" w:cs="Calibri"/>
                <w:color w:val="000000"/>
                <w:lang w:eastAsia="fr-BE"/>
              </w:rPr>
              <w:t>blog</w:t>
            </w:r>
            <w:r w:rsidR="006B43DE">
              <w:rPr>
                <w:rFonts w:ascii="Calibri" w:eastAsia="Times New Roman" w:hAnsi="Calibri" w:cs="Calibri"/>
                <w:color w:val="000000"/>
                <w:lang w:eastAsia="fr-BE"/>
              </w:rPr>
              <w:t> »</w:t>
            </w:r>
          </w:p>
        </w:tc>
      </w:tr>
      <w:tr w:rsidR="003B202A" w:rsidRPr="00140493" w14:paraId="396E2520" w14:textId="67894848" w:rsidTr="00634908">
        <w:trPr>
          <w:trHeight w:val="554"/>
        </w:trPr>
        <w:tc>
          <w:tcPr>
            <w:tcW w:w="2689" w:type="dxa"/>
            <w:hideMark/>
          </w:tcPr>
          <w:p w14:paraId="064DE2E5" w14:textId="77FD1D7B" w:rsidR="003B202A" w:rsidRPr="00140493" w:rsidRDefault="003B202A" w:rsidP="00B65C3B">
            <w:pPr>
              <w:rPr>
                <w:rFonts w:ascii="Calibri" w:eastAsia="Times New Roman" w:hAnsi="Calibri" w:cs="Calibri"/>
                <w:i/>
                <w:color w:val="000000"/>
                <w:lang w:eastAsia="fr-BE"/>
              </w:rPr>
            </w:pPr>
            <w:r w:rsidRPr="00140493">
              <w:rPr>
                <w:rFonts w:ascii="Calibri" w:eastAsia="Times New Roman" w:hAnsi="Calibri" w:cs="Calibri"/>
                <w:b/>
                <w:i/>
                <w:color w:val="000000"/>
                <w:lang w:eastAsia="fr-BE"/>
              </w:rPr>
              <w:t>Les carnets de l’IREMAM</w:t>
            </w:r>
          </w:p>
        </w:tc>
        <w:tc>
          <w:tcPr>
            <w:tcW w:w="1984" w:type="dxa"/>
          </w:tcPr>
          <w:p w14:paraId="750621BC" w14:textId="1C52617A" w:rsidR="003B202A" w:rsidRPr="0076078F" w:rsidRDefault="003B202A" w:rsidP="002F3316">
            <w:pPr>
              <w:rPr>
                <w:rFonts w:ascii="Calibri" w:eastAsia="Times New Roman" w:hAnsi="Calibri" w:cs="Calibri"/>
                <w:color w:val="0563C1"/>
                <w:u w:val="single"/>
                <w:lang w:eastAsia="fr-BE"/>
              </w:rPr>
            </w:pPr>
            <w:r w:rsidRPr="0076078F">
              <w:rPr>
                <w:lang w:eastAsia="fr-BE"/>
              </w:rPr>
              <w:t xml:space="preserve">Moyenne à faible </w:t>
            </w:r>
          </w:p>
        </w:tc>
        <w:tc>
          <w:tcPr>
            <w:tcW w:w="3124" w:type="dxa"/>
          </w:tcPr>
          <w:p w14:paraId="53AE9FC7" w14:textId="64F44911" w:rsidR="00A01D06" w:rsidRDefault="00A01D06" w:rsidP="00A01D06">
            <w:pPr>
              <w:pStyle w:val="Paragraphedeliste"/>
              <w:numPr>
                <w:ilvl w:val="0"/>
                <w:numId w:val="11"/>
              </w:numPr>
              <w:rPr>
                <w:lang w:eastAsia="fr-BE"/>
              </w:rPr>
            </w:pPr>
            <w:r>
              <w:rPr>
                <w:lang w:eastAsia="fr-BE"/>
              </w:rPr>
              <w:t>Archive scientifique</w:t>
            </w:r>
            <w:r w:rsidR="006B43DE">
              <w:rPr>
                <w:lang w:eastAsia="fr-BE"/>
              </w:rPr>
              <w:t> ;</w:t>
            </w:r>
          </w:p>
          <w:p w14:paraId="667365C7" w14:textId="381702D6" w:rsidR="003B202A" w:rsidRDefault="00A01D06" w:rsidP="00A01D06">
            <w:pPr>
              <w:pStyle w:val="Paragraphedeliste"/>
              <w:numPr>
                <w:ilvl w:val="0"/>
                <w:numId w:val="11"/>
              </w:numPr>
              <w:rPr>
                <w:lang w:eastAsia="fr-BE"/>
              </w:rPr>
            </w:pPr>
            <w:r>
              <w:rPr>
                <w:lang w:eastAsia="fr-BE"/>
              </w:rPr>
              <w:t>Renvois internes.</w:t>
            </w:r>
          </w:p>
        </w:tc>
        <w:tc>
          <w:tcPr>
            <w:tcW w:w="1418" w:type="dxa"/>
          </w:tcPr>
          <w:p w14:paraId="1E22D5BB" w14:textId="55ADD6D0" w:rsidR="003B202A" w:rsidRDefault="003B202A" w:rsidP="00B527B8">
            <w:pPr>
              <w:rPr>
                <w:lang w:eastAsia="fr-BE"/>
              </w:rPr>
            </w:pPr>
            <w:r>
              <w:rPr>
                <w:lang w:eastAsia="fr-BE"/>
              </w:rPr>
              <w:t xml:space="preserve">Mode </w:t>
            </w:r>
            <w:r w:rsidR="006B43DE">
              <w:rPr>
                <w:lang w:eastAsia="fr-BE"/>
              </w:rPr>
              <w:t>« </w:t>
            </w:r>
            <w:r>
              <w:rPr>
                <w:lang w:eastAsia="fr-BE"/>
              </w:rPr>
              <w:t>blog</w:t>
            </w:r>
            <w:r w:rsidR="006B43DE">
              <w:rPr>
                <w:lang w:eastAsia="fr-BE"/>
              </w:rPr>
              <w:t> »</w:t>
            </w:r>
          </w:p>
        </w:tc>
      </w:tr>
      <w:tr w:rsidR="003B202A" w:rsidRPr="00140493" w14:paraId="712CE3D5" w14:textId="54DDE56D" w:rsidTr="00634908">
        <w:trPr>
          <w:trHeight w:val="845"/>
        </w:trPr>
        <w:tc>
          <w:tcPr>
            <w:tcW w:w="2689" w:type="dxa"/>
            <w:hideMark/>
          </w:tcPr>
          <w:p w14:paraId="51930D52" w14:textId="77777777" w:rsidR="003B202A" w:rsidRPr="00140493" w:rsidRDefault="003B202A" w:rsidP="00B527B8">
            <w:pPr>
              <w:rPr>
                <w:rFonts w:ascii="Calibri" w:eastAsia="Times New Roman" w:hAnsi="Calibri" w:cs="Calibri"/>
                <w:b/>
                <w:i/>
                <w:color w:val="000000"/>
                <w:lang w:eastAsia="fr-BE"/>
              </w:rPr>
            </w:pPr>
            <w:r w:rsidRPr="00140493">
              <w:rPr>
                <w:rFonts w:ascii="Calibri" w:eastAsia="Times New Roman" w:hAnsi="Calibri" w:cs="Calibri"/>
                <w:b/>
                <w:i/>
                <w:color w:val="000000"/>
                <w:lang w:eastAsia="fr-BE"/>
              </w:rPr>
              <w:lastRenderedPageBreak/>
              <w:t>Observatoire de la vie politique turque</w:t>
            </w:r>
          </w:p>
        </w:tc>
        <w:tc>
          <w:tcPr>
            <w:tcW w:w="1984" w:type="dxa"/>
          </w:tcPr>
          <w:p w14:paraId="1172F4AF" w14:textId="1F723D85" w:rsidR="003B202A" w:rsidRPr="0076078F" w:rsidRDefault="003B202A" w:rsidP="002F3316">
            <w:pPr>
              <w:rPr>
                <w:lang w:eastAsia="fr-BE"/>
              </w:rPr>
            </w:pPr>
            <w:r w:rsidRPr="0076078F">
              <w:rPr>
                <w:lang w:eastAsia="fr-BE"/>
              </w:rPr>
              <w:t xml:space="preserve">Forte </w:t>
            </w:r>
          </w:p>
        </w:tc>
        <w:tc>
          <w:tcPr>
            <w:tcW w:w="3124" w:type="dxa"/>
          </w:tcPr>
          <w:p w14:paraId="65D4ADF9" w14:textId="4BBC5DCE" w:rsidR="00A01D06" w:rsidRDefault="00A01D06" w:rsidP="00A01D06">
            <w:pPr>
              <w:pStyle w:val="Paragraphedeliste"/>
              <w:numPr>
                <w:ilvl w:val="0"/>
                <w:numId w:val="11"/>
              </w:numPr>
              <w:rPr>
                <w:lang w:eastAsia="fr-BE"/>
              </w:rPr>
            </w:pPr>
            <w:r>
              <w:rPr>
                <w:lang w:eastAsia="fr-BE"/>
              </w:rPr>
              <w:t>Presse</w:t>
            </w:r>
            <w:r w:rsidR="006B43DE">
              <w:rPr>
                <w:lang w:eastAsia="fr-BE"/>
              </w:rPr>
              <w:t> ;</w:t>
            </w:r>
          </w:p>
          <w:p w14:paraId="55B1146B" w14:textId="5CD86EF1" w:rsidR="00A01D06" w:rsidRDefault="00A01D06" w:rsidP="00A01D06">
            <w:pPr>
              <w:pStyle w:val="Paragraphedeliste"/>
              <w:numPr>
                <w:ilvl w:val="0"/>
                <w:numId w:val="11"/>
              </w:numPr>
              <w:rPr>
                <w:lang w:eastAsia="fr-BE"/>
              </w:rPr>
            </w:pPr>
            <w:r>
              <w:rPr>
                <w:lang w:eastAsia="fr-BE"/>
              </w:rPr>
              <w:t>Renvois internes</w:t>
            </w:r>
            <w:r w:rsidR="006B43DE">
              <w:rPr>
                <w:lang w:eastAsia="fr-BE"/>
              </w:rPr>
              <w:t> ;</w:t>
            </w:r>
          </w:p>
          <w:p w14:paraId="4CF22B43" w14:textId="39B9B822" w:rsidR="003B202A" w:rsidRDefault="00A01D06" w:rsidP="00AF2FA7">
            <w:pPr>
              <w:pStyle w:val="Paragraphedeliste"/>
              <w:numPr>
                <w:ilvl w:val="0"/>
                <w:numId w:val="11"/>
              </w:numPr>
              <w:rPr>
                <w:lang w:eastAsia="fr-BE"/>
              </w:rPr>
            </w:pPr>
            <w:r>
              <w:rPr>
                <w:lang w:eastAsia="fr-BE"/>
              </w:rPr>
              <w:t>Archive non-scientifique.</w:t>
            </w:r>
          </w:p>
        </w:tc>
        <w:tc>
          <w:tcPr>
            <w:tcW w:w="1418" w:type="dxa"/>
          </w:tcPr>
          <w:p w14:paraId="5D506B2F" w14:textId="4CB4512A" w:rsidR="003B202A" w:rsidRDefault="003B202A" w:rsidP="00B527B8">
            <w:pPr>
              <w:rPr>
                <w:lang w:eastAsia="fr-BE"/>
              </w:rPr>
            </w:pPr>
            <w:r>
              <w:rPr>
                <w:lang w:eastAsia="fr-BE"/>
              </w:rPr>
              <w:t xml:space="preserve">Mode </w:t>
            </w:r>
            <w:r w:rsidR="006B43DE">
              <w:rPr>
                <w:lang w:eastAsia="fr-BE"/>
              </w:rPr>
              <w:t>« </w:t>
            </w:r>
            <w:r>
              <w:rPr>
                <w:lang w:eastAsia="fr-BE"/>
              </w:rPr>
              <w:t>magazine</w:t>
            </w:r>
            <w:r w:rsidR="006B43DE">
              <w:rPr>
                <w:lang w:eastAsia="fr-BE"/>
              </w:rPr>
              <w:t> »</w:t>
            </w:r>
          </w:p>
        </w:tc>
      </w:tr>
      <w:tr w:rsidR="003B202A" w:rsidRPr="00140493" w14:paraId="636DDF85" w14:textId="181584B5" w:rsidTr="00634908">
        <w:trPr>
          <w:trHeight w:val="1134"/>
        </w:trPr>
        <w:tc>
          <w:tcPr>
            <w:tcW w:w="2689" w:type="dxa"/>
          </w:tcPr>
          <w:p w14:paraId="735F671F" w14:textId="0DFBD2FB" w:rsidR="003B202A" w:rsidRPr="00145BF9" w:rsidRDefault="003B202A" w:rsidP="00B527B8">
            <w:pPr>
              <w:rPr>
                <w:rFonts w:ascii="Calibri" w:eastAsia="Times New Roman" w:hAnsi="Calibri" w:cs="Calibri"/>
                <w:b/>
                <w:i/>
                <w:color w:val="000000"/>
                <w:lang w:eastAsia="fr-BE"/>
              </w:rPr>
            </w:pPr>
            <w:proofErr w:type="spellStart"/>
            <w:r w:rsidRPr="00145BF9">
              <w:rPr>
                <w:rFonts w:ascii="Calibri" w:eastAsia="Times New Roman" w:hAnsi="Calibri" w:cs="Calibri"/>
                <w:b/>
                <w:i/>
                <w:color w:val="000000"/>
                <w:lang w:eastAsia="fr-BE"/>
              </w:rPr>
              <w:t>Polit’Bistro</w:t>
            </w:r>
            <w:proofErr w:type="spellEnd"/>
          </w:p>
        </w:tc>
        <w:tc>
          <w:tcPr>
            <w:tcW w:w="1984" w:type="dxa"/>
          </w:tcPr>
          <w:p w14:paraId="2E03F2CB" w14:textId="0600E33A" w:rsidR="003B202A" w:rsidRPr="0076078F" w:rsidRDefault="003B202A" w:rsidP="002F3316">
            <w:pPr>
              <w:rPr>
                <w:lang w:eastAsia="fr-BE"/>
              </w:rPr>
            </w:pPr>
            <w:r>
              <w:rPr>
                <w:lang w:eastAsia="fr-BE"/>
              </w:rPr>
              <w:t>Forte</w:t>
            </w:r>
          </w:p>
        </w:tc>
        <w:tc>
          <w:tcPr>
            <w:tcW w:w="3124" w:type="dxa"/>
          </w:tcPr>
          <w:p w14:paraId="24D9CE9D" w14:textId="666745FB" w:rsidR="00A01D06" w:rsidRDefault="00A01D06" w:rsidP="00A01D06">
            <w:pPr>
              <w:pStyle w:val="Paragraphedeliste"/>
              <w:numPr>
                <w:ilvl w:val="0"/>
                <w:numId w:val="11"/>
              </w:numPr>
              <w:rPr>
                <w:lang w:eastAsia="fr-BE"/>
              </w:rPr>
            </w:pPr>
            <w:r>
              <w:rPr>
                <w:lang w:eastAsia="fr-BE"/>
              </w:rPr>
              <w:t>Presse</w:t>
            </w:r>
            <w:r w:rsidR="006B43DE">
              <w:rPr>
                <w:lang w:eastAsia="fr-BE"/>
              </w:rPr>
              <w:t> ;</w:t>
            </w:r>
          </w:p>
          <w:p w14:paraId="06100403" w14:textId="11B4D34B" w:rsidR="00A01D06" w:rsidRDefault="00A01D06" w:rsidP="00A01D06">
            <w:pPr>
              <w:pStyle w:val="Paragraphedeliste"/>
              <w:numPr>
                <w:ilvl w:val="0"/>
                <w:numId w:val="11"/>
              </w:numPr>
              <w:rPr>
                <w:lang w:eastAsia="fr-BE"/>
              </w:rPr>
            </w:pPr>
            <w:r>
              <w:rPr>
                <w:lang w:eastAsia="fr-BE"/>
              </w:rPr>
              <w:t>Renvois internes</w:t>
            </w:r>
            <w:r w:rsidR="006B43DE">
              <w:rPr>
                <w:lang w:eastAsia="fr-BE"/>
              </w:rPr>
              <w:t> ;</w:t>
            </w:r>
          </w:p>
          <w:p w14:paraId="51D13F4C" w14:textId="6CBD0629" w:rsidR="00A01D06" w:rsidRDefault="00A01D06" w:rsidP="00A01D06">
            <w:pPr>
              <w:pStyle w:val="Paragraphedeliste"/>
              <w:numPr>
                <w:ilvl w:val="0"/>
                <w:numId w:val="11"/>
              </w:numPr>
              <w:rPr>
                <w:lang w:eastAsia="fr-BE"/>
              </w:rPr>
            </w:pPr>
            <w:r>
              <w:rPr>
                <w:lang w:eastAsia="fr-BE"/>
              </w:rPr>
              <w:t>Archive scientifique</w:t>
            </w:r>
            <w:r w:rsidR="006B43DE">
              <w:rPr>
                <w:lang w:eastAsia="fr-BE"/>
              </w:rPr>
              <w:t> ;</w:t>
            </w:r>
          </w:p>
          <w:p w14:paraId="68862A30" w14:textId="503F86A2" w:rsidR="003B202A" w:rsidRDefault="009E724B" w:rsidP="009E724B">
            <w:pPr>
              <w:pStyle w:val="Paragraphedeliste"/>
              <w:numPr>
                <w:ilvl w:val="0"/>
                <w:numId w:val="11"/>
              </w:numPr>
              <w:rPr>
                <w:lang w:eastAsia="fr-BE"/>
              </w:rPr>
            </w:pPr>
            <w:r>
              <w:rPr>
                <w:lang w:eastAsia="fr-BE"/>
              </w:rPr>
              <w:t>Archive non-scientifique.</w:t>
            </w:r>
          </w:p>
        </w:tc>
        <w:tc>
          <w:tcPr>
            <w:tcW w:w="1418" w:type="dxa"/>
          </w:tcPr>
          <w:p w14:paraId="7E0D6879" w14:textId="0EE6D1A6" w:rsidR="003B202A" w:rsidRDefault="003B202A" w:rsidP="00B527B8">
            <w:pPr>
              <w:rPr>
                <w:lang w:eastAsia="fr-BE"/>
              </w:rPr>
            </w:pPr>
            <w:r>
              <w:rPr>
                <w:lang w:eastAsia="fr-BE"/>
              </w:rPr>
              <w:t xml:space="preserve">Mode </w:t>
            </w:r>
            <w:r w:rsidR="006B43DE">
              <w:rPr>
                <w:lang w:eastAsia="fr-BE"/>
              </w:rPr>
              <w:t>« </w:t>
            </w:r>
            <w:r>
              <w:rPr>
                <w:lang w:eastAsia="fr-BE"/>
              </w:rPr>
              <w:t>blog</w:t>
            </w:r>
            <w:r w:rsidR="006B43DE">
              <w:rPr>
                <w:lang w:eastAsia="fr-BE"/>
              </w:rPr>
              <w:t> »</w:t>
            </w:r>
          </w:p>
        </w:tc>
      </w:tr>
      <w:tr w:rsidR="003B202A" w:rsidRPr="00140493" w14:paraId="071324C5" w14:textId="2C908D91" w:rsidTr="00634908">
        <w:trPr>
          <w:trHeight w:val="770"/>
        </w:trPr>
        <w:tc>
          <w:tcPr>
            <w:tcW w:w="2689" w:type="dxa"/>
            <w:hideMark/>
          </w:tcPr>
          <w:p w14:paraId="622D5997" w14:textId="4460EBD3" w:rsidR="003B202A" w:rsidRPr="009049B5" w:rsidRDefault="003B202A" w:rsidP="00B65C3B">
            <w:pPr>
              <w:rPr>
                <w:rFonts w:ascii="Calibri" w:eastAsia="Times New Roman" w:hAnsi="Calibri" w:cs="Calibri"/>
                <w:i/>
                <w:color w:val="000000"/>
                <w:lang w:eastAsia="fr-BE"/>
              </w:rPr>
            </w:pPr>
            <w:proofErr w:type="spellStart"/>
            <w:r>
              <w:rPr>
                <w:rFonts w:ascii="Calibri" w:eastAsia="Times New Roman" w:hAnsi="Calibri" w:cs="Calibri"/>
                <w:b/>
                <w:i/>
                <w:color w:val="000000"/>
                <w:lang w:eastAsia="fr-BE"/>
              </w:rPr>
              <w:t>RussEurope</w:t>
            </w:r>
            <w:proofErr w:type="spellEnd"/>
          </w:p>
        </w:tc>
        <w:tc>
          <w:tcPr>
            <w:tcW w:w="1984" w:type="dxa"/>
          </w:tcPr>
          <w:p w14:paraId="00D2CF66" w14:textId="0283C17F" w:rsidR="003B202A" w:rsidRPr="0076078F" w:rsidRDefault="003B202A" w:rsidP="002F3316">
            <w:pPr>
              <w:rPr>
                <w:rFonts w:ascii="Calibri" w:eastAsia="Times New Roman" w:hAnsi="Calibri" w:cs="Calibri"/>
                <w:color w:val="0563C1"/>
                <w:u w:val="single"/>
                <w:lang w:eastAsia="fr-BE"/>
              </w:rPr>
            </w:pPr>
            <w:r w:rsidRPr="0076078F">
              <w:rPr>
                <w:lang w:eastAsia="fr-BE"/>
              </w:rPr>
              <w:t xml:space="preserve">Moyenne à faible </w:t>
            </w:r>
          </w:p>
        </w:tc>
        <w:tc>
          <w:tcPr>
            <w:tcW w:w="3124" w:type="dxa"/>
          </w:tcPr>
          <w:p w14:paraId="388DD158" w14:textId="55FAB084" w:rsidR="00FB5993" w:rsidRDefault="00FB5993" w:rsidP="00FB5993">
            <w:pPr>
              <w:pStyle w:val="Paragraphedeliste"/>
              <w:numPr>
                <w:ilvl w:val="0"/>
                <w:numId w:val="11"/>
              </w:numPr>
              <w:rPr>
                <w:rFonts w:ascii="Calibri" w:eastAsia="Times New Roman" w:hAnsi="Calibri" w:cs="Calibri"/>
                <w:color w:val="000000"/>
                <w:lang w:eastAsia="fr-BE"/>
              </w:rPr>
            </w:pPr>
            <w:r>
              <w:rPr>
                <w:rFonts w:ascii="Calibri" w:eastAsia="Times New Roman" w:hAnsi="Calibri" w:cs="Calibri"/>
                <w:color w:val="000000"/>
                <w:lang w:eastAsia="fr-BE"/>
              </w:rPr>
              <w:t>Presse</w:t>
            </w:r>
            <w:r w:rsidR="006B43DE">
              <w:rPr>
                <w:rFonts w:ascii="Calibri" w:eastAsia="Times New Roman" w:hAnsi="Calibri" w:cs="Calibri"/>
                <w:color w:val="000000"/>
                <w:lang w:eastAsia="fr-BE"/>
              </w:rPr>
              <w:t> ;</w:t>
            </w:r>
          </w:p>
          <w:p w14:paraId="624EEBD9" w14:textId="5456B5E5" w:rsidR="00FB5993" w:rsidRDefault="00FB5993" w:rsidP="00FB5993">
            <w:pPr>
              <w:pStyle w:val="Paragraphedeliste"/>
              <w:numPr>
                <w:ilvl w:val="0"/>
                <w:numId w:val="11"/>
              </w:numPr>
              <w:rPr>
                <w:rFonts w:ascii="Calibri" w:eastAsia="Times New Roman" w:hAnsi="Calibri" w:cs="Calibri"/>
                <w:color w:val="000000"/>
                <w:lang w:eastAsia="fr-BE"/>
              </w:rPr>
            </w:pPr>
            <w:r>
              <w:rPr>
                <w:rFonts w:ascii="Calibri" w:eastAsia="Times New Roman" w:hAnsi="Calibri" w:cs="Calibri"/>
                <w:color w:val="000000"/>
                <w:lang w:eastAsia="fr-BE"/>
              </w:rPr>
              <w:t>Renvois internes</w:t>
            </w:r>
            <w:r w:rsidR="006B43DE">
              <w:rPr>
                <w:rFonts w:ascii="Calibri" w:eastAsia="Times New Roman" w:hAnsi="Calibri" w:cs="Calibri"/>
                <w:color w:val="000000"/>
                <w:lang w:eastAsia="fr-BE"/>
              </w:rPr>
              <w:t> ;</w:t>
            </w:r>
          </w:p>
          <w:p w14:paraId="2444292C" w14:textId="7BC61F06" w:rsidR="003B202A" w:rsidRPr="00FB5993" w:rsidRDefault="00FB5993" w:rsidP="002F3316">
            <w:pPr>
              <w:pStyle w:val="Paragraphedeliste"/>
              <w:numPr>
                <w:ilvl w:val="0"/>
                <w:numId w:val="11"/>
              </w:numPr>
              <w:rPr>
                <w:rFonts w:ascii="Calibri" w:eastAsia="Times New Roman" w:hAnsi="Calibri" w:cs="Calibri"/>
                <w:color w:val="000000"/>
                <w:lang w:eastAsia="fr-BE"/>
              </w:rPr>
            </w:pPr>
            <w:r>
              <w:rPr>
                <w:rFonts w:ascii="Calibri" w:eastAsia="Times New Roman" w:hAnsi="Calibri" w:cs="Calibri"/>
                <w:color w:val="000000"/>
                <w:lang w:eastAsia="fr-BE"/>
              </w:rPr>
              <w:t>Archive non-scientifique.</w:t>
            </w:r>
          </w:p>
        </w:tc>
        <w:tc>
          <w:tcPr>
            <w:tcW w:w="1418" w:type="dxa"/>
          </w:tcPr>
          <w:p w14:paraId="55646212" w14:textId="162D2A34" w:rsidR="003B202A" w:rsidRDefault="003B202A" w:rsidP="00EB2375">
            <w:pPr>
              <w:rPr>
                <w:rFonts w:ascii="Calibri" w:eastAsia="Times New Roman" w:hAnsi="Calibri" w:cs="Calibri"/>
                <w:color w:val="000000"/>
                <w:lang w:eastAsia="fr-BE"/>
              </w:rPr>
            </w:pPr>
            <w:r>
              <w:rPr>
                <w:rFonts w:ascii="Calibri" w:eastAsia="Times New Roman" w:hAnsi="Calibri" w:cs="Calibri"/>
                <w:color w:val="000000"/>
                <w:lang w:eastAsia="fr-BE"/>
              </w:rPr>
              <w:t xml:space="preserve">Mode </w:t>
            </w:r>
            <w:r w:rsidR="006B43DE">
              <w:rPr>
                <w:rFonts w:ascii="Calibri" w:eastAsia="Times New Roman" w:hAnsi="Calibri" w:cs="Calibri"/>
                <w:color w:val="000000"/>
                <w:lang w:eastAsia="fr-BE"/>
              </w:rPr>
              <w:t>« </w:t>
            </w:r>
            <w:r>
              <w:rPr>
                <w:rFonts w:ascii="Calibri" w:eastAsia="Times New Roman" w:hAnsi="Calibri" w:cs="Calibri"/>
                <w:color w:val="000000"/>
                <w:lang w:eastAsia="fr-BE"/>
              </w:rPr>
              <w:t>magazine</w:t>
            </w:r>
            <w:r w:rsidR="006B43DE">
              <w:rPr>
                <w:rFonts w:ascii="Calibri" w:eastAsia="Times New Roman" w:hAnsi="Calibri" w:cs="Calibri"/>
                <w:color w:val="000000"/>
                <w:lang w:eastAsia="fr-BE"/>
              </w:rPr>
              <w:t> »</w:t>
            </w:r>
          </w:p>
        </w:tc>
      </w:tr>
      <w:tr w:rsidR="003B202A" w:rsidRPr="00140493" w14:paraId="1BEBFE3C" w14:textId="011D942E" w:rsidTr="00634908">
        <w:trPr>
          <w:trHeight w:val="797"/>
        </w:trPr>
        <w:tc>
          <w:tcPr>
            <w:tcW w:w="2689" w:type="dxa"/>
            <w:hideMark/>
          </w:tcPr>
          <w:p w14:paraId="76BF1FB8" w14:textId="77777777" w:rsidR="003B202A" w:rsidRPr="00140493" w:rsidRDefault="003B202A" w:rsidP="007165A2">
            <w:pPr>
              <w:rPr>
                <w:rFonts w:ascii="Calibri" w:eastAsia="Times New Roman" w:hAnsi="Calibri" w:cs="Calibri"/>
                <w:i/>
                <w:color w:val="000000"/>
                <w:lang w:eastAsia="fr-BE"/>
              </w:rPr>
            </w:pPr>
            <w:proofErr w:type="spellStart"/>
            <w:r>
              <w:rPr>
                <w:rFonts w:ascii="Calibri" w:eastAsia="Times New Roman" w:hAnsi="Calibri" w:cs="Calibri"/>
                <w:b/>
                <w:i/>
                <w:color w:val="000000"/>
                <w:lang w:eastAsia="fr-BE"/>
              </w:rPr>
              <w:t>UC@ctualité</w:t>
            </w:r>
            <w:proofErr w:type="spellEnd"/>
          </w:p>
        </w:tc>
        <w:tc>
          <w:tcPr>
            <w:tcW w:w="1984" w:type="dxa"/>
          </w:tcPr>
          <w:p w14:paraId="1D30CE1B" w14:textId="77777777" w:rsidR="003B202A" w:rsidRPr="00140493" w:rsidRDefault="003B202A" w:rsidP="007165A2">
            <w:pPr>
              <w:rPr>
                <w:lang w:eastAsia="fr-BE"/>
              </w:rPr>
            </w:pPr>
            <w:r w:rsidRPr="00065887">
              <w:rPr>
                <w:lang w:eastAsia="fr-BE"/>
              </w:rPr>
              <w:t>Faible</w:t>
            </w:r>
          </w:p>
        </w:tc>
        <w:tc>
          <w:tcPr>
            <w:tcW w:w="3124" w:type="dxa"/>
          </w:tcPr>
          <w:p w14:paraId="73A4FA1D" w14:textId="5990500B" w:rsidR="00FB5993" w:rsidRDefault="00FB5993" w:rsidP="00FB5993">
            <w:pPr>
              <w:pStyle w:val="Paragraphedeliste"/>
              <w:numPr>
                <w:ilvl w:val="0"/>
                <w:numId w:val="11"/>
              </w:numPr>
              <w:rPr>
                <w:lang w:eastAsia="fr-BE"/>
              </w:rPr>
            </w:pPr>
            <w:r>
              <w:rPr>
                <w:lang w:eastAsia="fr-BE"/>
              </w:rPr>
              <w:t>Presse</w:t>
            </w:r>
            <w:r w:rsidR="006B43DE">
              <w:rPr>
                <w:lang w:eastAsia="fr-BE"/>
              </w:rPr>
              <w:t> ;</w:t>
            </w:r>
          </w:p>
          <w:p w14:paraId="5F625AD1" w14:textId="043CFF8A" w:rsidR="00FB5993" w:rsidRDefault="00FB5993" w:rsidP="00FB5993">
            <w:pPr>
              <w:pStyle w:val="Paragraphedeliste"/>
              <w:numPr>
                <w:ilvl w:val="0"/>
                <w:numId w:val="11"/>
              </w:numPr>
              <w:rPr>
                <w:lang w:eastAsia="fr-BE"/>
              </w:rPr>
            </w:pPr>
            <w:r>
              <w:rPr>
                <w:lang w:eastAsia="fr-BE"/>
              </w:rPr>
              <w:t>Archive scientifique</w:t>
            </w:r>
            <w:r w:rsidR="006B43DE">
              <w:rPr>
                <w:lang w:eastAsia="fr-BE"/>
              </w:rPr>
              <w:t> ;</w:t>
            </w:r>
          </w:p>
          <w:p w14:paraId="745FA9D0" w14:textId="4BC110E5" w:rsidR="003B202A" w:rsidRPr="002034ED" w:rsidRDefault="00FB5993" w:rsidP="00FB5993">
            <w:pPr>
              <w:pStyle w:val="Paragraphedeliste"/>
              <w:numPr>
                <w:ilvl w:val="0"/>
                <w:numId w:val="11"/>
              </w:numPr>
              <w:rPr>
                <w:lang w:eastAsia="fr-BE"/>
              </w:rPr>
            </w:pPr>
            <w:r>
              <w:rPr>
                <w:lang w:eastAsia="fr-BE"/>
              </w:rPr>
              <w:t>Archive non-scientifique.</w:t>
            </w:r>
          </w:p>
        </w:tc>
        <w:tc>
          <w:tcPr>
            <w:tcW w:w="1418" w:type="dxa"/>
          </w:tcPr>
          <w:p w14:paraId="15027FC2" w14:textId="13094FB6" w:rsidR="003B202A" w:rsidRDefault="003B202A" w:rsidP="007165A2">
            <w:pPr>
              <w:rPr>
                <w:lang w:eastAsia="fr-BE"/>
              </w:rPr>
            </w:pPr>
            <w:r>
              <w:rPr>
                <w:lang w:eastAsia="fr-BE"/>
              </w:rPr>
              <w:t xml:space="preserve">Mode </w:t>
            </w:r>
            <w:r w:rsidR="006B43DE">
              <w:rPr>
                <w:lang w:eastAsia="fr-BE"/>
              </w:rPr>
              <w:t>« </w:t>
            </w:r>
            <w:r>
              <w:rPr>
                <w:lang w:eastAsia="fr-BE"/>
              </w:rPr>
              <w:t>blog</w:t>
            </w:r>
            <w:r w:rsidR="006B43DE">
              <w:rPr>
                <w:lang w:eastAsia="fr-BE"/>
              </w:rPr>
              <w:t> »</w:t>
            </w:r>
          </w:p>
        </w:tc>
      </w:tr>
    </w:tbl>
    <w:p w14:paraId="0404F451" w14:textId="77777777" w:rsidR="00E21973" w:rsidRDefault="00E21973" w:rsidP="003653E6">
      <w:pPr>
        <w:pStyle w:val="Titre2"/>
      </w:pPr>
      <w:r>
        <w:t>Les genres du traitement de l’actualité par des chercheurs</w:t>
      </w:r>
    </w:p>
    <w:p w14:paraId="4D1D6DDD" w14:textId="420177E7" w:rsidR="00E21973" w:rsidRPr="002928E9" w:rsidRDefault="00E21973" w:rsidP="00E21973">
      <w:pPr>
        <w:jc w:val="both"/>
      </w:pPr>
      <w:r>
        <w:t>L’énonciation éditoriale rattache le texte à une forme matérielle qui fait sens au plan culturel et social pour le lecteur, et oriente ses modes d’appréhension du contenu. Le genre situe également le texte dans une forme reconnaissable, qui précise en outre la posture de l’auteur et détermine ses stratégies discursives. Contrairement aux rubriques de la presse</w:t>
      </w:r>
      <w:r w:rsidR="00046CC1">
        <w:t xml:space="preserve"> imprimée</w:t>
      </w:r>
      <w:r>
        <w:t>, où l</w:t>
      </w:r>
      <w:r w:rsidR="00846B39">
        <w:t>e</w:t>
      </w:r>
      <w:r w:rsidR="001C5397">
        <w:t xml:space="preserve"> form</w:t>
      </w:r>
      <w:r w:rsidR="00846B39">
        <w:t>at</w:t>
      </w:r>
      <w:r>
        <w:t xml:space="preserve"> </w:t>
      </w:r>
      <w:r w:rsidR="00ED71D6">
        <w:t xml:space="preserve">du texte </w:t>
      </w:r>
      <w:r>
        <w:t>est susceptible d</w:t>
      </w:r>
      <w:r w:rsidR="009F14F4">
        <w:t>e renseign</w:t>
      </w:r>
      <w:r>
        <w:t xml:space="preserve">er le lecteur sur </w:t>
      </w:r>
      <w:r w:rsidR="0065205E">
        <w:t xml:space="preserve">son </w:t>
      </w:r>
      <w:r>
        <w:t>appartenance générique (double page du reportage, fil de la chronique, encadré, etc.)</w:t>
      </w:r>
      <w:r>
        <w:rPr>
          <w:rStyle w:val="Appelnotedebasdep"/>
        </w:rPr>
        <w:footnoteReference w:id="28"/>
      </w:r>
      <w:r>
        <w:t>, les rubriques du blog se composent de billets d’un format uniforme. Il faut alors déterminer le genre auquel il</w:t>
      </w:r>
      <w:r w:rsidR="00BE4168">
        <w:t>s</w:t>
      </w:r>
      <w:r>
        <w:t xml:space="preserve"> se rattache</w:t>
      </w:r>
      <w:r w:rsidR="00BE4168">
        <w:t>nt</w:t>
      </w:r>
      <w:r>
        <w:t xml:space="preserve"> soit par une dénomination explicite</w:t>
      </w:r>
      <w:r w:rsidR="003E5586">
        <w:t xml:space="preserve"> (via</w:t>
      </w:r>
      <w:r w:rsidR="00A32D0E">
        <w:t xml:space="preserve"> les éléments de paratexte</w:t>
      </w:r>
      <w:r w:rsidR="006B43DE">
        <w:t> :</w:t>
      </w:r>
      <w:r w:rsidR="00A32D0E">
        <w:t xml:space="preserve"> sous-titre, rubrique, etc.)</w:t>
      </w:r>
      <w:r>
        <w:t>, so</w:t>
      </w:r>
      <w:r w:rsidR="00841FC0">
        <w:t>it par leur</w:t>
      </w:r>
      <w:r>
        <w:t>s caractéristiques discursives. On peut établir, au sein des billets du corpus, une ligne de démarcation héritée de la distinction classique dans le monde de la presse entre journalisme d’information (enquêtes, reportages, articles factuels, analyses) et journalisme d’opinion (commentaires d’actualité, chroniques, interviews), qui assurent respectivement une fonction d’établissement et de jugement des faits</w:t>
      </w:r>
      <w:r>
        <w:rPr>
          <w:rStyle w:val="Appelnotedebasdep"/>
        </w:rPr>
        <w:footnoteReference w:id="29"/>
      </w:r>
      <w:r>
        <w:t>. Plus marginalement représentée, l’information n’est pas pour autant inexistante</w:t>
      </w:r>
      <w:r w:rsidR="006B43DE">
        <w:t> :</w:t>
      </w:r>
      <w:r>
        <w:t xml:space="preserve"> </w:t>
      </w:r>
      <w:r>
        <w:rPr>
          <w:i/>
        </w:rPr>
        <w:t xml:space="preserve">Japon contemporain </w:t>
      </w:r>
      <w:r>
        <w:t>repose exclusivement sur ce principe, se faisant tantôt le relai d’actualités locales, tantôt proposant des études de faits de société contemporains</w:t>
      </w:r>
      <w:r w:rsidR="00D474DD">
        <w:t>.</w:t>
      </w:r>
      <w:r>
        <w:t xml:space="preserve"> </w:t>
      </w:r>
      <w:r>
        <w:rPr>
          <w:i/>
        </w:rPr>
        <w:t>L’atome de discorde</w:t>
      </w:r>
      <w:r>
        <w:t xml:space="preserve"> propose des analyses de l’actualité (une rubrique existe d’ailleurs sous cet intitulé) destinées à contextualiser la recherche sur les débats consacrés aux enjeux du nucléaire en Europe</w:t>
      </w:r>
      <w:r w:rsidR="006B43DE">
        <w:t> ;</w:t>
      </w:r>
      <w:r>
        <w:t xml:space="preserve"> ce qui n’exclut pas cependant la publication de </w:t>
      </w:r>
      <w:r>
        <w:rPr>
          <w:i/>
        </w:rPr>
        <w:t>billets d’humeurs</w:t>
      </w:r>
      <w:r>
        <w:t xml:space="preserve">. </w:t>
      </w:r>
      <w:proofErr w:type="spellStart"/>
      <w:r>
        <w:rPr>
          <w:i/>
        </w:rPr>
        <w:t>LAMenparle</w:t>
      </w:r>
      <w:proofErr w:type="spellEnd"/>
      <w:r>
        <w:t xml:space="preserve"> anime quant à lui une rubrique </w:t>
      </w:r>
      <w:r w:rsidR="006B43DE">
        <w:t>« </w:t>
      </w:r>
      <w:r>
        <w:t>Humeur</w:t>
      </w:r>
      <w:r w:rsidR="006B43DE">
        <w:t> »</w:t>
      </w:r>
      <w:r>
        <w:t>, publie des commentaires sur l’actualité africaine (plus particulièrement des élections, dans une rubrique dédiée), mais propose également un dossier d’analyse cartographique de ces élections.</w:t>
      </w:r>
      <w:r>
        <w:rPr>
          <w:i/>
        </w:rPr>
        <w:t xml:space="preserve"> Culture et politique arabes</w:t>
      </w:r>
      <w:r>
        <w:t xml:space="preserve"> fonctionne quant à lui sur le mode de la chronique hebdomadaire, sans toutefois s’en attribuer l’étiquette. </w:t>
      </w:r>
      <w:r w:rsidR="00316301">
        <w:t xml:space="preserve">C’est également le cas de </w:t>
      </w:r>
      <w:proofErr w:type="spellStart"/>
      <w:r w:rsidR="00316301">
        <w:rPr>
          <w:i/>
        </w:rPr>
        <w:t>Polit’Bistro</w:t>
      </w:r>
      <w:proofErr w:type="spellEnd"/>
      <w:r w:rsidR="00316301">
        <w:t>, pour les quelques billets réagissant à l’actualité toutefois (mort de Fidel Castro, élections américaines,</w:t>
      </w:r>
      <w:r w:rsidR="0019716B">
        <w:t xml:space="preserve"> </w:t>
      </w:r>
      <w:proofErr w:type="spellStart"/>
      <w:r w:rsidR="0019716B">
        <w:t>Brexit</w:t>
      </w:r>
      <w:proofErr w:type="spellEnd"/>
      <w:r w:rsidR="0019716B">
        <w:t>,</w:t>
      </w:r>
      <w:r w:rsidR="00316301">
        <w:t xml:space="preserve"> etc.). </w:t>
      </w:r>
      <w:r>
        <w:t xml:space="preserve">À nouveau, il n’est ici question d’autre catégorisation générique que celle de </w:t>
      </w:r>
      <w:r w:rsidR="006B43DE">
        <w:t>« </w:t>
      </w:r>
      <w:r>
        <w:t>billet</w:t>
      </w:r>
      <w:r w:rsidR="006B43DE">
        <w:t> »</w:t>
      </w:r>
      <w:r>
        <w:t xml:space="preserve">. </w:t>
      </w:r>
      <w:r>
        <w:rPr>
          <w:i/>
        </w:rPr>
        <w:t>Les carnets de l’IREMAM</w:t>
      </w:r>
      <w:r>
        <w:t xml:space="preserve"> disposent d’une catégorie </w:t>
      </w:r>
      <w:r w:rsidR="006B43DE">
        <w:t>« </w:t>
      </w:r>
      <w:r>
        <w:t>Au fil de la recherche</w:t>
      </w:r>
      <w:r w:rsidR="006B43DE">
        <w:t> »</w:t>
      </w:r>
      <w:r>
        <w:t xml:space="preserve"> - consacrée surtout aux actualités de la recherche, mais également à l’actualité du monde </w:t>
      </w:r>
      <w:r>
        <w:lastRenderedPageBreak/>
        <w:t xml:space="preserve">arabo-musulman dans laquelle elle s’inscrit. On y trouve ainsi une sous-catégorie </w:t>
      </w:r>
      <w:r w:rsidR="006B43DE">
        <w:t>« </w:t>
      </w:r>
      <w:r>
        <w:t>Points de vue</w:t>
      </w:r>
      <w:r w:rsidR="006B43DE">
        <w:t> »</w:t>
      </w:r>
      <w:r>
        <w:t xml:space="preserve">, qui apporte un éclairage sur l’actualité de certaines régions (Yémen, Lybie, Gaza, etc.). Dans cette même rubrique </w:t>
      </w:r>
      <w:r w:rsidR="006B43DE">
        <w:t>« </w:t>
      </w:r>
      <w:r>
        <w:t>Au fil de la recherche</w:t>
      </w:r>
      <w:r w:rsidR="006B43DE">
        <w:t> »</w:t>
      </w:r>
      <w:r>
        <w:t>, il arrive que l’on donne la parole à des spécialistes par des entretiens</w:t>
      </w:r>
      <w:r w:rsidR="008157A3">
        <w:t xml:space="preserve">, comme </w:t>
      </w:r>
      <w:r w:rsidR="00E00609">
        <w:t xml:space="preserve">par exemple </w:t>
      </w:r>
      <w:r w:rsidR="008157A3">
        <w:t xml:space="preserve">dans le billet </w:t>
      </w:r>
      <w:r w:rsidR="006B43DE">
        <w:t>« </w:t>
      </w:r>
      <w:r w:rsidR="008157A3" w:rsidRPr="008157A3">
        <w:t xml:space="preserve">Les ressorts politiques de la mobilisation </w:t>
      </w:r>
      <w:proofErr w:type="spellStart"/>
      <w:r w:rsidR="008157A3" w:rsidRPr="008157A3">
        <w:t>jihadiste</w:t>
      </w:r>
      <w:proofErr w:type="spellEnd"/>
      <w:r w:rsidR="008157A3" w:rsidRPr="008157A3">
        <w:t xml:space="preserve"> en Europe</w:t>
      </w:r>
      <w:r w:rsidR="006B43DE">
        <w:t> »</w:t>
      </w:r>
      <w:r w:rsidR="008157A3">
        <w:rPr>
          <w:rStyle w:val="Appelnotedebasdep"/>
        </w:rPr>
        <w:footnoteReference w:id="30"/>
      </w:r>
      <w:r>
        <w:t xml:space="preserve">. L’interview est également mobilisée dans le carnet </w:t>
      </w:r>
      <w:proofErr w:type="spellStart"/>
      <w:r>
        <w:rPr>
          <w:i/>
        </w:rPr>
        <w:t>Ovipot</w:t>
      </w:r>
      <w:proofErr w:type="spellEnd"/>
      <w:r>
        <w:t xml:space="preserve">, qui dispose d’une </w:t>
      </w:r>
      <w:r w:rsidR="007220C5">
        <w:t>rubrique</w:t>
      </w:r>
      <w:r>
        <w:t xml:space="preserve"> spécifique pour ce genre. Les autres rubriques portent des libellés thématiques, contenant des billets d’analyse de l’actualité politique </w:t>
      </w:r>
      <w:r w:rsidR="006B43DE">
        <w:t>« </w:t>
      </w:r>
      <w:r w:rsidRPr="00333ABF">
        <w:t>au travers desquelles s’expriment les vues des chercheurs et étudiants en science politique et sociologie politique</w:t>
      </w:r>
      <w:r w:rsidR="006B43DE">
        <w:t> »</w:t>
      </w:r>
      <w:r>
        <w:rPr>
          <w:rStyle w:val="Appelnotedebasdep"/>
        </w:rPr>
        <w:footnoteReference w:id="31"/>
      </w:r>
      <w:r>
        <w:t xml:space="preserve">. </w:t>
      </w:r>
      <w:proofErr w:type="spellStart"/>
      <w:r>
        <w:rPr>
          <w:i/>
        </w:rPr>
        <w:t>UC@ctualité</w:t>
      </w:r>
      <w:proofErr w:type="spellEnd"/>
      <w:r>
        <w:rPr>
          <w:i/>
        </w:rPr>
        <w:t xml:space="preserve"> </w:t>
      </w:r>
      <w:r>
        <w:t xml:space="preserve">se distingue par le fait que l’on y trouve un </w:t>
      </w:r>
      <w:r w:rsidRPr="00D62FAF">
        <w:rPr>
          <w:i/>
        </w:rPr>
        <w:t>éditorial</w:t>
      </w:r>
      <w:r>
        <w:rPr>
          <w:rStyle w:val="Appelnotedebasdep"/>
        </w:rPr>
        <w:footnoteReference w:id="32"/>
      </w:r>
      <w:r>
        <w:t xml:space="preserve"> définissant le projet scientifique du traitement de l’actualité</w:t>
      </w:r>
      <w:r w:rsidR="006B43DE">
        <w:t> ;</w:t>
      </w:r>
      <w:r>
        <w:t xml:space="preserve"> les contributions ne sont ensuite pas rattachées à un genre précis, mais consistent en des commentaires de l’actualité par des universitaires – ainsi que l’explicite le sous-titre du carnet de recherche. Enfin, </w:t>
      </w:r>
      <w:r>
        <w:rPr>
          <w:i/>
        </w:rPr>
        <w:t>L’intelligence du monde</w:t>
      </w:r>
      <w:r>
        <w:t xml:space="preserve"> agrège des billets sélectionnés parmi d’autres carnets de recherche</w:t>
      </w:r>
      <w:r w:rsidR="006B43DE">
        <w:t> ;</w:t>
      </w:r>
      <w:r>
        <w:t xml:space="preserve"> on y trouve essentiellement, en ce qui concerne le traitement de l’actualité, des billets </w:t>
      </w:r>
      <w:r w:rsidR="00901A7D">
        <w:t>la commentant</w:t>
      </w:r>
      <w:r>
        <w:t>.</w:t>
      </w:r>
    </w:p>
    <w:p w14:paraId="7D0C9817" w14:textId="7C7F7851" w:rsidR="00E21973" w:rsidRDefault="00E21973" w:rsidP="00E21973">
      <w:pPr>
        <w:jc w:val="both"/>
      </w:pPr>
      <w:r>
        <w:t>De l’usage de ces genres, découlent divers enjeux du traitement de l’actualité</w:t>
      </w:r>
      <w:r w:rsidR="006B43DE">
        <w:t> :</w:t>
      </w:r>
      <w:r>
        <w:t xml:space="preserve"> l’information – dans ce cas, passée au crible de l’analyse politique, sociologique, géographique etc.</w:t>
      </w:r>
      <w:r w:rsidR="006B43DE">
        <w:t> ;</w:t>
      </w:r>
      <w:r>
        <w:t xml:space="preserve"> mais, le plus souvent, la critique subjective des faits, que ce soit par leur mise en perspective dans un contexte plus large, ou une réaction </w:t>
      </w:r>
      <w:r w:rsidR="006B43DE">
        <w:t>« </w:t>
      </w:r>
      <w:r>
        <w:t>sur le vif</w:t>
      </w:r>
      <w:r w:rsidR="006B43DE">
        <w:t> »</w:t>
      </w:r>
      <w:r>
        <w:t xml:space="preserve"> du chercheur. Tant l’information que la critique sont traitées sur un mode particulier par rapport à ce qui a cours dans la presse</w:t>
      </w:r>
      <w:r w:rsidR="006B43DE">
        <w:t> :</w:t>
      </w:r>
      <w:r>
        <w:t xml:space="preserve"> le carnet de recherche ne prétendra nullement informer le lecteur d’un événement nouveau. On n’y trouvera pas non plus de traitement de l’actualité sur le mode du reportage</w:t>
      </w:r>
      <w:r w:rsidR="006B43DE">
        <w:t> ;</w:t>
      </w:r>
      <w:r>
        <w:t xml:space="preserve"> en revanche, la couverture </w:t>
      </w:r>
      <w:r w:rsidR="006B43DE">
        <w:t>« </w:t>
      </w:r>
      <w:r>
        <w:t>informationnelle</w:t>
      </w:r>
      <w:r w:rsidR="006B43DE">
        <w:t> »</w:t>
      </w:r>
      <w:r>
        <w:t xml:space="preserve"> de l’actualité prendra </w:t>
      </w:r>
      <w:proofErr w:type="gramStart"/>
      <w:r w:rsidRPr="009D5809">
        <w:rPr>
          <w:i/>
        </w:rPr>
        <w:t>a</w:t>
      </w:r>
      <w:proofErr w:type="gramEnd"/>
      <w:r w:rsidRPr="009D5809">
        <w:rPr>
          <w:i/>
        </w:rPr>
        <w:t xml:space="preserve"> minima</w:t>
      </w:r>
      <w:r>
        <w:t xml:space="preserve"> la dimension réflexive de l’analyse. Les grilles de la critique des faits varient également et dépendent des disciplines du carnet</w:t>
      </w:r>
      <w:r w:rsidR="006B43DE">
        <w:t> :</w:t>
      </w:r>
      <w:r>
        <w:t xml:space="preserve"> une majorité des blogs du corpus relèvent des sciences sociales, en particulier les sciences politiques –très peu des humanités, tandis qu’il est plutôt courant, dans la presse traditionnelle, de donner la parole à des philosophes. Les études régionales sont pour leur part bien représentées (Asie, Afrique, Proche et Moyen-Orient), offrant une source sur des actualités parfois peu traitées dans la presse européenne et participant au projet d’ouverture sur le monde préconisé par </w:t>
      </w:r>
      <w:r>
        <w:rPr>
          <w:i/>
        </w:rPr>
        <w:t>Hypothèses</w:t>
      </w:r>
      <w:r>
        <w:t>.</w:t>
      </w:r>
    </w:p>
    <w:p w14:paraId="7EE0B877" w14:textId="3B67E64F" w:rsidR="00ED6045" w:rsidRPr="00E215D2" w:rsidRDefault="00ED6045" w:rsidP="007E743D">
      <w:pPr>
        <w:pStyle w:val="Sansinterligne"/>
        <w:rPr>
          <w:u w:val="single"/>
        </w:rPr>
      </w:pPr>
      <w:r w:rsidRPr="00E215D2">
        <w:rPr>
          <w:u w:val="single"/>
        </w:rPr>
        <w:t>Tableau 3</w:t>
      </w:r>
      <w:r w:rsidR="006B43DE">
        <w:rPr>
          <w:u w:val="single"/>
        </w:rPr>
        <w:t> </w:t>
      </w:r>
      <w:r w:rsidR="006B43DE" w:rsidRPr="00E215D2">
        <w:rPr>
          <w:u w:val="single"/>
        </w:rPr>
        <w:t>:</w:t>
      </w:r>
      <w:r w:rsidRPr="00E215D2">
        <w:rPr>
          <w:u w:val="single"/>
        </w:rPr>
        <w:t xml:space="preserve"> genr</w:t>
      </w:r>
      <w:r w:rsidR="003E5586" w:rsidRPr="00E215D2">
        <w:rPr>
          <w:u w:val="single"/>
        </w:rPr>
        <w:t>es du traitement de l’actualité</w:t>
      </w:r>
    </w:p>
    <w:tbl>
      <w:tblPr>
        <w:tblStyle w:val="Grilledutableau"/>
        <w:tblpPr w:leftFromText="141" w:rightFromText="141" w:vertAnchor="text" w:horzAnchor="margin" w:tblpXSpec="center" w:tblpY="248"/>
        <w:tblW w:w="9230" w:type="dxa"/>
        <w:tblLayout w:type="fixed"/>
        <w:tblLook w:val="04A0" w:firstRow="1" w:lastRow="0" w:firstColumn="1" w:lastColumn="0" w:noHBand="0" w:noVBand="1"/>
      </w:tblPr>
      <w:tblGrid>
        <w:gridCol w:w="4258"/>
        <w:gridCol w:w="4972"/>
      </w:tblGrid>
      <w:tr w:rsidR="003E5586" w14:paraId="04BD8DDF" w14:textId="77777777" w:rsidTr="003E5586">
        <w:tc>
          <w:tcPr>
            <w:tcW w:w="4258" w:type="dxa"/>
            <w:shd w:val="clear" w:color="auto" w:fill="D9D9D9" w:themeFill="background1" w:themeFillShade="D9"/>
          </w:tcPr>
          <w:p w14:paraId="51F4E28A" w14:textId="77777777" w:rsidR="003E5586" w:rsidRPr="00140493" w:rsidRDefault="003E5586" w:rsidP="007E743D">
            <w:pPr>
              <w:pStyle w:val="Sansinterligne"/>
              <w:rPr>
                <w:b/>
              </w:rPr>
            </w:pPr>
            <w:r w:rsidRPr="00140493">
              <w:rPr>
                <w:b/>
              </w:rPr>
              <w:t>Nom du carnet</w:t>
            </w:r>
          </w:p>
        </w:tc>
        <w:tc>
          <w:tcPr>
            <w:tcW w:w="4972" w:type="dxa"/>
            <w:shd w:val="clear" w:color="auto" w:fill="D9D9D9" w:themeFill="background1" w:themeFillShade="D9"/>
          </w:tcPr>
          <w:p w14:paraId="3AA3A21F" w14:textId="36FF9565" w:rsidR="003E5586" w:rsidRPr="00951E7D" w:rsidRDefault="003E5586" w:rsidP="007E743D">
            <w:pPr>
              <w:pStyle w:val="Sansinterligne"/>
              <w:rPr>
                <w:b/>
              </w:rPr>
            </w:pPr>
            <w:r>
              <w:rPr>
                <w:b/>
              </w:rPr>
              <w:t>Genres du traitement de l’actualité</w:t>
            </w:r>
          </w:p>
        </w:tc>
      </w:tr>
      <w:tr w:rsidR="003E5586" w14:paraId="06E8859F" w14:textId="77777777" w:rsidTr="00FB1A54">
        <w:trPr>
          <w:trHeight w:val="568"/>
        </w:trPr>
        <w:tc>
          <w:tcPr>
            <w:tcW w:w="4258" w:type="dxa"/>
            <w:hideMark/>
          </w:tcPr>
          <w:p w14:paraId="76F868B8" w14:textId="77777777" w:rsidR="003E5586" w:rsidRPr="00140493" w:rsidRDefault="003E5586" w:rsidP="005620A4">
            <w:pPr>
              <w:pStyle w:val="Sansinterligne"/>
              <w:spacing w:line="360" w:lineRule="auto"/>
              <w:rPr>
                <w:rFonts w:ascii="Calibri" w:eastAsia="Times New Roman" w:hAnsi="Calibri" w:cs="Calibri"/>
                <w:b/>
                <w:i/>
                <w:color w:val="000000"/>
                <w:lang w:eastAsia="fr-BE"/>
              </w:rPr>
            </w:pPr>
            <w:r w:rsidRPr="00140493">
              <w:rPr>
                <w:rFonts w:ascii="Calibri" w:eastAsia="Times New Roman" w:hAnsi="Calibri" w:cs="Calibri"/>
                <w:b/>
                <w:i/>
                <w:color w:val="000000"/>
                <w:lang w:eastAsia="fr-BE"/>
              </w:rPr>
              <w:t>Culture et politique arabes</w:t>
            </w:r>
          </w:p>
        </w:tc>
        <w:tc>
          <w:tcPr>
            <w:tcW w:w="4972" w:type="dxa"/>
          </w:tcPr>
          <w:p w14:paraId="32D64A57" w14:textId="21F99D15" w:rsidR="003E5586" w:rsidRPr="00140493" w:rsidRDefault="003304C3" w:rsidP="005620A4">
            <w:pPr>
              <w:pStyle w:val="Sansinterligne"/>
              <w:spacing w:line="360" w:lineRule="auto"/>
              <w:rPr>
                <w:lang w:eastAsia="fr-BE"/>
              </w:rPr>
            </w:pPr>
            <w:r>
              <w:rPr>
                <w:lang w:eastAsia="fr-BE"/>
              </w:rPr>
              <w:t>C</w:t>
            </w:r>
            <w:r w:rsidR="003E5586">
              <w:rPr>
                <w:lang w:eastAsia="fr-BE"/>
              </w:rPr>
              <w:t>hronique hebdomadaire</w:t>
            </w:r>
            <w:r w:rsidR="006B43DE">
              <w:rPr>
                <w:lang w:eastAsia="fr-BE"/>
              </w:rPr>
              <w:t> ;</w:t>
            </w:r>
            <w:r>
              <w:rPr>
                <w:lang w:eastAsia="fr-BE"/>
              </w:rPr>
              <w:t xml:space="preserve"> commentaire de l’actualité</w:t>
            </w:r>
          </w:p>
        </w:tc>
      </w:tr>
      <w:tr w:rsidR="003E5586" w14:paraId="25EBFA22" w14:textId="77777777" w:rsidTr="00FB1A54">
        <w:trPr>
          <w:trHeight w:val="294"/>
        </w:trPr>
        <w:tc>
          <w:tcPr>
            <w:tcW w:w="4258" w:type="dxa"/>
            <w:shd w:val="clear" w:color="auto" w:fill="FFFFFF" w:themeFill="background1"/>
            <w:hideMark/>
          </w:tcPr>
          <w:p w14:paraId="215ADC36" w14:textId="77777777" w:rsidR="003E5586" w:rsidRPr="00140493" w:rsidRDefault="003E5586" w:rsidP="005620A4">
            <w:pPr>
              <w:pStyle w:val="Sansinterligne"/>
              <w:spacing w:line="360" w:lineRule="auto"/>
              <w:rPr>
                <w:rFonts w:ascii="Calibri" w:eastAsia="Times New Roman" w:hAnsi="Calibri" w:cs="Calibri"/>
                <w:b/>
                <w:i/>
                <w:color w:val="000000"/>
                <w:lang w:eastAsia="fr-BE"/>
              </w:rPr>
            </w:pPr>
            <w:r w:rsidRPr="00140493">
              <w:rPr>
                <w:rFonts w:ascii="Calibri" w:eastAsia="Times New Roman" w:hAnsi="Calibri" w:cs="Calibri"/>
                <w:b/>
                <w:i/>
                <w:color w:val="000000"/>
                <w:lang w:eastAsia="fr-BE"/>
              </w:rPr>
              <w:t>Japon contemporain</w:t>
            </w:r>
          </w:p>
        </w:tc>
        <w:tc>
          <w:tcPr>
            <w:tcW w:w="4972" w:type="dxa"/>
            <w:shd w:val="clear" w:color="auto" w:fill="FFFFFF" w:themeFill="background1"/>
          </w:tcPr>
          <w:p w14:paraId="35BEC6FB" w14:textId="62E759FE" w:rsidR="003E5586" w:rsidRPr="00140493" w:rsidRDefault="003304C3" w:rsidP="005620A4">
            <w:pPr>
              <w:pStyle w:val="Sansinterligne"/>
              <w:spacing w:line="360" w:lineRule="auto"/>
              <w:rPr>
                <w:lang w:eastAsia="fr-BE"/>
              </w:rPr>
            </w:pPr>
            <w:r>
              <w:rPr>
                <w:lang w:eastAsia="fr-BE"/>
              </w:rPr>
              <w:t>A</w:t>
            </w:r>
            <w:r w:rsidR="00F17B3D">
              <w:rPr>
                <w:lang w:eastAsia="fr-BE"/>
              </w:rPr>
              <w:t>nalyse</w:t>
            </w:r>
            <w:r>
              <w:rPr>
                <w:lang w:eastAsia="fr-BE"/>
              </w:rPr>
              <w:t xml:space="preserve"> de l’actualité</w:t>
            </w:r>
          </w:p>
        </w:tc>
      </w:tr>
      <w:tr w:rsidR="003E5586" w14:paraId="2A24BA91" w14:textId="77777777" w:rsidTr="00FB1A54">
        <w:trPr>
          <w:trHeight w:val="290"/>
        </w:trPr>
        <w:tc>
          <w:tcPr>
            <w:tcW w:w="4258" w:type="dxa"/>
            <w:hideMark/>
          </w:tcPr>
          <w:p w14:paraId="68E7AB63" w14:textId="77777777" w:rsidR="003E5586" w:rsidRPr="00140493" w:rsidRDefault="003E5586" w:rsidP="005620A4">
            <w:pPr>
              <w:pStyle w:val="Sansinterligne"/>
              <w:spacing w:line="360" w:lineRule="auto"/>
              <w:rPr>
                <w:rFonts w:ascii="Calibri" w:eastAsia="Times New Roman" w:hAnsi="Calibri" w:cs="Calibri"/>
                <w:b/>
                <w:i/>
                <w:color w:val="000000"/>
                <w:lang w:eastAsia="fr-BE"/>
              </w:rPr>
            </w:pPr>
            <w:r>
              <w:rPr>
                <w:rFonts w:ascii="Calibri" w:eastAsia="Times New Roman" w:hAnsi="Calibri" w:cs="Calibri"/>
                <w:b/>
                <w:i/>
                <w:color w:val="000000"/>
                <w:lang w:eastAsia="fr-BE"/>
              </w:rPr>
              <w:t xml:space="preserve">L’atome de </w:t>
            </w:r>
            <w:r w:rsidRPr="00140493">
              <w:rPr>
                <w:rFonts w:ascii="Calibri" w:eastAsia="Times New Roman" w:hAnsi="Calibri" w:cs="Calibri"/>
                <w:b/>
                <w:i/>
                <w:color w:val="000000"/>
                <w:lang w:eastAsia="fr-BE"/>
              </w:rPr>
              <w:t>discorde</w:t>
            </w:r>
          </w:p>
        </w:tc>
        <w:tc>
          <w:tcPr>
            <w:tcW w:w="4972" w:type="dxa"/>
          </w:tcPr>
          <w:p w14:paraId="1AA6E848" w14:textId="23F9E26E" w:rsidR="003E5586" w:rsidRPr="00140493" w:rsidRDefault="00F17B3D" w:rsidP="005620A4">
            <w:pPr>
              <w:pStyle w:val="Sansinterligne"/>
              <w:spacing w:line="360" w:lineRule="auto"/>
              <w:rPr>
                <w:lang w:eastAsia="fr-BE"/>
              </w:rPr>
            </w:pPr>
            <w:r>
              <w:rPr>
                <w:lang w:eastAsia="fr-BE"/>
              </w:rPr>
              <w:t>Analyse</w:t>
            </w:r>
            <w:r w:rsidR="003304C3">
              <w:rPr>
                <w:lang w:eastAsia="fr-BE"/>
              </w:rPr>
              <w:t xml:space="preserve"> de l’actualité</w:t>
            </w:r>
            <w:r w:rsidR="006B43DE">
              <w:rPr>
                <w:lang w:eastAsia="fr-BE"/>
              </w:rPr>
              <w:t> ;</w:t>
            </w:r>
            <w:r w:rsidR="003304C3">
              <w:rPr>
                <w:lang w:eastAsia="fr-BE"/>
              </w:rPr>
              <w:t xml:space="preserve"> </w:t>
            </w:r>
            <w:r>
              <w:rPr>
                <w:lang w:eastAsia="fr-BE"/>
              </w:rPr>
              <w:t>billet</w:t>
            </w:r>
            <w:r w:rsidR="003E5586">
              <w:rPr>
                <w:lang w:eastAsia="fr-BE"/>
              </w:rPr>
              <w:t xml:space="preserve"> d’humeurs</w:t>
            </w:r>
          </w:p>
        </w:tc>
      </w:tr>
      <w:tr w:rsidR="003E5586" w14:paraId="226FD73E" w14:textId="77777777" w:rsidTr="00FB1A54">
        <w:trPr>
          <w:trHeight w:val="316"/>
        </w:trPr>
        <w:tc>
          <w:tcPr>
            <w:tcW w:w="4258" w:type="dxa"/>
            <w:hideMark/>
          </w:tcPr>
          <w:p w14:paraId="5E161056" w14:textId="77777777" w:rsidR="003E5586" w:rsidRPr="00140493" w:rsidRDefault="003E5586" w:rsidP="005620A4">
            <w:pPr>
              <w:pStyle w:val="Sansinterligne"/>
              <w:spacing w:line="360" w:lineRule="auto"/>
              <w:rPr>
                <w:rFonts w:ascii="Calibri" w:eastAsia="Times New Roman" w:hAnsi="Calibri" w:cs="Calibri"/>
                <w:i/>
                <w:color w:val="000000"/>
                <w:lang w:eastAsia="fr-BE"/>
              </w:rPr>
            </w:pPr>
            <w:r w:rsidRPr="00140493">
              <w:rPr>
                <w:rFonts w:ascii="Calibri" w:eastAsia="Times New Roman" w:hAnsi="Calibri" w:cs="Calibri"/>
                <w:b/>
                <w:i/>
                <w:color w:val="000000"/>
                <w:lang w:eastAsia="fr-BE"/>
              </w:rPr>
              <w:t>L’intelligence du monde</w:t>
            </w:r>
          </w:p>
        </w:tc>
        <w:tc>
          <w:tcPr>
            <w:tcW w:w="4972" w:type="dxa"/>
          </w:tcPr>
          <w:p w14:paraId="0F7D8DE9" w14:textId="1E84EFD3" w:rsidR="003E5586" w:rsidRPr="00065887" w:rsidRDefault="005F0530" w:rsidP="005620A4">
            <w:pPr>
              <w:pStyle w:val="Sansinterligne"/>
              <w:spacing w:line="360" w:lineRule="auto"/>
              <w:rPr>
                <w:lang w:eastAsia="fr-BE"/>
              </w:rPr>
            </w:pPr>
            <w:r>
              <w:rPr>
                <w:lang w:eastAsia="fr-BE"/>
              </w:rPr>
              <w:t>Commentaire de l’actualité</w:t>
            </w:r>
          </w:p>
        </w:tc>
      </w:tr>
      <w:tr w:rsidR="003E5586" w14:paraId="3E551668" w14:textId="77777777" w:rsidTr="00FB1A54">
        <w:trPr>
          <w:trHeight w:val="617"/>
        </w:trPr>
        <w:tc>
          <w:tcPr>
            <w:tcW w:w="4258" w:type="dxa"/>
            <w:hideMark/>
          </w:tcPr>
          <w:p w14:paraId="37A130E7" w14:textId="77777777" w:rsidR="003E5586" w:rsidRPr="00140493" w:rsidRDefault="003E5586" w:rsidP="005620A4">
            <w:pPr>
              <w:pStyle w:val="Sansinterligne"/>
              <w:spacing w:line="360" w:lineRule="auto"/>
              <w:rPr>
                <w:rFonts w:ascii="Calibri" w:eastAsia="Times New Roman" w:hAnsi="Calibri" w:cs="Calibri"/>
                <w:i/>
                <w:color w:val="000000"/>
                <w:lang w:eastAsia="fr-BE"/>
              </w:rPr>
            </w:pPr>
            <w:proofErr w:type="spellStart"/>
            <w:r>
              <w:rPr>
                <w:rFonts w:ascii="Calibri" w:eastAsia="Times New Roman" w:hAnsi="Calibri" w:cs="Calibri"/>
                <w:b/>
                <w:i/>
                <w:color w:val="000000"/>
                <w:lang w:eastAsia="fr-BE"/>
              </w:rPr>
              <w:t>LAMenparle</w:t>
            </w:r>
            <w:proofErr w:type="spellEnd"/>
          </w:p>
        </w:tc>
        <w:tc>
          <w:tcPr>
            <w:tcW w:w="4972" w:type="dxa"/>
          </w:tcPr>
          <w:p w14:paraId="3DDDDD6B" w14:textId="0B7F7AA5" w:rsidR="003E5586" w:rsidRPr="00140493" w:rsidRDefault="00F17B3D" w:rsidP="00F17B3D">
            <w:pPr>
              <w:pStyle w:val="Sansinterligne"/>
              <w:spacing w:line="360" w:lineRule="auto"/>
              <w:rPr>
                <w:lang w:eastAsia="fr-BE"/>
              </w:rPr>
            </w:pPr>
            <w:r>
              <w:rPr>
                <w:lang w:eastAsia="fr-BE"/>
              </w:rPr>
              <w:t>Billet</w:t>
            </w:r>
            <w:r w:rsidR="003304C3">
              <w:rPr>
                <w:lang w:eastAsia="fr-BE"/>
              </w:rPr>
              <w:t xml:space="preserve"> d’humeur</w:t>
            </w:r>
            <w:r w:rsidR="006B43DE">
              <w:rPr>
                <w:lang w:eastAsia="fr-BE"/>
              </w:rPr>
              <w:t> ;</w:t>
            </w:r>
            <w:r w:rsidR="003304C3">
              <w:rPr>
                <w:lang w:eastAsia="fr-BE"/>
              </w:rPr>
              <w:t xml:space="preserve"> c</w:t>
            </w:r>
            <w:r w:rsidR="003E5586">
              <w:rPr>
                <w:lang w:eastAsia="fr-BE"/>
              </w:rPr>
              <w:t>ommentaire de l’actualité</w:t>
            </w:r>
            <w:r w:rsidR="006B43DE">
              <w:rPr>
                <w:lang w:eastAsia="fr-BE"/>
              </w:rPr>
              <w:t> ;</w:t>
            </w:r>
            <w:r w:rsidR="003E5586">
              <w:rPr>
                <w:lang w:eastAsia="fr-BE"/>
              </w:rPr>
              <w:t xml:space="preserve"> analyse (cartographies)</w:t>
            </w:r>
          </w:p>
        </w:tc>
      </w:tr>
      <w:tr w:rsidR="003E5586" w14:paraId="0DC50413" w14:textId="77777777" w:rsidTr="00FB1A54">
        <w:trPr>
          <w:trHeight w:val="273"/>
        </w:trPr>
        <w:tc>
          <w:tcPr>
            <w:tcW w:w="4258" w:type="dxa"/>
            <w:hideMark/>
          </w:tcPr>
          <w:p w14:paraId="6149794F" w14:textId="77777777" w:rsidR="003E5586" w:rsidRPr="00140493" w:rsidRDefault="003E5586" w:rsidP="005620A4">
            <w:pPr>
              <w:pStyle w:val="Sansinterligne"/>
              <w:spacing w:line="360" w:lineRule="auto"/>
              <w:rPr>
                <w:rFonts w:ascii="Calibri" w:eastAsia="Times New Roman" w:hAnsi="Calibri" w:cs="Calibri"/>
                <w:i/>
                <w:color w:val="000000"/>
                <w:lang w:eastAsia="fr-BE"/>
              </w:rPr>
            </w:pPr>
            <w:r w:rsidRPr="00140493">
              <w:rPr>
                <w:rFonts w:ascii="Calibri" w:eastAsia="Times New Roman" w:hAnsi="Calibri" w:cs="Calibri"/>
                <w:b/>
                <w:i/>
                <w:color w:val="000000"/>
                <w:lang w:eastAsia="fr-BE"/>
              </w:rPr>
              <w:t>Les carnets de l’IREMAM</w:t>
            </w:r>
          </w:p>
        </w:tc>
        <w:tc>
          <w:tcPr>
            <w:tcW w:w="4972" w:type="dxa"/>
          </w:tcPr>
          <w:p w14:paraId="5ABFAA42" w14:textId="2F3A3FFE" w:rsidR="003E5586" w:rsidRPr="0076078F" w:rsidRDefault="008157A3" w:rsidP="005620A4">
            <w:pPr>
              <w:pStyle w:val="Sansinterligne"/>
              <w:spacing w:line="360" w:lineRule="auto"/>
              <w:rPr>
                <w:lang w:eastAsia="fr-BE"/>
              </w:rPr>
            </w:pPr>
            <w:r>
              <w:rPr>
                <w:lang w:eastAsia="fr-BE"/>
              </w:rPr>
              <w:t>Commentaire de l’actualité</w:t>
            </w:r>
            <w:r w:rsidR="006B43DE">
              <w:rPr>
                <w:lang w:eastAsia="fr-BE"/>
              </w:rPr>
              <w:t> ;</w:t>
            </w:r>
            <w:r>
              <w:rPr>
                <w:lang w:eastAsia="fr-BE"/>
              </w:rPr>
              <w:t xml:space="preserve"> interview</w:t>
            </w:r>
          </w:p>
        </w:tc>
      </w:tr>
      <w:tr w:rsidR="003E5586" w14:paraId="7CB894CA" w14:textId="77777777" w:rsidTr="00FB1A54">
        <w:trPr>
          <w:trHeight w:val="262"/>
        </w:trPr>
        <w:tc>
          <w:tcPr>
            <w:tcW w:w="4258" w:type="dxa"/>
            <w:hideMark/>
          </w:tcPr>
          <w:p w14:paraId="5A39FAAF" w14:textId="77777777" w:rsidR="003E5586" w:rsidRPr="00140493" w:rsidRDefault="003E5586" w:rsidP="005620A4">
            <w:pPr>
              <w:pStyle w:val="Sansinterligne"/>
              <w:spacing w:line="360" w:lineRule="auto"/>
              <w:rPr>
                <w:rFonts w:ascii="Calibri" w:eastAsia="Times New Roman" w:hAnsi="Calibri" w:cs="Calibri"/>
                <w:b/>
                <w:i/>
                <w:color w:val="000000"/>
                <w:lang w:eastAsia="fr-BE"/>
              </w:rPr>
            </w:pPr>
            <w:r w:rsidRPr="00140493">
              <w:rPr>
                <w:rFonts w:ascii="Calibri" w:eastAsia="Times New Roman" w:hAnsi="Calibri" w:cs="Calibri"/>
                <w:b/>
                <w:i/>
                <w:color w:val="000000"/>
                <w:lang w:eastAsia="fr-BE"/>
              </w:rPr>
              <w:lastRenderedPageBreak/>
              <w:t>Observatoire de la vie politique turque</w:t>
            </w:r>
          </w:p>
        </w:tc>
        <w:tc>
          <w:tcPr>
            <w:tcW w:w="4972" w:type="dxa"/>
          </w:tcPr>
          <w:p w14:paraId="7D52E4BC" w14:textId="724CC73E" w:rsidR="003E5586" w:rsidRPr="0076078F" w:rsidRDefault="003E5586" w:rsidP="005620A4">
            <w:pPr>
              <w:pStyle w:val="Sansinterligne"/>
              <w:spacing w:line="360" w:lineRule="auto"/>
              <w:rPr>
                <w:lang w:eastAsia="fr-BE"/>
              </w:rPr>
            </w:pPr>
            <w:r>
              <w:rPr>
                <w:lang w:eastAsia="fr-BE"/>
              </w:rPr>
              <w:t>Commentaire de l’</w:t>
            </w:r>
            <w:r w:rsidR="009D33E7">
              <w:rPr>
                <w:lang w:eastAsia="fr-BE"/>
              </w:rPr>
              <w:t>actualité</w:t>
            </w:r>
            <w:r w:rsidR="006B43DE">
              <w:rPr>
                <w:lang w:eastAsia="fr-BE"/>
              </w:rPr>
              <w:t> ;</w:t>
            </w:r>
            <w:r w:rsidR="009D33E7">
              <w:rPr>
                <w:lang w:eastAsia="fr-BE"/>
              </w:rPr>
              <w:t xml:space="preserve"> analyse</w:t>
            </w:r>
            <w:r w:rsidR="006B43DE">
              <w:rPr>
                <w:lang w:eastAsia="fr-BE"/>
              </w:rPr>
              <w:t> ;</w:t>
            </w:r>
            <w:r w:rsidR="009D33E7">
              <w:rPr>
                <w:lang w:eastAsia="fr-BE"/>
              </w:rPr>
              <w:t xml:space="preserve"> interview</w:t>
            </w:r>
          </w:p>
        </w:tc>
      </w:tr>
      <w:tr w:rsidR="003E5586" w14:paraId="30CF7679" w14:textId="77777777" w:rsidTr="00FB1A54">
        <w:trPr>
          <w:trHeight w:val="270"/>
        </w:trPr>
        <w:tc>
          <w:tcPr>
            <w:tcW w:w="4258" w:type="dxa"/>
          </w:tcPr>
          <w:p w14:paraId="5030F7AD" w14:textId="77777777" w:rsidR="003E5586" w:rsidRPr="00145BF9" w:rsidRDefault="003E5586" w:rsidP="005620A4">
            <w:pPr>
              <w:pStyle w:val="Sansinterligne"/>
              <w:spacing w:line="360" w:lineRule="auto"/>
              <w:rPr>
                <w:rFonts w:ascii="Calibri" w:eastAsia="Times New Roman" w:hAnsi="Calibri" w:cs="Calibri"/>
                <w:b/>
                <w:i/>
                <w:color w:val="000000"/>
                <w:lang w:eastAsia="fr-BE"/>
              </w:rPr>
            </w:pPr>
            <w:proofErr w:type="spellStart"/>
            <w:r w:rsidRPr="00145BF9">
              <w:rPr>
                <w:rFonts w:ascii="Calibri" w:eastAsia="Times New Roman" w:hAnsi="Calibri" w:cs="Calibri"/>
                <w:b/>
                <w:i/>
                <w:color w:val="000000"/>
                <w:lang w:eastAsia="fr-BE"/>
              </w:rPr>
              <w:t>Polit’Bistro</w:t>
            </w:r>
            <w:proofErr w:type="spellEnd"/>
          </w:p>
        </w:tc>
        <w:tc>
          <w:tcPr>
            <w:tcW w:w="4972" w:type="dxa"/>
          </w:tcPr>
          <w:p w14:paraId="019A9014" w14:textId="67C85A74" w:rsidR="003E5586" w:rsidRPr="0076078F" w:rsidRDefault="003E5586" w:rsidP="005620A4">
            <w:pPr>
              <w:pStyle w:val="Sansinterligne"/>
              <w:spacing w:line="360" w:lineRule="auto"/>
              <w:rPr>
                <w:lang w:eastAsia="fr-BE"/>
              </w:rPr>
            </w:pPr>
            <w:r>
              <w:rPr>
                <w:lang w:eastAsia="fr-BE"/>
              </w:rPr>
              <w:t>Commentaire de l’actualité</w:t>
            </w:r>
            <w:r w:rsidR="006B43DE">
              <w:rPr>
                <w:lang w:eastAsia="fr-BE"/>
              </w:rPr>
              <w:t> ;</w:t>
            </w:r>
            <w:r w:rsidR="003304C3">
              <w:rPr>
                <w:lang w:eastAsia="fr-BE"/>
              </w:rPr>
              <w:t xml:space="preserve"> chronique</w:t>
            </w:r>
          </w:p>
        </w:tc>
      </w:tr>
      <w:tr w:rsidR="003E5586" w14:paraId="62D04B6F" w14:textId="77777777" w:rsidTr="00FB1A54">
        <w:trPr>
          <w:trHeight w:val="287"/>
        </w:trPr>
        <w:tc>
          <w:tcPr>
            <w:tcW w:w="4258" w:type="dxa"/>
            <w:hideMark/>
          </w:tcPr>
          <w:p w14:paraId="2200C262" w14:textId="77777777" w:rsidR="003E5586" w:rsidRPr="009049B5" w:rsidRDefault="003E5586" w:rsidP="005620A4">
            <w:pPr>
              <w:pStyle w:val="Sansinterligne"/>
              <w:spacing w:line="360" w:lineRule="auto"/>
              <w:rPr>
                <w:rFonts w:ascii="Calibri" w:eastAsia="Times New Roman" w:hAnsi="Calibri" w:cs="Calibri"/>
                <w:i/>
                <w:color w:val="000000"/>
                <w:lang w:eastAsia="fr-BE"/>
              </w:rPr>
            </w:pPr>
            <w:proofErr w:type="spellStart"/>
            <w:r>
              <w:rPr>
                <w:rFonts w:ascii="Calibri" w:eastAsia="Times New Roman" w:hAnsi="Calibri" w:cs="Calibri"/>
                <w:b/>
                <w:i/>
                <w:color w:val="000000"/>
                <w:lang w:eastAsia="fr-BE"/>
              </w:rPr>
              <w:t>RussEurope</w:t>
            </w:r>
            <w:proofErr w:type="spellEnd"/>
          </w:p>
        </w:tc>
        <w:tc>
          <w:tcPr>
            <w:tcW w:w="4972" w:type="dxa"/>
          </w:tcPr>
          <w:p w14:paraId="122DF133" w14:textId="575BCEB0" w:rsidR="003E5586" w:rsidRPr="0076078F" w:rsidRDefault="003E5586" w:rsidP="005620A4">
            <w:pPr>
              <w:pStyle w:val="Sansinterligne"/>
              <w:spacing w:line="360" w:lineRule="auto"/>
              <w:rPr>
                <w:lang w:eastAsia="fr-BE"/>
              </w:rPr>
            </w:pPr>
            <w:r>
              <w:rPr>
                <w:lang w:eastAsia="fr-BE"/>
              </w:rPr>
              <w:t>Commentaire de l’actualité</w:t>
            </w:r>
            <w:r w:rsidR="006B43DE">
              <w:rPr>
                <w:lang w:eastAsia="fr-BE"/>
              </w:rPr>
              <w:t> ;</w:t>
            </w:r>
            <w:r w:rsidR="009D33E7">
              <w:rPr>
                <w:lang w:eastAsia="fr-BE"/>
              </w:rPr>
              <w:t xml:space="preserve"> analyse</w:t>
            </w:r>
          </w:p>
        </w:tc>
      </w:tr>
      <w:tr w:rsidR="003E5586" w14:paraId="6EBFF5C5" w14:textId="77777777" w:rsidTr="00FB1A54">
        <w:trPr>
          <w:trHeight w:val="264"/>
        </w:trPr>
        <w:tc>
          <w:tcPr>
            <w:tcW w:w="4258" w:type="dxa"/>
            <w:hideMark/>
          </w:tcPr>
          <w:p w14:paraId="6BEABAB6" w14:textId="77777777" w:rsidR="003E5586" w:rsidRPr="00140493" w:rsidRDefault="003E5586" w:rsidP="005620A4">
            <w:pPr>
              <w:pStyle w:val="Sansinterligne"/>
              <w:spacing w:line="360" w:lineRule="auto"/>
              <w:rPr>
                <w:rFonts w:ascii="Calibri" w:eastAsia="Times New Roman" w:hAnsi="Calibri" w:cs="Calibri"/>
                <w:i/>
                <w:color w:val="000000"/>
                <w:lang w:eastAsia="fr-BE"/>
              </w:rPr>
            </w:pPr>
            <w:proofErr w:type="spellStart"/>
            <w:r>
              <w:rPr>
                <w:rFonts w:ascii="Calibri" w:eastAsia="Times New Roman" w:hAnsi="Calibri" w:cs="Calibri"/>
                <w:b/>
                <w:i/>
                <w:color w:val="000000"/>
                <w:lang w:eastAsia="fr-BE"/>
              </w:rPr>
              <w:t>UC@ctualité</w:t>
            </w:r>
            <w:proofErr w:type="spellEnd"/>
          </w:p>
        </w:tc>
        <w:tc>
          <w:tcPr>
            <w:tcW w:w="4972" w:type="dxa"/>
          </w:tcPr>
          <w:p w14:paraId="2709CCB5" w14:textId="283E894C" w:rsidR="003E5586" w:rsidRPr="00140493" w:rsidRDefault="003E5586" w:rsidP="005620A4">
            <w:pPr>
              <w:pStyle w:val="Sansinterligne"/>
              <w:spacing w:line="360" w:lineRule="auto"/>
              <w:rPr>
                <w:lang w:eastAsia="fr-BE"/>
              </w:rPr>
            </w:pPr>
            <w:r>
              <w:rPr>
                <w:lang w:eastAsia="fr-BE"/>
              </w:rPr>
              <w:t>Commentaire de l’actualité</w:t>
            </w:r>
          </w:p>
        </w:tc>
      </w:tr>
    </w:tbl>
    <w:p w14:paraId="67339E44" w14:textId="77777777" w:rsidR="00E21973" w:rsidRDefault="00E21973" w:rsidP="003653E6">
      <w:pPr>
        <w:pStyle w:val="Titre2"/>
      </w:pPr>
      <w:r>
        <w:t>Stratégies rhétoriques d’adaptation au public</w:t>
      </w:r>
    </w:p>
    <w:p w14:paraId="424B96E8" w14:textId="21FEAF00" w:rsidR="00E21973" w:rsidRDefault="000F3AD0" w:rsidP="00E21973">
      <w:pPr>
        <w:jc w:val="both"/>
      </w:pPr>
      <w:r>
        <w:t>L’écrit</w:t>
      </w:r>
      <w:r w:rsidR="00E21973">
        <w:t xml:space="preserve"> scientifique diffusé sur un carnet en ligne, public, en fait un résultat de la recherche en cours laissé ouvert à la réflexion et à la discussion, tout autant qu’un savoir potentiellement appropriable par un public extra-académique – ce qui aura une incidence sur les stratégies discursives mises en œuvre dans les textes. Dans le corpus envisagé ici, la première est sans aucun doute </w:t>
      </w:r>
      <w:proofErr w:type="gramStart"/>
      <w:r w:rsidR="00E21973">
        <w:t>la non spécialisation du lexique en usage dans les billets traitant de l’actualité, contrairement à ce qui s’observe soit dans d’autres carnets</w:t>
      </w:r>
      <w:r w:rsidR="00E21973" w:rsidRPr="008F03EE">
        <w:rPr>
          <w:rStyle w:val="Appelnotedebasdep"/>
        </w:rPr>
        <w:footnoteReference w:id="33"/>
      </w:r>
      <w:proofErr w:type="gramEnd"/>
      <w:r w:rsidR="00E21973" w:rsidRPr="008F03EE">
        <w:t>,</w:t>
      </w:r>
      <w:r w:rsidR="00E21973">
        <w:t xml:space="preserve"> soit dans les périodiques également disponibles en libre accès sur la plateforme </w:t>
      </w:r>
      <w:proofErr w:type="spellStart"/>
      <w:r w:rsidR="00E21973">
        <w:rPr>
          <w:i/>
        </w:rPr>
        <w:t>OpenEdition</w:t>
      </w:r>
      <w:proofErr w:type="spellEnd"/>
      <w:r w:rsidR="00E21973">
        <w:t xml:space="preserve">, pourtant soumis à la même logique de publicité. Les billets traitant l’actualité postulent ainsi un lecteur non spécialisé, à l’inverse des articles d’une revue inscrite dans un horizon disciplinaire et une ligne éditoriale qui s’adresse à un public de spécialistes, ou à tout le moins de professionnels. On relève ensuite que les auteurs des billets ne construisent pas, pour la plupart, un </w:t>
      </w:r>
      <w:r w:rsidR="00E21973">
        <w:rPr>
          <w:i/>
        </w:rPr>
        <w:t>e</w:t>
      </w:r>
      <w:r w:rsidR="00E21973" w:rsidRPr="000E6D0B">
        <w:rPr>
          <w:i/>
        </w:rPr>
        <w:t>thos</w:t>
      </w:r>
      <w:r w:rsidR="00E21973">
        <w:t xml:space="preserve"> d’expert</w:t>
      </w:r>
      <w:r w:rsidR="00E21973">
        <w:rPr>
          <w:rStyle w:val="Appelnotedebasdep"/>
        </w:rPr>
        <w:footnoteReference w:id="34"/>
      </w:r>
      <w:r w:rsidR="006B43DE">
        <w:t> :</w:t>
      </w:r>
      <w:r w:rsidR="00E21973">
        <w:t xml:space="preserve"> leur point de vue ne porte pas, dans le traitement de l’actualité, sur leur objet de recherche (soit des faits sociaux ou culturels non spécifiquement actuels) et, en ce sens, la mise en place d’un tel </w:t>
      </w:r>
      <w:r w:rsidR="00E21973">
        <w:rPr>
          <w:i/>
        </w:rPr>
        <w:t>ethos</w:t>
      </w:r>
      <w:r w:rsidR="00E21973">
        <w:t xml:space="preserve"> ne se justifie sans doute pas car le propos ne concourt pas au progrès des connaissances dans un champ de recherche. L’intégration du carnet à une plateforme de communication scientifique situe par ailleurs suffisamment le lieu de prise la parole et dote les intervenants d’une validité scientifique, là où l’intervention dans un média d’information nécessiterait une légitimation préalable.</w:t>
      </w:r>
    </w:p>
    <w:p w14:paraId="68E913F3" w14:textId="4592A7D2" w:rsidR="00E21973" w:rsidRDefault="00E21973" w:rsidP="00E21973">
      <w:pPr>
        <w:jc w:val="both"/>
      </w:pPr>
      <w:r>
        <w:t xml:space="preserve">Puisqu’il est difficile de traiter l’ensemble des billets publiés sur les carnets retenus, j’ai choisi de m’attarder ici sur </w:t>
      </w:r>
      <w:r w:rsidRPr="00CA69DA">
        <w:t xml:space="preserve">les billets d’humeur et textes rédigés sur le mode de la </w:t>
      </w:r>
      <w:r w:rsidR="006B43DE">
        <w:t>« </w:t>
      </w:r>
      <w:r w:rsidRPr="00CA69DA">
        <w:t>chronique</w:t>
      </w:r>
      <w:r w:rsidR="006B43DE">
        <w:t> </w:t>
      </w:r>
      <w:r w:rsidR="006B43DE" w:rsidRPr="00CA69DA">
        <w:t>»</w:t>
      </w:r>
      <w:r w:rsidRPr="00CA69DA">
        <w:t>, les</w:t>
      </w:r>
      <w:r>
        <w:t xml:space="preserve"> plus en prise avec l’actualité récente étant donné qu’ils réagissent </w:t>
      </w:r>
      <w:r w:rsidR="006B43DE">
        <w:t>« </w:t>
      </w:r>
      <w:r>
        <w:t>à chaud</w:t>
      </w:r>
      <w:r w:rsidR="006B43DE">
        <w:t> »</w:t>
      </w:r>
      <w:r>
        <w:t xml:space="preserve"> à une chose vue ou entendue. Ils contribuent à ancrer le discours de la recherche dans un genre polémique qui n’est pas celui de la controverse scientifique, mais témoignent d’un engagement du chercheur dans l’actualité du monde. Celui-ci, par le regard qu’il porte sur les faits, sur leur construction, vise à susciter chez son lecteur la prise de conscience, l’indignation, la mobilisation. Parfois écrit à la première personne – c’est là un trait discursif de l’écriture sur blog -, ce type de texte met en œuvre des stratégies rhétoriques inédites dans la communication scientifique, jouant sur l’émotion, l’humour, ou la connivence avec le public. Trois figures rhétoriques particulières, </w:t>
      </w:r>
      <w:r w:rsidRPr="002D381D">
        <w:rPr>
          <w:i/>
        </w:rPr>
        <w:t>l’</w:t>
      </w:r>
      <w:proofErr w:type="spellStart"/>
      <w:r w:rsidRPr="002D381D">
        <w:rPr>
          <w:i/>
        </w:rPr>
        <w:t>ekphrasis</w:t>
      </w:r>
      <w:proofErr w:type="spellEnd"/>
      <w:r>
        <w:t xml:space="preserve">, </w:t>
      </w:r>
      <w:r w:rsidRPr="002D381D">
        <w:rPr>
          <w:i/>
        </w:rPr>
        <w:t>l’allusion</w:t>
      </w:r>
      <w:r>
        <w:t xml:space="preserve"> et </w:t>
      </w:r>
      <w:r w:rsidRPr="002D381D">
        <w:rPr>
          <w:i/>
        </w:rPr>
        <w:t>l’ironie</w:t>
      </w:r>
      <w:r>
        <w:t>, sont à pointer ici, que j’illustrerai par quelques billets récents (bien qu’on les retrouve à d’autres endroits du corpus).</w:t>
      </w:r>
    </w:p>
    <w:p w14:paraId="50AF5108" w14:textId="50292005" w:rsidR="00E21973" w:rsidRPr="00245F66" w:rsidRDefault="00E21973" w:rsidP="00E21973">
      <w:pPr>
        <w:jc w:val="both"/>
        <w:rPr>
          <w:bCs/>
          <w:lang w:val="fr-FR"/>
        </w:rPr>
      </w:pPr>
      <w:r>
        <w:t>L’</w:t>
      </w:r>
      <w:proofErr w:type="spellStart"/>
      <w:r>
        <w:rPr>
          <w:i/>
        </w:rPr>
        <w:t>ekphrasis</w:t>
      </w:r>
      <w:proofErr w:type="spellEnd"/>
      <w:r>
        <w:t xml:space="preserve"> consiste à </w:t>
      </w:r>
      <w:r w:rsidR="006B43DE">
        <w:t>« </w:t>
      </w:r>
      <w:r>
        <w:t>faire voir</w:t>
      </w:r>
      <w:r w:rsidR="006B43DE">
        <w:t> »</w:t>
      </w:r>
      <w:r>
        <w:t xml:space="preserve"> une scène vécue, à la décrire de manière vivante afin d’y impliquer le lecteur. Sur </w:t>
      </w:r>
      <w:proofErr w:type="spellStart"/>
      <w:r w:rsidRPr="00E4380D">
        <w:rPr>
          <w:i/>
        </w:rPr>
        <w:t>LAMenparle</w:t>
      </w:r>
      <w:proofErr w:type="spellEnd"/>
      <w:r>
        <w:t>, l</w:t>
      </w:r>
      <w:r w:rsidRPr="00E4380D">
        <w:t>e</w:t>
      </w:r>
      <w:r>
        <w:t xml:space="preserve"> billet </w:t>
      </w:r>
      <w:r w:rsidR="006B43DE">
        <w:t>« </w:t>
      </w:r>
      <w:r w:rsidRPr="001B4BB4">
        <w:rPr>
          <w:bCs/>
          <w:lang w:val="fr-FR"/>
        </w:rPr>
        <w:t>À l’angle de la 5th Avenue et de la 42th Street</w:t>
      </w:r>
      <w:r w:rsidR="006B43DE">
        <w:rPr>
          <w:bCs/>
          <w:lang w:val="fr-FR"/>
        </w:rPr>
        <w:t> </w:t>
      </w:r>
      <w:r w:rsidR="006B43DE" w:rsidRPr="001B4BB4">
        <w:rPr>
          <w:bCs/>
          <w:lang w:val="fr-FR"/>
        </w:rPr>
        <w:t>»</w:t>
      </w:r>
      <w:r>
        <w:rPr>
          <w:rStyle w:val="Appelnotedebasdep"/>
          <w:bCs/>
          <w:lang w:val="fr-FR"/>
        </w:rPr>
        <w:footnoteReference w:id="35"/>
      </w:r>
      <w:r>
        <w:rPr>
          <w:bCs/>
          <w:lang w:val="fr-FR"/>
        </w:rPr>
        <w:t xml:space="preserve"> relate ainsi le questionnement du chercheur témoin d’une activité de cirage des chaussures. Les détails descriptifs </w:t>
      </w:r>
      <w:r>
        <w:rPr>
          <w:bCs/>
          <w:lang w:val="fr-FR"/>
        </w:rPr>
        <w:lastRenderedPageBreak/>
        <w:t>abondent</w:t>
      </w:r>
      <w:r w:rsidR="006B43DE">
        <w:rPr>
          <w:bCs/>
          <w:lang w:val="fr-FR"/>
        </w:rPr>
        <w:t> :</w:t>
      </w:r>
      <w:r>
        <w:rPr>
          <w:bCs/>
          <w:lang w:val="fr-FR"/>
        </w:rPr>
        <w:t xml:space="preserve"> caractéristiques du mobilier, du positionnement spatial, posture et gestes des acteurs, etc. L’</w:t>
      </w:r>
      <w:proofErr w:type="spellStart"/>
      <w:r>
        <w:rPr>
          <w:bCs/>
          <w:i/>
          <w:lang w:val="fr-FR"/>
        </w:rPr>
        <w:t>ekphrasis</w:t>
      </w:r>
      <w:proofErr w:type="spellEnd"/>
      <w:r>
        <w:rPr>
          <w:bCs/>
          <w:i/>
          <w:lang w:val="fr-FR"/>
        </w:rPr>
        <w:t xml:space="preserve"> </w:t>
      </w:r>
      <w:r>
        <w:rPr>
          <w:bCs/>
          <w:lang w:val="fr-FR"/>
        </w:rPr>
        <w:t xml:space="preserve">contribue ici à ouvrir un questionnement sur la dimension symbolique des places et la pertinence d’une grille de lecture </w:t>
      </w:r>
      <w:r w:rsidR="006B43DE">
        <w:rPr>
          <w:bCs/>
          <w:lang w:val="fr-FR"/>
        </w:rPr>
        <w:t>« </w:t>
      </w:r>
      <w:r>
        <w:rPr>
          <w:bCs/>
          <w:lang w:val="fr-FR"/>
        </w:rPr>
        <w:t>raciale</w:t>
      </w:r>
      <w:r w:rsidR="006B43DE">
        <w:rPr>
          <w:bCs/>
          <w:lang w:val="fr-FR"/>
        </w:rPr>
        <w:t> »</w:t>
      </w:r>
      <w:r>
        <w:rPr>
          <w:bCs/>
          <w:lang w:val="fr-FR"/>
        </w:rPr>
        <w:t xml:space="preserve"> de la scène. Ce même procédé introduit également une recension, </w:t>
      </w:r>
      <w:r w:rsidR="006B43DE">
        <w:rPr>
          <w:bCs/>
          <w:lang w:val="fr-FR"/>
        </w:rPr>
        <w:t>« </w:t>
      </w:r>
      <w:r w:rsidRPr="00245F66">
        <w:rPr>
          <w:bCs/>
          <w:lang w:val="fr-FR"/>
        </w:rPr>
        <w:t>É</w:t>
      </w:r>
      <w:r>
        <w:rPr>
          <w:bCs/>
          <w:lang w:val="fr-FR"/>
        </w:rPr>
        <w:t>crire, sensibiliser, diffuser, vendre</w:t>
      </w:r>
      <w:r w:rsidRPr="00245F66">
        <w:rPr>
          <w:bCs/>
          <w:lang w:val="fr-FR"/>
        </w:rPr>
        <w:t>… M</w:t>
      </w:r>
      <w:r>
        <w:rPr>
          <w:bCs/>
          <w:lang w:val="fr-FR"/>
        </w:rPr>
        <w:t>ais quoi</w:t>
      </w:r>
      <w:r w:rsidR="006B43DE">
        <w:rPr>
          <w:bCs/>
          <w:lang w:val="fr-FR"/>
        </w:rPr>
        <w:t> </w:t>
      </w:r>
      <w:r w:rsidR="006B43DE" w:rsidRPr="00245F66">
        <w:rPr>
          <w:bCs/>
          <w:lang w:val="fr-FR"/>
        </w:rPr>
        <w:t>?</w:t>
      </w:r>
      <w:r w:rsidRPr="00245F66">
        <w:rPr>
          <w:bCs/>
          <w:lang w:val="fr-FR"/>
        </w:rPr>
        <w:t xml:space="preserve"> Autour </w:t>
      </w:r>
      <w:r w:rsidRPr="00245F66">
        <w:rPr>
          <w:bCs/>
          <w:i/>
          <w:lang w:val="fr-FR"/>
        </w:rPr>
        <w:t>d’</w:t>
      </w:r>
      <w:proofErr w:type="spellStart"/>
      <w:r w:rsidRPr="00245F66">
        <w:rPr>
          <w:bCs/>
          <w:i/>
          <w:lang w:val="fr-FR"/>
        </w:rPr>
        <w:t>Africanistan</w:t>
      </w:r>
      <w:proofErr w:type="spellEnd"/>
      <w:r w:rsidR="006B43DE">
        <w:rPr>
          <w:bCs/>
          <w:lang w:val="fr-FR"/>
        </w:rPr>
        <w:t> »</w:t>
      </w:r>
      <w:r>
        <w:rPr>
          <w:rStyle w:val="Appelnotedebasdep"/>
          <w:bCs/>
          <w:lang w:val="fr-FR"/>
        </w:rPr>
        <w:footnoteReference w:id="36"/>
      </w:r>
      <w:r>
        <w:rPr>
          <w:bCs/>
          <w:lang w:val="fr-FR"/>
        </w:rPr>
        <w:t xml:space="preserve">, qui débute par </w:t>
      </w:r>
      <w:r w:rsidR="006B43DE">
        <w:rPr>
          <w:bCs/>
          <w:lang w:val="fr-FR"/>
        </w:rPr>
        <w:t>« </w:t>
      </w:r>
      <w:r>
        <w:rPr>
          <w:lang w:val="fr-FR"/>
        </w:rPr>
        <w:t>Imaginons cette image</w:t>
      </w:r>
      <w:r w:rsidR="006B43DE">
        <w:rPr>
          <w:lang w:val="fr-FR"/>
        </w:rPr>
        <w:t> :</w:t>
      </w:r>
      <w:r>
        <w:rPr>
          <w:lang w:val="fr-FR"/>
        </w:rPr>
        <w:t xml:space="preserve"> un camion de marchandises, avec sur les marchandises des voyageurs dont le visage est recouvert par des foulards, roule à travers le désert. De nombreux bidons remplis d’eau pendent de part et d’autre […].</w:t>
      </w:r>
      <w:r w:rsidR="006B43DE">
        <w:rPr>
          <w:lang w:val="fr-FR"/>
        </w:rPr>
        <w:t> »</w:t>
      </w:r>
      <w:r>
        <w:rPr>
          <w:lang w:val="fr-FR"/>
        </w:rPr>
        <w:t xml:space="preserve"> Suit alors un éclairage sur la réalité des migrations transsahariennes qui s’attache à déconstruire les clichés associés à cette vision, précisément choisie comme couverture de l’ouvrage recensé.</w:t>
      </w:r>
    </w:p>
    <w:p w14:paraId="3AC1DA1B" w14:textId="7A07B89D" w:rsidR="00E21973" w:rsidRDefault="00E21973" w:rsidP="00E21973">
      <w:pPr>
        <w:jc w:val="both"/>
        <w:rPr>
          <w:bCs/>
          <w:lang w:val="fr-FR"/>
        </w:rPr>
      </w:pPr>
      <w:r>
        <w:rPr>
          <w:bCs/>
          <w:lang w:val="fr-FR"/>
        </w:rPr>
        <w:t>L</w:t>
      </w:r>
      <w:r w:rsidRPr="00EF7CE0">
        <w:rPr>
          <w:bCs/>
          <w:lang w:val="fr-FR"/>
        </w:rPr>
        <w:t>e</w:t>
      </w:r>
      <w:r>
        <w:rPr>
          <w:bCs/>
          <w:lang w:val="fr-FR"/>
        </w:rPr>
        <w:t xml:space="preserve"> carnet </w:t>
      </w:r>
      <w:r>
        <w:rPr>
          <w:bCs/>
          <w:i/>
          <w:lang w:val="fr-FR"/>
        </w:rPr>
        <w:t xml:space="preserve">Culture et politique arabes </w:t>
      </w:r>
      <w:r>
        <w:rPr>
          <w:bCs/>
          <w:lang w:val="fr-FR"/>
        </w:rPr>
        <w:t xml:space="preserve">use de manière récurrente de l’ironie au sein des textes qu’il publie. Cette figure prend en charge une assertion que l’on sait pertinemment contraire à la pensée de l’énonciateur, de manière à s’en moquer. Ainsi, dans le billet </w:t>
      </w:r>
      <w:r w:rsidR="006B43DE">
        <w:rPr>
          <w:bCs/>
          <w:lang w:val="fr-FR"/>
        </w:rPr>
        <w:t>« </w:t>
      </w:r>
      <w:proofErr w:type="spellStart"/>
      <w:r w:rsidRPr="00EF7CE0">
        <w:rPr>
          <w:bCs/>
          <w:lang w:val="fr-FR"/>
        </w:rPr>
        <w:t>Hwages</w:t>
      </w:r>
      <w:proofErr w:type="spellEnd"/>
      <w:r w:rsidR="006B43DE">
        <w:rPr>
          <w:bCs/>
          <w:lang w:val="fr-FR"/>
        </w:rPr>
        <w:t> </w:t>
      </w:r>
      <w:r w:rsidR="006B43DE" w:rsidRPr="00EF7CE0">
        <w:rPr>
          <w:bCs/>
          <w:lang w:val="fr-FR"/>
        </w:rPr>
        <w:t>:</w:t>
      </w:r>
      <w:r w:rsidRPr="00EF7CE0">
        <w:rPr>
          <w:bCs/>
          <w:lang w:val="fr-FR"/>
        </w:rPr>
        <w:t xml:space="preserve"> jeune génération et révolution en Arabie saoudite</w:t>
      </w:r>
      <w:r w:rsidR="006B43DE">
        <w:rPr>
          <w:bCs/>
          <w:lang w:val="fr-FR"/>
        </w:rPr>
        <w:t> »</w:t>
      </w:r>
      <w:r>
        <w:rPr>
          <w:rStyle w:val="Appelnotedebasdep"/>
          <w:bCs/>
          <w:lang w:val="fr-FR"/>
        </w:rPr>
        <w:footnoteReference w:id="37"/>
      </w:r>
      <w:r>
        <w:rPr>
          <w:bCs/>
          <w:lang w:val="fr-FR"/>
        </w:rPr>
        <w:t xml:space="preserve">, c’est le regard occidental </w:t>
      </w:r>
      <w:proofErr w:type="spellStart"/>
      <w:r>
        <w:rPr>
          <w:bCs/>
          <w:lang w:val="fr-FR"/>
        </w:rPr>
        <w:t>ethnocentré</w:t>
      </w:r>
      <w:proofErr w:type="spellEnd"/>
      <w:r>
        <w:rPr>
          <w:bCs/>
          <w:lang w:val="fr-FR"/>
        </w:rPr>
        <w:t xml:space="preserve"> sur la libération féminine dans les pays arabes qui est raillé par des passages comme </w:t>
      </w:r>
      <w:r w:rsidR="006B43DE">
        <w:rPr>
          <w:bCs/>
          <w:lang w:val="fr-FR"/>
        </w:rPr>
        <w:t>« </w:t>
      </w:r>
      <w:r w:rsidRPr="006F1B52">
        <w:rPr>
          <w:bCs/>
        </w:rPr>
        <w:t>on a</w:t>
      </w:r>
      <w:r>
        <w:rPr>
          <w:bCs/>
        </w:rPr>
        <w:t xml:space="preserve"> décidé qu’il s’agissait d’un ‘’</w:t>
      </w:r>
      <w:r w:rsidRPr="006F1B52">
        <w:rPr>
          <w:bCs/>
        </w:rPr>
        <w:t>manife</w:t>
      </w:r>
      <w:r>
        <w:rPr>
          <w:bCs/>
        </w:rPr>
        <w:t>ste féministe’’ et même d’une ‘’</w:t>
      </w:r>
      <w:r w:rsidRPr="006F1B52">
        <w:rPr>
          <w:bCs/>
        </w:rPr>
        <w:t>révolte contre la socié</w:t>
      </w:r>
      <w:r>
        <w:rPr>
          <w:bCs/>
        </w:rPr>
        <w:t>té patriarcale’’</w:t>
      </w:r>
      <w:r w:rsidRPr="006F1B52">
        <w:rPr>
          <w:bCs/>
        </w:rPr>
        <w:t xml:space="preserve"> (</w:t>
      </w:r>
      <w:r w:rsidRPr="00F56A7C">
        <w:rPr>
          <w:bCs/>
          <w:u w:val="single"/>
        </w:rPr>
        <w:t>celle des autres, hein, pas la nôtre</w:t>
      </w:r>
      <w:r w:rsidR="006B43DE">
        <w:rPr>
          <w:bCs/>
        </w:rPr>
        <w:t> </w:t>
      </w:r>
      <w:r w:rsidR="006B43DE" w:rsidRPr="006F1B52">
        <w:rPr>
          <w:bCs/>
        </w:rPr>
        <w:t>!</w:t>
      </w:r>
      <w:r w:rsidRPr="006F1B52">
        <w:rPr>
          <w:bCs/>
        </w:rPr>
        <w:t>)</w:t>
      </w:r>
      <w:r w:rsidR="006B43DE">
        <w:rPr>
          <w:bCs/>
        </w:rPr>
        <w:t> »</w:t>
      </w:r>
      <w:r>
        <w:rPr>
          <w:bCs/>
        </w:rPr>
        <w:t xml:space="preserve"> [je souligne]</w:t>
      </w:r>
      <w:r w:rsidRPr="006F1B52">
        <w:rPr>
          <w:bCs/>
        </w:rPr>
        <w:t>,</w:t>
      </w:r>
      <w:r w:rsidR="006B43DE">
        <w:rPr>
          <w:bCs/>
        </w:rPr>
        <w:t> </w:t>
      </w:r>
      <w:r>
        <w:rPr>
          <w:bCs/>
          <w:lang w:val="fr-FR"/>
        </w:rPr>
        <w:t xml:space="preserve">ou </w:t>
      </w:r>
      <w:r w:rsidR="006B43DE">
        <w:rPr>
          <w:bCs/>
          <w:lang w:val="fr-FR"/>
        </w:rPr>
        <w:t>« </w:t>
      </w:r>
      <w:r>
        <w:rPr>
          <w:bCs/>
          <w:lang w:val="fr-FR"/>
        </w:rPr>
        <w:t>l</w:t>
      </w:r>
      <w:r w:rsidRPr="00F56A7C">
        <w:rPr>
          <w:bCs/>
        </w:rPr>
        <w:t xml:space="preserve">es commentaires sont d’autant plus dithyrambiques que le clip en question renvoie, par sa critique des mâles saoudiens, une image très positive de l’Autre qui regarde, à savoir, </w:t>
      </w:r>
      <w:r w:rsidRPr="00F56A7C">
        <w:rPr>
          <w:bCs/>
          <w:u w:val="single"/>
        </w:rPr>
        <w:t>nous, les bons occidentaux</w:t>
      </w:r>
      <w:r w:rsidRPr="00F56A7C">
        <w:rPr>
          <w:bCs/>
        </w:rPr>
        <w:t>.</w:t>
      </w:r>
      <w:r w:rsidR="006B43DE">
        <w:rPr>
          <w:bCs/>
        </w:rPr>
        <w:t> »</w:t>
      </w:r>
      <w:r>
        <w:rPr>
          <w:bCs/>
        </w:rPr>
        <w:t xml:space="preserve"> [</w:t>
      </w:r>
      <w:proofErr w:type="gramStart"/>
      <w:r>
        <w:rPr>
          <w:bCs/>
        </w:rPr>
        <w:t>je</w:t>
      </w:r>
      <w:proofErr w:type="gramEnd"/>
      <w:r>
        <w:rPr>
          <w:bCs/>
        </w:rPr>
        <w:t xml:space="preserve"> souligne].</w:t>
      </w:r>
      <w:r>
        <w:rPr>
          <w:bCs/>
          <w:lang w:val="fr-FR"/>
        </w:rPr>
        <w:t xml:space="preserve"> Le billet </w:t>
      </w:r>
      <w:r w:rsidR="006B43DE">
        <w:rPr>
          <w:bCs/>
          <w:lang w:val="fr-FR"/>
        </w:rPr>
        <w:t>« </w:t>
      </w:r>
      <w:r w:rsidRPr="004309B0">
        <w:rPr>
          <w:bCs/>
          <w:lang w:val="fr-FR"/>
        </w:rPr>
        <w:t>Des lois à la pelle</w:t>
      </w:r>
      <w:r w:rsidR="006B43DE">
        <w:rPr>
          <w:bCs/>
          <w:lang w:val="fr-FR"/>
        </w:rPr>
        <w:t> </w:t>
      </w:r>
      <w:r w:rsidR="006B43DE" w:rsidRPr="004309B0">
        <w:rPr>
          <w:bCs/>
          <w:lang w:val="fr-FR"/>
        </w:rPr>
        <w:t>:</w:t>
      </w:r>
      <w:r w:rsidRPr="004309B0">
        <w:rPr>
          <w:bCs/>
          <w:lang w:val="fr-FR"/>
        </w:rPr>
        <w:t xml:space="preserve"> la loi sur l’appel à la prière en Palestine</w:t>
      </w:r>
      <w:r w:rsidR="006B43DE">
        <w:rPr>
          <w:bCs/>
          <w:lang w:val="fr-FR"/>
        </w:rPr>
        <w:t> »</w:t>
      </w:r>
      <w:r>
        <w:rPr>
          <w:rStyle w:val="Appelnotedebasdep"/>
          <w:bCs/>
          <w:lang w:val="fr-FR"/>
        </w:rPr>
        <w:footnoteReference w:id="38"/>
      </w:r>
      <w:r>
        <w:rPr>
          <w:bCs/>
          <w:lang w:val="fr-FR"/>
        </w:rPr>
        <w:t xml:space="preserve"> se décline tout entier, de la boutade du titre au mot de la fin laissé à une chanteuse de la </w:t>
      </w:r>
      <w:r>
        <w:rPr>
          <w:bCs/>
          <w:i/>
          <w:lang w:val="fr-FR"/>
        </w:rPr>
        <w:t xml:space="preserve">Star </w:t>
      </w:r>
      <w:proofErr w:type="spellStart"/>
      <w:r>
        <w:rPr>
          <w:bCs/>
          <w:i/>
          <w:lang w:val="fr-FR"/>
        </w:rPr>
        <w:t>Academy</w:t>
      </w:r>
      <w:proofErr w:type="spellEnd"/>
      <w:r>
        <w:rPr>
          <w:bCs/>
          <w:i/>
          <w:lang w:val="fr-FR"/>
        </w:rPr>
        <w:t>,</w:t>
      </w:r>
      <w:r>
        <w:rPr>
          <w:bCs/>
          <w:lang w:val="fr-FR"/>
        </w:rPr>
        <w:t xml:space="preserve"> sur le mode ironique. Une phrase comme </w:t>
      </w:r>
      <w:r w:rsidR="006B43DE">
        <w:rPr>
          <w:bCs/>
          <w:lang w:val="fr-FR"/>
        </w:rPr>
        <w:t>« </w:t>
      </w:r>
      <w:r w:rsidRPr="004309B0">
        <w:rPr>
          <w:bCs/>
        </w:rPr>
        <w:t>Dan</w:t>
      </w:r>
      <w:r>
        <w:rPr>
          <w:bCs/>
        </w:rPr>
        <w:t>s la ‘’</w:t>
      </w:r>
      <w:r w:rsidRPr="004309B0">
        <w:rPr>
          <w:bCs/>
        </w:rPr>
        <w:t>seule vérita</w:t>
      </w:r>
      <w:r>
        <w:rPr>
          <w:bCs/>
        </w:rPr>
        <w:t>ble démocratie du Moyen-Orient’’</w:t>
      </w:r>
      <w:r w:rsidRPr="004309B0">
        <w:rPr>
          <w:bCs/>
        </w:rPr>
        <w:t>, il va de soi qu’on ne saurait mettre en place une législation susceptible de discriminer une partie de la population.</w:t>
      </w:r>
      <w:r w:rsidR="006B43DE">
        <w:rPr>
          <w:bCs/>
        </w:rPr>
        <w:t> »</w:t>
      </w:r>
      <w:r>
        <w:rPr>
          <w:bCs/>
        </w:rPr>
        <w:t>, le recours à l’ironie sert la critique de la politique israélienne</w:t>
      </w:r>
      <w:r w:rsidR="006B43DE">
        <w:rPr>
          <w:bCs/>
        </w:rPr>
        <w:t> ;</w:t>
      </w:r>
      <w:r>
        <w:rPr>
          <w:bCs/>
        </w:rPr>
        <w:t xml:space="preserve"> elle se manifeste, outre les calembours (</w:t>
      </w:r>
      <w:r w:rsidR="006B43DE">
        <w:rPr>
          <w:bCs/>
        </w:rPr>
        <w:t>« </w:t>
      </w:r>
      <w:r w:rsidRPr="004309B0">
        <w:rPr>
          <w:bCs/>
        </w:rPr>
        <w:t>Il faut par conséquent que les Palestiniens soient de très mauvaise foi (sans jeu de mots) pour résister à une législation</w:t>
      </w:r>
      <w:r>
        <w:rPr>
          <w:bCs/>
        </w:rPr>
        <w:t xml:space="preserve"> qui soulagerait leurs oreilles</w:t>
      </w:r>
      <w:r w:rsidR="006B43DE">
        <w:rPr>
          <w:bCs/>
        </w:rPr>
        <w:t> »</w:t>
      </w:r>
      <w:r>
        <w:rPr>
          <w:bCs/>
        </w:rPr>
        <w:t xml:space="preserve">), dans </w:t>
      </w:r>
      <w:r>
        <w:rPr>
          <w:bCs/>
          <w:lang w:val="fr-FR"/>
        </w:rPr>
        <w:t xml:space="preserve">la </w:t>
      </w:r>
      <w:r>
        <w:rPr>
          <w:bCs/>
          <w:i/>
          <w:lang w:val="fr-FR"/>
        </w:rPr>
        <w:t xml:space="preserve">rhétorique du </w:t>
      </w:r>
      <w:proofErr w:type="spellStart"/>
      <w:r>
        <w:rPr>
          <w:bCs/>
          <w:i/>
          <w:lang w:val="fr-FR"/>
        </w:rPr>
        <w:t>strike</w:t>
      </w:r>
      <w:proofErr w:type="spellEnd"/>
      <w:r>
        <w:rPr>
          <w:rStyle w:val="Appelnotedebasdep"/>
          <w:bCs/>
          <w:lang w:val="fr-FR"/>
        </w:rPr>
        <w:footnoteReference w:id="39"/>
      </w:r>
      <w:r>
        <w:rPr>
          <w:bCs/>
          <w:lang w:val="fr-FR"/>
        </w:rPr>
        <w:t>, qui permet de visualiser un terme que l’énonciateur refuse d’assumer explicitement, comme dans la phrase</w:t>
      </w:r>
      <w:r w:rsidR="006B43DE">
        <w:rPr>
          <w:bCs/>
          <w:lang w:val="fr-FR"/>
        </w:rPr>
        <w:t> :</w:t>
      </w:r>
      <w:r>
        <w:rPr>
          <w:bCs/>
          <w:lang w:val="fr-FR"/>
        </w:rPr>
        <w:t xml:space="preserve"> </w:t>
      </w:r>
      <w:r w:rsidR="006B43DE">
        <w:rPr>
          <w:bCs/>
          <w:lang w:val="fr-FR"/>
        </w:rPr>
        <w:t>« </w:t>
      </w:r>
      <w:r w:rsidRPr="004309B0">
        <w:rPr>
          <w:bCs/>
          <w:lang w:val="fr-FR"/>
        </w:rPr>
        <w:t xml:space="preserve">On peut donc s’attendre à de nouveaux progrès dans la </w:t>
      </w:r>
      <w:r w:rsidRPr="004309B0">
        <w:rPr>
          <w:bCs/>
          <w:strike/>
          <w:lang w:val="fr-FR"/>
        </w:rPr>
        <w:t>provocation</w:t>
      </w:r>
      <w:r>
        <w:rPr>
          <w:bCs/>
          <w:lang w:val="fr-FR"/>
        </w:rPr>
        <w:t xml:space="preserve"> législation</w:t>
      </w:r>
      <w:r w:rsidR="006B43DE">
        <w:rPr>
          <w:bCs/>
          <w:lang w:val="fr-FR"/>
        </w:rPr>
        <w:t> »</w:t>
      </w:r>
      <w:r>
        <w:rPr>
          <w:bCs/>
          <w:lang w:val="fr-FR"/>
        </w:rPr>
        <w:t xml:space="preserve">. Ironie également sur le blog </w:t>
      </w:r>
      <w:proofErr w:type="spellStart"/>
      <w:r>
        <w:rPr>
          <w:bCs/>
          <w:i/>
          <w:lang w:val="fr-FR"/>
        </w:rPr>
        <w:t>RussEurope</w:t>
      </w:r>
      <w:proofErr w:type="spellEnd"/>
      <w:r>
        <w:rPr>
          <w:bCs/>
          <w:lang w:val="fr-FR"/>
        </w:rPr>
        <w:t>, où sont régulièrement placés entre guillemets des termes vis-à-vis desquels l’énonciateur souhaite manifester une distance critique</w:t>
      </w:r>
      <w:r w:rsidR="006B43DE">
        <w:rPr>
          <w:bCs/>
          <w:lang w:val="fr-FR"/>
        </w:rPr>
        <w:t> :</w:t>
      </w:r>
      <w:r>
        <w:rPr>
          <w:bCs/>
          <w:lang w:val="fr-FR"/>
        </w:rPr>
        <w:t xml:space="preserve"> par exemple, dans le billet </w:t>
      </w:r>
      <w:r w:rsidR="006B43DE">
        <w:rPr>
          <w:bCs/>
          <w:lang w:val="fr-FR"/>
        </w:rPr>
        <w:t>« </w:t>
      </w:r>
      <w:r>
        <w:rPr>
          <w:bCs/>
        </w:rPr>
        <w:t>Agonies (sur la ‘primaire’ du P ‘S’</w:t>
      </w:r>
      <w:r w:rsidRPr="00416934">
        <w:rPr>
          <w:bCs/>
        </w:rPr>
        <w:t>)</w:t>
      </w:r>
      <w:r w:rsidR="006B43DE">
        <w:rPr>
          <w:bCs/>
        </w:rPr>
        <w:t> »</w:t>
      </w:r>
      <w:r>
        <w:rPr>
          <w:rStyle w:val="Appelnotedebasdep"/>
          <w:bCs/>
        </w:rPr>
        <w:footnoteReference w:id="40"/>
      </w:r>
      <w:r>
        <w:rPr>
          <w:bCs/>
        </w:rPr>
        <w:t xml:space="preserve">, ces signes diacritiques émettent des doutes tant sur la qualification de l’événement politique traité que sur l’orientation déclarée d’un parti politique. </w:t>
      </w:r>
      <w:r w:rsidR="0049041E">
        <w:rPr>
          <w:bCs/>
        </w:rPr>
        <w:t xml:space="preserve">Autre procédé ironique, sur le mode du détournement cette fois, </w:t>
      </w:r>
      <w:r w:rsidR="0049041E" w:rsidRPr="00E34C8D">
        <w:rPr>
          <w:bCs/>
          <w:lang w:val="fr-FR"/>
        </w:rPr>
        <w:t xml:space="preserve">dans </w:t>
      </w:r>
      <w:r w:rsidR="0049041E">
        <w:rPr>
          <w:bCs/>
          <w:lang w:val="fr-FR"/>
        </w:rPr>
        <w:t xml:space="preserve">le billet </w:t>
      </w:r>
      <w:r w:rsidR="006B43DE">
        <w:rPr>
          <w:bCs/>
          <w:lang w:val="fr-FR"/>
        </w:rPr>
        <w:t>« </w:t>
      </w:r>
      <w:r w:rsidR="0049041E" w:rsidRPr="00E34C8D">
        <w:rPr>
          <w:bCs/>
        </w:rPr>
        <w:t>Une primaire et sept candidats</w:t>
      </w:r>
      <w:r w:rsidR="006B43DE">
        <w:rPr>
          <w:bCs/>
        </w:rPr>
        <w:t> </w:t>
      </w:r>
      <w:r w:rsidR="006B43DE" w:rsidRPr="00E34C8D">
        <w:rPr>
          <w:bCs/>
        </w:rPr>
        <w:t>»</w:t>
      </w:r>
      <w:r w:rsidR="0049041E" w:rsidRPr="00E34C8D">
        <w:rPr>
          <w:bCs/>
          <w:vertAlign w:val="superscript"/>
        </w:rPr>
        <w:footnoteReference w:id="41"/>
      </w:r>
      <w:r w:rsidR="0049041E">
        <w:rPr>
          <w:bCs/>
        </w:rPr>
        <w:t xml:space="preserve">, où les sous-titres </w:t>
      </w:r>
      <w:r w:rsidR="006B43DE">
        <w:rPr>
          <w:bCs/>
        </w:rPr>
        <w:t>« </w:t>
      </w:r>
      <w:r w:rsidR="0049041E">
        <w:rPr>
          <w:bCs/>
        </w:rPr>
        <w:t>L</w:t>
      </w:r>
      <w:r w:rsidR="0049041E" w:rsidRPr="00E34C8D">
        <w:rPr>
          <w:bCs/>
        </w:rPr>
        <w:t xml:space="preserve">e </w:t>
      </w:r>
      <w:r w:rsidR="0049041E">
        <w:rPr>
          <w:bCs/>
        </w:rPr>
        <w:t>côté obscur de la farce</w:t>
      </w:r>
      <w:r w:rsidR="006B43DE">
        <w:rPr>
          <w:bCs/>
        </w:rPr>
        <w:t> »</w:t>
      </w:r>
      <w:r w:rsidR="0049041E">
        <w:rPr>
          <w:bCs/>
        </w:rPr>
        <w:t xml:space="preserve"> et </w:t>
      </w:r>
      <w:r w:rsidR="006B43DE">
        <w:rPr>
          <w:bCs/>
        </w:rPr>
        <w:t>« </w:t>
      </w:r>
      <w:r w:rsidR="0049041E">
        <w:rPr>
          <w:bCs/>
        </w:rPr>
        <w:t>L</w:t>
      </w:r>
      <w:r w:rsidR="0049041E" w:rsidRPr="00E34C8D">
        <w:rPr>
          <w:bCs/>
        </w:rPr>
        <w:t>a guerre des clowns</w:t>
      </w:r>
      <w:r w:rsidR="006B43DE">
        <w:rPr>
          <w:bCs/>
        </w:rPr>
        <w:t> </w:t>
      </w:r>
      <w:r w:rsidR="006B43DE" w:rsidRPr="00E34C8D">
        <w:rPr>
          <w:bCs/>
        </w:rPr>
        <w:t>»</w:t>
      </w:r>
      <w:r w:rsidR="0049041E" w:rsidRPr="00E34C8D">
        <w:rPr>
          <w:bCs/>
        </w:rPr>
        <w:t xml:space="preserve"> sollicitent la mémoire culturelle du lecteur par les références à un </w:t>
      </w:r>
      <w:proofErr w:type="spellStart"/>
      <w:r w:rsidR="0049041E" w:rsidRPr="00E34C8D">
        <w:rPr>
          <w:bCs/>
          <w:i/>
        </w:rPr>
        <w:t>space</w:t>
      </w:r>
      <w:proofErr w:type="spellEnd"/>
      <w:r w:rsidR="0049041E" w:rsidRPr="00E34C8D">
        <w:rPr>
          <w:bCs/>
          <w:i/>
        </w:rPr>
        <w:t xml:space="preserve"> </w:t>
      </w:r>
      <w:proofErr w:type="spellStart"/>
      <w:r w:rsidR="0049041E" w:rsidRPr="00E34C8D">
        <w:rPr>
          <w:bCs/>
          <w:i/>
        </w:rPr>
        <w:t>opera</w:t>
      </w:r>
      <w:proofErr w:type="spellEnd"/>
      <w:r w:rsidR="0049041E" w:rsidRPr="00E34C8D">
        <w:rPr>
          <w:bCs/>
        </w:rPr>
        <w:t xml:space="preserve"> bien connu.</w:t>
      </w:r>
      <w:r w:rsidR="0049041E">
        <w:rPr>
          <w:bCs/>
        </w:rPr>
        <w:t xml:space="preserve"> </w:t>
      </w:r>
      <w:r>
        <w:rPr>
          <w:bCs/>
        </w:rPr>
        <w:t>On relèvera que la critique portée par un traitement ironique n’est jamais argumentée, et repose sur une connivence avec le lecteur du billet dont on postule qu’il partage les présupposés du rédacteur.</w:t>
      </w:r>
      <w:r w:rsidR="00E90C07">
        <w:rPr>
          <w:bCs/>
        </w:rPr>
        <w:t xml:space="preserve"> </w:t>
      </w:r>
    </w:p>
    <w:p w14:paraId="4569E485" w14:textId="61271344" w:rsidR="004D07CF" w:rsidRPr="00DC1E58" w:rsidRDefault="004D07CF" w:rsidP="004D07CF">
      <w:pPr>
        <w:jc w:val="both"/>
        <w:rPr>
          <w:bCs/>
        </w:rPr>
      </w:pPr>
      <w:r>
        <w:rPr>
          <w:bCs/>
          <w:lang w:val="fr-FR"/>
        </w:rPr>
        <w:lastRenderedPageBreak/>
        <w:t xml:space="preserve">Les allusions récurrentes sont au cœur des discours du carnet </w:t>
      </w:r>
      <w:proofErr w:type="spellStart"/>
      <w:r>
        <w:rPr>
          <w:bCs/>
          <w:i/>
          <w:lang w:val="fr-FR"/>
        </w:rPr>
        <w:t>Polit’Bistro</w:t>
      </w:r>
      <w:proofErr w:type="spellEnd"/>
      <w:r>
        <w:rPr>
          <w:bCs/>
          <w:lang w:val="fr-FR"/>
        </w:rPr>
        <w:t xml:space="preserve"> – qui, on le rappelle, n’a pas vocation à faire du journalisme mais réagit régulièrement aux actualités. Le billet intitulé </w:t>
      </w:r>
      <w:r w:rsidR="006B43DE">
        <w:rPr>
          <w:bCs/>
          <w:lang w:val="fr-FR"/>
        </w:rPr>
        <w:t>« </w:t>
      </w:r>
      <w:proofErr w:type="spellStart"/>
      <w:r w:rsidRPr="00043590">
        <w:rPr>
          <w:bCs/>
          <w:lang w:val="fr-FR"/>
        </w:rPr>
        <w:t>Trump</w:t>
      </w:r>
      <w:proofErr w:type="spellEnd"/>
      <w:r w:rsidRPr="00043590">
        <w:rPr>
          <w:bCs/>
          <w:lang w:val="fr-FR"/>
        </w:rPr>
        <w:t>, postface</w:t>
      </w:r>
      <w:r w:rsidR="006B43DE">
        <w:rPr>
          <w:bCs/>
          <w:lang w:val="fr-FR"/>
        </w:rPr>
        <w:t> »</w:t>
      </w:r>
      <w:r w:rsidR="00B268C8">
        <w:rPr>
          <w:rStyle w:val="Appelnotedebasdep"/>
          <w:bCs/>
          <w:lang w:val="fr-FR"/>
        </w:rPr>
        <w:footnoteReference w:id="42"/>
      </w:r>
      <w:r>
        <w:rPr>
          <w:bCs/>
          <w:lang w:val="fr-FR"/>
        </w:rPr>
        <w:t xml:space="preserve">, est le dernier d’une brève série faisant suite à l’élection de Donald </w:t>
      </w:r>
      <w:proofErr w:type="spellStart"/>
      <w:r>
        <w:rPr>
          <w:bCs/>
          <w:lang w:val="fr-FR"/>
        </w:rPr>
        <w:t>Trump</w:t>
      </w:r>
      <w:proofErr w:type="spellEnd"/>
      <w:r>
        <w:rPr>
          <w:bCs/>
          <w:lang w:val="fr-FR"/>
        </w:rPr>
        <w:t xml:space="preserve">, dont le style, très oral, correspond à la tonalité globale du carnet et invite, conformément à l’intitulé du blog, à une conversation décontractée dans un contexte extra-universitaire. En témoignent notamment des incises comme </w:t>
      </w:r>
      <w:r w:rsidR="006B43DE">
        <w:rPr>
          <w:bCs/>
          <w:lang w:val="fr-FR"/>
        </w:rPr>
        <w:t>« </w:t>
      </w:r>
      <w:r w:rsidRPr="003C611A">
        <w:rPr>
          <w:bCs/>
          <w:strike/>
          <w:lang w:val="fr-FR"/>
        </w:rPr>
        <w:t>Dans un séminaire de très haute volée</w:t>
      </w:r>
      <w:r>
        <w:rPr>
          <w:bCs/>
          <w:lang w:val="fr-FR"/>
        </w:rPr>
        <w:t xml:space="preserve"> </w:t>
      </w:r>
      <w:r w:rsidRPr="003C611A">
        <w:rPr>
          <w:bCs/>
          <w:lang w:val="fr-FR"/>
        </w:rPr>
        <w:t xml:space="preserve">La dernière fois au comptoir, en discutant avec </w:t>
      </w:r>
      <w:r>
        <w:rPr>
          <w:bCs/>
          <w:lang w:val="fr-FR"/>
        </w:rPr>
        <w:t>un Irlandais qui se reconnaîtra</w:t>
      </w:r>
      <w:r w:rsidR="006B43DE">
        <w:rPr>
          <w:bCs/>
          <w:lang w:val="fr-FR"/>
        </w:rPr>
        <w:t> »</w:t>
      </w:r>
      <w:r>
        <w:rPr>
          <w:bCs/>
          <w:lang w:val="fr-FR"/>
        </w:rPr>
        <w:t xml:space="preserve">, où la </w:t>
      </w:r>
      <w:r w:rsidRPr="00336506">
        <w:rPr>
          <w:bCs/>
          <w:i/>
          <w:lang w:val="fr-FR"/>
        </w:rPr>
        <w:t xml:space="preserve">rhétorique du </w:t>
      </w:r>
      <w:proofErr w:type="spellStart"/>
      <w:r w:rsidRPr="00336506">
        <w:rPr>
          <w:bCs/>
          <w:i/>
          <w:lang w:val="fr-FR"/>
        </w:rPr>
        <w:t>strike</w:t>
      </w:r>
      <w:proofErr w:type="spellEnd"/>
      <w:r>
        <w:rPr>
          <w:bCs/>
          <w:lang w:val="fr-FR"/>
        </w:rPr>
        <w:t xml:space="preserve"> permet précisément de jouer sur la distance entre le lectorat attendu d’un billet scientifique et celui postulé par le carnet de recherche</w:t>
      </w:r>
      <w:r w:rsidR="006B43DE">
        <w:rPr>
          <w:bCs/>
          <w:lang w:val="fr-FR"/>
        </w:rPr>
        <w:t> ;</w:t>
      </w:r>
      <w:r>
        <w:rPr>
          <w:bCs/>
          <w:lang w:val="fr-FR"/>
        </w:rPr>
        <w:t xml:space="preserve"> ainsi que de nombreuses allusions à des discours déjà tenus antérieurement sur le sujet au sein du carnet (introduit par la formule </w:t>
      </w:r>
      <w:r w:rsidR="006B43DE">
        <w:rPr>
          <w:bCs/>
          <w:lang w:val="fr-FR"/>
        </w:rPr>
        <w:t>« </w:t>
      </w:r>
      <w:r w:rsidRPr="00336506">
        <w:rPr>
          <w:bCs/>
          <w:lang w:val="fr-FR"/>
        </w:rPr>
        <w:t>Je sais que je me répète, mais</w:t>
      </w:r>
      <w:r>
        <w:rPr>
          <w:bCs/>
          <w:lang w:val="fr-FR"/>
        </w:rPr>
        <w:t xml:space="preserve"> […]</w:t>
      </w:r>
      <w:r w:rsidR="006B43DE">
        <w:rPr>
          <w:bCs/>
          <w:lang w:val="fr-FR"/>
        </w:rPr>
        <w:t> »</w:t>
      </w:r>
      <w:r>
        <w:rPr>
          <w:bCs/>
          <w:lang w:val="fr-FR"/>
        </w:rPr>
        <w:t xml:space="preserve">). Ce carnet possède d’ailleurs, comme le montre la consultation des statistiques d’usage, le taux de fidélité le plus élevé, </w:t>
      </w:r>
      <w:r w:rsidR="000A66B4">
        <w:rPr>
          <w:bCs/>
          <w:lang w:val="fr-FR"/>
        </w:rPr>
        <w:t>indice d’</w:t>
      </w:r>
      <w:r>
        <w:rPr>
          <w:bCs/>
          <w:lang w:val="fr-FR"/>
        </w:rPr>
        <w:t>un lectorat régulier qui autorise le recours à ce type de figure.</w:t>
      </w:r>
    </w:p>
    <w:p w14:paraId="39D909DD" w14:textId="77777777" w:rsidR="00E21973" w:rsidRDefault="00E21973" w:rsidP="00E21973">
      <w:pPr>
        <w:jc w:val="both"/>
        <w:rPr>
          <w:bCs/>
          <w:lang w:val="fr-FR"/>
        </w:rPr>
      </w:pPr>
      <w:r>
        <w:rPr>
          <w:bCs/>
          <w:lang w:val="fr-FR"/>
        </w:rPr>
        <w:t xml:space="preserve">Allusions, </w:t>
      </w:r>
      <w:proofErr w:type="spellStart"/>
      <w:r>
        <w:rPr>
          <w:bCs/>
          <w:lang w:val="fr-FR"/>
        </w:rPr>
        <w:t>ekphrasis</w:t>
      </w:r>
      <w:proofErr w:type="spellEnd"/>
      <w:r>
        <w:rPr>
          <w:bCs/>
          <w:lang w:val="fr-FR"/>
        </w:rPr>
        <w:t xml:space="preserve"> et ironie, figures reposant sur l’implicite ou sur un imaginaire culturel partagé, participent à la création d’une communauté de lecture, d’intérêt, voire d’engagement. Or, la communication scientifique repose ordinairement sur l’anticipation d’une communauté disciplinaire, qui n’est pas ici ciblée, ni par le recours à un lexique commun, ni par l’usage de référents scientifiques mobilisables par les seuls spécialistes.</w:t>
      </w:r>
    </w:p>
    <w:p w14:paraId="565C24C5" w14:textId="77777777" w:rsidR="00E21973" w:rsidRDefault="00E21973" w:rsidP="00E21973">
      <w:pPr>
        <w:pStyle w:val="Titre1"/>
      </w:pPr>
      <w:r>
        <w:t>Conclusion</w:t>
      </w:r>
    </w:p>
    <w:p w14:paraId="549001A9" w14:textId="396EE609" w:rsidR="00472AB6" w:rsidRDefault="00345ABA" w:rsidP="00E21973">
      <w:pPr>
        <w:jc w:val="both"/>
      </w:pPr>
      <w:r>
        <w:t>Bien que les résultats ne puissent prétendre à la généralisation en raison de la taille de l’échantillon</w:t>
      </w:r>
      <w:r w:rsidR="00F718EF">
        <w:t xml:space="preserve"> étudié</w:t>
      </w:r>
      <w:r>
        <w:t xml:space="preserve">, l’enquête exploratoire montre </w:t>
      </w:r>
      <w:r w:rsidR="00052CD8">
        <w:t>une corrélation</w:t>
      </w:r>
      <w:r>
        <w:t xml:space="preserve"> entre le degré de </w:t>
      </w:r>
      <w:proofErr w:type="spellStart"/>
      <w:r>
        <w:t>technodiscursivité</w:t>
      </w:r>
      <w:proofErr w:type="spellEnd"/>
      <w:r>
        <w:t xml:space="preserve"> (recours aux </w:t>
      </w:r>
      <w:proofErr w:type="spellStart"/>
      <w:r w:rsidRPr="00345ABA">
        <w:rPr>
          <w:i/>
        </w:rPr>
        <w:t>technomots</w:t>
      </w:r>
      <w:proofErr w:type="spellEnd"/>
      <w:r>
        <w:t xml:space="preserve">, contenus </w:t>
      </w:r>
      <w:proofErr w:type="spellStart"/>
      <w:r>
        <w:t>plurisémiotiques</w:t>
      </w:r>
      <w:proofErr w:type="spellEnd"/>
      <w:r>
        <w:t xml:space="preserve">), la cohérence éditoriale (fréquence de publication, renvois internes) et la fréquentation du carnet de recherche. </w:t>
      </w:r>
      <w:r w:rsidR="00A3303E">
        <w:t>On constate par ailleurs que</w:t>
      </w:r>
      <w:r w:rsidR="00823972">
        <w:t xml:space="preserve"> l</w:t>
      </w:r>
      <w:r>
        <w:t xml:space="preserve">’intertexte mobilisé par la </w:t>
      </w:r>
      <w:proofErr w:type="spellStart"/>
      <w:r>
        <w:t>déliné</w:t>
      </w:r>
      <w:r w:rsidR="00823972">
        <w:t>a</w:t>
      </w:r>
      <w:r>
        <w:t>risation</w:t>
      </w:r>
      <w:proofErr w:type="spellEnd"/>
      <w:r>
        <w:t xml:space="preserve"> du discours </w:t>
      </w:r>
      <w:r w:rsidR="00823972">
        <w:t>n’est pas uniquement scientifique (certains carnets n’y recourent d’ailleurs que de manière très limitée) et s’appuie pour la grande majorité des blogs, bien qu’à des degrés divers, sur des articles de presse</w:t>
      </w:r>
      <w:r w:rsidR="00472AB6">
        <w:t xml:space="preserve">. </w:t>
      </w:r>
      <w:r>
        <w:t>Enfin, le</w:t>
      </w:r>
      <w:r w:rsidR="00472AB6">
        <w:t>s genres et stratégies discursives du</w:t>
      </w:r>
      <w:r>
        <w:t xml:space="preserve"> traitement de l’actualité </w:t>
      </w:r>
      <w:r w:rsidR="00472AB6">
        <w:t>telles qu’ils ont pu être observés ici témoignent dans la majorité des cas d’une volonté d</w:t>
      </w:r>
      <w:r w:rsidR="00BF3F76">
        <w:t>e faire partager un point de vue à</w:t>
      </w:r>
      <w:r w:rsidR="00472AB6">
        <w:t xml:space="preserve"> l’</w:t>
      </w:r>
      <w:r w:rsidR="00301F84">
        <w:t>allocutaire, que ce soit par le recours à des genres permettant l’expression d’une opinion et/ou l’usage de procédés rhétoriques visant à créer une connivence entre le chercheur et son lectorat.</w:t>
      </w:r>
    </w:p>
    <w:p w14:paraId="78DCBC88" w14:textId="397D3F2C" w:rsidR="00E21973" w:rsidRDefault="00C76BB3" w:rsidP="00E21973">
      <w:pPr>
        <w:jc w:val="both"/>
      </w:pPr>
      <w:r>
        <w:t xml:space="preserve">Le traitement de l’actualité sur un carnet de recherche en ligne semble bien constituer une pratique </w:t>
      </w:r>
      <w:r w:rsidRPr="00DC6D90">
        <w:rPr>
          <w:i/>
        </w:rPr>
        <w:t>triviale</w:t>
      </w:r>
      <w:r>
        <w:t xml:space="preserve"> au cours de laquelle les chercheurs travaillent les formes données aux savoirs scientifiques (formes matérielles et linguistiques de l’énonciation, formes génériques), afin de leur donner sens et </w:t>
      </w:r>
      <w:r w:rsidR="004E44C8">
        <w:t xml:space="preserve">de </w:t>
      </w:r>
      <w:r>
        <w:t>les rendre appropriables par les nouveaux publics qu’ils sont susceptibles de rencontrer en régime d’accès ouvert. Ces formes sont autorisées par un dispositif de médiation particulière, celui d’</w:t>
      </w:r>
      <w:r>
        <w:rPr>
          <w:i/>
        </w:rPr>
        <w:t>Hypothèses</w:t>
      </w:r>
      <w:r w:rsidRPr="00122C54">
        <w:t xml:space="preserve">, </w:t>
      </w:r>
      <w:r>
        <w:t xml:space="preserve">qui répond à une </w:t>
      </w:r>
      <w:r w:rsidRPr="00A51F60">
        <w:rPr>
          <w:i/>
        </w:rPr>
        <w:t>promesse</w:t>
      </w:r>
      <w:r>
        <w:t xml:space="preserve"> </w:t>
      </w:r>
      <w:r w:rsidRPr="00A51F60">
        <w:t>de</w:t>
      </w:r>
      <w:r>
        <w:t xml:space="preserve"> diffusion des savoirs dans la société civile et à une </w:t>
      </w:r>
      <w:r w:rsidRPr="002610B8">
        <w:rPr>
          <w:i/>
        </w:rPr>
        <w:t>prétention communicationnelle</w:t>
      </w:r>
      <w:r w:rsidRPr="002610B8">
        <w:t xml:space="preserve"> de la plateforme</w:t>
      </w:r>
      <w:r w:rsidRPr="002610B8">
        <w:rPr>
          <w:i/>
        </w:rPr>
        <w:t xml:space="preserve"> </w:t>
      </w:r>
      <w:r w:rsidRPr="002610B8">
        <w:t>favorisant la mise en visibilité des actualités.</w:t>
      </w:r>
      <w:r w:rsidR="004E44C8">
        <w:t xml:space="preserve"> </w:t>
      </w:r>
      <w:r w:rsidR="00E21973">
        <w:t xml:space="preserve">Les pratiques de communication scientifique sur </w:t>
      </w:r>
      <w:r w:rsidR="00E21973">
        <w:rPr>
          <w:i/>
        </w:rPr>
        <w:t>Hypothèses</w:t>
      </w:r>
      <w:r w:rsidR="00E21973">
        <w:t xml:space="preserve">, du moins celles étudiées ici mais sans doute également dans d’autres cas, remettent en cause l’idée d’une </w:t>
      </w:r>
      <w:r w:rsidR="00E21973" w:rsidRPr="00881F3A">
        <w:rPr>
          <w:i/>
        </w:rPr>
        <w:t>communication scientifique directe</w:t>
      </w:r>
      <w:r w:rsidR="00E21973">
        <w:t xml:space="preserve">, telle qu’elle a pu être définie par </w:t>
      </w:r>
      <w:proofErr w:type="spellStart"/>
      <w:r w:rsidR="00E21973">
        <w:t>Guyslaine</w:t>
      </w:r>
      <w:proofErr w:type="spellEnd"/>
      <w:r w:rsidR="00E21973">
        <w:t xml:space="preserve"> Beaudry</w:t>
      </w:r>
      <w:r w:rsidR="00E21973">
        <w:rPr>
          <w:rStyle w:val="Appelnotedebasdep"/>
        </w:rPr>
        <w:footnoteReference w:id="43"/>
      </w:r>
      <w:r w:rsidR="00E21973">
        <w:t xml:space="preserve">, en raison des médiations techniques et idéologiques du dispositif, ainsi que des intervenants agissant sur sa diffusion (nous en verrons un dernier exemple en clôture de l’article). En effet, bien que la communication du chercheur ne soit pas validée dans ce </w:t>
      </w:r>
      <w:r w:rsidR="00E21973">
        <w:lastRenderedPageBreak/>
        <w:t xml:space="preserve">cas par un comité éditorial, tout dispositif médiatisant est porteur de contraintes qui agissent au niveau des formats et des choix (techno)discursifs. La </w:t>
      </w:r>
      <w:r w:rsidR="00E21973" w:rsidRPr="00502DE1">
        <w:rPr>
          <w:i/>
        </w:rPr>
        <w:t>promesse</w:t>
      </w:r>
      <w:r w:rsidR="00E21973">
        <w:t xml:space="preserve"> et la </w:t>
      </w:r>
      <w:r w:rsidR="00E21973" w:rsidRPr="00502DE1">
        <w:rPr>
          <w:i/>
        </w:rPr>
        <w:t>prétention communicationnelle</w:t>
      </w:r>
      <w:r w:rsidR="00E21973">
        <w:t xml:space="preserve"> contribuent en outre à le charger idéologiquement, et guident les modes d’appropriation de l’outil – avec pour résultat, dans le corpus envisagé, une communication scientifique en prise</w:t>
      </w:r>
      <w:r w:rsidR="006E09D9">
        <w:t xml:space="preserve"> directe avec l’actualité soci</w:t>
      </w:r>
      <w:r w:rsidR="00E21973">
        <w:t>ale.</w:t>
      </w:r>
    </w:p>
    <w:p w14:paraId="66FDF3B3" w14:textId="56FC738B" w:rsidR="00123934" w:rsidRPr="00B634CD" w:rsidRDefault="00123934" w:rsidP="00123934">
      <w:pPr>
        <w:jc w:val="both"/>
      </w:pPr>
      <w:r w:rsidRPr="00123934">
        <w:t>Coexistant avec la diffusion</w:t>
      </w:r>
      <w:r w:rsidR="005D4744">
        <w:t xml:space="preserve"> d’actualités de la recherche</w:t>
      </w:r>
      <w:r w:rsidRPr="00123934">
        <w:t xml:space="preserve"> et </w:t>
      </w:r>
      <w:r w:rsidR="00A13013">
        <w:t>de</w:t>
      </w:r>
      <w:r w:rsidRPr="00123934">
        <w:t xml:space="preserve"> pratiques de vulgarisation</w:t>
      </w:r>
      <w:r w:rsidR="007E7002">
        <w:t xml:space="preserve"> au sens plus traditionnel du terme</w:t>
      </w:r>
      <w:r w:rsidRPr="00123934">
        <w:t xml:space="preserve">, le traitement de l’actualité par des scientifiques </w:t>
      </w:r>
      <w:r w:rsidR="00B26BB1" w:rsidRPr="00123934">
        <w:t xml:space="preserve">sur </w:t>
      </w:r>
      <w:r w:rsidR="00B26BB1" w:rsidRPr="00123934">
        <w:rPr>
          <w:i/>
        </w:rPr>
        <w:t>Hypothèses</w:t>
      </w:r>
      <w:r w:rsidR="00B26BB1" w:rsidRPr="00123934">
        <w:t xml:space="preserve"> </w:t>
      </w:r>
      <w:r w:rsidRPr="00123934">
        <w:t xml:space="preserve">apporte un éclairage sur un sujet peu traité par la recherche, qui est l’information, voire l’événement. </w:t>
      </w:r>
      <w:r w:rsidR="00B634CD">
        <w:t>Le chercheur</w:t>
      </w:r>
      <w:r w:rsidRPr="00123934">
        <w:t>, outillé de ses grilles de lectures disciplinaires en SHS, porte un regard critique sur un champ de l’actualité</w:t>
      </w:r>
      <w:r w:rsidR="001762B9">
        <w:t xml:space="preserve"> dans le cadre même de son activité scientifique et dans un lieu de communication de celle-ci, de manière à amener</w:t>
      </w:r>
      <w:r w:rsidRPr="00123934">
        <w:t xml:space="preserve"> son lecteur po</w:t>
      </w:r>
      <w:r>
        <w:t>tentiel à un exercice réflexif</w:t>
      </w:r>
      <w:r w:rsidR="001762B9">
        <w:t>.</w:t>
      </w:r>
      <w:r w:rsidR="00B634CD">
        <w:t xml:space="preserve"> Ce qui distingue sa démarche d’autres entreprises de divulgation de l’actualité</w:t>
      </w:r>
      <w:r w:rsidR="00F91AEC">
        <w:t xml:space="preserve"> par des chercheurs</w:t>
      </w:r>
      <w:r w:rsidR="002E71DC">
        <w:t xml:space="preserve"> vers un public élargi</w:t>
      </w:r>
      <w:r w:rsidR="006B43DE">
        <w:t> </w:t>
      </w:r>
      <w:r w:rsidR="00284CF0">
        <w:t>comme</w:t>
      </w:r>
      <w:r w:rsidR="00F91AEC">
        <w:t xml:space="preserve"> les prises de paroles d’universitaires dans les tribunes du journal </w:t>
      </w:r>
      <w:r w:rsidR="00F91AEC">
        <w:rPr>
          <w:i/>
        </w:rPr>
        <w:t>Le Monde</w:t>
      </w:r>
      <w:r w:rsidR="00F91AEC">
        <w:t>, qui n’est pas un lieu de communication de la recherche ; ou</w:t>
      </w:r>
      <w:r w:rsidR="00284CF0">
        <w:t xml:space="preserve"> celle d</w:t>
      </w:r>
      <w:r w:rsidR="00F6247E">
        <w:t>e</w:t>
      </w:r>
      <w:r w:rsidR="00F91AEC">
        <w:t xml:space="preserve"> </w:t>
      </w:r>
      <w:r w:rsidR="00B634CD">
        <w:rPr>
          <w:i/>
        </w:rPr>
        <w:t>The Conversation</w:t>
      </w:r>
      <w:r w:rsidR="00F6247E">
        <w:rPr>
          <w:rStyle w:val="Appelnotedebasdep"/>
          <w:i/>
        </w:rPr>
        <w:footnoteReference w:id="44"/>
      </w:r>
      <w:r w:rsidR="00B634CD">
        <w:t xml:space="preserve">, où l’on renoue </w:t>
      </w:r>
      <w:r w:rsidR="00F91AEC">
        <w:t xml:space="preserve">par ailleurs </w:t>
      </w:r>
      <w:r w:rsidR="00B634CD">
        <w:t>avec l’alliance entr</w:t>
      </w:r>
      <w:r w:rsidR="00F6247E">
        <w:t>e scientifique</w:t>
      </w:r>
      <w:r w:rsidR="00052CD8">
        <w:t>s</w:t>
      </w:r>
      <w:r w:rsidR="00F6247E">
        <w:t xml:space="preserve"> et journalistes</w:t>
      </w:r>
      <w:r w:rsidR="00B634CD">
        <w:t xml:space="preserve">. </w:t>
      </w:r>
      <w:r w:rsidR="00F91AEC">
        <w:t>C</w:t>
      </w:r>
      <w:r w:rsidR="00AB673A">
        <w:t xml:space="preserve">ette </w:t>
      </w:r>
      <w:r w:rsidR="00052CD8">
        <w:t>démarche</w:t>
      </w:r>
      <w:r w:rsidR="00AB673A">
        <w:t xml:space="preserve"> se distingue </w:t>
      </w:r>
      <w:r w:rsidR="00F91AEC">
        <w:t xml:space="preserve">également </w:t>
      </w:r>
      <w:r w:rsidR="00AB673A">
        <w:t>de la communication entre chercheur</w:t>
      </w:r>
      <w:r w:rsidR="007520B1">
        <w:t>s</w:t>
      </w:r>
      <w:r w:rsidR="00AB673A">
        <w:t xml:space="preserve"> par son inscription dans un intertexte pour l’essentiel </w:t>
      </w:r>
      <w:proofErr w:type="spellStart"/>
      <w:r w:rsidR="00AB673A">
        <w:t>extra-scientifique</w:t>
      </w:r>
      <w:proofErr w:type="spellEnd"/>
      <w:r w:rsidR="00AB673A">
        <w:t>.</w:t>
      </w:r>
    </w:p>
    <w:p w14:paraId="47399B53" w14:textId="012D65A3" w:rsidR="00E21973" w:rsidRDefault="00E21973" w:rsidP="00E21973">
      <w:pPr>
        <w:jc w:val="both"/>
      </w:pPr>
      <w:r>
        <w:t xml:space="preserve">Les pratiques de communication des </w:t>
      </w:r>
      <w:r w:rsidR="00052CD8">
        <w:t>chercheur</w:t>
      </w:r>
      <w:r>
        <w:t>s vers la société civile se diversifient et rompent ainsi avec le paradigme de la vulgarisation</w:t>
      </w:r>
      <w:r w:rsidR="006B43DE">
        <w:t> ;</w:t>
      </w:r>
      <w:r>
        <w:t xml:space="preserve"> le traitement de l’actualité converge avec la vocation </w:t>
      </w:r>
      <w:r>
        <w:rPr>
          <w:i/>
        </w:rPr>
        <w:t>politique</w:t>
      </w:r>
      <w:r>
        <w:t xml:space="preserve"> de la science citoyenne du </w:t>
      </w:r>
      <w:proofErr w:type="spellStart"/>
      <w:r w:rsidR="00052CD8" w:rsidRPr="00052CD8">
        <w:rPr>
          <w:smallCaps/>
        </w:rPr>
        <w:t>xxi</w:t>
      </w:r>
      <w:r w:rsidRPr="00186200">
        <w:rPr>
          <w:vertAlign w:val="superscript"/>
        </w:rPr>
        <w:t>e</w:t>
      </w:r>
      <w:proofErr w:type="spellEnd"/>
      <w:r>
        <w:t xml:space="preserve"> siècle. L’inscription du discours des chercheurs dans des genres et formats reconnaissables par le lecteur, dans ce cas-ci, des genres journalistiques (commentaire d’actualité, billet d’humeur, interview, analyse) invite à une appropriation orientée vers la prise de conscience ou l’action citoyenne. Les nombreux outils mis à disposition du public sont de nature à stimuler l’intégration des connaissances</w:t>
      </w:r>
      <w:r w:rsidR="006B43DE">
        <w:t> :</w:t>
      </w:r>
      <w:r>
        <w:t xml:space="preserve"> cartographies (</w:t>
      </w:r>
      <w:proofErr w:type="spellStart"/>
      <w:r>
        <w:rPr>
          <w:i/>
        </w:rPr>
        <w:t>LAMenparle</w:t>
      </w:r>
      <w:proofErr w:type="spellEnd"/>
      <w:r>
        <w:t xml:space="preserve">, </w:t>
      </w:r>
      <w:r>
        <w:rPr>
          <w:i/>
        </w:rPr>
        <w:t>L’Atome de discorde</w:t>
      </w:r>
      <w:r>
        <w:t xml:space="preserve">), ressources documentaires externes (on notera par exemple l’impressionnante collection de liens et ressources suggérée par </w:t>
      </w:r>
      <w:proofErr w:type="spellStart"/>
      <w:r w:rsidRPr="00694EA1">
        <w:rPr>
          <w:i/>
        </w:rPr>
        <w:t>Ovipot</w:t>
      </w:r>
      <w:proofErr w:type="spellEnd"/>
      <w:r w:rsidR="006B43DE">
        <w:t> ;</w:t>
      </w:r>
      <w:r>
        <w:t xml:space="preserve"> mais également les nombreuses vidéos et multiples liens externes </w:t>
      </w:r>
      <w:r w:rsidR="0049041E">
        <w:t>de</w:t>
      </w:r>
      <w:r>
        <w:t xml:space="preserve"> </w:t>
      </w:r>
      <w:r w:rsidRPr="00694EA1">
        <w:rPr>
          <w:i/>
        </w:rPr>
        <w:t>Culture et politique arabes</w:t>
      </w:r>
      <w:r>
        <w:t>)</w:t>
      </w:r>
      <w:r w:rsidR="006B43DE">
        <w:t> ;</w:t>
      </w:r>
      <w:r>
        <w:t xml:space="preserve"> graphiques (</w:t>
      </w:r>
      <w:r w:rsidRPr="00694EA1">
        <w:rPr>
          <w:i/>
        </w:rPr>
        <w:t>Japon contemporain</w:t>
      </w:r>
      <w:r>
        <w:t>), etc. Les grilles de lecture des sciences humaines et sociales sont convoquées pour passer au crible les faits d’actualité</w:t>
      </w:r>
      <w:r w:rsidR="006B43DE">
        <w:t> ;</w:t>
      </w:r>
      <w:r>
        <w:t xml:space="preserve"> le projet est particulièrement visible sur le carnet </w:t>
      </w:r>
      <w:proofErr w:type="spellStart"/>
      <w:r w:rsidRPr="00694EA1">
        <w:rPr>
          <w:i/>
        </w:rPr>
        <w:t>UC@ctualité</w:t>
      </w:r>
      <w:proofErr w:type="spellEnd"/>
      <w:r>
        <w:t xml:space="preserve"> qui, prenant pour assise les attentats de Paris, démontre dans </w:t>
      </w:r>
      <w:r w:rsidR="006B43DE">
        <w:t>« </w:t>
      </w:r>
      <w:r w:rsidRPr="00E2302C">
        <w:rPr>
          <w:lang w:val="fr-FR"/>
        </w:rPr>
        <w:t>Une sociologie des attentats</w:t>
      </w:r>
      <w:r w:rsidR="006B43DE">
        <w:rPr>
          <w:lang w:val="fr-FR"/>
        </w:rPr>
        <w:t> »</w:t>
      </w:r>
      <w:r>
        <w:rPr>
          <w:rStyle w:val="Appelnotedebasdep"/>
          <w:lang w:val="fr-FR"/>
        </w:rPr>
        <w:footnoteReference w:id="45"/>
      </w:r>
      <w:r>
        <w:rPr>
          <w:lang w:val="fr-FR"/>
        </w:rPr>
        <w:t xml:space="preserve"> </w:t>
      </w:r>
      <w:r>
        <w:t>la nécessité d’un traitement sociologique de ces événements</w:t>
      </w:r>
      <w:r w:rsidR="006B43DE">
        <w:t> ;</w:t>
      </w:r>
      <w:r>
        <w:t xml:space="preserve"> propose une tentative d’explication des violences extrêmes par la voie littéraire dans </w:t>
      </w:r>
      <w:r w:rsidR="006B43DE">
        <w:t>« </w:t>
      </w:r>
      <w:r w:rsidRPr="00E2302C">
        <w:rPr>
          <w:lang w:val="fr-FR"/>
        </w:rPr>
        <w:t xml:space="preserve">L’imagination </w:t>
      </w:r>
      <w:r w:rsidRPr="00E2302C">
        <w:rPr>
          <w:i/>
          <w:iCs/>
          <w:lang w:val="fr-FR"/>
        </w:rPr>
        <w:t>de</w:t>
      </w:r>
      <w:r w:rsidRPr="00E2302C">
        <w:rPr>
          <w:lang w:val="fr-FR"/>
        </w:rPr>
        <w:t xml:space="preserve"> la terreur</w:t>
      </w:r>
      <w:r w:rsidR="006B43DE">
        <w:t> »</w:t>
      </w:r>
      <w:r>
        <w:rPr>
          <w:rStyle w:val="Appelnotedebasdep"/>
        </w:rPr>
        <w:footnoteReference w:id="46"/>
      </w:r>
      <w:r w:rsidR="006B43DE">
        <w:t> ;</w:t>
      </w:r>
      <w:r>
        <w:t xml:space="preserve"> ou situe dans une perspective historique des réactions de l’État aux faits de terrorisme (</w:t>
      </w:r>
      <w:r w:rsidR="006B43DE">
        <w:t>« </w:t>
      </w:r>
      <w:r w:rsidRPr="00DB2957">
        <w:rPr>
          <w:lang w:val="fr-FR"/>
        </w:rPr>
        <w:t>Les attentats… et après quoi</w:t>
      </w:r>
      <w:r w:rsidR="006B43DE">
        <w:rPr>
          <w:lang w:val="fr-FR"/>
        </w:rPr>
        <w:t> </w:t>
      </w:r>
      <w:r w:rsidR="006B43DE" w:rsidRPr="00DB2957">
        <w:rPr>
          <w:lang w:val="fr-FR"/>
        </w:rPr>
        <w:t>?</w:t>
      </w:r>
      <w:r w:rsidR="006B43DE">
        <w:t> »</w:t>
      </w:r>
      <w:r>
        <w:rPr>
          <w:rStyle w:val="Appelnotedebasdep"/>
        </w:rPr>
        <w:footnoteReference w:id="47"/>
      </w:r>
      <w:r>
        <w:t>). Les outils critiques, tous orientés vers la prise de distance avec le fait immédiat, anticipent l’inscription du lecteur dans un processus d’écart à soi.</w:t>
      </w:r>
      <w:r w:rsidR="00DC6EFE">
        <w:t xml:space="preserve"> Y participent également des stratégies rhétoriques assez peu en usage dans la communicat</w:t>
      </w:r>
      <w:r w:rsidR="00195B96">
        <w:t>ion scientifique traditionnelle</w:t>
      </w:r>
      <w:r w:rsidR="00DC6EFE">
        <w:t xml:space="preserve"> comme l’ironie.</w:t>
      </w:r>
      <w:r>
        <w:t xml:space="preserve"> Ce caractère pratique et opératoire distingue cette forme de divulgation scientifique vers un public </w:t>
      </w:r>
      <w:r w:rsidR="00C96623">
        <w:t>élargi</w:t>
      </w:r>
      <w:r>
        <w:t xml:space="preserve"> d’autres procédés comme celui de l’exposition </w:t>
      </w:r>
      <w:r>
        <w:lastRenderedPageBreak/>
        <w:t>muséale, où le dispositif ancre une production artistique dans un contexte socio-culturel</w:t>
      </w:r>
      <w:r>
        <w:rPr>
          <w:rStyle w:val="Appelnotedebasdep"/>
        </w:rPr>
        <w:footnoteReference w:id="48"/>
      </w:r>
      <w:r>
        <w:t xml:space="preserve">. Ici, c’est la dimension opératoire des savoirs en sciences humaines et sociales, </w:t>
      </w:r>
      <w:r w:rsidRPr="00CF59B4">
        <w:t>leur qualité de savoir critique,</w:t>
      </w:r>
      <w:r>
        <w:t xml:space="preserve"> qui est convoquée. Le chercheur se fait alors citoyen, analyste, mais aussi volontiers polémiste. En effet, certaines stratégies rhétoriques étudiées </w:t>
      </w:r>
      <w:r w:rsidRPr="0003293D">
        <w:t>encouragent non au débat scientifique mais à l’action citoyenne</w:t>
      </w:r>
      <w:r w:rsidR="006B43DE">
        <w:t> </w:t>
      </w:r>
      <w:r w:rsidR="006B43DE" w:rsidRPr="0003293D">
        <w:t>;</w:t>
      </w:r>
      <w:r>
        <w:t xml:space="preserve"> postulant non une communauté disciplinaire mais une communauté de valeurs qu’il s’agit de mobiliser vers une action concrète. </w:t>
      </w:r>
    </w:p>
    <w:p w14:paraId="0808AAFA" w14:textId="261E8FC1" w:rsidR="00E21973" w:rsidRDefault="00E21973" w:rsidP="00E21973">
      <w:pPr>
        <w:jc w:val="both"/>
      </w:pPr>
      <w:r>
        <w:t xml:space="preserve">On ne saurait clôturer cette étude </w:t>
      </w:r>
      <w:r w:rsidR="0081356D">
        <w:t xml:space="preserve">exploratoire </w:t>
      </w:r>
      <w:r>
        <w:t xml:space="preserve">sans souligner le risque d’une possible </w:t>
      </w:r>
      <w:r>
        <w:rPr>
          <w:i/>
        </w:rPr>
        <w:t>instrumentalisation</w:t>
      </w:r>
      <w:r>
        <w:t xml:space="preserve"> du dispositif. Il est parfois </w:t>
      </w:r>
      <w:r w:rsidRPr="001942C7">
        <w:t xml:space="preserve">difficile de </w:t>
      </w:r>
      <w:r>
        <w:t>marquer clairement une</w:t>
      </w:r>
      <w:r w:rsidRPr="001942C7">
        <w:t xml:space="preserve"> frontière entre le devoir critique des chercheurs en sciences humaine</w:t>
      </w:r>
      <w:r>
        <w:t>s et</w:t>
      </w:r>
      <w:r w:rsidR="00D86F83">
        <w:t xml:space="preserve"> sociales, et une </w:t>
      </w:r>
      <w:r w:rsidR="001C1223">
        <w:t>prise de position partiale</w:t>
      </w:r>
      <w:r w:rsidR="00D86F83">
        <w:t xml:space="preserve"> servant des intérêts externes à la démarche de recherche</w:t>
      </w:r>
      <w:r w:rsidR="006B43DE">
        <w:t> ;</w:t>
      </w:r>
      <w:r>
        <w:t xml:space="preserve"> et cette brèche peut être exploitée par des personnes ou groupements qui, sous couvert de distance critique et </w:t>
      </w:r>
      <w:r w:rsidR="00A60DEF">
        <w:t>d’activité</w:t>
      </w:r>
      <w:r>
        <w:t xml:space="preserve"> scientifique, sont susceptibles d’œuvrer à des fins politiques, commerciales ou personnelles. Dans le registre du traitement de l’actualité, les </w:t>
      </w:r>
      <w:r w:rsidR="00D76A9A">
        <w:t>billets de</w:t>
      </w:r>
      <w:r>
        <w:t xml:space="preserve"> blog peuvent alors se voir évaluées </w:t>
      </w:r>
      <w:r w:rsidRPr="00196AED">
        <w:rPr>
          <w:i/>
        </w:rPr>
        <w:t>a posteriori</w:t>
      </w:r>
      <w:r>
        <w:t xml:space="preserve"> soit par un organe de presse reconnu, soit par la communauté scientifique. Dans le premier cas, on peut citer les mises en garde contre la fiabilité des informations diffusées sur le carnet </w:t>
      </w:r>
      <w:proofErr w:type="spellStart"/>
      <w:r>
        <w:rPr>
          <w:i/>
        </w:rPr>
        <w:t>RussEurope</w:t>
      </w:r>
      <w:proofErr w:type="spellEnd"/>
      <w:r>
        <w:t xml:space="preserve">, pourtant l’un des plus consultés de la plateforme </w:t>
      </w:r>
      <w:r>
        <w:rPr>
          <w:i/>
        </w:rPr>
        <w:t>Hypot</w:t>
      </w:r>
      <w:r w:rsidR="00D76A9A">
        <w:rPr>
          <w:i/>
        </w:rPr>
        <w:t>h</w:t>
      </w:r>
      <w:r>
        <w:rPr>
          <w:i/>
        </w:rPr>
        <w:t>èses</w:t>
      </w:r>
      <w:r>
        <w:t xml:space="preserve">. Le </w:t>
      </w:r>
      <w:proofErr w:type="spellStart"/>
      <w:r>
        <w:rPr>
          <w:i/>
        </w:rPr>
        <w:t>Décodex</w:t>
      </w:r>
      <w:proofErr w:type="spellEnd"/>
      <w:r>
        <w:t xml:space="preserve"> du journal </w:t>
      </w:r>
      <w:r>
        <w:rPr>
          <w:i/>
        </w:rPr>
        <w:t xml:space="preserve">Le Monde </w:t>
      </w:r>
      <w:r>
        <w:t>lance à son propos l’avertissement suivant</w:t>
      </w:r>
      <w:r w:rsidR="006B43DE">
        <w:t> :</w:t>
      </w:r>
      <w:r>
        <w:t xml:space="preserve"> </w:t>
      </w:r>
      <w:r w:rsidR="006B43DE">
        <w:t>« </w:t>
      </w:r>
      <w:r>
        <w:t>Ce site peut être régulièrement imprécis, ne précisant pas ses sources et reprenant des informations sans vérification. Soyez prudent et cherchez d’autres sources. Si possible, remontez à l’origine de l’information.</w:t>
      </w:r>
      <w:r w:rsidR="006B43DE">
        <w:t> »</w:t>
      </w:r>
      <w:r>
        <w:rPr>
          <w:rStyle w:val="Appelnotedebasdep"/>
        </w:rPr>
        <w:footnoteReference w:id="49"/>
      </w:r>
      <w:r>
        <w:t xml:space="preserve"> Dans d’autres cas, ce sont des membres de la communauté scientifique qui signalent un contenu qui leur semble inapproprié par rapport à un objectif de recherche. C’est ainsi qu’une polémique a éclaté sur Twitter autour de la mise </w:t>
      </w:r>
      <w:r w:rsidR="002D245D">
        <w:t>en visibilité</w:t>
      </w:r>
      <w:r>
        <w:t xml:space="preserve">, sur </w:t>
      </w:r>
      <w:r>
        <w:rPr>
          <w:i/>
        </w:rPr>
        <w:t>Hypothèses</w:t>
      </w:r>
      <w:r>
        <w:t>, d’un billet questionnant un projet de loi visant à faire condamner certains sites anti-avortement</w:t>
      </w:r>
      <w:r>
        <w:rPr>
          <w:rStyle w:val="Appelnotedebasdep"/>
        </w:rPr>
        <w:footnoteReference w:id="50"/>
      </w:r>
      <w:r w:rsidR="006B43DE">
        <w:t> :</w:t>
      </w:r>
    </w:p>
    <w:p w14:paraId="4F93FAE8" w14:textId="6DC49786" w:rsidR="00E21973" w:rsidRPr="00D503B6" w:rsidRDefault="00E21973" w:rsidP="00E21973">
      <w:pPr>
        <w:jc w:val="both"/>
        <w:rPr>
          <w:i/>
        </w:rPr>
      </w:pPr>
      <w:r w:rsidRPr="00D503B6">
        <w:rPr>
          <w:i/>
        </w:rPr>
        <w:t xml:space="preserve">Fig. </w:t>
      </w:r>
      <w:r w:rsidR="00EF3D98">
        <w:rPr>
          <w:i/>
        </w:rPr>
        <w:t>3</w:t>
      </w:r>
      <w:r w:rsidR="006B43DE">
        <w:rPr>
          <w:i/>
        </w:rPr>
        <w:t> </w:t>
      </w:r>
      <w:r w:rsidR="006B43DE" w:rsidRPr="00D503B6">
        <w:rPr>
          <w:i/>
        </w:rPr>
        <w:t>:</w:t>
      </w:r>
      <w:r w:rsidRPr="00D503B6">
        <w:rPr>
          <w:i/>
        </w:rPr>
        <w:t xml:space="preserve"> Fil Twitter entourant la mise à la Une du billet </w:t>
      </w:r>
      <w:r w:rsidR="006B43DE">
        <w:rPr>
          <w:i/>
        </w:rPr>
        <w:t>« </w:t>
      </w:r>
      <w:r w:rsidRPr="00D503B6">
        <w:rPr>
          <w:i/>
        </w:rPr>
        <w:t>Délit d’entrave numérique, vers une vision unique de l’avortement</w:t>
      </w:r>
      <w:r w:rsidR="006B43DE">
        <w:rPr>
          <w:i/>
        </w:rPr>
        <w:t> </w:t>
      </w:r>
      <w:r w:rsidR="006B43DE" w:rsidRPr="00D503B6">
        <w:rPr>
          <w:i/>
        </w:rPr>
        <w:t>?</w:t>
      </w:r>
      <w:r w:rsidR="006B43DE">
        <w:rPr>
          <w:i/>
        </w:rPr>
        <w:t> </w:t>
      </w:r>
      <w:r w:rsidR="006B43DE" w:rsidRPr="00D503B6">
        <w:rPr>
          <w:i/>
        </w:rPr>
        <w:t>»</w:t>
      </w:r>
      <w:r w:rsidRPr="00D503B6">
        <w:rPr>
          <w:rStyle w:val="Appelnotedebasdep"/>
          <w:i/>
        </w:rPr>
        <w:footnoteReference w:id="51"/>
      </w:r>
      <w:r w:rsidRPr="00D503B6">
        <w:rPr>
          <w:i/>
        </w:rPr>
        <w:t xml:space="preserve"> (</w:t>
      </w:r>
      <w:proofErr w:type="gramStart"/>
      <w:r w:rsidRPr="00D503B6">
        <w:rPr>
          <w:i/>
        </w:rPr>
        <w:t>capturé</w:t>
      </w:r>
      <w:proofErr w:type="gramEnd"/>
      <w:r w:rsidRPr="00D503B6">
        <w:rPr>
          <w:i/>
        </w:rPr>
        <w:t xml:space="preserve"> le 9 décembre 2016) </w:t>
      </w:r>
    </w:p>
    <w:p w14:paraId="7B0D780F" w14:textId="5B3B1AFE" w:rsidR="00E21973" w:rsidRPr="001942C7" w:rsidRDefault="006B43DE" w:rsidP="002D6FDA">
      <w:pPr>
        <w:jc w:val="center"/>
      </w:pPr>
      <w:r>
        <w:rPr>
          <w:noProof/>
          <w:lang w:eastAsia="fr-BE"/>
        </w:rPr>
        <w:lastRenderedPageBreak/>
        <w:drawing>
          <wp:inline distT="0" distB="0" distL="0" distR="0" wp14:anchorId="05876C3A" wp14:editId="4E5F1588">
            <wp:extent cx="5074920" cy="371856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l twitter.png"/>
                    <pic:cNvPicPr/>
                  </pic:nvPicPr>
                  <pic:blipFill rotWithShape="1">
                    <a:blip r:embed="rId23">
                      <a:extLst>
                        <a:ext uri="{28A0092B-C50C-407E-A947-70E740481C1C}">
                          <a14:useLocalDpi xmlns:a14="http://schemas.microsoft.com/office/drawing/2010/main" val="0"/>
                        </a:ext>
                      </a:extLst>
                    </a:blip>
                    <a:srcRect l="1884" t="1587" r="1594" b="1587"/>
                    <a:stretch/>
                  </pic:blipFill>
                  <pic:spPr bwMode="auto">
                    <a:xfrm>
                      <a:off x="0" y="0"/>
                      <a:ext cx="5075360" cy="3718883"/>
                    </a:xfrm>
                    <a:prstGeom prst="rect">
                      <a:avLst/>
                    </a:prstGeom>
                    <a:ln>
                      <a:noFill/>
                    </a:ln>
                    <a:extLst>
                      <a:ext uri="{53640926-AAD7-44D8-BBD7-CCE9431645EC}">
                        <a14:shadowObscured xmlns:a14="http://schemas.microsoft.com/office/drawing/2010/main"/>
                      </a:ext>
                    </a:extLst>
                  </pic:spPr>
                </pic:pic>
              </a:graphicData>
            </a:graphic>
          </wp:inline>
        </w:drawing>
      </w:r>
    </w:p>
    <w:p w14:paraId="4EC3D939" w14:textId="1D1F8CBC" w:rsidR="00E21973" w:rsidRDefault="003436E2" w:rsidP="00E21973">
      <w:pPr>
        <w:jc w:val="both"/>
      </w:pPr>
      <w:r>
        <w:t xml:space="preserve">Si </w:t>
      </w:r>
      <w:r w:rsidR="00E21973" w:rsidRPr="003436E2">
        <w:rPr>
          <w:i/>
        </w:rPr>
        <w:t>Hypothèses</w:t>
      </w:r>
      <w:r>
        <w:t xml:space="preserve"> a bel et bien pris acte du commentaire</w:t>
      </w:r>
      <w:r w:rsidR="00E21973">
        <w:t xml:space="preserve">, </w:t>
      </w:r>
      <w:r>
        <w:t>le billet n’a pas été supprimé de la plateforme</w:t>
      </w:r>
      <w:r w:rsidR="00B3393F">
        <w:t>.</w:t>
      </w:r>
      <w:r w:rsidR="00FB37AF">
        <w:t xml:space="preserve"> </w:t>
      </w:r>
      <w:r w:rsidR="009E34A9">
        <w:t>Le champ d’action de l’équipe éditoriale porte surtout</w:t>
      </w:r>
      <w:r w:rsidR="00FB37AF">
        <w:t xml:space="preserve"> sur les moyens de mise en visibilité</w:t>
      </w:r>
      <w:r w:rsidR="006031AD">
        <w:t xml:space="preserve"> des contenus, </w:t>
      </w:r>
      <w:r w:rsidR="00FB37AF">
        <w:t xml:space="preserve">bien que l’exclusion </w:t>
      </w:r>
      <w:r w:rsidR="006031AD">
        <w:t>d</w:t>
      </w:r>
      <w:r w:rsidR="00FB37AF">
        <w:t>e carnets, très marginale, ait déjà pu avoir lieu.</w:t>
      </w:r>
      <w:r w:rsidR="00B3393F">
        <w:t xml:space="preserve"> En l’absence de</w:t>
      </w:r>
      <w:r w:rsidR="00E21973">
        <w:t xml:space="preserve"> contrôle scientifique </w:t>
      </w:r>
      <w:r>
        <w:rPr>
          <w:i/>
        </w:rPr>
        <w:t xml:space="preserve">a priori </w:t>
      </w:r>
      <w:r w:rsidR="00E21973">
        <w:t>sur le</w:t>
      </w:r>
      <w:r>
        <w:t>s publications</w:t>
      </w:r>
      <w:r w:rsidR="00E21973">
        <w:t xml:space="preserve"> des carnets de recherche</w:t>
      </w:r>
      <w:r w:rsidR="00D42634">
        <w:t xml:space="preserve"> (si ce n’est la validation d’un dossier d’adhésion avant l’ouvertu</w:t>
      </w:r>
      <w:r w:rsidR="003F43AF">
        <w:t>re d’un carnet</w:t>
      </w:r>
      <w:r w:rsidR="00D42634">
        <w:t>)</w:t>
      </w:r>
      <w:r w:rsidR="00E21973">
        <w:t xml:space="preserve">, </w:t>
      </w:r>
      <w:r w:rsidR="003B47A6">
        <w:t>seul</w:t>
      </w:r>
      <w:r w:rsidR="00E21973">
        <w:t xml:space="preserve"> le regard critique de la communauté </w:t>
      </w:r>
      <w:r w:rsidR="003B47A6">
        <w:t>peut faire</w:t>
      </w:r>
      <w:r w:rsidR="00D42634">
        <w:t xml:space="preserve"> office d’instance </w:t>
      </w:r>
      <w:r w:rsidR="00D92193">
        <w:t>d’évaluation</w:t>
      </w:r>
      <w:r w:rsidR="003B47A6">
        <w:t xml:space="preserve"> </w:t>
      </w:r>
      <w:r w:rsidR="003B47A6">
        <w:rPr>
          <w:i/>
        </w:rPr>
        <w:t>a posteriori</w:t>
      </w:r>
      <w:r w:rsidR="003F43AF">
        <w:t>.</w:t>
      </w:r>
      <w:r w:rsidR="003B47A6">
        <w:t xml:space="preserve"> </w:t>
      </w:r>
      <w:r w:rsidR="003F43AF">
        <w:t>C’</w:t>
      </w:r>
      <w:r w:rsidR="00F5657A">
        <w:t>est le cas dans l’exemple montré</w:t>
      </w:r>
      <w:r w:rsidR="008D3494">
        <w:t>, mais ce n’est pas systématique</w:t>
      </w:r>
      <w:r w:rsidR="00D92193">
        <w:t xml:space="preserve">. </w:t>
      </w:r>
      <w:r w:rsidR="00E21973">
        <w:t xml:space="preserve">On notera que les arguments utilisés (la non-scientificité du contenu et la présence d’un message à lire entre les lignes) sont à double tranchant. Si une pratique comme le traitement de l’actualité peut poser question dans la sphère scientifique traditionnelle, elle s’apparente à une forme de communication de la recherche en phase avec la </w:t>
      </w:r>
      <w:r w:rsidR="00E21973">
        <w:rPr>
          <w:i/>
        </w:rPr>
        <w:t xml:space="preserve">promesse </w:t>
      </w:r>
      <w:r w:rsidR="00E21973">
        <w:t xml:space="preserve">communicationnelle portée par </w:t>
      </w:r>
      <w:r w:rsidR="00E21973">
        <w:rPr>
          <w:i/>
        </w:rPr>
        <w:t>Hypothèses</w:t>
      </w:r>
      <w:r w:rsidR="00E21973">
        <w:t xml:space="preserve"> et le projet d’une science citoyenne. Par ailleurs, des stratégies rhétoriques comme celles identifiées dans le corpus reposent précisément sur la présence d’un implicite, favorisé par le lien à l’actuel qui caractérise l’écriture sur blog. À l’instar de toute production scientifique, le traitement de l’actualité par des chercheurs </w:t>
      </w:r>
      <w:r w:rsidR="00E21973" w:rsidRPr="00655E54">
        <w:t>doit</w:t>
      </w:r>
      <w:r w:rsidR="00E21973">
        <w:t xml:space="preserve"> encore stabiliser ses mécanismes de validation par les pairs qui, s’ils sont plus souples que l’alternative entre acceptation ou refus par un comité de rédaction, existent bel et bien, que ce soit par la mise en circulation par des tiers, la valorisation </w:t>
      </w:r>
      <w:r w:rsidR="00956CB6">
        <w:t xml:space="preserve">par </w:t>
      </w:r>
      <w:r w:rsidR="00956CB6">
        <w:rPr>
          <w:i/>
        </w:rPr>
        <w:t xml:space="preserve">Hypothèses </w:t>
      </w:r>
      <w:r w:rsidR="00E21973">
        <w:t xml:space="preserve">en </w:t>
      </w:r>
      <w:r w:rsidR="00E21973" w:rsidRPr="0095193C">
        <w:rPr>
          <w:i/>
        </w:rPr>
        <w:t>Une</w:t>
      </w:r>
      <w:r w:rsidR="00E21973">
        <w:t xml:space="preserve"> ou sur Twitter, ou</w:t>
      </w:r>
      <w:r w:rsidR="00776439">
        <w:t xml:space="preserve"> encore</w:t>
      </w:r>
      <w:r w:rsidR="00E21973">
        <w:t xml:space="preserve"> la critique publique.</w:t>
      </w:r>
    </w:p>
    <w:p w14:paraId="4A7150A0" w14:textId="77777777" w:rsidR="00E21973" w:rsidRDefault="00E21973" w:rsidP="00E21973">
      <w:pPr>
        <w:pStyle w:val="Titre1"/>
      </w:pPr>
      <w:r>
        <w:t>Bibliographie</w:t>
      </w:r>
    </w:p>
    <w:p w14:paraId="782ED9B2" w14:textId="291E6DC3" w:rsidR="00E21973" w:rsidRDefault="00E21973" w:rsidP="00E21973">
      <w:pPr>
        <w:jc w:val="both"/>
        <w:rPr>
          <w:i/>
        </w:rPr>
      </w:pPr>
      <w:r w:rsidRPr="00805870">
        <w:rPr>
          <w:i/>
        </w:rPr>
        <w:t xml:space="preserve">Tous les liens de l’article ont été vérifiés le </w:t>
      </w:r>
      <w:r w:rsidR="00C92923" w:rsidRPr="00C92923">
        <w:rPr>
          <w:i/>
        </w:rPr>
        <w:t>11 août</w:t>
      </w:r>
      <w:r w:rsidRPr="00C92923">
        <w:rPr>
          <w:i/>
        </w:rPr>
        <w:t xml:space="preserve"> 2017.</w:t>
      </w:r>
    </w:p>
    <w:p w14:paraId="358D39DD" w14:textId="77777777" w:rsidR="00E21973" w:rsidRPr="00174358" w:rsidRDefault="00E21973" w:rsidP="00E21973">
      <w:pPr>
        <w:jc w:val="both"/>
      </w:pPr>
      <w:r w:rsidRPr="00174358">
        <w:rPr>
          <w:smallCaps/>
        </w:rPr>
        <w:t>Beaudry</w:t>
      </w:r>
      <w:r w:rsidRPr="00174358">
        <w:t xml:space="preserve"> Guylaine. </w:t>
      </w:r>
      <w:r w:rsidRPr="00174358">
        <w:rPr>
          <w:i/>
          <w:iCs/>
        </w:rPr>
        <w:t>La communication scientifique et le numérique</w:t>
      </w:r>
      <w:r>
        <w:t>, Paris, Lavoisier, 2011</w:t>
      </w:r>
      <w:r w:rsidRPr="00174358">
        <w:t>.</w:t>
      </w:r>
    </w:p>
    <w:p w14:paraId="05F19B85" w14:textId="30670F50" w:rsidR="00E21973" w:rsidRPr="009B52E6" w:rsidRDefault="00E21973" w:rsidP="00E21973">
      <w:pPr>
        <w:jc w:val="both"/>
      </w:pPr>
      <w:proofErr w:type="spellStart"/>
      <w:r w:rsidRPr="009B52E6">
        <w:rPr>
          <w:smallCaps/>
        </w:rPr>
        <w:t>Bensaude</w:t>
      </w:r>
      <w:proofErr w:type="spellEnd"/>
      <w:r w:rsidRPr="009B52E6">
        <w:rPr>
          <w:smallCaps/>
        </w:rPr>
        <w:t>-Vincent</w:t>
      </w:r>
      <w:r w:rsidRPr="00174358">
        <w:t xml:space="preserve"> Bernadette</w:t>
      </w:r>
      <w:r>
        <w:t>,</w:t>
      </w:r>
      <w:r w:rsidRPr="00174358">
        <w:t xml:space="preserve"> </w:t>
      </w:r>
      <w:r w:rsidR="006B43DE">
        <w:t>« </w:t>
      </w:r>
      <w:r w:rsidRPr="00174358">
        <w:t>Splendeur et décadence de la vulgarisation scientifique</w:t>
      </w:r>
      <w:r w:rsidR="006B43DE">
        <w:t> </w:t>
      </w:r>
      <w:r w:rsidR="006B43DE" w:rsidRPr="00174358">
        <w:t>»</w:t>
      </w:r>
      <w:r>
        <w:t>,</w:t>
      </w:r>
      <w:r w:rsidRPr="00174358">
        <w:t xml:space="preserve"> </w:t>
      </w:r>
      <w:r w:rsidRPr="00174358">
        <w:rPr>
          <w:i/>
          <w:iCs/>
        </w:rPr>
        <w:t>Questions de communication</w:t>
      </w:r>
      <w:r>
        <w:rPr>
          <w:iCs/>
        </w:rPr>
        <w:t xml:space="preserve">, 2010, </w:t>
      </w:r>
      <w:r w:rsidR="00724549">
        <w:rPr>
          <w:iCs/>
        </w:rPr>
        <w:t>n°</w:t>
      </w:r>
      <w:r>
        <w:t>17</w:t>
      </w:r>
      <w:r w:rsidR="00724549">
        <w:t xml:space="preserve">. En ligne : </w:t>
      </w:r>
      <w:hyperlink r:id="rId24" w:history="1">
        <w:r w:rsidR="00724549">
          <w:rPr>
            <w:rStyle w:val="Lienhypertexte"/>
          </w:rPr>
          <w:t>http://</w:t>
        </w:r>
        <w:r w:rsidR="00724549" w:rsidRPr="00570553">
          <w:rPr>
            <w:rStyle w:val="Lienhypertexte"/>
          </w:rPr>
          <w:t>questionsdecommunication.revues.org/368</w:t>
        </w:r>
      </w:hyperlink>
      <w:r w:rsidR="00724549">
        <w:t>.</w:t>
      </w:r>
      <w:r w:rsidRPr="00174358">
        <w:t xml:space="preserve"> </w:t>
      </w:r>
    </w:p>
    <w:p w14:paraId="7DA2E6B1" w14:textId="4CECDD92" w:rsidR="00E21973" w:rsidRPr="00D33859" w:rsidRDefault="00E21973" w:rsidP="00E21973">
      <w:pPr>
        <w:jc w:val="both"/>
      </w:pPr>
      <w:proofErr w:type="spellStart"/>
      <w:r w:rsidRPr="00D33859">
        <w:rPr>
          <w:smallCaps/>
        </w:rPr>
        <w:lastRenderedPageBreak/>
        <w:t>Bester</w:t>
      </w:r>
      <w:proofErr w:type="spellEnd"/>
      <w:r>
        <w:t xml:space="preserve"> Emma</w:t>
      </w:r>
      <w:r w:rsidRPr="00174358">
        <w:t xml:space="preserve"> et Marin </w:t>
      </w:r>
      <w:r w:rsidRPr="00D33859">
        <w:rPr>
          <w:smallCaps/>
        </w:rPr>
        <w:t>Dacos</w:t>
      </w:r>
      <w:r>
        <w:rPr>
          <w:smallCaps/>
        </w:rPr>
        <w:t>,</w:t>
      </w:r>
      <w:r w:rsidRPr="00174358">
        <w:t xml:space="preserve"> </w:t>
      </w:r>
      <w:r w:rsidR="006B43DE">
        <w:t>« </w:t>
      </w:r>
      <w:r w:rsidRPr="00174358">
        <w:t>Que savons-nous de l’identité, des comportements et des attentes des lecteurs de Revues.org en 2008 et 2009</w:t>
      </w:r>
      <w:r w:rsidR="006B43DE">
        <w:t> </w:t>
      </w:r>
      <w:r w:rsidR="006B43DE" w:rsidRPr="00174358">
        <w:t>?</w:t>
      </w:r>
      <w:r w:rsidR="006B43DE">
        <w:t> </w:t>
      </w:r>
      <w:r w:rsidR="006B43DE" w:rsidRPr="00174358">
        <w:t>»</w:t>
      </w:r>
      <w:r>
        <w:t>,</w:t>
      </w:r>
      <w:r w:rsidRPr="00174358">
        <w:t xml:space="preserve"> 2010. </w:t>
      </w:r>
      <w:r>
        <w:rPr>
          <w:iCs/>
        </w:rPr>
        <w:t>En ligne</w:t>
      </w:r>
      <w:r w:rsidR="006B43DE">
        <w:rPr>
          <w:iCs/>
        </w:rPr>
        <w:t> :</w:t>
      </w:r>
      <w:r>
        <w:rPr>
          <w:iCs/>
        </w:rPr>
        <w:t xml:space="preserve"> </w:t>
      </w:r>
      <w:hyperlink r:id="rId25" w:history="1">
        <w:r w:rsidR="006B43DE">
          <w:rPr>
            <w:rStyle w:val="Lienhypertexte"/>
            <w:iCs/>
          </w:rPr>
          <w:t>http://</w:t>
        </w:r>
        <w:r w:rsidRPr="00570553">
          <w:rPr>
            <w:rStyle w:val="Lienhypertexte"/>
            <w:iCs/>
          </w:rPr>
          <w:t>archivesic.ccsd.cnrs.fr/sic_00452002/document</w:t>
        </w:r>
      </w:hyperlink>
      <w:r>
        <w:rPr>
          <w:iCs/>
        </w:rPr>
        <w:t xml:space="preserve"> </w:t>
      </w:r>
    </w:p>
    <w:p w14:paraId="6D78FD93" w14:textId="102A5C7A" w:rsidR="00E21973" w:rsidRPr="00174358" w:rsidRDefault="00E21973" w:rsidP="00E21973">
      <w:pPr>
        <w:jc w:val="both"/>
      </w:pPr>
      <w:r w:rsidRPr="00D33859">
        <w:rPr>
          <w:smallCaps/>
        </w:rPr>
        <w:t>Blanchard</w:t>
      </w:r>
      <w:r>
        <w:t xml:space="preserve"> Antoine,</w:t>
      </w:r>
      <w:r w:rsidRPr="00174358">
        <w:t xml:space="preserve"> </w:t>
      </w:r>
      <w:r w:rsidR="006B43DE">
        <w:t>« </w:t>
      </w:r>
      <w:r w:rsidRPr="00174358">
        <w:t>Quand la culture scientifique s’affranchit sur le web</w:t>
      </w:r>
      <w:proofErr w:type="gramStart"/>
      <w:r w:rsidRPr="00174358">
        <w:t> </w:t>
      </w:r>
      <w:r w:rsidR="006B43DE">
        <w:t> </w:t>
      </w:r>
      <w:r w:rsidR="006B43DE" w:rsidRPr="00174358">
        <w:t>:</w:t>
      </w:r>
      <w:proofErr w:type="gramEnd"/>
      <w:r w:rsidRPr="00174358">
        <w:t xml:space="preserve"> l’exemple des blogs de science en français (2003-2014)</w:t>
      </w:r>
      <w:r w:rsidR="006B43DE">
        <w:t> </w:t>
      </w:r>
      <w:r w:rsidR="006B43DE" w:rsidRPr="00174358">
        <w:t>»</w:t>
      </w:r>
      <w:r>
        <w:t>, dans</w:t>
      </w:r>
      <w:r w:rsidRPr="00174358">
        <w:t xml:space="preserve"> Philippe </w:t>
      </w:r>
      <w:r w:rsidRPr="00D33859">
        <w:rPr>
          <w:smallCaps/>
        </w:rPr>
        <w:t>Poirrier</w:t>
      </w:r>
      <w:r w:rsidRPr="00174358">
        <w:rPr>
          <w:i/>
          <w:iCs/>
        </w:rPr>
        <w:t xml:space="preserve"> </w:t>
      </w:r>
      <w:r>
        <w:rPr>
          <w:iCs/>
        </w:rPr>
        <w:t>(</w:t>
      </w:r>
      <w:proofErr w:type="spellStart"/>
      <w:r>
        <w:rPr>
          <w:iCs/>
        </w:rPr>
        <w:t>dir</w:t>
      </w:r>
      <w:proofErr w:type="spellEnd"/>
      <w:r>
        <w:rPr>
          <w:iCs/>
        </w:rPr>
        <w:t xml:space="preserve">.), </w:t>
      </w:r>
      <w:r w:rsidRPr="00174358">
        <w:rPr>
          <w:i/>
          <w:iCs/>
        </w:rPr>
        <w:t>Histoire de la culture scientifique en France </w:t>
      </w:r>
      <w:r w:rsidR="006B43DE">
        <w:rPr>
          <w:i/>
          <w:iCs/>
        </w:rPr>
        <w:t> </w:t>
      </w:r>
      <w:r w:rsidR="006B43DE" w:rsidRPr="00174358">
        <w:rPr>
          <w:i/>
          <w:iCs/>
        </w:rPr>
        <w:t>:</w:t>
      </w:r>
      <w:r w:rsidRPr="00174358">
        <w:rPr>
          <w:i/>
          <w:iCs/>
        </w:rPr>
        <w:t xml:space="preserve"> institutions et acteurs</w:t>
      </w:r>
      <w:r>
        <w:t xml:space="preserve">. </w:t>
      </w:r>
      <w:r w:rsidRPr="00174358">
        <w:t>Dijon, France</w:t>
      </w:r>
      <w:r w:rsidR="006B43DE">
        <w:t> </w:t>
      </w:r>
      <w:r w:rsidR="006B43DE" w:rsidRPr="00174358">
        <w:t>:</w:t>
      </w:r>
      <w:r w:rsidRPr="00174358">
        <w:t xml:space="preserve"> Presses universitaires de Dijon, 2016. </w:t>
      </w:r>
      <w:r>
        <w:t>En ligne</w:t>
      </w:r>
      <w:r w:rsidR="006B43DE">
        <w:t> :</w:t>
      </w:r>
      <w:r>
        <w:t xml:space="preserve"> </w:t>
      </w:r>
      <w:hyperlink r:id="rId26" w:history="1">
        <w:r w:rsidR="006B43DE">
          <w:rPr>
            <w:rStyle w:val="Lienhypertexte"/>
          </w:rPr>
          <w:t>https://</w:t>
        </w:r>
        <w:r w:rsidRPr="00570553">
          <w:rPr>
            <w:rStyle w:val="Lienhypertexte"/>
          </w:rPr>
          <w:t>halshs.archives-ouvertes.fr/halshs-01242707</w:t>
        </w:r>
      </w:hyperlink>
      <w:r>
        <w:t xml:space="preserve"> </w:t>
      </w:r>
    </w:p>
    <w:p w14:paraId="55A4D22F" w14:textId="54008392" w:rsidR="00E21973" w:rsidRPr="00174358" w:rsidRDefault="00E21973" w:rsidP="00E21973">
      <w:pPr>
        <w:jc w:val="both"/>
      </w:pPr>
      <w:r w:rsidRPr="00DF4BBD">
        <w:rPr>
          <w:smallCaps/>
        </w:rPr>
        <w:t>Chartier</w:t>
      </w:r>
      <w:r>
        <w:t xml:space="preserve"> Roger,</w:t>
      </w:r>
      <w:r w:rsidRPr="00174358">
        <w:t xml:space="preserve"> </w:t>
      </w:r>
      <w:r w:rsidR="006B43DE">
        <w:t>« </w:t>
      </w:r>
      <w:r w:rsidRPr="00174358">
        <w:t>L’écrit sur l’écran. Ordre du discours, ordre d</w:t>
      </w:r>
      <w:r>
        <w:t>es livres et manières de lire</w:t>
      </w:r>
      <w:r w:rsidR="006B43DE">
        <w:t> »</w:t>
      </w:r>
      <w:r>
        <w:t>,</w:t>
      </w:r>
      <w:r w:rsidRPr="00174358">
        <w:t xml:space="preserve"> </w:t>
      </w:r>
      <w:r w:rsidRPr="00174358">
        <w:rPr>
          <w:i/>
          <w:iCs/>
        </w:rPr>
        <w:t>Entreprises et histoire</w:t>
      </w:r>
      <w:r>
        <w:rPr>
          <w:iCs/>
        </w:rPr>
        <w:t xml:space="preserve">, 2006, </w:t>
      </w:r>
      <w:r w:rsidR="006B43DE">
        <w:rPr>
          <w:iCs/>
        </w:rPr>
        <w:t>n </w:t>
      </w:r>
      <w:r>
        <w:t>43,</w:t>
      </w:r>
      <w:r w:rsidR="006B43DE">
        <w:t xml:space="preserve"> p. 1</w:t>
      </w:r>
      <w:r>
        <w:t>5</w:t>
      </w:r>
      <w:r>
        <w:noBreakHyphen/>
        <w:t>25.</w:t>
      </w:r>
    </w:p>
    <w:p w14:paraId="2F203090" w14:textId="509014F5" w:rsidR="00E21973" w:rsidRPr="00174358" w:rsidRDefault="00E21973" w:rsidP="00E21973">
      <w:pPr>
        <w:jc w:val="both"/>
      </w:pPr>
      <w:r w:rsidRPr="006022A9">
        <w:rPr>
          <w:smallCaps/>
        </w:rPr>
        <w:t>Chartron</w:t>
      </w:r>
      <w:r w:rsidRPr="00174358">
        <w:t xml:space="preserve"> Ghislaine</w:t>
      </w:r>
      <w:r>
        <w:t>,</w:t>
      </w:r>
      <w:r w:rsidRPr="00174358">
        <w:t xml:space="preserve"> </w:t>
      </w:r>
      <w:r w:rsidR="006B43DE">
        <w:t>« </w:t>
      </w:r>
      <w:r w:rsidRPr="00174358">
        <w:t>Stratégie, politique et reformulation de l’ope</w:t>
      </w:r>
      <w:r>
        <w:t xml:space="preserve">n </w:t>
      </w:r>
      <w:proofErr w:type="spellStart"/>
      <w:r>
        <w:t>access</w:t>
      </w:r>
      <w:proofErr w:type="spellEnd"/>
      <w:r w:rsidR="006B43DE">
        <w:t> »</w:t>
      </w:r>
      <w:r>
        <w:t>,</w:t>
      </w:r>
      <w:r w:rsidRPr="00174358">
        <w:t xml:space="preserve"> </w:t>
      </w:r>
      <w:r w:rsidRPr="00174358">
        <w:rPr>
          <w:i/>
          <w:iCs/>
        </w:rPr>
        <w:t>Revue française des sciences de l’information et de la communication</w:t>
      </w:r>
      <w:r>
        <w:rPr>
          <w:iCs/>
        </w:rPr>
        <w:t xml:space="preserve">, 2016, </w:t>
      </w:r>
      <w:r w:rsidR="002B7500">
        <w:rPr>
          <w:iCs/>
        </w:rPr>
        <w:t>n</w:t>
      </w:r>
      <w:r w:rsidR="007A65E2">
        <w:rPr>
          <w:iCs/>
        </w:rPr>
        <w:t>°</w:t>
      </w:r>
      <w:r>
        <w:rPr>
          <w:iCs/>
        </w:rPr>
        <w:t>8</w:t>
      </w:r>
      <w:r w:rsidRPr="00174358">
        <w:t>.</w:t>
      </w:r>
      <w:r>
        <w:t xml:space="preserve"> En ligne</w:t>
      </w:r>
      <w:r w:rsidR="006B43DE">
        <w:t> :</w:t>
      </w:r>
      <w:r>
        <w:t xml:space="preserve"> </w:t>
      </w:r>
      <w:hyperlink r:id="rId27" w:history="1">
        <w:r w:rsidR="006B43DE">
          <w:rPr>
            <w:rStyle w:val="Lienhypertexte"/>
          </w:rPr>
          <w:t>https://</w:t>
        </w:r>
        <w:r w:rsidRPr="00570553">
          <w:rPr>
            <w:rStyle w:val="Lienhypertexte"/>
          </w:rPr>
          <w:t>halshs.archives-ouvertes.fr/halshs-01242707</w:t>
        </w:r>
      </w:hyperlink>
      <w:r>
        <w:t xml:space="preserve"> </w:t>
      </w:r>
    </w:p>
    <w:p w14:paraId="00F3D5D7" w14:textId="63751402" w:rsidR="00E21973" w:rsidRPr="006022A9" w:rsidRDefault="00E21973" w:rsidP="00E21973">
      <w:pPr>
        <w:jc w:val="both"/>
      </w:pPr>
      <w:r w:rsidRPr="006022A9">
        <w:rPr>
          <w:smallCaps/>
        </w:rPr>
        <w:t>Cordonnier</w:t>
      </w:r>
      <w:r w:rsidRPr="00174358">
        <w:t xml:space="preserve"> Sarah</w:t>
      </w:r>
      <w:r>
        <w:t>,</w:t>
      </w:r>
      <w:r w:rsidRPr="00174358">
        <w:t xml:space="preserve"> </w:t>
      </w:r>
      <w:r w:rsidR="006B43DE">
        <w:t>« </w:t>
      </w:r>
      <w:r w:rsidRPr="00174358">
        <w:t>Observer les usages des sciences humaines dans l’exposition d’art contemporain</w:t>
      </w:r>
      <w:r w:rsidR="006B43DE">
        <w:t> </w:t>
      </w:r>
      <w:r w:rsidR="006B43DE" w:rsidRPr="00174358">
        <w:t>»</w:t>
      </w:r>
      <w:r>
        <w:t>,</w:t>
      </w:r>
      <w:r w:rsidRPr="00174358">
        <w:t xml:space="preserve"> </w:t>
      </w:r>
      <w:r w:rsidRPr="00174358">
        <w:rPr>
          <w:i/>
          <w:iCs/>
        </w:rPr>
        <w:t xml:space="preserve">Tracés. Revue de Sciences </w:t>
      </w:r>
      <w:r w:rsidRPr="006022A9">
        <w:rPr>
          <w:iCs/>
        </w:rPr>
        <w:t>humaine</w:t>
      </w:r>
      <w:r>
        <w:rPr>
          <w:iCs/>
        </w:rPr>
        <w:t xml:space="preserve">, 2011, hors-série </w:t>
      </w:r>
      <w:r w:rsidR="007A65E2">
        <w:rPr>
          <w:iCs/>
        </w:rPr>
        <w:t>n°</w:t>
      </w:r>
      <w:r>
        <w:t>11. En ligne</w:t>
      </w:r>
      <w:r w:rsidR="006B43DE">
        <w:t> :</w:t>
      </w:r>
      <w:r>
        <w:t xml:space="preserve"> </w:t>
      </w:r>
      <w:hyperlink r:id="rId28" w:history="1">
        <w:r w:rsidR="006B43DE">
          <w:rPr>
            <w:rStyle w:val="Lienhypertexte"/>
          </w:rPr>
          <w:t>https://</w:t>
        </w:r>
        <w:r w:rsidRPr="00570553">
          <w:rPr>
            <w:rStyle w:val="Lienhypertexte"/>
          </w:rPr>
          <w:t>traces.revues.org/5295</w:t>
        </w:r>
      </w:hyperlink>
    </w:p>
    <w:p w14:paraId="255F3E32" w14:textId="497E79EE" w:rsidR="00E21973" w:rsidRPr="00174358" w:rsidRDefault="00E21973" w:rsidP="00E21973">
      <w:pPr>
        <w:jc w:val="both"/>
      </w:pPr>
      <w:r w:rsidRPr="005729CD">
        <w:rPr>
          <w:smallCaps/>
        </w:rPr>
        <w:t>Dacos</w:t>
      </w:r>
      <w:r w:rsidRPr="00174358">
        <w:t xml:space="preserve"> Marin</w:t>
      </w:r>
      <w:r>
        <w:t>,</w:t>
      </w:r>
      <w:r w:rsidRPr="00174358">
        <w:t xml:space="preserve"> </w:t>
      </w:r>
      <w:r w:rsidR="006B43DE">
        <w:t>« </w:t>
      </w:r>
      <w:r>
        <w:t>La conversation silencieuse</w:t>
      </w:r>
      <w:r w:rsidR="006B43DE">
        <w:t> »</w:t>
      </w:r>
      <w:r>
        <w:t xml:space="preserve"> [</w:t>
      </w:r>
      <w:r w:rsidRPr="00174358">
        <w:t>Billet</w:t>
      </w:r>
      <w:r>
        <w:t>],</w:t>
      </w:r>
      <w:r w:rsidRPr="00174358">
        <w:t xml:space="preserve"> </w:t>
      </w:r>
      <w:proofErr w:type="spellStart"/>
      <w:r w:rsidRPr="00174358">
        <w:rPr>
          <w:i/>
          <w:iCs/>
        </w:rPr>
        <w:t>Blogo-numericus</w:t>
      </w:r>
      <w:proofErr w:type="spellEnd"/>
      <w:r>
        <w:t>, publié le 23 juillet 2009. En ligne</w:t>
      </w:r>
      <w:r w:rsidR="006B43DE">
        <w:t> :</w:t>
      </w:r>
      <w:r>
        <w:t xml:space="preserve"> </w:t>
      </w:r>
      <w:hyperlink r:id="rId29" w:history="1">
        <w:r w:rsidR="006B43DE">
          <w:rPr>
            <w:rStyle w:val="Lienhypertexte"/>
          </w:rPr>
          <w:t>https://</w:t>
        </w:r>
        <w:r w:rsidRPr="00570553">
          <w:rPr>
            <w:rStyle w:val="Lienhypertexte"/>
          </w:rPr>
          <w:t>bn.hypotheses.org/191</w:t>
        </w:r>
      </w:hyperlink>
      <w:r>
        <w:t xml:space="preserve"> </w:t>
      </w:r>
    </w:p>
    <w:p w14:paraId="51E1DAA2" w14:textId="485F2B54" w:rsidR="00E21973" w:rsidRPr="00174358" w:rsidRDefault="00E21973" w:rsidP="00E21973">
      <w:pPr>
        <w:jc w:val="both"/>
      </w:pPr>
      <w:r>
        <w:rPr>
          <w:i/>
        </w:rPr>
        <w:t>Id.,</w:t>
      </w:r>
      <w:r w:rsidRPr="00174358">
        <w:t xml:space="preserve"> </w:t>
      </w:r>
      <w:r w:rsidR="006B43DE">
        <w:t>« </w:t>
      </w:r>
      <w:r w:rsidRPr="00174358">
        <w:t>Le savoir est une arme. Discours de remise de la médaille de l’inn</w:t>
      </w:r>
      <w:r>
        <w:t>ovation 2016</w:t>
      </w:r>
      <w:r w:rsidR="006B43DE">
        <w:t> »</w:t>
      </w:r>
      <w:r>
        <w:t xml:space="preserve"> [B</w:t>
      </w:r>
      <w:r w:rsidRPr="00174358">
        <w:t>illet</w:t>
      </w:r>
      <w:r>
        <w:t>],</w:t>
      </w:r>
      <w:r w:rsidRPr="00174358">
        <w:t xml:space="preserve"> </w:t>
      </w:r>
      <w:proofErr w:type="spellStart"/>
      <w:r w:rsidRPr="00174358">
        <w:rPr>
          <w:i/>
          <w:iCs/>
        </w:rPr>
        <w:t>Blogo-numericus</w:t>
      </w:r>
      <w:proofErr w:type="spellEnd"/>
      <w:r>
        <w:t>, publié le 16 juin 2016. En ligne</w:t>
      </w:r>
      <w:r w:rsidR="006B43DE">
        <w:t> :</w:t>
      </w:r>
      <w:r>
        <w:t xml:space="preserve"> </w:t>
      </w:r>
      <w:hyperlink r:id="rId30" w:history="1">
        <w:r w:rsidR="006B43DE">
          <w:rPr>
            <w:rStyle w:val="Lienhypertexte"/>
          </w:rPr>
          <w:t>http://</w:t>
        </w:r>
        <w:r w:rsidRPr="00570553">
          <w:rPr>
            <w:rStyle w:val="Lienhypertexte"/>
          </w:rPr>
          <w:t>bn.hypotheses.org/11728</w:t>
        </w:r>
      </w:hyperlink>
      <w:r>
        <w:t xml:space="preserve"> </w:t>
      </w:r>
    </w:p>
    <w:p w14:paraId="608D4F5B" w14:textId="030E8430" w:rsidR="00E21973" w:rsidRPr="00174358" w:rsidRDefault="00E21973" w:rsidP="00E21973">
      <w:pPr>
        <w:jc w:val="both"/>
      </w:pPr>
      <w:r>
        <w:rPr>
          <w:i/>
        </w:rPr>
        <w:t>Id</w:t>
      </w:r>
      <w:r w:rsidRPr="00174358">
        <w:t>.</w:t>
      </w:r>
      <w:r>
        <w:t>,</w:t>
      </w:r>
      <w:r w:rsidRPr="00174358">
        <w:t xml:space="preserve"> </w:t>
      </w:r>
      <w:r w:rsidR="006B43DE">
        <w:t>« </w:t>
      </w:r>
      <w:r w:rsidRPr="00174358">
        <w:t>Vers des médias numériques en sciences humaines et sociales</w:t>
      </w:r>
      <w:r w:rsidR="006B43DE">
        <w:t> </w:t>
      </w:r>
      <w:r w:rsidR="006B43DE" w:rsidRPr="00174358">
        <w:t>:</w:t>
      </w:r>
      <w:r w:rsidRPr="00174358">
        <w:t xml:space="preserve"> une contribution à l’épanouissement de la place des sciences humaines et sociales dans les sociétés contemporaines</w:t>
      </w:r>
      <w:r w:rsidR="006B43DE">
        <w:t> »</w:t>
      </w:r>
      <w:r>
        <w:t xml:space="preserve">, </w:t>
      </w:r>
      <w:r w:rsidRPr="00174358">
        <w:rPr>
          <w:i/>
          <w:iCs/>
        </w:rPr>
        <w:t>Tracés. Revue de Sciences humaines</w:t>
      </w:r>
      <w:r>
        <w:rPr>
          <w:iCs/>
        </w:rPr>
        <w:t xml:space="preserve">, 2012, hors-série </w:t>
      </w:r>
      <w:r w:rsidR="00CC7B2F">
        <w:rPr>
          <w:iCs/>
        </w:rPr>
        <w:t>n°</w:t>
      </w:r>
      <w:r w:rsidRPr="00174358">
        <w:t>12</w:t>
      </w:r>
      <w:r>
        <w:t>. En ligne</w:t>
      </w:r>
      <w:r w:rsidR="006B43DE">
        <w:t> :</w:t>
      </w:r>
      <w:r>
        <w:t xml:space="preserve"> </w:t>
      </w:r>
      <w:hyperlink r:id="rId31" w:history="1">
        <w:r w:rsidR="006B43DE">
          <w:rPr>
            <w:rStyle w:val="Lienhypertexte"/>
          </w:rPr>
          <w:t>https://</w:t>
        </w:r>
        <w:r w:rsidRPr="00570553">
          <w:rPr>
            <w:rStyle w:val="Lienhypertexte"/>
          </w:rPr>
          <w:t>traces.revues.org/5534</w:t>
        </w:r>
      </w:hyperlink>
      <w:r>
        <w:t xml:space="preserve"> </w:t>
      </w:r>
    </w:p>
    <w:p w14:paraId="282A37C4" w14:textId="6730280B" w:rsidR="00E21973" w:rsidRPr="00174358" w:rsidRDefault="00E21973" w:rsidP="00E21973">
      <w:pPr>
        <w:jc w:val="both"/>
      </w:pPr>
      <w:r>
        <w:rPr>
          <w:i/>
        </w:rPr>
        <w:t>Id.</w:t>
      </w:r>
      <w:r>
        <w:t>,</w:t>
      </w:r>
      <w:r w:rsidRPr="00174358">
        <w:t xml:space="preserve"> et Pierre </w:t>
      </w:r>
      <w:r w:rsidRPr="008F7D98">
        <w:rPr>
          <w:smallCaps/>
        </w:rPr>
        <w:t>Mounier</w:t>
      </w:r>
      <w:r w:rsidRPr="00174358">
        <w:t xml:space="preserve">. </w:t>
      </w:r>
      <w:r w:rsidRPr="00174358">
        <w:rPr>
          <w:i/>
          <w:iCs/>
        </w:rPr>
        <w:t>Humanités numériques</w:t>
      </w:r>
      <w:r w:rsidR="006B43DE">
        <w:rPr>
          <w:i/>
          <w:iCs/>
        </w:rPr>
        <w:t> </w:t>
      </w:r>
      <w:r w:rsidR="006B43DE" w:rsidRPr="00174358">
        <w:rPr>
          <w:i/>
          <w:iCs/>
        </w:rPr>
        <w:t>:</w:t>
      </w:r>
      <w:r w:rsidRPr="00174358">
        <w:rPr>
          <w:i/>
          <w:iCs/>
        </w:rPr>
        <w:t xml:space="preserve"> État des lieux et positionnement de la recherche française dans le contexte international</w:t>
      </w:r>
      <w:r>
        <w:t>,</w:t>
      </w:r>
      <w:r w:rsidRPr="00174358">
        <w:t xml:space="preserve"> Institut Français, 2014. </w:t>
      </w:r>
      <w:r>
        <w:t>En ligne</w:t>
      </w:r>
      <w:r w:rsidR="006B43DE">
        <w:t> :</w:t>
      </w:r>
      <w:r>
        <w:t xml:space="preserve"> </w:t>
      </w:r>
      <w:hyperlink r:id="rId32" w:history="1">
        <w:r w:rsidR="006B43DE">
          <w:rPr>
            <w:rStyle w:val="Lienhypertexte"/>
          </w:rPr>
          <w:t>http://</w:t>
        </w:r>
        <w:r w:rsidRPr="00570553">
          <w:rPr>
            <w:rStyle w:val="Lienhypertexte"/>
          </w:rPr>
          <w:t>issuu.com/institut_francais/docs/if_humanites-numeriques</w:t>
        </w:r>
      </w:hyperlink>
      <w:r>
        <w:t xml:space="preserve"> </w:t>
      </w:r>
    </w:p>
    <w:p w14:paraId="76AA2EA5" w14:textId="047C620F" w:rsidR="00E21973" w:rsidRDefault="00E21973" w:rsidP="00E21973">
      <w:pPr>
        <w:jc w:val="both"/>
      </w:pPr>
      <w:r>
        <w:rPr>
          <w:i/>
        </w:rPr>
        <w:t>Id</w:t>
      </w:r>
      <w:r w:rsidRPr="00174358">
        <w:t xml:space="preserve">. </w:t>
      </w:r>
      <w:r w:rsidR="006B43DE">
        <w:t>« </w:t>
      </w:r>
      <w:r w:rsidRPr="00174358">
        <w:t>Les carnets de recherche en ligne, espace d’une conversation scientifique décentrée</w:t>
      </w:r>
      <w:r w:rsidR="006B43DE">
        <w:t> </w:t>
      </w:r>
      <w:r w:rsidR="006B43DE" w:rsidRPr="00174358">
        <w:t>»</w:t>
      </w:r>
      <w:r>
        <w:t xml:space="preserve">, dans Christian </w:t>
      </w:r>
      <w:r w:rsidRPr="009C64F7">
        <w:rPr>
          <w:smallCaps/>
        </w:rPr>
        <w:t>Jacob</w:t>
      </w:r>
      <w:r>
        <w:t xml:space="preserve"> (</w:t>
      </w:r>
      <w:proofErr w:type="spellStart"/>
      <w:r>
        <w:t>dir</w:t>
      </w:r>
      <w:proofErr w:type="spellEnd"/>
      <w:r>
        <w:t>.),</w:t>
      </w:r>
      <w:r w:rsidRPr="00174358">
        <w:t xml:space="preserve"> </w:t>
      </w:r>
      <w:r w:rsidRPr="00174358">
        <w:rPr>
          <w:i/>
          <w:iCs/>
        </w:rPr>
        <w:t>Lieux de savoir. Gestes et supports du travail savant</w:t>
      </w:r>
      <w:r>
        <w:t>,</w:t>
      </w:r>
      <w:r w:rsidR="006B43DE">
        <w:t xml:space="preserve"> vol. </w:t>
      </w:r>
      <w:r>
        <w:t>2,</w:t>
      </w:r>
      <w:r w:rsidRPr="00174358">
        <w:t xml:space="preserve"> Paris</w:t>
      </w:r>
      <w:r>
        <w:t>,</w:t>
      </w:r>
      <w:r w:rsidRPr="00174358">
        <w:t xml:space="preserve"> Albin Michel, 2010. </w:t>
      </w:r>
      <w:r>
        <w:t>En ligne</w:t>
      </w:r>
      <w:r w:rsidR="006B43DE">
        <w:t> :</w:t>
      </w:r>
      <w:r>
        <w:t xml:space="preserve"> </w:t>
      </w:r>
      <w:hyperlink r:id="rId33" w:history="1">
        <w:r w:rsidR="006B43DE">
          <w:rPr>
            <w:rStyle w:val="Lienhypertexte"/>
          </w:rPr>
          <w:t>http://</w:t>
        </w:r>
        <w:r w:rsidRPr="00570553">
          <w:rPr>
            <w:rStyle w:val="Lienhypertexte"/>
          </w:rPr>
          <w:t>archivesic.ccsd.cnrs.fr/sic_00439849/document</w:t>
        </w:r>
      </w:hyperlink>
      <w:r>
        <w:t xml:space="preserve"> </w:t>
      </w:r>
    </w:p>
    <w:p w14:paraId="58C83198" w14:textId="00E46620" w:rsidR="009642DE" w:rsidRPr="009642DE" w:rsidRDefault="009642DE" w:rsidP="009642DE">
      <w:pPr>
        <w:jc w:val="both"/>
      </w:pPr>
      <w:proofErr w:type="spellStart"/>
      <w:r w:rsidRPr="009642DE">
        <w:rPr>
          <w:smallCaps/>
        </w:rPr>
        <w:t>Deseilligny</w:t>
      </w:r>
      <w:proofErr w:type="spellEnd"/>
      <w:r>
        <w:t xml:space="preserve"> Oriane, </w:t>
      </w:r>
      <w:r w:rsidR="006B43DE">
        <w:t>« </w:t>
      </w:r>
      <w:r w:rsidRPr="009642DE">
        <w:t>Matérialités de l’écriture</w:t>
      </w:r>
      <w:r w:rsidR="006B43DE">
        <w:t> </w:t>
      </w:r>
      <w:r w:rsidR="006B43DE" w:rsidRPr="009642DE">
        <w:t>:</w:t>
      </w:r>
      <w:r w:rsidRPr="009642DE">
        <w:t xml:space="preserve"> le chercheur et ses outils, du papier à l’écran</w:t>
      </w:r>
      <w:r w:rsidR="006B43DE">
        <w:t> »</w:t>
      </w:r>
      <w:r w:rsidRPr="009642DE">
        <w:t xml:space="preserve">, </w:t>
      </w:r>
      <w:r w:rsidRPr="009642DE">
        <w:rPr>
          <w:i/>
          <w:iCs/>
        </w:rPr>
        <w:t>Sciences de la société</w:t>
      </w:r>
      <w:r w:rsidRPr="009642DE">
        <w:t>,</w:t>
      </w:r>
      <w:r>
        <w:t xml:space="preserve"> </w:t>
      </w:r>
      <w:r w:rsidR="00CC7B2F">
        <w:t>n°</w:t>
      </w:r>
      <w:r>
        <w:t>38–53, 2013. En ligne</w:t>
      </w:r>
      <w:r w:rsidR="006B43DE">
        <w:t> :</w:t>
      </w:r>
      <w:r>
        <w:t xml:space="preserve"> </w:t>
      </w:r>
      <w:hyperlink r:id="rId34" w:history="1">
        <w:r w:rsidR="006B43DE">
          <w:rPr>
            <w:rStyle w:val="Lienhypertexte"/>
          </w:rPr>
          <w:t>https://</w:t>
        </w:r>
        <w:r w:rsidRPr="00575FA1">
          <w:rPr>
            <w:rStyle w:val="Lienhypertexte"/>
          </w:rPr>
          <w:t>sds.revues.org/224</w:t>
        </w:r>
      </w:hyperlink>
      <w:r>
        <w:t xml:space="preserve">. </w:t>
      </w:r>
    </w:p>
    <w:p w14:paraId="79CC64FA" w14:textId="4A78E62E" w:rsidR="00E21973" w:rsidRPr="00174358" w:rsidRDefault="00E21973" w:rsidP="00E21973">
      <w:pPr>
        <w:jc w:val="both"/>
      </w:pPr>
      <w:r w:rsidRPr="009C64F7">
        <w:rPr>
          <w:smallCaps/>
        </w:rPr>
        <w:t>Fayard</w:t>
      </w:r>
      <w:r w:rsidRPr="00174358">
        <w:t xml:space="preserve"> Pierre</w:t>
      </w:r>
      <w:r>
        <w:t>,</w:t>
      </w:r>
      <w:r w:rsidRPr="00174358">
        <w:t xml:space="preserve"> </w:t>
      </w:r>
      <w:r w:rsidRPr="00174358">
        <w:rPr>
          <w:i/>
          <w:iCs/>
        </w:rPr>
        <w:t>La communication scientifique publique</w:t>
      </w:r>
      <w:r w:rsidR="006B43DE">
        <w:rPr>
          <w:i/>
          <w:iCs/>
        </w:rPr>
        <w:t> </w:t>
      </w:r>
      <w:r w:rsidR="006B43DE" w:rsidRPr="00174358">
        <w:rPr>
          <w:i/>
          <w:iCs/>
        </w:rPr>
        <w:t>:</w:t>
      </w:r>
      <w:r w:rsidRPr="00174358">
        <w:rPr>
          <w:i/>
          <w:iCs/>
        </w:rPr>
        <w:t xml:space="preserve"> de la vulgarisation à la médiatisation</w:t>
      </w:r>
      <w:r>
        <w:t xml:space="preserve">, </w:t>
      </w:r>
      <w:r w:rsidRPr="00174358">
        <w:t>Lyon</w:t>
      </w:r>
      <w:r>
        <w:t>,</w:t>
      </w:r>
      <w:r w:rsidRPr="00174358">
        <w:t xml:space="preserve"> Chronique sociale, 1988. </w:t>
      </w:r>
    </w:p>
    <w:p w14:paraId="314AC089" w14:textId="77777777" w:rsidR="00E21973" w:rsidRPr="00174358" w:rsidRDefault="00E21973" w:rsidP="00E21973">
      <w:pPr>
        <w:jc w:val="both"/>
      </w:pPr>
      <w:r w:rsidRPr="00832EBF">
        <w:rPr>
          <w:smallCaps/>
        </w:rPr>
        <w:t>Ferenczi</w:t>
      </w:r>
      <w:r w:rsidRPr="00174358">
        <w:t xml:space="preserve"> Thomas</w:t>
      </w:r>
      <w:r>
        <w:t>,</w:t>
      </w:r>
      <w:r w:rsidRPr="00174358">
        <w:t xml:space="preserve"> </w:t>
      </w:r>
      <w:r w:rsidRPr="00174358">
        <w:rPr>
          <w:i/>
          <w:iCs/>
        </w:rPr>
        <w:t>Le journalisme</w:t>
      </w:r>
      <w:r>
        <w:t>,</w:t>
      </w:r>
      <w:r w:rsidRPr="00174358">
        <w:t xml:space="preserve"> Paris</w:t>
      </w:r>
      <w:r>
        <w:t>, PUF, 2007.</w:t>
      </w:r>
    </w:p>
    <w:p w14:paraId="1BC90909" w14:textId="731390B5" w:rsidR="00E21973" w:rsidRPr="00174358" w:rsidRDefault="00E21973" w:rsidP="00E21973">
      <w:pPr>
        <w:jc w:val="both"/>
      </w:pPr>
      <w:r w:rsidRPr="00832EBF">
        <w:rPr>
          <w:smallCaps/>
        </w:rPr>
        <w:t>Jacobi</w:t>
      </w:r>
      <w:r>
        <w:t xml:space="preserve"> Daniel,</w:t>
      </w:r>
      <w:r w:rsidRPr="00174358">
        <w:t xml:space="preserve"> </w:t>
      </w:r>
      <w:r w:rsidR="006B43DE">
        <w:t>« </w:t>
      </w:r>
      <w:r w:rsidRPr="00174358">
        <w:t>Auteurs et lecteurs de la recherche</w:t>
      </w:r>
      <w:r w:rsidR="006B43DE">
        <w:t> </w:t>
      </w:r>
      <w:r w:rsidR="006B43DE" w:rsidRPr="00174358">
        <w:t>»</w:t>
      </w:r>
      <w:r>
        <w:t>,</w:t>
      </w:r>
      <w:r w:rsidRPr="00174358">
        <w:t xml:space="preserve"> </w:t>
      </w:r>
      <w:r w:rsidRPr="00174358">
        <w:rPr>
          <w:i/>
          <w:iCs/>
        </w:rPr>
        <w:t>Bulletin des bibliothèques de France (BBF)</w:t>
      </w:r>
      <w:r>
        <w:rPr>
          <w:iCs/>
        </w:rPr>
        <w:t xml:space="preserve">, 1984, </w:t>
      </w:r>
      <w:r w:rsidR="00CC7B2F">
        <w:rPr>
          <w:iCs/>
        </w:rPr>
        <w:t>n°</w:t>
      </w:r>
      <w:r>
        <w:t>6,</w:t>
      </w:r>
      <w:r w:rsidR="006B43DE">
        <w:t xml:space="preserve"> p. </w:t>
      </w:r>
      <w:r w:rsidR="006B43DE" w:rsidRPr="00174358">
        <w:t>4</w:t>
      </w:r>
      <w:r w:rsidRPr="00174358">
        <w:t>84</w:t>
      </w:r>
      <w:r w:rsidRPr="00174358">
        <w:noBreakHyphen/>
        <w:t>491</w:t>
      </w:r>
      <w:r>
        <w:t>. En ligne</w:t>
      </w:r>
      <w:r w:rsidR="006B43DE">
        <w:t> :</w:t>
      </w:r>
      <w:r>
        <w:t xml:space="preserve"> </w:t>
      </w:r>
      <w:hyperlink r:id="rId35" w:history="1">
        <w:r w:rsidR="006B43DE">
          <w:rPr>
            <w:rStyle w:val="Lienhypertexte"/>
          </w:rPr>
          <w:t>http://</w:t>
        </w:r>
        <w:r w:rsidRPr="00570553">
          <w:rPr>
            <w:rStyle w:val="Lienhypertexte"/>
          </w:rPr>
          <w:t>bbf.enssib.fr/consulter/bbf-1984-06-0484-003</w:t>
        </w:r>
      </w:hyperlink>
      <w:r>
        <w:t xml:space="preserve"> </w:t>
      </w:r>
    </w:p>
    <w:p w14:paraId="0A6C59C4" w14:textId="1BAAC1FD" w:rsidR="00E21973" w:rsidRPr="00174358" w:rsidRDefault="00E21973" w:rsidP="00E21973">
      <w:pPr>
        <w:jc w:val="both"/>
      </w:pPr>
      <w:r>
        <w:rPr>
          <w:i/>
        </w:rPr>
        <w:t>Id</w:t>
      </w:r>
      <w:r w:rsidRPr="00174358">
        <w:t>.</w:t>
      </w:r>
      <w:r>
        <w:rPr>
          <w:i/>
        </w:rPr>
        <w:t>,</w:t>
      </w:r>
      <w:r w:rsidRPr="00174358">
        <w:t xml:space="preserve"> </w:t>
      </w:r>
      <w:r w:rsidRPr="00174358">
        <w:rPr>
          <w:i/>
          <w:iCs/>
        </w:rPr>
        <w:t>La communication scientifique</w:t>
      </w:r>
      <w:r w:rsidR="006B43DE">
        <w:rPr>
          <w:i/>
          <w:iCs/>
        </w:rPr>
        <w:t> </w:t>
      </w:r>
      <w:r w:rsidR="006B43DE" w:rsidRPr="00174358">
        <w:rPr>
          <w:i/>
          <w:iCs/>
        </w:rPr>
        <w:t>:</w:t>
      </w:r>
      <w:r w:rsidRPr="00174358">
        <w:rPr>
          <w:i/>
          <w:iCs/>
        </w:rPr>
        <w:t xml:space="preserve"> discours, figures, modèles</w:t>
      </w:r>
      <w:r>
        <w:t>, Grenoble,</w:t>
      </w:r>
      <w:r w:rsidRPr="00174358">
        <w:t xml:space="preserve"> Presses universitaires de Grenoble, 1999. </w:t>
      </w:r>
    </w:p>
    <w:p w14:paraId="79BC7038" w14:textId="46550308" w:rsidR="00E21973" w:rsidRPr="00192441" w:rsidRDefault="00E21973" w:rsidP="00E21973">
      <w:pPr>
        <w:jc w:val="both"/>
      </w:pPr>
      <w:r w:rsidRPr="00192441">
        <w:rPr>
          <w:smallCaps/>
        </w:rPr>
        <w:t>Jeanneret</w:t>
      </w:r>
      <w:r>
        <w:t xml:space="preserve"> </w:t>
      </w:r>
      <w:r w:rsidRPr="00174358">
        <w:t xml:space="preserve">Yves et </w:t>
      </w:r>
      <w:proofErr w:type="gramStart"/>
      <w:r w:rsidRPr="00174358">
        <w:t>al.</w:t>
      </w:r>
      <w:r>
        <w:t>,</w:t>
      </w:r>
      <w:proofErr w:type="gramEnd"/>
      <w:r w:rsidRPr="00174358">
        <w:t xml:space="preserve"> </w:t>
      </w:r>
      <w:r w:rsidR="006B43DE">
        <w:t>« </w:t>
      </w:r>
      <w:r w:rsidRPr="00174358">
        <w:t>Chapitre II. Formes observables, représentations et app</w:t>
      </w:r>
      <w:r>
        <w:t>ropriation du texte de réseau</w:t>
      </w:r>
      <w:r w:rsidR="006B43DE">
        <w:t> »</w:t>
      </w:r>
      <w:r>
        <w:t>, dans</w:t>
      </w:r>
      <w:r w:rsidRPr="00174358">
        <w:t xml:space="preserve"> </w:t>
      </w:r>
      <w:r w:rsidRPr="00174358">
        <w:rPr>
          <w:i/>
          <w:iCs/>
        </w:rPr>
        <w:t>Lire, écrire, récrire</w:t>
      </w:r>
      <w:proofErr w:type="gramStart"/>
      <w:r w:rsidRPr="00174358">
        <w:rPr>
          <w:i/>
          <w:iCs/>
        </w:rPr>
        <w:t> </w:t>
      </w:r>
      <w:r w:rsidR="006B43DE">
        <w:rPr>
          <w:i/>
          <w:iCs/>
        </w:rPr>
        <w:t> </w:t>
      </w:r>
      <w:r w:rsidR="006B43DE" w:rsidRPr="00174358">
        <w:rPr>
          <w:i/>
          <w:iCs/>
        </w:rPr>
        <w:t>:</w:t>
      </w:r>
      <w:proofErr w:type="gramEnd"/>
      <w:r w:rsidRPr="00174358">
        <w:rPr>
          <w:i/>
          <w:iCs/>
        </w:rPr>
        <w:t xml:space="preserve"> Objets, signes et pratiques des médias informatisés</w:t>
      </w:r>
      <w:r>
        <w:t xml:space="preserve">, Paris, </w:t>
      </w:r>
      <w:r w:rsidRPr="00174358">
        <w:t xml:space="preserve">Éditions </w:t>
      </w:r>
      <w:r w:rsidRPr="00174358">
        <w:lastRenderedPageBreak/>
        <w:t xml:space="preserve">de la Bibliothèque publique d’information, </w:t>
      </w:r>
      <w:r>
        <w:t>2003</w:t>
      </w:r>
      <w:r w:rsidRPr="00174358">
        <w:t xml:space="preserve">. </w:t>
      </w:r>
      <w:r>
        <w:rPr>
          <w:iCs/>
        </w:rPr>
        <w:t>En ligne</w:t>
      </w:r>
      <w:r w:rsidR="006B43DE">
        <w:rPr>
          <w:iCs/>
        </w:rPr>
        <w:t> :</w:t>
      </w:r>
      <w:r>
        <w:rPr>
          <w:iCs/>
        </w:rPr>
        <w:t xml:space="preserve"> </w:t>
      </w:r>
      <w:hyperlink r:id="rId36" w:history="1">
        <w:r w:rsidR="006B43DE">
          <w:rPr>
            <w:rStyle w:val="Lienhypertexte"/>
            <w:iCs/>
          </w:rPr>
          <w:t>http://</w:t>
        </w:r>
        <w:r w:rsidRPr="00570553">
          <w:rPr>
            <w:rStyle w:val="Lienhypertexte"/>
            <w:iCs/>
          </w:rPr>
          <w:t>books.openedition.org/bibpompidou/412</w:t>
        </w:r>
      </w:hyperlink>
      <w:r>
        <w:rPr>
          <w:iCs/>
        </w:rPr>
        <w:t xml:space="preserve"> </w:t>
      </w:r>
    </w:p>
    <w:p w14:paraId="4D2A0124" w14:textId="1CFBE91B" w:rsidR="00E21973" w:rsidRDefault="00E21973" w:rsidP="00E21973">
      <w:pPr>
        <w:jc w:val="both"/>
      </w:pPr>
      <w:r>
        <w:rPr>
          <w:i/>
        </w:rPr>
        <w:t>Id</w:t>
      </w:r>
      <w:r w:rsidRPr="00174358">
        <w:t>.</w:t>
      </w:r>
      <w:r>
        <w:t>,</w:t>
      </w:r>
      <w:r w:rsidRPr="00174358">
        <w:t xml:space="preserve"> </w:t>
      </w:r>
      <w:r w:rsidRPr="00174358">
        <w:rPr>
          <w:i/>
          <w:iCs/>
        </w:rPr>
        <w:t>Écrire la science</w:t>
      </w:r>
      <w:r w:rsidR="006B43DE">
        <w:rPr>
          <w:i/>
          <w:iCs/>
        </w:rPr>
        <w:t> </w:t>
      </w:r>
      <w:r w:rsidR="006B43DE" w:rsidRPr="00174358">
        <w:rPr>
          <w:i/>
          <w:iCs/>
        </w:rPr>
        <w:t>:</w:t>
      </w:r>
      <w:r w:rsidRPr="00174358">
        <w:rPr>
          <w:i/>
          <w:iCs/>
        </w:rPr>
        <w:t xml:space="preserve"> Formes et enjeux de la vulgarisation</w:t>
      </w:r>
      <w:r>
        <w:t>,</w:t>
      </w:r>
      <w:r w:rsidRPr="00174358">
        <w:t xml:space="preserve"> Paris</w:t>
      </w:r>
      <w:r>
        <w:t>, PUF</w:t>
      </w:r>
      <w:r w:rsidRPr="00174358">
        <w:t xml:space="preserve">, 1994. </w:t>
      </w:r>
    </w:p>
    <w:p w14:paraId="50921089" w14:textId="77777777" w:rsidR="005C3706" w:rsidRPr="00174358" w:rsidRDefault="005C3706" w:rsidP="005C3706">
      <w:pPr>
        <w:jc w:val="both"/>
      </w:pPr>
      <w:r>
        <w:rPr>
          <w:i/>
        </w:rPr>
        <w:t>Id</w:t>
      </w:r>
      <w:r w:rsidRPr="00174358">
        <w:t>.</w:t>
      </w:r>
      <w:r>
        <w:t>,</w:t>
      </w:r>
      <w:r w:rsidRPr="00174358">
        <w:t xml:space="preserve"> </w:t>
      </w:r>
      <w:r w:rsidRPr="00174358">
        <w:rPr>
          <w:i/>
          <w:iCs/>
        </w:rPr>
        <w:t>Penser la trivialité: La vie triviale des êtres culturels</w:t>
      </w:r>
      <w:r>
        <w:t xml:space="preserve">, Paris, </w:t>
      </w:r>
      <w:r w:rsidRPr="00174358">
        <w:t xml:space="preserve">Hermès science publications, 2008. </w:t>
      </w:r>
    </w:p>
    <w:p w14:paraId="7C40E91C" w14:textId="10881300" w:rsidR="00E21973" w:rsidRPr="00174358" w:rsidRDefault="00E21973" w:rsidP="00E21973">
      <w:pPr>
        <w:jc w:val="both"/>
      </w:pPr>
      <w:r>
        <w:rPr>
          <w:i/>
        </w:rPr>
        <w:t>Id</w:t>
      </w:r>
      <w:r w:rsidRPr="00174358">
        <w:t xml:space="preserve">, et </w:t>
      </w:r>
      <w:proofErr w:type="spellStart"/>
      <w:r w:rsidRPr="00174358">
        <w:t>Emmanuël</w:t>
      </w:r>
      <w:proofErr w:type="spellEnd"/>
      <w:r w:rsidRPr="00174358">
        <w:t xml:space="preserve"> </w:t>
      </w:r>
      <w:proofErr w:type="spellStart"/>
      <w:r w:rsidRPr="00174358">
        <w:t>Souchier</w:t>
      </w:r>
      <w:proofErr w:type="spellEnd"/>
      <w:r w:rsidRPr="00174358">
        <w:t xml:space="preserve">. </w:t>
      </w:r>
      <w:r w:rsidR="006B43DE">
        <w:t>« </w:t>
      </w:r>
      <w:r w:rsidRPr="00174358">
        <w:t>L’énonciation éditoriale dans les écrits d’écran</w:t>
      </w:r>
      <w:r w:rsidR="006B43DE">
        <w:t> </w:t>
      </w:r>
      <w:r w:rsidR="006B43DE" w:rsidRPr="00174358">
        <w:t>»</w:t>
      </w:r>
      <w:r>
        <w:t>,</w:t>
      </w:r>
      <w:r w:rsidRPr="00174358">
        <w:t xml:space="preserve"> </w:t>
      </w:r>
      <w:r w:rsidRPr="00174358">
        <w:rPr>
          <w:i/>
          <w:iCs/>
        </w:rPr>
        <w:t>Communication et langages</w:t>
      </w:r>
      <w:r>
        <w:rPr>
          <w:iCs/>
        </w:rPr>
        <w:t xml:space="preserve">, 2005, </w:t>
      </w:r>
      <w:r w:rsidR="006B43DE">
        <w:rPr>
          <w:iCs/>
        </w:rPr>
        <w:t>n° </w:t>
      </w:r>
      <w:r w:rsidRPr="00174358">
        <w:t>145</w:t>
      </w:r>
      <w:r>
        <w:t>,</w:t>
      </w:r>
      <w:r w:rsidR="006B43DE">
        <w:t xml:space="preserve"> p. 3</w:t>
      </w:r>
      <w:r>
        <w:t>-45.</w:t>
      </w:r>
    </w:p>
    <w:p w14:paraId="781CF9B7" w14:textId="335D6899" w:rsidR="00E21973" w:rsidRPr="00174358" w:rsidRDefault="00E21973" w:rsidP="00E21973">
      <w:pPr>
        <w:jc w:val="both"/>
      </w:pPr>
      <w:r w:rsidRPr="002534ED">
        <w:rPr>
          <w:smallCaps/>
        </w:rPr>
        <w:t>Lemercier</w:t>
      </w:r>
      <w:r w:rsidRPr="00174358">
        <w:t xml:space="preserve"> Claire</w:t>
      </w:r>
      <w:r>
        <w:t>,</w:t>
      </w:r>
      <w:r w:rsidRPr="00174358">
        <w:t xml:space="preserve"> </w:t>
      </w:r>
      <w:r w:rsidR="006B43DE">
        <w:t>« </w:t>
      </w:r>
      <w:r w:rsidRPr="00174358">
        <w:t>Pour qui écrivons-nous</w:t>
      </w:r>
      <w:r w:rsidR="006B43DE">
        <w:t> </w:t>
      </w:r>
      <w:r w:rsidR="006B43DE" w:rsidRPr="00174358">
        <w:t>?</w:t>
      </w:r>
      <w:r w:rsidR="006B43DE">
        <w:t> </w:t>
      </w:r>
      <w:r w:rsidR="006B43DE" w:rsidRPr="00174358">
        <w:t>»</w:t>
      </w:r>
      <w:r>
        <w:t>,</w:t>
      </w:r>
      <w:r w:rsidRPr="00174358">
        <w:t xml:space="preserve"> </w:t>
      </w:r>
      <w:r w:rsidRPr="00174358">
        <w:rPr>
          <w:i/>
          <w:iCs/>
        </w:rPr>
        <w:t>Revue d’histoire moderne et contemporaine</w:t>
      </w:r>
      <w:r>
        <w:rPr>
          <w:iCs/>
        </w:rPr>
        <w:t>,</w:t>
      </w:r>
      <w:r w:rsidRPr="00174358">
        <w:t xml:space="preserve"> 2015</w:t>
      </w:r>
      <w:r>
        <w:t xml:space="preserve"> [2016], </w:t>
      </w:r>
      <w:r w:rsidR="006B43DE">
        <w:t>n° </w:t>
      </w:r>
      <w:r w:rsidRPr="00174358">
        <w:t>62</w:t>
      </w:r>
      <w:r w:rsidRPr="00174358">
        <w:noBreakHyphen/>
        <w:t>4 bis</w:t>
      </w:r>
      <w:r>
        <w:t>,</w:t>
      </w:r>
      <w:r w:rsidR="006B43DE">
        <w:t xml:space="preserve"> p. </w:t>
      </w:r>
      <w:r w:rsidR="006B43DE" w:rsidRPr="00174358">
        <w:t>4</w:t>
      </w:r>
      <w:r w:rsidRPr="00174358">
        <w:t>3</w:t>
      </w:r>
      <w:r w:rsidRPr="00174358">
        <w:noBreakHyphen/>
        <w:t xml:space="preserve">61. </w:t>
      </w:r>
    </w:p>
    <w:p w14:paraId="0AA4CBCF" w14:textId="77777777" w:rsidR="00E21973" w:rsidRPr="00174358" w:rsidRDefault="00E21973" w:rsidP="00E21973">
      <w:pPr>
        <w:jc w:val="both"/>
      </w:pPr>
      <w:r w:rsidRPr="00C00984">
        <w:rPr>
          <w:smallCaps/>
        </w:rPr>
        <w:t>Mounier</w:t>
      </w:r>
      <w:r w:rsidRPr="00174358">
        <w:t xml:space="preserve"> Pierre, et Marin </w:t>
      </w:r>
      <w:r w:rsidRPr="00C00984">
        <w:rPr>
          <w:smallCaps/>
        </w:rPr>
        <w:t>Dacos</w:t>
      </w:r>
      <w:r>
        <w:t>,</w:t>
      </w:r>
      <w:r w:rsidRPr="00174358">
        <w:t xml:space="preserve"> </w:t>
      </w:r>
      <w:r w:rsidRPr="00174358">
        <w:rPr>
          <w:i/>
          <w:iCs/>
        </w:rPr>
        <w:t>L’édition électronique</w:t>
      </w:r>
      <w:r>
        <w:rPr>
          <w:i/>
          <w:iCs/>
        </w:rPr>
        <w:t>,</w:t>
      </w:r>
      <w:r w:rsidRPr="00174358">
        <w:t xml:space="preserve"> Paris</w:t>
      </w:r>
      <w:r>
        <w:t>,</w:t>
      </w:r>
      <w:r w:rsidRPr="00174358">
        <w:t xml:space="preserve"> La Découverte, 2010. </w:t>
      </w:r>
    </w:p>
    <w:p w14:paraId="6F2B6E15" w14:textId="6D52E501" w:rsidR="00E21973" w:rsidRPr="004C6266" w:rsidRDefault="00E21973" w:rsidP="00E21973">
      <w:pPr>
        <w:jc w:val="both"/>
      </w:pPr>
      <w:r w:rsidRPr="004C6266">
        <w:rPr>
          <w:smallCaps/>
        </w:rPr>
        <w:t>Paveau</w:t>
      </w:r>
      <w:r>
        <w:t xml:space="preserve"> Marie-Anne,</w:t>
      </w:r>
      <w:r w:rsidRPr="00174358">
        <w:t xml:space="preserve"> </w:t>
      </w:r>
      <w:r w:rsidR="006B43DE">
        <w:t>« </w:t>
      </w:r>
      <w:r w:rsidRPr="00174358">
        <w:t>En naviguant en écrivant. Réflexions sur les textualités numériques</w:t>
      </w:r>
      <w:r w:rsidR="006B43DE">
        <w:t> </w:t>
      </w:r>
      <w:r w:rsidR="006B43DE" w:rsidRPr="00174358">
        <w:t>»</w:t>
      </w:r>
      <w:r>
        <w:t>, dans Jean-Michel Adam (</w:t>
      </w:r>
      <w:proofErr w:type="spellStart"/>
      <w:r>
        <w:t>dir</w:t>
      </w:r>
      <w:proofErr w:type="spellEnd"/>
      <w:r>
        <w:t>.),</w:t>
      </w:r>
      <w:r w:rsidRPr="00174358">
        <w:t xml:space="preserve"> </w:t>
      </w:r>
      <w:r w:rsidRPr="00174358">
        <w:rPr>
          <w:i/>
          <w:iCs/>
        </w:rPr>
        <w:t xml:space="preserve">Faire texte. Frontières textuelles et opérations de </w:t>
      </w:r>
      <w:proofErr w:type="spellStart"/>
      <w:r w:rsidRPr="00174358">
        <w:rPr>
          <w:i/>
          <w:iCs/>
        </w:rPr>
        <w:t>textualisation</w:t>
      </w:r>
      <w:proofErr w:type="spellEnd"/>
      <w:r>
        <w:t>,</w:t>
      </w:r>
      <w:r w:rsidRPr="00174358">
        <w:t xml:space="preserve"> Besançon</w:t>
      </w:r>
      <w:r>
        <w:t>,</w:t>
      </w:r>
      <w:r w:rsidRPr="00174358">
        <w:t xml:space="preserve"> Presses universitaires de Franche-Comté</w:t>
      </w:r>
      <w:r>
        <w:t>, 2015,</w:t>
      </w:r>
      <w:r w:rsidR="006B43DE">
        <w:t xml:space="preserve"> p. </w:t>
      </w:r>
      <w:r w:rsidR="006B43DE" w:rsidRPr="00174358">
        <w:t>3</w:t>
      </w:r>
      <w:r w:rsidRPr="00174358">
        <w:t>37</w:t>
      </w:r>
      <w:r w:rsidRPr="00174358">
        <w:noBreakHyphen/>
        <w:t xml:space="preserve">353. </w:t>
      </w:r>
      <w:r>
        <w:t>En ligne</w:t>
      </w:r>
      <w:r w:rsidR="006B43DE">
        <w:t> :</w:t>
      </w:r>
      <w:r>
        <w:t xml:space="preserve"> </w:t>
      </w:r>
      <w:hyperlink r:id="rId37" w:history="1">
        <w:r w:rsidR="006B43DE">
          <w:rPr>
            <w:rStyle w:val="Lienhypertexte"/>
            <w:iCs/>
          </w:rPr>
          <w:t>https://</w:t>
        </w:r>
        <w:r w:rsidRPr="004C6266">
          <w:rPr>
            <w:rStyle w:val="Lienhypertexte"/>
            <w:iCs/>
          </w:rPr>
          <w:t>hal-univ-paris13.archives-ouvertes.fr/hal-01163507/document</w:t>
        </w:r>
      </w:hyperlink>
      <w:r w:rsidRPr="004C6266">
        <w:rPr>
          <w:iCs/>
        </w:rPr>
        <w:t xml:space="preserve"> </w:t>
      </w:r>
    </w:p>
    <w:p w14:paraId="702B0A12" w14:textId="6898401F" w:rsidR="00E21973" w:rsidRDefault="00E21973" w:rsidP="00E21973">
      <w:pPr>
        <w:jc w:val="both"/>
      </w:pPr>
      <w:r>
        <w:rPr>
          <w:i/>
        </w:rPr>
        <w:t>Id</w:t>
      </w:r>
      <w:r w:rsidRPr="00174358">
        <w:t>.</w:t>
      </w:r>
      <w:r>
        <w:t>,</w:t>
      </w:r>
      <w:r w:rsidRPr="00174358">
        <w:t xml:space="preserve"> </w:t>
      </w:r>
      <w:r w:rsidR="006B43DE">
        <w:t>« </w:t>
      </w:r>
      <w:r w:rsidRPr="00174358">
        <w:t xml:space="preserve">L’intégrité des corpus natifs en ligne Une écologie </w:t>
      </w:r>
      <w:proofErr w:type="spellStart"/>
      <w:r w:rsidRPr="00174358">
        <w:t>postdualiste</w:t>
      </w:r>
      <w:proofErr w:type="spellEnd"/>
      <w:r>
        <w:t xml:space="preserve"> pour la théorie du discours</w:t>
      </w:r>
      <w:r w:rsidR="006B43DE">
        <w:t> »</w:t>
      </w:r>
      <w:r>
        <w:t xml:space="preserve">, </w:t>
      </w:r>
      <w:r w:rsidRPr="00174358">
        <w:rPr>
          <w:i/>
          <w:iCs/>
        </w:rPr>
        <w:t xml:space="preserve">Cahiers de </w:t>
      </w:r>
      <w:proofErr w:type="spellStart"/>
      <w:r w:rsidRPr="00174358">
        <w:rPr>
          <w:i/>
          <w:iCs/>
        </w:rPr>
        <w:t>praxématique</w:t>
      </w:r>
      <w:proofErr w:type="spellEnd"/>
      <w:r>
        <w:rPr>
          <w:iCs/>
        </w:rPr>
        <w:t xml:space="preserve">, 2012, </w:t>
      </w:r>
      <w:r w:rsidR="006F2A93">
        <w:rPr>
          <w:iCs/>
        </w:rPr>
        <w:t>n°</w:t>
      </w:r>
      <w:r>
        <w:t>59,</w:t>
      </w:r>
      <w:r w:rsidR="006B43DE">
        <w:t xml:space="preserve"> p. </w:t>
      </w:r>
      <w:r w:rsidR="006B43DE" w:rsidRPr="00174358">
        <w:t>6</w:t>
      </w:r>
      <w:r w:rsidRPr="00174358">
        <w:t>5</w:t>
      </w:r>
      <w:r w:rsidRPr="00174358">
        <w:noBreakHyphen/>
        <w:t xml:space="preserve">90. </w:t>
      </w:r>
    </w:p>
    <w:p w14:paraId="2D0F2806" w14:textId="7689B080" w:rsidR="0009624A" w:rsidRPr="00174358" w:rsidRDefault="0009624A" w:rsidP="00E21973">
      <w:pPr>
        <w:jc w:val="both"/>
      </w:pPr>
      <w:proofErr w:type="spellStart"/>
      <w:r w:rsidRPr="0009624A">
        <w:rPr>
          <w:smallCaps/>
        </w:rPr>
        <w:t>Rabatel</w:t>
      </w:r>
      <w:proofErr w:type="spellEnd"/>
      <w:r>
        <w:t xml:space="preserve"> Alain</w:t>
      </w:r>
      <w:r w:rsidRPr="0009624A">
        <w:t xml:space="preserve">, </w:t>
      </w:r>
      <w:r w:rsidR="006B43DE">
        <w:t>« </w:t>
      </w:r>
      <w:r w:rsidRPr="0009624A">
        <w:t>Analyse énonciative du discours rapporté/montré direct et du discours d’escorte du site d’</w:t>
      </w:r>
      <w:r w:rsidRPr="0009624A">
        <w:rPr>
          <w:i/>
        </w:rPr>
        <w:t>Arrêt sur image</w:t>
      </w:r>
      <w:r w:rsidR="006B43DE">
        <w:t> »</w:t>
      </w:r>
      <w:r w:rsidR="0080727D">
        <w:t>, dans</w:t>
      </w:r>
      <w:r w:rsidRPr="0009624A">
        <w:t xml:space="preserve"> </w:t>
      </w:r>
      <w:r w:rsidRPr="0009624A">
        <w:rPr>
          <w:i/>
        </w:rPr>
        <w:t>Pour une lecture linguistique et critique des médias</w:t>
      </w:r>
      <w:r w:rsidRPr="0009624A">
        <w:t xml:space="preserve">, Limoges, Lambert-Lucas, 2017, </w:t>
      </w:r>
      <w:r w:rsidR="006B43DE">
        <w:t>pp. </w:t>
      </w:r>
      <w:r w:rsidRPr="0009624A">
        <w:t>379-394</w:t>
      </w:r>
      <w:r w:rsidR="005063BB">
        <w:t>.</w:t>
      </w:r>
    </w:p>
    <w:p w14:paraId="3E2E4ADA" w14:textId="66CE4930" w:rsidR="00E21973" w:rsidRPr="00174358" w:rsidRDefault="00E21973" w:rsidP="00E21973">
      <w:pPr>
        <w:jc w:val="both"/>
      </w:pPr>
      <w:proofErr w:type="spellStart"/>
      <w:r w:rsidRPr="006C7612">
        <w:rPr>
          <w:smallCaps/>
        </w:rPr>
        <w:t>Saemmer</w:t>
      </w:r>
      <w:proofErr w:type="spellEnd"/>
      <w:r>
        <w:t xml:space="preserve"> Alexandra,</w:t>
      </w:r>
      <w:r w:rsidRPr="00174358">
        <w:t xml:space="preserve"> </w:t>
      </w:r>
      <w:r w:rsidRPr="00174358">
        <w:rPr>
          <w:i/>
          <w:iCs/>
        </w:rPr>
        <w:t>Rhétorique du texte numérique</w:t>
      </w:r>
      <w:r w:rsidR="006B43DE">
        <w:rPr>
          <w:i/>
          <w:iCs/>
        </w:rPr>
        <w:t> </w:t>
      </w:r>
      <w:r w:rsidR="006B43DE" w:rsidRPr="00174358">
        <w:rPr>
          <w:i/>
          <w:iCs/>
        </w:rPr>
        <w:t>:</w:t>
      </w:r>
      <w:r w:rsidRPr="00174358">
        <w:rPr>
          <w:i/>
          <w:iCs/>
        </w:rPr>
        <w:t xml:space="preserve"> figures de la lecture, anticipations de pratiques</w:t>
      </w:r>
      <w:r>
        <w:rPr>
          <w:i/>
          <w:iCs/>
        </w:rPr>
        <w:t>,</w:t>
      </w:r>
      <w:r w:rsidRPr="00174358">
        <w:t xml:space="preserve"> Lyon</w:t>
      </w:r>
      <w:r>
        <w:t>,</w:t>
      </w:r>
      <w:r w:rsidRPr="00174358">
        <w:t xml:space="preserve"> Presses de l’</w:t>
      </w:r>
      <w:proofErr w:type="spellStart"/>
      <w:r w:rsidRPr="00174358">
        <w:t>En</w:t>
      </w:r>
      <w:r>
        <w:t>ssib</w:t>
      </w:r>
      <w:proofErr w:type="spellEnd"/>
      <w:r>
        <w:t>, 2015.</w:t>
      </w:r>
    </w:p>
    <w:p w14:paraId="10FA5FD8" w14:textId="54F281DC" w:rsidR="00E21973" w:rsidRDefault="00E21973" w:rsidP="00E21973">
      <w:pPr>
        <w:jc w:val="both"/>
      </w:pPr>
      <w:proofErr w:type="spellStart"/>
      <w:r w:rsidRPr="0071429D">
        <w:rPr>
          <w:smallCaps/>
        </w:rPr>
        <w:t>Souchier</w:t>
      </w:r>
      <w:proofErr w:type="spellEnd"/>
      <w:r>
        <w:t xml:space="preserve"> Emmanuel,</w:t>
      </w:r>
      <w:r w:rsidRPr="00174358">
        <w:t xml:space="preserve"> </w:t>
      </w:r>
      <w:r w:rsidR="006B43DE">
        <w:t>« </w:t>
      </w:r>
      <w:r w:rsidRPr="00174358">
        <w:t>L’image du texte</w:t>
      </w:r>
      <w:proofErr w:type="gramStart"/>
      <w:r w:rsidRPr="00174358">
        <w:t> </w:t>
      </w:r>
      <w:r w:rsidR="006B43DE">
        <w:t> </w:t>
      </w:r>
      <w:r w:rsidR="006B43DE" w:rsidRPr="00174358">
        <w:t>:</w:t>
      </w:r>
      <w:proofErr w:type="gramEnd"/>
      <w:r w:rsidRPr="00174358">
        <w:t xml:space="preserve"> pour une théorie de l’énonciation éditoriale</w:t>
      </w:r>
      <w:r w:rsidR="006B43DE">
        <w:t> </w:t>
      </w:r>
      <w:r w:rsidR="006B43DE" w:rsidRPr="00174358">
        <w:t>»</w:t>
      </w:r>
      <w:r>
        <w:t>,</w:t>
      </w:r>
      <w:r w:rsidRPr="00174358">
        <w:t xml:space="preserve"> </w:t>
      </w:r>
      <w:r w:rsidRPr="00174358">
        <w:rPr>
          <w:i/>
          <w:iCs/>
        </w:rPr>
        <w:t>Les cahiers de médiologie</w:t>
      </w:r>
      <w:r>
        <w:rPr>
          <w:iCs/>
        </w:rPr>
        <w:t xml:space="preserve">, 1998, </w:t>
      </w:r>
      <w:r w:rsidR="006F2A93">
        <w:rPr>
          <w:iCs/>
        </w:rPr>
        <w:t>n°</w:t>
      </w:r>
      <w:r w:rsidRPr="00174358">
        <w:t>6.2</w:t>
      </w:r>
      <w:r>
        <w:t>,</w:t>
      </w:r>
      <w:r w:rsidR="006B43DE">
        <w:t xml:space="preserve"> p. 1</w:t>
      </w:r>
      <w:r>
        <w:t>37</w:t>
      </w:r>
      <w:r>
        <w:noBreakHyphen/>
        <w:t>145.</w:t>
      </w:r>
    </w:p>
    <w:p w14:paraId="703BA25B" w14:textId="2DB13B12" w:rsidR="00E21973" w:rsidRDefault="00E21973" w:rsidP="00E21973">
      <w:pPr>
        <w:jc w:val="both"/>
      </w:pPr>
      <w:proofErr w:type="spellStart"/>
      <w:r w:rsidRPr="0006529C">
        <w:rPr>
          <w:smallCaps/>
        </w:rPr>
        <w:t>Stassin</w:t>
      </w:r>
      <w:proofErr w:type="spellEnd"/>
      <w:r>
        <w:t xml:space="preserve"> Bérengère, </w:t>
      </w:r>
      <w:r w:rsidRPr="002E7B69">
        <w:rPr>
          <w:i/>
        </w:rPr>
        <w:t>La blogosphère info-doc </w:t>
      </w:r>
      <w:r w:rsidR="006B43DE">
        <w:rPr>
          <w:i/>
        </w:rPr>
        <w:t> </w:t>
      </w:r>
      <w:r w:rsidR="006B43DE" w:rsidRPr="002E7B69">
        <w:rPr>
          <w:i/>
        </w:rPr>
        <w:t>:</w:t>
      </w:r>
      <w:r w:rsidRPr="002E7B69">
        <w:rPr>
          <w:i/>
        </w:rPr>
        <w:t xml:space="preserve"> une communauté de savoir, une mosaïque de médiations</w:t>
      </w:r>
      <w:r>
        <w:t>,</w:t>
      </w:r>
      <w:r w:rsidRPr="002E7B69">
        <w:t xml:space="preserve"> Toulouse</w:t>
      </w:r>
      <w:r>
        <w:t xml:space="preserve">, </w:t>
      </w:r>
      <w:proofErr w:type="spellStart"/>
      <w:r w:rsidRPr="002E7B69">
        <w:t>Cépaduès</w:t>
      </w:r>
      <w:proofErr w:type="spellEnd"/>
      <w:r>
        <w:t>, 2016</w:t>
      </w:r>
      <w:bookmarkStart w:id="0" w:name="_GoBack"/>
      <w:bookmarkEnd w:id="0"/>
    </w:p>
    <w:p w14:paraId="0E51ACE3" w14:textId="293124E5" w:rsidR="005063BB" w:rsidRPr="005063BB" w:rsidRDefault="005063BB" w:rsidP="00E21973">
      <w:pPr>
        <w:jc w:val="both"/>
      </w:pPr>
      <w:proofErr w:type="spellStart"/>
      <w:r w:rsidRPr="005063BB">
        <w:rPr>
          <w:smallCaps/>
          <w:lang w:val="en-US"/>
        </w:rPr>
        <w:t>Stilgoe</w:t>
      </w:r>
      <w:proofErr w:type="spellEnd"/>
      <w:r w:rsidRPr="005063BB">
        <w:rPr>
          <w:lang w:val="en-US"/>
        </w:rPr>
        <w:t xml:space="preserve"> Jack, </w:t>
      </w:r>
      <w:r w:rsidRPr="005063BB">
        <w:rPr>
          <w:i/>
          <w:iCs/>
          <w:lang w:val="en-US"/>
        </w:rPr>
        <w:t>Citizen Scientists</w:t>
      </w:r>
      <w:r w:rsidR="006B43DE" w:rsidRPr="005063BB">
        <w:rPr>
          <w:i/>
          <w:iCs/>
          <w:lang w:val="en-US"/>
        </w:rPr>
        <w:t>:</w:t>
      </w:r>
      <w:r w:rsidRPr="005063BB">
        <w:rPr>
          <w:i/>
          <w:iCs/>
          <w:lang w:val="en-US"/>
        </w:rPr>
        <w:t xml:space="preserve"> Reconnecting Science with Civil Society</w:t>
      </w:r>
      <w:r>
        <w:rPr>
          <w:iCs/>
          <w:lang w:val="en-US"/>
        </w:rPr>
        <w:t xml:space="preserve">, </w:t>
      </w:r>
      <w:r w:rsidRPr="005063BB">
        <w:rPr>
          <w:lang w:val="en-US"/>
        </w:rPr>
        <w:t>Demos</w:t>
      </w:r>
      <w:r>
        <w:rPr>
          <w:lang w:val="en-US"/>
        </w:rPr>
        <w:t xml:space="preserve">, London, 2009. </w:t>
      </w:r>
      <w:r w:rsidRPr="005063BB">
        <w:t>En ligne</w:t>
      </w:r>
      <w:r w:rsidR="006B43DE">
        <w:t> :</w:t>
      </w:r>
      <w:r>
        <w:t xml:space="preserve"> </w:t>
      </w:r>
      <w:hyperlink r:id="rId38" w:history="1">
        <w:r w:rsidR="006B43DE">
          <w:rPr>
            <w:rStyle w:val="Lienhypertexte"/>
          </w:rPr>
          <w:t>http://</w:t>
        </w:r>
        <w:r w:rsidRPr="00575FA1">
          <w:rPr>
            <w:rStyle w:val="Lienhypertexte"/>
          </w:rPr>
          <w:t>creias.ipleiria.pt/files/2010/08/Citizen_Scientists_-_web.pdf</w:t>
        </w:r>
      </w:hyperlink>
      <w:r>
        <w:t xml:space="preserve">. </w:t>
      </w:r>
    </w:p>
    <w:p w14:paraId="63F7A017" w14:textId="7C1912CA" w:rsidR="00BB3242" w:rsidRDefault="00E21973" w:rsidP="00B41C79">
      <w:pPr>
        <w:jc w:val="both"/>
      </w:pPr>
      <w:proofErr w:type="spellStart"/>
      <w:r w:rsidRPr="00581987">
        <w:rPr>
          <w:smallCaps/>
          <w:lang w:val="en-US"/>
        </w:rPr>
        <w:t>Vitali</w:t>
      </w:r>
      <w:proofErr w:type="spellEnd"/>
      <w:r w:rsidRPr="00581987">
        <w:rPr>
          <w:smallCaps/>
          <w:lang w:val="en-US"/>
        </w:rPr>
        <w:t xml:space="preserve"> </w:t>
      </w:r>
      <w:proofErr w:type="spellStart"/>
      <w:r w:rsidRPr="00581987">
        <w:rPr>
          <w:smallCaps/>
          <w:lang w:val="en-US"/>
        </w:rPr>
        <w:t>Rosati</w:t>
      </w:r>
      <w:proofErr w:type="spellEnd"/>
      <w:r w:rsidRPr="00581987">
        <w:rPr>
          <w:lang w:val="en-US"/>
        </w:rPr>
        <w:t xml:space="preserve"> Marcello, </w:t>
      </w:r>
      <w:r w:rsidR="006B43DE">
        <w:rPr>
          <w:lang w:val="en-US"/>
        </w:rPr>
        <w:t>« </w:t>
      </w:r>
      <w:r w:rsidRPr="00581987">
        <w:rPr>
          <w:lang w:val="en-US"/>
        </w:rPr>
        <w:t xml:space="preserve">What is </w:t>
      </w:r>
      <w:proofErr w:type="spellStart"/>
      <w:r w:rsidRPr="00581987">
        <w:rPr>
          <w:lang w:val="en-US"/>
        </w:rPr>
        <w:t>editorialization</w:t>
      </w:r>
      <w:proofErr w:type="spellEnd"/>
      <w:r w:rsidR="006B43DE" w:rsidRPr="00581987">
        <w:rPr>
          <w:lang w:val="en-US"/>
        </w:rPr>
        <w:t>?</w:t>
      </w:r>
      <w:r w:rsidR="006B43DE">
        <w:rPr>
          <w:lang w:val="en-US"/>
        </w:rPr>
        <w:t> </w:t>
      </w:r>
      <w:r w:rsidR="006B43DE" w:rsidRPr="00581987">
        <w:rPr>
          <w:lang w:val="en-US"/>
        </w:rPr>
        <w:t>»</w:t>
      </w:r>
      <w:r>
        <w:rPr>
          <w:lang w:val="en-US"/>
        </w:rPr>
        <w:t>,</w:t>
      </w:r>
      <w:r w:rsidRPr="00581987">
        <w:rPr>
          <w:lang w:val="en-US"/>
        </w:rPr>
        <w:t xml:space="preserve"> </w:t>
      </w:r>
      <w:r w:rsidRPr="00581987">
        <w:rPr>
          <w:i/>
          <w:iCs/>
          <w:lang w:val="en-US"/>
        </w:rPr>
        <w:t>Sens public</w:t>
      </w:r>
      <w:r w:rsidRPr="00581987">
        <w:rPr>
          <w:i/>
          <w:lang w:val="en-US"/>
        </w:rPr>
        <w:t xml:space="preserve">, </w:t>
      </w:r>
      <w:r w:rsidRPr="00581987">
        <w:rPr>
          <w:lang w:val="en-US"/>
        </w:rPr>
        <w:t>2016</w:t>
      </w:r>
      <w:r>
        <w:rPr>
          <w:lang w:val="en-US"/>
        </w:rPr>
        <w:t xml:space="preserve">. </w:t>
      </w:r>
      <w:r w:rsidRPr="009B4BFF">
        <w:t>En ligne</w:t>
      </w:r>
      <w:r w:rsidR="006B43DE">
        <w:t> </w:t>
      </w:r>
      <w:r w:rsidR="006B43DE" w:rsidRPr="009B4BFF">
        <w:t>:</w:t>
      </w:r>
      <w:r w:rsidRPr="009B4BFF">
        <w:t xml:space="preserve"> </w:t>
      </w:r>
      <w:hyperlink r:id="rId39" w:history="1">
        <w:r w:rsidR="006B43DE">
          <w:rPr>
            <w:rStyle w:val="Lienhypertexte"/>
          </w:rPr>
          <w:t>http://</w:t>
        </w:r>
        <w:r w:rsidRPr="009B4BFF">
          <w:rPr>
            <w:rStyle w:val="Lienhypertexte"/>
          </w:rPr>
          <w:t>www.sens-public.org/article1059.html</w:t>
        </w:r>
      </w:hyperlink>
      <w:r w:rsidRPr="009B4BFF">
        <w:t xml:space="preserve">. </w:t>
      </w:r>
    </w:p>
    <w:sectPr w:rsidR="00BB32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962EB" w14:textId="77777777" w:rsidR="00776420" w:rsidRDefault="00776420" w:rsidP="00E21973">
      <w:pPr>
        <w:spacing w:after="0" w:line="240" w:lineRule="auto"/>
      </w:pPr>
      <w:r>
        <w:separator/>
      </w:r>
    </w:p>
  </w:endnote>
  <w:endnote w:type="continuationSeparator" w:id="0">
    <w:p w14:paraId="394303FB" w14:textId="77777777" w:rsidR="00776420" w:rsidRDefault="00776420" w:rsidP="00E21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0EFDA" w14:textId="77777777" w:rsidR="00776420" w:rsidRDefault="00776420" w:rsidP="00E21973">
      <w:pPr>
        <w:spacing w:after="0" w:line="240" w:lineRule="auto"/>
      </w:pPr>
      <w:r>
        <w:separator/>
      </w:r>
    </w:p>
  </w:footnote>
  <w:footnote w:type="continuationSeparator" w:id="0">
    <w:p w14:paraId="7A154B75" w14:textId="77777777" w:rsidR="00776420" w:rsidRDefault="00776420" w:rsidP="00E21973">
      <w:pPr>
        <w:spacing w:after="0" w:line="240" w:lineRule="auto"/>
      </w:pPr>
      <w:r>
        <w:continuationSeparator/>
      </w:r>
    </w:p>
  </w:footnote>
  <w:footnote w:id="1">
    <w:p w14:paraId="01573671" w14:textId="3C988184" w:rsidR="00186B2A" w:rsidRPr="00F85697" w:rsidRDefault="00186B2A" w:rsidP="00E21973">
      <w:pPr>
        <w:pStyle w:val="Notedebasdepage"/>
      </w:pPr>
      <w:r>
        <w:rPr>
          <w:rStyle w:val="Appelnotedebasdep"/>
        </w:rPr>
        <w:footnoteRef/>
      </w:r>
      <w:r>
        <w:t xml:space="preserve"> </w:t>
      </w:r>
      <w:r w:rsidRPr="00F85697">
        <w:t>Guylaine</w:t>
      </w:r>
      <w:r>
        <w:t xml:space="preserve"> Beaudry,</w:t>
      </w:r>
      <w:r w:rsidRPr="00F85697">
        <w:rPr>
          <w:i/>
        </w:rPr>
        <w:t xml:space="preserve"> La communication scientifique et le numérique</w:t>
      </w:r>
      <w:r>
        <w:rPr>
          <w:i/>
        </w:rPr>
        <w:t>,</w:t>
      </w:r>
      <w:r w:rsidRPr="00F85697">
        <w:t xml:space="preserve"> Paris</w:t>
      </w:r>
      <w:r>
        <w:t>,</w:t>
      </w:r>
      <w:r w:rsidRPr="00F85697">
        <w:t xml:space="preserve"> Lavoisier, 2011.</w:t>
      </w:r>
      <w:r w:rsidRPr="00F85697">
        <w:rPr>
          <w:i/>
        </w:rPr>
        <w:t xml:space="preserve"> </w:t>
      </w:r>
    </w:p>
  </w:footnote>
  <w:footnote w:id="2">
    <w:p w14:paraId="2A9A9974" w14:textId="226DCF9E" w:rsidR="00186B2A" w:rsidRPr="00B31E63" w:rsidRDefault="00186B2A" w:rsidP="00E21973">
      <w:pPr>
        <w:pStyle w:val="Notedebasdepage"/>
      </w:pPr>
      <w:r>
        <w:rPr>
          <w:rStyle w:val="Appelnotedebasdep"/>
        </w:rPr>
        <w:footnoteRef/>
      </w:r>
      <w:r>
        <w:t xml:space="preserve"> </w:t>
      </w:r>
      <w:r>
        <w:rPr>
          <w:i/>
        </w:rPr>
        <w:t>Ibid</w:t>
      </w:r>
      <w:r>
        <w:t>., p. 200.</w:t>
      </w:r>
    </w:p>
  </w:footnote>
  <w:footnote w:id="3">
    <w:p w14:paraId="56F19BF5" w14:textId="23F9AFED" w:rsidR="00186B2A" w:rsidRDefault="00186B2A" w:rsidP="00E21973">
      <w:pPr>
        <w:pStyle w:val="Notedebasdepage"/>
      </w:pPr>
      <w:r>
        <w:rPr>
          <w:rStyle w:val="Appelnotedebasdep"/>
        </w:rPr>
        <w:footnoteRef/>
      </w:r>
      <w:r>
        <w:t xml:space="preserve"> Dacos, Marin, et Pierre Mounier,</w:t>
      </w:r>
      <w:r w:rsidRPr="00017812">
        <w:t xml:space="preserve"> </w:t>
      </w:r>
      <w:r w:rsidRPr="00017812">
        <w:rPr>
          <w:i/>
          <w:iCs/>
        </w:rPr>
        <w:t>Humanités numériques</w:t>
      </w:r>
      <w:r>
        <w:rPr>
          <w:i/>
          <w:iCs/>
        </w:rPr>
        <w:t> </w:t>
      </w:r>
      <w:r w:rsidRPr="00017812">
        <w:rPr>
          <w:i/>
          <w:iCs/>
        </w:rPr>
        <w:t>: État des lieux et positionnement de la recherche française dans le contexte international</w:t>
      </w:r>
      <w:r w:rsidRPr="00017812">
        <w:t xml:space="preserve">. Institut Français, 2014. </w:t>
      </w:r>
      <w:r>
        <w:t xml:space="preserve">En ligne : </w:t>
      </w:r>
      <w:hyperlink r:id="rId1" w:history="1">
        <w:r>
          <w:rPr>
            <w:rStyle w:val="Lienhypertexte"/>
          </w:rPr>
          <w:t>http://</w:t>
        </w:r>
        <w:r w:rsidRPr="0040010B">
          <w:rPr>
            <w:rStyle w:val="Lienhypertexte"/>
          </w:rPr>
          <w:t>issuu.com/institut_francais/docs/if_humanites-numeriques</w:t>
        </w:r>
      </w:hyperlink>
      <w:r>
        <w:t xml:space="preserve"> </w:t>
      </w:r>
    </w:p>
  </w:footnote>
  <w:footnote w:id="4">
    <w:p w14:paraId="0DF8EFEB" w14:textId="35EC1A2E" w:rsidR="00186B2A" w:rsidRPr="00BD45D3" w:rsidRDefault="00186B2A" w:rsidP="00E21973">
      <w:pPr>
        <w:pStyle w:val="Notedebasdepage"/>
      </w:pPr>
      <w:r>
        <w:rPr>
          <w:rStyle w:val="Appelnotedebasdep"/>
        </w:rPr>
        <w:footnoteRef/>
      </w:r>
      <w:r>
        <w:t xml:space="preserve"> Sur la notion </w:t>
      </w:r>
      <w:r w:rsidRPr="00BD45D3">
        <w:rPr>
          <w:i/>
        </w:rPr>
        <w:t>d’</w:t>
      </w:r>
      <w:proofErr w:type="spellStart"/>
      <w:r w:rsidRPr="00BD45D3">
        <w:rPr>
          <w:i/>
        </w:rPr>
        <w:t>éditorialisation</w:t>
      </w:r>
      <w:proofErr w:type="spellEnd"/>
      <w:r>
        <w:t xml:space="preserve"> comme </w:t>
      </w:r>
      <w:r w:rsidRPr="00BD45D3">
        <w:t>processus de création de valeur ajoutée à destination du public</w:t>
      </w:r>
      <w:r>
        <w:t xml:space="preserve">, voir Marin Dacos et Pierre Mounier, </w:t>
      </w:r>
      <w:r>
        <w:rPr>
          <w:i/>
        </w:rPr>
        <w:t>L’édition électronique</w:t>
      </w:r>
      <w:r>
        <w:t xml:space="preserve">, Paris, La Découverte, 2010, p. 63 ; voir également la synthèse de Marcello </w:t>
      </w:r>
      <w:proofErr w:type="spellStart"/>
      <w:r>
        <w:t>Vitali</w:t>
      </w:r>
      <w:proofErr w:type="spellEnd"/>
      <w:r>
        <w:t xml:space="preserve"> </w:t>
      </w:r>
      <w:proofErr w:type="spellStart"/>
      <w:r>
        <w:t>Rosati</w:t>
      </w:r>
      <w:proofErr w:type="spellEnd"/>
      <w:r>
        <w:t>, « </w:t>
      </w:r>
      <w:proofErr w:type="spellStart"/>
      <w:r>
        <w:t>What</w:t>
      </w:r>
      <w:proofErr w:type="spellEnd"/>
      <w:r>
        <w:t xml:space="preserve"> </w:t>
      </w:r>
      <w:proofErr w:type="spellStart"/>
      <w:r>
        <w:t>is</w:t>
      </w:r>
      <w:proofErr w:type="spellEnd"/>
      <w:r>
        <w:t xml:space="preserve"> </w:t>
      </w:r>
      <w:proofErr w:type="spellStart"/>
      <w:r>
        <w:t>editorialization</w:t>
      </w:r>
      <w:proofErr w:type="spellEnd"/>
      <w:r>
        <w:t xml:space="preserve"> ? », parue en 2016 sur le site </w:t>
      </w:r>
      <w:r>
        <w:rPr>
          <w:i/>
        </w:rPr>
        <w:t>Sens public</w:t>
      </w:r>
      <w:r>
        <w:t>.</w:t>
      </w:r>
    </w:p>
  </w:footnote>
  <w:footnote w:id="5">
    <w:p w14:paraId="75FE2D43" w14:textId="619DAC85" w:rsidR="00186B2A" w:rsidRPr="003263F4" w:rsidRDefault="00186B2A">
      <w:pPr>
        <w:pStyle w:val="Notedebasdepage"/>
      </w:pPr>
      <w:r>
        <w:rPr>
          <w:rStyle w:val="Appelnotedebasdep"/>
        </w:rPr>
        <w:footnoteRef/>
      </w:r>
      <w:r>
        <w:t xml:space="preserve"> J’emprunte ici, comme ensuite, la terminologie d’Yves Jeanneret dans </w:t>
      </w:r>
      <w:r>
        <w:rPr>
          <w:i/>
        </w:rPr>
        <w:t>Critique de la trivialité</w:t>
      </w:r>
      <w:r>
        <w:t>, Paris, Éditions Non Standard, 2014.</w:t>
      </w:r>
    </w:p>
  </w:footnote>
  <w:footnote w:id="6">
    <w:p w14:paraId="240FC4C1" w14:textId="66B70F0C" w:rsidR="00186B2A" w:rsidRDefault="00186B2A">
      <w:pPr>
        <w:pStyle w:val="Notedebasdepage"/>
      </w:pPr>
      <w:r>
        <w:rPr>
          <w:rStyle w:val="Appelnotedebasdep"/>
        </w:rPr>
        <w:footnoteRef/>
      </w:r>
      <w:r>
        <w:t xml:space="preserve"> Une étude des médiations documentaires et identitaires au sein d’une autre blogosphère, celle de l’info-doc, a été réalisée par Bérengère </w:t>
      </w:r>
      <w:proofErr w:type="spellStart"/>
      <w:r>
        <w:t>Stassin</w:t>
      </w:r>
      <w:proofErr w:type="spellEnd"/>
      <w:r>
        <w:t xml:space="preserve"> (</w:t>
      </w:r>
      <w:r>
        <w:rPr>
          <w:i/>
        </w:rPr>
        <w:t>La blogosphère info-doc </w:t>
      </w:r>
      <w:r w:rsidRPr="002E7B69">
        <w:rPr>
          <w:i/>
        </w:rPr>
        <w:t>: une communauté de savoir, une mosaïque de médiations</w:t>
      </w:r>
      <w:r>
        <w:t>,</w:t>
      </w:r>
      <w:r w:rsidRPr="002E7B69">
        <w:t xml:space="preserve"> Toulouse</w:t>
      </w:r>
      <w:r>
        <w:t xml:space="preserve">, </w:t>
      </w:r>
      <w:proofErr w:type="spellStart"/>
      <w:r w:rsidRPr="002E7B69">
        <w:t>Cépaduès</w:t>
      </w:r>
      <w:proofErr w:type="spellEnd"/>
      <w:r>
        <w:t>, 2016)</w:t>
      </w:r>
      <w:r w:rsidRPr="002E7B69">
        <w:t>.</w:t>
      </w:r>
      <w:r>
        <w:t xml:space="preserve"> L’analyse établit que, bien que l’</w:t>
      </w:r>
      <w:proofErr w:type="spellStart"/>
      <w:r>
        <w:t>autopublication</w:t>
      </w:r>
      <w:proofErr w:type="spellEnd"/>
      <w:r>
        <w:t xml:space="preserve"> sur un blog puisse être perçue comme un processus non médié, une série de médiations sont en réalité à l’œuvre. C’est un constat que je partage entièrement, ainsi que je tenterai de le montrer dans le cadre de cet article.</w:t>
      </w:r>
    </w:p>
  </w:footnote>
  <w:footnote w:id="7">
    <w:p w14:paraId="1229D3C1" w14:textId="4E94A6F5" w:rsidR="00186B2A" w:rsidRPr="00775923" w:rsidRDefault="00186B2A" w:rsidP="00DD7A96">
      <w:pPr>
        <w:pStyle w:val="Notedebasdepage"/>
      </w:pPr>
      <w:r>
        <w:rPr>
          <w:rStyle w:val="Appelnotedebasdep"/>
        </w:rPr>
        <w:footnoteRef/>
      </w:r>
      <w:r>
        <w:t xml:space="preserve"> Marin Dacos et Pierre Mounier, « </w:t>
      </w:r>
      <w:r w:rsidRPr="00775923">
        <w:t>Les carnets de recherche en ligne, espace d’une conversation scientifique décentrée</w:t>
      </w:r>
      <w:r>
        <w:t> </w:t>
      </w:r>
      <w:r w:rsidRPr="00775923">
        <w:t>»</w:t>
      </w:r>
      <w:r>
        <w:t>, dans Christian Jacob (</w:t>
      </w:r>
      <w:proofErr w:type="spellStart"/>
      <w:r>
        <w:t>dir</w:t>
      </w:r>
      <w:proofErr w:type="spellEnd"/>
      <w:r>
        <w:t>.),</w:t>
      </w:r>
      <w:r w:rsidRPr="00775923">
        <w:t xml:space="preserve"> </w:t>
      </w:r>
      <w:r>
        <w:rPr>
          <w:i/>
          <w:iCs/>
        </w:rPr>
        <w:t>Lieux de savoir.</w:t>
      </w:r>
      <w:r w:rsidRPr="00775923">
        <w:rPr>
          <w:i/>
          <w:iCs/>
        </w:rPr>
        <w:t xml:space="preserve"> Gestes et supports du travail savant</w:t>
      </w:r>
      <w:r>
        <w:t xml:space="preserve">, vol. 2, Paris, </w:t>
      </w:r>
      <w:r w:rsidRPr="00775923">
        <w:t xml:space="preserve">Albin Michel, 2010. </w:t>
      </w:r>
      <w:r>
        <w:t xml:space="preserve">En ligne : </w:t>
      </w:r>
      <w:hyperlink r:id="rId2" w:history="1">
        <w:r>
          <w:rPr>
            <w:rStyle w:val="Lienhypertexte"/>
            <w:iCs/>
          </w:rPr>
          <w:t>http://</w:t>
        </w:r>
        <w:r w:rsidRPr="00570553">
          <w:rPr>
            <w:rStyle w:val="Lienhypertexte"/>
            <w:iCs/>
          </w:rPr>
          <w:t>archivesic.ccsd.cnrs.fr/sic_00439849/document</w:t>
        </w:r>
      </w:hyperlink>
      <w:r>
        <w:rPr>
          <w:iCs/>
        </w:rPr>
        <w:t xml:space="preserve">. </w:t>
      </w:r>
    </w:p>
  </w:footnote>
  <w:footnote w:id="8">
    <w:p w14:paraId="74A04320" w14:textId="0534D1E3" w:rsidR="00186B2A" w:rsidRPr="00791DE6" w:rsidRDefault="00186B2A" w:rsidP="009566E3">
      <w:pPr>
        <w:pStyle w:val="Notedebasdepage"/>
      </w:pPr>
      <w:r>
        <w:rPr>
          <w:rStyle w:val="Appelnotedebasdep"/>
        </w:rPr>
        <w:footnoteRef/>
      </w:r>
      <w:r>
        <w:t xml:space="preserve"> Marin Dacos et Pierre Mounier, </w:t>
      </w:r>
      <w:r>
        <w:rPr>
          <w:i/>
        </w:rPr>
        <w:t>Humanités numériques</w:t>
      </w:r>
      <w:r>
        <w:t>, op. </w:t>
      </w:r>
      <w:proofErr w:type="spellStart"/>
      <w:proofErr w:type="gramStart"/>
      <w:r>
        <w:t>cit</w:t>
      </w:r>
      <w:proofErr w:type="spellEnd"/>
      <w:r>
        <w:t>.,</w:t>
      </w:r>
      <w:proofErr w:type="gramEnd"/>
      <w:r>
        <w:t xml:space="preserve"> p. 20.</w:t>
      </w:r>
    </w:p>
  </w:footnote>
  <w:footnote w:id="9">
    <w:p w14:paraId="596C66A1" w14:textId="3EDD8B66" w:rsidR="00186B2A" w:rsidRPr="004C58B0" w:rsidRDefault="00186B2A" w:rsidP="00082A47">
      <w:pPr>
        <w:pStyle w:val="Notedebasdepage"/>
      </w:pPr>
      <w:r>
        <w:rPr>
          <w:rStyle w:val="Appelnotedebasdep"/>
        </w:rPr>
        <w:footnoteRef/>
      </w:r>
      <w:r>
        <w:t xml:space="preserve"> Voir à ce sujet l’ouvrage de </w:t>
      </w:r>
      <w:proofErr w:type="spellStart"/>
      <w:r>
        <w:t>Guyslaine</w:t>
      </w:r>
      <w:proofErr w:type="spellEnd"/>
      <w:r>
        <w:t xml:space="preserve"> Beaudry déjà mentionné, mais également celui d’Yves Jeanneret, </w:t>
      </w:r>
      <w:r w:rsidRPr="000E0394">
        <w:rPr>
          <w:i/>
          <w:iCs/>
        </w:rPr>
        <w:t>Écrire la science</w:t>
      </w:r>
      <w:r>
        <w:rPr>
          <w:i/>
          <w:iCs/>
        </w:rPr>
        <w:t> </w:t>
      </w:r>
      <w:r w:rsidRPr="000E0394">
        <w:rPr>
          <w:i/>
          <w:iCs/>
        </w:rPr>
        <w:t>: Formes et enjeux de la vulgarisation</w:t>
      </w:r>
      <w:r>
        <w:t xml:space="preserve">, Paris, </w:t>
      </w:r>
      <w:r w:rsidRPr="000E0394">
        <w:t xml:space="preserve">Presses Universitaires de France, 1994. </w:t>
      </w:r>
    </w:p>
  </w:footnote>
  <w:footnote w:id="10">
    <w:p w14:paraId="426C7164" w14:textId="2BC23A54" w:rsidR="00186B2A" w:rsidRDefault="00186B2A" w:rsidP="0048046F">
      <w:pPr>
        <w:pStyle w:val="Notedebasdepage"/>
      </w:pPr>
      <w:r>
        <w:rPr>
          <w:rStyle w:val="Appelnotedebasdep"/>
        </w:rPr>
        <w:footnoteRef/>
      </w:r>
      <w:r>
        <w:t xml:space="preserve"> Bernadette </w:t>
      </w:r>
      <w:proofErr w:type="spellStart"/>
      <w:r w:rsidRPr="00CF61B5">
        <w:t>Bensaude</w:t>
      </w:r>
      <w:proofErr w:type="spellEnd"/>
      <w:r w:rsidRPr="00CF61B5">
        <w:t xml:space="preserve">-Vincent, </w:t>
      </w:r>
      <w:r>
        <w:t>« </w:t>
      </w:r>
      <w:r w:rsidRPr="00CF61B5">
        <w:t>Splendeur et décadence de la vulgarisation scientifique</w:t>
      </w:r>
      <w:r>
        <w:t> </w:t>
      </w:r>
      <w:r w:rsidRPr="00CF61B5">
        <w:t>»</w:t>
      </w:r>
      <w:r>
        <w:t>,</w:t>
      </w:r>
      <w:r w:rsidRPr="00CF61B5">
        <w:t xml:space="preserve"> </w:t>
      </w:r>
      <w:r w:rsidRPr="00CF61B5">
        <w:rPr>
          <w:i/>
        </w:rPr>
        <w:t>Questions de communication</w:t>
      </w:r>
      <w:r>
        <w:t xml:space="preserve">, 2010, n°17. En ligne : </w:t>
      </w:r>
      <w:hyperlink r:id="rId3" w:history="1">
        <w:r>
          <w:rPr>
            <w:rStyle w:val="Lienhypertexte"/>
          </w:rPr>
          <w:t>http://</w:t>
        </w:r>
        <w:r w:rsidRPr="00570553">
          <w:rPr>
            <w:rStyle w:val="Lienhypertexte"/>
          </w:rPr>
          <w:t>questionsdecommunication.revues.org/368</w:t>
        </w:r>
      </w:hyperlink>
      <w:r>
        <w:t xml:space="preserve"> .</w:t>
      </w:r>
    </w:p>
  </w:footnote>
  <w:footnote w:id="11">
    <w:p w14:paraId="5546ED0F" w14:textId="28BD87FD" w:rsidR="00186B2A" w:rsidRDefault="00186B2A" w:rsidP="0048046F">
      <w:pPr>
        <w:pStyle w:val="Notedebasdepage"/>
      </w:pPr>
      <w:r>
        <w:rPr>
          <w:rStyle w:val="Appelnotedebasdep"/>
        </w:rPr>
        <w:footnoteRef/>
      </w:r>
      <w:r>
        <w:t xml:space="preserve"> </w:t>
      </w:r>
      <w:r w:rsidRPr="00155F3F">
        <w:t>Pierre</w:t>
      </w:r>
      <w:r>
        <w:t xml:space="preserve"> </w:t>
      </w:r>
      <w:r w:rsidRPr="00155F3F">
        <w:t xml:space="preserve">Fayard, </w:t>
      </w:r>
      <w:r w:rsidRPr="00155F3F">
        <w:rPr>
          <w:i/>
          <w:iCs/>
        </w:rPr>
        <w:t>La communication scientifique publique</w:t>
      </w:r>
      <w:r>
        <w:rPr>
          <w:i/>
          <w:iCs/>
        </w:rPr>
        <w:t> </w:t>
      </w:r>
      <w:r w:rsidRPr="00155F3F">
        <w:rPr>
          <w:i/>
          <w:iCs/>
        </w:rPr>
        <w:t>: de la vulgarisation à la médiatisation</w:t>
      </w:r>
      <w:r>
        <w:rPr>
          <w:iCs/>
        </w:rPr>
        <w:t>,</w:t>
      </w:r>
      <w:r w:rsidRPr="00155F3F">
        <w:t xml:space="preserve"> Lyon</w:t>
      </w:r>
      <w:r>
        <w:t>,</w:t>
      </w:r>
      <w:r w:rsidRPr="00155F3F">
        <w:t xml:space="preserve"> Chronique sociale, 1988. </w:t>
      </w:r>
    </w:p>
  </w:footnote>
  <w:footnote w:id="12">
    <w:p w14:paraId="1D012939" w14:textId="16B9B0CD" w:rsidR="00186B2A" w:rsidRPr="00390501" w:rsidRDefault="00186B2A" w:rsidP="0048046F">
      <w:pPr>
        <w:pStyle w:val="Notedebasdepage"/>
      </w:pPr>
      <w:r>
        <w:rPr>
          <w:rStyle w:val="Appelnotedebasdep"/>
        </w:rPr>
        <w:footnoteRef/>
      </w:r>
      <w:r>
        <w:t xml:space="preserve"> Au sujet de la science citoyenne, voir l’ouvrage de</w:t>
      </w:r>
      <w:r w:rsidRPr="00390501">
        <w:t xml:space="preserve"> Jack</w:t>
      </w:r>
      <w:r>
        <w:t xml:space="preserve"> </w:t>
      </w:r>
      <w:proofErr w:type="spellStart"/>
      <w:r>
        <w:t>Stilgoe</w:t>
      </w:r>
      <w:proofErr w:type="spellEnd"/>
      <w:r>
        <w:t xml:space="preserve">, </w:t>
      </w:r>
      <w:r w:rsidRPr="00390501">
        <w:rPr>
          <w:i/>
        </w:rPr>
        <w:t xml:space="preserve">Citizen </w:t>
      </w:r>
      <w:proofErr w:type="spellStart"/>
      <w:r w:rsidRPr="00390501">
        <w:rPr>
          <w:i/>
        </w:rPr>
        <w:t>Scientists</w:t>
      </w:r>
      <w:proofErr w:type="spellEnd"/>
      <w:r>
        <w:rPr>
          <w:i/>
        </w:rPr>
        <w:t> </w:t>
      </w:r>
      <w:r w:rsidRPr="00390501">
        <w:rPr>
          <w:i/>
        </w:rPr>
        <w:t xml:space="preserve">: </w:t>
      </w:r>
      <w:proofErr w:type="spellStart"/>
      <w:r w:rsidRPr="00390501">
        <w:rPr>
          <w:i/>
        </w:rPr>
        <w:t>reconnecting</w:t>
      </w:r>
      <w:proofErr w:type="spellEnd"/>
      <w:r w:rsidRPr="00390501">
        <w:rPr>
          <w:i/>
        </w:rPr>
        <w:t xml:space="preserve"> science </w:t>
      </w:r>
      <w:proofErr w:type="spellStart"/>
      <w:r w:rsidRPr="00390501">
        <w:rPr>
          <w:i/>
        </w:rPr>
        <w:t>with</w:t>
      </w:r>
      <w:proofErr w:type="spellEnd"/>
      <w:r w:rsidRPr="00390501">
        <w:rPr>
          <w:i/>
        </w:rPr>
        <w:t xml:space="preserve"> civil society</w:t>
      </w:r>
      <w:r>
        <w:t>,</w:t>
      </w:r>
      <w:r w:rsidRPr="00390501">
        <w:t xml:space="preserve"> </w:t>
      </w:r>
      <w:proofErr w:type="spellStart"/>
      <w:r w:rsidRPr="00390501">
        <w:t>Demos</w:t>
      </w:r>
      <w:proofErr w:type="spellEnd"/>
      <w:r>
        <w:t>,</w:t>
      </w:r>
      <w:r w:rsidRPr="00390501">
        <w:t xml:space="preserve"> London, </w:t>
      </w:r>
      <w:r>
        <w:t xml:space="preserve">2009. Un article de María </w:t>
      </w:r>
      <w:proofErr w:type="spellStart"/>
      <w:r>
        <w:t>Luzón</w:t>
      </w:r>
      <w:proofErr w:type="spellEnd"/>
      <w:r w:rsidRPr="009F3290">
        <w:t xml:space="preserve"> </w:t>
      </w:r>
      <w:r>
        <w:t>(« </w:t>
      </w:r>
      <w:r w:rsidRPr="00390501">
        <w:t>Public Communication of Science in Blogs</w:t>
      </w:r>
      <w:r>
        <w:t> </w:t>
      </w:r>
      <w:r w:rsidRPr="00390501">
        <w:t xml:space="preserve">: </w:t>
      </w:r>
      <w:proofErr w:type="spellStart"/>
      <w:r w:rsidRPr="00390501">
        <w:t>Recontextualizing</w:t>
      </w:r>
      <w:proofErr w:type="spellEnd"/>
      <w:r w:rsidRPr="00390501">
        <w:t xml:space="preserve"> Scientific </w:t>
      </w:r>
      <w:proofErr w:type="spellStart"/>
      <w:r w:rsidRPr="00390501">
        <w:t>Discourse</w:t>
      </w:r>
      <w:proofErr w:type="spellEnd"/>
      <w:r w:rsidRPr="00390501">
        <w:t xml:space="preserve"> for a </w:t>
      </w:r>
      <w:proofErr w:type="spellStart"/>
      <w:r w:rsidRPr="00390501">
        <w:t>Diversified</w:t>
      </w:r>
      <w:proofErr w:type="spellEnd"/>
      <w:r w:rsidRPr="00390501">
        <w:t xml:space="preserve"> Audience</w:t>
      </w:r>
      <w:r>
        <w:t> »,</w:t>
      </w:r>
      <w:r w:rsidRPr="00390501">
        <w:t xml:space="preserve"> </w:t>
      </w:r>
      <w:proofErr w:type="spellStart"/>
      <w:r w:rsidRPr="00390501">
        <w:rPr>
          <w:i/>
        </w:rPr>
        <w:t>Written</w:t>
      </w:r>
      <w:proofErr w:type="spellEnd"/>
      <w:r w:rsidRPr="00390501">
        <w:rPr>
          <w:i/>
        </w:rPr>
        <w:t xml:space="preserve"> Communication</w:t>
      </w:r>
      <w:r w:rsidRPr="009F3290">
        <w:t xml:space="preserve">, </w:t>
      </w:r>
      <w:r>
        <w:t>n° 30/</w:t>
      </w:r>
      <w:r w:rsidRPr="009F3290">
        <w:t>4, 428</w:t>
      </w:r>
      <w:r w:rsidRPr="009F3290">
        <w:rPr>
          <w:rFonts w:ascii="Cambria Math" w:hAnsi="Cambria Math" w:cs="Cambria Math"/>
        </w:rPr>
        <w:t>‑</w:t>
      </w:r>
      <w:r w:rsidRPr="009F3290">
        <w:t>457</w:t>
      </w:r>
      <w:r>
        <w:t xml:space="preserve">) traite par ailleurs de la figure du </w:t>
      </w:r>
      <w:proofErr w:type="spellStart"/>
      <w:r>
        <w:rPr>
          <w:i/>
        </w:rPr>
        <w:t>civic</w:t>
      </w:r>
      <w:proofErr w:type="spellEnd"/>
      <w:r>
        <w:rPr>
          <w:i/>
        </w:rPr>
        <w:t xml:space="preserve"> </w:t>
      </w:r>
      <w:proofErr w:type="spellStart"/>
      <w:r>
        <w:rPr>
          <w:i/>
        </w:rPr>
        <w:t>scientist</w:t>
      </w:r>
      <w:proofErr w:type="spellEnd"/>
      <w:r>
        <w:rPr>
          <w:i/>
        </w:rPr>
        <w:t xml:space="preserve"> </w:t>
      </w:r>
      <w:r>
        <w:t>chez les blogueurs scientifiques.</w:t>
      </w:r>
    </w:p>
  </w:footnote>
  <w:footnote w:id="13">
    <w:p w14:paraId="50974234" w14:textId="5EBD5C32" w:rsidR="00186B2A" w:rsidRDefault="00186B2A" w:rsidP="0048046F">
      <w:pPr>
        <w:pStyle w:val="Notedebasdepage"/>
      </w:pPr>
      <w:r>
        <w:rPr>
          <w:rStyle w:val="Appelnotedebasdep"/>
        </w:rPr>
        <w:footnoteRef/>
      </w:r>
      <w:r>
        <w:t xml:space="preserve"> </w:t>
      </w:r>
      <w:r w:rsidRPr="005F0C1E">
        <w:t>Claire</w:t>
      </w:r>
      <w:r>
        <w:t xml:space="preserve"> Lemercier,</w:t>
      </w:r>
      <w:r w:rsidRPr="005F0C1E">
        <w:t xml:space="preserve"> </w:t>
      </w:r>
      <w:r>
        <w:t>« </w:t>
      </w:r>
      <w:r w:rsidRPr="005F0C1E">
        <w:t>Pour qui écrivons-nous</w:t>
      </w:r>
      <w:proofErr w:type="gramStart"/>
      <w:r w:rsidRPr="005F0C1E">
        <w:t> </w:t>
      </w:r>
      <w:r>
        <w:t> ?</w:t>
      </w:r>
      <w:proofErr w:type="gramEnd"/>
      <w:r>
        <w:t> </w:t>
      </w:r>
      <w:r w:rsidRPr="005F0C1E">
        <w:t xml:space="preserve">» </w:t>
      </w:r>
      <w:r w:rsidRPr="005F0C1E">
        <w:rPr>
          <w:i/>
          <w:iCs/>
        </w:rPr>
        <w:t>Revue d’histoire moderne et contemporaine</w:t>
      </w:r>
      <w:r>
        <w:t>, n° </w:t>
      </w:r>
      <w:r w:rsidRPr="005F0C1E">
        <w:t>62</w:t>
      </w:r>
      <w:r w:rsidRPr="005F0C1E">
        <w:noBreakHyphen/>
        <w:t>4 bis (2015/5</w:t>
      </w:r>
      <w:r>
        <w:t>), p. 46.</w:t>
      </w:r>
    </w:p>
  </w:footnote>
  <w:footnote w:id="14">
    <w:p w14:paraId="152872AB" w14:textId="2DDC7DB0" w:rsidR="00186B2A" w:rsidRDefault="00186B2A" w:rsidP="00E21973">
      <w:pPr>
        <w:pStyle w:val="Notedebasdepage"/>
      </w:pPr>
      <w:r>
        <w:rPr>
          <w:rStyle w:val="Appelnotedebasdep"/>
        </w:rPr>
        <w:footnoteRef/>
      </w:r>
      <w:r>
        <w:t xml:space="preserve"> </w:t>
      </w:r>
      <w:r w:rsidRPr="00BB2E88">
        <w:t>Yves Jeanneret</w:t>
      </w:r>
      <w:r>
        <w:t xml:space="preserve">, </w:t>
      </w:r>
      <w:r>
        <w:rPr>
          <w:i/>
        </w:rPr>
        <w:t>Critique de la trivialité</w:t>
      </w:r>
      <w:r>
        <w:t xml:space="preserve">, op. </w:t>
      </w:r>
      <w:proofErr w:type="spellStart"/>
      <w:proofErr w:type="gramStart"/>
      <w:r>
        <w:t>cit</w:t>
      </w:r>
      <w:proofErr w:type="spellEnd"/>
      <w:r>
        <w:t>.,</w:t>
      </w:r>
      <w:proofErr w:type="gramEnd"/>
      <w:r>
        <w:t xml:space="preserve"> p. 20.</w:t>
      </w:r>
    </w:p>
  </w:footnote>
  <w:footnote w:id="15">
    <w:p w14:paraId="38E3986D" w14:textId="4EA25D35" w:rsidR="00186B2A" w:rsidRPr="00A351F3" w:rsidRDefault="00186B2A" w:rsidP="00CC3CD2">
      <w:pPr>
        <w:pStyle w:val="Notedebasdepage"/>
      </w:pPr>
      <w:r>
        <w:rPr>
          <w:rStyle w:val="Appelnotedebasdep"/>
        </w:rPr>
        <w:footnoteRef/>
      </w:r>
      <w:r>
        <w:t xml:space="preserve"> Roger Chartier, « L’écrit sur l’écran. Ordre du discours, ordre des livres et manières de lire », </w:t>
      </w:r>
      <w:r>
        <w:rPr>
          <w:i/>
        </w:rPr>
        <w:t>Entreprises et histoire</w:t>
      </w:r>
      <w:r>
        <w:t>, n° 43, 2006, p. 21.</w:t>
      </w:r>
    </w:p>
  </w:footnote>
  <w:footnote w:id="16">
    <w:p w14:paraId="00DF2A0B" w14:textId="5046C664" w:rsidR="00186B2A" w:rsidRDefault="00186B2A" w:rsidP="00CC3CD2">
      <w:pPr>
        <w:pStyle w:val="Notedebasdepage"/>
      </w:pPr>
      <w:r>
        <w:rPr>
          <w:rStyle w:val="Appelnotedebasdep"/>
        </w:rPr>
        <w:footnoteRef/>
      </w:r>
      <w:r>
        <w:t xml:space="preserve"> </w:t>
      </w:r>
      <w:r w:rsidRPr="000520EF">
        <w:t>Marin</w:t>
      </w:r>
      <w:r>
        <w:t xml:space="preserve"> </w:t>
      </w:r>
      <w:r w:rsidRPr="000520EF">
        <w:t xml:space="preserve">Dacos, </w:t>
      </w:r>
      <w:r>
        <w:t>« </w:t>
      </w:r>
      <w:r w:rsidRPr="000520EF">
        <w:t>Le savoir est une arme. Discours de remise de la m</w:t>
      </w:r>
      <w:r>
        <w:t>édaille de l’innovation 2016 » [</w:t>
      </w:r>
      <w:r w:rsidRPr="000520EF">
        <w:t>Billet</w:t>
      </w:r>
      <w:r>
        <w:t>],</w:t>
      </w:r>
      <w:r w:rsidRPr="000520EF">
        <w:t xml:space="preserve"> </w:t>
      </w:r>
      <w:proofErr w:type="spellStart"/>
      <w:r w:rsidRPr="000520EF">
        <w:rPr>
          <w:i/>
          <w:iCs/>
        </w:rPr>
        <w:t>Blogo-numericus</w:t>
      </w:r>
      <w:proofErr w:type="spellEnd"/>
      <w:r>
        <w:rPr>
          <w:iCs/>
        </w:rPr>
        <w:t xml:space="preserve">, publié le 16 juin 2016. En ligne : </w:t>
      </w:r>
      <w:hyperlink r:id="rId4" w:history="1">
        <w:r>
          <w:rPr>
            <w:rStyle w:val="Lienhypertexte"/>
            <w:iCs/>
          </w:rPr>
          <w:t>http://</w:t>
        </w:r>
        <w:r w:rsidRPr="0040010B">
          <w:rPr>
            <w:rStyle w:val="Lienhypertexte"/>
            <w:iCs/>
          </w:rPr>
          <w:t>bn.hypotheses.org/11728</w:t>
        </w:r>
      </w:hyperlink>
      <w:r w:rsidRPr="000520EF">
        <w:t>.</w:t>
      </w:r>
      <w:r>
        <w:t xml:space="preserve"> </w:t>
      </w:r>
    </w:p>
  </w:footnote>
  <w:footnote w:id="17">
    <w:p w14:paraId="6359E855" w14:textId="518FD313" w:rsidR="00186B2A" w:rsidRPr="00D911DC" w:rsidRDefault="00186B2A" w:rsidP="00CC3CD2">
      <w:pPr>
        <w:pStyle w:val="Notedebasdepage"/>
        <w:rPr>
          <w:lang w:val="en-US"/>
        </w:rPr>
      </w:pPr>
      <w:r>
        <w:rPr>
          <w:rStyle w:val="Appelnotedebasdep"/>
        </w:rPr>
        <w:footnoteRef/>
      </w:r>
      <w:r>
        <w:t xml:space="preserve"> </w:t>
      </w:r>
      <w:r>
        <w:rPr>
          <w:i/>
        </w:rPr>
        <w:t xml:space="preserve">Id., </w:t>
      </w:r>
      <w:r>
        <w:t>« </w:t>
      </w:r>
      <w:r w:rsidRPr="000520EF">
        <w:t>Vers des médias numériques en sciences humaines et sociales</w:t>
      </w:r>
      <w:r>
        <w:t> :</w:t>
      </w:r>
      <w:r w:rsidRPr="000520EF">
        <w:t xml:space="preserve"> une contribution à l’épanouissement de la place des sciences humaines et sociales dans les sociétés contemporaines</w:t>
      </w:r>
      <w:r>
        <w:t> </w:t>
      </w:r>
      <w:r w:rsidRPr="000520EF">
        <w:t>»</w:t>
      </w:r>
      <w:r>
        <w:t>,</w:t>
      </w:r>
      <w:r w:rsidRPr="000520EF">
        <w:t xml:space="preserve"> </w:t>
      </w:r>
      <w:r w:rsidRPr="000453E1">
        <w:rPr>
          <w:i/>
        </w:rPr>
        <w:t>Tracés</w:t>
      </w:r>
      <w:r>
        <w:t>, 2012, n° </w:t>
      </w:r>
      <w:r w:rsidRPr="000520EF">
        <w:t>12</w:t>
      </w:r>
      <w:r>
        <w:t xml:space="preserve">. </w:t>
      </w:r>
      <w:proofErr w:type="spellStart"/>
      <w:r w:rsidRPr="00D911DC">
        <w:rPr>
          <w:lang w:val="en-US"/>
        </w:rPr>
        <w:t>En</w:t>
      </w:r>
      <w:proofErr w:type="spellEnd"/>
      <w:r w:rsidRPr="00D911DC">
        <w:rPr>
          <w:lang w:val="en-US"/>
        </w:rPr>
        <w:t xml:space="preserve"> </w:t>
      </w:r>
      <w:proofErr w:type="spellStart"/>
      <w:proofErr w:type="gramStart"/>
      <w:r w:rsidRPr="00D911DC">
        <w:rPr>
          <w:lang w:val="en-US"/>
        </w:rPr>
        <w:t>ligne</w:t>
      </w:r>
      <w:proofErr w:type="spellEnd"/>
      <w:r w:rsidRPr="00D911DC">
        <w:rPr>
          <w:lang w:val="en-US"/>
        </w:rPr>
        <w:t> :</w:t>
      </w:r>
      <w:proofErr w:type="gramEnd"/>
      <w:r w:rsidRPr="00D911DC">
        <w:rPr>
          <w:lang w:val="en-US"/>
        </w:rPr>
        <w:t xml:space="preserve"> </w:t>
      </w:r>
      <w:hyperlink r:id="rId5" w:history="1">
        <w:r w:rsidRPr="00D911DC">
          <w:rPr>
            <w:rStyle w:val="Lienhypertexte"/>
            <w:lang w:val="en-US"/>
          </w:rPr>
          <w:t>https://traces.revues.org/5534</w:t>
        </w:r>
      </w:hyperlink>
      <w:r w:rsidRPr="00D911DC">
        <w:rPr>
          <w:lang w:val="en-US"/>
        </w:rPr>
        <w:t xml:space="preserve">. </w:t>
      </w:r>
    </w:p>
  </w:footnote>
  <w:footnote w:id="18">
    <w:p w14:paraId="58AE1D93" w14:textId="761860C3" w:rsidR="00186B2A" w:rsidRPr="00805870" w:rsidRDefault="00186B2A" w:rsidP="006C7C03">
      <w:pPr>
        <w:pStyle w:val="Notedebasdepage"/>
        <w:rPr>
          <w:lang w:val="en-US"/>
        </w:rPr>
      </w:pPr>
      <w:r>
        <w:rPr>
          <w:rStyle w:val="Appelnotedebasdep"/>
        </w:rPr>
        <w:footnoteRef/>
      </w:r>
      <w:r w:rsidRPr="00805870">
        <w:rPr>
          <w:lang w:val="en-US"/>
        </w:rPr>
        <w:t xml:space="preserve"> </w:t>
      </w:r>
      <w:r w:rsidRPr="00805870">
        <w:rPr>
          <w:i/>
          <w:lang w:val="en-US"/>
        </w:rPr>
        <w:t>Hypotheses. Academic blogs</w:t>
      </w:r>
      <w:r>
        <w:rPr>
          <w:lang w:val="en-US"/>
        </w:rPr>
        <w:t xml:space="preserve">, </w:t>
      </w:r>
      <w:hyperlink r:id="rId6" w:history="1">
        <w:r>
          <w:rPr>
            <w:rStyle w:val="Lienhypertexte"/>
            <w:lang w:val="en-US"/>
          </w:rPr>
          <w:t>https://</w:t>
        </w:r>
        <w:r w:rsidRPr="00805870">
          <w:rPr>
            <w:rStyle w:val="Lienhypertexte"/>
            <w:lang w:val="en-US"/>
          </w:rPr>
          <w:t>hypotheses.org/</w:t>
        </w:r>
      </w:hyperlink>
      <w:r w:rsidRPr="00805870">
        <w:rPr>
          <w:lang w:val="en-US"/>
        </w:rPr>
        <w:t>.</w:t>
      </w:r>
    </w:p>
  </w:footnote>
  <w:footnote w:id="19">
    <w:p w14:paraId="6C834908" w14:textId="16E7607A" w:rsidR="00186B2A" w:rsidRPr="003B6507" w:rsidRDefault="00186B2A" w:rsidP="00AC02B4">
      <w:pPr>
        <w:pStyle w:val="Notedebasdepage"/>
      </w:pPr>
      <w:r>
        <w:rPr>
          <w:rStyle w:val="Appelnotedebasdep"/>
        </w:rPr>
        <w:footnoteRef/>
      </w:r>
      <w:r>
        <w:t xml:space="preserve"> Sur le </w:t>
      </w:r>
      <w:proofErr w:type="spellStart"/>
      <w:r w:rsidRPr="003B6507">
        <w:rPr>
          <w:i/>
        </w:rPr>
        <w:t>textiel</w:t>
      </w:r>
      <w:proofErr w:type="spellEnd"/>
      <w:r>
        <w:t xml:space="preserve">, voir Yves Jeanneret et </w:t>
      </w:r>
      <w:proofErr w:type="gramStart"/>
      <w:r>
        <w:t>al.,</w:t>
      </w:r>
      <w:proofErr w:type="gramEnd"/>
      <w:r>
        <w:t xml:space="preserve"> « </w:t>
      </w:r>
      <w:r w:rsidRPr="00006F77">
        <w:rPr>
          <w:rStyle w:val="Accentuation"/>
          <w:i w:val="0"/>
          <w:lang w:val="fr-FR"/>
        </w:rPr>
        <w:t>Chapitre II. Formes observables, représentations et appropriation du texte de réseau</w:t>
      </w:r>
      <w:r>
        <w:rPr>
          <w:rStyle w:val="Accentuation"/>
          <w:i w:val="0"/>
          <w:lang w:val="fr-FR"/>
        </w:rPr>
        <w:t> » dans</w:t>
      </w:r>
      <w:r>
        <w:t xml:space="preserve"> </w:t>
      </w:r>
      <w:r>
        <w:rPr>
          <w:rStyle w:val="Accentuation"/>
        </w:rPr>
        <w:t>Lire, écrire, récrire : Objets, signes et pratiques des médias informatisés</w:t>
      </w:r>
      <w:r>
        <w:t xml:space="preserve">, Paris, Éditions de la Bibliothèque publique d’information, 2003. En ligne : </w:t>
      </w:r>
      <w:hyperlink r:id="rId7" w:history="1">
        <w:r>
          <w:rPr>
            <w:rStyle w:val="Lienhypertexte"/>
          </w:rPr>
          <w:t>http://</w:t>
        </w:r>
        <w:r w:rsidRPr="009053A4">
          <w:rPr>
            <w:rStyle w:val="Lienhypertexte"/>
          </w:rPr>
          <w:t>books.openedition.org/bibpompidou/412</w:t>
        </w:r>
      </w:hyperlink>
      <w:r>
        <w:t xml:space="preserve"> ; ainsi que, du même, </w:t>
      </w:r>
      <w:r>
        <w:rPr>
          <w:i/>
        </w:rPr>
        <w:t>Critique de la trivialité</w:t>
      </w:r>
      <w:r>
        <w:t>, op. </w:t>
      </w:r>
      <w:proofErr w:type="spellStart"/>
      <w:proofErr w:type="gramStart"/>
      <w:r>
        <w:t>cit</w:t>
      </w:r>
      <w:proofErr w:type="spellEnd"/>
      <w:proofErr w:type="gramEnd"/>
      <w:r>
        <w:t>.</w:t>
      </w:r>
    </w:p>
  </w:footnote>
  <w:footnote w:id="20">
    <w:p w14:paraId="0395AC0D" w14:textId="632D94E0" w:rsidR="00186B2A" w:rsidRDefault="00186B2A" w:rsidP="00AC02B4">
      <w:pPr>
        <w:pStyle w:val="Notedebasdepage"/>
      </w:pPr>
      <w:r>
        <w:rPr>
          <w:rStyle w:val="Appelnotedebasdep"/>
        </w:rPr>
        <w:footnoteRef/>
      </w:r>
      <w:r>
        <w:t xml:space="preserve"> Voir Marie-Anne Paveau, « </w:t>
      </w:r>
      <w:r w:rsidRPr="00EB410E">
        <w:t xml:space="preserve">L’intégrité des corpus natifs en ligne Une écologie </w:t>
      </w:r>
      <w:proofErr w:type="spellStart"/>
      <w:r w:rsidRPr="00EB410E">
        <w:t>postdualiste</w:t>
      </w:r>
      <w:proofErr w:type="spellEnd"/>
      <w:r>
        <w:t xml:space="preserve"> pour la théorie du discours », </w:t>
      </w:r>
      <w:r w:rsidRPr="00EB410E">
        <w:rPr>
          <w:i/>
          <w:iCs/>
        </w:rPr>
        <w:t xml:space="preserve">Cahiers de </w:t>
      </w:r>
      <w:proofErr w:type="spellStart"/>
      <w:r w:rsidRPr="00EB410E">
        <w:rPr>
          <w:i/>
          <w:iCs/>
        </w:rPr>
        <w:t>praxématique</w:t>
      </w:r>
      <w:proofErr w:type="spellEnd"/>
      <w:r>
        <w:rPr>
          <w:iCs/>
        </w:rPr>
        <w:t>, 2012, n° </w:t>
      </w:r>
      <w:r>
        <w:t>59, p. 65</w:t>
      </w:r>
      <w:r>
        <w:noBreakHyphen/>
        <w:t>90 ; ainsi que « </w:t>
      </w:r>
      <w:r w:rsidRPr="00EB410E">
        <w:t>En naviguant en écrivant. Réflexions sur les textualités numériques</w:t>
      </w:r>
      <w:r>
        <w:t> », op. </w:t>
      </w:r>
      <w:proofErr w:type="spellStart"/>
      <w:proofErr w:type="gramStart"/>
      <w:r>
        <w:t>cit</w:t>
      </w:r>
      <w:proofErr w:type="spellEnd"/>
      <w:proofErr w:type="gramEnd"/>
      <w:r>
        <w:t>.</w:t>
      </w:r>
    </w:p>
  </w:footnote>
  <w:footnote w:id="21">
    <w:p w14:paraId="5A0EC401" w14:textId="112B0716" w:rsidR="00186B2A" w:rsidRPr="004A52A4" w:rsidRDefault="00186B2A" w:rsidP="00BB4FEB">
      <w:pPr>
        <w:pStyle w:val="Notedebasdepage"/>
      </w:pPr>
      <w:r>
        <w:rPr>
          <w:rStyle w:val="Appelnotedebasdep"/>
        </w:rPr>
        <w:footnoteRef/>
      </w:r>
      <w:r>
        <w:t xml:space="preserve"> Source : </w:t>
      </w:r>
      <w:hyperlink r:id="rId8" w:history="1">
        <w:r>
          <w:rPr>
            <w:rStyle w:val="Lienhypertexte"/>
          </w:rPr>
          <w:t>https://</w:t>
        </w:r>
        <w:r w:rsidRPr="0035551D">
          <w:rPr>
            <w:rStyle w:val="Lienhypertexte"/>
          </w:rPr>
          <w:t>logs.openedition.org/</w:t>
        </w:r>
      </w:hyperlink>
      <w:r>
        <w:t xml:space="preserve"> - statistiques publiques des logs de connexion pour les carnets du catalogue, à partir d’une analyse fournie par le logiciel </w:t>
      </w:r>
      <w:proofErr w:type="spellStart"/>
      <w:r w:rsidRPr="00500D69">
        <w:rPr>
          <w:i/>
        </w:rPr>
        <w:t>Awstat</w:t>
      </w:r>
      <w:proofErr w:type="spellEnd"/>
      <w:r>
        <w:t xml:space="preserve">. Deux carnets, </w:t>
      </w:r>
      <w:r>
        <w:rPr>
          <w:i/>
        </w:rPr>
        <w:t xml:space="preserve">Japon contemporain </w:t>
      </w:r>
      <w:r>
        <w:t xml:space="preserve">et </w:t>
      </w:r>
      <w:r>
        <w:rPr>
          <w:i/>
        </w:rPr>
        <w:t>L’Intelligence du monde</w:t>
      </w:r>
      <w:r>
        <w:t xml:space="preserve">, n’ont plus été alimentés en 2016. Le carnet </w:t>
      </w:r>
      <w:proofErr w:type="spellStart"/>
      <w:r>
        <w:rPr>
          <w:i/>
        </w:rPr>
        <w:t>UC@ctualité</w:t>
      </w:r>
      <w:proofErr w:type="spellEnd"/>
      <w:r>
        <w:rPr>
          <w:i/>
        </w:rPr>
        <w:t xml:space="preserve"> </w:t>
      </w:r>
      <w:r>
        <w:t xml:space="preserve">a été créé au cours de cette même année. Les catégorisations disciplinaires reprises dans le tableau sont celles mentionnées par le </w:t>
      </w:r>
      <w:r>
        <w:rPr>
          <w:i/>
        </w:rPr>
        <w:t>Catalogue des carnets de recherche</w:t>
      </w:r>
      <w:r>
        <w:t xml:space="preserve"> (disponible sur </w:t>
      </w:r>
      <w:hyperlink r:id="rId9" w:history="1">
        <w:r>
          <w:rPr>
            <w:rStyle w:val="Lienhypertexte"/>
          </w:rPr>
          <w:t>https://</w:t>
        </w:r>
        <w:r w:rsidRPr="00570553">
          <w:rPr>
            <w:rStyle w:val="Lienhypertexte"/>
          </w:rPr>
          <w:t>www.openedition.org/catalogue-notebooks</w:t>
        </w:r>
      </w:hyperlink>
      <w:r>
        <w:t>). Le taux de fidélité est obtenu en divisant le nombre de visites par le nombre de visiteurs uniques. Sur cet indicateur, voir Marin Dacos,</w:t>
      </w:r>
      <w:r w:rsidRPr="00DD4681">
        <w:t xml:space="preserve"> </w:t>
      </w:r>
      <w:r>
        <w:t>« La conversation silencieuse » [</w:t>
      </w:r>
      <w:r w:rsidRPr="00DD4681">
        <w:t>Billet</w:t>
      </w:r>
      <w:r>
        <w:t>],</w:t>
      </w:r>
      <w:r w:rsidRPr="00DD4681">
        <w:t xml:space="preserve"> </w:t>
      </w:r>
      <w:proofErr w:type="spellStart"/>
      <w:r w:rsidRPr="00DD4681">
        <w:rPr>
          <w:i/>
          <w:iCs/>
        </w:rPr>
        <w:t>Blogo-numericus</w:t>
      </w:r>
      <w:proofErr w:type="spellEnd"/>
      <w:r>
        <w:t xml:space="preserve">, publié le 23 juillet 2009. En ligne : </w:t>
      </w:r>
      <w:hyperlink r:id="rId10" w:history="1">
        <w:r w:rsidRPr="004B3497">
          <w:rPr>
            <w:rStyle w:val="Lienhypertexte"/>
          </w:rPr>
          <w:t>https://bn.hypotheses.org/191</w:t>
        </w:r>
      </w:hyperlink>
      <w:r>
        <w:t>.</w:t>
      </w:r>
    </w:p>
  </w:footnote>
  <w:footnote w:id="22">
    <w:p w14:paraId="586728F3" w14:textId="7FC26A0A" w:rsidR="00186B2A" w:rsidRDefault="00186B2A">
      <w:pPr>
        <w:pStyle w:val="Notedebasdepage"/>
      </w:pPr>
      <w:r>
        <w:rPr>
          <w:rStyle w:val="Appelnotedebasdep"/>
        </w:rPr>
        <w:footnoteRef/>
      </w:r>
      <w:r>
        <w:t xml:space="preserve"> Emma </w:t>
      </w:r>
      <w:proofErr w:type="spellStart"/>
      <w:r>
        <w:t>Bester</w:t>
      </w:r>
      <w:proofErr w:type="spellEnd"/>
      <w:r>
        <w:t xml:space="preserve"> et Marin Dacos, « Que savons-nous de l’identité, des comportements et des attentes des lecteurs de Revues.org en 2008 et 2009 ? », 2010. En ligne : </w:t>
      </w:r>
      <w:hyperlink r:id="rId11" w:history="1">
        <w:r>
          <w:rPr>
            <w:rStyle w:val="Lienhypertexte"/>
          </w:rPr>
          <w:t>http://</w:t>
        </w:r>
        <w:r w:rsidRPr="00570553">
          <w:rPr>
            <w:rStyle w:val="Lienhypertexte"/>
          </w:rPr>
          <w:t>archivesic.ccsd.cnrs.fr/sic_00452002/document</w:t>
        </w:r>
      </w:hyperlink>
      <w:r>
        <w:t>.</w:t>
      </w:r>
    </w:p>
  </w:footnote>
  <w:footnote w:id="23">
    <w:p w14:paraId="7B0DB9FC" w14:textId="2254FBC2" w:rsidR="00186B2A" w:rsidRPr="00936314" w:rsidRDefault="00186B2A">
      <w:pPr>
        <w:pStyle w:val="Notedebasdepage"/>
      </w:pPr>
      <w:r>
        <w:rPr>
          <w:rStyle w:val="Appelnotedebasdep"/>
        </w:rPr>
        <w:footnoteRef/>
      </w:r>
      <w:r>
        <w:t xml:space="preserve"> Certains carnets du corpus anticipent explicitement, dans leur texte de présentation ou dans la notice du catalogue </w:t>
      </w:r>
      <w:r>
        <w:rPr>
          <w:i/>
        </w:rPr>
        <w:t>Hypothèses</w:t>
      </w:r>
      <w:r>
        <w:t xml:space="preserve">, un public dépassant la sphère académique. C’est le cas de </w:t>
      </w:r>
      <w:proofErr w:type="spellStart"/>
      <w:r w:rsidRPr="001F0790">
        <w:rPr>
          <w:i/>
        </w:rPr>
        <w:t>Polit’Bistro</w:t>
      </w:r>
      <w:proofErr w:type="spellEnd"/>
      <w:r>
        <w:t xml:space="preserve"> qui, dans la rubrique « À propos », vise outre les chercheurs les « </w:t>
      </w:r>
      <w:r w:rsidRPr="00206213">
        <w:t>personnes s’intéressant à l’</w:t>
      </w:r>
      <w:r>
        <w:t xml:space="preserve">étude des phénomènes politiques ». </w:t>
      </w:r>
      <w:r>
        <w:rPr>
          <w:i/>
        </w:rPr>
        <w:t xml:space="preserve">Les Carnets de l’IREMAM </w:t>
      </w:r>
      <w:r>
        <w:t>s’adressent au chercheur mais aussi « </w:t>
      </w:r>
      <w:r w:rsidRPr="00206213">
        <w:t>au-delà, vers un public curieux de la vie de la recherche et ses interactions avec le monde qui l'entoure.</w:t>
      </w:r>
      <w:r>
        <w:t> » [</w:t>
      </w:r>
      <w:proofErr w:type="gramStart"/>
      <w:r>
        <w:t>notice</w:t>
      </w:r>
      <w:proofErr w:type="gramEnd"/>
      <w:r>
        <w:t xml:space="preserve"> du catalogue]. </w:t>
      </w:r>
      <w:proofErr w:type="spellStart"/>
      <w:r w:rsidRPr="00B80BA7">
        <w:rPr>
          <w:i/>
        </w:rPr>
        <w:t>UC</w:t>
      </w:r>
      <w:r>
        <w:t>@</w:t>
      </w:r>
      <w:r w:rsidRPr="00B80BA7">
        <w:rPr>
          <w:i/>
        </w:rPr>
        <w:t>ctualité</w:t>
      </w:r>
      <w:proofErr w:type="spellEnd"/>
      <w:r>
        <w:t xml:space="preserve"> explicite dans son </w:t>
      </w:r>
      <w:r>
        <w:rPr>
          <w:i/>
        </w:rPr>
        <w:t>éditorial</w:t>
      </w:r>
      <w:r>
        <w:t xml:space="preserve"> son souci d’une « ouverture à la société ». Enfin, </w:t>
      </w:r>
      <w:r>
        <w:rPr>
          <w:i/>
        </w:rPr>
        <w:t xml:space="preserve">L’intelligence du monde </w:t>
      </w:r>
      <w:r>
        <w:t xml:space="preserve">destine sa sélection de billet aux « publics des Instituts français dans le monde » [rubrique « À propos »]. Les autres n’anticipent pas d’allocutaires spécifiques dans la présentation du carnet, si ce n’est </w:t>
      </w:r>
      <w:proofErr w:type="spellStart"/>
      <w:r>
        <w:rPr>
          <w:i/>
        </w:rPr>
        <w:t>Ovipot</w:t>
      </w:r>
      <w:proofErr w:type="spellEnd"/>
      <w:r>
        <w:t xml:space="preserve"> qui, pour sa mission de mise à disposition de mise à disposition de ressources documentaires, s’adresse aux « spécialistes et chercheurs en sciences sociales » [rubrique « À propos »] mais ne présage pas d’un allocutaire pour le traitement de l’actualité. </w:t>
      </w:r>
    </w:p>
  </w:footnote>
  <w:footnote w:id="24">
    <w:p w14:paraId="6F4146A7" w14:textId="24B48A95" w:rsidR="00186B2A" w:rsidRDefault="00186B2A" w:rsidP="00AC02B4">
      <w:pPr>
        <w:pStyle w:val="Notedebasdepage"/>
      </w:pPr>
      <w:r>
        <w:rPr>
          <w:rStyle w:val="Appelnotedebasdep"/>
        </w:rPr>
        <w:footnoteRef/>
      </w:r>
      <w:r>
        <w:t xml:space="preserve"> </w:t>
      </w:r>
      <w:r>
        <w:rPr>
          <w:i/>
        </w:rPr>
        <w:t xml:space="preserve">Id., </w:t>
      </w:r>
      <w:r w:rsidRPr="00E558FC">
        <w:rPr>
          <w:i/>
          <w:iCs/>
        </w:rPr>
        <w:t>Penser la trivialité</w:t>
      </w:r>
      <w:r>
        <w:rPr>
          <w:i/>
          <w:iCs/>
        </w:rPr>
        <w:t> </w:t>
      </w:r>
      <w:r w:rsidRPr="00E558FC">
        <w:rPr>
          <w:i/>
          <w:iCs/>
        </w:rPr>
        <w:t>: La vie triviale des êtres culturels</w:t>
      </w:r>
      <w:r>
        <w:t>, Paris,</w:t>
      </w:r>
      <w:r w:rsidRPr="00E558FC">
        <w:t xml:space="preserve"> Hermès science publications, 2008</w:t>
      </w:r>
      <w:r>
        <w:t>, p. 57.</w:t>
      </w:r>
    </w:p>
  </w:footnote>
  <w:footnote w:id="25">
    <w:p w14:paraId="364071A6" w14:textId="284730E7" w:rsidR="00186B2A" w:rsidRDefault="00186B2A" w:rsidP="00AC02B4">
      <w:pPr>
        <w:pStyle w:val="Notedebasdepage"/>
      </w:pPr>
      <w:r>
        <w:rPr>
          <w:rStyle w:val="Appelnotedebasdep"/>
        </w:rPr>
        <w:footnoteRef/>
      </w:r>
      <w:r>
        <w:t xml:space="preserve"> </w:t>
      </w:r>
      <w:r w:rsidRPr="007F0086">
        <w:t>Yves</w:t>
      </w:r>
      <w:r>
        <w:t xml:space="preserve"> Jeanneret</w:t>
      </w:r>
      <w:r w:rsidRPr="007F0086">
        <w:t xml:space="preserve"> et </w:t>
      </w:r>
      <w:proofErr w:type="spellStart"/>
      <w:r w:rsidRPr="007F0086">
        <w:t>Emmanuël</w:t>
      </w:r>
      <w:proofErr w:type="spellEnd"/>
      <w:r w:rsidRPr="007F0086">
        <w:t xml:space="preserve"> </w:t>
      </w:r>
      <w:proofErr w:type="spellStart"/>
      <w:r w:rsidRPr="007F0086">
        <w:t>Souchier</w:t>
      </w:r>
      <w:proofErr w:type="spellEnd"/>
      <w:r w:rsidRPr="007F0086">
        <w:t xml:space="preserve">. </w:t>
      </w:r>
      <w:r>
        <w:t>« </w:t>
      </w:r>
      <w:r w:rsidRPr="007F0086">
        <w:t>L’énonciation éditoriale dans les écrits d’écran</w:t>
      </w:r>
      <w:r>
        <w:t> </w:t>
      </w:r>
      <w:r w:rsidRPr="007F0086">
        <w:t>»</w:t>
      </w:r>
      <w:r>
        <w:t>,</w:t>
      </w:r>
      <w:r w:rsidRPr="007F0086">
        <w:t xml:space="preserve"> </w:t>
      </w:r>
      <w:r w:rsidRPr="007F0086">
        <w:rPr>
          <w:i/>
          <w:iCs/>
        </w:rPr>
        <w:t>Communication et langages</w:t>
      </w:r>
      <w:r>
        <w:rPr>
          <w:iCs/>
        </w:rPr>
        <w:t>, 2005, n° </w:t>
      </w:r>
      <w:r>
        <w:t>145, p. 6.</w:t>
      </w:r>
    </w:p>
  </w:footnote>
  <w:footnote w:id="26">
    <w:p w14:paraId="6585B146" w14:textId="050F9676" w:rsidR="00186B2A" w:rsidRDefault="00186B2A">
      <w:pPr>
        <w:pStyle w:val="Notedebasdepage"/>
      </w:pPr>
      <w:r>
        <w:rPr>
          <w:rStyle w:val="Appelnotedebasdep"/>
        </w:rPr>
        <w:footnoteRef/>
      </w:r>
      <w:r>
        <w:t xml:space="preserve"> À titre d’exemple, on peut consulter le blog scientifique « En direct du Labo » à l’adresse </w:t>
      </w:r>
      <w:hyperlink r:id="rId12" w:history="1">
        <w:r>
          <w:rPr>
            <w:rStyle w:val="Lienhypertexte"/>
          </w:rPr>
          <w:t>http://</w:t>
        </w:r>
        <w:r w:rsidRPr="000809F2">
          <w:rPr>
            <w:rStyle w:val="Lienhypertexte"/>
          </w:rPr>
          <w:t>endirectdulabo.tumblr.com/</w:t>
        </w:r>
      </w:hyperlink>
      <w:r>
        <w:t xml:space="preserve">, lié au compte Twitter </w:t>
      </w:r>
      <w:r w:rsidRPr="00EE3838">
        <w:rPr>
          <w:i/>
        </w:rPr>
        <w:t>@</w:t>
      </w:r>
      <w:proofErr w:type="spellStart"/>
      <w:r w:rsidRPr="00EE3838">
        <w:rPr>
          <w:i/>
        </w:rPr>
        <w:t>EnDirectDuLabo</w:t>
      </w:r>
      <w:proofErr w:type="spellEnd"/>
      <w:r>
        <w:t xml:space="preserve">. </w:t>
      </w:r>
    </w:p>
  </w:footnote>
  <w:footnote w:id="27">
    <w:p w14:paraId="41EB85BC" w14:textId="306A02F6" w:rsidR="00186B2A" w:rsidRPr="005109BF" w:rsidRDefault="00186B2A">
      <w:pPr>
        <w:pStyle w:val="Notedebasdepage"/>
      </w:pPr>
      <w:r>
        <w:rPr>
          <w:rStyle w:val="Appelnotedebasdep"/>
        </w:rPr>
        <w:footnoteRef/>
      </w:r>
      <w:r>
        <w:t xml:space="preserve"> Alain </w:t>
      </w:r>
      <w:proofErr w:type="spellStart"/>
      <w:r>
        <w:t>Rabatel</w:t>
      </w:r>
      <w:proofErr w:type="spellEnd"/>
      <w:r>
        <w:t>, « Analyse énonciative du discours rapporté/montré direct et du discours d’escorte du site d’</w:t>
      </w:r>
      <w:r>
        <w:rPr>
          <w:i/>
        </w:rPr>
        <w:t>Arrêt sur image</w:t>
      </w:r>
      <w:r>
        <w:t xml:space="preserve"> », dans : </w:t>
      </w:r>
      <w:r>
        <w:rPr>
          <w:i/>
        </w:rPr>
        <w:t>Pour une lecture linguistique et critique des médias</w:t>
      </w:r>
      <w:r>
        <w:t>, Limoges, Lambert-Lucas, 2017, pp. 379-394.</w:t>
      </w:r>
    </w:p>
  </w:footnote>
  <w:footnote w:id="28">
    <w:p w14:paraId="4824D959" w14:textId="688F1395" w:rsidR="00186B2A" w:rsidRDefault="00186B2A" w:rsidP="00E21973">
      <w:pPr>
        <w:pStyle w:val="Notedebasdepage"/>
      </w:pPr>
      <w:r>
        <w:rPr>
          <w:rStyle w:val="Appelnotedebasdep"/>
        </w:rPr>
        <w:footnoteRef/>
      </w:r>
      <w:r>
        <w:t xml:space="preserve"> Le lien entre le format textuel et son appréhension par le lecteur a été étudié par Roger Chartier (notamment dans « </w:t>
      </w:r>
      <w:r w:rsidRPr="00A92AFA">
        <w:t>L'écrit sur l'écran. Ordre du discours, ordre des livres et manières de lire</w:t>
      </w:r>
      <w:r>
        <w:t xml:space="preserve"> », art. </w:t>
      </w:r>
      <w:proofErr w:type="spellStart"/>
      <w:proofErr w:type="gramStart"/>
      <w:r>
        <w:t>cit</w:t>
      </w:r>
      <w:proofErr w:type="spellEnd"/>
      <w:proofErr w:type="gramEnd"/>
      <w:r>
        <w:t xml:space="preserve">). Chartier relève que la </w:t>
      </w:r>
      <w:r>
        <w:rPr>
          <w:i/>
        </w:rPr>
        <w:t xml:space="preserve">continuité </w:t>
      </w:r>
      <w:r w:rsidRPr="00976EA0">
        <w:rPr>
          <w:i/>
        </w:rPr>
        <w:t>textuelle</w:t>
      </w:r>
      <w:r>
        <w:t xml:space="preserve"> des écrits d’écran, centralisés sur un support unique et inscrits dans des formats standardisés, modifie l’</w:t>
      </w:r>
      <w:r>
        <w:rPr>
          <w:i/>
        </w:rPr>
        <w:t>ordre des discours</w:t>
      </w:r>
      <w:r>
        <w:t xml:space="preserve"> et rend à peu près caduque l’expérience de reconnaissance des formes que le lecteur avait pu acquérir par la fréquentation de l’imprimé.</w:t>
      </w:r>
    </w:p>
  </w:footnote>
  <w:footnote w:id="29">
    <w:p w14:paraId="48B301B9" w14:textId="53C46B11" w:rsidR="00186B2A" w:rsidRPr="00A609AD" w:rsidRDefault="00186B2A" w:rsidP="00E21973">
      <w:pPr>
        <w:pStyle w:val="Notedebasdepage"/>
      </w:pPr>
      <w:r>
        <w:rPr>
          <w:rStyle w:val="Appelnotedebasdep"/>
        </w:rPr>
        <w:footnoteRef/>
      </w:r>
      <w:r>
        <w:t xml:space="preserve"> Je repends ici la distinction établie par Thomas Ferenczi dans </w:t>
      </w:r>
      <w:r>
        <w:rPr>
          <w:i/>
        </w:rPr>
        <w:t>Le journalisme</w:t>
      </w:r>
      <w:r>
        <w:t xml:space="preserve">, </w:t>
      </w:r>
      <w:r w:rsidRPr="00174358">
        <w:t>Paris</w:t>
      </w:r>
      <w:r>
        <w:t>, PUF, 2007.</w:t>
      </w:r>
    </w:p>
  </w:footnote>
  <w:footnote w:id="30">
    <w:p w14:paraId="770CEFB9" w14:textId="5B099464" w:rsidR="00186B2A" w:rsidRDefault="00186B2A">
      <w:pPr>
        <w:pStyle w:val="Notedebasdepage"/>
      </w:pPr>
      <w:r>
        <w:rPr>
          <w:rStyle w:val="Appelnotedebasdep"/>
        </w:rPr>
        <w:footnoteRef/>
      </w:r>
      <w:r>
        <w:t xml:space="preserve"> François </w:t>
      </w:r>
      <w:proofErr w:type="spellStart"/>
      <w:r w:rsidRPr="008157A3">
        <w:t>Burgat</w:t>
      </w:r>
      <w:proofErr w:type="spellEnd"/>
      <w:r w:rsidRPr="008157A3">
        <w:t>,</w:t>
      </w:r>
      <w:r>
        <w:t xml:space="preserve"> « </w:t>
      </w:r>
      <w:r w:rsidRPr="008157A3">
        <w:t xml:space="preserve">Les ressorts politiques de la mobilisation </w:t>
      </w:r>
      <w:proofErr w:type="spellStart"/>
      <w:r w:rsidRPr="008157A3">
        <w:t>jihadiste</w:t>
      </w:r>
      <w:proofErr w:type="spellEnd"/>
      <w:r w:rsidRPr="008157A3">
        <w:t xml:space="preserve"> en Europe</w:t>
      </w:r>
      <w:r>
        <w:t xml:space="preserve"> » [Billet], </w:t>
      </w:r>
      <w:r>
        <w:rPr>
          <w:i/>
        </w:rPr>
        <w:t>Les carnets de l’IREMAM</w:t>
      </w:r>
      <w:r>
        <w:t>, publié le 15 octobre 2015. En ligne :</w:t>
      </w:r>
      <w:r w:rsidRPr="008157A3">
        <w:t xml:space="preserve"> </w:t>
      </w:r>
      <w:hyperlink r:id="rId13" w:history="1">
        <w:r>
          <w:rPr>
            <w:rStyle w:val="Lienhypertexte"/>
          </w:rPr>
          <w:t>http://</w:t>
        </w:r>
        <w:r w:rsidRPr="000809F2">
          <w:rPr>
            <w:rStyle w:val="Lienhypertexte"/>
          </w:rPr>
          <w:t>iremam.hypotheses.org/6060</w:t>
        </w:r>
      </w:hyperlink>
      <w:r>
        <w:t xml:space="preserve">. </w:t>
      </w:r>
    </w:p>
  </w:footnote>
  <w:footnote w:id="31">
    <w:p w14:paraId="1656009C" w14:textId="38E8142C" w:rsidR="00186B2A" w:rsidRDefault="00186B2A" w:rsidP="00E21973">
      <w:pPr>
        <w:pStyle w:val="Notedebasdepage"/>
      </w:pPr>
      <w:r>
        <w:rPr>
          <w:rStyle w:val="Appelnotedebasdep"/>
        </w:rPr>
        <w:footnoteRef/>
      </w:r>
      <w:r>
        <w:t xml:space="preserve"> Jean Marcou, « À propos », </w:t>
      </w:r>
      <w:proofErr w:type="spellStart"/>
      <w:r>
        <w:rPr>
          <w:i/>
        </w:rPr>
        <w:t>Ovipot</w:t>
      </w:r>
      <w:proofErr w:type="spellEnd"/>
      <w:r>
        <w:t xml:space="preserve">. En ligne : </w:t>
      </w:r>
      <w:hyperlink r:id="rId14" w:history="1">
        <w:r>
          <w:rPr>
            <w:rStyle w:val="Lienhypertexte"/>
          </w:rPr>
          <w:t>https://</w:t>
        </w:r>
        <w:r w:rsidRPr="00464747">
          <w:rPr>
            <w:rStyle w:val="Lienhypertexte"/>
          </w:rPr>
          <w:t>ovipot.hypotheses.org/a-propos</w:t>
        </w:r>
      </w:hyperlink>
      <w:r>
        <w:rPr>
          <w:rStyle w:val="Lienhypertexte"/>
        </w:rPr>
        <w:t>.</w:t>
      </w:r>
      <w:r>
        <w:t xml:space="preserve"> </w:t>
      </w:r>
    </w:p>
  </w:footnote>
  <w:footnote w:id="32">
    <w:p w14:paraId="7C621172" w14:textId="43888223" w:rsidR="00186B2A" w:rsidRPr="00FF4AC0" w:rsidRDefault="00186B2A" w:rsidP="00E21973">
      <w:pPr>
        <w:pStyle w:val="Notedebasdepage"/>
      </w:pPr>
      <w:r>
        <w:rPr>
          <w:rStyle w:val="Appelnotedebasdep"/>
        </w:rPr>
        <w:footnoteRef/>
      </w:r>
      <w:r w:rsidRPr="00FF4AC0">
        <w:t xml:space="preserve"> Khaled </w:t>
      </w:r>
      <w:proofErr w:type="spellStart"/>
      <w:r>
        <w:t>Z</w:t>
      </w:r>
      <w:r w:rsidRPr="00FF4AC0">
        <w:t>ouari</w:t>
      </w:r>
      <w:proofErr w:type="spellEnd"/>
      <w:r w:rsidRPr="00FF4AC0">
        <w:t xml:space="preserve"> et Pascal Gay, </w:t>
      </w:r>
      <w:r>
        <w:t>« </w:t>
      </w:r>
      <w:r w:rsidRPr="00FF4AC0">
        <w:t>Les attentats</w:t>
      </w:r>
      <w:r>
        <w:t> : et après ? » [</w:t>
      </w:r>
      <w:proofErr w:type="gramStart"/>
      <w:r>
        <w:t>billet</w:t>
      </w:r>
      <w:proofErr w:type="gramEnd"/>
      <w:r>
        <w:t xml:space="preserve">], </w:t>
      </w:r>
      <w:proofErr w:type="spellStart"/>
      <w:r>
        <w:rPr>
          <w:i/>
        </w:rPr>
        <w:t>UC@ctualités</w:t>
      </w:r>
      <w:proofErr w:type="spellEnd"/>
      <w:r>
        <w:t xml:space="preserve">, publié le 6 juillet 2016. En ligne : </w:t>
      </w:r>
      <w:hyperlink r:id="rId15" w:history="1">
        <w:r>
          <w:rPr>
            <w:rStyle w:val="Lienhypertexte"/>
          </w:rPr>
          <w:t>https://</w:t>
        </w:r>
        <w:r w:rsidRPr="00FF4AC0">
          <w:rPr>
            <w:rStyle w:val="Lienhypertexte"/>
          </w:rPr>
          <w:t>ucactualite.hypotheses.org/category/editorial</w:t>
        </w:r>
      </w:hyperlink>
      <w:r>
        <w:t>.</w:t>
      </w:r>
    </w:p>
  </w:footnote>
  <w:footnote w:id="33">
    <w:p w14:paraId="59444C22" w14:textId="6C27E65C" w:rsidR="00186B2A" w:rsidRDefault="00186B2A" w:rsidP="00E21973">
      <w:pPr>
        <w:pStyle w:val="Notedebasdepage"/>
      </w:pPr>
      <w:r>
        <w:rPr>
          <w:rStyle w:val="Appelnotedebasdep"/>
        </w:rPr>
        <w:footnoteRef/>
      </w:r>
      <w:r>
        <w:t xml:space="preserve"> P</w:t>
      </w:r>
      <w:r w:rsidRPr="000E073D">
        <w:t xml:space="preserve">ar exemple, le carnet bilingue </w:t>
      </w:r>
      <w:proofErr w:type="spellStart"/>
      <w:r w:rsidRPr="000E073D">
        <w:rPr>
          <w:i/>
        </w:rPr>
        <w:t>Freakonometrics</w:t>
      </w:r>
      <w:proofErr w:type="spellEnd"/>
      <w:r w:rsidRPr="000E073D">
        <w:t xml:space="preserve">, très consulté sur </w:t>
      </w:r>
      <w:r w:rsidRPr="000E073D">
        <w:rPr>
          <w:i/>
        </w:rPr>
        <w:t>Hypothèses</w:t>
      </w:r>
      <w:r w:rsidRPr="000E073D">
        <w:t>, s’ad</w:t>
      </w:r>
      <w:r>
        <w:t>resse à un public disposant de s</w:t>
      </w:r>
      <w:r w:rsidRPr="000E073D">
        <w:t xml:space="preserve">olides </w:t>
      </w:r>
      <w:proofErr w:type="spellStart"/>
      <w:r w:rsidRPr="000E073D">
        <w:t>pré-requis</w:t>
      </w:r>
      <w:proofErr w:type="spellEnd"/>
      <w:r w:rsidRPr="000E073D">
        <w:t xml:space="preserve"> mathématiques et statistiques</w:t>
      </w:r>
      <w:r>
        <w:t xml:space="preserve"> : </w:t>
      </w:r>
      <w:hyperlink r:id="rId16" w:history="1">
        <w:r>
          <w:rPr>
            <w:rStyle w:val="Lienhypertexte"/>
          </w:rPr>
          <w:t>https://</w:t>
        </w:r>
        <w:r w:rsidRPr="001842D4">
          <w:rPr>
            <w:rStyle w:val="Lienhypertexte"/>
          </w:rPr>
          <w:t>freakonometrics.hypotheses.org/</w:t>
        </w:r>
      </w:hyperlink>
      <w:r>
        <w:t>.</w:t>
      </w:r>
    </w:p>
  </w:footnote>
  <w:footnote w:id="34">
    <w:p w14:paraId="2C2988CC" w14:textId="77777777" w:rsidR="00186B2A" w:rsidRDefault="00186B2A" w:rsidP="00E21973">
      <w:pPr>
        <w:pStyle w:val="Notedebasdepage"/>
      </w:pPr>
      <w:r>
        <w:rPr>
          <w:rStyle w:val="Appelnotedebasdep"/>
        </w:rPr>
        <w:footnoteRef/>
      </w:r>
      <w:r>
        <w:t xml:space="preserve"> Cette question mériterait également une analyse approfondie, à mener en lien avec la présence de traces de subjectivité dans l’énonciation des carnets de recherche. La plupart des rédacteurs, dans les carnets du corpus, manifestent un éthos qui est celui du chercheur en travail/sur le terrain. Seul le carnet </w:t>
      </w:r>
      <w:proofErr w:type="spellStart"/>
      <w:r>
        <w:rPr>
          <w:i/>
        </w:rPr>
        <w:t>RussEurope</w:t>
      </w:r>
      <w:proofErr w:type="spellEnd"/>
      <w:r>
        <w:t xml:space="preserve"> montre un rédacteur soucieux de se présenter comme expert (notamment par une biographie illustrée d’une photographie de l’auteur sur la première page). </w:t>
      </w:r>
    </w:p>
  </w:footnote>
  <w:footnote w:id="35">
    <w:p w14:paraId="5071C8C9" w14:textId="11FBEFEC" w:rsidR="00186B2A" w:rsidRDefault="00186B2A" w:rsidP="00E21973">
      <w:pPr>
        <w:pStyle w:val="Notedebasdepage"/>
      </w:pPr>
      <w:r>
        <w:rPr>
          <w:rStyle w:val="Appelnotedebasdep"/>
        </w:rPr>
        <w:footnoteRef/>
      </w:r>
      <w:r>
        <w:t xml:space="preserve"> Ch. Bouquet, « </w:t>
      </w:r>
      <w:r w:rsidRPr="00B17F75">
        <w:rPr>
          <w:bCs/>
          <w:lang w:val="fr-FR"/>
        </w:rPr>
        <w:t>À l’angle de la 5th Avenue et de la 42th Street</w:t>
      </w:r>
      <w:r>
        <w:rPr>
          <w:bCs/>
          <w:lang w:val="fr-FR"/>
        </w:rPr>
        <w:t> </w:t>
      </w:r>
      <w:r w:rsidRPr="00B17F75">
        <w:rPr>
          <w:bCs/>
          <w:lang w:val="fr-FR"/>
        </w:rPr>
        <w:t>»</w:t>
      </w:r>
      <w:r>
        <w:rPr>
          <w:bCs/>
          <w:lang w:val="fr-FR"/>
        </w:rPr>
        <w:t xml:space="preserve"> [billet], </w:t>
      </w:r>
      <w:proofErr w:type="spellStart"/>
      <w:r w:rsidRPr="000E2E78">
        <w:rPr>
          <w:bCs/>
          <w:i/>
          <w:lang w:val="fr-FR"/>
        </w:rPr>
        <w:t>LAMenparle</w:t>
      </w:r>
      <w:proofErr w:type="spellEnd"/>
      <w:r>
        <w:rPr>
          <w:bCs/>
          <w:lang w:val="fr-FR"/>
        </w:rPr>
        <w:t xml:space="preserve">, publié le </w:t>
      </w:r>
      <w:r>
        <w:t xml:space="preserve">5 octobre 2016. En ligne : </w:t>
      </w:r>
      <w:hyperlink r:id="rId17" w:history="1">
        <w:r>
          <w:rPr>
            <w:rStyle w:val="Lienhypertexte"/>
          </w:rPr>
          <w:t>http://</w:t>
        </w:r>
        <w:r w:rsidRPr="0035551D">
          <w:rPr>
            <w:rStyle w:val="Lienhypertexte"/>
          </w:rPr>
          <w:t>lamenparle.hypotheses.org/545</w:t>
        </w:r>
      </w:hyperlink>
      <w:r>
        <w:t>.</w:t>
      </w:r>
    </w:p>
  </w:footnote>
  <w:footnote w:id="36">
    <w:p w14:paraId="38309638" w14:textId="65594395" w:rsidR="00186B2A" w:rsidRPr="000E2E78" w:rsidRDefault="00186B2A" w:rsidP="00E21973">
      <w:pPr>
        <w:pStyle w:val="Notedebasdepage"/>
      </w:pPr>
      <w:r>
        <w:rPr>
          <w:rStyle w:val="Appelnotedebasdep"/>
        </w:rPr>
        <w:footnoteRef/>
      </w:r>
      <w:r w:rsidRPr="000E2E78">
        <w:t xml:space="preserve"> Vincent </w:t>
      </w:r>
      <w:proofErr w:type="spellStart"/>
      <w:r w:rsidRPr="000E2E78">
        <w:t>Bonnecase</w:t>
      </w:r>
      <w:proofErr w:type="spellEnd"/>
      <w:r>
        <w:t xml:space="preserve">, </w:t>
      </w:r>
      <w:r>
        <w:rPr>
          <w:bCs/>
          <w:lang w:val="fr-FR"/>
        </w:rPr>
        <w:t>« </w:t>
      </w:r>
      <w:r w:rsidRPr="000E2E78">
        <w:rPr>
          <w:bCs/>
          <w:lang w:val="fr-FR"/>
        </w:rPr>
        <w:t>Écrire, sensibiliser, diffuser, vendre… Mais quoi</w:t>
      </w:r>
      <w:r>
        <w:rPr>
          <w:bCs/>
          <w:lang w:val="fr-FR"/>
        </w:rPr>
        <w:t> </w:t>
      </w:r>
      <w:r w:rsidRPr="000E2E78">
        <w:rPr>
          <w:bCs/>
          <w:lang w:val="fr-FR"/>
        </w:rPr>
        <w:t xml:space="preserve">? Autour </w:t>
      </w:r>
      <w:r w:rsidRPr="000E2E78">
        <w:rPr>
          <w:bCs/>
          <w:i/>
          <w:lang w:val="fr-FR"/>
        </w:rPr>
        <w:t>d’</w:t>
      </w:r>
      <w:proofErr w:type="spellStart"/>
      <w:r w:rsidRPr="000E2E78">
        <w:rPr>
          <w:bCs/>
          <w:i/>
          <w:lang w:val="fr-FR"/>
        </w:rPr>
        <w:t>Africanistan</w:t>
      </w:r>
      <w:proofErr w:type="spellEnd"/>
      <w:r>
        <w:rPr>
          <w:bCs/>
          <w:lang w:val="fr-FR"/>
        </w:rPr>
        <w:t> </w:t>
      </w:r>
      <w:r w:rsidRPr="000E2E78">
        <w:rPr>
          <w:bCs/>
          <w:lang w:val="fr-FR"/>
        </w:rPr>
        <w:t>»</w:t>
      </w:r>
      <w:r>
        <w:rPr>
          <w:bCs/>
          <w:lang w:val="fr-FR"/>
        </w:rPr>
        <w:t xml:space="preserve"> [billet]</w:t>
      </w:r>
      <w:r>
        <w:t xml:space="preserve">, </w:t>
      </w:r>
      <w:proofErr w:type="spellStart"/>
      <w:r w:rsidRPr="000E2E78">
        <w:rPr>
          <w:bCs/>
          <w:i/>
          <w:lang w:val="fr-FR"/>
        </w:rPr>
        <w:t>LAMenparle</w:t>
      </w:r>
      <w:proofErr w:type="spellEnd"/>
      <w:r>
        <w:rPr>
          <w:bCs/>
          <w:lang w:val="fr-FR"/>
        </w:rPr>
        <w:t xml:space="preserve">, publié le </w:t>
      </w:r>
      <w:r>
        <w:t xml:space="preserve">23 janvier </w:t>
      </w:r>
      <w:r w:rsidRPr="000E2E78">
        <w:t>2017</w:t>
      </w:r>
      <w:r>
        <w:t xml:space="preserve">. En ligne : </w:t>
      </w:r>
      <w:hyperlink r:id="rId18" w:history="1">
        <w:r>
          <w:rPr>
            <w:rStyle w:val="Lienhypertexte"/>
          </w:rPr>
          <w:t>https://</w:t>
        </w:r>
        <w:r w:rsidRPr="000E2E78">
          <w:rPr>
            <w:rStyle w:val="Lienhypertexte"/>
          </w:rPr>
          <w:t>lamenparle.hypotheses.org/570</w:t>
        </w:r>
      </w:hyperlink>
      <w:r w:rsidRPr="000E2E78">
        <w:t>.</w:t>
      </w:r>
    </w:p>
  </w:footnote>
  <w:footnote w:id="37">
    <w:p w14:paraId="3AFFBBF5" w14:textId="0CFF610B" w:rsidR="00186B2A" w:rsidRDefault="00186B2A" w:rsidP="00E21973">
      <w:pPr>
        <w:pStyle w:val="Notedebasdepage"/>
      </w:pPr>
      <w:r>
        <w:rPr>
          <w:rStyle w:val="Appelnotedebasdep"/>
        </w:rPr>
        <w:footnoteRef/>
      </w:r>
      <w:r>
        <w:t xml:space="preserve"> </w:t>
      </w:r>
      <w:r w:rsidRPr="00F61537">
        <w:t>Yves Gonzalez-</w:t>
      </w:r>
      <w:proofErr w:type="spellStart"/>
      <w:r w:rsidRPr="00F61537">
        <w:t>Quijano</w:t>
      </w:r>
      <w:proofErr w:type="spellEnd"/>
      <w:r>
        <w:t xml:space="preserve">, </w:t>
      </w:r>
      <w:r>
        <w:rPr>
          <w:bCs/>
          <w:lang w:val="fr-FR"/>
        </w:rPr>
        <w:t>« </w:t>
      </w:r>
      <w:proofErr w:type="spellStart"/>
      <w:r w:rsidRPr="00EF7CE0">
        <w:rPr>
          <w:bCs/>
          <w:lang w:val="fr-FR"/>
        </w:rPr>
        <w:t>Hwages</w:t>
      </w:r>
      <w:proofErr w:type="spellEnd"/>
      <w:r>
        <w:rPr>
          <w:bCs/>
          <w:lang w:val="fr-FR"/>
        </w:rPr>
        <w:t> </w:t>
      </w:r>
      <w:r w:rsidRPr="00EF7CE0">
        <w:rPr>
          <w:bCs/>
          <w:lang w:val="fr-FR"/>
        </w:rPr>
        <w:t>: jeune génération et révolution en Arabie saoudite</w:t>
      </w:r>
      <w:r>
        <w:rPr>
          <w:bCs/>
          <w:lang w:val="fr-FR"/>
        </w:rPr>
        <w:t xml:space="preserve"> » [billet], </w:t>
      </w:r>
      <w:r>
        <w:rPr>
          <w:bCs/>
          <w:i/>
          <w:lang w:val="fr-FR"/>
        </w:rPr>
        <w:t>Culture et politique arabes</w:t>
      </w:r>
      <w:r>
        <w:rPr>
          <w:bCs/>
          <w:lang w:val="fr-FR"/>
        </w:rPr>
        <w:t>,</w:t>
      </w:r>
      <w:r>
        <w:t xml:space="preserve"> publié le 11 janvier 2017. En ligne : </w:t>
      </w:r>
      <w:hyperlink r:id="rId19" w:history="1">
        <w:r>
          <w:rPr>
            <w:rStyle w:val="Lienhypertexte"/>
          </w:rPr>
          <w:t>http://</w:t>
        </w:r>
        <w:r w:rsidRPr="00B94956">
          <w:rPr>
            <w:rStyle w:val="Lienhypertexte"/>
          </w:rPr>
          <w:t>cpa.hypotheses.org/6142</w:t>
        </w:r>
      </w:hyperlink>
      <w:r>
        <w:t>.</w:t>
      </w:r>
    </w:p>
  </w:footnote>
  <w:footnote w:id="38">
    <w:p w14:paraId="7FDA8921" w14:textId="2F43CAC7" w:rsidR="00186B2A" w:rsidRDefault="00186B2A" w:rsidP="00E21973">
      <w:pPr>
        <w:pStyle w:val="Notedebasdepage"/>
      </w:pPr>
      <w:r>
        <w:rPr>
          <w:rStyle w:val="Appelnotedebasdep"/>
        </w:rPr>
        <w:footnoteRef/>
      </w:r>
      <w:r>
        <w:t xml:space="preserve"> </w:t>
      </w:r>
      <w:r w:rsidRPr="00F61537">
        <w:t>Yves Gonzalez-</w:t>
      </w:r>
      <w:proofErr w:type="spellStart"/>
      <w:r w:rsidRPr="00F61537">
        <w:t>Quijano</w:t>
      </w:r>
      <w:proofErr w:type="spellEnd"/>
      <w:r>
        <w:t xml:space="preserve">, </w:t>
      </w:r>
      <w:r>
        <w:rPr>
          <w:bCs/>
          <w:lang w:val="fr-FR"/>
        </w:rPr>
        <w:t>« </w:t>
      </w:r>
      <w:r w:rsidRPr="00055F60">
        <w:rPr>
          <w:bCs/>
          <w:lang w:val="fr-FR"/>
        </w:rPr>
        <w:t>Des lois à la pelle</w:t>
      </w:r>
      <w:r>
        <w:rPr>
          <w:bCs/>
          <w:lang w:val="fr-FR"/>
        </w:rPr>
        <w:t> </w:t>
      </w:r>
      <w:r w:rsidRPr="00055F60">
        <w:rPr>
          <w:bCs/>
          <w:lang w:val="fr-FR"/>
        </w:rPr>
        <w:t>: la loi sur l’appel à la prière en Palestine</w:t>
      </w:r>
      <w:r>
        <w:rPr>
          <w:bCs/>
          <w:lang w:val="fr-FR"/>
        </w:rPr>
        <w:t> </w:t>
      </w:r>
      <w:r w:rsidRPr="00055F60">
        <w:rPr>
          <w:bCs/>
          <w:lang w:val="fr-FR"/>
        </w:rPr>
        <w:t>»</w:t>
      </w:r>
      <w:r>
        <w:rPr>
          <w:bCs/>
          <w:lang w:val="fr-FR"/>
        </w:rPr>
        <w:t xml:space="preserve"> [billet], </w:t>
      </w:r>
      <w:r>
        <w:rPr>
          <w:bCs/>
          <w:i/>
          <w:lang w:val="fr-FR"/>
        </w:rPr>
        <w:t>Culture et politique arabes</w:t>
      </w:r>
      <w:r>
        <w:rPr>
          <w:bCs/>
          <w:lang w:val="fr-FR"/>
        </w:rPr>
        <w:t xml:space="preserve">, publié le </w:t>
      </w:r>
      <w:r>
        <w:t xml:space="preserve">23 novembre 2016. En ligne : </w:t>
      </w:r>
      <w:hyperlink r:id="rId20" w:history="1">
        <w:r>
          <w:rPr>
            <w:rStyle w:val="Lienhypertexte"/>
          </w:rPr>
          <w:t>http://</w:t>
        </w:r>
        <w:r w:rsidRPr="00B94956">
          <w:rPr>
            <w:rStyle w:val="Lienhypertexte"/>
          </w:rPr>
          <w:t>cpa.hypotheses.org/6104</w:t>
        </w:r>
      </w:hyperlink>
      <w:r>
        <w:t xml:space="preserve">. </w:t>
      </w:r>
    </w:p>
  </w:footnote>
  <w:footnote w:id="39">
    <w:p w14:paraId="7DCBC31A" w14:textId="2494D6E3" w:rsidR="00186B2A" w:rsidRDefault="00186B2A" w:rsidP="00E21973">
      <w:pPr>
        <w:pStyle w:val="Notedebasdepage"/>
      </w:pPr>
      <w:r>
        <w:rPr>
          <w:rStyle w:val="Appelnotedebasdep"/>
        </w:rPr>
        <w:footnoteRef/>
      </w:r>
      <w:r>
        <w:t xml:space="preserve"> </w:t>
      </w:r>
      <w:r w:rsidRPr="00384668">
        <w:t xml:space="preserve">Marin Dacos et Pierre Mounier, </w:t>
      </w:r>
      <w:r>
        <w:t>« </w:t>
      </w:r>
      <w:r w:rsidRPr="00384668">
        <w:t>Les carnets de recherche en ligne, espace d’une conversation scientifique décentrée</w:t>
      </w:r>
      <w:r>
        <w:t> </w:t>
      </w:r>
      <w:r w:rsidRPr="00384668">
        <w:t>»,</w:t>
      </w:r>
      <w:r>
        <w:t xml:space="preserve"> art. </w:t>
      </w:r>
      <w:proofErr w:type="spellStart"/>
      <w:proofErr w:type="gramStart"/>
      <w:r>
        <w:t>cit</w:t>
      </w:r>
      <w:proofErr w:type="spellEnd"/>
      <w:proofErr w:type="gramEnd"/>
      <w:r>
        <w:t>.</w:t>
      </w:r>
    </w:p>
  </w:footnote>
  <w:footnote w:id="40">
    <w:p w14:paraId="0D08B010" w14:textId="264DCE9B" w:rsidR="00186B2A" w:rsidRDefault="00186B2A" w:rsidP="00E21973">
      <w:pPr>
        <w:pStyle w:val="Notedebasdepage"/>
      </w:pPr>
      <w:r>
        <w:rPr>
          <w:rStyle w:val="Appelnotedebasdep"/>
        </w:rPr>
        <w:footnoteRef/>
      </w:r>
      <w:r>
        <w:t xml:space="preserve"> Jacques Sapir, « </w:t>
      </w:r>
      <w:r>
        <w:rPr>
          <w:bCs/>
          <w:lang w:val="fr-FR"/>
        </w:rPr>
        <w:t>Agonies (sur la ‘’primaire’’ du P ‘’S’’</w:t>
      </w:r>
      <w:proofErr w:type="gramStart"/>
      <w:r>
        <w:rPr>
          <w:bCs/>
          <w:lang w:val="fr-FR"/>
        </w:rPr>
        <w:t>« </w:t>
      </w:r>
      <w:r w:rsidRPr="00E01E7E">
        <w:rPr>
          <w:bCs/>
          <w:lang w:val="fr-FR"/>
        </w:rPr>
        <w:t>)</w:t>
      </w:r>
      <w:proofErr w:type="gramEnd"/>
      <w:r>
        <w:rPr>
          <w:bCs/>
          <w:lang w:val="fr-FR"/>
        </w:rPr>
        <w:t> </w:t>
      </w:r>
      <w:r w:rsidRPr="00E01E7E">
        <w:rPr>
          <w:bCs/>
          <w:lang w:val="fr-FR"/>
        </w:rPr>
        <w:t>»</w:t>
      </w:r>
      <w:r>
        <w:rPr>
          <w:bCs/>
          <w:lang w:val="fr-FR"/>
        </w:rPr>
        <w:t xml:space="preserve"> [billet], </w:t>
      </w:r>
      <w:proofErr w:type="spellStart"/>
      <w:r>
        <w:rPr>
          <w:bCs/>
          <w:i/>
          <w:lang w:val="fr-FR"/>
        </w:rPr>
        <w:t>RussEurope</w:t>
      </w:r>
      <w:proofErr w:type="spellEnd"/>
      <w:r>
        <w:rPr>
          <w:bCs/>
          <w:lang w:val="fr-FR"/>
        </w:rPr>
        <w:t xml:space="preserve">, publié le </w:t>
      </w:r>
      <w:r>
        <w:t xml:space="preserve">23 janvier 2017. En ligne : </w:t>
      </w:r>
      <w:hyperlink r:id="rId21" w:history="1">
        <w:r>
          <w:rPr>
            <w:rStyle w:val="Lienhypertexte"/>
          </w:rPr>
          <w:t>https://</w:t>
        </w:r>
        <w:r w:rsidRPr="001842D4">
          <w:rPr>
            <w:rStyle w:val="Lienhypertexte"/>
          </w:rPr>
          <w:t>russeurope.hypotheses.org/5618</w:t>
        </w:r>
      </w:hyperlink>
      <w:r>
        <w:t>.</w:t>
      </w:r>
    </w:p>
  </w:footnote>
  <w:footnote w:id="41">
    <w:p w14:paraId="795D8D47" w14:textId="02B26646" w:rsidR="00186B2A" w:rsidRDefault="00186B2A" w:rsidP="0049041E">
      <w:pPr>
        <w:pStyle w:val="Notedebasdepage"/>
      </w:pPr>
      <w:r>
        <w:rPr>
          <w:rStyle w:val="Appelnotedebasdep"/>
        </w:rPr>
        <w:footnoteRef/>
      </w:r>
      <w:r>
        <w:t xml:space="preserve"> Jacques Sapir, </w:t>
      </w:r>
      <w:r>
        <w:rPr>
          <w:bCs/>
          <w:lang w:val="fr-FR"/>
        </w:rPr>
        <w:t>« </w:t>
      </w:r>
      <w:r w:rsidRPr="00E34C8D">
        <w:rPr>
          <w:bCs/>
        </w:rPr>
        <w:t>Une primaire et sept candidats</w:t>
      </w:r>
      <w:r>
        <w:rPr>
          <w:bCs/>
        </w:rPr>
        <w:t> </w:t>
      </w:r>
      <w:r w:rsidRPr="00E34C8D">
        <w:rPr>
          <w:bCs/>
        </w:rPr>
        <w:t>»</w:t>
      </w:r>
      <w:r>
        <w:rPr>
          <w:bCs/>
        </w:rPr>
        <w:t xml:space="preserve"> [billet], </w:t>
      </w:r>
      <w:proofErr w:type="spellStart"/>
      <w:r>
        <w:rPr>
          <w:bCs/>
          <w:i/>
        </w:rPr>
        <w:t>RussEurope</w:t>
      </w:r>
      <w:proofErr w:type="spellEnd"/>
      <w:r>
        <w:rPr>
          <w:bCs/>
        </w:rPr>
        <w:t>, publié le 12 janvier 2017. En ligne :</w:t>
      </w:r>
      <w:r>
        <w:t xml:space="preserve"> </w:t>
      </w:r>
      <w:hyperlink r:id="rId22" w:history="1">
        <w:r>
          <w:rPr>
            <w:rStyle w:val="Lienhypertexte"/>
          </w:rPr>
          <w:t>https://</w:t>
        </w:r>
        <w:r w:rsidRPr="0035551D">
          <w:rPr>
            <w:rStyle w:val="Lienhypertexte"/>
          </w:rPr>
          <w:t>russeurope.hypotheses.org/5586</w:t>
        </w:r>
      </w:hyperlink>
      <w:r>
        <w:t>.</w:t>
      </w:r>
    </w:p>
  </w:footnote>
  <w:footnote w:id="42">
    <w:p w14:paraId="7B4702AA" w14:textId="23B9312C" w:rsidR="00186B2A" w:rsidRPr="00B268C8" w:rsidRDefault="00186B2A">
      <w:pPr>
        <w:pStyle w:val="Notedebasdepage"/>
      </w:pPr>
      <w:r>
        <w:rPr>
          <w:rStyle w:val="Appelnotedebasdep"/>
        </w:rPr>
        <w:footnoteRef/>
      </w:r>
      <w:r>
        <w:t xml:space="preserve"> François Briatte, « </w:t>
      </w:r>
      <w:proofErr w:type="spellStart"/>
      <w:r>
        <w:t>Trump</w:t>
      </w:r>
      <w:proofErr w:type="spellEnd"/>
      <w:r>
        <w:t xml:space="preserve">, postface » [billet], </w:t>
      </w:r>
      <w:proofErr w:type="spellStart"/>
      <w:r>
        <w:rPr>
          <w:i/>
        </w:rPr>
        <w:t>Polit’Bistro</w:t>
      </w:r>
      <w:proofErr w:type="spellEnd"/>
      <w:r>
        <w:t xml:space="preserve">, publié le 18 novembre 2016. En ligne : </w:t>
      </w:r>
      <w:hyperlink r:id="rId23" w:history="1">
        <w:r>
          <w:rPr>
            <w:rStyle w:val="Lienhypertexte"/>
          </w:rPr>
          <w:t>http://</w:t>
        </w:r>
        <w:r w:rsidRPr="00642A64">
          <w:rPr>
            <w:rStyle w:val="Lienhypertexte"/>
          </w:rPr>
          <w:t>politbistro.hypotheses.org/3756</w:t>
        </w:r>
      </w:hyperlink>
      <w:r>
        <w:t xml:space="preserve">. </w:t>
      </w:r>
    </w:p>
  </w:footnote>
  <w:footnote w:id="43">
    <w:p w14:paraId="249E9B73" w14:textId="77777777" w:rsidR="00186B2A" w:rsidRDefault="00186B2A" w:rsidP="00E21973">
      <w:pPr>
        <w:pStyle w:val="Notedebasdepage"/>
      </w:pPr>
      <w:r>
        <w:rPr>
          <w:rStyle w:val="Appelnotedebasdep"/>
        </w:rPr>
        <w:footnoteRef/>
      </w:r>
      <w:r>
        <w:t xml:space="preserve"> Ce qui ne remet aucunement en cause l’opérativité de la catégorie, qu’il vaudrait mieux alors définir par l’absence de révision par les pairs avant publication.</w:t>
      </w:r>
    </w:p>
  </w:footnote>
  <w:footnote w:id="44">
    <w:p w14:paraId="4830C6A7" w14:textId="351605E5" w:rsidR="00186B2A" w:rsidRDefault="00186B2A">
      <w:pPr>
        <w:pStyle w:val="Notedebasdepage"/>
      </w:pPr>
      <w:r>
        <w:rPr>
          <w:rStyle w:val="Appelnotedebasdep"/>
        </w:rPr>
        <w:footnoteRef/>
      </w:r>
      <w:r>
        <w:t xml:space="preserve"> « Qui sommes-nous ? », </w:t>
      </w:r>
      <w:r>
        <w:rPr>
          <w:i/>
        </w:rPr>
        <w:t>The Conversation. L’expertise universitaire, l’expérience journalistique</w:t>
      </w:r>
      <w:r>
        <w:t xml:space="preserve">. En ligne : </w:t>
      </w:r>
      <w:hyperlink r:id="rId24" w:history="1">
        <w:r w:rsidRPr="000A7C0A">
          <w:rPr>
            <w:rStyle w:val="Lienhypertexte"/>
          </w:rPr>
          <w:t>https://theconversation.com/fr/who-we-are</w:t>
        </w:r>
      </w:hyperlink>
      <w:r>
        <w:t>.</w:t>
      </w:r>
    </w:p>
  </w:footnote>
  <w:footnote w:id="45">
    <w:p w14:paraId="73BE62AA" w14:textId="2283F911" w:rsidR="00186B2A" w:rsidRDefault="00186B2A" w:rsidP="00E21973">
      <w:pPr>
        <w:pStyle w:val="Notedebasdepage"/>
      </w:pPr>
      <w:r>
        <w:rPr>
          <w:rStyle w:val="Appelnotedebasdep"/>
        </w:rPr>
        <w:footnoteRef/>
      </w:r>
      <w:r>
        <w:t xml:space="preserve"> Camille Meyer, « Une sociologie des attentats » [billet], </w:t>
      </w:r>
      <w:proofErr w:type="spellStart"/>
      <w:r>
        <w:rPr>
          <w:i/>
        </w:rPr>
        <w:t>UC@ctualités</w:t>
      </w:r>
      <w:proofErr w:type="spellEnd"/>
      <w:r>
        <w:t xml:space="preserve">, publié le 9 décembre 2016. En ligne : </w:t>
      </w:r>
      <w:hyperlink r:id="rId25" w:history="1">
        <w:r>
          <w:rPr>
            <w:rStyle w:val="Lienhypertexte"/>
          </w:rPr>
          <w:t>http://</w:t>
        </w:r>
        <w:r w:rsidRPr="001842D4">
          <w:rPr>
            <w:rStyle w:val="Lienhypertexte"/>
          </w:rPr>
          <w:t>ucactualite.hypotheses.org/173</w:t>
        </w:r>
      </w:hyperlink>
      <w:r>
        <w:t>.</w:t>
      </w:r>
    </w:p>
  </w:footnote>
  <w:footnote w:id="46">
    <w:p w14:paraId="69DC166E" w14:textId="06ECA943" w:rsidR="00186B2A" w:rsidRDefault="00186B2A" w:rsidP="00E21973">
      <w:pPr>
        <w:pStyle w:val="Notedebasdepage"/>
      </w:pPr>
      <w:r>
        <w:rPr>
          <w:rStyle w:val="Appelnotedebasdep"/>
        </w:rPr>
        <w:footnoteRef/>
      </w:r>
      <w:r>
        <w:t xml:space="preserve"> Philippe </w:t>
      </w:r>
      <w:proofErr w:type="spellStart"/>
      <w:r>
        <w:t>Mesnard</w:t>
      </w:r>
      <w:proofErr w:type="spellEnd"/>
      <w:r>
        <w:t xml:space="preserve">, « L’imagination </w:t>
      </w:r>
      <w:r>
        <w:rPr>
          <w:i/>
        </w:rPr>
        <w:t>de</w:t>
      </w:r>
      <w:r>
        <w:t xml:space="preserve"> la terreur » [billet], </w:t>
      </w:r>
      <w:proofErr w:type="spellStart"/>
      <w:r>
        <w:rPr>
          <w:i/>
        </w:rPr>
        <w:t>UC@ctualités</w:t>
      </w:r>
      <w:proofErr w:type="spellEnd"/>
      <w:r>
        <w:t xml:space="preserve">, publié le 28 septembre 2016. En ligne : </w:t>
      </w:r>
      <w:hyperlink r:id="rId26" w:history="1">
        <w:r>
          <w:rPr>
            <w:rStyle w:val="Lienhypertexte"/>
          </w:rPr>
          <w:t>http://</w:t>
        </w:r>
        <w:r w:rsidRPr="001842D4">
          <w:rPr>
            <w:rStyle w:val="Lienhypertexte"/>
          </w:rPr>
          <w:t>ucactualite.hypotheses.org/82</w:t>
        </w:r>
      </w:hyperlink>
      <w:r>
        <w:t>.</w:t>
      </w:r>
    </w:p>
  </w:footnote>
  <w:footnote w:id="47">
    <w:p w14:paraId="3B5571C6" w14:textId="0F85FAF5" w:rsidR="00186B2A" w:rsidRDefault="00186B2A" w:rsidP="00E21973">
      <w:pPr>
        <w:pStyle w:val="Notedebasdepage"/>
      </w:pPr>
      <w:r>
        <w:rPr>
          <w:rStyle w:val="Appelnotedebasdep"/>
        </w:rPr>
        <w:footnoteRef/>
      </w:r>
      <w:r>
        <w:t xml:space="preserve"> Jean-Claude Caron, « Les attentats… et après ? » [</w:t>
      </w:r>
      <w:proofErr w:type="gramStart"/>
      <w:r>
        <w:t>billet</w:t>
      </w:r>
      <w:proofErr w:type="gramEnd"/>
      <w:r>
        <w:t xml:space="preserve">], </w:t>
      </w:r>
      <w:proofErr w:type="spellStart"/>
      <w:r>
        <w:rPr>
          <w:i/>
        </w:rPr>
        <w:t>UC@ctualités</w:t>
      </w:r>
      <w:proofErr w:type="spellEnd"/>
      <w:r>
        <w:t xml:space="preserve">, publié le 28 septembre 2016, </w:t>
      </w:r>
      <w:hyperlink r:id="rId27" w:history="1">
        <w:r>
          <w:rPr>
            <w:rStyle w:val="Lienhypertexte"/>
          </w:rPr>
          <w:t>http://</w:t>
        </w:r>
        <w:r w:rsidRPr="001842D4">
          <w:rPr>
            <w:rStyle w:val="Lienhypertexte"/>
          </w:rPr>
          <w:t>ucactualite.hypotheses.org/63</w:t>
        </w:r>
      </w:hyperlink>
      <w:r>
        <w:t>.</w:t>
      </w:r>
    </w:p>
  </w:footnote>
  <w:footnote w:id="48">
    <w:p w14:paraId="57FA7D6A" w14:textId="4FFF88C2" w:rsidR="00186B2A" w:rsidRDefault="00186B2A" w:rsidP="00E21973">
      <w:pPr>
        <w:pStyle w:val="Notedebasdepage"/>
        <w:tabs>
          <w:tab w:val="left" w:pos="4044"/>
        </w:tabs>
      </w:pPr>
      <w:r>
        <w:rPr>
          <w:rStyle w:val="Appelnotedebasdep"/>
        </w:rPr>
        <w:footnoteRef/>
      </w:r>
      <w:r>
        <w:t xml:space="preserve"> Le musée assure, par ailleurs, un rôle de conservation du patrimoine culturel : voir à ce sujet Yves Jeanneret, </w:t>
      </w:r>
      <w:r>
        <w:rPr>
          <w:i/>
        </w:rPr>
        <w:t xml:space="preserve">Écrire la </w:t>
      </w:r>
      <w:r w:rsidRPr="007E28BA">
        <w:t>science</w:t>
      </w:r>
      <w:r>
        <w:t>, op. </w:t>
      </w:r>
      <w:proofErr w:type="spellStart"/>
      <w:proofErr w:type="gramStart"/>
      <w:r>
        <w:t>cit</w:t>
      </w:r>
      <w:proofErr w:type="spellEnd"/>
      <w:proofErr w:type="gramEnd"/>
      <w:r>
        <w:t xml:space="preserve">. p. 260 </w:t>
      </w:r>
      <w:proofErr w:type="spellStart"/>
      <w:r>
        <w:rPr>
          <w:i/>
        </w:rPr>
        <w:t>sqq</w:t>
      </w:r>
      <w:proofErr w:type="spellEnd"/>
      <w:r>
        <w:t> ; ainsi que l’étude de Sarah Cordonnier consacrée à la comparaison de deux expositions d’art contemporain, qui porte l’attention sur les modes de médiatisation des sciences humaines par ce dispositif (« </w:t>
      </w:r>
      <w:r w:rsidRPr="00FC55A9">
        <w:t>Observer les usages des sciences humaines dans l’exposition d’art contem</w:t>
      </w:r>
      <w:r>
        <w:t>porain »,</w:t>
      </w:r>
      <w:r w:rsidRPr="00FC55A9">
        <w:t xml:space="preserve"> </w:t>
      </w:r>
      <w:r w:rsidRPr="00FC55A9">
        <w:rPr>
          <w:i/>
          <w:iCs/>
        </w:rPr>
        <w:t>Tracés. Revue de Sciences humaines</w:t>
      </w:r>
      <w:r>
        <w:rPr>
          <w:iCs/>
        </w:rPr>
        <w:t>, 2011, hors-série n° </w:t>
      </w:r>
      <w:r>
        <w:t>11</w:t>
      </w:r>
      <w:r w:rsidRPr="00FC55A9">
        <w:t xml:space="preserve">. </w:t>
      </w:r>
      <w:r>
        <w:t xml:space="preserve">En ligne : </w:t>
      </w:r>
      <w:hyperlink r:id="rId28" w:history="1">
        <w:r>
          <w:rPr>
            <w:rStyle w:val="Lienhypertexte"/>
          </w:rPr>
          <w:t>https://</w:t>
        </w:r>
        <w:r w:rsidRPr="00570553">
          <w:rPr>
            <w:rStyle w:val="Lienhypertexte"/>
          </w:rPr>
          <w:t>traces.revues.org/5295</w:t>
        </w:r>
      </w:hyperlink>
      <w:r>
        <w:t xml:space="preserve">). </w:t>
      </w:r>
    </w:p>
  </w:footnote>
  <w:footnote w:id="49">
    <w:p w14:paraId="3FAA2619" w14:textId="5D8CC3D0" w:rsidR="00186B2A" w:rsidRPr="0078066B" w:rsidRDefault="00186B2A" w:rsidP="00E21973">
      <w:pPr>
        <w:pStyle w:val="Notedebasdepage"/>
      </w:pPr>
      <w:r>
        <w:rPr>
          <w:rStyle w:val="Appelnotedebasdep"/>
        </w:rPr>
        <w:footnoteRef/>
      </w:r>
      <w:r>
        <w:t xml:space="preserve"> Source : « </w:t>
      </w:r>
      <w:proofErr w:type="spellStart"/>
      <w:r>
        <w:t>Décodex</w:t>
      </w:r>
      <w:proofErr w:type="spellEnd"/>
      <w:r>
        <w:t xml:space="preserve"> », </w:t>
      </w:r>
      <w:r>
        <w:rPr>
          <w:i/>
        </w:rPr>
        <w:t>Le Monde</w:t>
      </w:r>
      <w:r>
        <w:t xml:space="preserve">. En ligne : </w:t>
      </w:r>
      <w:hyperlink r:id="rId29" w:history="1">
        <w:r>
          <w:rPr>
            <w:rStyle w:val="Lienhypertexte"/>
          </w:rPr>
          <w:t>http://</w:t>
        </w:r>
        <w:r w:rsidRPr="00545378">
          <w:rPr>
            <w:rStyle w:val="Lienhypertexte"/>
          </w:rPr>
          <w:t>www.lemonde.fr/verification/source/russeurope/</w:t>
        </w:r>
      </w:hyperlink>
      <w:r>
        <w:t xml:space="preserve">. Deux articles complétant l’évaluation sont par ailleurs cités : Lorraine </w:t>
      </w:r>
      <w:proofErr w:type="spellStart"/>
      <w:r>
        <w:t>Millot</w:t>
      </w:r>
      <w:proofErr w:type="spellEnd"/>
      <w:r>
        <w:t xml:space="preserve">, « Les universitaires complaisants », </w:t>
      </w:r>
      <w:r>
        <w:rPr>
          <w:i/>
        </w:rPr>
        <w:t>Libération</w:t>
      </w:r>
      <w:r>
        <w:t xml:space="preserve">, publié le 24 novembre 2014. En ligne : </w:t>
      </w:r>
      <w:hyperlink r:id="rId30" w:history="1">
        <w:r>
          <w:rPr>
            <w:rStyle w:val="Lienhypertexte"/>
          </w:rPr>
          <w:t>http://</w:t>
        </w:r>
        <w:r w:rsidRPr="00545378">
          <w:rPr>
            <w:rStyle w:val="Lienhypertexte"/>
          </w:rPr>
          <w:t>www.liberation.fr/france/2014/10/24/les-universitaires-complaisants_1129045</w:t>
        </w:r>
      </w:hyperlink>
      <w:r>
        <w:t xml:space="preserve"> ; </w:t>
      </w:r>
      <w:r w:rsidRPr="0078066B">
        <w:t xml:space="preserve">Raphaëlle Besse </w:t>
      </w:r>
      <w:proofErr w:type="spellStart"/>
      <w:r w:rsidRPr="0078066B">
        <w:t>Desmoulières</w:t>
      </w:r>
      <w:proofErr w:type="spellEnd"/>
      <w:r>
        <w:t xml:space="preserve">, « Malaise à gauche après les œillades de Jacques Sapir au FN », </w:t>
      </w:r>
      <w:r>
        <w:rPr>
          <w:i/>
        </w:rPr>
        <w:t>Le Monde</w:t>
      </w:r>
      <w:r>
        <w:t xml:space="preserve">, publié le 25 août 2015. En ligne : </w:t>
      </w:r>
      <w:hyperlink r:id="rId31" w:history="1">
        <w:r>
          <w:rPr>
            <w:rStyle w:val="Lienhypertexte"/>
          </w:rPr>
          <w:t>http://</w:t>
        </w:r>
        <w:r w:rsidRPr="00545378">
          <w:rPr>
            <w:rStyle w:val="Lienhypertexte"/>
          </w:rPr>
          <w:t>www.lemonde.fr/politique/article/2015/08/25/malaise-a-gauche-apres-les-illades-de-jacques-sapir-au-fn_4736102_823448.html</w:t>
        </w:r>
      </w:hyperlink>
      <w:r>
        <w:t xml:space="preserve">. </w:t>
      </w:r>
    </w:p>
  </w:footnote>
  <w:footnote w:id="50">
    <w:p w14:paraId="7D8457B5" w14:textId="3B8B4C90" w:rsidR="00186B2A" w:rsidRDefault="00186B2A" w:rsidP="00E21973">
      <w:pPr>
        <w:pStyle w:val="Notedebasdepage"/>
      </w:pPr>
      <w:r>
        <w:rPr>
          <w:rStyle w:val="Appelnotedebasdep"/>
        </w:rPr>
        <w:footnoteRef/>
      </w:r>
      <w:r>
        <w:t xml:space="preserve"> Je précise que je ne prends pas ici position sur le caractère effectivement partisan/instrumentalisant du billet, qui demanderait une analyse plus fine ; il s’agit plutôt d’illustrer le fait que le traitement de l’actualité sur un carnet de recherche peut se trouver soumis à ce genre de critique, qu’elle soit fondée ou non.</w:t>
      </w:r>
    </w:p>
  </w:footnote>
  <w:footnote w:id="51">
    <w:p w14:paraId="5925B7A8" w14:textId="22AD2A5B" w:rsidR="00186B2A" w:rsidRDefault="00186B2A" w:rsidP="00E21973">
      <w:pPr>
        <w:pStyle w:val="Notedebasdepage"/>
      </w:pPr>
      <w:r>
        <w:rPr>
          <w:rStyle w:val="Appelnotedebasdep"/>
        </w:rPr>
        <w:footnoteRef/>
      </w:r>
      <w:r>
        <w:t xml:space="preserve"> Antoine Billot, « </w:t>
      </w:r>
      <w:r w:rsidRPr="0095193C">
        <w:t>Délit d’entrave numérique, vers une vision unique de l’avortement</w:t>
      </w:r>
      <w:r>
        <w:t> </w:t>
      </w:r>
      <w:r w:rsidRPr="0095193C">
        <w:t>?</w:t>
      </w:r>
      <w:r>
        <w:t> </w:t>
      </w:r>
      <w:r w:rsidRPr="0095193C">
        <w:t>»</w:t>
      </w:r>
      <w:r>
        <w:t xml:space="preserve"> [</w:t>
      </w:r>
      <w:proofErr w:type="gramStart"/>
      <w:r>
        <w:t>billet</w:t>
      </w:r>
      <w:proofErr w:type="gramEnd"/>
      <w:r>
        <w:t xml:space="preserve">], </w:t>
      </w:r>
      <w:r>
        <w:rPr>
          <w:i/>
        </w:rPr>
        <w:t>Les archives et le web</w:t>
      </w:r>
      <w:r>
        <w:t xml:space="preserve">, publié le 7 décembre 2016. En ligne : </w:t>
      </w:r>
      <w:hyperlink r:id="rId32" w:history="1">
        <w:r>
          <w:rPr>
            <w:rStyle w:val="Lienhypertexte"/>
          </w:rPr>
          <w:t>https://</w:t>
        </w:r>
        <w:r w:rsidRPr="001842D4">
          <w:rPr>
            <w:rStyle w:val="Lienhypertexte"/>
          </w:rPr>
          <w:t>archiveweb.hypotheses.org/73</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1AA"/>
    <w:multiLevelType w:val="hybridMultilevel"/>
    <w:tmpl w:val="36887938"/>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2B0B7ACB"/>
    <w:multiLevelType w:val="hybridMultilevel"/>
    <w:tmpl w:val="E20C8A64"/>
    <w:lvl w:ilvl="0" w:tplc="1C38D2AE">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C7E0B34"/>
    <w:multiLevelType w:val="hybridMultilevel"/>
    <w:tmpl w:val="473A0920"/>
    <w:lvl w:ilvl="0" w:tplc="AFC49F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53D0719"/>
    <w:multiLevelType w:val="hybridMultilevel"/>
    <w:tmpl w:val="72D4AA9E"/>
    <w:lvl w:ilvl="0" w:tplc="3B5A72D2">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3010494"/>
    <w:multiLevelType w:val="hybridMultilevel"/>
    <w:tmpl w:val="36887938"/>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603D401D"/>
    <w:multiLevelType w:val="hybridMultilevel"/>
    <w:tmpl w:val="AF24ACC0"/>
    <w:lvl w:ilvl="0" w:tplc="5106B928">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63FA3921"/>
    <w:multiLevelType w:val="hybridMultilevel"/>
    <w:tmpl w:val="7DF6E61A"/>
    <w:lvl w:ilvl="0" w:tplc="20EC78AA">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61613BB"/>
    <w:multiLevelType w:val="hybridMultilevel"/>
    <w:tmpl w:val="8EE432EE"/>
    <w:lvl w:ilvl="0" w:tplc="56FA1AE2">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AFE58F5"/>
    <w:multiLevelType w:val="hybridMultilevel"/>
    <w:tmpl w:val="5E52C7E8"/>
    <w:lvl w:ilvl="0" w:tplc="05F6F94C">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71DE30A6"/>
    <w:multiLevelType w:val="hybridMultilevel"/>
    <w:tmpl w:val="1B2CAA32"/>
    <w:lvl w:ilvl="0" w:tplc="379A87EE">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4535F4C"/>
    <w:multiLevelType w:val="hybridMultilevel"/>
    <w:tmpl w:val="D410EBD2"/>
    <w:lvl w:ilvl="0" w:tplc="A68612C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8"/>
  </w:num>
  <w:num w:numId="5">
    <w:abstractNumId w:val="0"/>
  </w:num>
  <w:num w:numId="6">
    <w:abstractNumId w:val="1"/>
  </w:num>
  <w:num w:numId="7">
    <w:abstractNumId w:val="10"/>
  </w:num>
  <w:num w:numId="8">
    <w:abstractNumId w:val="2"/>
  </w:num>
  <w:num w:numId="9">
    <w:abstractNumId w:val="9"/>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973"/>
    <w:rsid w:val="0000013F"/>
    <w:rsid w:val="00010832"/>
    <w:rsid w:val="00011DAC"/>
    <w:rsid w:val="00020284"/>
    <w:rsid w:val="000214F4"/>
    <w:rsid w:val="00025DB3"/>
    <w:rsid w:val="00027BF9"/>
    <w:rsid w:val="00034D37"/>
    <w:rsid w:val="00046CC1"/>
    <w:rsid w:val="00052CD8"/>
    <w:rsid w:val="000531C7"/>
    <w:rsid w:val="00061710"/>
    <w:rsid w:val="0006544E"/>
    <w:rsid w:val="00065887"/>
    <w:rsid w:val="00067890"/>
    <w:rsid w:val="00070C8F"/>
    <w:rsid w:val="00075D33"/>
    <w:rsid w:val="000800ED"/>
    <w:rsid w:val="00082A47"/>
    <w:rsid w:val="000910DC"/>
    <w:rsid w:val="00093640"/>
    <w:rsid w:val="0009624A"/>
    <w:rsid w:val="0009758D"/>
    <w:rsid w:val="000A065C"/>
    <w:rsid w:val="000A25CD"/>
    <w:rsid w:val="000A4630"/>
    <w:rsid w:val="000A66B4"/>
    <w:rsid w:val="000A74AE"/>
    <w:rsid w:val="000B10F2"/>
    <w:rsid w:val="000B112E"/>
    <w:rsid w:val="000B4120"/>
    <w:rsid w:val="000B4915"/>
    <w:rsid w:val="000B5941"/>
    <w:rsid w:val="000C2DCE"/>
    <w:rsid w:val="000C3B99"/>
    <w:rsid w:val="000D2CA2"/>
    <w:rsid w:val="000D7048"/>
    <w:rsid w:val="000E2C5E"/>
    <w:rsid w:val="000E5DBA"/>
    <w:rsid w:val="000F3AD0"/>
    <w:rsid w:val="001011C2"/>
    <w:rsid w:val="0010130D"/>
    <w:rsid w:val="00102727"/>
    <w:rsid w:val="001050F0"/>
    <w:rsid w:val="00110980"/>
    <w:rsid w:val="0011397A"/>
    <w:rsid w:val="001146F8"/>
    <w:rsid w:val="001158E7"/>
    <w:rsid w:val="0011783F"/>
    <w:rsid w:val="00117F62"/>
    <w:rsid w:val="00123934"/>
    <w:rsid w:val="00124C05"/>
    <w:rsid w:val="00127E36"/>
    <w:rsid w:val="0013070A"/>
    <w:rsid w:val="00130A9C"/>
    <w:rsid w:val="00135B4B"/>
    <w:rsid w:val="00136FB6"/>
    <w:rsid w:val="0013730E"/>
    <w:rsid w:val="0014077F"/>
    <w:rsid w:val="00141FA5"/>
    <w:rsid w:val="00144AD3"/>
    <w:rsid w:val="00145B54"/>
    <w:rsid w:val="00145BF9"/>
    <w:rsid w:val="00152785"/>
    <w:rsid w:val="00155170"/>
    <w:rsid w:val="00161044"/>
    <w:rsid w:val="00162109"/>
    <w:rsid w:val="001631FE"/>
    <w:rsid w:val="001641B4"/>
    <w:rsid w:val="00164727"/>
    <w:rsid w:val="001711F6"/>
    <w:rsid w:val="00171B90"/>
    <w:rsid w:val="00174D1A"/>
    <w:rsid w:val="001762B9"/>
    <w:rsid w:val="001821C7"/>
    <w:rsid w:val="00183C45"/>
    <w:rsid w:val="00185984"/>
    <w:rsid w:val="00186200"/>
    <w:rsid w:val="00186B2A"/>
    <w:rsid w:val="00193ECE"/>
    <w:rsid w:val="00195B96"/>
    <w:rsid w:val="0019716B"/>
    <w:rsid w:val="001A2142"/>
    <w:rsid w:val="001A2162"/>
    <w:rsid w:val="001A28C8"/>
    <w:rsid w:val="001B0B25"/>
    <w:rsid w:val="001B15C0"/>
    <w:rsid w:val="001B1E72"/>
    <w:rsid w:val="001B4E4C"/>
    <w:rsid w:val="001B7602"/>
    <w:rsid w:val="001C0F51"/>
    <w:rsid w:val="001C1223"/>
    <w:rsid w:val="001C5397"/>
    <w:rsid w:val="001C5C97"/>
    <w:rsid w:val="001D1764"/>
    <w:rsid w:val="001D2AD1"/>
    <w:rsid w:val="001D2C30"/>
    <w:rsid w:val="001E0733"/>
    <w:rsid w:val="001E579F"/>
    <w:rsid w:val="001F0790"/>
    <w:rsid w:val="001F428A"/>
    <w:rsid w:val="001F4C30"/>
    <w:rsid w:val="001F64D0"/>
    <w:rsid w:val="002034ED"/>
    <w:rsid w:val="00203BFD"/>
    <w:rsid w:val="0020455D"/>
    <w:rsid w:val="00213413"/>
    <w:rsid w:val="002144EF"/>
    <w:rsid w:val="00214CB8"/>
    <w:rsid w:val="0022638D"/>
    <w:rsid w:val="00226A4C"/>
    <w:rsid w:val="00245C10"/>
    <w:rsid w:val="00252F6B"/>
    <w:rsid w:val="002559FB"/>
    <w:rsid w:val="00256662"/>
    <w:rsid w:val="00260E4A"/>
    <w:rsid w:val="002610B8"/>
    <w:rsid w:val="002640DD"/>
    <w:rsid w:val="00265253"/>
    <w:rsid w:val="00267BDC"/>
    <w:rsid w:val="002725A8"/>
    <w:rsid w:val="002735F1"/>
    <w:rsid w:val="002738D0"/>
    <w:rsid w:val="002828ED"/>
    <w:rsid w:val="00284CF0"/>
    <w:rsid w:val="00285B78"/>
    <w:rsid w:val="00291852"/>
    <w:rsid w:val="00291B20"/>
    <w:rsid w:val="00295452"/>
    <w:rsid w:val="00296050"/>
    <w:rsid w:val="00296581"/>
    <w:rsid w:val="002A0CFD"/>
    <w:rsid w:val="002A1CB0"/>
    <w:rsid w:val="002A5637"/>
    <w:rsid w:val="002B0235"/>
    <w:rsid w:val="002B36D6"/>
    <w:rsid w:val="002B7500"/>
    <w:rsid w:val="002C0487"/>
    <w:rsid w:val="002C0B12"/>
    <w:rsid w:val="002C381F"/>
    <w:rsid w:val="002D15D0"/>
    <w:rsid w:val="002D183D"/>
    <w:rsid w:val="002D245D"/>
    <w:rsid w:val="002D3F6C"/>
    <w:rsid w:val="002D4C23"/>
    <w:rsid w:val="002D6FDA"/>
    <w:rsid w:val="002E1BF1"/>
    <w:rsid w:val="002E1E0E"/>
    <w:rsid w:val="002E43DA"/>
    <w:rsid w:val="002E5EE6"/>
    <w:rsid w:val="002E71DC"/>
    <w:rsid w:val="002F1DE0"/>
    <w:rsid w:val="002F24BF"/>
    <w:rsid w:val="002F2BF4"/>
    <w:rsid w:val="002F3316"/>
    <w:rsid w:val="002F457A"/>
    <w:rsid w:val="00300275"/>
    <w:rsid w:val="00301AB7"/>
    <w:rsid w:val="00301F84"/>
    <w:rsid w:val="00302786"/>
    <w:rsid w:val="00306295"/>
    <w:rsid w:val="00313547"/>
    <w:rsid w:val="00313EC4"/>
    <w:rsid w:val="00316301"/>
    <w:rsid w:val="003170F9"/>
    <w:rsid w:val="0031798C"/>
    <w:rsid w:val="0032025C"/>
    <w:rsid w:val="003214AD"/>
    <w:rsid w:val="003263F4"/>
    <w:rsid w:val="003304C3"/>
    <w:rsid w:val="003309F2"/>
    <w:rsid w:val="00331902"/>
    <w:rsid w:val="003333CB"/>
    <w:rsid w:val="0033375C"/>
    <w:rsid w:val="003436E2"/>
    <w:rsid w:val="00345ABA"/>
    <w:rsid w:val="00345CD1"/>
    <w:rsid w:val="003535EA"/>
    <w:rsid w:val="00355D68"/>
    <w:rsid w:val="00356F41"/>
    <w:rsid w:val="00364135"/>
    <w:rsid w:val="00364CBC"/>
    <w:rsid w:val="003653E6"/>
    <w:rsid w:val="00366072"/>
    <w:rsid w:val="00367A10"/>
    <w:rsid w:val="0037059E"/>
    <w:rsid w:val="003713C1"/>
    <w:rsid w:val="00374150"/>
    <w:rsid w:val="00381B0E"/>
    <w:rsid w:val="00382080"/>
    <w:rsid w:val="00385F91"/>
    <w:rsid w:val="0038618F"/>
    <w:rsid w:val="00386462"/>
    <w:rsid w:val="00387DF3"/>
    <w:rsid w:val="00390501"/>
    <w:rsid w:val="0039145D"/>
    <w:rsid w:val="00396076"/>
    <w:rsid w:val="00396AA6"/>
    <w:rsid w:val="003A2F4B"/>
    <w:rsid w:val="003A3070"/>
    <w:rsid w:val="003A5F8B"/>
    <w:rsid w:val="003B202A"/>
    <w:rsid w:val="003B4329"/>
    <w:rsid w:val="003B47A6"/>
    <w:rsid w:val="003B540E"/>
    <w:rsid w:val="003C0454"/>
    <w:rsid w:val="003C6801"/>
    <w:rsid w:val="003C7591"/>
    <w:rsid w:val="003D07DA"/>
    <w:rsid w:val="003D2CD9"/>
    <w:rsid w:val="003E0309"/>
    <w:rsid w:val="003E0844"/>
    <w:rsid w:val="003E257F"/>
    <w:rsid w:val="003E47E4"/>
    <w:rsid w:val="003E5586"/>
    <w:rsid w:val="003F0921"/>
    <w:rsid w:val="003F3D1F"/>
    <w:rsid w:val="003F43AF"/>
    <w:rsid w:val="003F440F"/>
    <w:rsid w:val="003F5BA0"/>
    <w:rsid w:val="003F5E08"/>
    <w:rsid w:val="003F6933"/>
    <w:rsid w:val="004052FE"/>
    <w:rsid w:val="0040533F"/>
    <w:rsid w:val="0041279E"/>
    <w:rsid w:val="00413B50"/>
    <w:rsid w:val="00414D72"/>
    <w:rsid w:val="00415F20"/>
    <w:rsid w:val="00427048"/>
    <w:rsid w:val="004412D3"/>
    <w:rsid w:val="00441BD2"/>
    <w:rsid w:val="00442BC3"/>
    <w:rsid w:val="00446016"/>
    <w:rsid w:val="004460D8"/>
    <w:rsid w:val="00447ACA"/>
    <w:rsid w:val="0045075F"/>
    <w:rsid w:val="004578FA"/>
    <w:rsid w:val="004617B0"/>
    <w:rsid w:val="00464B73"/>
    <w:rsid w:val="004663C9"/>
    <w:rsid w:val="00472AB6"/>
    <w:rsid w:val="004770FE"/>
    <w:rsid w:val="0047717D"/>
    <w:rsid w:val="0048046F"/>
    <w:rsid w:val="00484F62"/>
    <w:rsid w:val="00485D31"/>
    <w:rsid w:val="00487E05"/>
    <w:rsid w:val="00490007"/>
    <w:rsid w:val="0049014B"/>
    <w:rsid w:val="0049041E"/>
    <w:rsid w:val="0049267B"/>
    <w:rsid w:val="004A7044"/>
    <w:rsid w:val="004B60DB"/>
    <w:rsid w:val="004C0D28"/>
    <w:rsid w:val="004C5887"/>
    <w:rsid w:val="004C5F14"/>
    <w:rsid w:val="004C618A"/>
    <w:rsid w:val="004D07CF"/>
    <w:rsid w:val="004D1B0F"/>
    <w:rsid w:val="004D47FE"/>
    <w:rsid w:val="004D6880"/>
    <w:rsid w:val="004E0EDF"/>
    <w:rsid w:val="004E3386"/>
    <w:rsid w:val="004E44C8"/>
    <w:rsid w:val="004E4C90"/>
    <w:rsid w:val="004F065F"/>
    <w:rsid w:val="004F5C48"/>
    <w:rsid w:val="00500D69"/>
    <w:rsid w:val="00505399"/>
    <w:rsid w:val="005063BB"/>
    <w:rsid w:val="00510466"/>
    <w:rsid w:val="005109BF"/>
    <w:rsid w:val="00514008"/>
    <w:rsid w:val="00520FA2"/>
    <w:rsid w:val="005214D1"/>
    <w:rsid w:val="00522617"/>
    <w:rsid w:val="00526247"/>
    <w:rsid w:val="00531F3B"/>
    <w:rsid w:val="00533147"/>
    <w:rsid w:val="00536816"/>
    <w:rsid w:val="00536BA9"/>
    <w:rsid w:val="005435DE"/>
    <w:rsid w:val="00543D82"/>
    <w:rsid w:val="005451B7"/>
    <w:rsid w:val="00546ACC"/>
    <w:rsid w:val="005473E1"/>
    <w:rsid w:val="00550AA4"/>
    <w:rsid w:val="0055390A"/>
    <w:rsid w:val="0055647B"/>
    <w:rsid w:val="005620A4"/>
    <w:rsid w:val="00562577"/>
    <w:rsid w:val="00563CB4"/>
    <w:rsid w:val="005717E0"/>
    <w:rsid w:val="005723C0"/>
    <w:rsid w:val="00572BE3"/>
    <w:rsid w:val="00574F57"/>
    <w:rsid w:val="00584DE9"/>
    <w:rsid w:val="00586309"/>
    <w:rsid w:val="00586A57"/>
    <w:rsid w:val="00586F79"/>
    <w:rsid w:val="00591EA8"/>
    <w:rsid w:val="00593F37"/>
    <w:rsid w:val="005A4F88"/>
    <w:rsid w:val="005A6D0B"/>
    <w:rsid w:val="005B077E"/>
    <w:rsid w:val="005B403E"/>
    <w:rsid w:val="005C0197"/>
    <w:rsid w:val="005C1AE9"/>
    <w:rsid w:val="005C2B3C"/>
    <w:rsid w:val="005C3706"/>
    <w:rsid w:val="005C72F3"/>
    <w:rsid w:val="005C753D"/>
    <w:rsid w:val="005D4744"/>
    <w:rsid w:val="005D641C"/>
    <w:rsid w:val="005D6AFF"/>
    <w:rsid w:val="005E262F"/>
    <w:rsid w:val="005E2863"/>
    <w:rsid w:val="005E3E70"/>
    <w:rsid w:val="005E3EE3"/>
    <w:rsid w:val="005E421A"/>
    <w:rsid w:val="005E6F48"/>
    <w:rsid w:val="005E7240"/>
    <w:rsid w:val="005E7E3A"/>
    <w:rsid w:val="005F0530"/>
    <w:rsid w:val="005F2142"/>
    <w:rsid w:val="005F4E34"/>
    <w:rsid w:val="006020B3"/>
    <w:rsid w:val="006029DE"/>
    <w:rsid w:val="006031AD"/>
    <w:rsid w:val="006040A6"/>
    <w:rsid w:val="006055D9"/>
    <w:rsid w:val="006063A2"/>
    <w:rsid w:val="00607E70"/>
    <w:rsid w:val="006140C8"/>
    <w:rsid w:val="00622884"/>
    <w:rsid w:val="00623EBF"/>
    <w:rsid w:val="0062519D"/>
    <w:rsid w:val="00625946"/>
    <w:rsid w:val="006324FC"/>
    <w:rsid w:val="00632B07"/>
    <w:rsid w:val="00634908"/>
    <w:rsid w:val="006376BE"/>
    <w:rsid w:val="00637F24"/>
    <w:rsid w:val="00644CE6"/>
    <w:rsid w:val="00645685"/>
    <w:rsid w:val="0065205E"/>
    <w:rsid w:val="006546A9"/>
    <w:rsid w:val="00656442"/>
    <w:rsid w:val="006610DA"/>
    <w:rsid w:val="0066367E"/>
    <w:rsid w:val="00664875"/>
    <w:rsid w:val="00665613"/>
    <w:rsid w:val="00670A71"/>
    <w:rsid w:val="006760DA"/>
    <w:rsid w:val="00682BB2"/>
    <w:rsid w:val="006840F1"/>
    <w:rsid w:val="00686903"/>
    <w:rsid w:val="00692F1F"/>
    <w:rsid w:val="00693247"/>
    <w:rsid w:val="006A01FA"/>
    <w:rsid w:val="006A0302"/>
    <w:rsid w:val="006A05EA"/>
    <w:rsid w:val="006A2EE6"/>
    <w:rsid w:val="006A4AEE"/>
    <w:rsid w:val="006A74AD"/>
    <w:rsid w:val="006B43DE"/>
    <w:rsid w:val="006C7C03"/>
    <w:rsid w:val="006E09D9"/>
    <w:rsid w:val="006E0F37"/>
    <w:rsid w:val="006E1807"/>
    <w:rsid w:val="006E2483"/>
    <w:rsid w:val="006E6675"/>
    <w:rsid w:val="006F2A93"/>
    <w:rsid w:val="006F2C5E"/>
    <w:rsid w:val="006F4DF1"/>
    <w:rsid w:val="006F6863"/>
    <w:rsid w:val="00702396"/>
    <w:rsid w:val="00707614"/>
    <w:rsid w:val="00711DD1"/>
    <w:rsid w:val="007165A2"/>
    <w:rsid w:val="007220C5"/>
    <w:rsid w:val="00724549"/>
    <w:rsid w:val="00731B75"/>
    <w:rsid w:val="0073567E"/>
    <w:rsid w:val="00736A7F"/>
    <w:rsid w:val="007371D5"/>
    <w:rsid w:val="00740507"/>
    <w:rsid w:val="00742896"/>
    <w:rsid w:val="00742D58"/>
    <w:rsid w:val="00742F33"/>
    <w:rsid w:val="007440E3"/>
    <w:rsid w:val="007469AC"/>
    <w:rsid w:val="007520B1"/>
    <w:rsid w:val="00756AAB"/>
    <w:rsid w:val="0076078F"/>
    <w:rsid w:val="0076478E"/>
    <w:rsid w:val="007673DC"/>
    <w:rsid w:val="007720AC"/>
    <w:rsid w:val="00776420"/>
    <w:rsid w:val="00776439"/>
    <w:rsid w:val="00777766"/>
    <w:rsid w:val="0078153F"/>
    <w:rsid w:val="00781CBF"/>
    <w:rsid w:val="00782DFF"/>
    <w:rsid w:val="007857CF"/>
    <w:rsid w:val="00786CB3"/>
    <w:rsid w:val="00787B05"/>
    <w:rsid w:val="007934C5"/>
    <w:rsid w:val="00794B8C"/>
    <w:rsid w:val="00795E52"/>
    <w:rsid w:val="0079695C"/>
    <w:rsid w:val="00796ABA"/>
    <w:rsid w:val="007A160F"/>
    <w:rsid w:val="007A65E2"/>
    <w:rsid w:val="007A7FEF"/>
    <w:rsid w:val="007B231B"/>
    <w:rsid w:val="007B6023"/>
    <w:rsid w:val="007B6A01"/>
    <w:rsid w:val="007B6C23"/>
    <w:rsid w:val="007B7754"/>
    <w:rsid w:val="007C2EE3"/>
    <w:rsid w:val="007C5067"/>
    <w:rsid w:val="007C55CB"/>
    <w:rsid w:val="007D2469"/>
    <w:rsid w:val="007D32CE"/>
    <w:rsid w:val="007E5F4A"/>
    <w:rsid w:val="007E6F4B"/>
    <w:rsid w:val="007E7002"/>
    <w:rsid w:val="007E743D"/>
    <w:rsid w:val="007F1B9A"/>
    <w:rsid w:val="007F299A"/>
    <w:rsid w:val="007F39FA"/>
    <w:rsid w:val="007F4DA3"/>
    <w:rsid w:val="007F5203"/>
    <w:rsid w:val="0080727D"/>
    <w:rsid w:val="008075F8"/>
    <w:rsid w:val="00812898"/>
    <w:rsid w:val="0081356D"/>
    <w:rsid w:val="00813AEF"/>
    <w:rsid w:val="00814109"/>
    <w:rsid w:val="008157A3"/>
    <w:rsid w:val="00817A08"/>
    <w:rsid w:val="00823972"/>
    <w:rsid w:val="00823B11"/>
    <w:rsid w:val="008247B8"/>
    <w:rsid w:val="00834351"/>
    <w:rsid w:val="0083616B"/>
    <w:rsid w:val="00836E8A"/>
    <w:rsid w:val="00841589"/>
    <w:rsid w:val="00841FC0"/>
    <w:rsid w:val="00846155"/>
    <w:rsid w:val="00846263"/>
    <w:rsid w:val="00846B39"/>
    <w:rsid w:val="0085099E"/>
    <w:rsid w:val="00850DE7"/>
    <w:rsid w:val="00853838"/>
    <w:rsid w:val="00855D41"/>
    <w:rsid w:val="008646D0"/>
    <w:rsid w:val="00864A3C"/>
    <w:rsid w:val="00865785"/>
    <w:rsid w:val="00867218"/>
    <w:rsid w:val="00872554"/>
    <w:rsid w:val="0087335F"/>
    <w:rsid w:val="008740B1"/>
    <w:rsid w:val="0087453F"/>
    <w:rsid w:val="008763B1"/>
    <w:rsid w:val="008777A0"/>
    <w:rsid w:val="008872F0"/>
    <w:rsid w:val="00887C76"/>
    <w:rsid w:val="008919BB"/>
    <w:rsid w:val="00891F53"/>
    <w:rsid w:val="00892795"/>
    <w:rsid w:val="008933B7"/>
    <w:rsid w:val="00894476"/>
    <w:rsid w:val="00894E2B"/>
    <w:rsid w:val="00896ADA"/>
    <w:rsid w:val="008A3BD5"/>
    <w:rsid w:val="008A415D"/>
    <w:rsid w:val="008A6ED0"/>
    <w:rsid w:val="008B28AE"/>
    <w:rsid w:val="008B333A"/>
    <w:rsid w:val="008C1230"/>
    <w:rsid w:val="008C1442"/>
    <w:rsid w:val="008C1BA5"/>
    <w:rsid w:val="008C42ED"/>
    <w:rsid w:val="008C4848"/>
    <w:rsid w:val="008C4910"/>
    <w:rsid w:val="008C4A5D"/>
    <w:rsid w:val="008D02D8"/>
    <w:rsid w:val="008D3494"/>
    <w:rsid w:val="008E068F"/>
    <w:rsid w:val="008E2448"/>
    <w:rsid w:val="008E2683"/>
    <w:rsid w:val="008E27B3"/>
    <w:rsid w:val="008E64E2"/>
    <w:rsid w:val="008E7018"/>
    <w:rsid w:val="008E7221"/>
    <w:rsid w:val="008E7F4F"/>
    <w:rsid w:val="008F49B5"/>
    <w:rsid w:val="008F5AC6"/>
    <w:rsid w:val="008F5CDD"/>
    <w:rsid w:val="008F6E78"/>
    <w:rsid w:val="00901A7D"/>
    <w:rsid w:val="00905BF5"/>
    <w:rsid w:val="0091139E"/>
    <w:rsid w:val="00913FF1"/>
    <w:rsid w:val="00921392"/>
    <w:rsid w:val="0092529D"/>
    <w:rsid w:val="00927155"/>
    <w:rsid w:val="00930840"/>
    <w:rsid w:val="00936314"/>
    <w:rsid w:val="009423CA"/>
    <w:rsid w:val="009503B1"/>
    <w:rsid w:val="00951E7D"/>
    <w:rsid w:val="0095372C"/>
    <w:rsid w:val="00954475"/>
    <w:rsid w:val="0095448C"/>
    <w:rsid w:val="0095557C"/>
    <w:rsid w:val="009566E3"/>
    <w:rsid w:val="00956CB6"/>
    <w:rsid w:val="00962AAA"/>
    <w:rsid w:val="009642DE"/>
    <w:rsid w:val="00967AB0"/>
    <w:rsid w:val="00967C7C"/>
    <w:rsid w:val="009729A1"/>
    <w:rsid w:val="00972FAB"/>
    <w:rsid w:val="009758B1"/>
    <w:rsid w:val="009778B8"/>
    <w:rsid w:val="00981047"/>
    <w:rsid w:val="00981ECE"/>
    <w:rsid w:val="00983A2C"/>
    <w:rsid w:val="009873B9"/>
    <w:rsid w:val="009B148A"/>
    <w:rsid w:val="009B4BFF"/>
    <w:rsid w:val="009B5C14"/>
    <w:rsid w:val="009B5E79"/>
    <w:rsid w:val="009B680F"/>
    <w:rsid w:val="009B7B01"/>
    <w:rsid w:val="009C1F44"/>
    <w:rsid w:val="009C62DA"/>
    <w:rsid w:val="009C6D0A"/>
    <w:rsid w:val="009C6F2F"/>
    <w:rsid w:val="009C7BBD"/>
    <w:rsid w:val="009C7F34"/>
    <w:rsid w:val="009D1798"/>
    <w:rsid w:val="009D33E7"/>
    <w:rsid w:val="009E091C"/>
    <w:rsid w:val="009E2574"/>
    <w:rsid w:val="009E34A9"/>
    <w:rsid w:val="009E4696"/>
    <w:rsid w:val="009E4BB4"/>
    <w:rsid w:val="009E4BFC"/>
    <w:rsid w:val="009E724B"/>
    <w:rsid w:val="009F0BAA"/>
    <w:rsid w:val="009F14F4"/>
    <w:rsid w:val="009F3290"/>
    <w:rsid w:val="009F4B38"/>
    <w:rsid w:val="009F6627"/>
    <w:rsid w:val="009F7DEB"/>
    <w:rsid w:val="00A014A4"/>
    <w:rsid w:val="00A01D06"/>
    <w:rsid w:val="00A04D2F"/>
    <w:rsid w:val="00A1149E"/>
    <w:rsid w:val="00A13013"/>
    <w:rsid w:val="00A1306A"/>
    <w:rsid w:val="00A134C4"/>
    <w:rsid w:val="00A156C7"/>
    <w:rsid w:val="00A15A86"/>
    <w:rsid w:val="00A16574"/>
    <w:rsid w:val="00A16943"/>
    <w:rsid w:val="00A16F07"/>
    <w:rsid w:val="00A264D5"/>
    <w:rsid w:val="00A306A0"/>
    <w:rsid w:val="00A3245E"/>
    <w:rsid w:val="00A32D0E"/>
    <w:rsid w:val="00A3303E"/>
    <w:rsid w:val="00A34242"/>
    <w:rsid w:val="00A370A9"/>
    <w:rsid w:val="00A37BBD"/>
    <w:rsid w:val="00A5203B"/>
    <w:rsid w:val="00A5434F"/>
    <w:rsid w:val="00A54388"/>
    <w:rsid w:val="00A55187"/>
    <w:rsid w:val="00A57125"/>
    <w:rsid w:val="00A6009A"/>
    <w:rsid w:val="00A60DEF"/>
    <w:rsid w:val="00A6563C"/>
    <w:rsid w:val="00A72B64"/>
    <w:rsid w:val="00A73A79"/>
    <w:rsid w:val="00A7736F"/>
    <w:rsid w:val="00A7782B"/>
    <w:rsid w:val="00A90E67"/>
    <w:rsid w:val="00A945E6"/>
    <w:rsid w:val="00A96FA6"/>
    <w:rsid w:val="00AA5E2E"/>
    <w:rsid w:val="00AB086E"/>
    <w:rsid w:val="00AB13BB"/>
    <w:rsid w:val="00AB3F31"/>
    <w:rsid w:val="00AB673A"/>
    <w:rsid w:val="00AC02B4"/>
    <w:rsid w:val="00AC1761"/>
    <w:rsid w:val="00AC41B5"/>
    <w:rsid w:val="00AD2EEC"/>
    <w:rsid w:val="00AD5AFA"/>
    <w:rsid w:val="00AD7CA7"/>
    <w:rsid w:val="00AE2E88"/>
    <w:rsid w:val="00AE31DD"/>
    <w:rsid w:val="00AE326F"/>
    <w:rsid w:val="00AE6062"/>
    <w:rsid w:val="00AF1AFF"/>
    <w:rsid w:val="00AF2FA7"/>
    <w:rsid w:val="00AF54D3"/>
    <w:rsid w:val="00B00D85"/>
    <w:rsid w:val="00B012AD"/>
    <w:rsid w:val="00B04E98"/>
    <w:rsid w:val="00B04EFF"/>
    <w:rsid w:val="00B06B43"/>
    <w:rsid w:val="00B118D3"/>
    <w:rsid w:val="00B20281"/>
    <w:rsid w:val="00B22926"/>
    <w:rsid w:val="00B253AD"/>
    <w:rsid w:val="00B268C8"/>
    <w:rsid w:val="00B26BB1"/>
    <w:rsid w:val="00B270C7"/>
    <w:rsid w:val="00B27E9D"/>
    <w:rsid w:val="00B30132"/>
    <w:rsid w:val="00B30674"/>
    <w:rsid w:val="00B3393F"/>
    <w:rsid w:val="00B34180"/>
    <w:rsid w:val="00B348C7"/>
    <w:rsid w:val="00B41C79"/>
    <w:rsid w:val="00B50193"/>
    <w:rsid w:val="00B527B8"/>
    <w:rsid w:val="00B5788F"/>
    <w:rsid w:val="00B634CD"/>
    <w:rsid w:val="00B64869"/>
    <w:rsid w:val="00B65C3B"/>
    <w:rsid w:val="00B72502"/>
    <w:rsid w:val="00B734B5"/>
    <w:rsid w:val="00B80BA7"/>
    <w:rsid w:val="00B828D5"/>
    <w:rsid w:val="00B93306"/>
    <w:rsid w:val="00B93681"/>
    <w:rsid w:val="00B94DFF"/>
    <w:rsid w:val="00B95B77"/>
    <w:rsid w:val="00BA18FA"/>
    <w:rsid w:val="00BB0422"/>
    <w:rsid w:val="00BB2E88"/>
    <w:rsid w:val="00BB3242"/>
    <w:rsid w:val="00BB32FD"/>
    <w:rsid w:val="00BB4FEB"/>
    <w:rsid w:val="00BD2A5C"/>
    <w:rsid w:val="00BD41D7"/>
    <w:rsid w:val="00BD7CE0"/>
    <w:rsid w:val="00BE0D49"/>
    <w:rsid w:val="00BE3C83"/>
    <w:rsid w:val="00BE4168"/>
    <w:rsid w:val="00BE4E71"/>
    <w:rsid w:val="00BE5F43"/>
    <w:rsid w:val="00BE6EC2"/>
    <w:rsid w:val="00BE7C71"/>
    <w:rsid w:val="00BF1E64"/>
    <w:rsid w:val="00BF1EC9"/>
    <w:rsid w:val="00BF20C7"/>
    <w:rsid w:val="00BF39C9"/>
    <w:rsid w:val="00BF3F76"/>
    <w:rsid w:val="00BF670A"/>
    <w:rsid w:val="00C00948"/>
    <w:rsid w:val="00C00B77"/>
    <w:rsid w:val="00C0269D"/>
    <w:rsid w:val="00C04FC5"/>
    <w:rsid w:val="00C075A9"/>
    <w:rsid w:val="00C10999"/>
    <w:rsid w:val="00C14AF3"/>
    <w:rsid w:val="00C156E6"/>
    <w:rsid w:val="00C17FF5"/>
    <w:rsid w:val="00C20C97"/>
    <w:rsid w:val="00C21915"/>
    <w:rsid w:val="00C242A7"/>
    <w:rsid w:val="00C311AB"/>
    <w:rsid w:val="00C33ED8"/>
    <w:rsid w:val="00C34578"/>
    <w:rsid w:val="00C34AAA"/>
    <w:rsid w:val="00C35D77"/>
    <w:rsid w:val="00C37AA6"/>
    <w:rsid w:val="00C437AE"/>
    <w:rsid w:val="00C44683"/>
    <w:rsid w:val="00C44F59"/>
    <w:rsid w:val="00C46DA7"/>
    <w:rsid w:val="00C4746F"/>
    <w:rsid w:val="00C510C4"/>
    <w:rsid w:val="00C64E48"/>
    <w:rsid w:val="00C65FEE"/>
    <w:rsid w:val="00C66BF8"/>
    <w:rsid w:val="00C72C6C"/>
    <w:rsid w:val="00C75D31"/>
    <w:rsid w:val="00C76BB3"/>
    <w:rsid w:val="00C77293"/>
    <w:rsid w:val="00C830E4"/>
    <w:rsid w:val="00C90962"/>
    <w:rsid w:val="00C91ED2"/>
    <w:rsid w:val="00C92923"/>
    <w:rsid w:val="00C96623"/>
    <w:rsid w:val="00CA69DA"/>
    <w:rsid w:val="00CA7A4C"/>
    <w:rsid w:val="00CB0A95"/>
    <w:rsid w:val="00CB2588"/>
    <w:rsid w:val="00CB6561"/>
    <w:rsid w:val="00CB6999"/>
    <w:rsid w:val="00CC0A21"/>
    <w:rsid w:val="00CC1689"/>
    <w:rsid w:val="00CC1D16"/>
    <w:rsid w:val="00CC3953"/>
    <w:rsid w:val="00CC3CD2"/>
    <w:rsid w:val="00CC45B3"/>
    <w:rsid w:val="00CC7B2F"/>
    <w:rsid w:val="00CD214E"/>
    <w:rsid w:val="00CD27BF"/>
    <w:rsid w:val="00CD35DA"/>
    <w:rsid w:val="00CE0666"/>
    <w:rsid w:val="00CE0CBA"/>
    <w:rsid w:val="00CE0F5D"/>
    <w:rsid w:val="00CE406C"/>
    <w:rsid w:val="00CE6544"/>
    <w:rsid w:val="00CF1E39"/>
    <w:rsid w:val="00CF4B55"/>
    <w:rsid w:val="00CF5674"/>
    <w:rsid w:val="00D02548"/>
    <w:rsid w:val="00D06052"/>
    <w:rsid w:val="00D07F97"/>
    <w:rsid w:val="00D100E5"/>
    <w:rsid w:val="00D116C6"/>
    <w:rsid w:val="00D15B1A"/>
    <w:rsid w:val="00D15DB3"/>
    <w:rsid w:val="00D16C5C"/>
    <w:rsid w:val="00D1786F"/>
    <w:rsid w:val="00D20F7E"/>
    <w:rsid w:val="00D21E7C"/>
    <w:rsid w:val="00D22E7D"/>
    <w:rsid w:val="00D27B4A"/>
    <w:rsid w:val="00D3382F"/>
    <w:rsid w:val="00D35640"/>
    <w:rsid w:val="00D356E8"/>
    <w:rsid w:val="00D40AD8"/>
    <w:rsid w:val="00D42634"/>
    <w:rsid w:val="00D4409C"/>
    <w:rsid w:val="00D474DD"/>
    <w:rsid w:val="00D52ECB"/>
    <w:rsid w:val="00D60810"/>
    <w:rsid w:val="00D6155B"/>
    <w:rsid w:val="00D61D06"/>
    <w:rsid w:val="00D64949"/>
    <w:rsid w:val="00D7547C"/>
    <w:rsid w:val="00D76A9A"/>
    <w:rsid w:val="00D76DF2"/>
    <w:rsid w:val="00D776AE"/>
    <w:rsid w:val="00D80967"/>
    <w:rsid w:val="00D80BCC"/>
    <w:rsid w:val="00D81610"/>
    <w:rsid w:val="00D86F83"/>
    <w:rsid w:val="00D8751B"/>
    <w:rsid w:val="00D911A5"/>
    <w:rsid w:val="00D911DC"/>
    <w:rsid w:val="00D92193"/>
    <w:rsid w:val="00DA29E1"/>
    <w:rsid w:val="00DA319D"/>
    <w:rsid w:val="00DA7DD9"/>
    <w:rsid w:val="00DB1827"/>
    <w:rsid w:val="00DB2918"/>
    <w:rsid w:val="00DB3799"/>
    <w:rsid w:val="00DB4736"/>
    <w:rsid w:val="00DB53FC"/>
    <w:rsid w:val="00DB5901"/>
    <w:rsid w:val="00DC0D4A"/>
    <w:rsid w:val="00DC3850"/>
    <w:rsid w:val="00DC6EF1"/>
    <w:rsid w:val="00DC6EFE"/>
    <w:rsid w:val="00DD62B5"/>
    <w:rsid w:val="00DD7A96"/>
    <w:rsid w:val="00DE439F"/>
    <w:rsid w:val="00DE668B"/>
    <w:rsid w:val="00DF0FED"/>
    <w:rsid w:val="00DF48E4"/>
    <w:rsid w:val="00DF49BD"/>
    <w:rsid w:val="00DF5C79"/>
    <w:rsid w:val="00E00609"/>
    <w:rsid w:val="00E03B58"/>
    <w:rsid w:val="00E0512B"/>
    <w:rsid w:val="00E076B2"/>
    <w:rsid w:val="00E12400"/>
    <w:rsid w:val="00E12B0C"/>
    <w:rsid w:val="00E215D2"/>
    <w:rsid w:val="00E21973"/>
    <w:rsid w:val="00E21E64"/>
    <w:rsid w:val="00E252C8"/>
    <w:rsid w:val="00E27793"/>
    <w:rsid w:val="00E30525"/>
    <w:rsid w:val="00E3080A"/>
    <w:rsid w:val="00E3233D"/>
    <w:rsid w:val="00E3734E"/>
    <w:rsid w:val="00E42B41"/>
    <w:rsid w:val="00E431F4"/>
    <w:rsid w:val="00E4438A"/>
    <w:rsid w:val="00E46F9C"/>
    <w:rsid w:val="00E470C4"/>
    <w:rsid w:val="00E52CDE"/>
    <w:rsid w:val="00E53072"/>
    <w:rsid w:val="00E57867"/>
    <w:rsid w:val="00E644D9"/>
    <w:rsid w:val="00E64786"/>
    <w:rsid w:val="00E677E8"/>
    <w:rsid w:val="00E72AF4"/>
    <w:rsid w:val="00E73611"/>
    <w:rsid w:val="00E7546F"/>
    <w:rsid w:val="00E81461"/>
    <w:rsid w:val="00E85115"/>
    <w:rsid w:val="00E8601F"/>
    <w:rsid w:val="00E90C07"/>
    <w:rsid w:val="00E95942"/>
    <w:rsid w:val="00EA09E5"/>
    <w:rsid w:val="00EA200A"/>
    <w:rsid w:val="00EA25B7"/>
    <w:rsid w:val="00EA28EF"/>
    <w:rsid w:val="00EB1FBA"/>
    <w:rsid w:val="00EB2375"/>
    <w:rsid w:val="00EB29D3"/>
    <w:rsid w:val="00EC0707"/>
    <w:rsid w:val="00EC07BA"/>
    <w:rsid w:val="00EC239E"/>
    <w:rsid w:val="00EC4AC0"/>
    <w:rsid w:val="00EC6657"/>
    <w:rsid w:val="00ED0D05"/>
    <w:rsid w:val="00ED1F21"/>
    <w:rsid w:val="00ED6045"/>
    <w:rsid w:val="00ED71D6"/>
    <w:rsid w:val="00EE314B"/>
    <w:rsid w:val="00EE3838"/>
    <w:rsid w:val="00EE3B87"/>
    <w:rsid w:val="00EE4177"/>
    <w:rsid w:val="00EE56E9"/>
    <w:rsid w:val="00EE78C6"/>
    <w:rsid w:val="00EF2CB4"/>
    <w:rsid w:val="00EF3D98"/>
    <w:rsid w:val="00EF4370"/>
    <w:rsid w:val="00F00AE7"/>
    <w:rsid w:val="00F036CD"/>
    <w:rsid w:val="00F0451B"/>
    <w:rsid w:val="00F05C8D"/>
    <w:rsid w:val="00F17B3D"/>
    <w:rsid w:val="00F215EF"/>
    <w:rsid w:val="00F26C98"/>
    <w:rsid w:val="00F360A9"/>
    <w:rsid w:val="00F448C8"/>
    <w:rsid w:val="00F5657A"/>
    <w:rsid w:val="00F6247E"/>
    <w:rsid w:val="00F65487"/>
    <w:rsid w:val="00F65799"/>
    <w:rsid w:val="00F65D5A"/>
    <w:rsid w:val="00F67BC7"/>
    <w:rsid w:val="00F711E5"/>
    <w:rsid w:val="00F718EF"/>
    <w:rsid w:val="00F826D0"/>
    <w:rsid w:val="00F91AEC"/>
    <w:rsid w:val="00F93CCF"/>
    <w:rsid w:val="00F9477E"/>
    <w:rsid w:val="00FA1B3A"/>
    <w:rsid w:val="00FA3763"/>
    <w:rsid w:val="00FB1A54"/>
    <w:rsid w:val="00FB20D7"/>
    <w:rsid w:val="00FB37AF"/>
    <w:rsid w:val="00FB5993"/>
    <w:rsid w:val="00FB61A0"/>
    <w:rsid w:val="00FC1466"/>
    <w:rsid w:val="00FC316D"/>
    <w:rsid w:val="00FC485D"/>
    <w:rsid w:val="00FC59F4"/>
    <w:rsid w:val="00FC79CC"/>
    <w:rsid w:val="00FD03FC"/>
    <w:rsid w:val="00FD0CD7"/>
    <w:rsid w:val="00FD3A4B"/>
    <w:rsid w:val="00FD6FF7"/>
    <w:rsid w:val="00FE14B0"/>
    <w:rsid w:val="00FE449B"/>
    <w:rsid w:val="00FE65FD"/>
    <w:rsid w:val="00FE6AA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3BA71"/>
  <w15:chartTrackingRefBased/>
  <w15:docId w15:val="{9CB9BF1F-642D-487B-B1F6-3FB152EB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973"/>
  </w:style>
  <w:style w:type="paragraph" w:styleId="Titre1">
    <w:name w:val="heading 1"/>
    <w:basedOn w:val="Normal"/>
    <w:next w:val="Normal"/>
    <w:link w:val="Titre1Car"/>
    <w:uiPriority w:val="9"/>
    <w:qFormat/>
    <w:rsid w:val="00E219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E219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E219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1973"/>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E21973"/>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E21973"/>
    <w:rPr>
      <w:rFonts w:asciiTheme="majorHAnsi" w:eastAsiaTheme="majorEastAsia" w:hAnsiTheme="majorHAnsi" w:cstheme="majorBidi"/>
      <w:color w:val="1F4D78" w:themeColor="accent1" w:themeShade="7F"/>
      <w:sz w:val="24"/>
      <w:szCs w:val="24"/>
    </w:rPr>
  </w:style>
  <w:style w:type="paragraph" w:styleId="Titre">
    <w:name w:val="Title"/>
    <w:basedOn w:val="Normal"/>
    <w:next w:val="Normal"/>
    <w:link w:val="TitreCar"/>
    <w:uiPriority w:val="10"/>
    <w:qFormat/>
    <w:rsid w:val="00E219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21973"/>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E21973"/>
    <w:pPr>
      <w:ind w:left="720"/>
      <w:contextualSpacing/>
    </w:pPr>
  </w:style>
  <w:style w:type="paragraph" w:styleId="Notedebasdepage">
    <w:name w:val="footnote text"/>
    <w:basedOn w:val="Normal"/>
    <w:link w:val="NotedebasdepageCar"/>
    <w:uiPriority w:val="99"/>
    <w:semiHidden/>
    <w:unhideWhenUsed/>
    <w:rsid w:val="00E2197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21973"/>
    <w:rPr>
      <w:sz w:val="20"/>
      <w:szCs w:val="20"/>
    </w:rPr>
  </w:style>
  <w:style w:type="character" w:styleId="Appelnotedebasdep">
    <w:name w:val="footnote reference"/>
    <w:basedOn w:val="Policepardfaut"/>
    <w:uiPriority w:val="99"/>
    <w:semiHidden/>
    <w:unhideWhenUsed/>
    <w:rsid w:val="00E21973"/>
    <w:rPr>
      <w:vertAlign w:val="superscript"/>
    </w:rPr>
  </w:style>
  <w:style w:type="paragraph" w:styleId="NormalWeb">
    <w:name w:val="Normal (Web)"/>
    <w:basedOn w:val="Normal"/>
    <w:uiPriority w:val="99"/>
    <w:semiHidden/>
    <w:unhideWhenUsed/>
    <w:rsid w:val="00E21973"/>
    <w:rPr>
      <w:rFonts w:ascii="Times New Roman" w:hAnsi="Times New Roman" w:cs="Times New Roman"/>
      <w:sz w:val="24"/>
      <w:szCs w:val="24"/>
    </w:rPr>
  </w:style>
  <w:style w:type="character" w:styleId="Lienhypertexte">
    <w:name w:val="Hyperlink"/>
    <w:basedOn w:val="Policepardfaut"/>
    <w:uiPriority w:val="99"/>
    <w:unhideWhenUsed/>
    <w:rsid w:val="00E21973"/>
    <w:rPr>
      <w:color w:val="0563C1" w:themeColor="hyperlink"/>
      <w:u w:val="single"/>
    </w:rPr>
  </w:style>
  <w:style w:type="table" w:styleId="Grilledutableau">
    <w:name w:val="Table Grid"/>
    <w:basedOn w:val="TableauNormal"/>
    <w:uiPriority w:val="39"/>
    <w:rsid w:val="00E21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E21973"/>
    <w:pPr>
      <w:spacing w:after="0" w:line="240" w:lineRule="auto"/>
    </w:pPr>
  </w:style>
  <w:style w:type="character" w:styleId="Accentuation">
    <w:name w:val="Emphasis"/>
    <w:basedOn w:val="Policepardfaut"/>
    <w:uiPriority w:val="20"/>
    <w:qFormat/>
    <w:rsid w:val="00E21973"/>
    <w:rPr>
      <w:i/>
      <w:iCs/>
    </w:rPr>
  </w:style>
  <w:style w:type="character" w:customStyle="1" w:styleId="apple-converted-space">
    <w:name w:val="apple-converted-space"/>
    <w:basedOn w:val="Policepardfaut"/>
    <w:rsid w:val="00E21973"/>
  </w:style>
  <w:style w:type="paragraph" w:styleId="Textedebulles">
    <w:name w:val="Balloon Text"/>
    <w:basedOn w:val="Normal"/>
    <w:link w:val="TextedebullesCar"/>
    <w:uiPriority w:val="99"/>
    <w:semiHidden/>
    <w:unhideWhenUsed/>
    <w:rsid w:val="00E2197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21973"/>
    <w:rPr>
      <w:rFonts w:ascii="Segoe UI" w:hAnsi="Segoe UI" w:cs="Segoe UI"/>
      <w:sz w:val="18"/>
      <w:szCs w:val="18"/>
    </w:rPr>
  </w:style>
  <w:style w:type="character" w:styleId="Marquedecommentaire">
    <w:name w:val="annotation reference"/>
    <w:basedOn w:val="Policepardfaut"/>
    <w:uiPriority w:val="99"/>
    <w:semiHidden/>
    <w:unhideWhenUsed/>
    <w:rsid w:val="00E21973"/>
    <w:rPr>
      <w:sz w:val="16"/>
      <w:szCs w:val="16"/>
    </w:rPr>
  </w:style>
  <w:style w:type="paragraph" w:styleId="Commentaire">
    <w:name w:val="annotation text"/>
    <w:basedOn w:val="Normal"/>
    <w:link w:val="CommentaireCar"/>
    <w:uiPriority w:val="99"/>
    <w:semiHidden/>
    <w:unhideWhenUsed/>
    <w:rsid w:val="00E21973"/>
    <w:pPr>
      <w:spacing w:line="240" w:lineRule="auto"/>
    </w:pPr>
    <w:rPr>
      <w:sz w:val="20"/>
      <w:szCs w:val="20"/>
    </w:rPr>
  </w:style>
  <w:style w:type="character" w:customStyle="1" w:styleId="CommentaireCar">
    <w:name w:val="Commentaire Car"/>
    <w:basedOn w:val="Policepardfaut"/>
    <w:link w:val="Commentaire"/>
    <w:uiPriority w:val="99"/>
    <w:semiHidden/>
    <w:rsid w:val="00E21973"/>
    <w:rPr>
      <w:sz w:val="20"/>
      <w:szCs w:val="20"/>
    </w:rPr>
  </w:style>
  <w:style w:type="character" w:customStyle="1" w:styleId="ObjetducommentaireCar">
    <w:name w:val="Objet du commentaire Car"/>
    <w:basedOn w:val="CommentaireCar"/>
    <w:link w:val="Objetducommentaire"/>
    <w:uiPriority w:val="99"/>
    <w:semiHidden/>
    <w:rsid w:val="00E21973"/>
    <w:rPr>
      <w:b/>
      <w:bCs/>
      <w:sz w:val="20"/>
      <w:szCs w:val="20"/>
    </w:rPr>
  </w:style>
  <w:style w:type="paragraph" w:styleId="Objetducommentaire">
    <w:name w:val="annotation subject"/>
    <w:basedOn w:val="Commentaire"/>
    <w:next w:val="Commentaire"/>
    <w:link w:val="ObjetducommentaireCar"/>
    <w:uiPriority w:val="99"/>
    <w:semiHidden/>
    <w:unhideWhenUsed/>
    <w:rsid w:val="00E21973"/>
    <w:rPr>
      <w:b/>
      <w:bCs/>
    </w:rPr>
  </w:style>
  <w:style w:type="character" w:styleId="Lienhypertextesuivivisit">
    <w:name w:val="FollowedHyperlink"/>
    <w:basedOn w:val="Policepardfaut"/>
    <w:uiPriority w:val="99"/>
    <w:semiHidden/>
    <w:unhideWhenUsed/>
    <w:rsid w:val="00D911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18395">
      <w:bodyDiv w:val="1"/>
      <w:marLeft w:val="0"/>
      <w:marRight w:val="0"/>
      <w:marTop w:val="0"/>
      <w:marBottom w:val="0"/>
      <w:divBdr>
        <w:top w:val="none" w:sz="0" w:space="0" w:color="auto"/>
        <w:left w:val="none" w:sz="0" w:space="0" w:color="auto"/>
        <w:bottom w:val="none" w:sz="0" w:space="0" w:color="auto"/>
        <w:right w:val="none" w:sz="0" w:space="0" w:color="auto"/>
      </w:divBdr>
      <w:divsChild>
        <w:div w:id="1958171097">
          <w:marLeft w:val="0"/>
          <w:marRight w:val="0"/>
          <w:marTop w:val="0"/>
          <w:marBottom w:val="0"/>
          <w:divBdr>
            <w:top w:val="none" w:sz="0" w:space="0" w:color="auto"/>
            <w:left w:val="none" w:sz="0" w:space="0" w:color="auto"/>
            <w:bottom w:val="none" w:sz="0" w:space="0" w:color="auto"/>
            <w:right w:val="none" w:sz="0" w:space="0" w:color="auto"/>
          </w:divBdr>
          <w:divsChild>
            <w:div w:id="59613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7594">
      <w:bodyDiv w:val="1"/>
      <w:marLeft w:val="0"/>
      <w:marRight w:val="0"/>
      <w:marTop w:val="0"/>
      <w:marBottom w:val="0"/>
      <w:divBdr>
        <w:top w:val="none" w:sz="0" w:space="0" w:color="auto"/>
        <w:left w:val="none" w:sz="0" w:space="0" w:color="auto"/>
        <w:bottom w:val="none" w:sz="0" w:space="0" w:color="auto"/>
        <w:right w:val="none" w:sz="0" w:space="0" w:color="auto"/>
      </w:divBdr>
      <w:divsChild>
        <w:div w:id="1517690672">
          <w:marLeft w:val="0"/>
          <w:marRight w:val="0"/>
          <w:marTop w:val="0"/>
          <w:marBottom w:val="0"/>
          <w:divBdr>
            <w:top w:val="none" w:sz="0" w:space="0" w:color="auto"/>
            <w:left w:val="none" w:sz="0" w:space="0" w:color="auto"/>
            <w:bottom w:val="none" w:sz="0" w:space="0" w:color="auto"/>
            <w:right w:val="none" w:sz="0" w:space="0" w:color="auto"/>
          </w:divBdr>
          <w:divsChild>
            <w:div w:id="9610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22615">
      <w:bodyDiv w:val="1"/>
      <w:marLeft w:val="0"/>
      <w:marRight w:val="0"/>
      <w:marTop w:val="0"/>
      <w:marBottom w:val="0"/>
      <w:divBdr>
        <w:top w:val="none" w:sz="0" w:space="0" w:color="auto"/>
        <w:left w:val="none" w:sz="0" w:space="0" w:color="auto"/>
        <w:bottom w:val="none" w:sz="0" w:space="0" w:color="auto"/>
        <w:right w:val="none" w:sz="0" w:space="0" w:color="auto"/>
      </w:divBdr>
      <w:divsChild>
        <w:div w:id="1984653637">
          <w:marLeft w:val="0"/>
          <w:marRight w:val="0"/>
          <w:marTop w:val="0"/>
          <w:marBottom w:val="0"/>
          <w:divBdr>
            <w:top w:val="none" w:sz="0" w:space="0" w:color="auto"/>
            <w:left w:val="none" w:sz="0" w:space="0" w:color="auto"/>
            <w:bottom w:val="none" w:sz="0" w:space="0" w:color="auto"/>
            <w:right w:val="none" w:sz="0" w:space="0" w:color="auto"/>
          </w:divBdr>
          <w:divsChild>
            <w:div w:id="89974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35668">
      <w:bodyDiv w:val="1"/>
      <w:marLeft w:val="0"/>
      <w:marRight w:val="0"/>
      <w:marTop w:val="0"/>
      <w:marBottom w:val="0"/>
      <w:divBdr>
        <w:top w:val="none" w:sz="0" w:space="0" w:color="auto"/>
        <w:left w:val="none" w:sz="0" w:space="0" w:color="auto"/>
        <w:bottom w:val="none" w:sz="0" w:space="0" w:color="auto"/>
        <w:right w:val="none" w:sz="0" w:space="0" w:color="auto"/>
      </w:divBdr>
      <w:divsChild>
        <w:div w:id="409930123">
          <w:marLeft w:val="0"/>
          <w:marRight w:val="0"/>
          <w:marTop w:val="0"/>
          <w:marBottom w:val="0"/>
          <w:divBdr>
            <w:top w:val="none" w:sz="0" w:space="0" w:color="auto"/>
            <w:left w:val="none" w:sz="0" w:space="0" w:color="auto"/>
            <w:bottom w:val="none" w:sz="0" w:space="0" w:color="auto"/>
            <w:right w:val="none" w:sz="0" w:space="0" w:color="auto"/>
          </w:divBdr>
          <w:divsChild>
            <w:div w:id="18035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93020">
      <w:bodyDiv w:val="1"/>
      <w:marLeft w:val="0"/>
      <w:marRight w:val="0"/>
      <w:marTop w:val="0"/>
      <w:marBottom w:val="0"/>
      <w:divBdr>
        <w:top w:val="none" w:sz="0" w:space="0" w:color="auto"/>
        <w:left w:val="none" w:sz="0" w:space="0" w:color="auto"/>
        <w:bottom w:val="none" w:sz="0" w:space="0" w:color="auto"/>
        <w:right w:val="none" w:sz="0" w:space="0" w:color="auto"/>
      </w:divBdr>
      <w:divsChild>
        <w:div w:id="1698038636">
          <w:marLeft w:val="0"/>
          <w:marRight w:val="0"/>
          <w:marTop w:val="0"/>
          <w:marBottom w:val="0"/>
          <w:divBdr>
            <w:top w:val="none" w:sz="0" w:space="0" w:color="auto"/>
            <w:left w:val="none" w:sz="0" w:space="0" w:color="auto"/>
            <w:bottom w:val="none" w:sz="0" w:space="0" w:color="auto"/>
            <w:right w:val="none" w:sz="0" w:space="0" w:color="auto"/>
          </w:divBdr>
          <w:divsChild>
            <w:div w:id="154424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47011">
      <w:bodyDiv w:val="1"/>
      <w:marLeft w:val="0"/>
      <w:marRight w:val="0"/>
      <w:marTop w:val="0"/>
      <w:marBottom w:val="0"/>
      <w:divBdr>
        <w:top w:val="none" w:sz="0" w:space="0" w:color="auto"/>
        <w:left w:val="none" w:sz="0" w:space="0" w:color="auto"/>
        <w:bottom w:val="none" w:sz="0" w:space="0" w:color="auto"/>
        <w:right w:val="none" w:sz="0" w:space="0" w:color="auto"/>
      </w:divBdr>
      <w:divsChild>
        <w:div w:id="16086284">
          <w:marLeft w:val="0"/>
          <w:marRight w:val="0"/>
          <w:marTop w:val="0"/>
          <w:marBottom w:val="0"/>
          <w:divBdr>
            <w:top w:val="none" w:sz="0" w:space="0" w:color="auto"/>
            <w:left w:val="none" w:sz="0" w:space="0" w:color="auto"/>
            <w:bottom w:val="none" w:sz="0" w:space="0" w:color="auto"/>
            <w:right w:val="none" w:sz="0" w:space="0" w:color="auto"/>
          </w:divBdr>
          <w:divsChild>
            <w:div w:id="13796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50380">
      <w:bodyDiv w:val="1"/>
      <w:marLeft w:val="0"/>
      <w:marRight w:val="0"/>
      <w:marTop w:val="0"/>
      <w:marBottom w:val="0"/>
      <w:divBdr>
        <w:top w:val="none" w:sz="0" w:space="0" w:color="auto"/>
        <w:left w:val="none" w:sz="0" w:space="0" w:color="auto"/>
        <w:bottom w:val="none" w:sz="0" w:space="0" w:color="auto"/>
        <w:right w:val="none" w:sz="0" w:space="0" w:color="auto"/>
      </w:divBdr>
      <w:divsChild>
        <w:div w:id="1277325169">
          <w:marLeft w:val="0"/>
          <w:marRight w:val="0"/>
          <w:marTop w:val="0"/>
          <w:marBottom w:val="0"/>
          <w:divBdr>
            <w:top w:val="none" w:sz="0" w:space="0" w:color="auto"/>
            <w:left w:val="none" w:sz="0" w:space="0" w:color="auto"/>
            <w:bottom w:val="none" w:sz="0" w:space="0" w:color="auto"/>
            <w:right w:val="none" w:sz="0" w:space="0" w:color="auto"/>
          </w:divBdr>
          <w:divsChild>
            <w:div w:id="19964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50878">
      <w:bodyDiv w:val="1"/>
      <w:marLeft w:val="0"/>
      <w:marRight w:val="0"/>
      <w:marTop w:val="0"/>
      <w:marBottom w:val="0"/>
      <w:divBdr>
        <w:top w:val="none" w:sz="0" w:space="0" w:color="auto"/>
        <w:left w:val="none" w:sz="0" w:space="0" w:color="auto"/>
        <w:bottom w:val="none" w:sz="0" w:space="0" w:color="auto"/>
        <w:right w:val="none" w:sz="0" w:space="0" w:color="auto"/>
      </w:divBdr>
      <w:divsChild>
        <w:div w:id="590822334">
          <w:marLeft w:val="0"/>
          <w:marRight w:val="0"/>
          <w:marTop w:val="0"/>
          <w:marBottom w:val="0"/>
          <w:divBdr>
            <w:top w:val="none" w:sz="0" w:space="0" w:color="auto"/>
            <w:left w:val="none" w:sz="0" w:space="0" w:color="auto"/>
            <w:bottom w:val="none" w:sz="0" w:space="0" w:color="auto"/>
            <w:right w:val="none" w:sz="0" w:space="0" w:color="auto"/>
          </w:divBdr>
          <w:divsChild>
            <w:div w:id="178862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menparle.hypotheses.org/" TargetMode="External"/><Relationship Id="rId18" Type="http://schemas.openxmlformats.org/officeDocument/2006/relationships/hyperlink" Target="https://ucactualite.hypotheses.org/" TargetMode="External"/><Relationship Id="rId26" Type="http://schemas.openxmlformats.org/officeDocument/2006/relationships/hyperlink" Target="https://halshs.archives-ouvertes.fr/halshs-01242707" TargetMode="External"/><Relationship Id="rId39" Type="http://schemas.openxmlformats.org/officeDocument/2006/relationships/hyperlink" Target="http://www.sens-public.org/article1059.html" TargetMode="External"/><Relationship Id="rId21" Type="http://schemas.openxmlformats.org/officeDocument/2006/relationships/hyperlink" Target="http://cpa.hypotheses.org/6109" TargetMode="External"/><Relationship Id="rId34" Type="http://schemas.openxmlformats.org/officeDocument/2006/relationships/hyperlink" Target="https://sds.revues.org/22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litbistro.hypotheses.org/" TargetMode="External"/><Relationship Id="rId20" Type="http://schemas.openxmlformats.org/officeDocument/2006/relationships/image" Target="media/image2.jpg"/><Relationship Id="rId29" Type="http://schemas.openxmlformats.org/officeDocument/2006/relationships/hyperlink" Target="https://bn.hypotheses.org/19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oposvea.hypotheses.org/" TargetMode="External"/><Relationship Id="rId24" Type="http://schemas.openxmlformats.org/officeDocument/2006/relationships/hyperlink" Target="http://questionsdecommunication.revues.org/368" TargetMode="External"/><Relationship Id="rId32" Type="http://schemas.openxmlformats.org/officeDocument/2006/relationships/hyperlink" Target="http://issuu.com/institut_francais/docs/if_humanites-numeriques" TargetMode="External"/><Relationship Id="rId37" Type="http://schemas.openxmlformats.org/officeDocument/2006/relationships/hyperlink" Target="https://hal-univ-paris13.archives-ouvertes.fr/hal-01163507/document"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vipot.hypotheses.org/" TargetMode="External"/><Relationship Id="rId23" Type="http://schemas.openxmlformats.org/officeDocument/2006/relationships/image" Target="media/image4.png"/><Relationship Id="rId28" Type="http://schemas.openxmlformats.org/officeDocument/2006/relationships/hyperlink" Target="https://traces.revues.org/5295" TargetMode="External"/><Relationship Id="rId36" Type="http://schemas.openxmlformats.org/officeDocument/2006/relationships/hyperlink" Target="http://books.openedition.org/bibpompidou/412" TargetMode="External"/><Relationship Id="rId10" Type="http://schemas.openxmlformats.org/officeDocument/2006/relationships/hyperlink" Target="https://jpcontempo.hypotheses.org/" TargetMode="External"/><Relationship Id="rId19" Type="http://schemas.openxmlformats.org/officeDocument/2006/relationships/image" Target="media/image1.jpg"/><Relationship Id="rId31" Type="http://schemas.openxmlformats.org/officeDocument/2006/relationships/hyperlink" Target="https://traces.revues.org/5534" TargetMode="External"/><Relationship Id="rId4" Type="http://schemas.openxmlformats.org/officeDocument/2006/relationships/settings" Target="settings.xml"/><Relationship Id="rId9" Type="http://schemas.openxmlformats.org/officeDocument/2006/relationships/hyperlink" Target="http://cpa.hypotheses.org/" TargetMode="External"/><Relationship Id="rId14" Type="http://schemas.openxmlformats.org/officeDocument/2006/relationships/hyperlink" Target="https://iremam.hypotheses.org/" TargetMode="External"/><Relationship Id="rId22" Type="http://schemas.openxmlformats.org/officeDocument/2006/relationships/image" Target="media/image3.jpeg"/><Relationship Id="rId27" Type="http://schemas.openxmlformats.org/officeDocument/2006/relationships/hyperlink" Target="https://halshs.archives-ouvertes.fr/halshs-01242707" TargetMode="External"/><Relationship Id="rId30" Type="http://schemas.openxmlformats.org/officeDocument/2006/relationships/hyperlink" Target="http://bn.hypotheses.org/11728" TargetMode="External"/><Relationship Id="rId35" Type="http://schemas.openxmlformats.org/officeDocument/2006/relationships/hyperlink" Target="http://bbf.enssib.fr/consulter/bbf-1984-06-0484-003" TargetMode="External"/><Relationship Id="rId8" Type="http://schemas.openxmlformats.org/officeDocument/2006/relationships/hyperlink" Target="mailto:Ingrid.Mayeur@ulg.ac.be" TargetMode="External"/><Relationship Id="rId3" Type="http://schemas.openxmlformats.org/officeDocument/2006/relationships/styles" Target="styles.xml"/><Relationship Id="rId12" Type="http://schemas.openxmlformats.org/officeDocument/2006/relationships/hyperlink" Target="https://idm.hypotheses.org/" TargetMode="External"/><Relationship Id="rId17" Type="http://schemas.openxmlformats.org/officeDocument/2006/relationships/hyperlink" Target="https://russeurope.hypotheses.org/" TargetMode="External"/><Relationship Id="rId25" Type="http://schemas.openxmlformats.org/officeDocument/2006/relationships/hyperlink" Target="http://archivesic.ccsd.cnrs.fr/sic_00452002/document" TargetMode="External"/><Relationship Id="rId33" Type="http://schemas.openxmlformats.org/officeDocument/2006/relationships/hyperlink" Target="http://archivesic.ccsd.cnrs.fr/sic_00439849/document" TargetMode="External"/><Relationship Id="rId38" Type="http://schemas.openxmlformats.org/officeDocument/2006/relationships/hyperlink" Target="http://creias.ipleiria.pt/files/2010/08/Citizen_Scientists_-_web.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logs.openedition.org/" TargetMode="External"/><Relationship Id="rId13" Type="http://schemas.openxmlformats.org/officeDocument/2006/relationships/hyperlink" Target="http://iremam.hypotheses.org/6060" TargetMode="External"/><Relationship Id="rId18" Type="http://schemas.openxmlformats.org/officeDocument/2006/relationships/hyperlink" Target="https://lamenparle.hypotheses.org/570" TargetMode="External"/><Relationship Id="rId26" Type="http://schemas.openxmlformats.org/officeDocument/2006/relationships/hyperlink" Target="http://ucactualite.hypotheses.org/82" TargetMode="External"/><Relationship Id="rId3" Type="http://schemas.openxmlformats.org/officeDocument/2006/relationships/hyperlink" Target="http://questionsdecommunication.revues.org/368" TargetMode="External"/><Relationship Id="rId21" Type="http://schemas.openxmlformats.org/officeDocument/2006/relationships/hyperlink" Target="https://russeurope.hypotheses.org/5618" TargetMode="External"/><Relationship Id="rId7" Type="http://schemas.openxmlformats.org/officeDocument/2006/relationships/hyperlink" Target="http://books.openedition.org/bibpompidou/412" TargetMode="External"/><Relationship Id="rId12" Type="http://schemas.openxmlformats.org/officeDocument/2006/relationships/hyperlink" Target="http://endirectdulabo.tumblr.com/" TargetMode="External"/><Relationship Id="rId17" Type="http://schemas.openxmlformats.org/officeDocument/2006/relationships/hyperlink" Target="http://lamenparle.hypotheses.org/545" TargetMode="External"/><Relationship Id="rId25" Type="http://schemas.openxmlformats.org/officeDocument/2006/relationships/hyperlink" Target="http://ucactualite.hypotheses.org/173" TargetMode="External"/><Relationship Id="rId2" Type="http://schemas.openxmlformats.org/officeDocument/2006/relationships/hyperlink" Target="http://archivesic.ccsd.cnrs.fr/sic_00439849/document" TargetMode="External"/><Relationship Id="rId16" Type="http://schemas.openxmlformats.org/officeDocument/2006/relationships/hyperlink" Target="https://freakonometrics.hypotheses.org/" TargetMode="External"/><Relationship Id="rId20" Type="http://schemas.openxmlformats.org/officeDocument/2006/relationships/hyperlink" Target="http://cpa.hypotheses.org/6104" TargetMode="External"/><Relationship Id="rId29" Type="http://schemas.openxmlformats.org/officeDocument/2006/relationships/hyperlink" Target="http://www.lemonde.fr/verification/source/russeurope/" TargetMode="External"/><Relationship Id="rId1" Type="http://schemas.openxmlformats.org/officeDocument/2006/relationships/hyperlink" Target="http://issuu.com/institut_francais/docs/if_humanites-numeriques" TargetMode="External"/><Relationship Id="rId6" Type="http://schemas.openxmlformats.org/officeDocument/2006/relationships/hyperlink" Target="https://hypotheses.org/" TargetMode="External"/><Relationship Id="rId11" Type="http://schemas.openxmlformats.org/officeDocument/2006/relationships/hyperlink" Target="http://archivesic.ccsd.cnrs.fr/sic_00452002/document" TargetMode="External"/><Relationship Id="rId24" Type="http://schemas.openxmlformats.org/officeDocument/2006/relationships/hyperlink" Target="https://theconversation.com/fr/who-we-are" TargetMode="External"/><Relationship Id="rId32" Type="http://schemas.openxmlformats.org/officeDocument/2006/relationships/hyperlink" Target="https://archiveweb.hypotheses.org/73" TargetMode="External"/><Relationship Id="rId5" Type="http://schemas.openxmlformats.org/officeDocument/2006/relationships/hyperlink" Target="https://traces.revues.org/5534" TargetMode="External"/><Relationship Id="rId15" Type="http://schemas.openxmlformats.org/officeDocument/2006/relationships/hyperlink" Target="https://ucactualite.hypotheses.org/category/editorial" TargetMode="External"/><Relationship Id="rId23" Type="http://schemas.openxmlformats.org/officeDocument/2006/relationships/hyperlink" Target="http://politbistro.hypotheses.org/3756" TargetMode="External"/><Relationship Id="rId28" Type="http://schemas.openxmlformats.org/officeDocument/2006/relationships/hyperlink" Target="https://traces.revues.org/5295" TargetMode="External"/><Relationship Id="rId10" Type="http://schemas.openxmlformats.org/officeDocument/2006/relationships/hyperlink" Target="https://bn.hypotheses.org/191" TargetMode="External"/><Relationship Id="rId19" Type="http://schemas.openxmlformats.org/officeDocument/2006/relationships/hyperlink" Target="http://cpa.hypotheses.org/6142" TargetMode="External"/><Relationship Id="rId31" Type="http://schemas.openxmlformats.org/officeDocument/2006/relationships/hyperlink" Target="http://www.lemonde.fr/politique/article/2015/08/25/malaise-a-gauche-apres-les-illades-de-jacques-sapir-au-fn_4736102_823448.html" TargetMode="External"/><Relationship Id="rId4" Type="http://schemas.openxmlformats.org/officeDocument/2006/relationships/hyperlink" Target="http://bn.hypotheses.org/11728" TargetMode="External"/><Relationship Id="rId9" Type="http://schemas.openxmlformats.org/officeDocument/2006/relationships/hyperlink" Target="https://www.openedition.org/catalogue-notebooks" TargetMode="External"/><Relationship Id="rId14" Type="http://schemas.openxmlformats.org/officeDocument/2006/relationships/hyperlink" Target="https://ovipot.hypotheses.org/a-propos" TargetMode="External"/><Relationship Id="rId22" Type="http://schemas.openxmlformats.org/officeDocument/2006/relationships/hyperlink" Target="https://russeurope.hypotheses.org/5586" TargetMode="External"/><Relationship Id="rId27" Type="http://schemas.openxmlformats.org/officeDocument/2006/relationships/hyperlink" Target="http://ucactualite.hypotheses.org/63" TargetMode="External"/><Relationship Id="rId30" Type="http://schemas.openxmlformats.org/officeDocument/2006/relationships/hyperlink" Target="http://www.liberation.fr/france/2014/10/24/les-universitaires-complaisants_112904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2337B-4C8F-44B7-A242-EC0B90401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940</TotalTime>
  <Pages>24</Pages>
  <Words>9900</Words>
  <Characters>57227</Characters>
  <Application>Microsoft Office Word</Application>
  <DocSecurity>0</DocSecurity>
  <Lines>841</Lines>
  <Paragraphs>166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66961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dc:creator>
  <cp:keywords/>
  <dc:description/>
  <cp:lastModifiedBy>Ingrid</cp:lastModifiedBy>
  <cp:revision>281</cp:revision>
  <cp:lastPrinted>2017-08-14T06:50:00Z</cp:lastPrinted>
  <dcterms:created xsi:type="dcterms:W3CDTF">2017-08-08T15:58:00Z</dcterms:created>
  <dcterms:modified xsi:type="dcterms:W3CDTF">2017-08-14T10:53:00Z</dcterms:modified>
</cp:coreProperties>
</file>