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D60CF" w14:textId="04790B3B" w:rsidR="00781085" w:rsidRPr="009D65FC" w:rsidRDefault="00781085" w:rsidP="00781085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noProof/>
          <w:color w:val="000000"/>
          <w:lang w:eastAsia="fr-FR"/>
        </w:rPr>
        <w:drawing>
          <wp:inline distT="0" distB="0" distL="0" distR="0" wp14:anchorId="1CDA2EAD" wp14:editId="693ECAE1">
            <wp:extent cx="6267577" cy="1880273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37" cy="18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5FC">
        <w:rPr>
          <w:rFonts w:ascii="Times" w:hAnsi="Times" w:cs="Times"/>
          <w:color w:val="000000"/>
          <w:lang w:val="en-US"/>
        </w:rPr>
        <w:t xml:space="preserve"> </w:t>
      </w:r>
    </w:p>
    <w:p w14:paraId="7030572D" w14:textId="77777777" w:rsidR="00781085" w:rsidRDefault="00781085" w:rsidP="00887C49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" w:hAnsi="Times" w:cs="Times"/>
          <w:b/>
          <w:bCs/>
          <w:color w:val="000000"/>
          <w:sz w:val="21"/>
          <w:szCs w:val="21"/>
          <w:lang w:val="en-US"/>
        </w:rPr>
      </w:pPr>
    </w:p>
    <w:p w14:paraId="2392FA85" w14:textId="5E802E82" w:rsidR="00887C49" w:rsidRPr="00D75473" w:rsidRDefault="00887C49" w:rsidP="00D75473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Arial" w:hAnsi="Arial" w:cs="Arial"/>
          <w:color w:val="000000"/>
          <w:sz w:val="28"/>
          <w:lang w:val="en-US"/>
        </w:rPr>
      </w:pPr>
      <w:r w:rsidRPr="00D75473">
        <w:rPr>
          <w:rFonts w:ascii="Arial" w:hAnsi="Arial" w:cs="Arial"/>
          <w:b/>
          <w:bCs/>
          <w:color w:val="000000"/>
          <w:sz w:val="22"/>
          <w:szCs w:val="21"/>
          <w:lang w:val="en-US"/>
        </w:rPr>
        <w:t>Evaluation of the Xpert</w:t>
      </w:r>
      <w:r w:rsidRPr="00D75473">
        <w:rPr>
          <w:rFonts w:ascii="Arial" w:hAnsi="Arial" w:cs="Arial"/>
          <w:b/>
          <w:bCs/>
          <w:color w:val="000000"/>
          <w:position w:val="8"/>
          <w:sz w:val="18"/>
          <w:szCs w:val="16"/>
          <w:lang w:val="en-US"/>
        </w:rPr>
        <w:t>®</w:t>
      </w:r>
      <w:r w:rsidRPr="00D75473">
        <w:rPr>
          <w:rFonts w:ascii="Arial" w:hAnsi="Arial" w:cs="Arial"/>
          <w:b/>
          <w:bCs/>
          <w:color w:val="000000"/>
          <w:sz w:val="22"/>
          <w:szCs w:val="21"/>
          <w:lang w:val="en-US"/>
        </w:rPr>
        <w:t xml:space="preserve">GBS LB test (Cepheid) performed on antenatal screening LIM enrichment broth for detection of </w:t>
      </w:r>
      <w:r w:rsidRPr="00D75473">
        <w:rPr>
          <w:rFonts w:ascii="Arial" w:hAnsi="Arial" w:cs="Arial"/>
          <w:b/>
          <w:bCs/>
          <w:i/>
          <w:color w:val="000000"/>
          <w:sz w:val="22"/>
          <w:szCs w:val="21"/>
          <w:lang w:val="en-US"/>
        </w:rPr>
        <w:t>Streptococcus agalac</w:t>
      </w:r>
      <w:r w:rsidR="00D75473" w:rsidRPr="00D75473">
        <w:rPr>
          <w:rFonts w:ascii="Arial" w:hAnsi="Arial" w:cs="Arial"/>
          <w:b/>
          <w:bCs/>
          <w:i/>
          <w:color w:val="000000"/>
          <w:sz w:val="22"/>
          <w:szCs w:val="21"/>
          <w:lang w:val="en-US"/>
        </w:rPr>
        <w:t>tiae</w:t>
      </w:r>
      <w:r w:rsidR="00D75473" w:rsidRPr="00D75473">
        <w:rPr>
          <w:rFonts w:ascii="Arial" w:hAnsi="Arial" w:cs="Arial"/>
          <w:b/>
          <w:bCs/>
          <w:color w:val="000000"/>
          <w:sz w:val="22"/>
          <w:szCs w:val="21"/>
          <w:lang w:val="en-US"/>
        </w:rPr>
        <w:t xml:space="preserve"> or group B streptococcus (</w:t>
      </w:r>
      <w:r w:rsidRPr="00D75473">
        <w:rPr>
          <w:rFonts w:ascii="Arial" w:hAnsi="Arial" w:cs="Arial"/>
          <w:b/>
          <w:bCs/>
          <w:color w:val="000000"/>
          <w:sz w:val="22"/>
          <w:szCs w:val="21"/>
          <w:lang w:val="en-US"/>
        </w:rPr>
        <w:t>compared to the reference culture method</w:t>
      </w:r>
      <w:r w:rsidR="00D75473" w:rsidRPr="00D75473">
        <w:rPr>
          <w:rFonts w:ascii="Arial" w:hAnsi="Arial" w:cs="Arial"/>
          <w:b/>
          <w:bCs/>
          <w:color w:val="000000"/>
          <w:sz w:val="22"/>
          <w:szCs w:val="21"/>
          <w:lang w:val="en-US"/>
        </w:rPr>
        <w:t>)</w:t>
      </w:r>
      <w:r w:rsidRPr="00D75473">
        <w:rPr>
          <w:rFonts w:ascii="Arial" w:hAnsi="Arial" w:cs="Arial"/>
          <w:b/>
          <w:bCs/>
          <w:color w:val="000000"/>
          <w:sz w:val="22"/>
          <w:szCs w:val="21"/>
          <w:lang w:val="en-US"/>
        </w:rPr>
        <w:t xml:space="preserve">. </w:t>
      </w:r>
    </w:p>
    <w:p w14:paraId="7685213E" w14:textId="77777777" w:rsidR="00D75473" w:rsidRPr="00D75473" w:rsidRDefault="00887C49" w:rsidP="00D75473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Arial" w:hAnsi="Arial" w:cs="Arial"/>
          <w:color w:val="000000"/>
          <w:position w:val="8"/>
          <w:sz w:val="18"/>
          <w:szCs w:val="16"/>
          <w:lang w:val="en-US"/>
        </w:rPr>
      </w:pPr>
      <w:r w:rsidRPr="00D75473">
        <w:rPr>
          <w:rFonts w:ascii="Arial" w:hAnsi="Arial" w:cs="Arial"/>
          <w:color w:val="000000"/>
          <w:sz w:val="20"/>
          <w:szCs w:val="18"/>
          <w:lang w:val="en-US"/>
        </w:rPr>
        <w:t xml:space="preserve">Cecile Meex </w:t>
      </w:r>
      <w:r w:rsidRPr="00D75473">
        <w:rPr>
          <w:rFonts w:ascii="Arial" w:hAnsi="Arial" w:cs="Arial"/>
          <w:color w:val="000000"/>
          <w:position w:val="8"/>
          <w:sz w:val="18"/>
          <w:szCs w:val="16"/>
          <w:lang w:val="en-US"/>
        </w:rPr>
        <w:t xml:space="preserve">1 </w:t>
      </w:r>
      <w:r w:rsidRPr="00D75473">
        <w:rPr>
          <w:rFonts w:ascii="Arial" w:hAnsi="Arial" w:cs="Arial"/>
          <w:color w:val="000000"/>
          <w:sz w:val="20"/>
          <w:szCs w:val="18"/>
          <w:lang w:val="en-US"/>
        </w:rPr>
        <w:t xml:space="preserve">, Audrey Dupont </w:t>
      </w:r>
      <w:r w:rsidRPr="00D75473">
        <w:rPr>
          <w:rFonts w:ascii="Arial" w:hAnsi="Arial" w:cs="Arial"/>
          <w:color w:val="000000"/>
          <w:position w:val="8"/>
          <w:sz w:val="18"/>
          <w:szCs w:val="16"/>
          <w:lang w:val="en-US"/>
        </w:rPr>
        <w:t xml:space="preserve">1 </w:t>
      </w:r>
      <w:r w:rsidRPr="00D75473">
        <w:rPr>
          <w:rFonts w:ascii="Arial" w:hAnsi="Arial" w:cs="Arial"/>
          <w:color w:val="000000"/>
          <w:sz w:val="20"/>
          <w:szCs w:val="18"/>
          <w:lang w:val="en-US"/>
        </w:rPr>
        <w:t xml:space="preserve">, Rosalie Sacheli </w:t>
      </w:r>
      <w:r w:rsidRPr="00D75473">
        <w:rPr>
          <w:rFonts w:ascii="Arial" w:hAnsi="Arial" w:cs="Arial"/>
          <w:color w:val="000000"/>
          <w:position w:val="8"/>
          <w:sz w:val="18"/>
          <w:szCs w:val="16"/>
          <w:lang w:val="en-US"/>
        </w:rPr>
        <w:t xml:space="preserve">1 </w:t>
      </w:r>
      <w:r w:rsidRPr="00D75473">
        <w:rPr>
          <w:rFonts w:ascii="Arial" w:hAnsi="Arial" w:cs="Arial"/>
          <w:color w:val="000000"/>
          <w:sz w:val="20"/>
          <w:szCs w:val="18"/>
          <w:lang w:val="en-US"/>
        </w:rPr>
        <w:t xml:space="preserve">, Julie Descy </w:t>
      </w:r>
      <w:r w:rsidRPr="00D75473">
        <w:rPr>
          <w:rFonts w:ascii="Arial" w:hAnsi="Arial" w:cs="Arial"/>
          <w:color w:val="000000"/>
          <w:position w:val="8"/>
          <w:sz w:val="18"/>
          <w:szCs w:val="16"/>
          <w:lang w:val="en-US"/>
        </w:rPr>
        <w:t xml:space="preserve">1 </w:t>
      </w:r>
      <w:r w:rsidRPr="00D75473">
        <w:rPr>
          <w:rFonts w:ascii="Arial" w:hAnsi="Arial" w:cs="Arial"/>
          <w:color w:val="000000"/>
          <w:sz w:val="20"/>
          <w:szCs w:val="18"/>
          <w:lang w:val="en-US"/>
        </w:rPr>
        <w:t xml:space="preserve">, pascale huynen </w:t>
      </w:r>
      <w:r w:rsidRPr="00D75473">
        <w:rPr>
          <w:rFonts w:ascii="Arial" w:hAnsi="Arial" w:cs="Arial"/>
          <w:color w:val="000000"/>
          <w:position w:val="8"/>
          <w:sz w:val="18"/>
          <w:szCs w:val="16"/>
          <w:lang w:val="en-US"/>
        </w:rPr>
        <w:t xml:space="preserve">2 </w:t>
      </w:r>
      <w:r w:rsidRPr="00D75473">
        <w:rPr>
          <w:rFonts w:ascii="Arial" w:hAnsi="Arial" w:cs="Arial"/>
          <w:color w:val="000000"/>
          <w:sz w:val="20"/>
          <w:szCs w:val="18"/>
          <w:lang w:val="en-US"/>
        </w:rPr>
        <w:t xml:space="preserve">, Marie-Pierre Hayette </w:t>
      </w:r>
      <w:r w:rsidRPr="00D75473">
        <w:rPr>
          <w:rFonts w:ascii="Arial" w:hAnsi="Arial" w:cs="Arial"/>
          <w:color w:val="000000"/>
          <w:position w:val="8"/>
          <w:sz w:val="18"/>
          <w:szCs w:val="16"/>
          <w:lang w:val="en-US"/>
        </w:rPr>
        <w:t xml:space="preserve">2 </w:t>
      </w:r>
      <w:r w:rsidRPr="00D75473">
        <w:rPr>
          <w:rFonts w:ascii="Arial" w:hAnsi="Arial" w:cs="Arial"/>
          <w:color w:val="000000"/>
          <w:sz w:val="20"/>
          <w:szCs w:val="18"/>
          <w:lang w:val="en-US"/>
        </w:rPr>
        <w:t xml:space="preserve">, </w:t>
      </w:r>
      <w:r w:rsidRPr="00D75473">
        <w:rPr>
          <w:rFonts w:ascii="Arial" w:hAnsi="Arial" w:cs="Arial"/>
          <w:b/>
          <w:bCs/>
          <w:color w:val="000000"/>
          <w:sz w:val="20"/>
          <w:szCs w:val="18"/>
          <w:lang w:val="en-US"/>
        </w:rPr>
        <w:t xml:space="preserve">Pierrette Melin </w:t>
      </w:r>
      <w:r w:rsidRPr="00D75473">
        <w:rPr>
          <w:rFonts w:ascii="Arial" w:hAnsi="Arial" w:cs="Arial"/>
          <w:color w:val="000000"/>
          <w:position w:val="8"/>
          <w:sz w:val="18"/>
          <w:szCs w:val="16"/>
          <w:lang w:val="en-US"/>
        </w:rPr>
        <w:t xml:space="preserve">1 </w:t>
      </w:r>
    </w:p>
    <w:p w14:paraId="58A17B22" w14:textId="5EE6AD4A" w:rsidR="00887C49" w:rsidRPr="00D75473" w:rsidRDefault="00D75473" w:rsidP="00D75473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MS Mincho" w:eastAsia="MS Mincho" w:hAnsi="MS Mincho" w:cs="MS Mincho"/>
          <w:i/>
          <w:iCs/>
          <w:color w:val="000000"/>
          <w:sz w:val="21"/>
          <w:szCs w:val="20"/>
          <w:lang w:val="en-US"/>
        </w:rPr>
      </w:pP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1.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National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Reference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Centre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for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Streptococcus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agalactiae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–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University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Hospital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of Liege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-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CIRM,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LIEGE,</w:t>
      </w:r>
      <w:r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0"/>
          <w:szCs w:val="18"/>
          <w:lang w:val="en-US"/>
        </w:rPr>
        <w:t>Belgium</w:t>
      </w:r>
      <w:r w:rsidR="00887C49" w:rsidRPr="00D75473">
        <w:rPr>
          <w:rFonts w:ascii="MS Mincho" w:eastAsia="MS Mincho" w:hAnsi="MS Mincho" w:cs="MS Mincho"/>
          <w:i/>
          <w:iCs/>
          <w:color w:val="000000"/>
          <w:sz w:val="20"/>
          <w:szCs w:val="18"/>
          <w:lang w:val="en-US"/>
        </w:rPr>
        <w:t> </w:t>
      </w:r>
      <w:r w:rsidRPr="00D75473">
        <w:rPr>
          <w:rFonts w:ascii="MS Mincho" w:eastAsia="MS Mincho" w:hAnsi="MS Mincho" w:cs="MS Mincho"/>
          <w:i/>
          <w:iCs/>
          <w:color w:val="000000"/>
          <w:sz w:val="20"/>
          <w:szCs w:val="18"/>
          <w:lang w:val="en-US"/>
        </w:rPr>
        <w:br/>
      </w:r>
      <w:r w:rsidR="00887C49"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>2. Clinical</w:t>
      </w:r>
      <w:r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 xml:space="preserve"> microbiology, </w:t>
      </w:r>
      <w:r w:rsidR="00887C49"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>University</w:t>
      </w:r>
      <w:r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>Hospital</w:t>
      </w:r>
      <w:r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>of</w:t>
      </w:r>
      <w:r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>Liege,</w:t>
      </w:r>
      <w:r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>CIRM,</w:t>
      </w:r>
      <w:r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>LIEGE,</w:t>
      </w:r>
      <w:r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 xml:space="preserve"> </w:t>
      </w:r>
      <w:r w:rsidR="00887C49" w:rsidRPr="00D75473">
        <w:rPr>
          <w:rFonts w:ascii="Arial" w:hAnsi="Arial" w:cs="Arial"/>
          <w:i/>
          <w:iCs/>
          <w:color w:val="000000"/>
          <w:sz w:val="21"/>
          <w:szCs w:val="20"/>
          <w:lang w:val="en-US"/>
        </w:rPr>
        <w:t xml:space="preserve">Belgium </w:t>
      </w:r>
    </w:p>
    <w:p w14:paraId="45FDB7BE" w14:textId="65A4C09E" w:rsidR="00887C49" w:rsidRPr="00D75473" w:rsidRDefault="00887C49" w:rsidP="00D75473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21"/>
          <w:szCs w:val="20"/>
          <w:lang w:val="en-US"/>
        </w:rPr>
      </w:pPr>
      <w:r w:rsidRPr="00D75473">
        <w:rPr>
          <w:rFonts w:ascii="Arial" w:hAnsi="Arial" w:cs="Arial"/>
          <w:b/>
          <w:bCs/>
          <w:color w:val="000000"/>
          <w:sz w:val="21"/>
          <w:szCs w:val="20"/>
          <w:lang w:val="en-US"/>
        </w:rPr>
        <w:t xml:space="preserve">Background/Aim: </w:t>
      </w:r>
      <w:r w:rsidRPr="00D75473">
        <w:rPr>
          <w:rFonts w:ascii="Arial" w:hAnsi="Arial" w:cs="Arial"/>
          <w:color w:val="000000"/>
          <w:sz w:val="21"/>
          <w:szCs w:val="20"/>
          <w:lang w:val="en-US"/>
        </w:rPr>
        <w:t>Screening-based strategy for prevention of GBS perinatal disease: to evaluate the Xpert</w:t>
      </w:r>
      <w:r w:rsidRPr="00D75473">
        <w:rPr>
          <w:rFonts w:ascii="Arial" w:hAnsi="Arial" w:cs="Arial"/>
          <w:color w:val="000000"/>
          <w:position w:val="5"/>
          <w:sz w:val="21"/>
          <w:szCs w:val="20"/>
          <w:lang w:val="en-US"/>
        </w:rPr>
        <w:t>®</w:t>
      </w:r>
      <w:r w:rsidRPr="00D75473">
        <w:rPr>
          <w:rFonts w:ascii="Arial" w:hAnsi="Arial" w:cs="Arial"/>
          <w:color w:val="000000"/>
          <w:sz w:val="21"/>
          <w:szCs w:val="20"/>
          <w:lang w:val="en-US"/>
        </w:rPr>
        <w:t>GBS LB test, a rapid real-time PCR, performed on LI</w:t>
      </w:r>
      <w:r w:rsidR="00D75473">
        <w:rPr>
          <w:rFonts w:ascii="Arial" w:hAnsi="Arial" w:cs="Arial"/>
          <w:color w:val="000000"/>
          <w:sz w:val="21"/>
          <w:szCs w:val="20"/>
          <w:lang w:val="en-US"/>
        </w:rPr>
        <w:t xml:space="preserve">M enrichment broth compared with </w:t>
      </w:r>
      <w:r w:rsidRPr="00D75473">
        <w:rPr>
          <w:rFonts w:ascii="Arial" w:hAnsi="Arial" w:cs="Arial"/>
          <w:color w:val="000000"/>
          <w:sz w:val="21"/>
          <w:szCs w:val="20"/>
          <w:lang w:val="en-US"/>
        </w:rPr>
        <w:t xml:space="preserve">the reference method, that is subculture on selective differential agar performed from the same incubated Lim broth inoculated with a vagino-rectal swab collected at 35-37 weeks’ gestation. </w:t>
      </w:r>
    </w:p>
    <w:p w14:paraId="317EDF8C" w14:textId="77777777" w:rsidR="00887C49" w:rsidRPr="00D75473" w:rsidRDefault="00887C49" w:rsidP="00D75473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D75473">
        <w:rPr>
          <w:rFonts w:ascii="Arial" w:hAnsi="Arial" w:cs="Arial"/>
          <w:b/>
          <w:bCs/>
          <w:color w:val="000000"/>
          <w:sz w:val="21"/>
          <w:szCs w:val="20"/>
          <w:lang w:val="en-US"/>
        </w:rPr>
        <w:t xml:space="preserve">Material/methods: </w:t>
      </w:r>
      <w:r w:rsidRPr="00D75473">
        <w:rPr>
          <w:rFonts w:ascii="Arial" w:hAnsi="Arial" w:cs="Arial"/>
          <w:color w:val="000000"/>
          <w:sz w:val="21"/>
          <w:szCs w:val="20"/>
          <w:lang w:val="en-US"/>
        </w:rPr>
        <w:t>During an 8-months period in 2015-2016, series of consecutive vagino/rectal swabs collected for antenatal GBS screening (at the university hospital of Liege, Belgium) were plated first on Granada agar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 xml:space="preserve"> and then inoculated in selective enrichment LIM broth. The incubated broth was further sub-cultured on Granada and Biorad StrepBselect agars. Moreover, a sterile swab immersed in the same incubated broth was further analyzed by a real-time PCR targeting GBS using the Xpert</w:t>
      </w:r>
      <w:r w:rsidRPr="00D75473">
        <w:rPr>
          <w:rFonts w:ascii="Arial" w:hAnsi="Arial" w:cs="Arial"/>
          <w:color w:val="000000"/>
          <w:position w:val="5"/>
          <w:sz w:val="18"/>
          <w:szCs w:val="13"/>
          <w:lang w:val="en-US"/>
        </w:rPr>
        <w:t>®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>GBS LB test on the GeneXpert</w:t>
      </w:r>
      <w:r w:rsidRPr="00D75473">
        <w:rPr>
          <w:rFonts w:ascii="Arial" w:hAnsi="Arial" w:cs="Arial"/>
          <w:color w:val="000000"/>
          <w:position w:val="5"/>
          <w:sz w:val="18"/>
          <w:szCs w:val="13"/>
          <w:lang w:val="en-US"/>
        </w:rPr>
        <w:t xml:space="preserve">® 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 xml:space="preserve">system (Cepheid). </w:t>
      </w:r>
    </w:p>
    <w:p w14:paraId="6B52CA6F" w14:textId="7C7E5339" w:rsidR="00887C49" w:rsidRPr="00D75473" w:rsidRDefault="00887C49" w:rsidP="00D75473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D75473">
        <w:rPr>
          <w:rFonts w:ascii="Arial" w:hAnsi="Arial" w:cs="Arial"/>
          <w:b/>
          <w:bCs/>
          <w:color w:val="000000"/>
          <w:sz w:val="21"/>
          <w:szCs w:val="16"/>
          <w:lang w:val="en-US"/>
        </w:rPr>
        <w:t xml:space="preserve">Results: 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>Among the 288 antenatal screenings included in the study, 48 (16.7%) were positive for GBS using the culture reference method and 51 Xpert</w:t>
      </w:r>
      <w:r w:rsidRPr="00D75473">
        <w:rPr>
          <w:rFonts w:ascii="Arial" w:hAnsi="Arial" w:cs="Arial"/>
          <w:color w:val="000000"/>
          <w:position w:val="5"/>
          <w:sz w:val="18"/>
          <w:szCs w:val="13"/>
          <w:lang w:val="en-US"/>
        </w:rPr>
        <w:t>®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>GBS LB test were positive (17.7%), includin</w:t>
      </w:r>
      <w:r w:rsidR="00D75473">
        <w:rPr>
          <w:rFonts w:ascii="Arial" w:hAnsi="Arial" w:cs="Arial"/>
          <w:color w:val="000000"/>
          <w:sz w:val="21"/>
          <w:szCs w:val="16"/>
          <w:lang w:val="en-US"/>
        </w:rPr>
        <w:t>g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 xml:space="preserve"> the 48 samples positive in culture and 3 additional specimens for witch culture remained negative. Considering the enriched culture as the gold standard, the sensitivity and specificity of the Xpert</w:t>
      </w:r>
      <w:r w:rsidRPr="00D75473">
        <w:rPr>
          <w:rFonts w:ascii="Arial" w:hAnsi="Arial" w:cs="Arial"/>
          <w:color w:val="000000"/>
          <w:position w:val="5"/>
          <w:sz w:val="18"/>
          <w:szCs w:val="13"/>
          <w:lang w:val="en-US"/>
        </w:rPr>
        <w:t>®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 xml:space="preserve">GBS LB test were 100% and 98.8% respectively. </w:t>
      </w:r>
    </w:p>
    <w:p w14:paraId="622CF697" w14:textId="1317B36D" w:rsidR="00887C49" w:rsidRPr="00D75473" w:rsidRDefault="00887C49" w:rsidP="00D75473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D75473">
        <w:rPr>
          <w:rFonts w:ascii="Arial" w:hAnsi="Arial" w:cs="Arial"/>
          <w:b/>
          <w:bCs/>
          <w:color w:val="000000"/>
          <w:sz w:val="21"/>
          <w:szCs w:val="16"/>
          <w:lang w:val="en-US"/>
        </w:rPr>
        <w:t xml:space="preserve">Conclusions: 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>The Xpert</w:t>
      </w:r>
      <w:r w:rsidRPr="00D75473">
        <w:rPr>
          <w:rFonts w:ascii="Arial" w:hAnsi="Arial" w:cs="Arial"/>
          <w:color w:val="000000"/>
          <w:position w:val="5"/>
          <w:sz w:val="18"/>
          <w:szCs w:val="13"/>
          <w:lang w:val="en-US"/>
        </w:rPr>
        <w:t>®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 xml:space="preserve">GBS LB test performed on incubated LIM broth is at least as efficient as selective enriched culture for antenatal screening of GBS. The </w:t>
      </w:r>
      <w:r w:rsidR="00D75473">
        <w:rPr>
          <w:rFonts w:ascii="Arial" w:hAnsi="Arial" w:cs="Arial"/>
          <w:color w:val="000000"/>
          <w:sz w:val="21"/>
          <w:szCs w:val="16"/>
          <w:lang w:val="en-US"/>
        </w:rPr>
        <w:t xml:space="preserve">turnaround-time and hands-on-time </w:t>
      </w:r>
      <w:bookmarkStart w:id="0" w:name="_GoBack"/>
      <w:bookmarkEnd w:id="0"/>
      <w:r w:rsidRPr="00D75473">
        <w:rPr>
          <w:rFonts w:ascii="Arial" w:hAnsi="Arial" w:cs="Arial"/>
          <w:color w:val="000000"/>
          <w:sz w:val="21"/>
          <w:szCs w:val="16"/>
          <w:lang w:val="en-US"/>
        </w:rPr>
        <w:t>are much shorter for the Xpert</w:t>
      </w:r>
      <w:r w:rsidRPr="00D75473">
        <w:rPr>
          <w:rFonts w:ascii="Arial" w:hAnsi="Arial" w:cs="Arial"/>
          <w:color w:val="000000"/>
          <w:position w:val="5"/>
          <w:sz w:val="18"/>
          <w:szCs w:val="13"/>
          <w:lang w:val="en-US"/>
        </w:rPr>
        <w:t xml:space="preserve">® </w:t>
      </w:r>
      <w:r w:rsidRPr="00D75473">
        <w:rPr>
          <w:rFonts w:ascii="Arial" w:hAnsi="Arial" w:cs="Arial"/>
          <w:color w:val="000000"/>
          <w:sz w:val="21"/>
          <w:szCs w:val="16"/>
          <w:lang w:val="en-US"/>
        </w:rPr>
        <w:t xml:space="preserve">GBS LB but it is more expensive than culture method, which may limit its use. </w:t>
      </w:r>
    </w:p>
    <w:p w14:paraId="632D866F" w14:textId="77777777" w:rsidR="00887C49" w:rsidRPr="00D75473" w:rsidRDefault="00887C49" w:rsidP="00D75473">
      <w:pPr>
        <w:jc w:val="both"/>
        <w:rPr>
          <w:rFonts w:ascii="Arial" w:hAnsi="Arial" w:cs="Arial"/>
          <w:sz w:val="36"/>
          <w:lang w:val="en-US"/>
        </w:rPr>
      </w:pPr>
    </w:p>
    <w:sectPr w:rsidR="00887C49" w:rsidRPr="00D75473" w:rsidSect="009268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71DB2"/>
    <w:multiLevelType w:val="hybridMultilevel"/>
    <w:tmpl w:val="DB26E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49"/>
    <w:rsid w:val="00252A6F"/>
    <w:rsid w:val="003D5CB3"/>
    <w:rsid w:val="00401931"/>
    <w:rsid w:val="00781085"/>
    <w:rsid w:val="00887C49"/>
    <w:rsid w:val="00926874"/>
    <w:rsid w:val="009D65FC"/>
    <w:rsid w:val="00D75473"/>
    <w:rsid w:val="00D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494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D65F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87C4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D65FC"/>
    <w:rPr>
      <w:rFonts w:ascii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1865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20th Lancefield International Symposium on Streptococci and Streptococcal Diseas</vt:lpstr>
    </vt:vector>
  </TitlesOfParts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2017-08-22T12:54:00Z</dcterms:created>
  <dcterms:modified xsi:type="dcterms:W3CDTF">2017-08-22T13:00:00Z</dcterms:modified>
</cp:coreProperties>
</file>