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60CF" w14:textId="04790B3B" w:rsidR="00781085" w:rsidRPr="009D65FC" w:rsidRDefault="00781085" w:rsidP="0078108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US"/>
        </w:rPr>
      </w:pPr>
      <w:bookmarkStart w:id="0" w:name="_GoBack"/>
      <w:r>
        <w:rPr>
          <w:rFonts w:ascii="Times" w:hAnsi="Times" w:cs="Times"/>
          <w:noProof/>
          <w:color w:val="000000"/>
          <w:lang w:eastAsia="fr-FR"/>
        </w:rPr>
        <w:drawing>
          <wp:inline distT="0" distB="0" distL="0" distR="0" wp14:anchorId="1CDA2EAD" wp14:editId="693ECAE1">
            <wp:extent cx="6267577" cy="188027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37" cy="18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5FC">
        <w:rPr>
          <w:rFonts w:ascii="Times" w:hAnsi="Times" w:cs="Times"/>
          <w:color w:val="000000"/>
          <w:lang w:val="en-US"/>
        </w:rPr>
        <w:t xml:space="preserve"> </w:t>
      </w:r>
    </w:p>
    <w:p w14:paraId="3E540273" w14:textId="77777777" w:rsidR="00887C49" w:rsidRPr="001811FC" w:rsidRDefault="00887C49" w:rsidP="001811FC">
      <w:pPr>
        <w:jc w:val="both"/>
        <w:rPr>
          <w:rFonts w:ascii="Arial" w:hAnsi="Arial" w:cs="Arial"/>
          <w:sz w:val="36"/>
          <w:lang w:val="en-US"/>
        </w:rPr>
      </w:pPr>
    </w:p>
    <w:p w14:paraId="37EED636" w14:textId="364C92AC" w:rsidR="00887C49" w:rsidRPr="001811FC" w:rsidRDefault="00887C49" w:rsidP="001811FC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Arial" w:hAnsi="Arial" w:cs="Arial"/>
          <w:color w:val="000000"/>
          <w:sz w:val="36"/>
          <w:lang w:val="en-US"/>
        </w:rPr>
      </w:pPr>
      <w:r w:rsidRPr="001811FC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>Update of the characteristics of Group B Streptococci (GBS) colonizing pregnant women in Belgium: capsular-type distribution, pili characterization, antimicrobial susceptibi</w:t>
      </w:r>
      <w:r w:rsidR="001811FC" w:rsidRPr="001811FC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>lity</w:t>
      </w:r>
      <w:r w:rsidRPr="001811FC">
        <w:rPr>
          <w:rFonts w:ascii="Arial" w:hAnsi="Arial" w:cs="Arial"/>
          <w:b/>
          <w:bCs/>
          <w:color w:val="000000"/>
          <w:sz w:val="28"/>
          <w:szCs w:val="21"/>
          <w:lang w:val="en-US"/>
        </w:rPr>
        <w:t xml:space="preserve"> profile and Multiple Locus Sequence Types. </w:t>
      </w:r>
    </w:p>
    <w:p w14:paraId="32A39259" w14:textId="77777777" w:rsidR="001811FC" w:rsidRPr="00CC1D10" w:rsidRDefault="00887C49" w:rsidP="001811FC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Arial" w:hAnsi="Arial" w:cs="Arial"/>
          <w:color w:val="000000"/>
          <w:position w:val="8"/>
          <w:sz w:val="22"/>
          <w:szCs w:val="16"/>
        </w:rPr>
      </w:pPr>
      <w:r w:rsidRPr="00CC1D10">
        <w:rPr>
          <w:rFonts w:ascii="Arial" w:hAnsi="Arial" w:cs="Arial"/>
          <w:color w:val="000000"/>
          <w:szCs w:val="18"/>
        </w:rPr>
        <w:t xml:space="preserve">Rosalie </w:t>
      </w:r>
      <w:proofErr w:type="spellStart"/>
      <w:r w:rsidRPr="00CC1D10">
        <w:rPr>
          <w:rFonts w:ascii="Arial" w:hAnsi="Arial" w:cs="Arial"/>
          <w:color w:val="000000"/>
          <w:szCs w:val="18"/>
        </w:rPr>
        <w:t>Sacheli</w:t>
      </w:r>
      <w:proofErr w:type="spellEnd"/>
      <w:r w:rsidRPr="00CC1D10">
        <w:rPr>
          <w:rFonts w:ascii="Arial" w:hAnsi="Arial" w:cs="Arial"/>
          <w:color w:val="000000"/>
          <w:szCs w:val="18"/>
        </w:rPr>
        <w:t xml:space="preserve"> </w:t>
      </w:r>
      <w:r w:rsidRPr="00CC1D10">
        <w:rPr>
          <w:rFonts w:ascii="Arial" w:hAnsi="Arial" w:cs="Arial"/>
          <w:color w:val="000000"/>
          <w:position w:val="8"/>
          <w:sz w:val="22"/>
          <w:szCs w:val="16"/>
        </w:rPr>
        <w:t xml:space="preserve">1 </w:t>
      </w:r>
      <w:r w:rsidRPr="00CC1D10">
        <w:rPr>
          <w:rFonts w:ascii="Arial" w:hAnsi="Arial" w:cs="Arial"/>
          <w:color w:val="000000"/>
          <w:szCs w:val="18"/>
        </w:rPr>
        <w:t xml:space="preserve">, Cécile </w:t>
      </w:r>
      <w:proofErr w:type="spellStart"/>
      <w:r w:rsidRPr="00CC1D10">
        <w:rPr>
          <w:rFonts w:ascii="Arial" w:hAnsi="Arial" w:cs="Arial"/>
          <w:color w:val="000000"/>
          <w:szCs w:val="18"/>
        </w:rPr>
        <w:t>Meex</w:t>
      </w:r>
      <w:proofErr w:type="spellEnd"/>
      <w:r w:rsidRPr="00CC1D10">
        <w:rPr>
          <w:rFonts w:ascii="Arial" w:hAnsi="Arial" w:cs="Arial"/>
          <w:color w:val="000000"/>
          <w:szCs w:val="18"/>
        </w:rPr>
        <w:t xml:space="preserve"> </w:t>
      </w:r>
      <w:r w:rsidRPr="00CC1D10">
        <w:rPr>
          <w:rFonts w:ascii="Arial" w:hAnsi="Arial" w:cs="Arial"/>
          <w:color w:val="000000"/>
          <w:position w:val="8"/>
          <w:sz w:val="22"/>
          <w:szCs w:val="16"/>
        </w:rPr>
        <w:t xml:space="preserve">1 </w:t>
      </w:r>
      <w:r w:rsidRPr="00CC1D10">
        <w:rPr>
          <w:rFonts w:ascii="Arial" w:hAnsi="Arial" w:cs="Arial"/>
          <w:color w:val="000000"/>
          <w:szCs w:val="18"/>
        </w:rPr>
        <w:t xml:space="preserve">, Julie </w:t>
      </w:r>
      <w:proofErr w:type="spellStart"/>
      <w:r w:rsidRPr="00CC1D10">
        <w:rPr>
          <w:rFonts w:ascii="Arial" w:hAnsi="Arial" w:cs="Arial"/>
          <w:color w:val="000000"/>
          <w:szCs w:val="18"/>
        </w:rPr>
        <w:t>Descy</w:t>
      </w:r>
      <w:proofErr w:type="spellEnd"/>
      <w:r w:rsidRPr="00CC1D10">
        <w:rPr>
          <w:rFonts w:ascii="Arial" w:hAnsi="Arial" w:cs="Arial"/>
          <w:color w:val="000000"/>
          <w:szCs w:val="18"/>
        </w:rPr>
        <w:t xml:space="preserve"> </w:t>
      </w:r>
      <w:r w:rsidRPr="00CC1D10">
        <w:rPr>
          <w:rFonts w:ascii="Arial" w:hAnsi="Arial" w:cs="Arial"/>
          <w:color w:val="000000"/>
          <w:position w:val="8"/>
          <w:sz w:val="22"/>
          <w:szCs w:val="16"/>
        </w:rPr>
        <w:t xml:space="preserve">1 </w:t>
      </w:r>
      <w:r w:rsidRPr="00CC1D10">
        <w:rPr>
          <w:rFonts w:ascii="Arial" w:hAnsi="Arial" w:cs="Arial"/>
          <w:color w:val="000000"/>
          <w:szCs w:val="18"/>
        </w:rPr>
        <w:t xml:space="preserve">, Pascale Huynen </w:t>
      </w:r>
      <w:r w:rsidRPr="00CC1D10">
        <w:rPr>
          <w:rFonts w:ascii="Arial" w:hAnsi="Arial" w:cs="Arial"/>
          <w:color w:val="000000"/>
          <w:position w:val="8"/>
          <w:sz w:val="22"/>
          <w:szCs w:val="16"/>
        </w:rPr>
        <w:t xml:space="preserve">2 </w:t>
      </w:r>
      <w:r w:rsidRPr="00CC1D10">
        <w:rPr>
          <w:rFonts w:ascii="Arial" w:hAnsi="Arial" w:cs="Arial"/>
          <w:color w:val="000000"/>
          <w:szCs w:val="18"/>
        </w:rPr>
        <w:t xml:space="preserve">, Marie-Pierre </w:t>
      </w:r>
      <w:bookmarkEnd w:id="0"/>
      <w:proofErr w:type="spellStart"/>
      <w:r w:rsidRPr="00CC1D10">
        <w:rPr>
          <w:rFonts w:ascii="Arial" w:hAnsi="Arial" w:cs="Arial"/>
          <w:color w:val="000000"/>
          <w:szCs w:val="18"/>
        </w:rPr>
        <w:t>Hayette</w:t>
      </w:r>
      <w:proofErr w:type="spellEnd"/>
      <w:r w:rsidRPr="00CC1D10">
        <w:rPr>
          <w:rFonts w:ascii="Arial" w:hAnsi="Arial" w:cs="Arial"/>
          <w:color w:val="000000"/>
          <w:szCs w:val="18"/>
        </w:rPr>
        <w:t xml:space="preserve"> </w:t>
      </w:r>
      <w:r w:rsidRPr="00CC1D10">
        <w:rPr>
          <w:rFonts w:ascii="Arial" w:hAnsi="Arial" w:cs="Arial"/>
          <w:color w:val="000000"/>
          <w:position w:val="8"/>
          <w:sz w:val="22"/>
          <w:szCs w:val="16"/>
        </w:rPr>
        <w:t xml:space="preserve">2 </w:t>
      </w:r>
      <w:r w:rsidRPr="00CC1D10">
        <w:rPr>
          <w:rFonts w:ascii="Arial" w:hAnsi="Arial" w:cs="Arial"/>
          <w:color w:val="000000"/>
          <w:szCs w:val="18"/>
        </w:rPr>
        <w:t xml:space="preserve">, </w:t>
      </w:r>
      <w:r w:rsidRPr="00CC1D10">
        <w:rPr>
          <w:rFonts w:ascii="Arial" w:hAnsi="Arial" w:cs="Arial"/>
          <w:b/>
          <w:bCs/>
          <w:color w:val="000000"/>
          <w:szCs w:val="18"/>
        </w:rPr>
        <w:t xml:space="preserve">Pierrette </w:t>
      </w:r>
      <w:proofErr w:type="spellStart"/>
      <w:r w:rsidRPr="00CC1D10">
        <w:rPr>
          <w:rFonts w:ascii="Arial" w:hAnsi="Arial" w:cs="Arial"/>
          <w:b/>
          <w:bCs/>
          <w:color w:val="000000"/>
          <w:szCs w:val="18"/>
        </w:rPr>
        <w:t>Melin</w:t>
      </w:r>
      <w:proofErr w:type="spellEnd"/>
      <w:r w:rsidRPr="00CC1D10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CC1D10">
        <w:rPr>
          <w:rFonts w:ascii="Arial" w:hAnsi="Arial" w:cs="Arial"/>
          <w:color w:val="000000"/>
          <w:position w:val="8"/>
          <w:sz w:val="22"/>
          <w:szCs w:val="16"/>
        </w:rPr>
        <w:t xml:space="preserve">1 </w:t>
      </w:r>
    </w:p>
    <w:p w14:paraId="609CA6B0" w14:textId="41FE18B7" w:rsidR="00887C49" w:rsidRPr="001811FC" w:rsidRDefault="00887C49" w:rsidP="001811FC">
      <w:pPr>
        <w:widowControl w:val="0"/>
        <w:autoSpaceDE w:val="0"/>
        <w:autoSpaceDN w:val="0"/>
        <w:adjustRightInd w:val="0"/>
        <w:spacing w:after="240" w:line="200" w:lineRule="atLeast"/>
        <w:rPr>
          <w:rFonts w:ascii="Arial" w:hAnsi="Arial" w:cs="Arial"/>
          <w:color w:val="000000"/>
          <w:sz w:val="36"/>
          <w:lang w:val="en-US"/>
        </w:rPr>
      </w:pP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1. National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Reference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Centre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for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Streptococcus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proofErr w:type="spellStart"/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agalactiae</w:t>
      </w:r>
      <w:proofErr w:type="spellEnd"/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–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University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Hospital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-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CIRM,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LIEGE,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Belgium</w:t>
      </w:r>
      <w:r w:rsidRPr="001811FC">
        <w:rPr>
          <w:rFonts w:ascii="MS Mincho" w:eastAsia="MS Mincho" w:hAnsi="MS Mincho" w:cs="MS Mincho"/>
          <w:i/>
          <w:iCs/>
          <w:color w:val="000000"/>
          <w:sz w:val="22"/>
          <w:szCs w:val="18"/>
          <w:lang w:val="en-US"/>
        </w:rPr>
        <w:t> </w:t>
      </w:r>
      <w:r w:rsidR="001811FC" w:rsidRPr="001811FC">
        <w:rPr>
          <w:rFonts w:ascii="MS Mincho" w:eastAsia="MS Mincho" w:hAnsi="MS Mincho" w:cs="MS Mincho"/>
          <w:i/>
          <w:iCs/>
          <w:color w:val="000000"/>
          <w:sz w:val="22"/>
          <w:szCs w:val="18"/>
          <w:lang w:val="en-US"/>
        </w:rPr>
        <w:br/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2. Clinical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microbiology,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University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Hospital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of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Liege,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CIRM,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>LIEGE,</w:t>
      </w:r>
      <w:r w:rsidR="001811FC"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 </w:t>
      </w:r>
      <w:r w:rsidRPr="001811FC">
        <w:rPr>
          <w:rFonts w:ascii="Arial" w:hAnsi="Arial" w:cs="Arial"/>
          <w:i/>
          <w:iCs/>
          <w:color w:val="000000"/>
          <w:sz w:val="22"/>
          <w:szCs w:val="18"/>
          <w:lang w:val="en-US"/>
        </w:rPr>
        <w:t xml:space="preserve">Belgium </w:t>
      </w:r>
    </w:p>
    <w:p w14:paraId="74B39C4E" w14:textId="77777777" w:rsidR="00887C49" w:rsidRPr="001811FC" w:rsidRDefault="00887C49" w:rsidP="001811FC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40"/>
          <w:lang w:val="en-US"/>
        </w:rPr>
      </w:pPr>
      <w:r w:rsidRPr="001811FC">
        <w:rPr>
          <w:rFonts w:ascii="Arial" w:hAnsi="Arial" w:cs="Arial"/>
          <w:b/>
          <w:bCs/>
          <w:color w:val="000000"/>
          <w:sz w:val="22"/>
          <w:szCs w:val="16"/>
          <w:lang w:val="en-US"/>
        </w:rPr>
        <w:t xml:space="preserve">Aim: </w:t>
      </w:r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Improving knowledge and characterization of GBS strains colonizing pregnant women in Belgium. </w:t>
      </w:r>
    </w:p>
    <w:p w14:paraId="29804B88" w14:textId="77777777" w:rsidR="00887C49" w:rsidRPr="001811FC" w:rsidRDefault="00887C49" w:rsidP="001811FC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40"/>
          <w:lang w:val="en-US"/>
        </w:rPr>
      </w:pPr>
      <w:r w:rsidRPr="001811FC">
        <w:rPr>
          <w:rFonts w:ascii="Arial" w:hAnsi="Arial" w:cs="Arial"/>
          <w:b/>
          <w:bCs/>
          <w:color w:val="000000"/>
          <w:sz w:val="22"/>
          <w:szCs w:val="16"/>
          <w:lang w:val="en-US"/>
        </w:rPr>
        <w:t xml:space="preserve">Methods: </w:t>
      </w:r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In 2013, collection of 387 strains of GBS from 80 laboratories participating in a national survey among pregnant woman. For each strain, determination of capsular-polysaccharide type agglutination and PCR, of pili-type by PCR and of antimicrobial susceptibility by disk-diffusion, broth-microdilution and detection of resistant genes by PCR. For serotype III strains, determination sequence-type by Multiple-Locus Sequence-Typing (MLST). </w:t>
      </w:r>
    </w:p>
    <w:p w14:paraId="39DE692A" w14:textId="77777777" w:rsidR="00887C49" w:rsidRPr="001811FC" w:rsidRDefault="00887C49" w:rsidP="001811FC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40"/>
          <w:lang w:val="en-US"/>
        </w:rPr>
      </w:pPr>
      <w:r w:rsidRPr="001811FC">
        <w:rPr>
          <w:rFonts w:ascii="Arial" w:hAnsi="Arial" w:cs="Arial"/>
          <w:b/>
          <w:bCs/>
          <w:color w:val="000000"/>
          <w:sz w:val="22"/>
          <w:szCs w:val="16"/>
          <w:lang w:val="en-US"/>
        </w:rPr>
        <w:t xml:space="preserve">Results: </w:t>
      </w:r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Serotype III was the most prevalent (28.5%) followed by serotypes V, </w:t>
      </w:r>
      <w:proofErr w:type="spell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Ia</w:t>
      </w:r>
      <w:proofErr w:type="spell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, II, IV and </w:t>
      </w:r>
      <w:proofErr w:type="spell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Ib</w:t>
      </w:r>
      <w:proofErr w:type="spell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 (20.4%, 19.9%, 17.8%, 7%, 5.4%). Serotypes VI, VII and IX were found each once. All strains remained susceptible to penicillin (MICs: 0.03-0.125 mg/L) and other beta-lactams tested; 28.7% were resistant to erythromycin and 26.7% to clindamycin. With regards to pili, all 387 strains </w:t>
      </w:r>
      <w:proofErr w:type="spell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harboured</w:t>
      </w:r>
      <w:proofErr w:type="spell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 one the PI-2 variants alone or in combination and 70.3% contained PI-1. The 110 </w:t>
      </w:r>
      <w:proofErr w:type="gram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serotype</w:t>
      </w:r>
      <w:proofErr w:type="gram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 III isolates were resolved into 18 STs. The most common were ST-17 (35.5%) followed by ST-19 (30%) and ST- ST-27, ST-23 (&lt;=5%). </w:t>
      </w:r>
    </w:p>
    <w:p w14:paraId="632D866F" w14:textId="129D1F98" w:rsidR="00887C49" w:rsidRPr="001811FC" w:rsidRDefault="00887C49" w:rsidP="001811FC">
      <w:pPr>
        <w:widowControl w:val="0"/>
        <w:autoSpaceDE w:val="0"/>
        <w:autoSpaceDN w:val="0"/>
        <w:adjustRightInd w:val="0"/>
        <w:spacing w:after="240" w:line="180" w:lineRule="atLeast"/>
        <w:jc w:val="both"/>
        <w:rPr>
          <w:rFonts w:ascii="Arial" w:hAnsi="Arial" w:cs="Arial"/>
          <w:color w:val="000000"/>
          <w:sz w:val="40"/>
          <w:lang w:val="en-US"/>
        </w:rPr>
      </w:pPr>
      <w:r w:rsidRPr="001811FC">
        <w:rPr>
          <w:rFonts w:ascii="Arial" w:hAnsi="Arial" w:cs="Arial"/>
          <w:b/>
          <w:bCs/>
          <w:color w:val="000000"/>
          <w:sz w:val="22"/>
          <w:szCs w:val="16"/>
          <w:lang w:val="en-US"/>
        </w:rPr>
        <w:t xml:space="preserve">Conclusion: </w:t>
      </w:r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Among GBS from colonized pregnant women in Belgium: capsular-type and pili distributions, and MLST profile among type III strains were quite similar to reported data from </w:t>
      </w:r>
      <w:proofErr w:type="spell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Europ</w:t>
      </w:r>
      <w:proofErr w:type="spell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 and USA during the last decade. As showed in this study, penicillin remains the first line drug of choice. On the contrary, resistance rates against macrolides/</w:t>
      </w:r>
      <w:proofErr w:type="spell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lincosamide</w:t>
      </w:r>
      <w:proofErr w:type="spell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, has reached a plateau si</w:t>
      </w:r>
      <w:r w:rsidR="001811FC">
        <w:rPr>
          <w:rFonts w:ascii="Arial" w:hAnsi="Arial" w:cs="Arial"/>
          <w:color w:val="000000"/>
          <w:sz w:val="22"/>
          <w:szCs w:val="16"/>
          <w:lang w:val="en-US"/>
        </w:rPr>
        <w:t>nce</w:t>
      </w:r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 a decade, but it is noteworthy to notify the emergence of strains with isolated resistance to </w:t>
      </w:r>
      <w:proofErr w:type="spellStart"/>
      <w:r w:rsidRPr="001811FC">
        <w:rPr>
          <w:rFonts w:ascii="Arial" w:hAnsi="Arial" w:cs="Arial"/>
          <w:color w:val="000000"/>
          <w:sz w:val="22"/>
          <w:szCs w:val="16"/>
          <w:lang w:val="en-US"/>
        </w:rPr>
        <w:t>clindamycine</w:t>
      </w:r>
      <w:proofErr w:type="spellEnd"/>
      <w:r w:rsidRPr="001811FC">
        <w:rPr>
          <w:rFonts w:ascii="Arial" w:hAnsi="Arial" w:cs="Arial"/>
          <w:color w:val="000000"/>
          <w:sz w:val="22"/>
          <w:szCs w:val="16"/>
          <w:lang w:val="en-US"/>
        </w:rPr>
        <w:t xml:space="preserve">. </w:t>
      </w:r>
    </w:p>
    <w:sectPr w:rsidR="00887C49" w:rsidRPr="001811FC" w:rsidSect="009268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71DB2"/>
    <w:multiLevelType w:val="hybridMultilevel"/>
    <w:tmpl w:val="DB26E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49"/>
    <w:rsid w:val="001811FC"/>
    <w:rsid w:val="00252A6F"/>
    <w:rsid w:val="003D5CB3"/>
    <w:rsid w:val="00401931"/>
    <w:rsid w:val="00781085"/>
    <w:rsid w:val="00887C49"/>
    <w:rsid w:val="00926874"/>
    <w:rsid w:val="009D65FC"/>
    <w:rsid w:val="00CC1D10"/>
    <w:rsid w:val="00D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494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D65F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87C4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65FC"/>
    <w:rPr>
      <w:rFonts w:ascii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1843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20th Lancefield International Symposium on Streptococci and Streptococcal Diseas</vt:lpstr>
    </vt:vector>
  </TitlesOfParts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2017-08-22T12:54:00Z</dcterms:created>
  <dcterms:modified xsi:type="dcterms:W3CDTF">2017-08-22T14:04:00Z</dcterms:modified>
</cp:coreProperties>
</file>