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9A" w:rsidRDefault="00D43E9A" w:rsidP="00090D8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</w:rPr>
      </w:pPr>
    </w:p>
    <w:p w:rsidR="00422532" w:rsidRPr="00B34ADF" w:rsidRDefault="004341A2" w:rsidP="00B34AD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</w:rPr>
      </w:pPr>
      <w:r w:rsidRPr="004341A2">
        <w:rPr>
          <w:rFonts w:ascii="Times New Roman" w:hAnsi="Times New Roman" w:cs="Times New Roman"/>
          <w:b/>
          <w:sz w:val="32"/>
        </w:rPr>
        <w:t xml:space="preserve">Examen </w:t>
      </w:r>
      <w:r w:rsidR="009D0D15">
        <w:rPr>
          <w:rFonts w:ascii="Times New Roman" w:hAnsi="Times New Roman" w:cs="Times New Roman"/>
          <w:b/>
          <w:sz w:val="32"/>
        </w:rPr>
        <w:t>de r</w:t>
      </w:r>
      <w:r w:rsidR="00EF73BB">
        <w:rPr>
          <w:rFonts w:ascii="Times New Roman" w:hAnsi="Times New Roman" w:cs="Times New Roman"/>
          <w:b/>
          <w:sz w:val="32"/>
        </w:rPr>
        <w:t>attrapage</w:t>
      </w:r>
      <w:r w:rsidR="009D0D15">
        <w:rPr>
          <w:rFonts w:ascii="Times New Roman" w:hAnsi="Times New Roman" w:cs="Times New Roman"/>
          <w:b/>
          <w:sz w:val="32"/>
        </w:rPr>
        <w:t xml:space="preserve"> </w:t>
      </w:r>
      <w:r w:rsidRPr="004341A2">
        <w:rPr>
          <w:rFonts w:ascii="Times New Roman" w:hAnsi="Times New Roman" w:cs="Times New Roman"/>
          <w:b/>
          <w:sz w:val="32"/>
        </w:rPr>
        <w:t xml:space="preserve">en Négociation </w:t>
      </w:r>
      <w:r w:rsidR="005A4390">
        <w:rPr>
          <w:rFonts w:ascii="Times New Roman" w:hAnsi="Times New Roman" w:cs="Times New Roman"/>
          <w:b/>
          <w:sz w:val="32"/>
        </w:rPr>
        <w:t>Commerciale Internationale</w:t>
      </w:r>
    </w:p>
    <w:p w:rsidR="00C05ED0" w:rsidRPr="00B34ADF" w:rsidRDefault="00EF73BB" w:rsidP="00B34ADF">
      <w:pPr>
        <w:pStyle w:val="Titre1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B34ADF">
        <w:rPr>
          <w:b w:val="0"/>
          <w:sz w:val="22"/>
          <w:szCs w:val="22"/>
        </w:rPr>
        <w:t>Vous êtes importateur</w:t>
      </w:r>
      <w:r w:rsidR="005414BE" w:rsidRPr="00B34ADF">
        <w:rPr>
          <w:b w:val="0"/>
          <w:sz w:val="22"/>
          <w:szCs w:val="22"/>
        </w:rPr>
        <w:t xml:space="preserve"> de matériels </w:t>
      </w:r>
      <w:r w:rsidR="00BF0017" w:rsidRPr="00B34ADF">
        <w:rPr>
          <w:b w:val="0"/>
          <w:sz w:val="22"/>
          <w:szCs w:val="22"/>
        </w:rPr>
        <w:t xml:space="preserve">médicaux </w:t>
      </w:r>
      <w:r w:rsidR="005414BE" w:rsidRPr="00B34ADF">
        <w:rPr>
          <w:b w:val="0"/>
          <w:sz w:val="22"/>
          <w:szCs w:val="22"/>
        </w:rPr>
        <w:t>et de machines médicales</w:t>
      </w:r>
      <w:r w:rsidRPr="00B34ADF">
        <w:rPr>
          <w:b w:val="0"/>
          <w:sz w:val="22"/>
          <w:szCs w:val="22"/>
        </w:rPr>
        <w:t xml:space="preserve">. Vous avez votre fournisseur </w:t>
      </w:r>
      <w:r w:rsidR="00C05ED0" w:rsidRPr="00B34ADF">
        <w:rPr>
          <w:b w:val="0"/>
          <w:sz w:val="22"/>
          <w:szCs w:val="22"/>
        </w:rPr>
        <w:t>en</w:t>
      </w:r>
      <w:r w:rsidRPr="00B34ADF">
        <w:rPr>
          <w:b w:val="0"/>
          <w:sz w:val="22"/>
          <w:szCs w:val="22"/>
        </w:rPr>
        <w:t xml:space="preserve"> </w:t>
      </w:r>
      <w:r w:rsidR="00C05ED0" w:rsidRPr="00B34ADF">
        <w:rPr>
          <w:b w:val="0"/>
          <w:sz w:val="22"/>
          <w:szCs w:val="22"/>
        </w:rPr>
        <w:t>Allemagne</w:t>
      </w:r>
      <w:r w:rsidR="005414BE" w:rsidRPr="00B34ADF">
        <w:rPr>
          <w:b w:val="0"/>
          <w:sz w:val="22"/>
          <w:szCs w:val="22"/>
        </w:rPr>
        <w:t xml:space="preserve"> </w:t>
      </w:r>
      <w:r w:rsidRPr="00B34ADF">
        <w:rPr>
          <w:b w:val="0"/>
          <w:sz w:val="22"/>
          <w:szCs w:val="22"/>
        </w:rPr>
        <w:t xml:space="preserve"> avec lequel vous travaillez depuis 12 mois. Vous vous apprêtez à faire une livraison </w:t>
      </w:r>
      <w:r w:rsidR="005414BE" w:rsidRPr="00B34ADF">
        <w:rPr>
          <w:b w:val="0"/>
          <w:sz w:val="22"/>
          <w:szCs w:val="22"/>
        </w:rPr>
        <w:t>de 10.</w:t>
      </w:r>
      <w:r w:rsidRPr="00B34ADF">
        <w:rPr>
          <w:b w:val="0"/>
          <w:sz w:val="22"/>
          <w:szCs w:val="22"/>
        </w:rPr>
        <w:t xml:space="preserve">000 unités </w:t>
      </w:r>
      <w:r w:rsidR="005414BE" w:rsidRPr="00B34ADF">
        <w:rPr>
          <w:b w:val="0"/>
          <w:sz w:val="22"/>
          <w:szCs w:val="22"/>
        </w:rPr>
        <w:t xml:space="preserve">d’un produit x à raison de </w:t>
      </w:r>
      <w:r w:rsidR="00C05ED0" w:rsidRPr="00B34ADF">
        <w:rPr>
          <w:b w:val="0"/>
          <w:sz w:val="22"/>
          <w:szCs w:val="22"/>
        </w:rPr>
        <w:t>75</w:t>
      </w:r>
      <w:r w:rsidR="007D0B1C" w:rsidRPr="00B34ADF">
        <w:rPr>
          <w:b w:val="0"/>
          <w:sz w:val="22"/>
          <w:szCs w:val="22"/>
        </w:rPr>
        <w:t>€</w:t>
      </w:r>
      <w:r w:rsidR="005414BE" w:rsidRPr="00B34ADF">
        <w:rPr>
          <w:b w:val="0"/>
          <w:sz w:val="22"/>
          <w:szCs w:val="22"/>
        </w:rPr>
        <w:t xml:space="preserve"> pièce. La dernière commande a été réalisée le </w:t>
      </w:r>
      <w:r w:rsidR="00C05ED0" w:rsidRPr="00B34ADF">
        <w:rPr>
          <w:b w:val="0"/>
          <w:sz w:val="22"/>
          <w:szCs w:val="22"/>
        </w:rPr>
        <w:t>01 juin 2015 pour la même quantité.</w:t>
      </w:r>
    </w:p>
    <w:p w:rsidR="007D0B1C" w:rsidRPr="00B34ADF" w:rsidRDefault="007D0B1C" w:rsidP="00C05ED0">
      <w:pPr>
        <w:pStyle w:val="Titre1"/>
        <w:spacing w:after="0" w:afterAutospacing="0"/>
        <w:jc w:val="both"/>
        <w:rPr>
          <w:b w:val="0"/>
          <w:sz w:val="22"/>
          <w:szCs w:val="22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286"/>
        <w:gridCol w:w="1209"/>
        <w:gridCol w:w="1167"/>
        <w:gridCol w:w="1288"/>
        <w:gridCol w:w="1495"/>
        <w:gridCol w:w="1397"/>
        <w:gridCol w:w="1616"/>
      </w:tblGrid>
      <w:tr w:rsidR="00C05ED0" w:rsidRPr="007D0B1C" w:rsidTr="00B34ADF">
        <w:trPr>
          <w:jc w:val="center"/>
        </w:trPr>
        <w:tc>
          <w:tcPr>
            <w:tcW w:w="477" w:type="pct"/>
            <w:tcBorders>
              <w:tl2br w:val="single" w:sz="4" w:space="0" w:color="auto"/>
            </w:tcBorders>
          </w:tcPr>
          <w:p w:rsidR="00C05ED0" w:rsidRPr="007D0B1C" w:rsidRDefault="00C05ED0" w:rsidP="00C05ED0">
            <w:pPr>
              <w:pStyle w:val="Titre1"/>
              <w:spacing w:after="0" w:afterAutospacing="0"/>
              <w:jc w:val="both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615" w:type="pct"/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Cs w:val="0"/>
                <w:sz w:val="20"/>
                <w:szCs w:val="20"/>
              </w:rPr>
            </w:pPr>
            <w:r w:rsidRPr="007D0B1C">
              <w:rPr>
                <w:bCs w:val="0"/>
                <w:sz w:val="20"/>
                <w:szCs w:val="20"/>
              </w:rPr>
              <w:t>Quantité</w:t>
            </w:r>
          </w:p>
        </w:tc>
        <w:tc>
          <w:tcPr>
            <w:tcW w:w="578" w:type="pct"/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Cs w:val="0"/>
                <w:sz w:val="20"/>
                <w:szCs w:val="20"/>
              </w:rPr>
            </w:pPr>
            <w:r w:rsidRPr="007D0B1C">
              <w:rPr>
                <w:bCs w:val="0"/>
                <w:sz w:val="20"/>
                <w:szCs w:val="20"/>
              </w:rPr>
              <w:t>Prix unitaire</w:t>
            </w:r>
            <w:r w:rsidR="007D0B1C" w:rsidRPr="007D0B1C">
              <w:rPr>
                <w:bCs w:val="0"/>
                <w:sz w:val="20"/>
                <w:szCs w:val="20"/>
              </w:rPr>
              <w:t xml:space="preserve"> (€</w:t>
            </w:r>
            <w:r w:rsidRPr="007D0B1C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558" w:type="pct"/>
            <w:tcBorders>
              <w:right w:val="single" w:sz="4" w:space="0" w:color="auto"/>
            </w:tcBorders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Cs w:val="0"/>
                <w:sz w:val="20"/>
                <w:szCs w:val="20"/>
              </w:rPr>
            </w:pPr>
            <w:r w:rsidRPr="007D0B1C">
              <w:rPr>
                <w:bCs w:val="0"/>
                <w:sz w:val="20"/>
                <w:szCs w:val="20"/>
              </w:rPr>
              <w:t xml:space="preserve">Prix TTC en </w:t>
            </w:r>
            <w:r w:rsidR="007D0B1C" w:rsidRPr="007D0B1C">
              <w:rPr>
                <w:bCs w:val="0"/>
                <w:sz w:val="20"/>
                <w:szCs w:val="20"/>
              </w:rPr>
              <w:t>€</w:t>
            </w:r>
          </w:p>
        </w:tc>
        <w:tc>
          <w:tcPr>
            <w:tcW w:w="616" w:type="pct"/>
            <w:tcBorders>
              <w:left w:val="single" w:sz="4" w:space="0" w:color="auto"/>
            </w:tcBorders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Cs w:val="0"/>
                <w:sz w:val="20"/>
                <w:szCs w:val="20"/>
              </w:rPr>
            </w:pPr>
            <w:r w:rsidRPr="007D0B1C">
              <w:rPr>
                <w:bCs w:val="0"/>
                <w:sz w:val="20"/>
                <w:szCs w:val="20"/>
              </w:rPr>
              <w:t>Prix de change banque centrale</w:t>
            </w:r>
          </w:p>
        </w:tc>
        <w:tc>
          <w:tcPr>
            <w:tcW w:w="715" w:type="pct"/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Cs w:val="0"/>
                <w:sz w:val="20"/>
                <w:szCs w:val="20"/>
              </w:rPr>
            </w:pPr>
            <w:r w:rsidRPr="007D0B1C">
              <w:rPr>
                <w:bCs w:val="0"/>
                <w:sz w:val="20"/>
                <w:szCs w:val="20"/>
              </w:rPr>
              <w:t>Prix TTC en dinars</w:t>
            </w:r>
            <w:r w:rsidR="00304B6C">
              <w:rPr>
                <w:bCs w:val="0"/>
                <w:sz w:val="20"/>
                <w:szCs w:val="20"/>
              </w:rPr>
              <w:t xml:space="preserve"> algérien (da</w:t>
            </w:r>
            <w:r w:rsidR="007D0B1C" w:rsidRPr="007D0B1C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668" w:type="pct"/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Cs w:val="0"/>
                <w:sz w:val="20"/>
                <w:szCs w:val="20"/>
              </w:rPr>
            </w:pPr>
            <w:r w:rsidRPr="007D0B1C">
              <w:rPr>
                <w:bCs w:val="0"/>
                <w:sz w:val="20"/>
                <w:szCs w:val="20"/>
              </w:rPr>
              <w:t xml:space="preserve">Ecart </w:t>
            </w:r>
            <w:r w:rsidR="00304B6C">
              <w:rPr>
                <w:bCs w:val="0"/>
                <w:sz w:val="20"/>
                <w:szCs w:val="20"/>
              </w:rPr>
              <w:t>en da</w:t>
            </w:r>
          </w:p>
        </w:tc>
        <w:tc>
          <w:tcPr>
            <w:tcW w:w="774" w:type="pct"/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Cs w:val="0"/>
                <w:sz w:val="20"/>
                <w:szCs w:val="20"/>
              </w:rPr>
            </w:pPr>
            <w:r w:rsidRPr="007D0B1C">
              <w:rPr>
                <w:bCs w:val="0"/>
                <w:sz w:val="20"/>
                <w:szCs w:val="20"/>
              </w:rPr>
              <w:t>Pourcentage de perte</w:t>
            </w:r>
          </w:p>
        </w:tc>
      </w:tr>
      <w:tr w:rsidR="007D0B1C" w:rsidRPr="007D0B1C" w:rsidTr="00B34ADF">
        <w:trPr>
          <w:jc w:val="center"/>
        </w:trPr>
        <w:tc>
          <w:tcPr>
            <w:tcW w:w="477" w:type="pct"/>
          </w:tcPr>
          <w:p w:rsidR="00C05ED0" w:rsidRPr="007D0B1C" w:rsidRDefault="00C05ED0" w:rsidP="00C05ED0">
            <w:pPr>
              <w:pStyle w:val="Titre1"/>
              <w:spacing w:after="0" w:afterAutospacing="0"/>
              <w:jc w:val="both"/>
              <w:outlineLvl w:val="0"/>
              <w:rPr>
                <w:bCs w:val="0"/>
                <w:sz w:val="20"/>
                <w:szCs w:val="20"/>
              </w:rPr>
            </w:pPr>
            <w:r w:rsidRPr="007D0B1C">
              <w:rPr>
                <w:bCs w:val="0"/>
                <w:sz w:val="20"/>
                <w:szCs w:val="20"/>
              </w:rPr>
              <w:t>01 juin 2015</w:t>
            </w:r>
          </w:p>
        </w:tc>
        <w:tc>
          <w:tcPr>
            <w:tcW w:w="615" w:type="pct"/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7D0B1C">
              <w:rPr>
                <w:b w:val="0"/>
                <w:sz w:val="20"/>
                <w:szCs w:val="20"/>
              </w:rPr>
              <w:t>10.000</w:t>
            </w:r>
          </w:p>
        </w:tc>
        <w:tc>
          <w:tcPr>
            <w:tcW w:w="578" w:type="pct"/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7D0B1C">
              <w:rPr>
                <w:b w:val="0"/>
                <w:sz w:val="20"/>
                <w:szCs w:val="20"/>
              </w:rPr>
              <w:t>75</w:t>
            </w:r>
          </w:p>
        </w:tc>
        <w:tc>
          <w:tcPr>
            <w:tcW w:w="558" w:type="pct"/>
            <w:tcBorders>
              <w:right w:val="single" w:sz="4" w:space="0" w:color="auto"/>
            </w:tcBorders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7D0B1C">
              <w:rPr>
                <w:b w:val="0"/>
                <w:sz w:val="20"/>
                <w:szCs w:val="20"/>
              </w:rPr>
              <w:t>750.000</w:t>
            </w:r>
          </w:p>
        </w:tc>
        <w:tc>
          <w:tcPr>
            <w:tcW w:w="616" w:type="pct"/>
            <w:tcBorders>
              <w:left w:val="single" w:sz="4" w:space="0" w:color="auto"/>
            </w:tcBorders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7D0B1C">
              <w:rPr>
                <w:b w:val="0"/>
                <w:sz w:val="20"/>
                <w:szCs w:val="20"/>
              </w:rPr>
              <w:t>1</w:t>
            </w:r>
            <w:r w:rsidR="007D0B1C" w:rsidRPr="007D0B1C">
              <w:rPr>
                <w:b w:val="0"/>
                <w:sz w:val="20"/>
                <w:szCs w:val="20"/>
              </w:rPr>
              <w:t>08,68</w:t>
            </w:r>
          </w:p>
        </w:tc>
        <w:tc>
          <w:tcPr>
            <w:tcW w:w="715" w:type="pct"/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7D0B1C">
              <w:rPr>
                <w:b w:val="0"/>
                <w:sz w:val="20"/>
                <w:szCs w:val="20"/>
              </w:rPr>
              <w:t>81.510.000</w:t>
            </w:r>
          </w:p>
        </w:tc>
        <w:tc>
          <w:tcPr>
            <w:tcW w:w="668" w:type="pct"/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7D0B1C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74" w:type="pct"/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7D0B1C" w:rsidRPr="007D0B1C" w:rsidTr="00B34ADF">
        <w:trPr>
          <w:jc w:val="center"/>
        </w:trPr>
        <w:tc>
          <w:tcPr>
            <w:tcW w:w="477" w:type="pct"/>
          </w:tcPr>
          <w:p w:rsidR="00C05ED0" w:rsidRPr="007D0B1C" w:rsidRDefault="00C05ED0" w:rsidP="00C05ED0">
            <w:pPr>
              <w:pStyle w:val="Titre1"/>
              <w:spacing w:after="0" w:afterAutospacing="0"/>
              <w:jc w:val="both"/>
              <w:outlineLvl w:val="0"/>
              <w:rPr>
                <w:bCs w:val="0"/>
                <w:sz w:val="20"/>
                <w:szCs w:val="20"/>
              </w:rPr>
            </w:pPr>
            <w:r w:rsidRPr="007D0B1C">
              <w:rPr>
                <w:bCs w:val="0"/>
                <w:sz w:val="20"/>
                <w:szCs w:val="20"/>
              </w:rPr>
              <w:t>24 aout 2015</w:t>
            </w:r>
          </w:p>
        </w:tc>
        <w:tc>
          <w:tcPr>
            <w:tcW w:w="615" w:type="pct"/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7D0B1C">
              <w:rPr>
                <w:b w:val="0"/>
                <w:sz w:val="20"/>
                <w:szCs w:val="20"/>
              </w:rPr>
              <w:t>10.000</w:t>
            </w:r>
          </w:p>
        </w:tc>
        <w:tc>
          <w:tcPr>
            <w:tcW w:w="578" w:type="pct"/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7D0B1C">
              <w:rPr>
                <w:b w:val="0"/>
                <w:sz w:val="20"/>
                <w:szCs w:val="20"/>
              </w:rPr>
              <w:t>75</w:t>
            </w:r>
          </w:p>
        </w:tc>
        <w:tc>
          <w:tcPr>
            <w:tcW w:w="558" w:type="pct"/>
            <w:tcBorders>
              <w:right w:val="single" w:sz="4" w:space="0" w:color="auto"/>
            </w:tcBorders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7D0B1C">
              <w:rPr>
                <w:b w:val="0"/>
                <w:sz w:val="20"/>
                <w:szCs w:val="20"/>
              </w:rPr>
              <w:t>750.000</w:t>
            </w:r>
          </w:p>
        </w:tc>
        <w:tc>
          <w:tcPr>
            <w:tcW w:w="616" w:type="pct"/>
            <w:tcBorders>
              <w:left w:val="single" w:sz="4" w:space="0" w:color="auto"/>
            </w:tcBorders>
          </w:tcPr>
          <w:p w:rsidR="00C05ED0" w:rsidRPr="007D0B1C" w:rsidRDefault="007D0B1C" w:rsidP="00B34ADF">
            <w:pPr>
              <w:pStyle w:val="Titre1"/>
              <w:spacing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7D0B1C">
              <w:rPr>
                <w:b w:val="0"/>
                <w:sz w:val="20"/>
                <w:szCs w:val="20"/>
              </w:rPr>
              <w:t>120,4757</w:t>
            </w:r>
          </w:p>
        </w:tc>
        <w:tc>
          <w:tcPr>
            <w:tcW w:w="715" w:type="pct"/>
          </w:tcPr>
          <w:p w:rsidR="00C05ED0" w:rsidRPr="007D0B1C" w:rsidRDefault="00C05ED0" w:rsidP="001963FF">
            <w:pPr>
              <w:pStyle w:val="Titre1"/>
              <w:spacing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7D0B1C">
              <w:rPr>
                <w:b w:val="0"/>
                <w:sz w:val="20"/>
                <w:szCs w:val="20"/>
              </w:rPr>
              <w:t>90.356.775</w:t>
            </w:r>
          </w:p>
        </w:tc>
        <w:tc>
          <w:tcPr>
            <w:tcW w:w="668" w:type="pct"/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Cs w:val="0"/>
                <w:sz w:val="20"/>
                <w:szCs w:val="20"/>
              </w:rPr>
            </w:pPr>
            <w:r w:rsidRPr="007D0B1C">
              <w:rPr>
                <w:bCs w:val="0"/>
                <w:sz w:val="20"/>
                <w:szCs w:val="20"/>
              </w:rPr>
              <w:t>8.846.775</w:t>
            </w:r>
          </w:p>
        </w:tc>
        <w:tc>
          <w:tcPr>
            <w:tcW w:w="774" w:type="pct"/>
          </w:tcPr>
          <w:p w:rsidR="00C05ED0" w:rsidRPr="007D0B1C" w:rsidRDefault="00C05ED0" w:rsidP="00B34ADF">
            <w:pPr>
              <w:pStyle w:val="Titre1"/>
              <w:spacing w:after="0" w:afterAutospacing="0"/>
              <w:jc w:val="center"/>
              <w:outlineLvl w:val="0"/>
              <w:rPr>
                <w:bCs w:val="0"/>
                <w:sz w:val="20"/>
                <w:szCs w:val="20"/>
              </w:rPr>
            </w:pPr>
            <w:r w:rsidRPr="007D0B1C">
              <w:rPr>
                <w:bCs w:val="0"/>
                <w:sz w:val="20"/>
                <w:szCs w:val="20"/>
              </w:rPr>
              <w:t>(-9,791%)</w:t>
            </w:r>
          </w:p>
        </w:tc>
      </w:tr>
    </w:tbl>
    <w:p w:rsidR="00B34ADF" w:rsidRDefault="00B34ADF" w:rsidP="00B34ADF">
      <w:pPr>
        <w:pStyle w:val="Titre1"/>
        <w:spacing w:before="0" w:beforeAutospacing="0" w:after="0" w:afterAutospacing="0"/>
        <w:jc w:val="both"/>
        <w:rPr>
          <w:b w:val="0"/>
          <w:sz w:val="24"/>
          <w:szCs w:val="24"/>
        </w:rPr>
        <w:sectPr w:rsidR="00B34ADF" w:rsidSect="00B34ADF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F0017" w:rsidRPr="00B34ADF" w:rsidRDefault="00BF0017" w:rsidP="00B34ADF">
      <w:pPr>
        <w:pStyle w:val="Titre1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B34ADF">
        <w:rPr>
          <w:b w:val="0"/>
          <w:sz w:val="22"/>
          <w:szCs w:val="22"/>
        </w:rPr>
        <w:lastRenderedPageBreak/>
        <w:t xml:space="preserve">Cependant, vous subissez actuellement de grandes pertes à cause de la dévaluation du dinar. Vous avez fait votre commande le 24/08/2015 </w:t>
      </w:r>
      <w:r w:rsidR="00E2319D" w:rsidRPr="00B34ADF">
        <w:rPr>
          <w:b w:val="0"/>
          <w:sz w:val="22"/>
          <w:szCs w:val="22"/>
        </w:rPr>
        <w:t>pour la même quantité cependant vous avez dû payer 8.846.775Dz en plus ce qui vous aurait rajouté 1085 unités en plus avec le taux de change du 1</w:t>
      </w:r>
      <w:r w:rsidR="00E2319D" w:rsidRPr="00B34ADF">
        <w:rPr>
          <w:b w:val="0"/>
          <w:sz w:val="22"/>
          <w:szCs w:val="22"/>
          <w:vertAlign w:val="superscript"/>
        </w:rPr>
        <w:t>er</w:t>
      </w:r>
      <w:r w:rsidR="00E2319D" w:rsidRPr="00B34ADF">
        <w:rPr>
          <w:b w:val="0"/>
          <w:sz w:val="22"/>
          <w:szCs w:val="22"/>
        </w:rPr>
        <w:t xml:space="preserve"> juin 2015. Le fournisseur refuse d’assumer cette perte et reste ferme concernant le prix de ses livraisons, vous êtes donc le seul à assumer cette perte.</w:t>
      </w:r>
    </w:p>
    <w:p w:rsidR="00BF0017" w:rsidRPr="00B34ADF" w:rsidRDefault="00E2319D" w:rsidP="00B34ADF">
      <w:pPr>
        <w:pStyle w:val="Titre1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B34ADF">
        <w:rPr>
          <w:b w:val="0"/>
          <w:sz w:val="22"/>
          <w:szCs w:val="22"/>
        </w:rPr>
        <w:t xml:space="preserve">Habituellement, vous avez une marge de 50% sur chaque unité vendue </w:t>
      </w:r>
      <w:r w:rsidR="00304B6C" w:rsidRPr="00B34ADF">
        <w:rPr>
          <w:b w:val="0"/>
          <w:sz w:val="22"/>
          <w:szCs w:val="22"/>
        </w:rPr>
        <w:t>en vous fixant un taux de 110</w:t>
      </w:r>
      <w:r w:rsidR="002906FF" w:rsidRPr="00B34ADF">
        <w:rPr>
          <w:b w:val="0"/>
          <w:sz w:val="22"/>
          <w:szCs w:val="22"/>
        </w:rPr>
        <w:t>,00</w:t>
      </w:r>
      <w:r w:rsidR="00304B6C" w:rsidRPr="00B34ADF">
        <w:rPr>
          <w:b w:val="0"/>
          <w:sz w:val="22"/>
          <w:szCs w:val="22"/>
        </w:rPr>
        <w:t xml:space="preserve"> dinars par euro. Ce qui vous fait un prix d’achat de 8250</w:t>
      </w:r>
      <w:r w:rsidR="002906FF" w:rsidRPr="00B34ADF">
        <w:rPr>
          <w:b w:val="0"/>
          <w:sz w:val="22"/>
          <w:szCs w:val="22"/>
        </w:rPr>
        <w:t>,00</w:t>
      </w:r>
      <w:r w:rsidR="00304B6C" w:rsidRPr="00B34ADF">
        <w:rPr>
          <w:b w:val="0"/>
          <w:sz w:val="22"/>
          <w:szCs w:val="22"/>
        </w:rPr>
        <w:t xml:space="preserve"> da et une marge de 4125</w:t>
      </w:r>
      <w:r w:rsidR="002906FF" w:rsidRPr="00B34ADF">
        <w:rPr>
          <w:b w:val="0"/>
          <w:sz w:val="22"/>
          <w:szCs w:val="22"/>
        </w:rPr>
        <w:t xml:space="preserve">,00 </w:t>
      </w:r>
      <w:r w:rsidR="00304B6C" w:rsidRPr="00B34ADF">
        <w:rPr>
          <w:b w:val="0"/>
          <w:sz w:val="22"/>
          <w:szCs w:val="22"/>
        </w:rPr>
        <w:t>da pour un prix de vente fixe et non négociable de</w:t>
      </w:r>
      <w:r w:rsidRPr="00B34ADF">
        <w:rPr>
          <w:b w:val="0"/>
          <w:sz w:val="22"/>
          <w:szCs w:val="22"/>
        </w:rPr>
        <w:t xml:space="preserve"> </w:t>
      </w:r>
      <w:r w:rsidR="00304B6C" w:rsidRPr="00B34ADF">
        <w:rPr>
          <w:b w:val="0"/>
          <w:sz w:val="22"/>
          <w:szCs w:val="22"/>
        </w:rPr>
        <w:t>12.375</w:t>
      </w:r>
      <w:r w:rsidR="002906FF" w:rsidRPr="00B34ADF">
        <w:rPr>
          <w:b w:val="0"/>
          <w:sz w:val="22"/>
          <w:szCs w:val="22"/>
        </w:rPr>
        <w:t>,00</w:t>
      </w:r>
      <w:r w:rsidR="00304B6C" w:rsidRPr="00B34ADF">
        <w:rPr>
          <w:b w:val="0"/>
          <w:sz w:val="22"/>
          <w:szCs w:val="22"/>
        </w:rPr>
        <w:t xml:space="preserve">da. Avec la hausse de l’euro, le prix d’achat de chaque unité monte à 9035,68da, si vous souhaitez maintenir le même prix de vente afin de rester compétitif, vous n’aurez qu’une marge de 3339,32da ce qui est équivaut à 26,98% de marge. </w:t>
      </w:r>
    </w:p>
    <w:p w:rsidR="00B34ADF" w:rsidRDefault="00B34ADF" w:rsidP="00B34ADF">
      <w:pPr>
        <w:pStyle w:val="Titre1"/>
        <w:pBdr>
          <w:bottom w:val="single" w:sz="4" w:space="1" w:color="auto"/>
        </w:pBdr>
        <w:spacing w:after="0" w:afterAutospacing="0"/>
        <w:jc w:val="both"/>
        <w:rPr>
          <w:b w:val="0"/>
          <w:sz w:val="24"/>
          <w:szCs w:val="24"/>
        </w:rPr>
        <w:sectPr w:rsidR="00B34ADF" w:rsidSect="00B34ADF">
          <w:type w:val="continuous"/>
          <w:pgSz w:w="11906" w:h="16838"/>
          <w:pgMar w:top="720" w:right="720" w:bottom="720" w:left="720" w:header="708" w:footer="708" w:gutter="0"/>
          <w:cols w:space="568"/>
          <w:docGrid w:linePitch="360"/>
        </w:sectPr>
      </w:pPr>
    </w:p>
    <w:p w:rsidR="00B34ADF" w:rsidRDefault="00B34ADF" w:rsidP="00B34ADF">
      <w:pPr>
        <w:pStyle w:val="Titre1"/>
        <w:pBdr>
          <w:bottom w:val="single" w:sz="4" w:space="1" w:color="auto"/>
        </w:pBdr>
        <w:spacing w:after="0" w:afterAutospacing="0"/>
        <w:jc w:val="both"/>
        <w:rPr>
          <w:b w:val="0"/>
          <w:sz w:val="24"/>
          <w:szCs w:val="24"/>
        </w:rPr>
      </w:pPr>
    </w:p>
    <w:p w:rsidR="00B34ADF" w:rsidRDefault="00B34ADF" w:rsidP="00B34ADF">
      <w:pPr>
        <w:pStyle w:val="Titre1"/>
        <w:pBdr>
          <w:bottom w:val="single" w:sz="4" w:space="1" w:color="auto"/>
        </w:pBdr>
        <w:spacing w:after="0" w:afterAutospacing="0"/>
        <w:jc w:val="both"/>
        <w:rPr>
          <w:b w:val="0"/>
          <w:sz w:val="24"/>
          <w:szCs w:val="24"/>
        </w:rPr>
        <w:sectPr w:rsidR="00B34ADF" w:rsidSect="00B34AD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414BE" w:rsidRPr="00B34ADF" w:rsidRDefault="002906FF" w:rsidP="00B34ADF">
      <w:pPr>
        <w:pStyle w:val="Titre1"/>
        <w:spacing w:after="0" w:afterAutospacing="0"/>
        <w:jc w:val="both"/>
        <w:rPr>
          <w:b w:val="0"/>
          <w:sz w:val="22"/>
          <w:szCs w:val="22"/>
        </w:rPr>
      </w:pPr>
      <w:r w:rsidRPr="00B34ADF">
        <w:rPr>
          <w:b w:val="0"/>
          <w:sz w:val="22"/>
          <w:szCs w:val="22"/>
        </w:rPr>
        <w:lastRenderedPageBreak/>
        <w:t>Questions :</w:t>
      </w:r>
    </w:p>
    <w:p w:rsidR="002906FF" w:rsidRPr="00B34ADF" w:rsidRDefault="002906FF" w:rsidP="00B34ADF">
      <w:pPr>
        <w:pStyle w:val="Titre1"/>
        <w:spacing w:after="0" w:afterAutospacing="0"/>
        <w:jc w:val="both"/>
        <w:rPr>
          <w:b w:val="0"/>
          <w:sz w:val="22"/>
          <w:szCs w:val="22"/>
        </w:rPr>
      </w:pPr>
      <w:r w:rsidRPr="00B34ADF">
        <w:rPr>
          <w:b w:val="0"/>
          <w:sz w:val="22"/>
          <w:szCs w:val="22"/>
        </w:rPr>
        <w:t>Etant en crise, vous vous posez la question : « Quelle est la stratégie à adopter afin de faire face à la dévaluation du dinar qui risque d’avoir des conséquences néfastes sur la santé financière de l’entreprise ? »</w:t>
      </w:r>
    </w:p>
    <w:p w:rsidR="002906FF" w:rsidRPr="00B34ADF" w:rsidRDefault="002906FF" w:rsidP="00B34ADF">
      <w:pPr>
        <w:pStyle w:val="Titre1"/>
        <w:spacing w:after="0" w:afterAutospacing="0"/>
        <w:jc w:val="both"/>
        <w:rPr>
          <w:b w:val="0"/>
          <w:sz w:val="22"/>
          <w:szCs w:val="22"/>
        </w:rPr>
      </w:pPr>
      <w:r w:rsidRPr="00B34ADF">
        <w:rPr>
          <w:b w:val="0"/>
          <w:sz w:val="22"/>
          <w:szCs w:val="22"/>
        </w:rPr>
        <w:t>Plusieurs stratégies s’offrent à vous :</w:t>
      </w:r>
    </w:p>
    <w:p w:rsidR="00711B8F" w:rsidRDefault="002906FF" w:rsidP="00915AB4">
      <w:pPr>
        <w:pStyle w:val="Titre1"/>
        <w:numPr>
          <w:ilvl w:val="0"/>
          <w:numId w:val="18"/>
        </w:numPr>
        <w:spacing w:after="0" w:afterAutospacing="0"/>
        <w:ind w:left="0"/>
        <w:jc w:val="both"/>
        <w:rPr>
          <w:b w:val="0"/>
          <w:i/>
          <w:iCs/>
          <w:sz w:val="22"/>
          <w:szCs w:val="22"/>
        </w:rPr>
      </w:pPr>
      <w:r w:rsidRPr="00B34ADF">
        <w:rPr>
          <w:b w:val="0"/>
          <w:sz w:val="22"/>
          <w:szCs w:val="22"/>
        </w:rPr>
        <w:t>Négocier avec le fournisseur allemand dans le but de réduire le prix unitaire malgré sa fermeté</w:t>
      </w:r>
      <w:r w:rsidR="000A034F" w:rsidRPr="00B34ADF">
        <w:rPr>
          <w:b w:val="0"/>
          <w:sz w:val="22"/>
          <w:szCs w:val="22"/>
        </w:rPr>
        <w:t xml:space="preserve"> dans le prix</w:t>
      </w:r>
      <w:r w:rsidR="00915AB4">
        <w:rPr>
          <w:b w:val="0"/>
          <w:sz w:val="22"/>
          <w:szCs w:val="22"/>
        </w:rPr>
        <w:t xml:space="preserve">. </w:t>
      </w:r>
      <w:r w:rsidR="00915AB4" w:rsidRPr="004C2558">
        <w:rPr>
          <w:b w:val="0"/>
          <w:i/>
          <w:iCs/>
          <w:sz w:val="22"/>
          <w:szCs w:val="22"/>
        </w:rPr>
        <w:t>Voici quelques caractéristiques de sa personnalité le modèle COI : contrôle son environnement et y vit en harmonie ; sa performance dépend de ses actions passées, présentes et futures ; a une communication formelle ; est collectiviste ; suit une logique déductive et linéaire ; aime la hiérarchie, l’ordre et l’organisation.</w:t>
      </w:r>
    </w:p>
    <w:p w:rsidR="004C2558" w:rsidRPr="004C2558" w:rsidRDefault="004C2558" w:rsidP="004C2558">
      <w:pPr>
        <w:pStyle w:val="Titre1"/>
        <w:spacing w:before="0" w:beforeAutospacing="0" w:after="0" w:afterAutospacing="0"/>
        <w:jc w:val="both"/>
        <w:rPr>
          <w:b w:val="0"/>
          <w:i/>
          <w:iCs/>
          <w:sz w:val="22"/>
          <w:szCs w:val="22"/>
        </w:rPr>
      </w:pPr>
    </w:p>
    <w:p w:rsidR="002906FF" w:rsidRPr="00B34ADF" w:rsidRDefault="002906FF" w:rsidP="004C2558">
      <w:pPr>
        <w:pStyle w:val="Titre1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b w:val="0"/>
          <w:sz w:val="22"/>
          <w:szCs w:val="22"/>
        </w:rPr>
      </w:pPr>
      <w:r w:rsidRPr="00B34ADF">
        <w:rPr>
          <w:b w:val="0"/>
          <w:sz w:val="22"/>
          <w:szCs w:val="22"/>
        </w:rPr>
        <w:t>Chercher un autre fournisseur proposant des prix moins cher/qualité inférieure</w:t>
      </w:r>
    </w:p>
    <w:p w:rsidR="002906FF" w:rsidRPr="00B34ADF" w:rsidRDefault="002906FF" w:rsidP="00B34ADF">
      <w:pPr>
        <w:pStyle w:val="Titre1"/>
        <w:numPr>
          <w:ilvl w:val="0"/>
          <w:numId w:val="18"/>
        </w:numPr>
        <w:spacing w:after="0" w:afterAutospacing="0"/>
        <w:ind w:left="0"/>
        <w:jc w:val="both"/>
        <w:rPr>
          <w:b w:val="0"/>
          <w:sz w:val="22"/>
          <w:szCs w:val="22"/>
        </w:rPr>
      </w:pPr>
      <w:r w:rsidRPr="00B34ADF">
        <w:rPr>
          <w:b w:val="0"/>
          <w:sz w:val="22"/>
          <w:szCs w:val="22"/>
        </w:rPr>
        <w:t>Proposer un cartel avec les autres importateurs afin d’imposer une augmentation générale des prix</w:t>
      </w:r>
    </w:p>
    <w:p w:rsidR="002906FF" w:rsidRPr="00B34ADF" w:rsidRDefault="002906FF" w:rsidP="00B34ADF">
      <w:pPr>
        <w:pStyle w:val="Titre1"/>
        <w:numPr>
          <w:ilvl w:val="0"/>
          <w:numId w:val="18"/>
        </w:numPr>
        <w:spacing w:after="0" w:afterAutospacing="0"/>
        <w:ind w:left="0"/>
        <w:jc w:val="both"/>
        <w:rPr>
          <w:b w:val="0"/>
          <w:sz w:val="22"/>
          <w:szCs w:val="22"/>
        </w:rPr>
      </w:pPr>
      <w:r w:rsidRPr="00B34ADF">
        <w:rPr>
          <w:b w:val="0"/>
          <w:sz w:val="22"/>
          <w:szCs w:val="22"/>
        </w:rPr>
        <w:t>Augmenter ses prix de vente afin que les cliniq</w:t>
      </w:r>
      <w:bookmarkStart w:id="0" w:name="_GoBack"/>
      <w:bookmarkEnd w:id="0"/>
      <w:r w:rsidRPr="00B34ADF">
        <w:rPr>
          <w:b w:val="0"/>
          <w:sz w:val="22"/>
          <w:szCs w:val="22"/>
        </w:rPr>
        <w:t xml:space="preserve">ues et organismes sanitaires qui achètent vos produits endossent aussi la perte. Et </w:t>
      </w:r>
      <w:r w:rsidR="001963FF">
        <w:rPr>
          <w:b w:val="0"/>
          <w:sz w:val="22"/>
          <w:szCs w:val="22"/>
        </w:rPr>
        <w:t>dans ce cas-</w:t>
      </w:r>
      <w:r w:rsidRPr="00B34ADF">
        <w:rPr>
          <w:b w:val="0"/>
          <w:sz w:val="22"/>
          <w:szCs w:val="22"/>
        </w:rPr>
        <w:t>là, faut-il garder les 50% de marge ou bien voir sa marge à la baisse ?</w:t>
      </w:r>
    </w:p>
    <w:p w:rsidR="00EF73BB" w:rsidRPr="00B34ADF" w:rsidRDefault="002906FF" w:rsidP="00B34ADF">
      <w:pPr>
        <w:pStyle w:val="Titre1"/>
        <w:spacing w:after="0" w:afterAutospacing="0"/>
        <w:jc w:val="both"/>
        <w:rPr>
          <w:b w:val="0"/>
          <w:sz w:val="22"/>
          <w:szCs w:val="22"/>
        </w:rPr>
      </w:pPr>
      <w:r w:rsidRPr="00B34ADF">
        <w:rPr>
          <w:b w:val="0"/>
          <w:sz w:val="22"/>
          <w:szCs w:val="22"/>
        </w:rPr>
        <w:t>Ce qui vous est demandé :</w:t>
      </w:r>
    </w:p>
    <w:p w:rsidR="002906FF" w:rsidRPr="00B34ADF" w:rsidRDefault="002906FF" w:rsidP="00B34ADF">
      <w:pPr>
        <w:pStyle w:val="Titre1"/>
        <w:numPr>
          <w:ilvl w:val="0"/>
          <w:numId w:val="19"/>
        </w:numPr>
        <w:spacing w:after="0" w:afterAutospacing="0"/>
        <w:ind w:left="0"/>
        <w:jc w:val="both"/>
        <w:rPr>
          <w:b w:val="0"/>
          <w:sz w:val="22"/>
          <w:szCs w:val="22"/>
        </w:rPr>
      </w:pPr>
      <w:r w:rsidRPr="00B34ADF">
        <w:rPr>
          <w:b w:val="0"/>
          <w:sz w:val="22"/>
          <w:szCs w:val="22"/>
        </w:rPr>
        <w:t xml:space="preserve">Analysez </w:t>
      </w:r>
      <w:r w:rsidR="000A034F" w:rsidRPr="00B34ADF">
        <w:rPr>
          <w:b w:val="0"/>
          <w:sz w:val="22"/>
          <w:szCs w:val="22"/>
        </w:rPr>
        <w:t xml:space="preserve">et expliquez </w:t>
      </w:r>
      <w:r w:rsidRPr="00B34ADF">
        <w:rPr>
          <w:b w:val="0"/>
          <w:sz w:val="22"/>
          <w:szCs w:val="22"/>
        </w:rPr>
        <w:t xml:space="preserve">intelligemment les 4 stratégies </w:t>
      </w:r>
      <w:r w:rsidR="000A034F" w:rsidRPr="00B34ADF">
        <w:rPr>
          <w:b w:val="0"/>
          <w:sz w:val="22"/>
          <w:szCs w:val="22"/>
        </w:rPr>
        <w:t xml:space="preserve">en détail </w:t>
      </w:r>
      <w:r w:rsidR="00445BA5" w:rsidRPr="00B34ADF">
        <w:rPr>
          <w:b w:val="0"/>
          <w:sz w:val="22"/>
          <w:szCs w:val="22"/>
        </w:rPr>
        <w:t xml:space="preserve">en mentionnant clairement les avantages et les inconvénients de chaque stratégie sur vos activités et sur l’image de votre entreprise. </w:t>
      </w:r>
    </w:p>
    <w:p w:rsidR="000A034F" w:rsidRPr="00B34ADF" w:rsidRDefault="000A034F" w:rsidP="00B34ADF">
      <w:pPr>
        <w:pStyle w:val="Titre1"/>
        <w:numPr>
          <w:ilvl w:val="0"/>
          <w:numId w:val="19"/>
        </w:numPr>
        <w:spacing w:after="0" w:afterAutospacing="0"/>
        <w:ind w:left="0"/>
        <w:jc w:val="both"/>
        <w:rPr>
          <w:b w:val="0"/>
          <w:sz w:val="22"/>
          <w:szCs w:val="22"/>
        </w:rPr>
      </w:pPr>
      <w:r w:rsidRPr="00B34ADF">
        <w:rPr>
          <w:b w:val="0"/>
          <w:sz w:val="22"/>
          <w:szCs w:val="22"/>
        </w:rPr>
        <w:t>Classez les stratégies en fonction de leur faisabilité. La première étant la plus adéquate à votre situation</w:t>
      </w:r>
    </w:p>
    <w:p w:rsidR="000A034F" w:rsidRPr="00B34ADF" w:rsidRDefault="00B34ADF" w:rsidP="00B34ADF">
      <w:pPr>
        <w:pStyle w:val="Titre1"/>
        <w:numPr>
          <w:ilvl w:val="0"/>
          <w:numId w:val="19"/>
        </w:numPr>
        <w:spacing w:after="0" w:afterAutospacing="0"/>
        <w:ind w:left="0"/>
        <w:jc w:val="both"/>
        <w:rPr>
          <w:b w:val="0"/>
          <w:sz w:val="22"/>
          <w:szCs w:val="22"/>
        </w:rPr>
      </w:pPr>
      <w:r w:rsidRPr="00B34ADF">
        <w:rPr>
          <w:b w:val="0"/>
          <w:sz w:val="22"/>
          <w:szCs w:val="22"/>
        </w:rPr>
        <w:t>Proposez d’autres solutions ou stratégies ayant pour but de lutter efficacement contre la dévaluation du dinar face à l’euro.</w:t>
      </w:r>
    </w:p>
    <w:p w:rsidR="00B34ADF" w:rsidRPr="00B34ADF" w:rsidRDefault="00B34ADF" w:rsidP="00422532">
      <w:pPr>
        <w:pStyle w:val="Titre1"/>
        <w:spacing w:after="0" w:afterAutospacing="0"/>
        <w:ind w:left="1440"/>
        <w:jc w:val="both"/>
        <w:rPr>
          <w:b w:val="0"/>
          <w:sz w:val="22"/>
          <w:szCs w:val="22"/>
        </w:rPr>
        <w:sectPr w:rsidR="00B34ADF" w:rsidRPr="00B34ADF" w:rsidSect="00B34AD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A0230" w:rsidRPr="00B34ADF" w:rsidRDefault="00FA0230" w:rsidP="00422532">
      <w:pPr>
        <w:tabs>
          <w:tab w:val="left" w:pos="1739"/>
        </w:tabs>
        <w:spacing w:after="0" w:line="240" w:lineRule="auto"/>
        <w:rPr>
          <w:rFonts w:ascii="Times New Roman" w:hAnsi="Times New Roman" w:cs="Times New Roman"/>
          <w:b/>
        </w:rPr>
      </w:pPr>
    </w:p>
    <w:sectPr w:rsidR="00FA0230" w:rsidRPr="00B34ADF" w:rsidSect="00B34A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77A" w:rsidRDefault="0068177A" w:rsidP="001C0CF3">
      <w:pPr>
        <w:spacing w:after="0" w:line="240" w:lineRule="auto"/>
      </w:pPr>
      <w:r>
        <w:separator/>
      </w:r>
    </w:p>
  </w:endnote>
  <w:endnote w:type="continuationSeparator" w:id="0">
    <w:p w:rsidR="0068177A" w:rsidRDefault="0068177A" w:rsidP="001C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21" w:rsidRPr="009D1A6B" w:rsidRDefault="008F7121" w:rsidP="004341A2">
    <w:pPr>
      <w:pStyle w:val="Pieddepage"/>
      <w:pBdr>
        <w:top w:val="single" w:sz="4" w:space="1" w:color="auto"/>
      </w:pBdr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Master I</w:t>
    </w:r>
    <w:r w:rsidRPr="009D1A6B">
      <w:rPr>
        <w:rFonts w:asciiTheme="majorHAnsi" w:hAnsiTheme="majorHAnsi"/>
        <w:sz w:val="20"/>
      </w:rPr>
      <w:t xml:space="preserve"> : </w:t>
    </w:r>
    <w:r>
      <w:rPr>
        <w:rFonts w:asciiTheme="majorHAnsi" w:hAnsiTheme="majorHAnsi"/>
        <w:sz w:val="20"/>
      </w:rPr>
      <w:t>Finance et Commerce International</w:t>
    </w:r>
    <w:r w:rsidRPr="009D1A6B">
      <w:rPr>
        <w:rFonts w:asciiTheme="majorHAnsi" w:hAnsiTheme="majorHAnsi"/>
        <w:sz w:val="20"/>
      </w:rPr>
      <w:ptab w:relativeTo="margin" w:alignment="right" w:leader="none"/>
    </w:r>
    <w:r w:rsidR="00304B6C">
      <w:rPr>
        <w:rFonts w:asciiTheme="majorHAnsi" w:hAnsiTheme="majorHAnsi"/>
        <w:sz w:val="20"/>
      </w:rPr>
      <w:t>2014-2015</w:t>
    </w:r>
  </w:p>
  <w:p w:rsidR="008F7121" w:rsidRPr="00090D82" w:rsidRDefault="008F7121" w:rsidP="00304B6C">
    <w:pPr>
      <w:pStyle w:val="Pieddepage"/>
      <w:pBdr>
        <w:top w:val="single" w:sz="4" w:space="1" w:color="auto"/>
      </w:pBdr>
      <w:rPr>
        <w:rFonts w:asciiTheme="majorHAnsi" w:hAnsiTheme="majorHAnsi"/>
        <w:sz w:val="18"/>
      </w:rPr>
    </w:pPr>
    <w:r w:rsidRPr="009D1A6B">
      <w:rPr>
        <w:rFonts w:asciiTheme="majorHAnsi" w:hAnsiTheme="majorHAnsi"/>
        <w:sz w:val="20"/>
      </w:rPr>
      <w:t xml:space="preserve">Examen </w:t>
    </w:r>
    <w:r w:rsidR="00422532">
      <w:rPr>
        <w:rFonts w:asciiTheme="majorHAnsi" w:hAnsiTheme="majorHAnsi"/>
        <w:sz w:val="20"/>
      </w:rPr>
      <w:t xml:space="preserve">de récupération </w:t>
    </w:r>
    <w:r w:rsidRPr="009D1A6B">
      <w:rPr>
        <w:rFonts w:asciiTheme="majorHAnsi" w:hAnsiTheme="majorHAnsi"/>
        <w:sz w:val="20"/>
      </w:rPr>
      <w:t xml:space="preserve">en Négociation </w:t>
    </w:r>
    <w:r>
      <w:rPr>
        <w:rFonts w:asciiTheme="majorHAnsi" w:hAnsiTheme="majorHAnsi"/>
        <w:sz w:val="20"/>
      </w:rPr>
      <w:t>Commerciale Internationale (durée : 1h30)</w:t>
    </w:r>
    <w:r w:rsidR="00304B6C">
      <w:rPr>
        <w:rFonts w:asciiTheme="majorHAnsi" w:hAnsiTheme="majorHAnsi"/>
        <w:sz w:val="20"/>
      </w:rPr>
      <w:tab/>
      <w:t>Semestre 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77A" w:rsidRDefault="0068177A" w:rsidP="001C0CF3">
      <w:pPr>
        <w:spacing w:after="0" w:line="240" w:lineRule="auto"/>
      </w:pPr>
      <w:r>
        <w:separator/>
      </w:r>
    </w:p>
  </w:footnote>
  <w:footnote w:type="continuationSeparator" w:id="0">
    <w:p w:rsidR="0068177A" w:rsidRDefault="0068177A" w:rsidP="001C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21" w:rsidRPr="009D1A6B" w:rsidRDefault="0068177A" w:rsidP="001C0CF3">
    <w:pPr>
      <w:pStyle w:val="En-tte"/>
      <w:pBdr>
        <w:bottom w:val="single" w:sz="4" w:space="1" w:color="auto"/>
      </w:pBdr>
      <w:rPr>
        <w:rFonts w:asciiTheme="majorHAnsi" w:hAnsiTheme="majorHAnsi"/>
        <w:sz w:val="20"/>
      </w:rPr>
    </w:pPr>
    <w:sdt>
      <w:sdtPr>
        <w:rPr>
          <w:rFonts w:asciiTheme="majorHAnsi" w:hAnsiTheme="majorHAnsi"/>
          <w:sz w:val="20"/>
        </w:rPr>
        <w:id w:val="78110559"/>
        <w:docPartObj>
          <w:docPartGallery w:val="Page Numbers (Margins)"/>
          <w:docPartUnique/>
        </w:docPartObj>
      </w:sdtPr>
      <w:sdtEndPr/>
      <w:sdtContent>
        <w:r w:rsidR="00C944DB">
          <w:rPr>
            <w:rFonts w:asciiTheme="majorHAnsi" w:hAnsiTheme="majorHAnsi"/>
            <w:noProof/>
            <w:sz w:val="20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12378990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A6234D" w:rsidRPr="00B76392" w:rsidRDefault="003206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7639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A6234D" w:rsidRPr="00B7639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 xml:space="preserve"> PAGE  \* MERGEFORMAT </w:instrText>
                                  </w:r>
                                  <w:r w:rsidRPr="00B7639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4C2558"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B7639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="00B76392" w:rsidRPr="00B7639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/2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5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dCyb2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123789906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A6234D" w:rsidRPr="00B76392" w:rsidRDefault="003206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63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A6234D" w:rsidRPr="00B763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 xml:space="preserve"> PAGE  \* MERGEFORMAT </w:instrText>
                            </w:r>
                            <w:r w:rsidRPr="00B763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C2558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B763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B76392" w:rsidRPr="00B763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8F7121" w:rsidRPr="009D1A6B">
      <w:rPr>
        <w:rFonts w:asciiTheme="majorHAnsi" w:hAnsiTheme="majorHAnsi"/>
        <w:sz w:val="20"/>
      </w:rPr>
      <w:t>Université A. Mira de Bejaïa.</w:t>
    </w:r>
  </w:p>
  <w:p w:rsidR="008F7121" w:rsidRPr="009D1A6B" w:rsidRDefault="008F7121" w:rsidP="001C0CF3">
    <w:pPr>
      <w:pStyle w:val="En-tte"/>
      <w:pBdr>
        <w:bottom w:val="single" w:sz="4" w:space="1" w:color="auto"/>
      </w:pBdr>
      <w:rPr>
        <w:rFonts w:asciiTheme="majorHAnsi" w:hAnsiTheme="majorHAnsi"/>
        <w:sz w:val="20"/>
      </w:rPr>
    </w:pPr>
    <w:r w:rsidRPr="009D1A6B">
      <w:rPr>
        <w:rFonts w:asciiTheme="majorHAnsi" w:hAnsiTheme="majorHAnsi"/>
        <w:sz w:val="20"/>
      </w:rPr>
      <w:t xml:space="preserve">Faculté SEGC- Département Sciences Commerciales. </w:t>
    </w:r>
    <w:r w:rsidRPr="009D1A6B">
      <w:rPr>
        <w:rFonts w:asciiTheme="majorHAnsi" w:hAnsiTheme="majorHAnsi"/>
        <w:sz w:val="20"/>
      </w:rPr>
      <w:ptab w:relativeTo="margin" w:alignment="right" w:leader="none"/>
    </w:r>
    <w:r w:rsidRPr="009D1A6B">
      <w:rPr>
        <w:rFonts w:asciiTheme="majorHAnsi" w:hAnsiTheme="majorHAnsi"/>
        <w:sz w:val="20"/>
      </w:rPr>
      <w:t>BOUNAZEF 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2EB0"/>
    <w:multiLevelType w:val="hybridMultilevel"/>
    <w:tmpl w:val="39B642F4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21637"/>
    <w:multiLevelType w:val="hybridMultilevel"/>
    <w:tmpl w:val="2DE2C6F6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E513C"/>
    <w:multiLevelType w:val="hybridMultilevel"/>
    <w:tmpl w:val="A7202A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36EE"/>
    <w:multiLevelType w:val="hybridMultilevel"/>
    <w:tmpl w:val="5BB49234"/>
    <w:lvl w:ilvl="0" w:tplc="D73226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FE5"/>
    <w:multiLevelType w:val="hybridMultilevel"/>
    <w:tmpl w:val="4556580A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983EEE"/>
    <w:multiLevelType w:val="hybridMultilevel"/>
    <w:tmpl w:val="5D26F76E"/>
    <w:lvl w:ilvl="0" w:tplc="91C0E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26CF8"/>
    <w:multiLevelType w:val="hybridMultilevel"/>
    <w:tmpl w:val="7ABAB2AA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3730F2"/>
    <w:multiLevelType w:val="hybridMultilevel"/>
    <w:tmpl w:val="CB3435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40F05"/>
    <w:multiLevelType w:val="hybridMultilevel"/>
    <w:tmpl w:val="7DB890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15">
      <w:start w:val="1"/>
      <w:numFmt w:val="upperLetter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813C2"/>
    <w:multiLevelType w:val="hybridMultilevel"/>
    <w:tmpl w:val="B3728F6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0E5021"/>
    <w:multiLevelType w:val="hybridMultilevel"/>
    <w:tmpl w:val="CDD853A4"/>
    <w:lvl w:ilvl="0" w:tplc="8FA63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300E32"/>
    <w:multiLevelType w:val="hybridMultilevel"/>
    <w:tmpl w:val="099857B0"/>
    <w:lvl w:ilvl="0" w:tplc="F9A23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63379"/>
    <w:multiLevelType w:val="hybridMultilevel"/>
    <w:tmpl w:val="D3FE4F22"/>
    <w:lvl w:ilvl="0" w:tplc="9782F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E93193"/>
    <w:multiLevelType w:val="hybridMultilevel"/>
    <w:tmpl w:val="160E9B7C"/>
    <w:lvl w:ilvl="0" w:tplc="57909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B62BAC">
      <w:start w:val="15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B6D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CCE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EA8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AE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66E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420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26A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15D615A"/>
    <w:multiLevelType w:val="hybridMultilevel"/>
    <w:tmpl w:val="244A6E0E"/>
    <w:lvl w:ilvl="0" w:tplc="9B72D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DC94FC">
      <w:start w:val="15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3AA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928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483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28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2A7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20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E68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7E81970"/>
    <w:multiLevelType w:val="hybridMultilevel"/>
    <w:tmpl w:val="130C19F0"/>
    <w:lvl w:ilvl="0" w:tplc="88E65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EC3570">
      <w:start w:val="15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C43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983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46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20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744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7E2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228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DDA3AC0"/>
    <w:multiLevelType w:val="hybridMultilevel"/>
    <w:tmpl w:val="58CAD63C"/>
    <w:lvl w:ilvl="0" w:tplc="ED626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86AF4"/>
    <w:multiLevelType w:val="hybridMultilevel"/>
    <w:tmpl w:val="CB3435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72CCE"/>
    <w:multiLevelType w:val="hybridMultilevel"/>
    <w:tmpl w:val="4DFE769A"/>
    <w:lvl w:ilvl="0" w:tplc="5178F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4"/>
  </w:num>
  <w:num w:numId="6">
    <w:abstractNumId w:val="12"/>
  </w:num>
  <w:num w:numId="7">
    <w:abstractNumId w:val="6"/>
  </w:num>
  <w:num w:numId="8">
    <w:abstractNumId w:val="17"/>
  </w:num>
  <w:num w:numId="9">
    <w:abstractNumId w:val="7"/>
  </w:num>
  <w:num w:numId="10">
    <w:abstractNumId w:val="8"/>
  </w:num>
  <w:num w:numId="11">
    <w:abstractNumId w:val="13"/>
  </w:num>
  <w:num w:numId="12">
    <w:abstractNumId w:val="14"/>
  </w:num>
  <w:num w:numId="13">
    <w:abstractNumId w:val="15"/>
  </w:num>
  <w:num w:numId="14">
    <w:abstractNumId w:val="3"/>
  </w:num>
  <w:num w:numId="15">
    <w:abstractNumId w:val="11"/>
  </w:num>
  <w:num w:numId="16">
    <w:abstractNumId w:val="10"/>
  </w:num>
  <w:num w:numId="17">
    <w:abstractNumId w:val="16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F3"/>
    <w:rsid w:val="00004940"/>
    <w:rsid w:val="00011108"/>
    <w:rsid w:val="0002090E"/>
    <w:rsid w:val="00025C15"/>
    <w:rsid w:val="00030506"/>
    <w:rsid w:val="00033A60"/>
    <w:rsid w:val="000443BE"/>
    <w:rsid w:val="00063036"/>
    <w:rsid w:val="0006752E"/>
    <w:rsid w:val="00080968"/>
    <w:rsid w:val="000830EB"/>
    <w:rsid w:val="0008633C"/>
    <w:rsid w:val="00090D82"/>
    <w:rsid w:val="000A034F"/>
    <w:rsid w:val="000E3622"/>
    <w:rsid w:val="000E74F0"/>
    <w:rsid w:val="0010238F"/>
    <w:rsid w:val="00124797"/>
    <w:rsid w:val="00135A0B"/>
    <w:rsid w:val="00147D40"/>
    <w:rsid w:val="001503E1"/>
    <w:rsid w:val="00150F28"/>
    <w:rsid w:val="00153F15"/>
    <w:rsid w:val="00166DF3"/>
    <w:rsid w:val="00184BB6"/>
    <w:rsid w:val="00191123"/>
    <w:rsid w:val="001963FF"/>
    <w:rsid w:val="00196AE3"/>
    <w:rsid w:val="001C0CF3"/>
    <w:rsid w:val="001D26B5"/>
    <w:rsid w:val="001D3201"/>
    <w:rsid w:val="001D4AB1"/>
    <w:rsid w:val="001F3437"/>
    <w:rsid w:val="002055FB"/>
    <w:rsid w:val="002425F5"/>
    <w:rsid w:val="002461B5"/>
    <w:rsid w:val="00274CBB"/>
    <w:rsid w:val="002805E8"/>
    <w:rsid w:val="002906FF"/>
    <w:rsid w:val="00297558"/>
    <w:rsid w:val="002E52CD"/>
    <w:rsid w:val="002F216A"/>
    <w:rsid w:val="00301729"/>
    <w:rsid w:val="00301C30"/>
    <w:rsid w:val="00304B6C"/>
    <w:rsid w:val="003050E2"/>
    <w:rsid w:val="003206D9"/>
    <w:rsid w:val="00372AD9"/>
    <w:rsid w:val="003F4992"/>
    <w:rsid w:val="00411D95"/>
    <w:rsid w:val="0041371C"/>
    <w:rsid w:val="0041746A"/>
    <w:rsid w:val="00422532"/>
    <w:rsid w:val="004341A2"/>
    <w:rsid w:val="00445BA5"/>
    <w:rsid w:val="00496E3F"/>
    <w:rsid w:val="004A7467"/>
    <w:rsid w:val="004B576F"/>
    <w:rsid w:val="004C2558"/>
    <w:rsid w:val="004F3D02"/>
    <w:rsid w:val="00510E94"/>
    <w:rsid w:val="0053307A"/>
    <w:rsid w:val="005414BE"/>
    <w:rsid w:val="00541FEE"/>
    <w:rsid w:val="005436C1"/>
    <w:rsid w:val="005503B0"/>
    <w:rsid w:val="00554F29"/>
    <w:rsid w:val="005833EA"/>
    <w:rsid w:val="005A4390"/>
    <w:rsid w:val="005C0C6D"/>
    <w:rsid w:val="005D024C"/>
    <w:rsid w:val="005D0F15"/>
    <w:rsid w:val="005F2336"/>
    <w:rsid w:val="00605711"/>
    <w:rsid w:val="00643512"/>
    <w:rsid w:val="00647CE2"/>
    <w:rsid w:val="00671D5E"/>
    <w:rsid w:val="0068065A"/>
    <w:rsid w:val="0068177A"/>
    <w:rsid w:val="006D501E"/>
    <w:rsid w:val="006F1921"/>
    <w:rsid w:val="00711B8F"/>
    <w:rsid w:val="0071707B"/>
    <w:rsid w:val="007313CA"/>
    <w:rsid w:val="00736857"/>
    <w:rsid w:val="007425D6"/>
    <w:rsid w:val="00747821"/>
    <w:rsid w:val="00753797"/>
    <w:rsid w:val="00771402"/>
    <w:rsid w:val="00771FE3"/>
    <w:rsid w:val="00775DB8"/>
    <w:rsid w:val="00776855"/>
    <w:rsid w:val="007808CF"/>
    <w:rsid w:val="00785526"/>
    <w:rsid w:val="00795E01"/>
    <w:rsid w:val="007B04E7"/>
    <w:rsid w:val="007B5A62"/>
    <w:rsid w:val="007C79B1"/>
    <w:rsid w:val="007D0B1C"/>
    <w:rsid w:val="007D5637"/>
    <w:rsid w:val="007F437E"/>
    <w:rsid w:val="00803C69"/>
    <w:rsid w:val="008244F4"/>
    <w:rsid w:val="008312C1"/>
    <w:rsid w:val="0087416D"/>
    <w:rsid w:val="00896998"/>
    <w:rsid w:val="008A0B05"/>
    <w:rsid w:val="008A1DF6"/>
    <w:rsid w:val="008C2D3C"/>
    <w:rsid w:val="008C31AF"/>
    <w:rsid w:val="008E054B"/>
    <w:rsid w:val="008F2380"/>
    <w:rsid w:val="008F7121"/>
    <w:rsid w:val="009042E4"/>
    <w:rsid w:val="00915AB4"/>
    <w:rsid w:val="009208F6"/>
    <w:rsid w:val="00926042"/>
    <w:rsid w:val="00927A25"/>
    <w:rsid w:val="009876CA"/>
    <w:rsid w:val="009A1AB1"/>
    <w:rsid w:val="009A5246"/>
    <w:rsid w:val="009C0E21"/>
    <w:rsid w:val="009C0FAA"/>
    <w:rsid w:val="009C232D"/>
    <w:rsid w:val="009D0D15"/>
    <w:rsid w:val="009D1354"/>
    <w:rsid w:val="009D1A6B"/>
    <w:rsid w:val="009D65E9"/>
    <w:rsid w:val="00A02F06"/>
    <w:rsid w:val="00A04148"/>
    <w:rsid w:val="00A10669"/>
    <w:rsid w:val="00A33ACE"/>
    <w:rsid w:val="00A6234D"/>
    <w:rsid w:val="00A83E54"/>
    <w:rsid w:val="00AA6C29"/>
    <w:rsid w:val="00AB260F"/>
    <w:rsid w:val="00AD0015"/>
    <w:rsid w:val="00AD3058"/>
    <w:rsid w:val="00AF354A"/>
    <w:rsid w:val="00AF466A"/>
    <w:rsid w:val="00B128A7"/>
    <w:rsid w:val="00B30626"/>
    <w:rsid w:val="00B32448"/>
    <w:rsid w:val="00B34ADF"/>
    <w:rsid w:val="00B664D2"/>
    <w:rsid w:val="00B75014"/>
    <w:rsid w:val="00B76392"/>
    <w:rsid w:val="00BC75F7"/>
    <w:rsid w:val="00BE3373"/>
    <w:rsid w:val="00BF0017"/>
    <w:rsid w:val="00C03428"/>
    <w:rsid w:val="00C05ED0"/>
    <w:rsid w:val="00C22FE8"/>
    <w:rsid w:val="00C40318"/>
    <w:rsid w:val="00C92488"/>
    <w:rsid w:val="00C944DB"/>
    <w:rsid w:val="00CB361B"/>
    <w:rsid w:val="00D01849"/>
    <w:rsid w:val="00D17675"/>
    <w:rsid w:val="00D43E9A"/>
    <w:rsid w:val="00D5375A"/>
    <w:rsid w:val="00D54C40"/>
    <w:rsid w:val="00D82AB6"/>
    <w:rsid w:val="00D83FEB"/>
    <w:rsid w:val="00D93B79"/>
    <w:rsid w:val="00DA1C44"/>
    <w:rsid w:val="00DC3D3E"/>
    <w:rsid w:val="00DD5A61"/>
    <w:rsid w:val="00DE67DB"/>
    <w:rsid w:val="00DE7144"/>
    <w:rsid w:val="00DF7365"/>
    <w:rsid w:val="00E05E29"/>
    <w:rsid w:val="00E109EA"/>
    <w:rsid w:val="00E13F6F"/>
    <w:rsid w:val="00E2319D"/>
    <w:rsid w:val="00E41127"/>
    <w:rsid w:val="00E736CA"/>
    <w:rsid w:val="00E93808"/>
    <w:rsid w:val="00ED6F51"/>
    <w:rsid w:val="00EE3385"/>
    <w:rsid w:val="00EE4758"/>
    <w:rsid w:val="00EE77F1"/>
    <w:rsid w:val="00EF73BB"/>
    <w:rsid w:val="00F123D0"/>
    <w:rsid w:val="00F341CF"/>
    <w:rsid w:val="00F43BED"/>
    <w:rsid w:val="00F65CB6"/>
    <w:rsid w:val="00F838D5"/>
    <w:rsid w:val="00F855E3"/>
    <w:rsid w:val="00F97973"/>
    <w:rsid w:val="00FA0230"/>
    <w:rsid w:val="00FA5F9F"/>
    <w:rsid w:val="00FA7350"/>
    <w:rsid w:val="00FB13B9"/>
    <w:rsid w:val="00FC0D60"/>
    <w:rsid w:val="00FC2745"/>
    <w:rsid w:val="00FC4164"/>
    <w:rsid w:val="00FE5513"/>
    <w:rsid w:val="00FE58E6"/>
    <w:rsid w:val="00FF2428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EAD72D-68EB-48BF-ACBC-45733FD3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9B1"/>
  </w:style>
  <w:style w:type="paragraph" w:styleId="Titre1">
    <w:name w:val="heading 1"/>
    <w:basedOn w:val="Normal"/>
    <w:link w:val="Titre1Car"/>
    <w:uiPriority w:val="9"/>
    <w:qFormat/>
    <w:rsid w:val="005D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0CF3"/>
  </w:style>
  <w:style w:type="paragraph" w:styleId="Pieddepage">
    <w:name w:val="footer"/>
    <w:basedOn w:val="Normal"/>
    <w:link w:val="PieddepageCar"/>
    <w:uiPriority w:val="99"/>
    <w:unhideWhenUsed/>
    <w:rsid w:val="001C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0CF3"/>
  </w:style>
  <w:style w:type="paragraph" w:styleId="Textedebulles">
    <w:name w:val="Balloon Text"/>
    <w:basedOn w:val="Normal"/>
    <w:link w:val="TextedebullesCar"/>
    <w:uiPriority w:val="99"/>
    <w:semiHidden/>
    <w:unhideWhenUsed/>
    <w:rsid w:val="001C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C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F4992"/>
    <w:pPr>
      <w:ind w:left="720"/>
      <w:contextualSpacing/>
    </w:pPr>
  </w:style>
  <w:style w:type="table" w:styleId="Grilledutableau">
    <w:name w:val="Table Grid"/>
    <w:basedOn w:val="TableauNormal"/>
    <w:uiPriority w:val="59"/>
    <w:rsid w:val="00605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6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630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9C0FAA"/>
  </w:style>
  <w:style w:type="character" w:customStyle="1" w:styleId="longtext">
    <w:name w:val="long_text"/>
    <w:basedOn w:val="Policepardfaut"/>
    <w:rsid w:val="00541FEE"/>
  </w:style>
  <w:style w:type="character" w:customStyle="1" w:styleId="Titre1Car">
    <w:name w:val="Titre 1 Car"/>
    <w:basedOn w:val="Policepardfaut"/>
    <w:link w:val="Titre1"/>
    <w:uiPriority w:val="9"/>
    <w:rsid w:val="005D024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6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001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4905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6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6082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2617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8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2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25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182B-D2DB-40DA-AB99-141CFD8A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DJIDA BOUNAZEF</cp:lastModifiedBy>
  <cp:revision>7</cp:revision>
  <dcterms:created xsi:type="dcterms:W3CDTF">2015-08-24T12:04:00Z</dcterms:created>
  <dcterms:modified xsi:type="dcterms:W3CDTF">2015-08-25T10:07:00Z</dcterms:modified>
</cp:coreProperties>
</file>