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8" w:type="dxa"/>
        <w:tblLayout w:type="fixed"/>
        <w:tblLook w:val="0000" w:firstRow="0" w:lastRow="0" w:firstColumn="0" w:lastColumn="0" w:noHBand="0" w:noVBand="0"/>
      </w:tblPr>
      <w:tblGrid>
        <w:gridCol w:w="8208"/>
      </w:tblGrid>
      <w:tr w:rsidR="009A16A2" w14:paraId="20C46D33" w14:textId="77777777" w:rsidTr="001A08A9">
        <w:tc>
          <w:tcPr>
            <w:tcW w:w="8208" w:type="dxa"/>
            <w:tcBorders>
              <w:bottom w:val="single" w:sz="12" w:space="0" w:color="auto"/>
            </w:tcBorders>
          </w:tcPr>
          <w:p w14:paraId="183ABF2A" w14:textId="77777777" w:rsidR="009A16A2" w:rsidRPr="006C0B7B" w:rsidRDefault="009A16A2">
            <w:pPr>
              <w:rPr>
                <w:rFonts w:ascii="Arial" w:hAnsi="Arial" w:cs="Arial"/>
                <w:b/>
                <w:bCs/>
              </w:rPr>
            </w:pPr>
            <w:r w:rsidRPr="006C0B7B">
              <w:rPr>
                <w:rFonts w:ascii="Arial" w:hAnsi="Arial" w:cs="Arial"/>
                <w:b/>
                <w:bCs/>
              </w:rPr>
              <w:t>Title:</w:t>
            </w:r>
          </w:p>
        </w:tc>
      </w:tr>
      <w:tr w:rsidR="009A16A2" w14:paraId="0B865EC2" w14:textId="77777777" w:rsidTr="001A08A9">
        <w:trPr>
          <w:trHeight w:val="567"/>
        </w:trPr>
        <w:tc>
          <w:tcPr>
            <w:tcW w:w="8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A9E072F" w14:textId="612EF037" w:rsidR="009A16A2" w:rsidRPr="001A08A9" w:rsidRDefault="001E775F" w:rsidP="00A63A8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Potential r</w:t>
            </w:r>
            <w:r w:rsidR="005842FA">
              <w:rPr>
                <w:rFonts w:ascii="Arial" w:hAnsi="Arial"/>
                <w:b/>
                <w:sz w:val="24"/>
              </w:rPr>
              <w:t xml:space="preserve">ole </w:t>
            </w:r>
            <w:r w:rsidR="004E33BF">
              <w:rPr>
                <w:rFonts w:ascii="Arial" w:hAnsi="Arial"/>
                <w:b/>
                <w:sz w:val="24"/>
              </w:rPr>
              <w:t>of microglia</w:t>
            </w:r>
            <w:r w:rsidR="00C301B6">
              <w:rPr>
                <w:rFonts w:ascii="Arial" w:hAnsi="Arial"/>
                <w:b/>
                <w:sz w:val="24"/>
              </w:rPr>
              <w:t xml:space="preserve"> and prostaglandins</w:t>
            </w:r>
            <w:r w:rsidR="004E33BF">
              <w:rPr>
                <w:rFonts w:ascii="Arial" w:hAnsi="Arial"/>
                <w:b/>
                <w:sz w:val="24"/>
              </w:rPr>
              <w:t xml:space="preserve"> in the sexual differentiation of brain and </w:t>
            </w:r>
            <w:proofErr w:type="spellStart"/>
            <w:r w:rsidR="004E33BF">
              <w:rPr>
                <w:rFonts w:ascii="Arial" w:hAnsi="Arial"/>
                <w:b/>
                <w:sz w:val="24"/>
              </w:rPr>
              <w:t>behavior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of Japanese quail</w:t>
            </w:r>
          </w:p>
        </w:tc>
      </w:tr>
      <w:tr w:rsidR="0028306B" w:rsidRPr="0028306B" w14:paraId="59D67CBC" w14:textId="77777777" w:rsidTr="001A08A9">
        <w:tc>
          <w:tcPr>
            <w:tcW w:w="8208" w:type="dxa"/>
            <w:tcBorders>
              <w:top w:val="single" w:sz="12" w:space="0" w:color="auto"/>
              <w:bottom w:val="single" w:sz="12" w:space="0" w:color="auto"/>
            </w:tcBorders>
          </w:tcPr>
          <w:p w14:paraId="3CEDF34C" w14:textId="77777777" w:rsidR="0028306B" w:rsidRPr="006C0B7B" w:rsidRDefault="0028306B">
            <w:pPr>
              <w:rPr>
                <w:rFonts w:ascii="Arial" w:hAnsi="Arial" w:cs="Arial"/>
                <w:b/>
                <w:bCs/>
              </w:rPr>
            </w:pPr>
          </w:p>
          <w:p w14:paraId="0F9B74A4" w14:textId="77777777" w:rsidR="0028306B" w:rsidRPr="006C0B7B" w:rsidRDefault="0028306B" w:rsidP="0028306B">
            <w:pPr>
              <w:rPr>
                <w:rFonts w:ascii="Arial" w:hAnsi="Arial" w:cs="Arial"/>
                <w:b/>
                <w:bCs/>
              </w:rPr>
            </w:pPr>
            <w:r w:rsidRPr="006C0B7B">
              <w:rPr>
                <w:rFonts w:ascii="Arial" w:hAnsi="Arial" w:cs="Arial"/>
                <w:b/>
                <w:bCs/>
              </w:rPr>
              <w:t>Authors &amp; affiliations:</w:t>
            </w:r>
          </w:p>
        </w:tc>
      </w:tr>
      <w:tr w:rsidR="0028306B" w:rsidRPr="001A08A9" w14:paraId="09E432BB" w14:textId="77777777" w:rsidTr="001A08A9">
        <w:trPr>
          <w:trHeight w:val="763"/>
        </w:trPr>
        <w:tc>
          <w:tcPr>
            <w:tcW w:w="8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F31807B" w14:textId="691ABA36" w:rsidR="00E21F7D" w:rsidRPr="00E21F7D" w:rsidRDefault="00E21F7D" w:rsidP="00E21F7D">
            <w:pPr>
              <w:rPr>
                <w:rFonts w:ascii="Palatino" w:hAnsi="Palatino"/>
                <w:b/>
                <w:vertAlign w:val="superscript"/>
              </w:rPr>
            </w:pPr>
            <w:proofErr w:type="spellStart"/>
            <w:r w:rsidRPr="00B354D2">
              <w:rPr>
                <w:rFonts w:ascii="Palatino" w:hAnsi="Palatino"/>
                <w:b/>
                <w:u w:val="single"/>
              </w:rPr>
              <w:t>D</w:t>
            </w:r>
            <w:r>
              <w:rPr>
                <w:rFonts w:ascii="Palatino" w:hAnsi="Palatino"/>
                <w:b/>
                <w:u w:val="single"/>
              </w:rPr>
              <w:t>elage</w:t>
            </w:r>
            <w:proofErr w:type="spellEnd"/>
            <w:r>
              <w:rPr>
                <w:rFonts w:ascii="Palatino" w:hAnsi="Palatino"/>
                <w:b/>
                <w:u w:val="single"/>
              </w:rPr>
              <w:t xml:space="preserve"> C</w:t>
            </w:r>
            <w:r w:rsidRPr="00B354D2">
              <w:rPr>
                <w:rFonts w:ascii="Palatino" w:hAnsi="Palatino"/>
                <w:b/>
                <w:vertAlign w:val="superscript"/>
              </w:rPr>
              <w:t>1</w:t>
            </w:r>
            <w:r>
              <w:rPr>
                <w:rFonts w:ascii="Palatino" w:hAnsi="Palatino"/>
              </w:rPr>
              <w:t xml:space="preserve">, </w:t>
            </w:r>
            <w:proofErr w:type="spellStart"/>
            <w:r>
              <w:rPr>
                <w:rFonts w:ascii="Palatino" w:hAnsi="Palatino"/>
              </w:rPr>
              <w:t>Nys</w:t>
            </w:r>
            <w:proofErr w:type="spellEnd"/>
            <w:r>
              <w:rPr>
                <w:rFonts w:ascii="Palatino" w:hAnsi="Palatino"/>
              </w:rPr>
              <w:t xml:space="preserve"> G</w:t>
            </w:r>
            <w:r>
              <w:rPr>
                <w:rFonts w:ascii="Palatino" w:hAnsi="Palatino"/>
                <w:b/>
                <w:vertAlign w:val="superscript"/>
              </w:rPr>
              <w:t>2</w:t>
            </w:r>
            <w:r>
              <w:rPr>
                <w:rFonts w:ascii="Palatino" w:hAnsi="Palatino"/>
              </w:rPr>
              <w:t>, Fillet M</w:t>
            </w:r>
            <w:r>
              <w:rPr>
                <w:rFonts w:ascii="Palatino" w:hAnsi="Palatino"/>
                <w:b/>
                <w:vertAlign w:val="superscript"/>
              </w:rPr>
              <w:t>2</w:t>
            </w:r>
            <w:r>
              <w:rPr>
                <w:rFonts w:ascii="Palatino" w:hAnsi="Palatino"/>
              </w:rPr>
              <w:t xml:space="preserve"> and </w:t>
            </w:r>
            <w:proofErr w:type="spellStart"/>
            <w:r>
              <w:rPr>
                <w:rFonts w:ascii="Palatino" w:hAnsi="Palatino"/>
              </w:rPr>
              <w:t>Cornil</w:t>
            </w:r>
            <w:proofErr w:type="spellEnd"/>
            <w:r>
              <w:rPr>
                <w:rFonts w:ascii="Palatino" w:hAnsi="Palatino"/>
              </w:rPr>
              <w:t xml:space="preserve"> CA</w:t>
            </w:r>
            <w:r w:rsidRPr="00B354D2">
              <w:rPr>
                <w:rFonts w:ascii="Palatino" w:hAnsi="Palatino"/>
                <w:b/>
                <w:vertAlign w:val="superscript"/>
              </w:rPr>
              <w:t>1</w:t>
            </w:r>
          </w:p>
          <w:p w14:paraId="4A4023A2" w14:textId="77777777" w:rsidR="00E21F7D" w:rsidRDefault="00E21F7D" w:rsidP="00E21F7D">
            <w:pPr>
              <w:rPr>
                <w:rFonts w:ascii="Palatino" w:hAnsi="Palatino" w:cs="Times"/>
                <w:i/>
                <w:lang w:eastAsia="fr-BE"/>
              </w:rPr>
            </w:pPr>
            <w:r w:rsidRPr="00B354D2">
              <w:rPr>
                <w:rFonts w:ascii="Palatino" w:hAnsi="Palatino"/>
                <w:i/>
                <w:vertAlign w:val="superscript"/>
              </w:rPr>
              <w:t>1</w:t>
            </w:r>
            <w:r>
              <w:rPr>
                <w:rFonts w:ascii="Palatino" w:hAnsi="Palatino"/>
                <w:i/>
              </w:rPr>
              <w:t xml:space="preserve">Laboratory of </w:t>
            </w:r>
            <w:proofErr w:type="spellStart"/>
            <w:r w:rsidRPr="009B48CE">
              <w:rPr>
                <w:rFonts w:ascii="Palatino" w:hAnsi="Palatino" w:cs="Times"/>
                <w:i/>
                <w:lang w:eastAsia="fr-BE"/>
              </w:rPr>
              <w:t>Behavioral</w:t>
            </w:r>
            <w:proofErr w:type="spellEnd"/>
            <w:r w:rsidRPr="009B48CE">
              <w:rPr>
                <w:rFonts w:ascii="Palatino" w:hAnsi="Palatino" w:cs="Times"/>
                <w:i/>
                <w:lang w:eastAsia="fr-BE"/>
              </w:rPr>
              <w:t xml:space="preserve"> Neuroendocrinology</w:t>
            </w:r>
            <w:r>
              <w:rPr>
                <w:rFonts w:ascii="Palatino" w:hAnsi="Palatino" w:cs="Times"/>
                <w:i/>
                <w:lang w:eastAsia="fr-BE"/>
              </w:rPr>
              <w:t>, Neuroendocrinology Unit, GIGA Neurosciences, University of Liège</w:t>
            </w:r>
          </w:p>
          <w:p w14:paraId="19A3E268" w14:textId="77777777" w:rsidR="00E21F7D" w:rsidRPr="009A035A" w:rsidRDefault="00E21F7D" w:rsidP="00E21F7D">
            <w:pPr>
              <w:rPr>
                <w:rFonts w:ascii="Palatino" w:hAnsi="Palatino"/>
                <w:i/>
              </w:rPr>
            </w:pPr>
            <w:r w:rsidRPr="006334D9">
              <w:rPr>
                <w:i/>
                <w:vertAlign w:val="superscript"/>
              </w:rPr>
              <w:t>2</w:t>
            </w:r>
            <w:r w:rsidRPr="009A035A">
              <w:rPr>
                <w:rFonts w:ascii="Palatino" w:hAnsi="Palatino"/>
                <w:i/>
              </w:rPr>
              <w:t xml:space="preserve">Laboratory for the Analysis of Medicines, Department of Pharmacy, CIRM, University of </w:t>
            </w:r>
            <w:proofErr w:type="spellStart"/>
            <w:r w:rsidRPr="009A035A">
              <w:rPr>
                <w:rFonts w:ascii="Palatino" w:hAnsi="Palatino"/>
                <w:i/>
              </w:rPr>
              <w:t>Liège</w:t>
            </w:r>
            <w:proofErr w:type="spellEnd"/>
          </w:p>
          <w:p w14:paraId="7A938F0F" w14:textId="16F680C3" w:rsidR="001A08A9" w:rsidRPr="001A08A9" w:rsidRDefault="001A08A9" w:rsidP="004E33BF">
            <w:pPr>
              <w:jc w:val="center"/>
              <w:rPr>
                <w:bCs/>
                <w:i/>
                <w:iCs/>
                <w:szCs w:val="20"/>
              </w:rPr>
            </w:pPr>
          </w:p>
        </w:tc>
      </w:tr>
      <w:tr w:rsidR="009A16A2" w14:paraId="66260110" w14:textId="77777777" w:rsidTr="001A08A9">
        <w:tc>
          <w:tcPr>
            <w:tcW w:w="8208" w:type="dxa"/>
            <w:tcBorders>
              <w:top w:val="single" w:sz="12" w:space="0" w:color="auto"/>
              <w:bottom w:val="single" w:sz="12" w:space="0" w:color="auto"/>
            </w:tcBorders>
          </w:tcPr>
          <w:p w14:paraId="127AE237" w14:textId="77777777" w:rsidR="009A16A2" w:rsidRPr="001A08A9" w:rsidRDefault="009A16A2">
            <w:pPr>
              <w:rPr>
                <w:rFonts w:ascii="Arial" w:hAnsi="Arial" w:cs="Arial"/>
                <w:b/>
                <w:bCs/>
              </w:rPr>
            </w:pPr>
          </w:p>
          <w:p w14:paraId="0F4506E4" w14:textId="77777777" w:rsidR="009A16A2" w:rsidRPr="006C0B7B" w:rsidRDefault="004323F3" w:rsidP="00432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Abstract:</w:t>
            </w:r>
          </w:p>
        </w:tc>
      </w:tr>
      <w:tr w:rsidR="009A16A2" w14:paraId="7DE9E4A3" w14:textId="77777777" w:rsidTr="001A08A9">
        <w:trPr>
          <w:trHeight w:val="7371"/>
        </w:trPr>
        <w:tc>
          <w:tcPr>
            <w:tcW w:w="8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2D98B06" w14:textId="77777777" w:rsidR="004323F3" w:rsidRPr="00DA5FA1" w:rsidRDefault="004323F3" w:rsidP="00DA5F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B76D54" w14:textId="50C26D73" w:rsidR="00BE2129" w:rsidRPr="006C0B7B" w:rsidRDefault="00A63A81" w:rsidP="001E77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Sexual differentiation of brain and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behavior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is a developmental process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during which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irreversible differences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are established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between male and female brains, leading to sexually dimorphic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behaviors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in adulthood. These differences are mainly caused by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estradiol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(E2</w:t>
            </w:r>
            <w:proofErr w:type="gram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) which</w:t>
            </w:r>
            <w:proofErr w:type="gram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acts during a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critical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period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to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masculinize male rats but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demasculinize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female quail, revealing a dichotomy between mammals and birds. Brain masculinization by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estrogens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in rats also involves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prostaglandin E2 (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PGE2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)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, a pro-inflammatory hormone, and microglia, the resident macrophages of the brain, which are present in larger quantities, especially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in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their activated form, in males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. </w:t>
            </w:r>
            <w:r w:rsidR="00096209" w:rsidRPr="001F28AF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This study aimed to 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assess the role of PGE2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in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</w:t>
            </w:r>
            <w:r w:rsidR="001E775F">
              <w:rPr>
                <w:rFonts w:ascii="Arial" w:hAnsi="Arial"/>
                <w:color w:val="000000" w:themeColor="text1"/>
                <w:sz w:val="18"/>
                <w:szCs w:val="18"/>
              </w:rPr>
              <w:t>brain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sexual differentiation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of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Japanese quail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096209" w:rsidRPr="00B40AAE">
              <w:rPr>
                <w:rFonts w:ascii="Arial" w:hAnsi="Arial"/>
                <w:color w:val="000000" w:themeColor="text1"/>
                <w:sz w:val="18"/>
                <w:szCs w:val="18"/>
              </w:rPr>
              <w:t>and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determine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whether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microglia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differ in number and morphology between sexes 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during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embryonic 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>development</w:t>
            </w:r>
            <w:r w:rsidR="001E775F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>,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as the larger amount of microglia in male rats</w:t>
            </w:r>
            <w:r w:rsidR="001E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75F">
              <w:rPr>
                <w:rFonts w:ascii="Arial" w:hAnsi="Arial" w:cs="Arial"/>
                <w:sz w:val="18"/>
                <w:szCs w:val="18"/>
              </w:rPr>
              <w:t>could suggest an inflammatory reaction due to a maternal immune response against the</w:t>
            </w:r>
            <w:r w:rsidR="001E775F">
              <w:rPr>
                <w:rFonts w:ascii="Arial" w:hAnsi="Arial" w:cs="Arial"/>
                <w:sz w:val="18"/>
                <w:szCs w:val="18"/>
              </w:rPr>
              <w:t xml:space="preserve"> male</w:t>
            </w:r>
            <w:bookmarkStart w:id="0" w:name="_GoBack"/>
            <w:bookmarkEnd w:id="0"/>
            <w:r w:rsidR="001E77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E775F">
              <w:rPr>
                <w:rFonts w:ascii="Arial" w:hAnsi="Arial" w:cs="Arial"/>
                <w:sz w:val="18"/>
                <w:szCs w:val="18"/>
              </w:rPr>
              <w:t>fetus</w:t>
            </w:r>
            <w:proofErr w:type="spellEnd"/>
            <w:r w:rsidR="001E775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 w:rsidR="001E775F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="001E775F">
              <w:rPr>
                <w:rFonts w:ascii="Arial" w:hAnsi="Arial" w:cs="Arial"/>
                <w:sz w:val="18"/>
                <w:szCs w:val="18"/>
              </w:rPr>
              <w:t>)</w:t>
            </w:r>
            <w:r w:rsidR="00096209" w:rsidRPr="001F6745">
              <w:rPr>
                <w:rFonts w:ascii="Arial" w:hAnsi="Arial"/>
                <w:color w:val="000000" w:themeColor="text1"/>
                <w:sz w:val="18"/>
                <w:szCs w:val="18"/>
              </w:rPr>
              <w:t>.</w:t>
            </w:r>
            <w:r w:rsidR="00096209" w:rsidRPr="00754C04">
              <w:rPr>
                <w:rFonts w:ascii="Arial" w:hAnsi="Arial" w:cstheme="minorBidi"/>
                <w:color w:val="000000" w:themeColor="text1"/>
                <w:sz w:val="18"/>
                <w:szCs w:val="18"/>
              </w:rPr>
              <w:t xml:space="preserve">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Our results showed that the inhibition of COX, the enzymes producing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prostanoids</w:t>
            </w:r>
            <w:proofErr w:type="spellEnd"/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such as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PGE2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, during the sensitive period to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estrogens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decreased copulation frequency in males but did not affect females. Regarding microglia, a sexual difference was found between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embryonic day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9 and 12 in the medial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preoptic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nucleus (POM)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with females possessing more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microglia, espe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cially of the activated form, than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males. Finally, PGE2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was detected during embryonic development and its levels increased with age without revealing any significant sex difference.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This absence of sex difference in </w:t>
            </w:r>
            <w:proofErr w:type="spellStart"/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preoptic</w:t>
            </w:r>
            <w:proofErr w:type="spellEnd"/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PGE2 levels thus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suggest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s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that a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nother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p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rostanoid</w:t>
            </w:r>
            <w:proofErr w:type="spellEnd"/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than PGE2 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may masculinize the brain and </w:t>
            </w:r>
            <w:proofErr w:type="spell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behavior</w:t>
            </w:r>
            <w:proofErr w:type="spell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of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quail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Furthermore, microglia could partake in </w:t>
            </w:r>
            <w:proofErr w:type="spellStart"/>
            <w:proofErr w:type="gramStart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>demasculinization</w:t>
            </w:r>
            <w:proofErr w:type="spellEnd"/>
            <w:proofErr w:type="gramEnd"/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as they 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are</w:t>
            </w:r>
            <w:r w:rsidR="00096209" w:rsidRPr="00D8235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more prevalent in females during the sensitive period</w:t>
            </w:r>
            <w:r w:rsidR="00096209">
              <w:rPr>
                <w:rFonts w:ascii="Arial" w:hAnsi="Arial"/>
                <w:color w:val="000000" w:themeColor="text1"/>
                <w:sz w:val="18"/>
                <w:szCs w:val="18"/>
              </w:rPr>
              <w:t>. Finally, as quail develop in an egg, it is likely that this sex difference does not stem from a maternal immune response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9A16A2" w14:paraId="2A9C65E6" w14:textId="77777777" w:rsidTr="001A08A9">
        <w:tc>
          <w:tcPr>
            <w:tcW w:w="8208" w:type="dxa"/>
            <w:tcBorders>
              <w:top w:val="single" w:sz="12" w:space="0" w:color="auto"/>
            </w:tcBorders>
          </w:tcPr>
          <w:p w14:paraId="10F5391A" w14:textId="77777777" w:rsidR="009A16A2" w:rsidRPr="002C5C38" w:rsidRDefault="009A16A2" w:rsidP="00DA5F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FDFF05" w14:textId="77777777" w:rsidR="00FE75A4" w:rsidRDefault="00FE75A4" w:rsidP="009A16A2"/>
    <w:p w14:paraId="472D542F" w14:textId="77777777" w:rsidR="00FA167B" w:rsidRDefault="00FA167B"/>
    <w:sectPr w:rsidR="00FA16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1248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A6E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6A9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34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26F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D45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02B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103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8AE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EC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18"/>
    <w:rsid w:val="00096209"/>
    <w:rsid w:val="001262B0"/>
    <w:rsid w:val="00144E12"/>
    <w:rsid w:val="001A08A9"/>
    <w:rsid w:val="001E775F"/>
    <w:rsid w:val="002650AC"/>
    <w:rsid w:val="0028306B"/>
    <w:rsid w:val="002C5C38"/>
    <w:rsid w:val="004121E3"/>
    <w:rsid w:val="00422F69"/>
    <w:rsid w:val="004323F3"/>
    <w:rsid w:val="004B6A0B"/>
    <w:rsid w:val="004E33BF"/>
    <w:rsid w:val="005842FA"/>
    <w:rsid w:val="00653FDB"/>
    <w:rsid w:val="006B1A0A"/>
    <w:rsid w:val="006C0B7B"/>
    <w:rsid w:val="006C1722"/>
    <w:rsid w:val="007D590E"/>
    <w:rsid w:val="00811D20"/>
    <w:rsid w:val="008B45F4"/>
    <w:rsid w:val="00902D3F"/>
    <w:rsid w:val="0094050F"/>
    <w:rsid w:val="009A16A2"/>
    <w:rsid w:val="00A63718"/>
    <w:rsid w:val="00A63A81"/>
    <w:rsid w:val="00A67C8D"/>
    <w:rsid w:val="00B357E0"/>
    <w:rsid w:val="00B8477F"/>
    <w:rsid w:val="00BE2129"/>
    <w:rsid w:val="00C301B6"/>
    <w:rsid w:val="00CB0249"/>
    <w:rsid w:val="00DA5FA1"/>
    <w:rsid w:val="00DE2E84"/>
    <w:rsid w:val="00E21F7D"/>
    <w:rsid w:val="00F13700"/>
    <w:rsid w:val="00F733FC"/>
    <w:rsid w:val="00FA167B"/>
    <w:rsid w:val="00FE75A4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D7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E12"/>
    <w:rPr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357E0"/>
  </w:style>
  <w:style w:type="paragraph" w:styleId="Corpsdetexte2">
    <w:name w:val="Body Text 2"/>
    <w:basedOn w:val="Normal"/>
    <w:rsid w:val="00B357E0"/>
  </w:style>
  <w:style w:type="character" w:styleId="Lienhypertexte">
    <w:name w:val="Hyperlink"/>
    <w:rsid w:val="001A08A9"/>
    <w:rPr>
      <w:color w:val="0000FF"/>
      <w:u w:val="single"/>
    </w:rPr>
  </w:style>
  <w:style w:type="character" w:styleId="Marquedannotation">
    <w:name w:val="annotation reference"/>
    <w:basedOn w:val="Policepardfaut"/>
    <w:uiPriority w:val="99"/>
    <w:unhideWhenUsed/>
    <w:rsid w:val="0009620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096209"/>
    <w:rPr>
      <w:rFonts w:asciiTheme="minorHAnsi" w:eastAsiaTheme="minorEastAsia" w:hAnsiTheme="minorHAnsi" w:cstheme="minorBidi"/>
      <w:sz w:val="24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096209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96209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096209"/>
    <w:rPr>
      <w:rFonts w:asciiTheme="minorHAnsi" w:eastAsiaTheme="minorEastAsia" w:hAnsiTheme="minorHAnsi" w:cstheme="minorBidi"/>
      <w:b/>
      <w:bCs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E12"/>
    <w:rPr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357E0"/>
  </w:style>
  <w:style w:type="paragraph" w:styleId="Corpsdetexte2">
    <w:name w:val="Body Text 2"/>
    <w:basedOn w:val="Normal"/>
    <w:rsid w:val="00B357E0"/>
  </w:style>
  <w:style w:type="character" w:styleId="Lienhypertexte">
    <w:name w:val="Hyperlink"/>
    <w:rsid w:val="001A08A9"/>
    <w:rPr>
      <w:color w:val="0000FF"/>
      <w:u w:val="single"/>
    </w:rPr>
  </w:style>
  <w:style w:type="character" w:styleId="Marquedannotation">
    <w:name w:val="annotation reference"/>
    <w:basedOn w:val="Policepardfaut"/>
    <w:uiPriority w:val="99"/>
    <w:unhideWhenUsed/>
    <w:rsid w:val="0009620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096209"/>
    <w:rPr>
      <w:rFonts w:asciiTheme="minorHAnsi" w:eastAsiaTheme="minorEastAsia" w:hAnsiTheme="minorHAnsi" w:cstheme="minorBidi"/>
      <w:sz w:val="24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096209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96209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096209"/>
    <w:rPr>
      <w:rFonts w:asciiTheme="minorHAnsi" w:eastAsiaTheme="minorEastAsia" w:hAnsiTheme="minorHAnsi" w:cstheme="minorBidi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2013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</vt:lpstr>
      <vt:lpstr>Template</vt:lpstr>
    </vt:vector>
  </TitlesOfParts>
  <Company/>
  <LinksUpToDate>false</LinksUpToDate>
  <CharactersWithSpaces>2374</CharactersWithSpaces>
  <SharedDoc>false</SharedDoc>
  <HLinks>
    <vt:vector size="6" baseType="variant"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mailto:wim.deferme@uhasselt.be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Kim Wilson</dc:creator>
  <cp:lastModifiedBy>Charlotte D.</cp:lastModifiedBy>
  <cp:revision>2</cp:revision>
  <cp:lastPrinted>2017-02-06T10:38:00Z</cp:lastPrinted>
  <dcterms:created xsi:type="dcterms:W3CDTF">2017-04-20T14:54:00Z</dcterms:created>
  <dcterms:modified xsi:type="dcterms:W3CDTF">2017-04-20T14:54:00Z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</Properties>
</file>