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5BE" w:rsidRDefault="00BB55BE" w:rsidP="007E511E">
      <w:r>
        <w:t xml:space="preserve">Nos patients cancéreux sont-ils déjà cachectiques lors de </w:t>
      </w:r>
      <w:r w:rsidR="008D4CFE">
        <w:t xml:space="preserve">la </w:t>
      </w:r>
      <w:r>
        <w:t>première évaluation nutritionnelle ?</w:t>
      </w:r>
    </w:p>
    <w:p w:rsidR="00507732" w:rsidRDefault="00D80E1D" w:rsidP="007E511E">
      <w:r>
        <w:br/>
      </w:r>
      <w:r w:rsidR="00507732">
        <w:t xml:space="preserve">C. Malherbe </w:t>
      </w:r>
      <w:r w:rsidR="00507732" w:rsidRPr="00507732">
        <w:rPr>
          <w:vertAlign w:val="superscript"/>
        </w:rPr>
        <w:t>1,*</w:t>
      </w:r>
      <w:r w:rsidR="00507732">
        <w:t xml:space="preserve">, A. Verbrugge </w:t>
      </w:r>
      <w:r w:rsidR="00507732" w:rsidRPr="00507732">
        <w:rPr>
          <w:vertAlign w:val="superscript"/>
        </w:rPr>
        <w:t>1</w:t>
      </w:r>
      <w:r w:rsidR="00507732">
        <w:t xml:space="preserve">, J. De Flines </w:t>
      </w:r>
      <w:r w:rsidR="00507732" w:rsidRPr="00507732">
        <w:rPr>
          <w:vertAlign w:val="superscript"/>
        </w:rPr>
        <w:t>2</w:t>
      </w:r>
      <w:r w:rsidR="008D4CFE">
        <w:t xml:space="preserve">, N. Paquot </w:t>
      </w:r>
      <w:r w:rsidR="008D4CFE" w:rsidRPr="00507732">
        <w:rPr>
          <w:vertAlign w:val="superscript"/>
        </w:rPr>
        <w:t>2</w:t>
      </w:r>
    </w:p>
    <w:p w:rsidR="00507732" w:rsidRDefault="00507732" w:rsidP="007E511E">
      <w:r w:rsidRPr="00507732">
        <w:rPr>
          <w:vertAlign w:val="superscript"/>
        </w:rPr>
        <w:t>1</w:t>
      </w:r>
      <w:r>
        <w:t xml:space="preserve"> Diététique, </w:t>
      </w:r>
      <w:r w:rsidRPr="00507732">
        <w:rPr>
          <w:vertAlign w:val="superscript"/>
        </w:rPr>
        <w:t>2</w:t>
      </w:r>
      <w:r>
        <w:t xml:space="preserve"> Diabétologie, nutrition et maladies métaboliques, CHU LIEGE, Belgique</w:t>
      </w:r>
      <w:r>
        <w:br/>
      </w:r>
    </w:p>
    <w:p w:rsidR="00EE753C" w:rsidRPr="00AB47DA" w:rsidRDefault="00EE753C" w:rsidP="007E511E">
      <w:pPr>
        <w:rPr>
          <w:b/>
          <w:color w:val="FF0000"/>
        </w:rPr>
      </w:pPr>
      <w:r w:rsidRPr="00AB47DA">
        <w:rPr>
          <w:b/>
          <w:color w:val="FF0000"/>
        </w:rPr>
        <w:t>Introduction</w:t>
      </w:r>
      <w:r w:rsidR="00F30FDF" w:rsidRPr="00AB47DA">
        <w:rPr>
          <w:b/>
          <w:color w:val="FF0000"/>
        </w:rPr>
        <w:t xml:space="preserve"> et but de l’étude</w:t>
      </w:r>
    </w:p>
    <w:p w:rsidR="00124B45" w:rsidRDefault="00703E3A" w:rsidP="007E511E">
      <w:r>
        <w:t xml:space="preserve">La prise en charge nutritionnelle du patient cancéreux s’intègre dans la cadre plus large des soins de support. Elle est efficace et bénéfique, tant sur la qualité de vie que sur la tolérance aux traitements, </w:t>
      </w:r>
      <w:r w:rsidR="00120081">
        <w:t xml:space="preserve">essentiellement </w:t>
      </w:r>
      <w:r>
        <w:t xml:space="preserve">quand le patient est </w:t>
      </w:r>
      <w:r w:rsidR="00120081">
        <w:t xml:space="preserve">au stade de </w:t>
      </w:r>
      <w:r w:rsidR="00126B43">
        <w:t>pré</w:t>
      </w:r>
      <w:r w:rsidR="007E511E">
        <w:t>-</w:t>
      </w:r>
      <w:r>
        <w:t>cache</w:t>
      </w:r>
      <w:r w:rsidR="00120081">
        <w:t>x</w:t>
      </w:r>
      <w:r>
        <w:t>i</w:t>
      </w:r>
      <w:r w:rsidR="00120081">
        <w:t>e</w:t>
      </w:r>
      <w:r>
        <w:t>.</w:t>
      </w:r>
      <w:r w:rsidR="00521BAF">
        <w:t xml:space="preserve"> </w:t>
      </w:r>
      <w:r w:rsidR="00EE753C">
        <w:t>N</w:t>
      </w:r>
      <w:r w:rsidR="00E46FF1">
        <w:t>ou</w:t>
      </w:r>
      <w:r w:rsidR="00EE753C">
        <w:t>s</w:t>
      </w:r>
      <w:r w:rsidR="00E46FF1">
        <w:t xml:space="preserve"> </w:t>
      </w:r>
      <w:r w:rsidR="00EE753C">
        <w:t xml:space="preserve">voulons </w:t>
      </w:r>
      <w:r w:rsidR="00E46FF1">
        <w:t>savoir si</w:t>
      </w:r>
      <w:r w:rsidR="00EE753C">
        <w:t>,</w:t>
      </w:r>
      <w:r w:rsidR="00E46FF1">
        <w:t xml:space="preserve"> </w:t>
      </w:r>
      <w:r w:rsidR="00FF5528">
        <w:t>lors de la première évaluation nutritionnelle</w:t>
      </w:r>
      <w:r w:rsidR="00EE753C">
        <w:t>,</w:t>
      </w:r>
      <w:r w:rsidR="00FF5528">
        <w:t xml:space="preserve"> </w:t>
      </w:r>
      <w:r w:rsidR="00EE753C">
        <w:t xml:space="preserve">nos </w:t>
      </w:r>
      <w:r w:rsidR="00E46FF1">
        <w:t xml:space="preserve">patients </w:t>
      </w:r>
      <w:r w:rsidR="00124B45">
        <w:t xml:space="preserve">cancéreux </w:t>
      </w:r>
      <w:r w:rsidR="00EE753C">
        <w:t>sont en état de pré</w:t>
      </w:r>
      <w:r w:rsidR="007E511E">
        <w:t>-</w:t>
      </w:r>
      <w:r w:rsidR="00EE753C">
        <w:t xml:space="preserve">cachexie ou </w:t>
      </w:r>
      <w:r w:rsidR="00124B45">
        <w:t xml:space="preserve">déjà </w:t>
      </w:r>
      <w:r w:rsidR="00EE753C">
        <w:t>en cachexie</w:t>
      </w:r>
      <w:r w:rsidR="007D4F05">
        <w:t xml:space="preserve"> afin d’améliorer nos pratiques nutritionnelles institutionnelles. </w:t>
      </w:r>
    </w:p>
    <w:p w:rsidR="002648FD" w:rsidRPr="00AB47DA" w:rsidRDefault="00D80E1D" w:rsidP="007E511E">
      <w:pPr>
        <w:rPr>
          <w:b/>
          <w:color w:val="FF0000"/>
        </w:rPr>
      </w:pPr>
      <w:r>
        <w:rPr>
          <w:b/>
          <w:color w:val="FF0000"/>
        </w:rPr>
        <w:br/>
      </w:r>
      <w:r w:rsidR="00EE753C" w:rsidRPr="00AB47DA">
        <w:rPr>
          <w:b/>
          <w:color w:val="FF0000"/>
        </w:rPr>
        <w:t>Matériel et méthodes</w:t>
      </w:r>
    </w:p>
    <w:p w:rsidR="00372A0D" w:rsidRDefault="001F6479" w:rsidP="007E511E">
      <w:r>
        <w:t>La première évaluation nutritionnelle, que nous réalisons chez un patient cancéreux, nous permet d’évoquer une dénutrition sévère ou modérée (</w:t>
      </w:r>
      <w:r w:rsidRPr="00EC13E6">
        <w:rPr>
          <w:i/>
        </w:rPr>
        <w:t>réf. SFNEP évaluation de l'état nutritionnel</w:t>
      </w:r>
      <w:r>
        <w:t xml:space="preserve">). Les critères cliniques que nous retenons sont : l’âge (&lt; ou </w:t>
      </w:r>
      <w:r w:rsidRPr="009A6D9A">
        <w:rPr>
          <w:u w:val="single"/>
        </w:rPr>
        <w:t>&gt;</w:t>
      </w:r>
      <w:r>
        <w:t xml:space="preserve"> 70 ans</w:t>
      </w:r>
      <w:r w:rsidR="007E511E">
        <w:t>)</w:t>
      </w:r>
      <w:r>
        <w:t>, le % de perte de poids à 1 ou à 6 mois et l'IMC. Le critère biologique est l’albuminémie en l’absence de syndrome inflammatoire.</w:t>
      </w:r>
      <w:r w:rsidRPr="00EE753C">
        <w:t xml:space="preserve"> </w:t>
      </w:r>
      <w:r w:rsidRPr="008C05F9">
        <w:t>Les résultats de cette évaluation nous aident à orienter et à personnaliser notre intervention nutritionnelle.</w:t>
      </w:r>
      <w:r>
        <w:t xml:space="preserve"> Le consensus international de cachexie cancéreuse [</w:t>
      </w:r>
      <w:r w:rsidRPr="00EC13E6">
        <w:rPr>
          <w:i/>
        </w:rPr>
        <w:t>Fearon et al. Lancet Oncol 2011 ;12 :489-95</w:t>
      </w:r>
      <w:r>
        <w:t>] permet de définir un état de pré</w:t>
      </w:r>
      <w:r w:rsidR="007E511E">
        <w:t>-</w:t>
      </w:r>
      <w:r>
        <w:t xml:space="preserve">cachexie (perte de poids </w:t>
      </w:r>
      <w:r w:rsidR="007E511E">
        <w:t>≤</w:t>
      </w:r>
      <w:r>
        <w:t>5%) ou un état de cachexie (perte de poids &gt;5% ou perte de poids &gt;2% et IMC &lt;20).</w:t>
      </w:r>
      <w:r w:rsidR="007E511E">
        <w:t xml:space="preserve"> </w:t>
      </w:r>
      <w:r w:rsidR="00130D03">
        <w:t>L'étude a été réalisée au CHU de Liège p</w:t>
      </w:r>
      <w:r w:rsidR="00DF4447">
        <w:t>endant le</w:t>
      </w:r>
      <w:r w:rsidR="00130D03">
        <w:t xml:space="preserve"> premier semestre </w:t>
      </w:r>
      <w:r w:rsidR="00DF4447">
        <w:t>2016</w:t>
      </w:r>
      <w:r w:rsidR="0062142A">
        <w:t>.</w:t>
      </w:r>
      <w:r w:rsidR="00521BAF">
        <w:t xml:space="preserve"> </w:t>
      </w:r>
      <w:r w:rsidR="0062142A">
        <w:t>L</w:t>
      </w:r>
      <w:r w:rsidR="00130D03">
        <w:t xml:space="preserve">es diététiciens ont </w:t>
      </w:r>
      <w:r w:rsidR="00372A0D">
        <w:t>encodé</w:t>
      </w:r>
      <w:r w:rsidR="007E511E">
        <w:t xml:space="preserve"> </w:t>
      </w:r>
      <w:r w:rsidR="00DF4447">
        <w:t xml:space="preserve">les résultats de </w:t>
      </w:r>
      <w:r w:rsidR="00372A0D">
        <w:t xml:space="preserve">la première évaluation nutritionnelle </w:t>
      </w:r>
      <w:r w:rsidR="00DF4447">
        <w:t>et l’état de pré</w:t>
      </w:r>
      <w:r w:rsidR="007E511E">
        <w:t>-</w:t>
      </w:r>
      <w:r w:rsidR="00DF4447">
        <w:t>cachexie ou de cachexie</w:t>
      </w:r>
      <w:r w:rsidR="008D4CFE">
        <w:t xml:space="preserve"> </w:t>
      </w:r>
      <w:r w:rsidR="00DF4447">
        <w:t xml:space="preserve">de patients </w:t>
      </w:r>
      <w:r w:rsidR="0062142A">
        <w:t xml:space="preserve">adultes </w:t>
      </w:r>
      <w:r w:rsidR="00A05947">
        <w:t>oncologiques</w:t>
      </w:r>
      <w:r w:rsidR="007E511E">
        <w:t xml:space="preserve"> </w:t>
      </w:r>
      <w:r w:rsidR="00A05947">
        <w:t>(tous types de cancers confondus)</w:t>
      </w:r>
      <w:r w:rsidR="0062142A">
        <w:t xml:space="preserve"> </w:t>
      </w:r>
      <w:r w:rsidR="00DF4447">
        <w:t>hospitalisés</w:t>
      </w:r>
      <w:r w:rsidR="00130D03">
        <w:t xml:space="preserve">, </w:t>
      </w:r>
      <w:r w:rsidR="00DF4447">
        <w:t>vus à l’hôpital de jour</w:t>
      </w:r>
      <w:r w:rsidR="00130D03">
        <w:t xml:space="preserve"> ou lors de consultations</w:t>
      </w:r>
      <w:r w:rsidR="00DF4447">
        <w:t>.</w:t>
      </w:r>
    </w:p>
    <w:p w:rsidR="008C05F9" w:rsidRDefault="00D80E1D" w:rsidP="007E511E">
      <w:r>
        <w:rPr>
          <w:b/>
          <w:color w:val="FF0000"/>
        </w:rPr>
        <w:br/>
      </w:r>
      <w:r w:rsidR="00EE753C" w:rsidRPr="00AB47DA">
        <w:rPr>
          <w:b/>
          <w:color w:val="FF0000"/>
        </w:rPr>
        <w:t>Résultats</w:t>
      </w:r>
      <w:r w:rsidR="00A40248">
        <w:rPr>
          <w:b/>
          <w:color w:val="FF0000"/>
        </w:rPr>
        <w:t xml:space="preserve"> et analyse statistique</w:t>
      </w:r>
      <w:r w:rsidR="00DF4447" w:rsidRPr="00AB47DA">
        <w:rPr>
          <w:b/>
          <w:color w:val="FF0000"/>
        </w:rPr>
        <w:br/>
      </w:r>
      <w:r w:rsidR="00DF4447">
        <w:t>Nous avons enregistré</w:t>
      </w:r>
      <w:r w:rsidR="0097158C">
        <w:t xml:space="preserve"> </w:t>
      </w:r>
      <w:r w:rsidR="0062142A">
        <w:t>29</w:t>
      </w:r>
      <w:r w:rsidR="00EF079A">
        <w:t>8</w:t>
      </w:r>
      <w:r w:rsidR="00AA1BA6">
        <w:t xml:space="preserve"> </w:t>
      </w:r>
      <w:r w:rsidR="0097158C">
        <w:t>patients</w:t>
      </w:r>
      <w:r w:rsidR="003A3499">
        <w:t xml:space="preserve"> : </w:t>
      </w:r>
      <w:r w:rsidR="00C253C4">
        <w:t>H</w:t>
      </w:r>
      <w:r w:rsidR="003A3499">
        <w:t xml:space="preserve">ommes n=197(66,1%) ; Femmes n=101(33,9%) ; IMC 23,8 </w:t>
      </w:r>
      <w:r w:rsidR="003A3499">
        <w:sym w:font="Symbol" w:char="F0B1"/>
      </w:r>
      <w:r w:rsidR="003A3499">
        <w:t xml:space="preserve"> 4,7 kg/m</w:t>
      </w:r>
      <w:r w:rsidR="003A3499" w:rsidRPr="003A3499">
        <w:rPr>
          <w:vertAlign w:val="superscript"/>
        </w:rPr>
        <w:t>2</w:t>
      </w:r>
      <w:r w:rsidR="003A3499">
        <w:rPr>
          <w:vertAlign w:val="superscript"/>
        </w:rPr>
        <w:t xml:space="preserve"> </w:t>
      </w:r>
      <w:r w:rsidR="003A3499">
        <w:t xml:space="preserve">; perte de poids 7,0 </w:t>
      </w:r>
      <w:r w:rsidR="003A3499">
        <w:sym w:font="Symbol" w:char="F0B1"/>
      </w:r>
      <w:r w:rsidR="003A3499">
        <w:t xml:space="preserve"> 5,9 kg (9,0 </w:t>
      </w:r>
      <w:r w:rsidR="003A3499">
        <w:sym w:font="Symbol" w:char="F0B1"/>
      </w:r>
      <w:r w:rsidR="003A3499">
        <w:t xml:space="preserve"> 7,0%).</w:t>
      </w:r>
      <w:r w:rsidR="00521BAF">
        <w:t xml:space="preserve"> </w:t>
      </w:r>
      <w:r w:rsidR="007E5E64">
        <w:t>Les patients étaient hospitalisés (50,7%), étaient à l’hôpital de jour (27,2%) ou ont été vus en consultation (22,1%).</w:t>
      </w:r>
      <w:r w:rsidR="00521BAF">
        <w:t xml:space="preserve"> </w:t>
      </w:r>
      <w:r w:rsidR="007E5E64">
        <w:t>Les patients ont été vus lors de l’annonce du diagnostic (21,5%), endéans le mois après l’annonce de celui-ci (16,1%), lors de leur traitement (59,8%), après leur traitement (1,9%) ou en rémission (0,8%).</w:t>
      </w:r>
      <w:r w:rsidR="00521BAF">
        <w:t xml:space="preserve"> </w:t>
      </w:r>
      <w:r w:rsidR="00402F5D">
        <w:t>Le</w:t>
      </w:r>
      <w:r>
        <w:t xml:space="preserve">s organes touchés par le cancer </w:t>
      </w:r>
      <w:r w:rsidR="00402F5D">
        <w:t>étai</w:t>
      </w:r>
      <w:r>
        <w:t>ent principalement : l’</w:t>
      </w:r>
      <w:r w:rsidR="00402F5D">
        <w:t xml:space="preserve">appareil digestif (38,3%), </w:t>
      </w:r>
      <w:r>
        <w:t>l’</w:t>
      </w:r>
      <w:r w:rsidR="00402F5D">
        <w:t>appareil re</w:t>
      </w:r>
      <w:r>
        <w:t>sp</w:t>
      </w:r>
      <w:r w:rsidR="00402F5D">
        <w:t xml:space="preserve">iratoire (17,4%), </w:t>
      </w:r>
      <w:r>
        <w:t xml:space="preserve">la </w:t>
      </w:r>
      <w:r w:rsidR="00402F5D">
        <w:t xml:space="preserve">tête et </w:t>
      </w:r>
      <w:r>
        <w:t xml:space="preserve">le </w:t>
      </w:r>
      <w:r w:rsidR="00402F5D">
        <w:t xml:space="preserve">cou (15,1%), </w:t>
      </w:r>
      <w:r>
        <w:t xml:space="preserve">et le </w:t>
      </w:r>
      <w:r w:rsidR="00402F5D">
        <w:t>système hématopoïétique (8,4%)</w:t>
      </w:r>
      <w:r>
        <w:t>.</w:t>
      </w:r>
      <w:r w:rsidR="00402F5D">
        <w:t xml:space="preserve"> </w:t>
      </w:r>
      <w:r w:rsidR="003A3499">
        <w:t xml:space="preserve">La </w:t>
      </w:r>
      <w:r w:rsidR="00DF4447">
        <w:t>première évaluation nutritionnelle</w:t>
      </w:r>
      <w:r w:rsidR="0035583F">
        <w:t xml:space="preserve"> </w:t>
      </w:r>
      <w:r w:rsidR="003A3499">
        <w:t xml:space="preserve">donne </w:t>
      </w:r>
      <w:r w:rsidR="0035583F">
        <w:t xml:space="preserve">les résultats suivants : </w:t>
      </w:r>
      <w:r w:rsidR="00EE43DE">
        <w:t>6</w:t>
      </w:r>
      <w:r w:rsidR="00E01674">
        <w:t>7</w:t>
      </w:r>
      <w:r w:rsidR="00BD21F8">
        <w:t xml:space="preserve"> patients </w:t>
      </w:r>
      <w:r w:rsidR="00EE43DE">
        <w:t>(</w:t>
      </w:r>
      <w:r w:rsidR="00E01674">
        <w:t>22</w:t>
      </w:r>
      <w:r w:rsidR="00EE43DE">
        <w:t>,</w:t>
      </w:r>
      <w:r w:rsidR="00E01674">
        <w:t>5</w:t>
      </w:r>
      <w:r w:rsidR="00EE43DE">
        <w:t>%)</w:t>
      </w:r>
      <w:r w:rsidR="006E3CF7">
        <w:t xml:space="preserve"> sont dénutris sévères</w:t>
      </w:r>
      <w:r w:rsidR="00E01674">
        <w:t>,</w:t>
      </w:r>
      <w:r w:rsidR="00521BAF">
        <w:t xml:space="preserve"> </w:t>
      </w:r>
      <w:r w:rsidR="00E01674">
        <w:t>120 patients</w:t>
      </w:r>
      <w:r w:rsidR="006E3CF7">
        <w:t xml:space="preserve"> (40,3%) sont dénutris modérés</w:t>
      </w:r>
      <w:r w:rsidR="00126B43">
        <w:t xml:space="preserve"> et </w:t>
      </w:r>
      <w:r w:rsidR="00EF5D9A">
        <w:t xml:space="preserve">111 patients </w:t>
      </w:r>
      <w:r w:rsidR="006E3CF7">
        <w:t>(3</w:t>
      </w:r>
      <w:r w:rsidR="00EF5D9A">
        <w:t>7</w:t>
      </w:r>
      <w:r w:rsidR="006E3CF7">
        <w:t>,</w:t>
      </w:r>
      <w:r w:rsidR="00EF5D9A">
        <w:t>2</w:t>
      </w:r>
      <w:r w:rsidR="006E3CF7">
        <w:t xml:space="preserve">%) </w:t>
      </w:r>
      <w:r w:rsidR="00EF5D9A">
        <w:t xml:space="preserve">ne sont pas dénutris selon les critères définis </w:t>
      </w:r>
      <w:r w:rsidR="001E1A63">
        <w:t xml:space="preserve">par </w:t>
      </w:r>
      <w:r w:rsidR="006E3CF7">
        <w:t>la SFNEP</w:t>
      </w:r>
      <w:r w:rsidR="00EF5D9A">
        <w:t>.</w:t>
      </w:r>
    </w:p>
    <w:p w:rsidR="00EF5D9A" w:rsidRDefault="00EF5D9A" w:rsidP="008C05F9">
      <w:pPr>
        <w:jc w:val="both"/>
      </w:pPr>
    </w:p>
    <w:tbl>
      <w:tblPr>
        <w:tblStyle w:val="Grilledutableau"/>
        <w:tblW w:w="0" w:type="auto"/>
        <w:tblLook w:val="04A0"/>
      </w:tblPr>
      <w:tblGrid>
        <w:gridCol w:w="2660"/>
        <w:gridCol w:w="1582"/>
        <w:gridCol w:w="2121"/>
        <w:gridCol w:w="2121"/>
        <w:gridCol w:w="2122"/>
      </w:tblGrid>
      <w:tr w:rsidR="00EF5D9A" w:rsidTr="00EF5D9A">
        <w:tc>
          <w:tcPr>
            <w:tcW w:w="2660" w:type="dxa"/>
          </w:tcPr>
          <w:p w:rsidR="00EF5D9A" w:rsidRDefault="00EF5D9A"/>
        </w:tc>
        <w:tc>
          <w:tcPr>
            <w:tcW w:w="3703" w:type="dxa"/>
            <w:gridSpan w:val="2"/>
          </w:tcPr>
          <w:p w:rsidR="00EF5D9A" w:rsidRDefault="00EF5D9A" w:rsidP="007E511E">
            <w:pPr>
              <w:jc w:val="center"/>
            </w:pPr>
            <w:r>
              <w:t>Pré</w:t>
            </w:r>
            <w:r w:rsidR="007E511E">
              <w:t>-</w:t>
            </w:r>
            <w:r>
              <w:t>cachexie</w:t>
            </w:r>
          </w:p>
        </w:tc>
        <w:tc>
          <w:tcPr>
            <w:tcW w:w="4243" w:type="dxa"/>
            <w:gridSpan w:val="2"/>
          </w:tcPr>
          <w:p w:rsidR="00EF5D9A" w:rsidRDefault="00EF5D9A" w:rsidP="00EF5D9A">
            <w:pPr>
              <w:jc w:val="center"/>
            </w:pPr>
            <w:r>
              <w:t>Cachexie</w:t>
            </w:r>
          </w:p>
        </w:tc>
      </w:tr>
      <w:tr w:rsidR="00EF5D9A" w:rsidTr="00EF5D9A">
        <w:tc>
          <w:tcPr>
            <w:tcW w:w="2660" w:type="dxa"/>
          </w:tcPr>
          <w:p w:rsidR="00EF5D9A" w:rsidRDefault="00EF5D9A"/>
        </w:tc>
        <w:tc>
          <w:tcPr>
            <w:tcW w:w="1582" w:type="dxa"/>
          </w:tcPr>
          <w:p w:rsidR="00EF5D9A" w:rsidRDefault="00EF5D9A" w:rsidP="00EF5D9A">
            <w:pPr>
              <w:jc w:val="center"/>
            </w:pPr>
            <w:r>
              <w:t>n</w:t>
            </w:r>
          </w:p>
        </w:tc>
        <w:tc>
          <w:tcPr>
            <w:tcW w:w="2121" w:type="dxa"/>
          </w:tcPr>
          <w:p w:rsidR="00EF5D9A" w:rsidRDefault="00EF5D9A" w:rsidP="00EF5D9A">
            <w:pPr>
              <w:jc w:val="center"/>
            </w:pPr>
            <w:r>
              <w:t>%</w:t>
            </w:r>
          </w:p>
        </w:tc>
        <w:tc>
          <w:tcPr>
            <w:tcW w:w="2121" w:type="dxa"/>
          </w:tcPr>
          <w:p w:rsidR="00EF5D9A" w:rsidRDefault="001E1A63" w:rsidP="001E1A63">
            <w:pPr>
              <w:jc w:val="center"/>
            </w:pPr>
            <w:r>
              <w:t>n</w:t>
            </w:r>
          </w:p>
        </w:tc>
        <w:tc>
          <w:tcPr>
            <w:tcW w:w="2122" w:type="dxa"/>
          </w:tcPr>
          <w:p w:rsidR="00EF5D9A" w:rsidRDefault="00EF5D9A" w:rsidP="00EF5D9A">
            <w:pPr>
              <w:jc w:val="center"/>
            </w:pPr>
            <w:r>
              <w:t>%</w:t>
            </w:r>
          </w:p>
        </w:tc>
      </w:tr>
      <w:tr w:rsidR="00EF5D9A" w:rsidTr="00EF5D9A">
        <w:tc>
          <w:tcPr>
            <w:tcW w:w="2660" w:type="dxa"/>
          </w:tcPr>
          <w:p w:rsidR="00EF5D9A" w:rsidRDefault="00EF5D9A">
            <w:r>
              <w:t>Dénutrition sévère</w:t>
            </w:r>
          </w:p>
        </w:tc>
        <w:tc>
          <w:tcPr>
            <w:tcW w:w="1582" w:type="dxa"/>
          </w:tcPr>
          <w:p w:rsidR="00EF5D9A" w:rsidRDefault="00EF5D9A" w:rsidP="00EF5D9A">
            <w:pPr>
              <w:jc w:val="center"/>
            </w:pPr>
            <w:r>
              <w:t>5</w:t>
            </w:r>
          </w:p>
        </w:tc>
        <w:tc>
          <w:tcPr>
            <w:tcW w:w="2121" w:type="dxa"/>
          </w:tcPr>
          <w:p w:rsidR="00EF5D9A" w:rsidRDefault="00EF5D9A" w:rsidP="00EF5D9A">
            <w:pPr>
              <w:jc w:val="center"/>
            </w:pPr>
            <w:r>
              <w:t>5,4</w:t>
            </w:r>
          </w:p>
        </w:tc>
        <w:tc>
          <w:tcPr>
            <w:tcW w:w="2121" w:type="dxa"/>
          </w:tcPr>
          <w:p w:rsidR="00EF5D9A" w:rsidRDefault="00EF5D9A" w:rsidP="00EF5D9A">
            <w:pPr>
              <w:jc w:val="center"/>
            </w:pPr>
            <w:r>
              <w:t>62</w:t>
            </w:r>
          </w:p>
        </w:tc>
        <w:tc>
          <w:tcPr>
            <w:tcW w:w="2122" w:type="dxa"/>
          </w:tcPr>
          <w:p w:rsidR="00EF5D9A" w:rsidRDefault="00EF5D9A" w:rsidP="00EF5D9A">
            <w:pPr>
              <w:jc w:val="center"/>
            </w:pPr>
            <w:r>
              <w:t>30,1</w:t>
            </w:r>
          </w:p>
        </w:tc>
      </w:tr>
      <w:tr w:rsidR="00EF5D9A" w:rsidTr="00EF5D9A">
        <w:tc>
          <w:tcPr>
            <w:tcW w:w="2660" w:type="dxa"/>
          </w:tcPr>
          <w:p w:rsidR="00EF5D9A" w:rsidRDefault="00EF5D9A" w:rsidP="00EF5D9A">
            <w:r>
              <w:t>Dénutrition modérée</w:t>
            </w:r>
          </w:p>
        </w:tc>
        <w:tc>
          <w:tcPr>
            <w:tcW w:w="1582" w:type="dxa"/>
          </w:tcPr>
          <w:p w:rsidR="00EF5D9A" w:rsidRDefault="00EF5D9A" w:rsidP="00EF5D9A">
            <w:pPr>
              <w:jc w:val="center"/>
            </w:pPr>
            <w:r>
              <w:t>10</w:t>
            </w:r>
          </w:p>
        </w:tc>
        <w:tc>
          <w:tcPr>
            <w:tcW w:w="2121" w:type="dxa"/>
          </w:tcPr>
          <w:p w:rsidR="00EF5D9A" w:rsidRDefault="00EF5D9A" w:rsidP="00EF5D9A">
            <w:pPr>
              <w:jc w:val="center"/>
            </w:pPr>
            <w:r>
              <w:t>10,9</w:t>
            </w:r>
          </w:p>
        </w:tc>
        <w:tc>
          <w:tcPr>
            <w:tcW w:w="2121" w:type="dxa"/>
          </w:tcPr>
          <w:p w:rsidR="00EF5D9A" w:rsidRDefault="00EF5D9A" w:rsidP="00EF5D9A">
            <w:pPr>
              <w:jc w:val="center"/>
            </w:pPr>
            <w:r>
              <w:t>110</w:t>
            </w:r>
          </w:p>
        </w:tc>
        <w:tc>
          <w:tcPr>
            <w:tcW w:w="2122" w:type="dxa"/>
          </w:tcPr>
          <w:p w:rsidR="00EF5D9A" w:rsidRDefault="00EF5D9A" w:rsidP="00EF5D9A">
            <w:pPr>
              <w:jc w:val="center"/>
            </w:pPr>
            <w:r>
              <w:t>53,4</w:t>
            </w:r>
          </w:p>
        </w:tc>
      </w:tr>
      <w:tr w:rsidR="00EF5D9A" w:rsidTr="00EF5D9A">
        <w:tc>
          <w:tcPr>
            <w:tcW w:w="2660" w:type="dxa"/>
          </w:tcPr>
          <w:p w:rsidR="00EF5D9A" w:rsidRDefault="00EF5D9A">
            <w:r>
              <w:t>Non dénutris</w:t>
            </w:r>
          </w:p>
        </w:tc>
        <w:tc>
          <w:tcPr>
            <w:tcW w:w="1582" w:type="dxa"/>
          </w:tcPr>
          <w:p w:rsidR="00EF5D9A" w:rsidRDefault="00EF5D9A" w:rsidP="00EF5D9A">
            <w:pPr>
              <w:jc w:val="center"/>
            </w:pPr>
            <w:r>
              <w:t>77</w:t>
            </w:r>
          </w:p>
        </w:tc>
        <w:tc>
          <w:tcPr>
            <w:tcW w:w="2121" w:type="dxa"/>
          </w:tcPr>
          <w:p w:rsidR="00EF5D9A" w:rsidRDefault="00EF5D9A" w:rsidP="00EF5D9A">
            <w:pPr>
              <w:jc w:val="center"/>
            </w:pPr>
            <w:r>
              <w:t>83,7</w:t>
            </w:r>
          </w:p>
        </w:tc>
        <w:tc>
          <w:tcPr>
            <w:tcW w:w="2121" w:type="dxa"/>
          </w:tcPr>
          <w:p w:rsidR="00EF5D9A" w:rsidRDefault="00EF5D9A" w:rsidP="00EF5D9A">
            <w:pPr>
              <w:jc w:val="center"/>
            </w:pPr>
            <w:r>
              <w:t>34</w:t>
            </w:r>
          </w:p>
        </w:tc>
        <w:tc>
          <w:tcPr>
            <w:tcW w:w="2122" w:type="dxa"/>
          </w:tcPr>
          <w:p w:rsidR="00EF5D9A" w:rsidRDefault="00EF5D9A" w:rsidP="00EF5D9A">
            <w:pPr>
              <w:jc w:val="center"/>
            </w:pPr>
            <w:r>
              <w:t>16,5</w:t>
            </w:r>
          </w:p>
        </w:tc>
      </w:tr>
      <w:tr w:rsidR="00EF5D9A" w:rsidTr="00EF5D9A">
        <w:tc>
          <w:tcPr>
            <w:tcW w:w="2660" w:type="dxa"/>
          </w:tcPr>
          <w:p w:rsidR="00EF5D9A" w:rsidRDefault="00521BAF">
            <w:r>
              <w:t>T</w:t>
            </w:r>
            <w:r w:rsidR="00EF5D9A">
              <w:t>otal</w:t>
            </w:r>
          </w:p>
        </w:tc>
        <w:tc>
          <w:tcPr>
            <w:tcW w:w="1582" w:type="dxa"/>
          </w:tcPr>
          <w:p w:rsidR="00EF5D9A" w:rsidRDefault="00EF5D9A" w:rsidP="00EF5D9A">
            <w:pPr>
              <w:jc w:val="center"/>
            </w:pPr>
            <w:r>
              <w:t>92</w:t>
            </w:r>
          </w:p>
        </w:tc>
        <w:tc>
          <w:tcPr>
            <w:tcW w:w="2121" w:type="dxa"/>
          </w:tcPr>
          <w:p w:rsidR="00EF5D9A" w:rsidRDefault="00EF5D9A" w:rsidP="00EF5D9A">
            <w:pPr>
              <w:jc w:val="center"/>
            </w:pPr>
            <w:r>
              <w:t>100</w:t>
            </w:r>
          </w:p>
        </w:tc>
        <w:tc>
          <w:tcPr>
            <w:tcW w:w="2121" w:type="dxa"/>
          </w:tcPr>
          <w:p w:rsidR="00EF5D9A" w:rsidRDefault="00EF5D9A" w:rsidP="00EF5D9A">
            <w:pPr>
              <w:jc w:val="center"/>
            </w:pPr>
            <w:r>
              <w:t>206</w:t>
            </w:r>
          </w:p>
        </w:tc>
        <w:tc>
          <w:tcPr>
            <w:tcW w:w="2122" w:type="dxa"/>
          </w:tcPr>
          <w:p w:rsidR="00EF5D9A" w:rsidRDefault="00EF5D9A" w:rsidP="00EF5D9A">
            <w:pPr>
              <w:jc w:val="center"/>
            </w:pPr>
            <w:r>
              <w:t>100</w:t>
            </w:r>
          </w:p>
        </w:tc>
      </w:tr>
    </w:tbl>
    <w:p w:rsidR="00EE753C" w:rsidRPr="00AB47DA" w:rsidRDefault="00EE43DE" w:rsidP="00EF5D9A">
      <w:pPr>
        <w:rPr>
          <w:b/>
          <w:color w:val="FF0000"/>
        </w:rPr>
      </w:pPr>
      <w:r>
        <w:br/>
      </w:r>
      <w:r w:rsidR="00EE753C" w:rsidRPr="00AB47DA">
        <w:rPr>
          <w:b/>
          <w:color w:val="FF0000"/>
        </w:rPr>
        <w:t>Conclusions</w:t>
      </w:r>
    </w:p>
    <w:p w:rsidR="00A83A87" w:rsidRDefault="0035583F" w:rsidP="005450B8">
      <w:r>
        <w:t>Nous</w:t>
      </w:r>
      <w:r w:rsidR="00CA7072">
        <w:t xml:space="preserve"> </w:t>
      </w:r>
      <w:r>
        <w:t>constatons</w:t>
      </w:r>
      <w:r w:rsidR="00CA7072">
        <w:t xml:space="preserve"> </w:t>
      </w:r>
      <w:r w:rsidR="00EF5D9A">
        <w:t xml:space="preserve">dans le groupe non dénutris </w:t>
      </w:r>
      <w:r>
        <w:t xml:space="preserve">un nombre </w:t>
      </w:r>
      <w:r w:rsidR="009A6962">
        <w:t xml:space="preserve">élevé de </w:t>
      </w:r>
      <w:r>
        <w:t xml:space="preserve">patients </w:t>
      </w:r>
      <w:r w:rsidR="00BB55BE">
        <w:t xml:space="preserve">cancéreux </w:t>
      </w:r>
      <w:r w:rsidR="009A6962">
        <w:t>présentant déjà un état de pré</w:t>
      </w:r>
      <w:r w:rsidR="007E511E">
        <w:t>-</w:t>
      </w:r>
      <w:r>
        <w:t>cache</w:t>
      </w:r>
      <w:r w:rsidR="009A6962">
        <w:t>xie ou de cachexie.</w:t>
      </w:r>
      <w:r w:rsidR="00521BAF">
        <w:t xml:space="preserve"> </w:t>
      </w:r>
      <w:r w:rsidR="009A6962">
        <w:t>Au vu de ces résultats, nous pensons qu’il est intéressant d’intégrer la notion de pré ou de cachexie lors de notre évaluation nutritionnelle.</w:t>
      </w:r>
      <w:r w:rsidR="00521BAF">
        <w:t xml:space="preserve"> Sachant que c’est essentiellement au stade de pré</w:t>
      </w:r>
      <w:r w:rsidR="00A03DC7">
        <w:t>-</w:t>
      </w:r>
      <w:r w:rsidR="00521BAF">
        <w:t xml:space="preserve">cachexie que l’intervention nutritionnelle est la plus efficiente, </w:t>
      </w:r>
      <w:r w:rsidR="00BD21F8">
        <w:t>c</w:t>
      </w:r>
      <w:r w:rsidR="00BB55BE">
        <w:t xml:space="preserve">ette étude nous </w:t>
      </w:r>
      <w:r w:rsidR="00AA1BA6">
        <w:t xml:space="preserve">montre </w:t>
      </w:r>
      <w:r w:rsidR="00521BAF">
        <w:t xml:space="preserve">l’importance </w:t>
      </w:r>
      <w:r w:rsidR="00AA1BA6">
        <w:t xml:space="preserve">de sensibiliser </w:t>
      </w:r>
      <w:r w:rsidR="00BB55BE">
        <w:t xml:space="preserve">d’avantage les soignants </w:t>
      </w:r>
      <w:r w:rsidR="00521BAF">
        <w:t>au fait qu’un patient non dénutri peu</w:t>
      </w:r>
      <w:r w:rsidR="00126B43">
        <w:t>t déjà présenter un état de pré</w:t>
      </w:r>
      <w:r w:rsidR="00A03DC7">
        <w:t>-</w:t>
      </w:r>
      <w:r w:rsidR="00521BAF">
        <w:t xml:space="preserve">cachexie ou même de cachexie. Il sera dès lors essentiel de débuter une prise en charge nutritionnelle adaptée </w:t>
      </w:r>
      <w:r w:rsidR="00D06368">
        <w:t xml:space="preserve">le plus rapidement possible après l’annonce du diagnostic et </w:t>
      </w:r>
      <w:r w:rsidR="00A03DC7">
        <w:t xml:space="preserve">lors de </w:t>
      </w:r>
      <w:r w:rsidR="00D06368">
        <w:t>la décision du traitement anticancéreux.</w:t>
      </w:r>
      <w:r w:rsidR="00BB55BE">
        <w:t xml:space="preserve"> </w:t>
      </w:r>
      <w:r w:rsidR="00CA7072">
        <w:t xml:space="preserve"> </w:t>
      </w:r>
      <w:r>
        <w:t xml:space="preserve"> </w:t>
      </w:r>
    </w:p>
    <w:p w:rsidR="00A40248" w:rsidRDefault="00A40248" w:rsidP="005450B8"/>
    <w:p w:rsidR="00A40248" w:rsidRDefault="00A40248" w:rsidP="005450B8"/>
    <w:p w:rsidR="00A40248" w:rsidRDefault="00A40248" w:rsidP="005450B8"/>
    <w:p w:rsidR="00A40248" w:rsidRDefault="00A40248" w:rsidP="005450B8"/>
    <w:p w:rsidR="00A40248" w:rsidRDefault="00A40248" w:rsidP="005450B8"/>
    <w:sectPr w:rsidR="00A40248" w:rsidSect="00BA1F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457ED"/>
    <w:multiLevelType w:val="multilevel"/>
    <w:tmpl w:val="D3B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hyphenationZone w:val="425"/>
  <w:drawingGridHorizontalSpacing w:val="110"/>
  <w:displayHorizontalDrawingGridEvery w:val="2"/>
  <w:characterSpacingControl w:val="doNotCompress"/>
  <w:compat/>
  <w:rsids>
    <w:rsidRoot w:val="00A03F99"/>
    <w:rsid w:val="00054C83"/>
    <w:rsid w:val="000757D4"/>
    <w:rsid w:val="000D10F2"/>
    <w:rsid w:val="000F48E6"/>
    <w:rsid w:val="00120081"/>
    <w:rsid w:val="00124B45"/>
    <w:rsid w:val="00126B43"/>
    <w:rsid w:val="00130D03"/>
    <w:rsid w:val="00137649"/>
    <w:rsid w:val="001423BA"/>
    <w:rsid w:val="00160307"/>
    <w:rsid w:val="001E1A63"/>
    <w:rsid w:val="001F6479"/>
    <w:rsid w:val="00254743"/>
    <w:rsid w:val="002648FD"/>
    <w:rsid w:val="00306F6F"/>
    <w:rsid w:val="0035583F"/>
    <w:rsid w:val="00372A0D"/>
    <w:rsid w:val="003A3499"/>
    <w:rsid w:val="003B0273"/>
    <w:rsid w:val="00402F5D"/>
    <w:rsid w:val="004F3399"/>
    <w:rsid w:val="00507732"/>
    <w:rsid w:val="00521BAF"/>
    <w:rsid w:val="005450B8"/>
    <w:rsid w:val="0062142A"/>
    <w:rsid w:val="006E3CF7"/>
    <w:rsid w:val="006E579E"/>
    <w:rsid w:val="00703E3A"/>
    <w:rsid w:val="007D4F05"/>
    <w:rsid w:val="007E511E"/>
    <w:rsid w:val="007E5E64"/>
    <w:rsid w:val="008C05F9"/>
    <w:rsid w:val="008C645F"/>
    <w:rsid w:val="008D4CFE"/>
    <w:rsid w:val="00901CAB"/>
    <w:rsid w:val="00940571"/>
    <w:rsid w:val="0097158C"/>
    <w:rsid w:val="009A6962"/>
    <w:rsid w:val="009A6D9A"/>
    <w:rsid w:val="009F71FC"/>
    <w:rsid w:val="00A03DC7"/>
    <w:rsid w:val="00A03F99"/>
    <w:rsid w:val="00A05947"/>
    <w:rsid w:val="00A35AFC"/>
    <w:rsid w:val="00A40248"/>
    <w:rsid w:val="00A83A87"/>
    <w:rsid w:val="00AA1BA6"/>
    <w:rsid w:val="00AB47DA"/>
    <w:rsid w:val="00AC4780"/>
    <w:rsid w:val="00B16AE3"/>
    <w:rsid w:val="00B312B0"/>
    <w:rsid w:val="00B72159"/>
    <w:rsid w:val="00B722E8"/>
    <w:rsid w:val="00B853C5"/>
    <w:rsid w:val="00BA1FD4"/>
    <w:rsid w:val="00BB55BE"/>
    <w:rsid w:val="00BD21F8"/>
    <w:rsid w:val="00BE5233"/>
    <w:rsid w:val="00BF087E"/>
    <w:rsid w:val="00C253C4"/>
    <w:rsid w:val="00CA0D5A"/>
    <w:rsid w:val="00CA7072"/>
    <w:rsid w:val="00CB1157"/>
    <w:rsid w:val="00CB4C28"/>
    <w:rsid w:val="00CD4D28"/>
    <w:rsid w:val="00CE5F9F"/>
    <w:rsid w:val="00CF3693"/>
    <w:rsid w:val="00D06368"/>
    <w:rsid w:val="00D5008C"/>
    <w:rsid w:val="00D73639"/>
    <w:rsid w:val="00D80E1D"/>
    <w:rsid w:val="00D95FF9"/>
    <w:rsid w:val="00DE08DA"/>
    <w:rsid w:val="00DE1428"/>
    <w:rsid w:val="00DF3ABE"/>
    <w:rsid w:val="00DF4447"/>
    <w:rsid w:val="00E01674"/>
    <w:rsid w:val="00E453A7"/>
    <w:rsid w:val="00E46FF1"/>
    <w:rsid w:val="00E640C9"/>
    <w:rsid w:val="00EA52C5"/>
    <w:rsid w:val="00EC13E6"/>
    <w:rsid w:val="00EE43DE"/>
    <w:rsid w:val="00EE753C"/>
    <w:rsid w:val="00EF079A"/>
    <w:rsid w:val="00EF5D9A"/>
    <w:rsid w:val="00F159E6"/>
    <w:rsid w:val="00F30FDF"/>
    <w:rsid w:val="00F63F23"/>
    <w:rsid w:val="00FF4F1E"/>
    <w:rsid w:val="00FF552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C9"/>
    <w:rPr>
      <w:rFonts w:ascii="Arial" w:hAnsi="Arial" w:cs="Arial"/>
      <w:sz w:val="22"/>
      <w:szCs w:val="22"/>
      <w:lang w:eastAsia="fr-FR" w:bidi="he-IL"/>
    </w:rPr>
  </w:style>
  <w:style w:type="paragraph" w:styleId="Titre2">
    <w:name w:val="heading 2"/>
    <w:basedOn w:val="Normal"/>
    <w:link w:val="Titre2Car"/>
    <w:uiPriority w:val="9"/>
    <w:qFormat/>
    <w:rsid w:val="00A40248"/>
    <w:pPr>
      <w:spacing w:before="100" w:beforeAutospacing="1" w:after="100" w:afterAutospacing="1"/>
      <w:outlineLvl w:val="1"/>
    </w:pPr>
    <w:rPr>
      <w:rFonts w:ascii="Times New Roman" w:hAnsi="Times New Roman" w:cs="Times New Roman"/>
      <w:b/>
      <w:bCs/>
      <w:sz w:val="36"/>
      <w:szCs w:val="36"/>
      <w:lang w:eastAsia="fr-BE"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640C9"/>
    <w:rPr>
      <w:b/>
      <w:bCs/>
    </w:rPr>
  </w:style>
  <w:style w:type="character" w:styleId="Accentuation">
    <w:name w:val="Emphasis"/>
    <w:basedOn w:val="Policepardfaut"/>
    <w:uiPriority w:val="20"/>
    <w:qFormat/>
    <w:rsid w:val="00E640C9"/>
    <w:rPr>
      <w:i/>
      <w:iCs/>
    </w:rPr>
  </w:style>
  <w:style w:type="paragraph" w:styleId="Sansinterligne">
    <w:name w:val="No Spacing"/>
    <w:uiPriority w:val="1"/>
    <w:qFormat/>
    <w:rsid w:val="00E640C9"/>
    <w:rPr>
      <w:rFonts w:ascii="Arial" w:hAnsi="Arial" w:cs="Arial"/>
      <w:sz w:val="22"/>
      <w:szCs w:val="22"/>
      <w:lang w:val="en-GB" w:eastAsia="fr-FR" w:bidi="he-IL"/>
    </w:rPr>
  </w:style>
  <w:style w:type="paragraph" w:styleId="Citation">
    <w:name w:val="Quote"/>
    <w:basedOn w:val="Normal"/>
    <w:next w:val="Normal"/>
    <w:link w:val="CitationCar"/>
    <w:uiPriority w:val="29"/>
    <w:qFormat/>
    <w:rsid w:val="00E640C9"/>
    <w:rPr>
      <w:i/>
      <w:iCs/>
      <w:color w:val="000000" w:themeColor="text1"/>
    </w:rPr>
  </w:style>
  <w:style w:type="character" w:customStyle="1" w:styleId="CitationCar">
    <w:name w:val="Citation Car"/>
    <w:basedOn w:val="Policepardfaut"/>
    <w:link w:val="Citation"/>
    <w:uiPriority w:val="29"/>
    <w:rsid w:val="00E640C9"/>
    <w:rPr>
      <w:rFonts w:ascii="Arial" w:hAnsi="Arial" w:cs="Arial"/>
      <w:i/>
      <w:iCs/>
      <w:color w:val="000000" w:themeColor="text1"/>
      <w:sz w:val="22"/>
      <w:szCs w:val="22"/>
      <w:lang w:val="en-GB" w:eastAsia="fr-FR" w:bidi="he-IL"/>
    </w:rPr>
  </w:style>
  <w:style w:type="character" w:styleId="Emphaseple">
    <w:name w:val="Subtle Emphasis"/>
    <w:basedOn w:val="Policepardfaut"/>
    <w:uiPriority w:val="19"/>
    <w:qFormat/>
    <w:rsid w:val="00E640C9"/>
    <w:rPr>
      <w:i/>
      <w:iCs/>
      <w:color w:val="808080" w:themeColor="text1" w:themeTint="7F"/>
    </w:rPr>
  </w:style>
  <w:style w:type="character" w:styleId="Emphaseintense">
    <w:name w:val="Intense Emphasis"/>
    <w:basedOn w:val="Policepardfaut"/>
    <w:uiPriority w:val="21"/>
    <w:qFormat/>
    <w:rsid w:val="00E640C9"/>
    <w:rPr>
      <w:b/>
      <w:bCs/>
      <w:i/>
      <w:iCs/>
      <w:color w:val="4F81BD" w:themeColor="accent1"/>
    </w:rPr>
  </w:style>
  <w:style w:type="table" w:styleId="Grilledutableau">
    <w:name w:val="Table Grid"/>
    <w:basedOn w:val="TableauNormal"/>
    <w:uiPriority w:val="59"/>
    <w:rsid w:val="00EF5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A40248"/>
    <w:rPr>
      <w:b/>
      <w:bCs/>
      <w:sz w:val="36"/>
      <w:szCs w:val="36"/>
    </w:rPr>
  </w:style>
  <w:style w:type="character" w:customStyle="1" w:styleId="apple-converted-space">
    <w:name w:val="apple-converted-space"/>
    <w:basedOn w:val="Policepardfaut"/>
    <w:rsid w:val="00A40248"/>
  </w:style>
</w:styles>
</file>

<file path=word/webSettings.xml><?xml version="1.0" encoding="utf-8"?>
<w:webSettings xmlns:r="http://schemas.openxmlformats.org/officeDocument/2006/relationships" xmlns:w="http://schemas.openxmlformats.org/wordprocessingml/2006/main">
  <w:divs>
    <w:div w:id="787966057">
      <w:bodyDiv w:val="1"/>
      <w:marLeft w:val="0"/>
      <w:marRight w:val="0"/>
      <w:marTop w:val="0"/>
      <w:marBottom w:val="0"/>
      <w:divBdr>
        <w:top w:val="none" w:sz="0" w:space="0" w:color="auto"/>
        <w:left w:val="none" w:sz="0" w:space="0" w:color="auto"/>
        <w:bottom w:val="none" w:sz="0" w:space="0" w:color="auto"/>
        <w:right w:val="none" w:sz="0" w:space="0" w:color="auto"/>
      </w:divBdr>
      <w:divsChild>
        <w:div w:id="538008012">
          <w:marLeft w:val="0"/>
          <w:marRight w:val="0"/>
          <w:marTop w:val="0"/>
          <w:marBottom w:val="0"/>
          <w:divBdr>
            <w:top w:val="none" w:sz="0" w:space="0" w:color="auto"/>
            <w:left w:val="none" w:sz="0" w:space="0" w:color="auto"/>
            <w:bottom w:val="none" w:sz="0" w:space="0" w:color="auto"/>
            <w:right w:val="none" w:sz="0" w:space="0" w:color="auto"/>
          </w:divBdr>
        </w:div>
        <w:div w:id="411394554">
          <w:marLeft w:val="0"/>
          <w:marRight w:val="0"/>
          <w:marTop w:val="0"/>
          <w:marBottom w:val="0"/>
          <w:divBdr>
            <w:top w:val="none" w:sz="0" w:space="0" w:color="auto"/>
            <w:left w:val="none" w:sz="0" w:space="0" w:color="auto"/>
            <w:bottom w:val="none" w:sz="0" w:space="0" w:color="auto"/>
            <w:right w:val="none" w:sz="0" w:space="0" w:color="auto"/>
          </w:divBdr>
        </w:div>
        <w:div w:id="1515337722">
          <w:marLeft w:val="0"/>
          <w:marRight w:val="0"/>
          <w:marTop w:val="0"/>
          <w:marBottom w:val="0"/>
          <w:divBdr>
            <w:top w:val="none" w:sz="0" w:space="0" w:color="auto"/>
            <w:left w:val="none" w:sz="0" w:space="0" w:color="auto"/>
            <w:bottom w:val="none" w:sz="0" w:space="0" w:color="auto"/>
            <w:right w:val="none" w:sz="0" w:space="0" w:color="auto"/>
          </w:divBdr>
        </w:div>
        <w:div w:id="42025061">
          <w:marLeft w:val="0"/>
          <w:marRight w:val="0"/>
          <w:marTop w:val="0"/>
          <w:marBottom w:val="0"/>
          <w:divBdr>
            <w:top w:val="none" w:sz="0" w:space="0" w:color="auto"/>
            <w:left w:val="none" w:sz="0" w:space="0" w:color="auto"/>
            <w:bottom w:val="none" w:sz="0" w:space="0" w:color="auto"/>
            <w:right w:val="none" w:sz="0" w:space="0" w:color="auto"/>
          </w:divBdr>
        </w:div>
        <w:div w:id="1879850446">
          <w:marLeft w:val="0"/>
          <w:marRight w:val="0"/>
          <w:marTop w:val="0"/>
          <w:marBottom w:val="0"/>
          <w:divBdr>
            <w:top w:val="none" w:sz="0" w:space="0" w:color="auto"/>
            <w:left w:val="none" w:sz="0" w:space="0" w:color="auto"/>
            <w:bottom w:val="none" w:sz="0" w:space="0" w:color="auto"/>
            <w:right w:val="none" w:sz="0" w:space="0" w:color="auto"/>
          </w:divBdr>
        </w:div>
      </w:divsChild>
    </w:div>
    <w:div w:id="1278366919">
      <w:bodyDiv w:val="1"/>
      <w:marLeft w:val="0"/>
      <w:marRight w:val="0"/>
      <w:marTop w:val="0"/>
      <w:marBottom w:val="0"/>
      <w:divBdr>
        <w:top w:val="none" w:sz="0" w:space="0" w:color="auto"/>
        <w:left w:val="none" w:sz="0" w:space="0" w:color="auto"/>
        <w:bottom w:val="none" w:sz="0" w:space="0" w:color="auto"/>
        <w:right w:val="none" w:sz="0" w:space="0" w:color="auto"/>
      </w:divBdr>
      <w:divsChild>
        <w:div w:id="140240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79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2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E5E52-A756-428B-B4C0-20377ACE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3152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Liège</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c060124</dc:creator>
  <cp:lastModifiedBy>c060124</cp:lastModifiedBy>
  <cp:revision>3</cp:revision>
  <cp:lastPrinted>2016-09-01T11:52:00Z</cp:lastPrinted>
  <dcterms:created xsi:type="dcterms:W3CDTF">2016-11-16T13:24:00Z</dcterms:created>
  <dcterms:modified xsi:type="dcterms:W3CDTF">2016-11-16T13:24:00Z</dcterms:modified>
</cp:coreProperties>
</file>