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C7" w:rsidRPr="00C72D82" w:rsidRDefault="00824EC7" w:rsidP="000021DB">
      <w:pPr>
        <w:ind w:firstLine="0"/>
        <w:rPr>
          <w:lang w:val="en-US"/>
        </w:rPr>
      </w:pPr>
      <w:proofErr w:type="gramStart"/>
      <w:r w:rsidRPr="00C72D82">
        <w:rPr>
          <w:b/>
          <w:lang w:val="en-US"/>
        </w:rPr>
        <w:t xml:space="preserve">Phenotypic characterization of a patient with </w:t>
      </w:r>
      <w:proofErr w:type="spellStart"/>
      <w:r w:rsidRPr="00C72D82">
        <w:rPr>
          <w:b/>
          <w:lang w:val="en-US"/>
        </w:rPr>
        <w:t>Glanzmann</w:t>
      </w:r>
      <w:proofErr w:type="spellEnd"/>
      <w:r w:rsidRPr="00C72D82">
        <w:rPr>
          <w:b/>
          <w:lang w:val="en-US"/>
        </w:rPr>
        <w:t xml:space="preserve"> </w:t>
      </w:r>
      <w:proofErr w:type="spellStart"/>
      <w:r w:rsidRPr="00C72D82">
        <w:rPr>
          <w:b/>
          <w:lang w:val="en-US"/>
        </w:rPr>
        <w:t>Thrombasthenia</w:t>
      </w:r>
      <w:proofErr w:type="spellEnd"/>
      <w:r w:rsidRPr="00C72D82">
        <w:rPr>
          <w:b/>
          <w:lang w:val="en-US"/>
        </w:rPr>
        <w:t xml:space="preserve"> caused by a novel homozygous mutation in the ITGA2B gene</w:t>
      </w:r>
      <w:r w:rsidRPr="00C72D82">
        <w:rPr>
          <w:lang w:val="en-US"/>
        </w:rPr>
        <w:t>.</w:t>
      </w:r>
      <w:proofErr w:type="gramEnd"/>
    </w:p>
    <w:p w:rsidR="003F524D" w:rsidRPr="00C72D82" w:rsidRDefault="00FA2547" w:rsidP="000021DB">
      <w:pPr>
        <w:ind w:firstLine="0"/>
        <w:rPr>
          <w:lang w:val="en-US"/>
        </w:rPr>
      </w:pPr>
      <w:r w:rsidRPr="00C72D82">
        <w:rPr>
          <w:lang w:val="en-US"/>
        </w:rPr>
        <w:t>Peters P.</w:t>
      </w:r>
      <w:r w:rsidRPr="00C72D82">
        <w:rPr>
          <w:vertAlign w:val="superscript"/>
          <w:lang w:val="en-US"/>
        </w:rPr>
        <w:t>*1</w:t>
      </w:r>
      <w:r w:rsidRPr="00C72D82">
        <w:rPr>
          <w:lang w:val="en-US"/>
        </w:rPr>
        <w:t xml:space="preserve">, </w:t>
      </w:r>
      <w:r w:rsidR="000021DB" w:rsidRPr="002B200C">
        <w:rPr>
          <w:u w:val="single"/>
          <w:lang w:val="en-US"/>
        </w:rPr>
        <w:t>Lecut C</w:t>
      </w:r>
      <w:r w:rsidR="000021DB" w:rsidRPr="00C72D82">
        <w:rPr>
          <w:lang w:val="en-US"/>
        </w:rPr>
        <w:t>.</w:t>
      </w:r>
      <w:r w:rsidR="000021DB" w:rsidRPr="00C72D82">
        <w:rPr>
          <w:vertAlign w:val="superscript"/>
          <w:lang w:val="en-US"/>
        </w:rPr>
        <w:t>*1,2</w:t>
      </w:r>
      <w:r w:rsidR="000021DB" w:rsidRPr="00C72D82">
        <w:rPr>
          <w:lang w:val="en-US"/>
        </w:rPr>
        <w:t xml:space="preserve">, </w:t>
      </w:r>
      <w:r w:rsidR="005F5430" w:rsidRPr="00C72D82">
        <w:rPr>
          <w:lang w:val="en-US"/>
        </w:rPr>
        <w:t>Fiore M.</w:t>
      </w:r>
      <w:r w:rsidR="000B5FE0" w:rsidRPr="00C72D82">
        <w:rPr>
          <w:vertAlign w:val="superscript"/>
          <w:lang w:val="en-US"/>
        </w:rPr>
        <w:t>3</w:t>
      </w:r>
      <w:r w:rsidR="005F5430" w:rsidRPr="00C72D82">
        <w:rPr>
          <w:lang w:val="en-US"/>
        </w:rPr>
        <w:t xml:space="preserve">, </w:t>
      </w:r>
      <w:proofErr w:type="spellStart"/>
      <w:r w:rsidR="003F524D" w:rsidRPr="00C72D82">
        <w:rPr>
          <w:lang w:val="en-US"/>
        </w:rPr>
        <w:t>Delierneux</w:t>
      </w:r>
      <w:proofErr w:type="spellEnd"/>
      <w:r w:rsidR="003F524D" w:rsidRPr="00C72D82">
        <w:rPr>
          <w:lang w:val="en-US"/>
        </w:rPr>
        <w:t xml:space="preserve"> C.</w:t>
      </w:r>
      <w:r w:rsidR="003F524D" w:rsidRPr="00C72D82">
        <w:rPr>
          <w:vertAlign w:val="superscript"/>
          <w:lang w:val="en-US"/>
        </w:rPr>
        <w:t>2</w:t>
      </w:r>
      <w:r w:rsidR="003F524D" w:rsidRPr="00C72D82">
        <w:rPr>
          <w:lang w:val="en-US"/>
        </w:rPr>
        <w:t xml:space="preserve">, </w:t>
      </w:r>
      <w:proofErr w:type="spellStart"/>
      <w:r w:rsidR="003F524D" w:rsidRPr="00C72D82">
        <w:rPr>
          <w:lang w:val="en-US"/>
        </w:rPr>
        <w:t>Joiret</w:t>
      </w:r>
      <w:proofErr w:type="spellEnd"/>
      <w:r w:rsidR="003F524D" w:rsidRPr="00C72D82">
        <w:rPr>
          <w:lang w:val="en-US"/>
        </w:rPr>
        <w:t xml:space="preserve"> M.</w:t>
      </w:r>
      <w:r w:rsidR="003F524D" w:rsidRPr="00C72D82">
        <w:rPr>
          <w:vertAlign w:val="superscript"/>
          <w:lang w:val="en-US"/>
        </w:rPr>
        <w:t>1</w:t>
      </w:r>
      <w:r w:rsidR="003F524D" w:rsidRPr="00C72D82">
        <w:rPr>
          <w:lang w:val="en-US"/>
        </w:rPr>
        <w:t xml:space="preserve">, </w:t>
      </w:r>
      <w:proofErr w:type="spellStart"/>
      <w:r w:rsidRPr="00C72D82">
        <w:rPr>
          <w:lang w:val="en-US"/>
        </w:rPr>
        <w:t>Hego</w:t>
      </w:r>
      <w:proofErr w:type="spellEnd"/>
      <w:r w:rsidRPr="00C72D82">
        <w:rPr>
          <w:lang w:val="en-US"/>
        </w:rPr>
        <w:t xml:space="preserve"> A.</w:t>
      </w:r>
      <w:r w:rsidRPr="00C72D82">
        <w:rPr>
          <w:vertAlign w:val="superscript"/>
          <w:lang w:val="en-US"/>
        </w:rPr>
        <w:t>2</w:t>
      </w:r>
      <w:r w:rsidRPr="00C72D82">
        <w:rPr>
          <w:lang w:val="en-US"/>
        </w:rPr>
        <w:t xml:space="preserve">, </w:t>
      </w:r>
      <w:proofErr w:type="spellStart"/>
      <w:r w:rsidR="003F524D" w:rsidRPr="00C72D82">
        <w:rPr>
          <w:lang w:val="en-US"/>
        </w:rPr>
        <w:t>Oury</w:t>
      </w:r>
      <w:proofErr w:type="spellEnd"/>
      <w:r w:rsidR="003F524D" w:rsidRPr="00C72D82">
        <w:rPr>
          <w:lang w:val="en-US"/>
        </w:rPr>
        <w:t xml:space="preserve"> C.</w:t>
      </w:r>
      <w:r w:rsidR="003F524D" w:rsidRPr="00C72D82">
        <w:rPr>
          <w:vertAlign w:val="superscript"/>
          <w:lang w:val="en-US"/>
        </w:rPr>
        <w:t>2</w:t>
      </w:r>
      <w:r w:rsidR="003F524D" w:rsidRPr="00C72D82">
        <w:rPr>
          <w:lang w:val="en-US"/>
        </w:rPr>
        <w:t xml:space="preserve">, </w:t>
      </w:r>
      <w:proofErr w:type="spellStart"/>
      <w:r w:rsidR="003F524D" w:rsidRPr="00C72D82">
        <w:rPr>
          <w:lang w:val="en-US"/>
        </w:rPr>
        <w:t>Gothot</w:t>
      </w:r>
      <w:proofErr w:type="spellEnd"/>
      <w:r w:rsidR="003F524D" w:rsidRPr="00C72D82">
        <w:rPr>
          <w:lang w:val="en-US"/>
        </w:rPr>
        <w:t xml:space="preserve"> A.</w:t>
      </w:r>
      <w:r w:rsidR="003F524D" w:rsidRPr="00C72D82">
        <w:rPr>
          <w:vertAlign w:val="superscript"/>
          <w:lang w:val="en-US"/>
        </w:rPr>
        <w:t>1</w:t>
      </w:r>
      <w:r w:rsidR="00A70240">
        <w:rPr>
          <w:vertAlign w:val="superscript"/>
          <w:lang w:val="en-US"/>
        </w:rPr>
        <w:t>,2</w:t>
      </w:r>
    </w:p>
    <w:p w:rsidR="00824EC7" w:rsidRPr="00C72D82" w:rsidRDefault="003F524D" w:rsidP="000021DB">
      <w:pPr>
        <w:ind w:firstLine="0"/>
        <w:rPr>
          <w:lang w:val="en-US"/>
        </w:rPr>
      </w:pPr>
      <w:r w:rsidRPr="00C72D82">
        <w:rPr>
          <w:vertAlign w:val="superscript"/>
          <w:lang w:val="en-US"/>
        </w:rPr>
        <w:t>1</w:t>
      </w:r>
      <w:r w:rsidRPr="00C72D82">
        <w:rPr>
          <w:lang w:val="en-US"/>
        </w:rPr>
        <w:t xml:space="preserve">Laboratory of Thrombosis and </w:t>
      </w:r>
      <w:proofErr w:type="spellStart"/>
      <w:r w:rsidRPr="00C72D82">
        <w:rPr>
          <w:lang w:val="en-US"/>
        </w:rPr>
        <w:t>Haemostasis</w:t>
      </w:r>
      <w:proofErr w:type="spellEnd"/>
      <w:r w:rsidRPr="00C72D82">
        <w:rPr>
          <w:lang w:val="en-US"/>
        </w:rPr>
        <w:t xml:space="preserve">, Department of Laboratory Hematology, University Hospital of </w:t>
      </w:r>
      <w:proofErr w:type="spellStart"/>
      <w:r w:rsidRPr="00C72D82">
        <w:rPr>
          <w:lang w:val="en-US"/>
        </w:rPr>
        <w:t>Liège</w:t>
      </w:r>
      <w:proofErr w:type="spellEnd"/>
      <w:r w:rsidRPr="00C72D82">
        <w:rPr>
          <w:lang w:val="en-US"/>
        </w:rPr>
        <w:t xml:space="preserve">; </w:t>
      </w:r>
      <w:r w:rsidRPr="00C72D82">
        <w:rPr>
          <w:vertAlign w:val="superscript"/>
          <w:lang w:val="en-US"/>
        </w:rPr>
        <w:t>2</w:t>
      </w:r>
      <w:r w:rsidRPr="00C72D82">
        <w:rPr>
          <w:lang w:val="en-US"/>
        </w:rPr>
        <w:t xml:space="preserve">Laboratory of Thrombosis and </w:t>
      </w:r>
      <w:proofErr w:type="spellStart"/>
      <w:r w:rsidRPr="00C72D82">
        <w:rPr>
          <w:lang w:val="en-US"/>
        </w:rPr>
        <w:t>Haemostasis</w:t>
      </w:r>
      <w:proofErr w:type="spellEnd"/>
      <w:r w:rsidRPr="00C72D82">
        <w:rPr>
          <w:lang w:val="en-US"/>
        </w:rPr>
        <w:t xml:space="preserve">, GIGA-Cardiovascular Sciences, University of </w:t>
      </w:r>
      <w:proofErr w:type="spellStart"/>
      <w:r w:rsidRPr="00C72D82">
        <w:rPr>
          <w:lang w:val="en-US"/>
        </w:rPr>
        <w:t>Liège</w:t>
      </w:r>
      <w:proofErr w:type="spellEnd"/>
      <w:r w:rsidR="005F5430" w:rsidRPr="00C72D82">
        <w:rPr>
          <w:lang w:val="en-US"/>
        </w:rPr>
        <w:t xml:space="preserve">; </w:t>
      </w:r>
      <w:r w:rsidR="000B5FE0" w:rsidRPr="00C72D82">
        <w:rPr>
          <w:vertAlign w:val="superscript"/>
          <w:lang w:val="en-US"/>
        </w:rPr>
        <w:t>3</w:t>
      </w:r>
      <w:r w:rsidR="00C72D82" w:rsidRPr="00C72D82">
        <w:rPr>
          <w:lang w:val="en-US"/>
        </w:rPr>
        <w:t>French Reference Centre for Platelet Disorders (CRPP) and</w:t>
      </w:r>
      <w:r w:rsidR="00C72D82" w:rsidRPr="00C72D82">
        <w:rPr>
          <w:sz w:val="20"/>
          <w:szCs w:val="20"/>
          <w:shd w:val="clear" w:color="auto" w:fill="FDFDFD"/>
          <w:lang w:val="en-US"/>
        </w:rPr>
        <w:t xml:space="preserve"> </w:t>
      </w:r>
      <w:r w:rsidR="00F52928" w:rsidRPr="00C72D82">
        <w:rPr>
          <w:lang w:val="en-US"/>
        </w:rPr>
        <w:t>Department of Laboratory Hematology</w:t>
      </w:r>
      <w:r w:rsidR="005F5430" w:rsidRPr="00C72D82">
        <w:rPr>
          <w:lang w:val="en-US"/>
        </w:rPr>
        <w:t>, Bordeaux University Hospital, France.</w:t>
      </w:r>
    </w:p>
    <w:p w:rsidR="000021DB" w:rsidRDefault="000021DB" w:rsidP="000021DB">
      <w:pPr>
        <w:ind w:firstLine="0"/>
        <w:rPr>
          <w:lang w:val="en-US"/>
        </w:rPr>
      </w:pPr>
      <w:r>
        <w:rPr>
          <w:lang w:val="en-US"/>
        </w:rPr>
        <w:t>* These authors contributed equally to the work</w:t>
      </w:r>
    </w:p>
    <w:p w:rsidR="002B200C" w:rsidRDefault="002B200C" w:rsidP="000021DB">
      <w:pPr>
        <w:ind w:firstLine="0"/>
        <w:rPr>
          <w:lang w:val="en-US"/>
        </w:rPr>
      </w:pPr>
      <w:r>
        <w:rPr>
          <w:lang w:val="en-US"/>
        </w:rPr>
        <w:t>CL : presenting author</w:t>
      </w:r>
    </w:p>
    <w:p w:rsidR="008C3490" w:rsidRPr="008147B0" w:rsidRDefault="008C3490" w:rsidP="000021DB">
      <w:pPr>
        <w:ind w:firstLine="0"/>
        <w:rPr>
          <w:lang w:val="en-US"/>
        </w:rPr>
      </w:pPr>
    </w:p>
    <w:p w:rsidR="008F4466" w:rsidRPr="008F4466" w:rsidRDefault="008F4466" w:rsidP="000021DB">
      <w:pPr>
        <w:ind w:firstLine="0"/>
        <w:rPr>
          <w:b/>
          <w:lang w:val="en-US"/>
        </w:rPr>
      </w:pPr>
      <w:r w:rsidRPr="008F4466">
        <w:rPr>
          <w:b/>
          <w:lang w:val="en-US"/>
        </w:rPr>
        <w:t>Background/introduction:</w:t>
      </w:r>
    </w:p>
    <w:p w:rsidR="00202680" w:rsidRPr="00F52928" w:rsidRDefault="008C3490" w:rsidP="000021DB">
      <w:pPr>
        <w:ind w:firstLine="0"/>
        <w:rPr>
          <w:lang w:val="en-US"/>
        </w:rPr>
      </w:pPr>
      <w:proofErr w:type="spellStart"/>
      <w:r>
        <w:rPr>
          <w:lang w:val="en-US"/>
        </w:rPr>
        <w:t>Glanzmann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Thrombasthenia</w:t>
      </w:r>
      <w:proofErr w:type="spellEnd"/>
      <w:r w:rsidR="00202680">
        <w:rPr>
          <w:lang w:val="en-US"/>
        </w:rPr>
        <w:t xml:space="preserve"> (GT) is a</w:t>
      </w:r>
      <w:r>
        <w:rPr>
          <w:lang w:val="en-US"/>
        </w:rPr>
        <w:t xml:space="preserve"> rare </w:t>
      </w:r>
      <w:r w:rsidR="00202680">
        <w:rPr>
          <w:lang w:val="en-US"/>
        </w:rPr>
        <w:t xml:space="preserve">congenital </w:t>
      </w:r>
      <w:r>
        <w:rPr>
          <w:lang w:val="en-US"/>
        </w:rPr>
        <w:t>bleeding disorder</w:t>
      </w:r>
      <w:r w:rsidR="00202680">
        <w:rPr>
          <w:lang w:val="en-US"/>
        </w:rPr>
        <w:t xml:space="preserve"> caused by </w:t>
      </w:r>
      <w:r w:rsidR="005F5430">
        <w:rPr>
          <w:lang w:val="en-US"/>
        </w:rPr>
        <w:t xml:space="preserve">a </w:t>
      </w:r>
      <w:r w:rsidR="00C258E2">
        <w:rPr>
          <w:lang w:val="en-US"/>
        </w:rPr>
        <w:t xml:space="preserve">defect in platelet receptor </w:t>
      </w:r>
      <w:r w:rsidR="00C258E2">
        <w:rPr>
          <w:lang w:val="en-US"/>
        </w:rPr>
        <w:sym w:font="Symbol" w:char="F061"/>
      </w:r>
      <w:proofErr w:type="spellStart"/>
      <w:r w:rsidR="000B5FE0" w:rsidRPr="000B5FE0">
        <w:rPr>
          <w:vertAlign w:val="subscript"/>
          <w:lang w:val="en-US"/>
        </w:rPr>
        <w:t>IIb</w:t>
      </w:r>
      <w:proofErr w:type="spellEnd"/>
      <w:r w:rsidR="00C258E2">
        <w:rPr>
          <w:lang w:val="en-US"/>
        </w:rPr>
        <w:sym w:font="Symbol" w:char="F062"/>
      </w:r>
      <w:r w:rsidR="000B5FE0" w:rsidRPr="000B5FE0">
        <w:rPr>
          <w:vertAlign w:val="subscript"/>
          <w:lang w:val="en-US"/>
        </w:rPr>
        <w:t>3</w:t>
      </w:r>
      <w:r>
        <w:rPr>
          <w:lang w:val="en-US"/>
        </w:rPr>
        <w:t>.</w:t>
      </w:r>
      <w:r w:rsidR="00202680">
        <w:rPr>
          <w:lang w:val="en-US"/>
        </w:rPr>
        <w:t xml:space="preserve"> It is characterized by impaired platelet aggregation </w:t>
      </w:r>
      <w:r w:rsidR="004C0953">
        <w:rPr>
          <w:lang w:val="en-US"/>
        </w:rPr>
        <w:t>that</w:t>
      </w:r>
      <w:r w:rsidR="00202680">
        <w:rPr>
          <w:lang w:val="en-US"/>
        </w:rPr>
        <w:t xml:space="preserve"> </w:t>
      </w:r>
      <w:r w:rsidR="004C09F5">
        <w:rPr>
          <w:lang w:val="en-US"/>
        </w:rPr>
        <w:t xml:space="preserve">classically </w:t>
      </w:r>
      <w:r w:rsidR="00202680">
        <w:rPr>
          <w:lang w:val="en-US"/>
        </w:rPr>
        <w:t xml:space="preserve">causes mild to severe </w:t>
      </w:r>
      <w:proofErr w:type="spellStart"/>
      <w:r w:rsidR="003654AB">
        <w:rPr>
          <w:lang w:val="en-US"/>
        </w:rPr>
        <w:t>mucocutaneous</w:t>
      </w:r>
      <w:proofErr w:type="spellEnd"/>
      <w:r w:rsidR="003654AB">
        <w:rPr>
          <w:lang w:val="en-US"/>
        </w:rPr>
        <w:t xml:space="preserve"> bleedings</w:t>
      </w:r>
      <w:r w:rsidR="00202680">
        <w:rPr>
          <w:lang w:val="en-US"/>
        </w:rPr>
        <w:t>.</w:t>
      </w:r>
      <w:r w:rsidR="00D13B73">
        <w:rPr>
          <w:lang w:val="en-US"/>
        </w:rPr>
        <w:t xml:space="preserve"> </w:t>
      </w:r>
      <w:r w:rsidR="00311AFD">
        <w:rPr>
          <w:lang w:val="en-US"/>
        </w:rPr>
        <w:t>W</w:t>
      </w:r>
      <w:r w:rsidR="00D13B73">
        <w:rPr>
          <w:lang w:val="en-US"/>
        </w:rPr>
        <w:t xml:space="preserve">e present </w:t>
      </w:r>
      <w:r w:rsidR="00311AFD">
        <w:rPr>
          <w:lang w:val="en-US"/>
        </w:rPr>
        <w:t xml:space="preserve">here </w:t>
      </w:r>
      <w:r w:rsidR="00D13B73">
        <w:rPr>
          <w:lang w:val="en-US"/>
        </w:rPr>
        <w:t>the case of a 52-year old woman</w:t>
      </w:r>
      <w:r w:rsidR="003C31F6">
        <w:rPr>
          <w:lang w:val="en-US"/>
        </w:rPr>
        <w:t xml:space="preserve"> who was</w:t>
      </w:r>
      <w:r w:rsidR="004C09F5">
        <w:rPr>
          <w:lang w:val="en-US"/>
        </w:rPr>
        <w:t xml:space="preserve"> </w:t>
      </w:r>
      <w:r w:rsidR="00890ED6">
        <w:rPr>
          <w:lang w:val="en-US"/>
        </w:rPr>
        <w:t xml:space="preserve">diagnosed with GT </w:t>
      </w:r>
      <w:r w:rsidR="004C09F5">
        <w:rPr>
          <w:lang w:val="en-US"/>
        </w:rPr>
        <w:t xml:space="preserve">at </w:t>
      </w:r>
      <w:r w:rsidR="00890ED6">
        <w:rPr>
          <w:lang w:val="en-US"/>
        </w:rPr>
        <w:t xml:space="preserve">birth due to umbilical cord bleeding. </w:t>
      </w:r>
      <w:r w:rsidR="00E02A41">
        <w:rPr>
          <w:lang w:val="en-US"/>
        </w:rPr>
        <w:t xml:space="preserve">In 2009, the patient </w:t>
      </w:r>
      <w:r w:rsidR="00A81952">
        <w:rPr>
          <w:lang w:val="en-US"/>
        </w:rPr>
        <w:t>presented with</w:t>
      </w:r>
      <w:r w:rsidR="00E02A41">
        <w:rPr>
          <w:lang w:val="en-US"/>
        </w:rPr>
        <w:t xml:space="preserve"> hemorrhage in the upper gastro-intestinal tract, which led to </w:t>
      </w:r>
      <w:r w:rsidR="00C258E2">
        <w:rPr>
          <w:lang w:val="en-US"/>
        </w:rPr>
        <w:t xml:space="preserve">hemorrhagic </w:t>
      </w:r>
      <w:r w:rsidR="00E02A41">
        <w:rPr>
          <w:lang w:val="en-US"/>
        </w:rPr>
        <w:t xml:space="preserve">shock. Platelet transfusion </w:t>
      </w:r>
      <w:r w:rsidR="00A81952">
        <w:rPr>
          <w:lang w:val="en-US"/>
        </w:rPr>
        <w:t>turned out to be</w:t>
      </w:r>
      <w:r w:rsidR="00E02A41">
        <w:rPr>
          <w:lang w:val="en-US"/>
        </w:rPr>
        <w:t xml:space="preserve"> inefficient, as the patient had developed anti-platelet antibodies</w:t>
      </w:r>
      <w:r w:rsidR="00C258E2">
        <w:rPr>
          <w:lang w:val="en-US"/>
        </w:rPr>
        <w:t xml:space="preserve"> (anti-HLA class II</w:t>
      </w:r>
      <w:r w:rsidR="00D80B08">
        <w:rPr>
          <w:lang w:val="en-US"/>
        </w:rPr>
        <w:t xml:space="preserve">, </w:t>
      </w:r>
      <w:r w:rsidR="008A3838">
        <w:rPr>
          <w:lang w:val="en-US"/>
        </w:rPr>
        <w:t>anti-</w:t>
      </w:r>
      <w:proofErr w:type="spellStart"/>
      <w:r w:rsidR="008A3838">
        <w:rPr>
          <w:lang w:val="en-US"/>
        </w:rPr>
        <w:t>GPIbIX</w:t>
      </w:r>
      <w:proofErr w:type="spellEnd"/>
      <w:r w:rsidR="00C258E2">
        <w:rPr>
          <w:lang w:val="en-US"/>
        </w:rPr>
        <w:t xml:space="preserve"> </w:t>
      </w:r>
      <w:r w:rsidR="00D80B08">
        <w:rPr>
          <w:lang w:val="en-US"/>
        </w:rPr>
        <w:t xml:space="preserve">and </w:t>
      </w:r>
      <w:r w:rsidR="00C258E2">
        <w:rPr>
          <w:lang w:val="en-US"/>
        </w:rPr>
        <w:t>anti-</w:t>
      </w:r>
      <w:r w:rsidR="00C258E2">
        <w:rPr>
          <w:lang w:val="en-US"/>
        </w:rPr>
        <w:sym w:font="Symbol" w:char="F061"/>
      </w:r>
      <w:proofErr w:type="spellStart"/>
      <w:r w:rsidR="00C258E2" w:rsidRPr="00C258E2">
        <w:rPr>
          <w:vertAlign w:val="subscript"/>
          <w:lang w:val="en-US"/>
        </w:rPr>
        <w:t>IIb</w:t>
      </w:r>
      <w:proofErr w:type="spellEnd"/>
      <w:r w:rsidR="00C258E2">
        <w:rPr>
          <w:lang w:val="en-US"/>
        </w:rPr>
        <w:sym w:font="Symbol" w:char="F062"/>
      </w:r>
      <w:r w:rsidR="00C258E2" w:rsidRPr="00C258E2">
        <w:rPr>
          <w:vertAlign w:val="subscript"/>
          <w:lang w:val="en-US"/>
        </w:rPr>
        <w:t>3</w:t>
      </w:r>
      <w:r w:rsidR="00F95366">
        <w:rPr>
          <w:lang w:val="en-US"/>
        </w:rPr>
        <w:t>)</w:t>
      </w:r>
      <w:r w:rsidR="00E02A41">
        <w:rPr>
          <w:lang w:val="en-US"/>
        </w:rPr>
        <w:t xml:space="preserve">. </w:t>
      </w:r>
      <w:proofErr w:type="spellStart"/>
      <w:r w:rsidR="00E02A41">
        <w:rPr>
          <w:lang w:val="en-US"/>
        </w:rPr>
        <w:t>Hemostasis</w:t>
      </w:r>
      <w:proofErr w:type="spellEnd"/>
      <w:r w:rsidR="00E02A41">
        <w:rPr>
          <w:lang w:val="en-US"/>
        </w:rPr>
        <w:t xml:space="preserve"> was restored using recombinant </w:t>
      </w:r>
      <w:proofErr w:type="spellStart"/>
      <w:r w:rsidR="00E02A41">
        <w:rPr>
          <w:lang w:val="en-US"/>
        </w:rPr>
        <w:t>FVIIa</w:t>
      </w:r>
      <w:proofErr w:type="spellEnd"/>
      <w:r w:rsidR="00E02A41">
        <w:rPr>
          <w:lang w:val="en-US"/>
        </w:rPr>
        <w:t xml:space="preserve">. </w:t>
      </w:r>
      <w:r w:rsidR="000B5FE0" w:rsidRPr="00F52928">
        <w:rPr>
          <w:lang w:val="en-US"/>
        </w:rPr>
        <w:t xml:space="preserve">Since then, the patient exhibited recurrent but moderate </w:t>
      </w:r>
      <w:proofErr w:type="spellStart"/>
      <w:r w:rsidR="000B5FE0" w:rsidRPr="00F52928">
        <w:rPr>
          <w:lang w:val="en-US"/>
        </w:rPr>
        <w:t>epistaxis</w:t>
      </w:r>
      <w:proofErr w:type="spellEnd"/>
      <w:r w:rsidR="000B5FE0" w:rsidRPr="00F52928">
        <w:rPr>
          <w:lang w:val="en-US"/>
        </w:rPr>
        <w:t>.</w:t>
      </w:r>
    </w:p>
    <w:p w:rsidR="008F4466" w:rsidRPr="008F4466" w:rsidRDefault="008F4466" w:rsidP="000021DB">
      <w:pPr>
        <w:ind w:firstLine="0"/>
        <w:rPr>
          <w:b/>
          <w:lang w:val="en-US"/>
        </w:rPr>
      </w:pPr>
      <w:r w:rsidRPr="008F4466">
        <w:rPr>
          <w:b/>
          <w:lang w:val="en-US"/>
        </w:rPr>
        <w:t>Aims:</w:t>
      </w:r>
    </w:p>
    <w:p w:rsidR="008F4466" w:rsidRDefault="008C3490" w:rsidP="000021DB">
      <w:pPr>
        <w:ind w:firstLine="0"/>
        <w:rPr>
          <w:lang w:val="en-US"/>
        </w:rPr>
      </w:pPr>
      <w:r>
        <w:rPr>
          <w:lang w:val="en-US"/>
        </w:rPr>
        <w:t xml:space="preserve">To </w:t>
      </w:r>
      <w:r w:rsidR="003C31F6">
        <w:rPr>
          <w:lang w:val="en-US"/>
        </w:rPr>
        <w:t xml:space="preserve">better </w:t>
      </w:r>
      <w:r>
        <w:rPr>
          <w:lang w:val="en-US"/>
        </w:rPr>
        <w:t xml:space="preserve">characterize the </w:t>
      </w:r>
      <w:r w:rsidR="003C31F6">
        <w:rPr>
          <w:lang w:val="en-US"/>
        </w:rPr>
        <w:t xml:space="preserve">patient </w:t>
      </w:r>
      <w:proofErr w:type="spellStart"/>
      <w:r w:rsidR="003C31F6">
        <w:rPr>
          <w:lang w:val="en-US"/>
        </w:rPr>
        <w:t>hemostatic</w:t>
      </w:r>
      <w:proofErr w:type="spellEnd"/>
      <w:r w:rsidR="003C31F6">
        <w:rPr>
          <w:lang w:val="en-US"/>
        </w:rPr>
        <w:t xml:space="preserve"> dysfunction</w:t>
      </w:r>
      <w:r>
        <w:rPr>
          <w:lang w:val="en-US"/>
        </w:rPr>
        <w:t xml:space="preserve"> and identify the </w:t>
      </w:r>
      <w:r w:rsidR="003C31F6">
        <w:rPr>
          <w:lang w:val="en-US"/>
        </w:rPr>
        <w:t xml:space="preserve">underlying </w:t>
      </w:r>
      <w:r w:rsidR="003C31F6" w:rsidRPr="003C31F6">
        <w:rPr>
          <w:rFonts w:ascii="Symbol" w:hAnsi="Symbol"/>
          <w:lang w:val="en-US"/>
        </w:rPr>
        <w:t></w:t>
      </w:r>
      <w:r w:rsidR="003C31F6" w:rsidRPr="003C31F6">
        <w:rPr>
          <w:vertAlign w:val="subscript"/>
          <w:lang w:val="en-US"/>
        </w:rPr>
        <w:t>IIb</w:t>
      </w:r>
      <w:r w:rsidR="003C31F6" w:rsidRPr="003C31F6">
        <w:rPr>
          <w:rFonts w:ascii="Symbol" w:hAnsi="Symbol"/>
          <w:lang w:val="en-US"/>
        </w:rPr>
        <w:t></w:t>
      </w:r>
      <w:r w:rsidR="003C31F6" w:rsidRPr="003C31F6">
        <w:rPr>
          <w:vertAlign w:val="subscript"/>
          <w:lang w:val="en-US"/>
        </w:rPr>
        <w:t>3</w:t>
      </w:r>
      <w:r w:rsidR="003C31F6">
        <w:rPr>
          <w:lang w:val="en-US"/>
        </w:rPr>
        <w:t xml:space="preserve"> mutation.</w:t>
      </w:r>
    </w:p>
    <w:p w:rsidR="008F4466" w:rsidRPr="008F4466" w:rsidRDefault="008F4466" w:rsidP="000021DB">
      <w:pPr>
        <w:ind w:firstLine="0"/>
        <w:rPr>
          <w:b/>
          <w:lang w:val="en-US"/>
        </w:rPr>
      </w:pPr>
      <w:r w:rsidRPr="008F4466">
        <w:rPr>
          <w:b/>
          <w:lang w:val="en-US"/>
        </w:rPr>
        <w:t>Methods/Materials</w:t>
      </w:r>
    </w:p>
    <w:p w:rsidR="008C3490" w:rsidRDefault="002850C6" w:rsidP="000021DB">
      <w:pPr>
        <w:ind w:firstLine="0"/>
        <w:rPr>
          <w:lang w:val="en-US"/>
        </w:rPr>
      </w:pPr>
      <w:r>
        <w:rPr>
          <w:lang w:val="en-US"/>
        </w:rPr>
        <w:t>Initial laboratory work-up consisted in s</w:t>
      </w:r>
      <w:r w:rsidR="00D13B73">
        <w:rPr>
          <w:lang w:val="en-US"/>
        </w:rPr>
        <w:t xml:space="preserve">tandard </w:t>
      </w:r>
      <w:r>
        <w:rPr>
          <w:lang w:val="en-US"/>
        </w:rPr>
        <w:t>routine tests including</w:t>
      </w:r>
      <w:r w:rsidR="00D13B73">
        <w:rPr>
          <w:lang w:val="en-US"/>
        </w:rPr>
        <w:t xml:space="preserve"> whole blood cell count</w:t>
      </w:r>
      <w:r w:rsidR="003425C5">
        <w:rPr>
          <w:lang w:val="en-US"/>
        </w:rPr>
        <w:t xml:space="preserve"> and </w:t>
      </w:r>
      <w:r w:rsidR="00D13B73">
        <w:rPr>
          <w:lang w:val="en-US"/>
        </w:rPr>
        <w:t xml:space="preserve">coagulation </w:t>
      </w:r>
      <w:r w:rsidR="003425C5">
        <w:rPr>
          <w:lang w:val="en-US"/>
        </w:rPr>
        <w:t xml:space="preserve">screens </w:t>
      </w:r>
      <w:r w:rsidR="00D13B73">
        <w:rPr>
          <w:lang w:val="en-US"/>
        </w:rPr>
        <w:t>(</w:t>
      </w:r>
      <w:proofErr w:type="spellStart"/>
      <w:r w:rsidR="00D13B73">
        <w:rPr>
          <w:lang w:val="en-US"/>
        </w:rPr>
        <w:t>prothrombin</w:t>
      </w:r>
      <w:proofErr w:type="spellEnd"/>
      <w:r w:rsidR="00D13B73">
        <w:rPr>
          <w:lang w:val="en-US"/>
        </w:rPr>
        <w:t xml:space="preserve"> time, PT; activated partial </w:t>
      </w:r>
      <w:proofErr w:type="spellStart"/>
      <w:r w:rsidR="00D13B73">
        <w:rPr>
          <w:lang w:val="en-US"/>
        </w:rPr>
        <w:t>thromboplastin</w:t>
      </w:r>
      <w:proofErr w:type="spellEnd"/>
      <w:r w:rsidR="00D13B73">
        <w:rPr>
          <w:lang w:val="en-US"/>
        </w:rPr>
        <w:t xml:space="preserve"> time, </w:t>
      </w:r>
      <w:proofErr w:type="spellStart"/>
      <w:r w:rsidR="00D13B73">
        <w:rPr>
          <w:lang w:val="en-US"/>
        </w:rPr>
        <w:t>aPTT</w:t>
      </w:r>
      <w:proofErr w:type="spellEnd"/>
      <w:r w:rsidR="00D13B73">
        <w:rPr>
          <w:lang w:val="en-US"/>
        </w:rPr>
        <w:t>; thrombin time, TT</w:t>
      </w:r>
      <w:r w:rsidR="005F5430">
        <w:rPr>
          <w:lang w:val="en-US"/>
        </w:rPr>
        <w:t xml:space="preserve"> </w:t>
      </w:r>
      <w:r w:rsidR="00D13B73">
        <w:rPr>
          <w:lang w:val="en-US"/>
        </w:rPr>
        <w:t>and fibrinogen levels</w:t>
      </w:r>
      <w:r w:rsidR="003425C5">
        <w:rPr>
          <w:lang w:val="en-US"/>
        </w:rPr>
        <w:t>)</w:t>
      </w:r>
      <w:r w:rsidR="00D13B73">
        <w:rPr>
          <w:lang w:val="en-US"/>
        </w:rPr>
        <w:t xml:space="preserve">. Primary </w:t>
      </w:r>
      <w:proofErr w:type="spellStart"/>
      <w:r w:rsidR="00D13B73">
        <w:rPr>
          <w:lang w:val="en-US"/>
        </w:rPr>
        <w:t>hemostasis</w:t>
      </w:r>
      <w:proofErr w:type="spellEnd"/>
      <w:r w:rsidR="00D13B73">
        <w:rPr>
          <w:lang w:val="en-US"/>
        </w:rPr>
        <w:t xml:space="preserve"> was evaluated </w:t>
      </w:r>
      <w:r w:rsidR="005F5430">
        <w:rPr>
          <w:lang w:val="en-US"/>
        </w:rPr>
        <w:t>by measuring closure time using</w:t>
      </w:r>
      <w:r w:rsidR="00D13B73">
        <w:rPr>
          <w:lang w:val="en-US"/>
        </w:rPr>
        <w:t xml:space="preserve"> PFA</w:t>
      </w:r>
      <w:r w:rsidR="003003E0">
        <w:rPr>
          <w:lang w:val="en-US"/>
        </w:rPr>
        <w:t>-</w:t>
      </w:r>
      <w:r w:rsidR="00D13B73">
        <w:rPr>
          <w:lang w:val="en-US"/>
        </w:rPr>
        <w:t xml:space="preserve">100® and by </w:t>
      </w:r>
      <w:r>
        <w:rPr>
          <w:lang w:val="en-US"/>
        </w:rPr>
        <w:t xml:space="preserve">light-transmission </w:t>
      </w:r>
      <w:proofErr w:type="spellStart"/>
      <w:r w:rsidR="00D13B73">
        <w:rPr>
          <w:lang w:val="en-US"/>
        </w:rPr>
        <w:t>aggregometry</w:t>
      </w:r>
      <w:proofErr w:type="spellEnd"/>
      <w:r>
        <w:rPr>
          <w:lang w:val="en-US"/>
        </w:rPr>
        <w:t xml:space="preserve"> in platelet-rich plasma (PRP</w:t>
      </w:r>
      <w:r w:rsidR="005F5430">
        <w:rPr>
          <w:lang w:val="en-US"/>
        </w:rPr>
        <w:t>). P</w:t>
      </w:r>
      <w:r w:rsidR="003425C5">
        <w:rPr>
          <w:lang w:val="en-US"/>
        </w:rPr>
        <w:t>latelet</w:t>
      </w:r>
      <w:r w:rsidR="003C31F6">
        <w:rPr>
          <w:lang w:val="en-US"/>
        </w:rPr>
        <w:t xml:space="preserve"> surface</w:t>
      </w:r>
      <w:r w:rsidR="003425C5">
        <w:rPr>
          <w:lang w:val="en-US"/>
        </w:rPr>
        <w:t xml:space="preserve"> </w:t>
      </w:r>
      <w:r w:rsidRPr="000F524C">
        <w:rPr>
          <w:rFonts w:ascii="Symbol" w:hAnsi="Symbol"/>
          <w:lang w:val="en-US"/>
        </w:rPr>
        <w:t></w:t>
      </w:r>
      <w:r w:rsidRPr="000F524C">
        <w:rPr>
          <w:vertAlign w:val="subscript"/>
          <w:lang w:val="en-US"/>
        </w:rPr>
        <w:t>IIb</w:t>
      </w:r>
      <w:r w:rsidRPr="000F524C">
        <w:rPr>
          <w:rFonts w:ascii="Symbol" w:hAnsi="Symbol"/>
          <w:lang w:val="en-US"/>
        </w:rPr>
        <w:t></w:t>
      </w:r>
      <w:r w:rsidRPr="000F524C"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 w:rsidR="003C31F6">
        <w:rPr>
          <w:lang w:val="en-US"/>
        </w:rPr>
        <w:t xml:space="preserve">levels </w:t>
      </w:r>
      <w:r>
        <w:rPr>
          <w:lang w:val="en-US"/>
        </w:rPr>
        <w:t>w</w:t>
      </w:r>
      <w:r w:rsidR="003C31F6">
        <w:rPr>
          <w:lang w:val="en-US"/>
        </w:rPr>
        <w:t>ere</w:t>
      </w:r>
      <w:r>
        <w:rPr>
          <w:lang w:val="en-US"/>
        </w:rPr>
        <w:t xml:space="preserve"> assessed in whole blood by f</w:t>
      </w:r>
      <w:r w:rsidR="008C3490">
        <w:rPr>
          <w:lang w:val="en-US"/>
        </w:rPr>
        <w:t xml:space="preserve">low </w:t>
      </w:r>
      <w:proofErr w:type="spellStart"/>
      <w:r w:rsidR="008C3490">
        <w:rPr>
          <w:lang w:val="en-US"/>
        </w:rPr>
        <w:t>cytometry</w:t>
      </w:r>
      <w:proofErr w:type="spellEnd"/>
      <w:r w:rsidR="008C3490">
        <w:rPr>
          <w:lang w:val="en-US"/>
        </w:rPr>
        <w:t xml:space="preserve"> </w:t>
      </w:r>
      <w:r>
        <w:rPr>
          <w:lang w:val="en-US"/>
        </w:rPr>
        <w:t>analysis using</w:t>
      </w:r>
      <w:r w:rsidR="005F5430">
        <w:rPr>
          <w:lang w:val="en-US"/>
        </w:rPr>
        <w:t xml:space="preserve"> </w:t>
      </w:r>
      <w:proofErr w:type="spellStart"/>
      <w:r w:rsidR="00B064A8">
        <w:rPr>
          <w:lang w:val="en-US"/>
        </w:rPr>
        <w:t>PerCP</w:t>
      </w:r>
      <w:proofErr w:type="spellEnd"/>
      <w:r w:rsidR="005F5430">
        <w:rPr>
          <w:lang w:val="en-US"/>
        </w:rPr>
        <w:t>-coupled anti-CD61 antibody</w:t>
      </w:r>
      <w:r>
        <w:rPr>
          <w:lang w:val="en-US"/>
        </w:rPr>
        <w:t xml:space="preserve">. Clot retraction was evaluated in whole blood drawn on </w:t>
      </w:r>
      <w:r w:rsidR="00A81952">
        <w:rPr>
          <w:lang w:val="en-US"/>
        </w:rPr>
        <w:t xml:space="preserve">a </w:t>
      </w:r>
      <w:r>
        <w:rPr>
          <w:lang w:val="en-US"/>
        </w:rPr>
        <w:t xml:space="preserve">tube </w:t>
      </w:r>
      <w:r w:rsidR="00A81952">
        <w:rPr>
          <w:lang w:val="en-US"/>
        </w:rPr>
        <w:t xml:space="preserve">containing a clot activator </w:t>
      </w:r>
      <w:r w:rsidR="00181125">
        <w:rPr>
          <w:lang w:val="en-US"/>
        </w:rPr>
        <w:t xml:space="preserve">(silica particles) </w:t>
      </w:r>
      <w:r>
        <w:rPr>
          <w:lang w:val="en-US"/>
        </w:rPr>
        <w:t>and incubated for 24h at 37°C</w:t>
      </w:r>
      <w:r w:rsidR="00A81952">
        <w:rPr>
          <w:lang w:val="en-US"/>
        </w:rPr>
        <w:t>.</w:t>
      </w:r>
      <w:r>
        <w:rPr>
          <w:lang w:val="en-US"/>
        </w:rPr>
        <w:t xml:space="preserve"> </w:t>
      </w:r>
      <w:r w:rsidR="003425C5">
        <w:rPr>
          <w:lang w:val="en-US"/>
        </w:rPr>
        <w:t xml:space="preserve">In addition, </w:t>
      </w:r>
      <w:r>
        <w:rPr>
          <w:lang w:val="en-US"/>
        </w:rPr>
        <w:t>thr</w:t>
      </w:r>
      <w:r w:rsidR="003C31F6">
        <w:rPr>
          <w:lang w:val="en-US"/>
        </w:rPr>
        <w:t>ombus retraction was assessed i</w:t>
      </w:r>
      <w:r>
        <w:rPr>
          <w:lang w:val="en-US"/>
        </w:rPr>
        <w:t xml:space="preserve">n PRP in which </w:t>
      </w:r>
      <w:r w:rsidR="003425C5">
        <w:rPr>
          <w:lang w:val="en-US"/>
        </w:rPr>
        <w:t>erythrocytes (</w:t>
      </w:r>
      <w:r w:rsidR="00A81952">
        <w:rPr>
          <w:lang w:val="en-US"/>
        </w:rPr>
        <w:t>2</w:t>
      </w:r>
      <w:r>
        <w:rPr>
          <w:lang w:val="en-US"/>
        </w:rPr>
        <w:t>%</w:t>
      </w:r>
      <w:r w:rsidR="003425C5">
        <w:rPr>
          <w:lang w:val="en-US"/>
        </w:rPr>
        <w:t xml:space="preserve">, </w:t>
      </w:r>
      <w:r>
        <w:rPr>
          <w:lang w:val="en-US"/>
        </w:rPr>
        <w:t>V/</w:t>
      </w:r>
      <w:r w:rsidR="00A81952">
        <w:rPr>
          <w:lang w:val="en-US"/>
        </w:rPr>
        <w:t>V</w:t>
      </w:r>
      <w:r>
        <w:rPr>
          <w:lang w:val="en-US"/>
        </w:rPr>
        <w:t>) w</w:t>
      </w:r>
      <w:r w:rsidR="004E3C28">
        <w:rPr>
          <w:lang w:val="en-US"/>
        </w:rPr>
        <w:t>ere</w:t>
      </w:r>
      <w:r>
        <w:rPr>
          <w:lang w:val="en-US"/>
        </w:rPr>
        <w:t xml:space="preserve"> added to visualize the platelet clot. Either </w:t>
      </w:r>
      <w:r w:rsidR="003425C5">
        <w:rPr>
          <w:lang w:val="en-US"/>
        </w:rPr>
        <w:t>c</w:t>
      </w:r>
      <w:r>
        <w:rPr>
          <w:lang w:val="en-US"/>
        </w:rPr>
        <w:t xml:space="preserve">alcium (20 </w:t>
      </w:r>
      <w:proofErr w:type="spellStart"/>
      <w:r>
        <w:rPr>
          <w:lang w:val="en-US"/>
        </w:rPr>
        <w:t>mM</w:t>
      </w:r>
      <w:proofErr w:type="spellEnd"/>
      <w:r>
        <w:rPr>
          <w:lang w:val="en-US"/>
        </w:rPr>
        <w:t xml:space="preserve">) or </w:t>
      </w:r>
      <w:r>
        <w:rPr>
          <w:lang w:val="en-US"/>
        </w:rPr>
        <w:lastRenderedPageBreak/>
        <w:t xml:space="preserve">thrombin (1U/ml) was added to the PRP and tests tubes were incubated at 37°C. Thrombus formation and retraction </w:t>
      </w:r>
      <w:r w:rsidR="003425C5">
        <w:rPr>
          <w:lang w:val="en-US"/>
        </w:rPr>
        <w:t xml:space="preserve">were </w:t>
      </w:r>
      <w:r>
        <w:rPr>
          <w:lang w:val="en-US"/>
        </w:rPr>
        <w:t>evaluated every 30 minutes up to 4h.</w:t>
      </w:r>
      <w:r w:rsidR="00106404">
        <w:rPr>
          <w:lang w:val="en-US"/>
        </w:rPr>
        <w:t xml:space="preserve"> </w:t>
      </w:r>
      <w:r w:rsidR="00106404" w:rsidRPr="003C31F6">
        <w:rPr>
          <w:i/>
          <w:lang w:val="en-US"/>
        </w:rPr>
        <w:t>ITGA2B</w:t>
      </w:r>
      <w:r w:rsidR="00106404">
        <w:rPr>
          <w:lang w:val="en-US"/>
        </w:rPr>
        <w:t xml:space="preserve"> and </w:t>
      </w:r>
      <w:r w:rsidR="00106404" w:rsidRPr="003C31F6">
        <w:rPr>
          <w:i/>
          <w:lang w:val="en-US"/>
        </w:rPr>
        <w:t>ITGB3</w:t>
      </w:r>
      <w:r w:rsidR="00106404">
        <w:rPr>
          <w:lang w:val="en-US"/>
        </w:rPr>
        <w:t xml:space="preserve"> genes were analyzed using high resolution melting and direct </w:t>
      </w:r>
      <w:proofErr w:type="spellStart"/>
      <w:r w:rsidR="00106404">
        <w:rPr>
          <w:lang w:val="en-US"/>
        </w:rPr>
        <w:t>exon</w:t>
      </w:r>
      <w:proofErr w:type="spellEnd"/>
      <w:r w:rsidR="00106404">
        <w:rPr>
          <w:lang w:val="en-US"/>
        </w:rPr>
        <w:t xml:space="preserve"> sequencing.</w:t>
      </w:r>
    </w:p>
    <w:p w:rsidR="008F4466" w:rsidRPr="008F4466" w:rsidRDefault="008F4466" w:rsidP="000021DB">
      <w:pPr>
        <w:ind w:firstLine="0"/>
        <w:rPr>
          <w:b/>
          <w:lang w:val="en-US"/>
        </w:rPr>
      </w:pPr>
      <w:r w:rsidRPr="008F4466">
        <w:rPr>
          <w:b/>
          <w:lang w:val="en-US"/>
        </w:rPr>
        <w:t>Results</w:t>
      </w:r>
    </w:p>
    <w:p w:rsidR="00833E85" w:rsidRDefault="008578BF" w:rsidP="000021DB">
      <w:pPr>
        <w:ind w:firstLine="0"/>
        <w:rPr>
          <w:lang w:val="en-US"/>
        </w:rPr>
      </w:pPr>
      <w:r>
        <w:rPr>
          <w:lang w:val="en-US"/>
        </w:rPr>
        <w:t>Laboratory investigations displayed the c</w:t>
      </w:r>
      <w:r w:rsidR="000F524C">
        <w:rPr>
          <w:lang w:val="en-US"/>
        </w:rPr>
        <w:t xml:space="preserve">lassical </w:t>
      </w:r>
      <w:r>
        <w:rPr>
          <w:lang w:val="en-US"/>
        </w:rPr>
        <w:t xml:space="preserve">phenotypic presentation of GT. </w:t>
      </w:r>
      <w:r w:rsidR="00437AF1">
        <w:rPr>
          <w:lang w:val="en-US"/>
        </w:rPr>
        <w:t xml:space="preserve">Blood cell count and in particular platelet </w:t>
      </w:r>
      <w:r>
        <w:rPr>
          <w:lang w:val="en-US"/>
        </w:rPr>
        <w:t>count was within normal range (150-350 x10</w:t>
      </w:r>
      <w:r w:rsidRPr="008578BF">
        <w:rPr>
          <w:vertAlign w:val="superscript"/>
          <w:lang w:val="en-US"/>
        </w:rPr>
        <w:t>3</w:t>
      </w:r>
      <w:r>
        <w:rPr>
          <w:lang w:val="en-US"/>
        </w:rPr>
        <w:t>/mm</w:t>
      </w:r>
      <w:r w:rsidRPr="008578BF">
        <w:rPr>
          <w:vertAlign w:val="superscript"/>
          <w:lang w:val="en-US"/>
        </w:rPr>
        <w:t>3</w:t>
      </w:r>
      <w:r>
        <w:rPr>
          <w:lang w:val="en-US"/>
        </w:rPr>
        <w:t>)</w:t>
      </w:r>
      <w:r w:rsidR="00437AF1">
        <w:rPr>
          <w:lang w:val="en-US"/>
        </w:rPr>
        <w:t xml:space="preserve">. Routine coagulation tests (PT, </w:t>
      </w:r>
      <w:proofErr w:type="spellStart"/>
      <w:r w:rsidR="00437AF1">
        <w:rPr>
          <w:lang w:val="en-US"/>
        </w:rPr>
        <w:t>aPTT</w:t>
      </w:r>
      <w:proofErr w:type="spellEnd"/>
      <w:r w:rsidR="00437AF1">
        <w:rPr>
          <w:lang w:val="en-US"/>
        </w:rPr>
        <w:t>, TT) showed no abnormality.</w:t>
      </w:r>
      <w:r w:rsidR="004E3C28">
        <w:rPr>
          <w:lang w:val="en-US"/>
        </w:rPr>
        <w:t xml:space="preserve"> </w:t>
      </w:r>
      <w:r w:rsidR="00437AF1">
        <w:rPr>
          <w:lang w:val="en-US"/>
        </w:rPr>
        <w:t>PFA</w:t>
      </w:r>
      <w:r w:rsidR="003425C5">
        <w:rPr>
          <w:lang w:val="en-US"/>
        </w:rPr>
        <w:t>-</w:t>
      </w:r>
      <w:r w:rsidR="00437AF1">
        <w:rPr>
          <w:lang w:val="en-US"/>
        </w:rPr>
        <w:t>100 closure time was markedly prolonged using both collagen-epinephrin</w:t>
      </w:r>
      <w:r w:rsidR="003C31F6">
        <w:rPr>
          <w:lang w:val="en-US"/>
        </w:rPr>
        <w:t>e</w:t>
      </w:r>
      <w:r w:rsidR="00437AF1">
        <w:rPr>
          <w:lang w:val="en-US"/>
        </w:rPr>
        <w:t xml:space="preserve"> (&gt;300 sec) and collagen-ADP cartridge</w:t>
      </w:r>
      <w:r w:rsidR="004C09F5">
        <w:rPr>
          <w:lang w:val="en-US"/>
        </w:rPr>
        <w:t>s</w:t>
      </w:r>
      <w:r w:rsidR="00437AF1">
        <w:rPr>
          <w:lang w:val="en-US"/>
        </w:rPr>
        <w:t xml:space="preserve"> (&gt;292 sec). A</w:t>
      </w:r>
      <w:r w:rsidR="000F524C">
        <w:rPr>
          <w:lang w:val="en-US"/>
        </w:rPr>
        <w:t>s expected</w:t>
      </w:r>
      <w:r w:rsidR="00437AF1">
        <w:rPr>
          <w:lang w:val="en-US"/>
        </w:rPr>
        <w:t xml:space="preserve">, </w:t>
      </w:r>
      <w:r w:rsidR="00A2265D">
        <w:rPr>
          <w:lang w:val="en-US"/>
        </w:rPr>
        <w:t xml:space="preserve">PRP </w:t>
      </w:r>
      <w:r w:rsidR="00437AF1">
        <w:rPr>
          <w:lang w:val="en-US"/>
        </w:rPr>
        <w:t>aggregation assay showed</w:t>
      </w:r>
      <w:r w:rsidR="000F524C">
        <w:rPr>
          <w:lang w:val="en-US"/>
        </w:rPr>
        <w:t xml:space="preserve"> absence of platelet response to ADP </w:t>
      </w:r>
      <w:r w:rsidR="004E3C28">
        <w:rPr>
          <w:lang w:val="en-US"/>
        </w:rPr>
        <w:t>(</w:t>
      </w:r>
      <w:r w:rsidR="000F524C">
        <w:rPr>
          <w:lang w:val="en-US"/>
        </w:rPr>
        <w:t>5 µM</w:t>
      </w:r>
      <w:r w:rsidR="004E3C28">
        <w:rPr>
          <w:lang w:val="en-US"/>
        </w:rPr>
        <w:t>)</w:t>
      </w:r>
      <w:r w:rsidR="000F524C">
        <w:rPr>
          <w:lang w:val="en-US"/>
        </w:rPr>
        <w:t xml:space="preserve">, collagen </w:t>
      </w:r>
      <w:r w:rsidR="004E3C28">
        <w:rPr>
          <w:lang w:val="en-US"/>
        </w:rPr>
        <w:t>(</w:t>
      </w:r>
      <w:r w:rsidR="000F524C">
        <w:rPr>
          <w:lang w:val="en-US"/>
        </w:rPr>
        <w:t>2 µg/ml</w:t>
      </w:r>
      <w:r w:rsidR="004E3C28">
        <w:rPr>
          <w:lang w:val="en-US"/>
        </w:rPr>
        <w:t>)</w:t>
      </w:r>
      <w:r w:rsidR="000F524C">
        <w:rPr>
          <w:lang w:val="en-US"/>
        </w:rPr>
        <w:t>, epinephrin</w:t>
      </w:r>
      <w:r w:rsidR="003C31F6">
        <w:rPr>
          <w:lang w:val="en-US"/>
        </w:rPr>
        <w:t>e</w:t>
      </w:r>
      <w:r w:rsidR="000F524C">
        <w:rPr>
          <w:lang w:val="en-US"/>
        </w:rPr>
        <w:t xml:space="preserve"> </w:t>
      </w:r>
      <w:r w:rsidR="004E3C28">
        <w:rPr>
          <w:lang w:val="en-US"/>
        </w:rPr>
        <w:t>(</w:t>
      </w:r>
      <w:r w:rsidR="000F524C">
        <w:rPr>
          <w:lang w:val="en-US"/>
        </w:rPr>
        <w:t>5 µM</w:t>
      </w:r>
      <w:r w:rsidR="004E3C28">
        <w:rPr>
          <w:lang w:val="en-US"/>
        </w:rPr>
        <w:t>)</w:t>
      </w:r>
      <w:r w:rsidR="003425C5">
        <w:rPr>
          <w:lang w:val="en-US"/>
        </w:rPr>
        <w:t xml:space="preserve"> and</w:t>
      </w:r>
      <w:r w:rsidR="000F524C">
        <w:rPr>
          <w:lang w:val="en-US"/>
        </w:rPr>
        <w:t xml:space="preserve"> </w:t>
      </w:r>
      <w:proofErr w:type="spellStart"/>
      <w:r w:rsidR="000F524C">
        <w:rPr>
          <w:lang w:val="en-US"/>
        </w:rPr>
        <w:t>arachidonic</w:t>
      </w:r>
      <w:proofErr w:type="spellEnd"/>
      <w:r w:rsidR="000F524C">
        <w:rPr>
          <w:lang w:val="en-US"/>
        </w:rPr>
        <w:t xml:space="preserve"> acid </w:t>
      </w:r>
      <w:r w:rsidR="004E3C28">
        <w:rPr>
          <w:lang w:val="en-US"/>
        </w:rPr>
        <w:t>(</w:t>
      </w:r>
      <w:r w:rsidR="000F524C">
        <w:rPr>
          <w:lang w:val="en-US"/>
        </w:rPr>
        <w:t xml:space="preserve">1 </w:t>
      </w:r>
      <w:proofErr w:type="spellStart"/>
      <w:r w:rsidR="000F524C">
        <w:rPr>
          <w:lang w:val="en-US"/>
        </w:rPr>
        <w:t>mM</w:t>
      </w:r>
      <w:proofErr w:type="spellEnd"/>
      <w:r w:rsidR="004E3C28">
        <w:rPr>
          <w:lang w:val="en-US"/>
        </w:rPr>
        <w:t>)</w:t>
      </w:r>
      <w:r w:rsidR="005727F0">
        <w:rPr>
          <w:lang w:val="en-US"/>
        </w:rPr>
        <w:t>,</w:t>
      </w:r>
      <w:r w:rsidR="000F524C">
        <w:rPr>
          <w:lang w:val="en-US"/>
        </w:rPr>
        <w:t xml:space="preserve"> </w:t>
      </w:r>
      <w:r w:rsidR="00437AF1">
        <w:rPr>
          <w:lang w:val="en-US"/>
        </w:rPr>
        <w:t>while</w:t>
      </w:r>
      <w:r w:rsidR="000F524C">
        <w:rPr>
          <w:lang w:val="en-US"/>
        </w:rPr>
        <w:t xml:space="preserve"> </w:t>
      </w:r>
      <w:proofErr w:type="spellStart"/>
      <w:r w:rsidR="000F524C">
        <w:rPr>
          <w:lang w:val="en-US"/>
        </w:rPr>
        <w:t>ristocetin</w:t>
      </w:r>
      <w:proofErr w:type="spellEnd"/>
      <w:r w:rsidR="00437AF1">
        <w:rPr>
          <w:lang w:val="en-US"/>
        </w:rPr>
        <w:t>-induced agglutination remained normal.</w:t>
      </w:r>
      <w:r w:rsidR="009D6D3B">
        <w:rPr>
          <w:lang w:val="en-US"/>
        </w:rPr>
        <w:t xml:space="preserve"> </w:t>
      </w:r>
      <w:r w:rsidR="003425C5">
        <w:rPr>
          <w:lang w:val="en-US"/>
        </w:rPr>
        <w:t xml:space="preserve">The expression of </w:t>
      </w:r>
      <w:r w:rsidR="000F524C" w:rsidRPr="000F524C">
        <w:rPr>
          <w:rFonts w:ascii="Symbol" w:hAnsi="Symbol"/>
          <w:lang w:val="en-US"/>
        </w:rPr>
        <w:t></w:t>
      </w:r>
      <w:r w:rsidR="000F524C" w:rsidRPr="000F524C">
        <w:rPr>
          <w:vertAlign w:val="subscript"/>
          <w:lang w:val="en-US"/>
        </w:rPr>
        <w:t>IIb</w:t>
      </w:r>
      <w:r w:rsidR="000F524C" w:rsidRPr="000F524C">
        <w:rPr>
          <w:rFonts w:ascii="Symbol" w:hAnsi="Symbol"/>
          <w:lang w:val="en-US"/>
        </w:rPr>
        <w:t></w:t>
      </w:r>
      <w:r w:rsidR="000F524C" w:rsidRPr="000F524C">
        <w:rPr>
          <w:vertAlign w:val="subscript"/>
          <w:lang w:val="en-US"/>
        </w:rPr>
        <w:t>3</w:t>
      </w:r>
      <w:r w:rsidR="000F524C">
        <w:rPr>
          <w:lang w:val="en-US"/>
        </w:rPr>
        <w:t xml:space="preserve"> </w:t>
      </w:r>
      <w:proofErr w:type="spellStart"/>
      <w:r w:rsidR="000F524C">
        <w:rPr>
          <w:lang w:val="en-US"/>
        </w:rPr>
        <w:t>integrin</w:t>
      </w:r>
      <w:proofErr w:type="spellEnd"/>
      <w:r w:rsidR="000F524C">
        <w:rPr>
          <w:lang w:val="en-US"/>
        </w:rPr>
        <w:t xml:space="preserve"> was reduced to 14% of normal as compared to an age-matched control population</w:t>
      </w:r>
      <w:r w:rsidR="00106404">
        <w:rPr>
          <w:lang w:val="en-US"/>
        </w:rPr>
        <w:t>.</w:t>
      </w:r>
      <w:r w:rsidR="009D6D3B">
        <w:rPr>
          <w:lang w:val="en-US"/>
        </w:rPr>
        <w:t xml:space="preserve"> </w:t>
      </w:r>
      <w:r w:rsidR="000F524C">
        <w:rPr>
          <w:lang w:val="en-US"/>
        </w:rPr>
        <w:t xml:space="preserve">Clot retraction was severely impaired in both </w:t>
      </w:r>
      <w:proofErr w:type="spellStart"/>
      <w:r w:rsidR="000F524C">
        <w:rPr>
          <w:lang w:val="en-US"/>
        </w:rPr>
        <w:t>recalcified</w:t>
      </w:r>
      <w:proofErr w:type="spellEnd"/>
      <w:r w:rsidR="000F524C">
        <w:rPr>
          <w:lang w:val="en-US"/>
        </w:rPr>
        <w:t xml:space="preserve"> </w:t>
      </w:r>
      <w:r w:rsidR="00A2265D">
        <w:rPr>
          <w:lang w:val="en-US"/>
        </w:rPr>
        <w:t>PRP</w:t>
      </w:r>
      <w:r w:rsidR="000F524C">
        <w:rPr>
          <w:lang w:val="en-US"/>
        </w:rPr>
        <w:t xml:space="preserve"> and whole blood.</w:t>
      </w:r>
      <w:r w:rsidR="009F25FB">
        <w:rPr>
          <w:lang w:val="en-US"/>
        </w:rPr>
        <w:t xml:space="preserve"> Thrombus retraction was virtually absent 20 min and up to 4 hours upon </w:t>
      </w:r>
      <w:proofErr w:type="spellStart"/>
      <w:r w:rsidR="009F25FB">
        <w:rPr>
          <w:lang w:val="en-US"/>
        </w:rPr>
        <w:t>recalcification</w:t>
      </w:r>
      <w:proofErr w:type="spellEnd"/>
      <w:r w:rsidR="009F25FB">
        <w:rPr>
          <w:lang w:val="en-US"/>
        </w:rPr>
        <w:t xml:space="preserve"> and </w:t>
      </w:r>
      <w:r w:rsidR="003425C5">
        <w:rPr>
          <w:lang w:val="en-US"/>
        </w:rPr>
        <w:t xml:space="preserve">remained </w:t>
      </w:r>
      <w:r w:rsidR="009F25FB">
        <w:rPr>
          <w:lang w:val="en-US"/>
        </w:rPr>
        <w:t xml:space="preserve">strongly inhibited even 4 hours after addition of 1 U/ml thrombin, as compared to PRP from </w:t>
      </w:r>
      <w:r w:rsidR="003425C5">
        <w:rPr>
          <w:lang w:val="en-US"/>
        </w:rPr>
        <w:t xml:space="preserve">a </w:t>
      </w:r>
      <w:r w:rsidR="009F25FB">
        <w:rPr>
          <w:lang w:val="en-US"/>
        </w:rPr>
        <w:t>healthy donor.</w:t>
      </w:r>
      <w:r w:rsidR="009D6D3B">
        <w:rPr>
          <w:lang w:val="en-US"/>
        </w:rPr>
        <w:t xml:space="preserve"> </w:t>
      </w:r>
      <w:r w:rsidR="00833E85">
        <w:rPr>
          <w:lang w:val="en-US"/>
        </w:rPr>
        <w:t xml:space="preserve">Genetic analysis </w:t>
      </w:r>
      <w:r w:rsidR="00033E96">
        <w:rPr>
          <w:lang w:val="en-US"/>
        </w:rPr>
        <w:t>revealed</w:t>
      </w:r>
      <w:r w:rsidR="00833E85">
        <w:rPr>
          <w:lang w:val="en-US"/>
        </w:rPr>
        <w:t xml:space="preserve"> a previously unidentified mutation in </w:t>
      </w:r>
      <w:proofErr w:type="spellStart"/>
      <w:r w:rsidR="00833E85">
        <w:rPr>
          <w:lang w:val="en-US"/>
        </w:rPr>
        <w:t>exon</w:t>
      </w:r>
      <w:proofErr w:type="spellEnd"/>
      <w:r w:rsidR="00833E85">
        <w:rPr>
          <w:lang w:val="en-US"/>
        </w:rPr>
        <w:t xml:space="preserve"> 18 of the ITGA2B gene. The </w:t>
      </w:r>
      <w:proofErr w:type="spellStart"/>
      <w:r w:rsidR="00833E85">
        <w:rPr>
          <w:lang w:val="en-US"/>
        </w:rPr>
        <w:t>missense</w:t>
      </w:r>
      <w:proofErr w:type="spellEnd"/>
      <w:r w:rsidR="00833E85">
        <w:rPr>
          <w:lang w:val="en-US"/>
        </w:rPr>
        <w:t xml:space="preserve"> mutation (c.1722A&gt;C) led to the substitution of the Asp591 to an Ala residue of the </w:t>
      </w:r>
      <w:r w:rsidR="00833E85" w:rsidRPr="00033E96">
        <w:rPr>
          <w:rFonts w:ascii="Symbol" w:hAnsi="Symbol"/>
          <w:lang w:val="en-US"/>
        </w:rPr>
        <w:t></w:t>
      </w:r>
      <w:proofErr w:type="spellStart"/>
      <w:r w:rsidR="00833E85">
        <w:rPr>
          <w:lang w:val="en-US"/>
        </w:rPr>
        <w:t>IIb</w:t>
      </w:r>
      <w:proofErr w:type="spellEnd"/>
      <w:r w:rsidR="00833E85">
        <w:rPr>
          <w:lang w:val="en-US"/>
        </w:rPr>
        <w:t xml:space="preserve"> subunit</w:t>
      </w:r>
      <w:r w:rsidR="00202680">
        <w:rPr>
          <w:lang w:val="en-US"/>
        </w:rPr>
        <w:t>.</w:t>
      </w:r>
      <w:r w:rsidR="009D6D3B">
        <w:rPr>
          <w:lang w:val="en-US"/>
        </w:rPr>
        <w:t xml:space="preserve"> </w:t>
      </w:r>
      <w:r w:rsidR="00833E85">
        <w:rPr>
          <w:lang w:val="en-US"/>
        </w:rPr>
        <w:t>Intriguingly, our patient was homozygous for the mutation although no notion of consanguinity appeared in her family history.</w:t>
      </w:r>
    </w:p>
    <w:p w:rsidR="008F4466" w:rsidRPr="008F4466" w:rsidRDefault="008F4466" w:rsidP="000021DB">
      <w:pPr>
        <w:ind w:firstLine="0"/>
        <w:rPr>
          <w:b/>
          <w:lang w:val="en-US"/>
        </w:rPr>
      </w:pPr>
      <w:r w:rsidRPr="008F4466">
        <w:rPr>
          <w:b/>
          <w:lang w:val="en-US"/>
        </w:rPr>
        <w:t>Summary/Conclusions</w:t>
      </w:r>
    </w:p>
    <w:p w:rsidR="008F4466" w:rsidRDefault="00833E85" w:rsidP="000021DB">
      <w:pPr>
        <w:ind w:firstLine="0"/>
        <w:rPr>
          <w:lang w:val="en-US"/>
        </w:rPr>
      </w:pPr>
      <w:r>
        <w:rPr>
          <w:lang w:val="en-US"/>
        </w:rPr>
        <w:t xml:space="preserve">We identified a novel mutation in the </w:t>
      </w:r>
      <w:r w:rsidR="00033E96" w:rsidRPr="00033E96">
        <w:rPr>
          <w:rFonts w:ascii="Symbol" w:hAnsi="Symbol"/>
          <w:lang w:val="en-US"/>
        </w:rPr>
        <w:t></w:t>
      </w:r>
      <w:proofErr w:type="spellStart"/>
      <w:r>
        <w:rPr>
          <w:lang w:val="en-US"/>
        </w:rPr>
        <w:t>IIb</w:t>
      </w:r>
      <w:proofErr w:type="spellEnd"/>
      <w:r>
        <w:rPr>
          <w:lang w:val="en-US"/>
        </w:rPr>
        <w:t xml:space="preserve"> subunit resulting in </w:t>
      </w:r>
      <w:proofErr w:type="spellStart"/>
      <w:r>
        <w:rPr>
          <w:lang w:val="en-US"/>
        </w:rPr>
        <w:t>Glanzmann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Thrombasthenia</w:t>
      </w:r>
      <w:proofErr w:type="spellEnd"/>
      <w:r>
        <w:rPr>
          <w:lang w:val="en-US"/>
        </w:rPr>
        <w:t>.</w:t>
      </w:r>
    </w:p>
    <w:p w:rsidR="00B7368F" w:rsidRDefault="00B7368F" w:rsidP="000021DB">
      <w:pPr>
        <w:ind w:firstLine="0"/>
        <w:rPr>
          <w:lang w:val="en-US"/>
        </w:rPr>
      </w:pPr>
    </w:p>
    <w:p w:rsidR="00561D52" w:rsidRDefault="00561D52" w:rsidP="000021DB">
      <w:pPr>
        <w:ind w:firstLine="0"/>
        <w:rPr>
          <w:lang w:val="en-US"/>
        </w:rPr>
      </w:pPr>
    </w:p>
    <w:p w:rsidR="00561D52" w:rsidRDefault="00561D52" w:rsidP="00561D52">
      <w:pPr>
        <w:ind w:firstLine="0"/>
        <w:rPr>
          <w:lang w:val="en-US"/>
        </w:rPr>
      </w:pPr>
      <w:proofErr w:type="gramStart"/>
      <w:r>
        <w:rPr>
          <w:lang w:val="en-US"/>
        </w:rPr>
        <w:t>Category :</w:t>
      </w:r>
      <w:proofErr w:type="gramEnd"/>
      <w:r>
        <w:rPr>
          <w:lang w:val="en-US"/>
        </w:rPr>
        <w:t xml:space="preserve"> “Clinical and Laboratory”</w:t>
      </w:r>
    </w:p>
    <w:p w:rsidR="00B7368F" w:rsidRPr="00E57A55" w:rsidRDefault="00B7368F" w:rsidP="00561D52">
      <w:pPr>
        <w:ind w:firstLine="0"/>
      </w:pPr>
    </w:p>
    <w:sectPr w:rsidR="00B7368F" w:rsidRPr="00E57A55" w:rsidSect="0075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761C"/>
    <w:multiLevelType w:val="hybridMultilevel"/>
    <w:tmpl w:val="1B922912"/>
    <w:lvl w:ilvl="0" w:tplc="EF229D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D167A"/>
    <w:multiLevelType w:val="hybridMultilevel"/>
    <w:tmpl w:val="9E0817E4"/>
    <w:lvl w:ilvl="0" w:tplc="7BEEDA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EC7"/>
    <w:rsid w:val="000021DB"/>
    <w:rsid w:val="00033E96"/>
    <w:rsid w:val="000510C6"/>
    <w:rsid w:val="000A506C"/>
    <w:rsid w:val="000B5FE0"/>
    <w:rsid w:val="000E24EA"/>
    <w:rsid w:val="000F3038"/>
    <w:rsid w:val="000F524C"/>
    <w:rsid w:val="00106404"/>
    <w:rsid w:val="00126994"/>
    <w:rsid w:val="00170A73"/>
    <w:rsid w:val="00181125"/>
    <w:rsid w:val="00193313"/>
    <w:rsid w:val="00202680"/>
    <w:rsid w:val="002850C6"/>
    <w:rsid w:val="002B200C"/>
    <w:rsid w:val="002B59F7"/>
    <w:rsid w:val="002D2CB1"/>
    <w:rsid w:val="002E5504"/>
    <w:rsid w:val="003003E0"/>
    <w:rsid w:val="00305D96"/>
    <w:rsid w:val="00311AFD"/>
    <w:rsid w:val="003425C5"/>
    <w:rsid w:val="003654AB"/>
    <w:rsid w:val="00367DA8"/>
    <w:rsid w:val="00371059"/>
    <w:rsid w:val="003C31F6"/>
    <w:rsid w:val="003E7F31"/>
    <w:rsid w:val="003F074B"/>
    <w:rsid w:val="003F524D"/>
    <w:rsid w:val="00422DD7"/>
    <w:rsid w:val="00437AF1"/>
    <w:rsid w:val="004C0953"/>
    <w:rsid w:val="004C09F5"/>
    <w:rsid w:val="004E3C28"/>
    <w:rsid w:val="004F3DF4"/>
    <w:rsid w:val="0056030B"/>
    <w:rsid w:val="00561D52"/>
    <w:rsid w:val="005655A8"/>
    <w:rsid w:val="005727F0"/>
    <w:rsid w:val="005F5430"/>
    <w:rsid w:val="00600660"/>
    <w:rsid w:val="006077B8"/>
    <w:rsid w:val="0061719A"/>
    <w:rsid w:val="006226A8"/>
    <w:rsid w:val="006D4B07"/>
    <w:rsid w:val="00755FE8"/>
    <w:rsid w:val="008147B0"/>
    <w:rsid w:val="00824EC7"/>
    <w:rsid w:val="00833E85"/>
    <w:rsid w:val="008578BF"/>
    <w:rsid w:val="00890ED6"/>
    <w:rsid w:val="008969A8"/>
    <w:rsid w:val="008A3838"/>
    <w:rsid w:val="008C3490"/>
    <w:rsid w:val="008C7A9B"/>
    <w:rsid w:val="008D11C0"/>
    <w:rsid w:val="008F4466"/>
    <w:rsid w:val="00912763"/>
    <w:rsid w:val="00972F99"/>
    <w:rsid w:val="009D6D3B"/>
    <w:rsid w:val="009F25FB"/>
    <w:rsid w:val="00A2265D"/>
    <w:rsid w:val="00A70240"/>
    <w:rsid w:val="00A81952"/>
    <w:rsid w:val="00B064A8"/>
    <w:rsid w:val="00B27A49"/>
    <w:rsid w:val="00B44448"/>
    <w:rsid w:val="00B7368F"/>
    <w:rsid w:val="00BC71FF"/>
    <w:rsid w:val="00C14623"/>
    <w:rsid w:val="00C258E2"/>
    <w:rsid w:val="00C60337"/>
    <w:rsid w:val="00C72D82"/>
    <w:rsid w:val="00C73E0B"/>
    <w:rsid w:val="00C95209"/>
    <w:rsid w:val="00CA7C32"/>
    <w:rsid w:val="00CC3F4F"/>
    <w:rsid w:val="00D13B73"/>
    <w:rsid w:val="00D36B73"/>
    <w:rsid w:val="00D426DB"/>
    <w:rsid w:val="00D4365B"/>
    <w:rsid w:val="00D80B08"/>
    <w:rsid w:val="00D91E77"/>
    <w:rsid w:val="00E02A41"/>
    <w:rsid w:val="00E04B43"/>
    <w:rsid w:val="00E57A55"/>
    <w:rsid w:val="00F52928"/>
    <w:rsid w:val="00F95366"/>
    <w:rsid w:val="00FA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21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5C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258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58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58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58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58E2"/>
    <w:rPr>
      <w:b/>
      <w:bCs/>
    </w:rPr>
  </w:style>
  <w:style w:type="paragraph" w:styleId="Rvision">
    <w:name w:val="Revision"/>
    <w:hidden/>
    <w:uiPriority w:val="99"/>
    <w:semiHidden/>
    <w:rsid w:val="00C258E2"/>
    <w:pPr>
      <w:spacing w:after="0" w:line="240" w:lineRule="auto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LECUT</dc:creator>
  <cp:lastModifiedBy>Christelle LECUT</cp:lastModifiedBy>
  <cp:revision>4</cp:revision>
  <dcterms:created xsi:type="dcterms:W3CDTF">2017-01-11T09:14:00Z</dcterms:created>
  <dcterms:modified xsi:type="dcterms:W3CDTF">2017-01-11T09:20:00Z</dcterms:modified>
</cp:coreProperties>
</file>