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EA" w:rsidRPr="00A337EA" w:rsidRDefault="00A337EA" w:rsidP="00A337EA">
      <w:pPr>
        <w:pBdr>
          <w:bottom w:val="single" w:sz="6" w:space="15" w:color="EFEFEF"/>
        </w:pBdr>
        <w:spacing w:after="0" w:line="240" w:lineRule="auto"/>
        <w:outlineLvl w:val="3"/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</w:pPr>
      <w:r w:rsidRPr="00A337EA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 xml:space="preserve">Le Syndrome de De </w:t>
      </w:r>
      <w:proofErr w:type="spellStart"/>
      <w:r w:rsidRPr="00A337EA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Morsier</w:t>
      </w:r>
      <w:proofErr w:type="spellEnd"/>
      <w:r w:rsidRPr="00A337EA">
        <w:rPr>
          <w:rFonts w:ascii="Montserrat" w:eastAsia="Times New Roman" w:hAnsi="Montserrat" w:cs="Arial"/>
          <w:color w:val="010101"/>
          <w:sz w:val="36"/>
          <w:szCs w:val="36"/>
          <w:lang w:eastAsia="fr-BE"/>
        </w:rPr>
        <w:t> : une cause congénitale méconnue d’hypopituitarisme.</w:t>
      </w:r>
    </w:p>
    <w:p w:rsidR="00A337EA" w:rsidRPr="00A337EA" w:rsidRDefault="00A337EA" w:rsidP="00A337EA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Valdes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-Socin*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A.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Verloes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b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FG.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Debray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C.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Libioulle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c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(Dr), A.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Pintiaux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d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P.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Maquet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(Pr), A. 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Beckers</w:t>
      </w:r>
      <w:r w:rsidRPr="00A337EA">
        <w:rPr>
          <w:rFonts w:ascii="Open Sans" w:eastAsia="Times New Roman" w:hAnsi="Open Sans" w:cs="Arial"/>
          <w:color w:val="333333"/>
          <w:sz w:val="16"/>
          <w:szCs w:val="16"/>
          <w:vertAlign w:val="superscript"/>
          <w:lang w:eastAsia="fr-BE"/>
        </w:rPr>
        <w:t>a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 (Pr)</w:t>
      </w:r>
    </w:p>
    <w:p w:rsidR="00A337EA" w:rsidRPr="00A337EA" w:rsidRDefault="00A337EA" w:rsidP="00A337EA">
      <w:pPr>
        <w:spacing w:after="0" w:line="360" w:lineRule="atLeast"/>
        <w:jc w:val="both"/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</w:pPr>
      <w:r w:rsidRPr="00A337EA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a</w:t>
      </w:r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Service </w:t>
      </w:r>
      <w:proofErr w:type="gramStart"/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d' Endocrinologie</w:t>
      </w:r>
      <w:proofErr w:type="gramEnd"/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. CHU de Liège, Liège, BELGIQUE ; </w:t>
      </w:r>
      <w:r w:rsidRPr="00A337EA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b</w:t>
      </w:r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Département de Génétique - Hôpital Robert DEBRE, Paris, FRANCE ; </w:t>
      </w:r>
      <w:r w:rsidRPr="00A337EA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c</w:t>
      </w:r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Service de Génétique - CHU de Liège, Liège, BELGIQUE ; </w:t>
      </w:r>
      <w:r w:rsidRPr="00A337EA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d</w:t>
      </w:r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 xml:space="preserve"> Service de Gynécologie - CHU de Liège, Liège, BELGIQUE ; </w:t>
      </w:r>
      <w:r w:rsidRPr="00A337EA">
        <w:rPr>
          <w:rFonts w:ascii="Open Sans" w:eastAsia="Times New Roman" w:hAnsi="Open Sans" w:cs="Arial"/>
          <w:i/>
          <w:iCs/>
          <w:color w:val="333333"/>
          <w:sz w:val="14"/>
          <w:szCs w:val="14"/>
          <w:vertAlign w:val="superscript"/>
          <w:lang w:eastAsia="fr-BE"/>
        </w:rPr>
        <w:t>e</w:t>
      </w:r>
      <w:r w:rsidRPr="00A337EA">
        <w:rPr>
          <w:rFonts w:ascii="Open Sans" w:eastAsia="Times New Roman" w:hAnsi="Open Sans" w:cs="Arial"/>
          <w:i/>
          <w:iCs/>
          <w:color w:val="333333"/>
          <w:sz w:val="19"/>
          <w:szCs w:val="19"/>
          <w:lang w:eastAsia="fr-BE"/>
        </w:rPr>
        <w:t> Service de Neurologie. CHU de Liège, Liège, BELGIQUE</w:t>
      </w:r>
    </w:p>
    <w:p w:rsidR="00A337EA" w:rsidRPr="00A337EA" w:rsidRDefault="00A337EA" w:rsidP="00A337EA">
      <w:pPr>
        <w:spacing w:after="0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A337EA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* hg.valdessocin@chu.ulg.ac.be</w:t>
      </w:r>
    </w:p>
    <w:p w:rsidR="00A337EA" w:rsidRPr="00A337EA" w:rsidRDefault="00A337EA" w:rsidP="00A337EA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A337EA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>Introduction :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Georges De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Morsier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décrit en 1956 une malformation du tractus optique associée à une agénésie du </w:t>
      </w:r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 xml:space="preserve">septum </w:t>
      </w:r>
      <w:proofErr w:type="spellStart"/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lucidum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. Le syndrome de De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Morsier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ou dysplasie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septo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-optique (DSO) peut améliorer notre compréhension des mécanismes congénitaux de dysfonctionnement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neurohypophysaire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.</w:t>
      </w:r>
    </w:p>
    <w:p w:rsidR="00A337EA" w:rsidRPr="00A337EA" w:rsidRDefault="00A337EA" w:rsidP="00A337EA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A337EA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 xml:space="preserve">Cas : 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Une fillette présente dès six semaines de vie, des convulsions et un nystagmus révélant un diabète insipide, traité par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Minirin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. Elle a une dysplasie des bandelettes optiques, une agénésie partielle du corps calleux et du septum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pellucidum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, ainsi que l’absence de neurohypophyse. On constate un retard psychomoteur et une obésité/hyperphagie pendant l’enfance. Elle présente ultérieurement un retard pubertaire avec hypogonadisme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hypogonadotrope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, un déficit surrénalien et en GH (ces deux derniers supplémentés). A 20 ans, elle présente une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hyperprolactinémie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à 881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mUI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/L et une hypothyroïdie sur Thyroïdite de Hashimoto, normalisés par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Lévothyroxine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. A 22 ans surviennent des épisodes d’hypothermie sévère, améliorés par l’administration de doses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supraphysiologiques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de T3. La recherche d’un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Prader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-Willy et une analyse CGH ne sont pas contributifs. Le diagnostic de Syndrome de DSO avec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panhypopituitarisme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est retenu. Aucune mutation du gène </w:t>
      </w:r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HESX1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a été retrouvée.</w:t>
      </w:r>
    </w:p>
    <w:p w:rsidR="00A337EA" w:rsidRPr="00A337EA" w:rsidRDefault="00A337EA" w:rsidP="00A337EA">
      <w:pPr>
        <w:spacing w:before="288" w:after="288" w:line="360" w:lineRule="atLeast"/>
        <w:jc w:val="both"/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</w:pPr>
      <w:r w:rsidRPr="00A337EA">
        <w:rPr>
          <w:rFonts w:ascii="Open Sans" w:eastAsia="Times New Roman" w:hAnsi="Open Sans" w:cs="Arial"/>
          <w:b/>
          <w:bCs/>
          <w:color w:val="333333"/>
          <w:sz w:val="21"/>
          <w:szCs w:val="21"/>
          <w:lang w:eastAsia="fr-BE"/>
        </w:rPr>
        <w:t xml:space="preserve">Conclusions : 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La DSO est une maladie rare (1/10 000 naissances) qui est affirmée lorsque deux de ces trois anomalies sont présentes : (1) hypoplasie du nerf optique, (2) anomalies de la ligne moyenne, (3) anomalies hypophysaires. Elle peut s’associer à un syndrome d’exposition fœtale au </w:t>
      </w:r>
      <w:proofErr w:type="spellStart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valproate</w:t>
      </w:r>
      <w:proofErr w:type="spellEnd"/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. Dans moins de 1% des cas avec DSO, on identifie des mutations homozygotes et hétérozygotes des gènes du développement hypophysaire tels que </w:t>
      </w:r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HESX1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, </w:t>
      </w:r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SOX2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 xml:space="preserve"> et </w:t>
      </w:r>
      <w:r w:rsidRPr="00A337EA">
        <w:rPr>
          <w:rFonts w:ascii="Open Sans" w:eastAsia="Times New Roman" w:hAnsi="Open Sans" w:cs="Arial"/>
          <w:i/>
          <w:iCs/>
          <w:color w:val="333333"/>
          <w:sz w:val="21"/>
          <w:szCs w:val="21"/>
          <w:lang w:eastAsia="fr-BE"/>
        </w:rPr>
        <w:t>SOX3</w:t>
      </w:r>
      <w:r w:rsidRPr="00A337EA">
        <w:rPr>
          <w:rFonts w:ascii="Open Sans" w:eastAsia="Times New Roman" w:hAnsi="Open Sans" w:cs="Arial"/>
          <w:color w:val="333333"/>
          <w:sz w:val="21"/>
          <w:szCs w:val="21"/>
          <w:lang w:eastAsia="fr-BE"/>
        </w:rPr>
        <w:t>.</w:t>
      </w:r>
    </w:p>
    <w:p w:rsidR="00A337EA" w:rsidRPr="00A337EA" w:rsidRDefault="00A337EA" w:rsidP="00A337EA">
      <w:pPr>
        <w:spacing w:before="288" w:line="360" w:lineRule="atLeast"/>
        <w:jc w:val="both"/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</w:pPr>
      <w:r w:rsidRPr="00A337EA">
        <w:rPr>
          <w:rFonts w:ascii="Open Sans" w:eastAsia="Times New Roman" w:hAnsi="Open Sans" w:cs="Arial"/>
          <w:color w:val="333333"/>
          <w:sz w:val="19"/>
          <w:szCs w:val="19"/>
          <w:lang w:eastAsia="fr-BE"/>
        </w:rPr>
        <w:t>L’auteur n’a pas transmis de déclaration de conflit d’intérêt.</w:t>
      </w:r>
    </w:p>
    <w:p w:rsidR="009765A5" w:rsidRDefault="009765A5">
      <w:bookmarkStart w:id="0" w:name="_GoBack"/>
      <w:bookmarkEnd w:id="0"/>
    </w:p>
    <w:sectPr w:rsidR="0097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EA"/>
    <w:rsid w:val="009765A5"/>
    <w:rsid w:val="00A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3D202-00EC-42B9-82C0-2B0EE058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337EA"/>
    <w:rPr>
      <w:i/>
      <w:iCs/>
    </w:rPr>
  </w:style>
  <w:style w:type="character" w:styleId="lev">
    <w:name w:val="Strong"/>
    <w:basedOn w:val="Policepardfaut"/>
    <w:uiPriority w:val="22"/>
    <w:qFormat/>
    <w:rsid w:val="00A337EA"/>
    <w:rPr>
      <w:b/>
      <w:bCs/>
    </w:rPr>
  </w:style>
  <w:style w:type="paragraph" w:customStyle="1" w:styleId="auteurs2">
    <w:name w:val="auteurs2"/>
    <w:basedOn w:val="Normal"/>
    <w:rsid w:val="00A337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organismes2">
    <w:name w:val="organismes2"/>
    <w:basedOn w:val="Normal"/>
    <w:rsid w:val="00A337EA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fr-BE"/>
    </w:rPr>
  </w:style>
  <w:style w:type="paragraph" w:customStyle="1" w:styleId="adresse2">
    <w:name w:val="adresse2"/>
    <w:basedOn w:val="Normal"/>
    <w:rsid w:val="00A337EA"/>
    <w:pPr>
      <w:spacing w:after="0" w:line="240" w:lineRule="auto"/>
      <w:jc w:val="both"/>
    </w:pPr>
    <w:rPr>
      <w:rFonts w:ascii="Times New Roman" w:eastAsia="Times New Roman" w:hAnsi="Times New Roman" w:cs="Times New Roman"/>
      <w:lang w:eastAsia="fr-BE"/>
    </w:rPr>
  </w:style>
  <w:style w:type="paragraph" w:customStyle="1" w:styleId="declaration1">
    <w:name w:val="declaration1"/>
    <w:basedOn w:val="Normal"/>
    <w:rsid w:val="00A337EA"/>
    <w:pPr>
      <w:spacing w:before="288" w:after="288" w:line="240" w:lineRule="auto"/>
      <w:jc w:val="both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6027">
      <w:bodyDiv w:val="1"/>
      <w:marLeft w:val="750"/>
      <w:marRight w:val="750"/>
      <w:marTop w:val="7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Endocrinologie</dc:creator>
  <cp:keywords/>
  <dc:description/>
  <cp:lastModifiedBy>Endocrinologie</cp:lastModifiedBy>
  <cp:revision>1</cp:revision>
  <dcterms:created xsi:type="dcterms:W3CDTF">2016-10-12T10:24:00Z</dcterms:created>
  <dcterms:modified xsi:type="dcterms:W3CDTF">2016-10-12T10:25:00Z</dcterms:modified>
</cp:coreProperties>
</file>