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4D" w:rsidRPr="0053274D" w:rsidRDefault="0053274D" w:rsidP="0053274D">
      <w:pPr>
        <w:pBdr>
          <w:bottom w:val="single" w:sz="6" w:space="15" w:color="EFEFEF"/>
        </w:pBdr>
        <w:spacing w:after="0" w:line="240" w:lineRule="auto"/>
        <w:outlineLvl w:val="3"/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</w:pPr>
      <w:r w:rsidRPr="0053274D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 xml:space="preserve">Hypogonadisme </w:t>
      </w:r>
      <w:proofErr w:type="spellStart"/>
      <w:r w:rsidRPr="0053274D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>hypogonadotrope</w:t>
      </w:r>
      <w:proofErr w:type="spellEnd"/>
      <w:r w:rsidRPr="0053274D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 xml:space="preserve"> anosmique associé à une nouvelle mutation hétérozygote c.937C&gt;T, p.His314Tyr de l’</w:t>
      </w:r>
      <w:proofErr w:type="spellStart"/>
      <w:r w:rsidRPr="0053274D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>isoforme</w:t>
      </w:r>
      <w:proofErr w:type="spellEnd"/>
      <w:r w:rsidRPr="0053274D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 xml:space="preserve"> </w:t>
      </w:r>
      <w:proofErr w:type="spellStart"/>
      <w:r w:rsidRPr="0053274D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>IIIb</w:t>
      </w:r>
      <w:proofErr w:type="spellEnd"/>
      <w:r w:rsidRPr="0053274D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 xml:space="preserve"> du gène FGFR1.</w:t>
      </w:r>
    </w:p>
    <w:p w:rsidR="0053274D" w:rsidRPr="0053274D" w:rsidRDefault="0053274D" w:rsidP="0053274D">
      <w:pPr>
        <w:spacing w:after="0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H. 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Valdes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-Socin*</w:t>
      </w:r>
      <w:r w:rsidRPr="0053274D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V. 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Corman</w:t>
      </w:r>
      <w:r w:rsidRPr="0053274D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b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C. 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Libioulle</w:t>
      </w:r>
      <w:r w:rsidRPr="0053274D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c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FG. 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Debray</w:t>
      </w:r>
      <w:r w:rsidRPr="0053274D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d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V. 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Dideberg</w:t>
      </w:r>
      <w:r w:rsidRPr="0053274D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c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V. 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Bours</w:t>
      </w:r>
      <w:r w:rsidRPr="0053274D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c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A. 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Beckers</w:t>
      </w:r>
      <w:r w:rsidRPr="0053274D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e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</w:t>
      </w:r>
    </w:p>
    <w:p w:rsidR="0053274D" w:rsidRPr="0053274D" w:rsidRDefault="0053274D" w:rsidP="0053274D">
      <w:pPr>
        <w:spacing w:after="0" w:line="360" w:lineRule="atLeast"/>
        <w:jc w:val="both"/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</w:pPr>
      <w:proofErr w:type="gramStart"/>
      <w:r w:rsidRPr="0053274D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a</w:t>
      </w:r>
      <w:proofErr w:type="gramEnd"/>
      <w:r w:rsidRPr="0053274D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Endocrinologie. CHU de Liège, Liège, BELGIQUE ; </w:t>
      </w:r>
      <w:r w:rsidRPr="0053274D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b</w:t>
      </w:r>
      <w:r w:rsidRPr="0053274D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Endocrinologie. CHU de Liège., Liège, BELGIQUE ; </w:t>
      </w:r>
      <w:r w:rsidRPr="0053274D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c</w:t>
      </w:r>
      <w:r w:rsidRPr="0053274D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Génétique. CHU de Liège., Liège, BELGIQUE ; </w:t>
      </w:r>
      <w:r w:rsidRPr="0053274D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d</w:t>
      </w:r>
      <w:r w:rsidRPr="0053274D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Génétique. CHU de Liège., </w:t>
      </w:r>
      <w:proofErr w:type="spellStart"/>
      <w:r w:rsidRPr="0053274D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>Liege</w:t>
      </w:r>
      <w:proofErr w:type="spellEnd"/>
      <w:r w:rsidRPr="0053274D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, BELGIQUE ; </w:t>
      </w:r>
      <w:r w:rsidRPr="0053274D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e</w:t>
      </w:r>
      <w:r w:rsidRPr="0053274D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> CHU de Liège. Endocrinologie, Liège, BELGIQUE</w:t>
      </w:r>
    </w:p>
    <w:p w:rsidR="0053274D" w:rsidRPr="0053274D" w:rsidRDefault="0053274D" w:rsidP="0053274D">
      <w:pPr>
        <w:spacing w:after="0" w:line="360" w:lineRule="atLeast"/>
        <w:jc w:val="both"/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</w:pPr>
      <w:r w:rsidRPr="0053274D"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  <w:t>* hg.valdessocin@chu.ulg.ac.be</w:t>
      </w:r>
    </w:p>
    <w:p w:rsidR="0053274D" w:rsidRPr="0053274D" w:rsidRDefault="0053274D" w:rsidP="0053274D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53274D">
        <w:rPr>
          <w:rFonts w:ascii="Open Sans" w:eastAsia="Times New Roman" w:hAnsi="Open Sans" w:cs="Arial"/>
          <w:b/>
          <w:bCs/>
          <w:color w:val="333333"/>
          <w:sz w:val="21"/>
          <w:szCs w:val="21"/>
          <w:lang w:eastAsia="fr-BE"/>
        </w:rPr>
        <w:t>Introduction :</w:t>
      </w:r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La disruption du gène FGFR1 est liée à un phénotype variable d’hypogonadisme et troubles de l’olfaction.</w:t>
      </w:r>
    </w:p>
    <w:p w:rsidR="0053274D" w:rsidRPr="0053274D" w:rsidRDefault="0053274D" w:rsidP="0053274D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53274D">
        <w:rPr>
          <w:rFonts w:ascii="Open Sans" w:eastAsia="Times New Roman" w:hAnsi="Open Sans" w:cs="Arial"/>
          <w:b/>
          <w:bCs/>
          <w:color w:val="333333"/>
          <w:sz w:val="21"/>
          <w:szCs w:val="21"/>
          <w:lang w:eastAsia="fr-BE"/>
        </w:rPr>
        <w:t>Cas Clinique :</w:t>
      </w:r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Un jeune homme d’origine turque (1.88m, 77kg, 1.89m d’envergure), issu d’une consanguinité entre cousins éloignés consulte à l’âge de 17 ans pour un retard pubertaire. Il a des testicules de 10 ml à gauche et 6 ml à droite, une verge de 5cm. La testostérone totale est de 0,6 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ng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/ml (2-9 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ng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/ml). La LHRH stimule la LH de 1,3 à 9 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mUI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/L et la FSH de 0,9 à 2 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mUI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/L sans lésion hypophysaire à l’IRM. Il a une anosmie sévère (sniff test 2/12) et une ostéoporose lombaire et fémorale. KAL-1 n’est pas muté. Il est traité par 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Sustanon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250 IM/mois et réévalué sans traitement huit ans plus tard. L’examen testiculaire montre cette fois-ci deux testicules de 16 ml chacun et une verge de 12 cm. La testostérone est à 4,23 µg/L, la LH 4,4 UI/L et la FSH 2,5 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mUI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/L. Une analyse étendue du gène FGFR1 a identifié la mutation c.937C&gt;T, p.His314Tyr à l’état hétérozygote, dans l’exon 8a, de l’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isoforme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IIIb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, de FGFR1. La signification fonctionnelle de cette mutation n’est pas connue. Située dans une région très conservée, elle est classée comme pathogène selon l’outil de prédiction </w:t>
      </w:r>
      <w:r w:rsidRPr="0053274D">
        <w:rPr>
          <w:rFonts w:ascii="Open Sans" w:eastAsia="Times New Roman" w:hAnsi="Open Sans" w:cs="Arial"/>
          <w:i/>
          <w:iCs/>
          <w:color w:val="333333"/>
          <w:sz w:val="21"/>
          <w:szCs w:val="21"/>
          <w:lang w:eastAsia="fr-BE"/>
        </w:rPr>
        <w:t>in silico</w:t>
      </w:r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Mutation Taster.</w:t>
      </w:r>
    </w:p>
    <w:p w:rsidR="0053274D" w:rsidRPr="0053274D" w:rsidRDefault="0053274D" w:rsidP="0053274D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53274D">
        <w:rPr>
          <w:rFonts w:ascii="Open Sans" w:eastAsia="Times New Roman" w:hAnsi="Open Sans" w:cs="Arial"/>
          <w:b/>
          <w:bCs/>
          <w:color w:val="333333"/>
          <w:sz w:val="21"/>
          <w:szCs w:val="21"/>
          <w:lang w:eastAsia="fr-BE"/>
        </w:rPr>
        <w:t>Conclusions :</w:t>
      </w:r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Nous décrivons une nouvelle mutation FGFR1 associée à un phénotype d’hypogonadisme </w:t>
      </w:r>
      <w:proofErr w:type="spellStart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hypogonadotrope</w:t>
      </w:r>
      <w:proofErr w:type="spellEnd"/>
      <w:r w:rsidRPr="0053274D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réversible. Nous montrons également l’utilité d’une approche de recherche étendue aux formes alternativement épissées du gène FGFR1 dans cette pathologie complexe.</w:t>
      </w:r>
    </w:p>
    <w:p w:rsidR="0053274D" w:rsidRPr="0053274D" w:rsidRDefault="0053274D" w:rsidP="0053274D">
      <w:pPr>
        <w:spacing w:before="288" w:line="360" w:lineRule="atLeast"/>
        <w:jc w:val="both"/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</w:pPr>
      <w:r w:rsidRPr="0053274D"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  <w:t>L’auteur n’a pas transmis de déclaration de conflit d’intérêt.</w:t>
      </w:r>
    </w:p>
    <w:p w:rsidR="009765A5" w:rsidRDefault="009765A5">
      <w:bookmarkStart w:id="0" w:name="_GoBack"/>
      <w:bookmarkEnd w:id="0"/>
    </w:p>
    <w:sectPr w:rsidR="0097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4D"/>
    <w:rsid w:val="0053274D"/>
    <w:rsid w:val="0097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20EFE-DE5D-47D4-8A25-0839EA9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53274D"/>
    <w:rPr>
      <w:i/>
      <w:iCs/>
    </w:rPr>
  </w:style>
  <w:style w:type="character" w:styleId="lev">
    <w:name w:val="Strong"/>
    <w:basedOn w:val="Policepardfaut"/>
    <w:uiPriority w:val="22"/>
    <w:qFormat/>
    <w:rsid w:val="0053274D"/>
    <w:rPr>
      <w:b/>
      <w:bCs/>
    </w:rPr>
  </w:style>
  <w:style w:type="paragraph" w:customStyle="1" w:styleId="auteurs2">
    <w:name w:val="auteurs2"/>
    <w:basedOn w:val="Normal"/>
    <w:rsid w:val="005327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organismes2">
    <w:name w:val="organismes2"/>
    <w:basedOn w:val="Normal"/>
    <w:rsid w:val="0053274D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fr-BE"/>
    </w:rPr>
  </w:style>
  <w:style w:type="paragraph" w:customStyle="1" w:styleId="adresse2">
    <w:name w:val="adresse2"/>
    <w:basedOn w:val="Normal"/>
    <w:rsid w:val="0053274D"/>
    <w:pPr>
      <w:spacing w:after="0" w:line="240" w:lineRule="auto"/>
      <w:jc w:val="both"/>
    </w:pPr>
    <w:rPr>
      <w:rFonts w:ascii="Times New Roman" w:eastAsia="Times New Roman" w:hAnsi="Times New Roman" w:cs="Times New Roman"/>
      <w:lang w:eastAsia="fr-BE"/>
    </w:rPr>
  </w:style>
  <w:style w:type="paragraph" w:customStyle="1" w:styleId="declaration1">
    <w:name w:val="declaration1"/>
    <w:basedOn w:val="Normal"/>
    <w:rsid w:val="0053274D"/>
    <w:pPr>
      <w:spacing w:before="288" w:after="288" w:line="240" w:lineRule="auto"/>
      <w:jc w:val="both"/>
    </w:pPr>
    <w:rPr>
      <w:rFonts w:ascii="Times New Roman" w:eastAsia="Times New Roman" w:hAnsi="Times New Roman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942356">
      <w:bodyDiv w:val="1"/>
      <w:marLeft w:val="750"/>
      <w:marRight w:val="750"/>
      <w:marTop w:val="75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1</cp:revision>
  <dcterms:created xsi:type="dcterms:W3CDTF">2016-10-12T10:30:00Z</dcterms:created>
  <dcterms:modified xsi:type="dcterms:W3CDTF">2016-10-12T10:31:00Z</dcterms:modified>
</cp:coreProperties>
</file>