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A9" w:rsidRPr="00D571A9" w:rsidRDefault="00D571A9" w:rsidP="00D571A9">
      <w:pPr>
        <w:pBdr>
          <w:bottom w:val="single" w:sz="6" w:space="15" w:color="EFEFEF"/>
        </w:pBdr>
        <w:spacing w:after="0" w:line="240" w:lineRule="auto"/>
        <w:outlineLvl w:val="3"/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</w:pPr>
      <w:r w:rsidRPr="00D571A9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Caractérisation clinique, neuroendocrinienne, génétique et résultats thérapeutiques dans le syndrome de </w:t>
      </w:r>
      <w:proofErr w:type="spellStart"/>
      <w:r w:rsidRPr="00D571A9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Kallmann</w:t>
      </w:r>
      <w:proofErr w:type="spellEnd"/>
      <w:r w:rsidRPr="00D571A9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 et de l’hypogonadisme </w:t>
      </w:r>
      <w:proofErr w:type="spellStart"/>
      <w:r w:rsidRPr="00D571A9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normosmique</w:t>
      </w:r>
      <w:proofErr w:type="spellEnd"/>
      <w:r w:rsidRPr="00D571A9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 idiopathique: expérience liégeoise.</w:t>
      </w:r>
    </w:p>
    <w:p w:rsidR="00D571A9" w:rsidRPr="00D571A9" w:rsidRDefault="00D571A9" w:rsidP="00D571A9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  <w:t>H. Valdes-Socin*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val="en-US" w:eastAsia="fr-BE"/>
        </w:rPr>
        <w:t>a</w:t>
      </w:r>
      <w:r w:rsidRPr="00D571A9"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  <w:t> (Dr), FG. Debray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val="en-US" w:eastAsia="fr-BE"/>
        </w:rPr>
        <w:t>b</w:t>
      </w:r>
      <w:r w:rsidRPr="00D571A9"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  <w:t> (Dr), C. Libioulle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val="en-US" w:eastAsia="fr-BE"/>
        </w:rPr>
        <w:t>b</w:t>
      </w:r>
      <w:r w:rsidRPr="00D571A9"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  <w:t> (Dr), A. Pintiaux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val="en-US" w:eastAsia="fr-BE"/>
        </w:rPr>
        <w:t>a</w:t>
      </w:r>
      <w:r w:rsidRPr="00D571A9"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  <w:t> (Pr), AS.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Parent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V.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Corman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K.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Gellner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d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V.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Geenen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L.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Vroonen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V.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Dideberg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V.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Bours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A. 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Beckers</w:t>
      </w:r>
      <w:r w:rsidRPr="00D571A9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</w:t>
      </w:r>
    </w:p>
    <w:p w:rsidR="00D571A9" w:rsidRPr="00D571A9" w:rsidRDefault="00D571A9" w:rsidP="00D571A9">
      <w:pPr>
        <w:spacing w:after="0" w:line="360" w:lineRule="atLeast"/>
        <w:jc w:val="both"/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</w:pPr>
      <w:proofErr w:type="gramStart"/>
      <w:r w:rsidRPr="00D571A9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a</w:t>
      </w:r>
      <w:proofErr w:type="gramEnd"/>
      <w:r w:rsidRPr="00D571A9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Endocrinologie. CHU de Liège, Liège, BELGIQUE ; </w:t>
      </w:r>
      <w:r w:rsidRPr="00D571A9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b</w:t>
      </w:r>
      <w:r w:rsidRPr="00D571A9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Génétique. CHU de Liège, Liège, BELGIQUE ; </w:t>
      </w:r>
      <w:r w:rsidRPr="00D571A9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c</w:t>
      </w:r>
      <w:r w:rsidRPr="00D571A9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Pédiatrie. CHU de Liège, Liège, BELGIQUE ; </w:t>
      </w:r>
      <w:r w:rsidRPr="00D571A9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d</w:t>
      </w:r>
      <w:r w:rsidRPr="00D571A9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 Endocrinologie. CHR Citadelle, Liège, BELGIQUE</w:t>
      </w:r>
    </w:p>
    <w:p w:rsidR="00D571A9" w:rsidRPr="00D571A9" w:rsidRDefault="00D571A9" w:rsidP="00D571A9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* hg.valdessocin@chu.ulg.ac.be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OBJECTIFS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Etudier les phénotypes cliniques, génétiques et les réponses thérapeutiques dans une série de 34 patients liégeois avec hypogonadisme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hypogonadotrope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et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normosmie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(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nIHH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) /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hyposmie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(KS).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METHODES: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L’étude des gènes KAL1 (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anosmine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) et FGFR1, est réalisée dans notre centre depuis 2013. Dernièrement, une analyse par panel est disponible pour les gènes: 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val="en-US" w:eastAsia="fr-BE"/>
        </w:rPr>
        <w:t>KAL1, FGFR1,PROKR2,PROK2,CHD7,FGF8,KISS1,KISS1R,TAC3,TACR3,GNRHR,GNRH1,NELF,WDR11,HS6ST1,SEMA3A.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RESULTATS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La cohorte comprend 34 patients (31H/3F, 18±9 ans) appartenant à 30 familles. Nous avons identifié par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olfactométrie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25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nIHH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et 8 KS. Deux patients avaient une malformation de Chiari I, deux patients présentaient une selle turcique partiellement vide, un kyste de la poche de Rathke et une fente palatine. L’analyse préliminaire a permis de mettre en évidence une mutation FGFR1 chez trois patients et une famille. Les mutations identifiées sont : c.1663+1G&gt;A, c.1025T&gt;A (p.Leu342*) et c.937-1234C&gt;T (non répertoriée, exon 8a de l’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isoforme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IIIb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). Un autre patient avait une mutation non répertoriée TAC3 c.238+1G&gt;A. Une oligospermie a été obtenue chez 6/12 hommes traités par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hCG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et FSH. Le traitement a permis un développement des caractères sexuels secondaires chez tous les patients. Le patient avec FGFR1:c.937-1234C&gt;T a eu une réversibilité spontanée de son hypogonadisme, après 4 ans de traitement.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CONCLUSIONS:</w:t>
      </w:r>
    </w:p>
    <w:p w:rsidR="00D571A9" w:rsidRPr="00D571A9" w:rsidRDefault="00D571A9" w:rsidP="00D571A9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lastRenderedPageBreak/>
        <w:t xml:space="preserve">Les patients avec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nIHH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porteurs d’une mutation FGFR1 peuvent avoir des anomalies neuro développementales, qu’il faut rechercher. L’association de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nIHH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et d’une malformation de Chiari est intrigante, rapportée seulement une fois dans la littérature (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Kulmar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&amp; al. </w:t>
      </w:r>
      <w:proofErr w:type="spellStart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Pituitary</w:t>
      </w:r>
      <w:proofErr w:type="spellEnd"/>
      <w:r w:rsidRPr="00D571A9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2010). Nous démontrons dans un cas de FGFR1muté une réversibilité de l’hypogonadisme. Nous rapportons, enfin, deux nouvelles mutations TAC3 et FGFR1.</w:t>
      </w:r>
    </w:p>
    <w:p w:rsidR="00D571A9" w:rsidRPr="00D571A9" w:rsidRDefault="00D571A9" w:rsidP="00D571A9">
      <w:pPr>
        <w:spacing w:before="288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D571A9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L’auteur n’a pas transmis de déclaration de conflit d’intérêt.</w:t>
      </w:r>
    </w:p>
    <w:p w:rsidR="009765A5" w:rsidRDefault="009765A5">
      <w:bookmarkStart w:id="0" w:name="_GoBack"/>
      <w:bookmarkEnd w:id="0"/>
    </w:p>
    <w:sectPr w:rsidR="009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A9"/>
    <w:rsid w:val="009765A5"/>
    <w:rsid w:val="00D5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C0A51-9B04-46CC-8CD3-80855F11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eurs2">
    <w:name w:val="auteurs2"/>
    <w:basedOn w:val="Normal"/>
    <w:rsid w:val="00D571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2">
    <w:name w:val="organismes2"/>
    <w:basedOn w:val="Normal"/>
    <w:rsid w:val="00D571A9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fr-BE"/>
    </w:rPr>
  </w:style>
  <w:style w:type="paragraph" w:customStyle="1" w:styleId="adresse2">
    <w:name w:val="adresse2"/>
    <w:basedOn w:val="Normal"/>
    <w:rsid w:val="00D571A9"/>
    <w:pPr>
      <w:spacing w:after="0" w:line="240" w:lineRule="auto"/>
      <w:jc w:val="both"/>
    </w:pPr>
    <w:rPr>
      <w:rFonts w:ascii="Times New Roman" w:eastAsia="Times New Roman" w:hAnsi="Times New Roman" w:cs="Times New Roman"/>
      <w:lang w:eastAsia="fr-BE"/>
    </w:rPr>
  </w:style>
  <w:style w:type="paragraph" w:customStyle="1" w:styleId="declaration1">
    <w:name w:val="declaration1"/>
    <w:basedOn w:val="Normal"/>
    <w:rsid w:val="00D571A9"/>
    <w:pPr>
      <w:spacing w:before="288" w:after="288" w:line="240" w:lineRule="auto"/>
      <w:jc w:val="both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81857">
      <w:bodyDiv w:val="1"/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2016-10-12T10:32:00Z</dcterms:created>
  <dcterms:modified xsi:type="dcterms:W3CDTF">2016-10-12T10:33:00Z</dcterms:modified>
</cp:coreProperties>
</file>