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9A3" w:rsidRPr="003039A3" w:rsidRDefault="003039A3" w:rsidP="003039A3">
      <w:pPr>
        <w:spacing w:line="360" w:lineRule="atLeast"/>
        <w:rPr>
          <w:rFonts w:ascii="Montserrat" w:eastAsia="Times New Roman" w:hAnsi="Montserrat" w:cs="Arial"/>
          <w:caps/>
          <w:color w:val="777777"/>
          <w:sz w:val="21"/>
          <w:szCs w:val="21"/>
          <w:lang w:eastAsia="fr-BE"/>
        </w:rPr>
      </w:pPr>
      <w:r w:rsidRPr="003039A3">
        <w:rPr>
          <w:rFonts w:ascii="Montserrat" w:eastAsia="Times New Roman" w:hAnsi="Montserrat" w:cs="Arial"/>
          <w:caps/>
          <w:color w:val="777777"/>
          <w:sz w:val="21"/>
          <w:szCs w:val="21"/>
          <w:lang w:eastAsia="fr-BE"/>
        </w:rPr>
        <w:t>CO-031</w:t>
      </w:r>
    </w:p>
    <w:p w:rsidR="003039A3" w:rsidRPr="003039A3" w:rsidRDefault="003039A3" w:rsidP="003039A3">
      <w:pPr>
        <w:pBdr>
          <w:bottom w:val="single" w:sz="6" w:space="15" w:color="EFEFEF"/>
        </w:pBdr>
        <w:spacing w:after="0" w:line="240" w:lineRule="auto"/>
        <w:outlineLvl w:val="3"/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</w:pPr>
      <w:r w:rsidRPr="003039A3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 xml:space="preserve">Utilisation de la </w:t>
      </w:r>
      <w:proofErr w:type="spellStart"/>
      <w:r w:rsidRPr="003039A3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>cabergoline</w:t>
      </w:r>
      <w:proofErr w:type="spellEnd"/>
      <w:r w:rsidRPr="003039A3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 xml:space="preserve"> dans le traitement palliatif de la maladie de Cushing : l’étude </w:t>
      </w:r>
      <w:proofErr w:type="spellStart"/>
      <w:r w:rsidRPr="003039A3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>Frenchcab</w:t>
      </w:r>
      <w:proofErr w:type="spellEnd"/>
    </w:p>
    <w:p w:rsidR="003039A3" w:rsidRPr="003039A3" w:rsidRDefault="003039A3" w:rsidP="003039A3">
      <w:pPr>
        <w:spacing w:after="0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A.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Ferriere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*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a</w:t>
      </w:r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(Mlle), C.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Cortet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b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P.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Chanson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c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B.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Delemer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d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P.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Caron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e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O.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Chabre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f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Y.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Reznik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g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J.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Bertherat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h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V.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Rohmer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i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C.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Briet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i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I.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Raingeard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j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F.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Castinetti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k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A.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Beckers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l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L.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Vroonen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m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D.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Maiter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n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FL.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Cephise-Velayoudom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o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ML.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Nunes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a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A. 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Tabarin</w:t>
      </w:r>
      <w:r w:rsidRPr="003039A3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a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</w:t>
      </w:r>
    </w:p>
    <w:p w:rsidR="003039A3" w:rsidRPr="003039A3" w:rsidRDefault="003039A3" w:rsidP="003039A3">
      <w:pPr>
        <w:spacing w:after="0" w:line="360" w:lineRule="atLeast"/>
        <w:jc w:val="both"/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</w:pPr>
      <w:r w:rsidRPr="003039A3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a</w:t>
      </w:r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CHU Bordeaux, Bordeaux, FRANCE ; </w:t>
      </w:r>
      <w:r w:rsidRPr="003039A3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b</w:t>
      </w:r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CHRU Lille, Lille, FRANCE ; </w:t>
      </w:r>
      <w:r w:rsidRPr="003039A3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c</w:t>
      </w:r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GHU Paris-Sud - Hôpital de Bicêtre, Le Kremlin-Bicêtre, FRANCE ; </w:t>
      </w:r>
      <w:r w:rsidRPr="003039A3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d</w:t>
      </w:r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CHU Reims, Reims, FRANCE ; </w:t>
      </w:r>
      <w:r w:rsidRPr="003039A3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e</w:t>
      </w:r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CHU Toulouse, Toulouse, FRANCE ; </w:t>
      </w:r>
      <w:r w:rsidRPr="003039A3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f</w:t>
      </w:r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CHU Grenoble Alpes, Grenoble, FRANCE ; </w:t>
      </w:r>
      <w:r w:rsidRPr="003039A3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g</w:t>
      </w:r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CHU Caen, Caen, FRANCE ; </w:t>
      </w:r>
      <w:r w:rsidRPr="003039A3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h</w:t>
      </w:r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CHU Paris Centre, Paris, FRANCE ; </w:t>
      </w:r>
      <w:r w:rsidRPr="003039A3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i</w:t>
      </w:r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CHU Angers, Angers, FRANCE ; </w:t>
      </w:r>
      <w:r w:rsidRPr="003039A3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j</w:t>
      </w:r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CHU Montpellier, Montpellier, FRANCE ; </w:t>
      </w:r>
      <w:r w:rsidRPr="003039A3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k</w:t>
      </w:r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CHU Marseille, Marseille, FRANCE ; </w:t>
      </w:r>
      <w:proofErr w:type="spellStart"/>
      <w:r w:rsidRPr="003039A3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l</w:t>
      </w:r>
      <w:proofErr w:type="spellEnd"/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CHU Liège, </w:t>
      </w:r>
      <w:proofErr w:type="spellStart"/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>Liege</w:t>
      </w:r>
      <w:proofErr w:type="spellEnd"/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, BELGIQUE ; </w:t>
      </w:r>
      <w:r w:rsidRPr="003039A3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m</w:t>
      </w:r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CHU </w:t>
      </w:r>
      <w:proofErr w:type="spellStart"/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>Liege</w:t>
      </w:r>
      <w:proofErr w:type="spellEnd"/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, </w:t>
      </w:r>
      <w:proofErr w:type="spellStart"/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>Liege</w:t>
      </w:r>
      <w:proofErr w:type="spellEnd"/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, BELGIQUE ; </w:t>
      </w:r>
      <w:r w:rsidRPr="003039A3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n</w:t>
      </w:r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Clinique Universitaire Saint Luc, Bruxelles, BELGIQUE ; </w:t>
      </w:r>
      <w:r w:rsidRPr="003039A3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o</w:t>
      </w:r>
      <w:r w:rsidRPr="003039A3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> CHU Pointe à Pitre, Pointe à Pitre, FRANCE</w:t>
      </w:r>
    </w:p>
    <w:p w:rsidR="003039A3" w:rsidRPr="003039A3" w:rsidRDefault="003039A3" w:rsidP="003039A3">
      <w:pPr>
        <w:spacing w:after="0" w:line="360" w:lineRule="atLeast"/>
        <w:jc w:val="both"/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</w:pPr>
      <w:r w:rsidRPr="003039A3"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  <w:t>* amandine.ferriere@gmail.com</w:t>
      </w:r>
    </w:p>
    <w:p w:rsidR="003039A3" w:rsidRPr="003039A3" w:rsidRDefault="003039A3" w:rsidP="003039A3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3039A3">
        <w:rPr>
          <w:rFonts w:ascii="Open Sans" w:eastAsia="Times New Roman" w:hAnsi="Open Sans" w:cs="Arial"/>
          <w:b/>
          <w:bCs/>
          <w:i/>
          <w:iCs/>
          <w:color w:val="333333"/>
          <w:sz w:val="21"/>
          <w:szCs w:val="21"/>
          <w:lang w:eastAsia="fr-BE"/>
        </w:rPr>
        <w:t>Objectif</w:t>
      </w:r>
    </w:p>
    <w:p w:rsidR="003039A3" w:rsidRPr="003039A3" w:rsidRDefault="003039A3" w:rsidP="003039A3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Evaluer l’efficacité et la tolérance de la 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cabergoline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dans une large cohorte de maladies de Cushing (MC).</w:t>
      </w:r>
    </w:p>
    <w:p w:rsidR="003039A3" w:rsidRPr="003039A3" w:rsidRDefault="003039A3" w:rsidP="003039A3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3039A3">
        <w:rPr>
          <w:rFonts w:ascii="Open Sans" w:eastAsia="Times New Roman" w:hAnsi="Open Sans" w:cs="Arial"/>
          <w:b/>
          <w:bCs/>
          <w:i/>
          <w:iCs/>
          <w:color w:val="333333"/>
          <w:sz w:val="21"/>
          <w:szCs w:val="21"/>
          <w:lang w:eastAsia="fr-BE"/>
        </w:rPr>
        <w:t>Méthodes</w:t>
      </w:r>
    </w:p>
    <w:p w:rsidR="003039A3" w:rsidRPr="003039A3" w:rsidRDefault="003039A3" w:rsidP="003039A3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Étude rétrospective multicentrique (12 CHU français et belges) de 62 MC traitées de 2003 à 2015 par 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cabergoline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en monothérapie ou en association à des inhibiteurs de la 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stéroïdogenèse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.</w:t>
      </w:r>
    </w:p>
    <w:p w:rsidR="003039A3" w:rsidRPr="003039A3" w:rsidRDefault="003039A3" w:rsidP="003039A3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3039A3">
        <w:rPr>
          <w:rFonts w:ascii="Open Sans" w:eastAsia="Times New Roman" w:hAnsi="Open Sans" w:cs="Arial"/>
          <w:b/>
          <w:bCs/>
          <w:i/>
          <w:iCs/>
          <w:color w:val="333333"/>
          <w:sz w:val="21"/>
          <w:szCs w:val="21"/>
          <w:lang w:eastAsia="fr-BE"/>
        </w:rPr>
        <w:t>Résultats</w:t>
      </w:r>
    </w:p>
    <w:p w:rsidR="003039A3" w:rsidRPr="003039A3" w:rsidRDefault="003039A3" w:rsidP="003039A3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53 patients (46.8±2.5 ans) avec un CLU élevé à 3.6±0.6 fois la normale (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xLSN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) ont reçu la 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cabergoline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en monothérapie pendant 17.4±3.1 mois. 43 étaient en échec ou récidive après chirurgie hypophysaire. Le CLU a été normalisé chez 21 (40%) patients (dont 5 ont présenté une insuffisance surrénalienne) et a diminué d’au moins 50% chez 4 (8%) patients. Les CLU avant 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cabergoline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étaient identiques entre patients contrôlés et non contrôlés (3.6±0.8 </w:t>
      </w:r>
      <w:r w:rsidRPr="003039A3">
        <w:rPr>
          <w:rFonts w:ascii="Open Sans" w:eastAsia="Times New Roman" w:hAnsi="Open Sans" w:cs="Arial"/>
          <w:i/>
          <w:iCs/>
          <w:color w:val="333333"/>
          <w:sz w:val="21"/>
          <w:szCs w:val="21"/>
          <w:lang w:eastAsia="fr-BE"/>
        </w:rPr>
        <w:t>vs</w:t>
      </w:r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3.6±0.9 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xLSN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) mais la posologie efficace de 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cabergoline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était moindre chez les patients contrôlés (2.0±0.3 vs 2.8±0.2 mg/semaine, p&lt;0.03). Un échappement thérapeutique et un arrêt du traitement pour intolérance sont survenus chez 13% des patients. Une normalisation prolongée du CLU a donc été obtenue pendant 38.9±4.8 mois chez 13 (25%) patients et s’est accompagnée d’une amélioration clinique.</w:t>
      </w:r>
    </w:p>
    <w:p w:rsidR="003039A3" w:rsidRPr="003039A3" w:rsidRDefault="003039A3" w:rsidP="003039A3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lastRenderedPageBreak/>
        <w:t xml:space="preserve">9 patients (52.3±4.7 ans) avec un CLU élevé à 2.7±0.5 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xLSN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ont été traités en 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add-on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. Une normalisation prolongée du CLU a été obtenue chez 2 (22%) patients pendant 130 ± 110 mois avec 1.0mg/semaine de 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cabergoline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.</w:t>
      </w:r>
    </w:p>
    <w:p w:rsidR="003039A3" w:rsidRPr="003039A3" w:rsidRDefault="003039A3" w:rsidP="003039A3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3039A3">
        <w:rPr>
          <w:rFonts w:ascii="Open Sans" w:eastAsia="Times New Roman" w:hAnsi="Open Sans" w:cs="Arial"/>
          <w:b/>
          <w:bCs/>
          <w:i/>
          <w:iCs/>
          <w:color w:val="333333"/>
          <w:sz w:val="21"/>
          <w:szCs w:val="21"/>
          <w:lang w:eastAsia="fr-BE"/>
        </w:rPr>
        <w:t>Conclusion</w:t>
      </w:r>
    </w:p>
    <w:p w:rsidR="003039A3" w:rsidRPr="003039A3" w:rsidRDefault="003039A3" w:rsidP="003039A3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La 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cabergoline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en monothérapie ou en association permet le contrôle prolongé de l’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hypercortisolisme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chez environ 25% des MC. La 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cortisolurie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initiale ne permet pas de préjuger de la réponse à la </w:t>
      </w:r>
      <w:proofErr w:type="spellStart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cabergoline</w:t>
      </w:r>
      <w:proofErr w:type="spellEnd"/>
      <w:r w:rsidRPr="003039A3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.</w:t>
      </w:r>
    </w:p>
    <w:p w:rsidR="003039A3" w:rsidRPr="003039A3" w:rsidRDefault="003039A3" w:rsidP="003039A3">
      <w:pPr>
        <w:spacing w:before="288" w:line="360" w:lineRule="atLeast"/>
        <w:jc w:val="both"/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</w:pPr>
      <w:r w:rsidRPr="003039A3"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  <w:t>L’auteur n’a pas transmis de déclaration de conflit d’intérêt.</w:t>
      </w:r>
    </w:p>
    <w:p w:rsidR="009765A5" w:rsidRDefault="009765A5">
      <w:bookmarkStart w:id="0" w:name="_GoBack"/>
      <w:bookmarkEnd w:id="0"/>
    </w:p>
    <w:sectPr w:rsidR="0097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A3"/>
    <w:rsid w:val="003039A3"/>
    <w:rsid w:val="0097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F2615-C321-4B4F-8291-C203E149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3039A3"/>
    <w:rPr>
      <w:i/>
      <w:iCs/>
    </w:rPr>
  </w:style>
  <w:style w:type="paragraph" w:customStyle="1" w:styleId="auteurs2">
    <w:name w:val="auteurs2"/>
    <w:basedOn w:val="Normal"/>
    <w:rsid w:val="003039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organismes2">
    <w:name w:val="organismes2"/>
    <w:basedOn w:val="Normal"/>
    <w:rsid w:val="003039A3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lang w:eastAsia="fr-BE"/>
    </w:rPr>
  </w:style>
  <w:style w:type="paragraph" w:customStyle="1" w:styleId="adresse2">
    <w:name w:val="adresse2"/>
    <w:basedOn w:val="Normal"/>
    <w:rsid w:val="003039A3"/>
    <w:pPr>
      <w:spacing w:after="0" w:line="240" w:lineRule="auto"/>
      <w:jc w:val="both"/>
    </w:pPr>
    <w:rPr>
      <w:rFonts w:ascii="Times New Roman" w:eastAsia="Times New Roman" w:hAnsi="Times New Roman" w:cs="Times New Roman"/>
      <w:lang w:eastAsia="fr-BE"/>
    </w:rPr>
  </w:style>
  <w:style w:type="paragraph" w:customStyle="1" w:styleId="declaration1">
    <w:name w:val="declaration1"/>
    <w:basedOn w:val="Normal"/>
    <w:rsid w:val="003039A3"/>
    <w:pPr>
      <w:spacing w:before="288" w:after="288" w:line="240" w:lineRule="auto"/>
      <w:jc w:val="both"/>
    </w:pPr>
    <w:rPr>
      <w:rFonts w:ascii="Times New Roman" w:eastAsia="Times New Roman" w:hAnsi="Times New Roman" w:cs="Times New Roman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192317">
      <w:bodyDiv w:val="1"/>
      <w:marLeft w:val="750"/>
      <w:marRight w:val="750"/>
      <w:marTop w:val="75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7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Endocrinologie</dc:creator>
  <cp:keywords/>
  <dc:description/>
  <cp:lastModifiedBy>Endocrinologie</cp:lastModifiedBy>
  <cp:revision>1</cp:revision>
  <dcterms:created xsi:type="dcterms:W3CDTF">2016-10-12T10:18:00Z</dcterms:created>
  <dcterms:modified xsi:type="dcterms:W3CDTF">2016-10-12T10:19:00Z</dcterms:modified>
</cp:coreProperties>
</file>