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A6B36" w14:textId="77777777" w:rsidR="00AF75FC" w:rsidRDefault="00AF75FC" w:rsidP="008F2CDC">
      <w:pPr>
        <w:pStyle w:val="Corps"/>
        <w:jc w:val="center"/>
        <w:rPr>
          <w:rStyle w:val="Numrodepage"/>
          <w:rFonts w:ascii="Times" w:eastAsia="Times" w:hAnsi="Times" w:cs="Times"/>
          <w:b/>
          <w:bCs/>
          <w:lang w:val="fr-FR"/>
        </w:rPr>
      </w:pPr>
    </w:p>
    <w:p w14:paraId="366E2D60" w14:textId="3D7B4091" w:rsidR="008F2CDC" w:rsidRPr="00647E79" w:rsidRDefault="00AF75FC" w:rsidP="008F2CDC">
      <w:pPr>
        <w:pStyle w:val="Corps"/>
        <w:jc w:val="center"/>
        <w:rPr>
          <w:rStyle w:val="Numrodepage"/>
          <w:rFonts w:ascii="Times" w:eastAsia="Times" w:hAnsi="Times" w:cs="Times"/>
          <w:b/>
          <w:bCs/>
          <w:lang w:val="fr-FR"/>
        </w:rPr>
      </w:pPr>
      <w:r>
        <w:rPr>
          <w:rStyle w:val="Numrodepage"/>
          <w:rFonts w:ascii="Times" w:eastAsia="Times" w:hAnsi="Times" w:cs="Times"/>
          <w:b/>
          <w:bCs/>
          <w:lang w:val="fr-FR"/>
        </w:rPr>
        <w:t>DON ET DETTE DE VIE A L’ADOLESCENCE</w:t>
      </w:r>
    </w:p>
    <w:p w14:paraId="3BCF79C4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217F2F65" w14:textId="0D269B5D" w:rsidR="008F2CDC" w:rsidRPr="00647E79" w:rsidRDefault="00AF75FC" w:rsidP="008F2CDC">
      <w:pPr>
        <w:pStyle w:val="Corps"/>
        <w:jc w:val="center"/>
        <w:rPr>
          <w:rStyle w:val="Numrodepage"/>
          <w:rFonts w:ascii="Times" w:eastAsia="Times" w:hAnsi="Times" w:cs="Times"/>
          <w:lang w:val="fr-FR"/>
        </w:rPr>
      </w:pPr>
      <w:r>
        <w:rPr>
          <w:rStyle w:val="Numrodepage"/>
          <w:rFonts w:ascii="Times" w:eastAsia="Times" w:hAnsi="Times" w:cs="Times"/>
          <w:lang w:val="fr-FR"/>
        </w:rPr>
        <w:t>Stéphanie Haxhe, Marie-Christine</w:t>
      </w:r>
      <w:r w:rsidR="008F2CDC" w:rsidRPr="00647E79">
        <w:rPr>
          <w:rStyle w:val="Numrodepage"/>
          <w:rFonts w:ascii="Times" w:eastAsia="Times" w:hAnsi="Times" w:cs="Times"/>
          <w:lang w:val="fr-FR"/>
        </w:rPr>
        <w:t xml:space="preserve"> de Saint Georges, </w:t>
      </w:r>
      <w:r>
        <w:rPr>
          <w:rStyle w:val="Numrodepage"/>
          <w:rFonts w:ascii="Times" w:eastAsia="Times" w:hAnsi="Times" w:cs="Times"/>
          <w:lang w:val="fr-FR"/>
        </w:rPr>
        <w:t>Pierre Michard</w:t>
      </w:r>
      <w:r w:rsidR="008F2CDC" w:rsidRPr="00647E79">
        <w:rPr>
          <w:rStyle w:val="Numrodepage"/>
          <w:rFonts w:ascii="Times" w:eastAsia="Times" w:hAnsi="Times" w:cs="Times"/>
          <w:lang w:val="fr-FR"/>
        </w:rPr>
        <w:t xml:space="preserve">, </w:t>
      </w:r>
      <w:r>
        <w:rPr>
          <w:rStyle w:val="Numrodepage"/>
          <w:rFonts w:ascii="Times" w:eastAsia="Times" w:hAnsi="Times" w:cs="Times"/>
          <w:lang w:val="fr-FR"/>
        </w:rPr>
        <w:t xml:space="preserve">Magda </w:t>
      </w:r>
      <w:proofErr w:type="spellStart"/>
      <w:r>
        <w:rPr>
          <w:rStyle w:val="Numrodepage"/>
          <w:rFonts w:ascii="Times" w:eastAsia="Times" w:hAnsi="Times" w:cs="Times"/>
          <w:lang w:val="fr-FR"/>
        </w:rPr>
        <w:t>Heireman</w:t>
      </w:r>
      <w:proofErr w:type="spellEnd"/>
      <w:r>
        <w:rPr>
          <w:rStyle w:val="Numrodepage"/>
          <w:rFonts w:ascii="Times" w:eastAsia="Times" w:hAnsi="Times" w:cs="Times"/>
          <w:lang w:val="fr-FR"/>
        </w:rPr>
        <w:t>.</w:t>
      </w:r>
    </w:p>
    <w:p w14:paraId="2749EB58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59D6448B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0C105D78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680E375C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046EBDBC" w14:textId="77777777" w:rsidR="008F2CDC" w:rsidRPr="00647E79" w:rsidRDefault="008F2CDC" w:rsidP="008F2CDC">
      <w:pPr>
        <w:pStyle w:val="Corps"/>
        <w:jc w:val="both"/>
        <w:rPr>
          <w:rFonts w:ascii="Times" w:eastAsia="Times" w:hAnsi="Times" w:cs="Times"/>
          <w:lang w:val="fr-FR"/>
        </w:rPr>
      </w:pPr>
    </w:p>
    <w:p w14:paraId="27718BB2" w14:textId="77777777" w:rsidR="008F2CDC" w:rsidRPr="00647E79" w:rsidRDefault="008F2CDC" w:rsidP="008F2CDC">
      <w:pPr>
        <w:pStyle w:val="Corps"/>
        <w:jc w:val="both"/>
        <w:rPr>
          <w:rStyle w:val="Numrodepage"/>
          <w:rFonts w:ascii="Times" w:eastAsia="Times" w:hAnsi="Times" w:cs="Times"/>
          <w:b/>
          <w:bCs/>
          <w:lang w:val="fr-FR"/>
        </w:rPr>
      </w:pPr>
      <w:r w:rsidRPr="00647E79">
        <w:rPr>
          <w:rStyle w:val="Numrodepage"/>
          <w:rFonts w:ascii="Times" w:eastAsia="Times" w:hAnsi="Times" w:cs="Times"/>
          <w:b/>
          <w:bCs/>
          <w:lang w:val="fr-FR"/>
        </w:rPr>
        <w:t>Résumé</w:t>
      </w:r>
    </w:p>
    <w:p w14:paraId="4A09008F" w14:textId="77777777" w:rsidR="008F2CDC" w:rsidRDefault="008F2CDC" w:rsidP="008F2CDC">
      <w:pPr>
        <w:pStyle w:val="Corps"/>
        <w:jc w:val="both"/>
        <w:rPr>
          <w:rStyle w:val="Numrodepage"/>
          <w:rFonts w:ascii="Times" w:eastAsia="Times" w:hAnsi="Times" w:cs="Times"/>
          <w:lang w:val="fr-FR"/>
        </w:rPr>
      </w:pPr>
      <w:r w:rsidRPr="00647E79">
        <w:rPr>
          <w:rStyle w:val="Numrodepage"/>
          <w:rFonts w:ascii="Times" w:eastAsia="Times" w:hAnsi="Times" w:cs="Times"/>
          <w:lang w:val="fr-FR"/>
        </w:rPr>
        <w:t>L’adolescent récuse la dette de vie et veut autonomie, indépendance et pouvoir. Reste à savoir à qui</w:t>
      </w:r>
      <w:bookmarkStart w:id="0" w:name="_GoBack"/>
      <w:bookmarkEnd w:id="0"/>
      <w:r w:rsidRPr="00647E79">
        <w:rPr>
          <w:rStyle w:val="Numrodepage"/>
          <w:rFonts w:ascii="Times" w:eastAsia="Times" w:hAnsi="Times" w:cs="Times"/>
          <w:lang w:val="fr-FR"/>
        </w:rPr>
        <w:t xml:space="preserve"> et dans quel contexte s’adressent ces revendications. En effet la société actuelle offre à l’adolescent des parents fragilisés à divers égards. La réalité de l’adolescent contemporain apparaît alors comme une quête en tension entre d’une part une nécessaire appropriation de lui-même et d’autre part des dons discrets voire cachés à son (ses) parent(s). Si ces dons ne sont pas reçus et échouent à introduire parents et adolescent à une nouvelle position relationnelle, le risque d’un épuisement de l’adolescent est à prendre en considération. </w:t>
      </w:r>
    </w:p>
    <w:p w14:paraId="77119AB3" w14:textId="77777777" w:rsidR="0073096F" w:rsidRPr="00647E79" w:rsidRDefault="0073096F" w:rsidP="008F2CDC">
      <w:pPr>
        <w:pStyle w:val="Corps"/>
        <w:jc w:val="both"/>
        <w:rPr>
          <w:rStyle w:val="Numrodepage"/>
          <w:rFonts w:ascii="Times" w:eastAsia="Times" w:hAnsi="Times" w:cs="Times"/>
          <w:lang w:val="fr-FR"/>
        </w:rPr>
      </w:pPr>
    </w:p>
    <w:p w14:paraId="5CB13CBC" w14:textId="77777777" w:rsidR="0073096F" w:rsidRPr="00647E79" w:rsidRDefault="0073096F" w:rsidP="0073096F">
      <w:pPr>
        <w:pStyle w:val="Corps"/>
        <w:jc w:val="both"/>
        <w:rPr>
          <w:rStyle w:val="Numrodepage"/>
          <w:rFonts w:ascii="Times" w:eastAsia="Times" w:hAnsi="Times" w:cs="Times"/>
          <w:lang w:val="fr-FR"/>
        </w:rPr>
      </w:pPr>
      <w:r w:rsidRPr="00647E79">
        <w:rPr>
          <w:rStyle w:val="Numrodepage"/>
          <w:rFonts w:ascii="Times" w:eastAsia="Times" w:hAnsi="Times" w:cs="Times"/>
          <w:lang w:val="fr-FR"/>
        </w:rPr>
        <w:t xml:space="preserve">Stéphanie Haxhe, Université de Liège, Département Psychologies et Cliniques des Systèmes Humains. Boulevard du Rectorat, 3 à 4000 Liège, Belgique. </w:t>
      </w:r>
      <w:hyperlink r:id="rId7" w:history="1">
        <w:r w:rsidRPr="00647E79">
          <w:rPr>
            <w:rStyle w:val="Hyperlink0"/>
            <w:lang w:val="fr-FR"/>
          </w:rPr>
          <w:t>shaxhe@ulg.ac.be</w:t>
        </w:r>
      </w:hyperlink>
      <w:r w:rsidRPr="00647E79">
        <w:rPr>
          <w:rStyle w:val="Numrodepage"/>
          <w:rFonts w:ascii="Times" w:eastAsia="Times" w:hAnsi="Times" w:cs="Times"/>
          <w:lang w:val="fr-FR"/>
        </w:rPr>
        <w:t xml:space="preserve"> </w:t>
      </w:r>
    </w:p>
    <w:p w14:paraId="1673E47F" w14:textId="77777777" w:rsidR="0073096F" w:rsidRPr="00647E79" w:rsidRDefault="0073096F" w:rsidP="0073096F">
      <w:pPr>
        <w:pStyle w:val="Corps"/>
        <w:jc w:val="both"/>
        <w:rPr>
          <w:rStyle w:val="Numrodepage"/>
          <w:rFonts w:ascii="Times" w:eastAsia="Times" w:hAnsi="Times" w:cs="Times"/>
          <w:lang w:val="fr-FR"/>
        </w:rPr>
      </w:pPr>
      <w:r w:rsidRPr="00647E79">
        <w:rPr>
          <w:rStyle w:val="Numrodepage"/>
          <w:rFonts w:ascii="Times" w:eastAsia="Times" w:hAnsi="Times" w:cs="Times"/>
          <w:lang w:val="fr-FR"/>
        </w:rPr>
        <w:t xml:space="preserve">(Adresse privée : Rue Frédéric </w:t>
      </w:r>
      <w:proofErr w:type="spellStart"/>
      <w:r w:rsidRPr="00647E79">
        <w:rPr>
          <w:rStyle w:val="Numrodepage"/>
          <w:rFonts w:ascii="Times" w:eastAsia="Times" w:hAnsi="Times" w:cs="Times"/>
          <w:lang w:val="fr-FR"/>
        </w:rPr>
        <w:t>Nyst</w:t>
      </w:r>
      <w:proofErr w:type="spellEnd"/>
      <w:r w:rsidRPr="00647E79">
        <w:rPr>
          <w:rStyle w:val="Numrodepage"/>
          <w:rFonts w:ascii="Times" w:eastAsia="Times" w:hAnsi="Times" w:cs="Times"/>
          <w:lang w:val="fr-FR"/>
        </w:rPr>
        <w:t>, 64 à 4020 Liège, Belgique).</w:t>
      </w:r>
    </w:p>
    <w:p w14:paraId="56674012" w14:textId="77777777" w:rsidR="005D740B" w:rsidRPr="00647E79" w:rsidRDefault="005D740B">
      <w:pPr>
        <w:rPr>
          <w:lang w:val="fr-FR"/>
        </w:rPr>
      </w:pPr>
    </w:p>
    <w:sectPr w:rsidR="005D740B" w:rsidRPr="00647E79" w:rsidSect="00B9157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8D7A7" w14:textId="77777777" w:rsidR="00B91574" w:rsidRDefault="00B91574" w:rsidP="008F2CDC">
      <w:r>
        <w:separator/>
      </w:r>
    </w:p>
  </w:endnote>
  <w:endnote w:type="continuationSeparator" w:id="0">
    <w:p w14:paraId="5B41D3E5" w14:textId="77777777" w:rsidR="00B91574" w:rsidRDefault="00B91574" w:rsidP="008F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E19DE" w14:textId="0FE6BAD1" w:rsidR="00B91574" w:rsidRDefault="0073096F">
    <w:pPr>
      <w:pStyle w:val="Pieddepage"/>
      <w:tabs>
        <w:tab w:val="clear" w:pos="9072"/>
        <w:tab w:val="right" w:pos="9046"/>
      </w:tabs>
      <w:jc w:val="right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1CF60" w14:textId="77777777" w:rsidR="00B91574" w:rsidRDefault="00B91574" w:rsidP="008F2CDC">
      <w:r>
        <w:separator/>
      </w:r>
    </w:p>
  </w:footnote>
  <w:footnote w:type="continuationSeparator" w:id="0">
    <w:p w14:paraId="06112DAA" w14:textId="77777777" w:rsidR="00B91574" w:rsidRDefault="00B91574" w:rsidP="008F2C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0D58" w14:textId="1198AB90" w:rsidR="00B91574" w:rsidRPr="00AF75FC" w:rsidRDefault="00AF75FC">
    <w:pPr>
      <w:pStyle w:val="En-tte"/>
      <w:rPr>
        <w:rFonts w:ascii="Times" w:hAnsi="Times"/>
        <w:sz w:val="22"/>
        <w:szCs w:val="22"/>
      </w:rPr>
    </w:pPr>
    <w:r w:rsidRPr="00AF75FC">
      <w:rPr>
        <w:rFonts w:ascii="Times" w:hAnsi="Times"/>
        <w:sz w:val="22"/>
        <w:szCs w:val="22"/>
      </w:rPr>
      <w:t xml:space="preserve">Haxhe, S., de Saint Georges, </w:t>
    </w:r>
    <w:r>
      <w:rPr>
        <w:rFonts w:ascii="Times" w:hAnsi="Times"/>
        <w:sz w:val="22"/>
        <w:szCs w:val="22"/>
      </w:rPr>
      <w:t xml:space="preserve">M.C., Michard, P. &amp; Heireman, M. (2016). Don et dette de vie à l’adolescence. </w:t>
    </w:r>
    <w:r w:rsidRPr="00AF75FC">
      <w:rPr>
        <w:rFonts w:ascii="Times" w:hAnsi="Times"/>
        <w:i/>
        <w:sz w:val="22"/>
        <w:szCs w:val="22"/>
      </w:rPr>
      <w:t>Adolescence</w:t>
    </w:r>
    <w:r>
      <w:rPr>
        <w:rFonts w:ascii="Times" w:hAnsi="Times"/>
        <w:sz w:val="22"/>
        <w:szCs w:val="22"/>
      </w:rPr>
      <w:t xml:space="preserve">, 34(3), 597-605.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DC"/>
    <w:rsid w:val="000D1582"/>
    <w:rsid w:val="00236112"/>
    <w:rsid w:val="00485E4A"/>
    <w:rsid w:val="005D740B"/>
    <w:rsid w:val="00647E79"/>
    <w:rsid w:val="0073096F"/>
    <w:rsid w:val="008F2CDC"/>
    <w:rsid w:val="00AF75FC"/>
    <w:rsid w:val="00B91574"/>
    <w:rsid w:val="00E24A4F"/>
    <w:rsid w:val="00F11AFA"/>
    <w:rsid w:val="00F269D3"/>
    <w:rsid w:val="00F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E776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F2CD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fr-BE" w:eastAsia="fr-BE"/>
    </w:rPr>
  </w:style>
  <w:style w:type="character" w:customStyle="1" w:styleId="En-tteCar">
    <w:name w:val="En-tête Car"/>
    <w:basedOn w:val="Policepardfaut"/>
    <w:link w:val="En-tte"/>
    <w:rsid w:val="008F2CDC"/>
    <w:rPr>
      <w:rFonts w:ascii="Helvetica" w:eastAsia="Arial Unicode MS" w:hAnsi="Helvetica" w:cs="Arial Unicode MS"/>
      <w:color w:val="000000"/>
      <w:bdr w:val="nil"/>
      <w:lang w:val="fr-BE" w:eastAsia="fr-BE"/>
    </w:rPr>
  </w:style>
  <w:style w:type="paragraph" w:styleId="Pieddepage">
    <w:name w:val="footer"/>
    <w:link w:val="PieddepageCar"/>
    <w:rsid w:val="008F2C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PieddepageCar">
    <w:name w:val="Pied de page Car"/>
    <w:basedOn w:val="Policepardfaut"/>
    <w:link w:val="Pieddepage"/>
    <w:rsid w:val="008F2CDC"/>
    <w:rPr>
      <w:rFonts w:ascii="Cambria" w:eastAsia="Cambria" w:hAnsi="Cambria" w:cs="Cambria"/>
      <w:color w:val="000000"/>
      <w:u w:color="000000"/>
      <w:bdr w:val="nil"/>
      <w:lang w:eastAsia="fr-BE"/>
    </w:rPr>
  </w:style>
  <w:style w:type="paragraph" w:customStyle="1" w:styleId="Corps">
    <w:name w:val="Corps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fr-BE" w:eastAsia="fr-BE"/>
    </w:rPr>
  </w:style>
  <w:style w:type="character" w:styleId="Numrodepage">
    <w:name w:val="page number"/>
    <w:rsid w:val="008F2CDC"/>
  </w:style>
  <w:style w:type="paragraph" w:styleId="Notedebasdepage">
    <w:name w:val="footnote text"/>
    <w:link w:val="NotedebasdepageCar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NotedebasdepageCar">
    <w:name w:val="Note de bas de page Car"/>
    <w:basedOn w:val="Policepardfaut"/>
    <w:link w:val="Notedebasdepage"/>
    <w:rsid w:val="008F2CDC"/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Hyperlink0">
    <w:name w:val="Hyperlink.0"/>
    <w:basedOn w:val="Policepardfaut"/>
    <w:rsid w:val="008F2CDC"/>
    <w:rPr>
      <w:rFonts w:ascii="Times" w:eastAsia="Times" w:hAnsi="Times" w:cs="Times"/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F2CD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fr-BE" w:eastAsia="fr-BE"/>
    </w:rPr>
  </w:style>
  <w:style w:type="character" w:customStyle="1" w:styleId="En-tteCar">
    <w:name w:val="En-tête Car"/>
    <w:basedOn w:val="Policepardfaut"/>
    <w:link w:val="En-tte"/>
    <w:rsid w:val="008F2CDC"/>
    <w:rPr>
      <w:rFonts w:ascii="Helvetica" w:eastAsia="Arial Unicode MS" w:hAnsi="Helvetica" w:cs="Arial Unicode MS"/>
      <w:color w:val="000000"/>
      <w:bdr w:val="nil"/>
      <w:lang w:val="fr-BE" w:eastAsia="fr-BE"/>
    </w:rPr>
  </w:style>
  <w:style w:type="paragraph" w:styleId="Pieddepage">
    <w:name w:val="footer"/>
    <w:link w:val="PieddepageCar"/>
    <w:rsid w:val="008F2CD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PieddepageCar">
    <w:name w:val="Pied de page Car"/>
    <w:basedOn w:val="Policepardfaut"/>
    <w:link w:val="Pieddepage"/>
    <w:rsid w:val="008F2CDC"/>
    <w:rPr>
      <w:rFonts w:ascii="Cambria" w:eastAsia="Cambria" w:hAnsi="Cambria" w:cs="Cambria"/>
      <w:color w:val="000000"/>
      <w:u w:color="000000"/>
      <w:bdr w:val="nil"/>
      <w:lang w:eastAsia="fr-BE"/>
    </w:rPr>
  </w:style>
  <w:style w:type="paragraph" w:customStyle="1" w:styleId="Corps">
    <w:name w:val="Corps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fr-BE" w:eastAsia="fr-BE"/>
    </w:rPr>
  </w:style>
  <w:style w:type="character" w:styleId="Numrodepage">
    <w:name w:val="page number"/>
    <w:rsid w:val="008F2CDC"/>
  </w:style>
  <w:style w:type="paragraph" w:styleId="Notedebasdepage">
    <w:name w:val="footnote text"/>
    <w:link w:val="NotedebasdepageCar"/>
    <w:rsid w:val="008F2C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NotedebasdepageCar">
    <w:name w:val="Note de bas de page Car"/>
    <w:basedOn w:val="Policepardfaut"/>
    <w:link w:val="Notedebasdepage"/>
    <w:rsid w:val="008F2CDC"/>
    <w:rPr>
      <w:rFonts w:ascii="Cambria" w:eastAsia="Cambria" w:hAnsi="Cambria" w:cs="Cambria"/>
      <w:color w:val="000000"/>
      <w:u w:color="000000"/>
      <w:bdr w:val="nil"/>
      <w:lang w:eastAsia="fr-BE"/>
    </w:rPr>
  </w:style>
  <w:style w:type="character" w:customStyle="1" w:styleId="Hyperlink0">
    <w:name w:val="Hyperlink.0"/>
    <w:basedOn w:val="Policepardfaut"/>
    <w:rsid w:val="008F2CDC"/>
    <w:rPr>
      <w:rFonts w:ascii="Times" w:eastAsia="Times" w:hAnsi="Times" w:cs="Times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haxhe@ulg.ac.b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Macintosh Word</Application>
  <DocSecurity>0</DocSecurity>
  <Lines>7</Lines>
  <Paragraphs>2</Paragraphs>
  <ScaleCrop>false</ScaleCrop>
  <Company>Université de Liège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Stéphanie Haxhe</cp:lastModifiedBy>
  <cp:revision>4</cp:revision>
  <dcterms:created xsi:type="dcterms:W3CDTF">2016-10-11T20:11:00Z</dcterms:created>
  <dcterms:modified xsi:type="dcterms:W3CDTF">2016-10-11T20:13:00Z</dcterms:modified>
</cp:coreProperties>
</file>