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16" w:rsidRDefault="00624C16" w:rsidP="00624C16">
      <w:pPr>
        <w:pStyle w:val="Title1"/>
        <w:spacing w:before="0" w:after="0"/>
      </w:pPr>
      <w:r>
        <w:rPr>
          <w:i/>
        </w:rPr>
        <w:t>Mot à mot</w:t>
      </w:r>
      <w:r>
        <w:t xml:space="preserve">, </w:t>
      </w:r>
      <w:r>
        <w:rPr>
          <w:i/>
        </w:rPr>
        <w:t>brin par brin</w:t>
      </w:r>
      <w:r>
        <w:t xml:space="preserve"> : </w:t>
      </w:r>
      <w:r>
        <w:br/>
        <w:t>les suites [Nom préposition Nom]</w:t>
      </w:r>
      <w:r w:rsidR="00756CB4">
        <w:t xml:space="preserve"> </w:t>
      </w:r>
      <w:r>
        <w:t xml:space="preserve">comme </w:t>
      </w:r>
      <w:bookmarkStart w:id="0" w:name="_GoBack"/>
      <w:bookmarkEnd w:id="0"/>
    </w:p>
    <w:p w:rsidR="00624C16" w:rsidRDefault="00624C16" w:rsidP="00624C16">
      <w:pPr>
        <w:pStyle w:val="Title1"/>
        <w:spacing w:before="0" w:after="0"/>
      </w:pPr>
      <w:proofErr w:type="gramStart"/>
      <w:r>
        <w:t>indices</w:t>
      </w:r>
      <w:proofErr w:type="gramEnd"/>
      <w:r>
        <w:t xml:space="preserve"> de littérarité</w:t>
      </w:r>
      <w:r w:rsidR="001779E9">
        <w:t> ?</w:t>
      </w:r>
    </w:p>
    <w:p w:rsidR="001927BD" w:rsidRDefault="001927BD" w:rsidP="00624C16">
      <w:pPr>
        <w:pStyle w:val="Title1"/>
        <w:spacing w:before="0" w:after="0"/>
      </w:pPr>
    </w:p>
    <w:p w:rsidR="0076172F" w:rsidRPr="004B4E0E" w:rsidRDefault="00624C16" w:rsidP="00624C16">
      <w:pPr>
        <w:pStyle w:val="Title1"/>
        <w:spacing w:before="0" w:after="0"/>
        <w:rPr>
          <w:b w:val="0"/>
          <w:sz w:val="28"/>
          <w:szCs w:val="28"/>
        </w:rPr>
      </w:pPr>
      <w:r w:rsidRPr="004B4E0E">
        <w:rPr>
          <w:b w:val="0"/>
          <w:sz w:val="28"/>
          <w:szCs w:val="28"/>
        </w:rPr>
        <w:t>Véronique Magri</w:t>
      </w:r>
      <w:r w:rsidR="001927BD" w:rsidRPr="004B4E0E">
        <w:rPr>
          <w:b w:val="0"/>
          <w:kern w:val="36"/>
          <w:sz w:val="28"/>
          <w:szCs w:val="28"/>
          <w:vertAlign w:val="superscript"/>
        </w:rPr>
        <w:t>1</w:t>
      </w:r>
      <w:r w:rsidRPr="004B4E0E">
        <w:rPr>
          <w:b w:val="0"/>
          <w:sz w:val="28"/>
          <w:szCs w:val="28"/>
        </w:rPr>
        <w:t>, Gérald Purnelle</w:t>
      </w:r>
      <w:r w:rsidR="001927BD" w:rsidRPr="004B4E0E">
        <w:rPr>
          <w:b w:val="0"/>
          <w:kern w:val="36"/>
          <w:sz w:val="28"/>
          <w:szCs w:val="28"/>
          <w:vertAlign w:val="superscript"/>
        </w:rPr>
        <w:t>2</w:t>
      </w:r>
      <w:r w:rsidRPr="004B4E0E">
        <w:rPr>
          <w:b w:val="0"/>
          <w:sz w:val="28"/>
          <w:szCs w:val="28"/>
        </w:rPr>
        <w:t xml:space="preserve"> </w:t>
      </w:r>
    </w:p>
    <w:p w:rsidR="00624C16" w:rsidRPr="004B4E0E" w:rsidRDefault="00624C16" w:rsidP="00624C16">
      <w:pPr>
        <w:pStyle w:val="Title1"/>
        <w:spacing w:before="0" w:after="0"/>
        <w:rPr>
          <w:b w:val="0"/>
          <w:sz w:val="28"/>
          <w:szCs w:val="28"/>
        </w:rPr>
      </w:pPr>
      <w:r w:rsidRPr="004B4E0E">
        <w:rPr>
          <w:b w:val="0"/>
          <w:sz w:val="28"/>
          <w:szCs w:val="28"/>
        </w:rPr>
        <w:t>&amp; Dominique Legallois</w:t>
      </w:r>
      <w:r w:rsidR="001927BD" w:rsidRPr="004B4E0E">
        <w:rPr>
          <w:b w:val="0"/>
          <w:kern w:val="36"/>
          <w:sz w:val="28"/>
          <w:szCs w:val="28"/>
          <w:vertAlign w:val="superscript"/>
        </w:rPr>
        <w:t>3</w:t>
      </w:r>
      <w:r w:rsidR="00D46A3B" w:rsidRPr="004B4E0E">
        <w:rPr>
          <w:b w:val="0"/>
          <w:kern w:val="36"/>
          <w:sz w:val="28"/>
          <w:szCs w:val="28"/>
          <w:vertAlign w:val="superscript"/>
        </w:rPr>
        <w:t xml:space="preserve"> </w:t>
      </w:r>
    </w:p>
    <w:p w:rsidR="00624C16" w:rsidRDefault="00624C16" w:rsidP="001927BD">
      <w:pPr>
        <w:jc w:val="center"/>
      </w:pPr>
    </w:p>
    <w:p w:rsidR="001927BD" w:rsidRDefault="001927BD" w:rsidP="001927BD">
      <w:pPr>
        <w:pStyle w:val="Address"/>
        <w:spacing w:before="120"/>
      </w:pPr>
      <w:r>
        <w:rPr>
          <w:vertAlign w:val="superscript"/>
        </w:rPr>
        <w:t>1</w:t>
      </w:r>
      <w:r w:rsidRPr="00A4509D">
        <w:t xml:space="preserve"> </w:t>
      </w:r>
      <w:r w:rsidR="000C02B5">
        <w:t xml:space="preserve">Université Nice Sophia </w:t>
      </w:r>
      <w:r>
        <w:t xml:space="preserve">Antipolis, </w:t>
      </w:r>
      <w:r w:rsidR="000C02B5">
        <w:t>UCA, BCL</w:t>
      </w:r>
      <w:r w:rsidR="006431DD" w:rsidRPr="00505E25">
        <w:rPr>
          <w:lang w:val="fr-BE"/>
        </w:rPr>
        <w:t xml:space="preserve">– </w:t>
      </w:r>
      <w:r w:rsidR="006431DD">
        <w:t>France – v</w:t>
      </w:r>
      <w:r w:rsidR="000C02B5">
        <w:t>eronique.m</w:t>
      </w:r>
      <w:r>
        <w:t>agri@unice.fr</w:t>
      </w:r>
    </w:p>
    <w:p w:rsidR="001927BD" w:rsidRDefault="001927BD" w:rsidP="001927BD">
      <w:pPr>
        <w:pStyle w:val="Address"/>
        <w:spacing w:before="120"/>
      </w:pPr>
      <w:r>
        <w:rPr>
          <w:vertAlign w:val="superscript"/>
        </w:rPr>
        <w:t>2</w:t>
      </w:r>
      <w:r w:rsidRPr="00A4509D">
        <w:t xml:space="preserve"> </w:t>
      </w:r>
      <w:r>
        <w:t xml:space="preserve">Université de Liège </w:t>
      </w:r>
      <w:r w:rsidR="006431DD" w:rsidRPr="00505E25">
        <w:rPr>
          <w:lang w:val="fr-BE"/>
        </w:rPr>
        <w:t xml:space="preserve">– Belgique </w:t>
      </w:r>
      <w:r>
        <w:t>–</w:t>
      </w:r>
      <w:r w:rsidRPr="006431DD">
        <w:t xml:space="preserve"> </w:t>
      </w:r>
      <w:hyperlink r:id="rId8" w:history="1">
        <w:r w:rsidR="006431DD" w:rsidRPr="006431DD">
          <w:rPr>
            <w:rStyle w:val="Lienhypertexte"/>
            <w:color w:val="auto"/>
          </w:rPr>
          <w:t>gerald.purnelle@ulg.ac.be</w:t>
        </w:r>
      </w:hyperlink>
    </w:p>
    <w:p w:rsidR="001927BD" w:rsidRDefault="00BF5A19" w:rsidP="001927BD">
      <w:pPr>
        <w:pStyle w:val="Address"/>
        <w:spacing w:before="120"/>
      </w:pPr>
      <w:r>
        <w:rPr>
          <w:vertAlign w:val="superscript"/>
        </w:rPr>
        <w:t xml:space="preserve">3 </w:t>
      </w:r>
      <w:r w:rsidR="001927BD">
        <w:t xml:space="preserve">Université Paris 3 Sorbonne Nouvelle, </w:t>
      </w:r>
      <w:proofErr w:type="spellStart"/>
      <w:r w:rsidR="001927BD">
        <w:t>Clesthia</w:t>
      </w:r>
      <w:proofErr w:type="spellEnd"/>
      <w:r w:rsidR="001927BD">
        <w:t xml:space="preserve"> </w:t>
      </w:r>
      <w:r w:rsidR="006431DD" w:rsidRPr="00505E25">
        <w:rPr>
          <w:lang w:val="fr-BE"/>
        </w:rPr>
        <w:t>– France</w:t>
      </w:r>
      <w:r w:rsidR="001927BD">
        <w:t>– dominique.legallois@univ-paris3.fr</w:t>
      </w:r>
    </w:p>
    <w:p w:rsidR="006D13D1" w:rsidRPr="006D13D1" w:rsidRDefault="006D13D1" w:rsidP="006D13D1">
      <w:pPr>
        <w:suppressAutoHyphens w:val="0"/>
        <w:spacing w:before="240" w:after="80" w:line="280" w:lineRule="exact"/>
        <w:jc w:val="center"/>
        <w:outlineLvl w:val="1"/>
        <w:rPr>
          <w:b/>
          <w:snapToGrid w:val="0"/>
          <w:sz w:val="28"/>
          <w:szCs w:val="20"/>
          <w:lang w:eastAsia="fr-FR"/>
        </w:rPr>
      </w:pPr>
      <w:r w:rsidRPr="006D13D1">
        <w:rPr>
          <w:b/>
          <w:snapToGrid w:val="0"/>
          <w:sz w:val="28"/>
          <w:szCs w:val="20"/>
          <w:lang w:eastAsia="fr-FR"/>
        </w:rPr>
        <w:t>Abstract</w:t>
      </w:r>
    </w:p>
    <w:p w:rsidR="00341C21" w:rsidRPr="00505E25" w:rsidRDefault="00341C21" w:rsidP="00341C21">
      <w:pPr>
        <w:suppressAutoHyphens w:val="0"/>
        <w:jc w:val="both"/>
        <w:rPr>
          <w:sz w:val="20"/>
          <w:szCs w:val="20"/>
          <w:lang w:val="en-US" w:eastAsia="fr-FR"/>
        </w:rPr>
      </w:pPr>
      <w:r w:rsidRPr="00341C21">
        <w:rPr>
          <w:sz w:val="20"/>
          <w:szCs w:val="20"/>
          <w:lang w:val="en-US" w:eastAsia="fr-FR"/>
        </w:rPr>
        <w:t>For the JADT 2012, we applied the text pattern the</w:t>
      </w:r>
      <w:r w:rsidR="002E603C" w:rsidRPr="000C02B5">
        <w:rPr>
          <w:sz w:val="20"/>
          <w:szCs w:val="20"/>
          <w:lang w:val="en-US" w:eastAsia="fr-FR"/>
        </w:rPr>
        <w:t>ory to Noun-preposition-Noun (</w:t>
      </w:r>
      <w:proofErr w:type="spellStart"/>
      <w:proofErr w:type="gramStart"/>
      <w:r w:rsidR="002E603C" w:rsidRPr="000C02B5">
        <w:rPr>
          <w:sz w:val="20"/>
          <w:szCs w:val="20"/>
          <w:lang w:val="en-US" w:eastAsia="fr-FR"/>
        </w:rPr>
        <w:t>Np</w:t>
      </w:r>
      <w:r w:rsidRPr="00341C21">
        <w:rPr>
          <w:sz w:val="20"/>
          <w:szCs w:val="20"/>
          <w:lang w:val="en-US" w:eastAsia="fr-FR"/>
        </w:rPr>
        <w:t>N</w:t>
      </w:r>
      <w:proofErr w:type="spellEnd"/>
      <w:proofErr w:type="gramEnd"/>
      <w:r w:rsidRPr="00341C21">
        <w:rPr>
          <w:sz w:val="20"/>
          <w:szCs w:val="20"/>
          <w:lang w:val="en-US" w:eastAsia="fr-FR"/>
        </w:rPr>
        <w:t>) sequences, where both nouns surrounding the preposition are identical. Our working corpus was composed of texts from the four main literary genres, memoirs (109 texts), novels (740 texts), poetry (191 texts) and theater (210 texts),</w:t>
      </w:r>
      <w:r w:rsidR="00122019" w:rsidRPr="000C02B5">
        <w:rPr>
          <w:sz w:val="20"/>
          <w:szCs w:val="20"/>
          <w:lang w:val="en-US" w:eastAsia="fr-FR"/>
        </w:rPr>
        <w:t xml:space="preserve"> 85 million</w:t>
      </w:r>
      <w:r w:rsidR="00A50427" w:rsidRPr="000C02B5">
        <w:rPr>
          <w:sz w:val="20"/>
          <w:szCs w:val="20"/>
          <w:lang w:val="en-US" w:eastAsia="fr-FR"/>
        </w:rPr>
        <w:t xml:space="preserve"> words,</w:t>
      </w:r>
      <w:r w:rsidRPr="00341C21">
        <w:rPr>
          <w:sz w:val="20"/>
          <w:szCs w:val="20"/>
          <w:lang w:val="en-US" w:eastAsia="fr-FR"/>
        </w:rPr>
        <w:t xml:space="preserve"> sampled out of </w:t>
      </w:r>
      <w:proofErr w:type="spellStart"/>
      <w:r w:rsidRPr="00341C21">
        <w:rPr>
          <w:i/>
          <w:sz w:val="20"/>
          <w:szCs w:val="20"/>
          <w:lang w:val="en-US" w:eastAsia="fr-FR"/>
        </w:rPr>
        <w:t>Frantext</w:t>
      </w:r>
      <w:proofErr w:type="spellEnd"/>
      <w:r w:rsidRPr="00341C21">
        <w:rPr>
          <w:sz w:val="20"/>
          <w:szCs w:val="20"/>
          <w:lang w:val="en-US" w:eastAsia="fr-FR"/>
        </w:rPr>
        <w:t>, a categorized database.</w:t>
      </w:r>
      <w:r w:rsidR="0020247A" w:rsidRPr="00505E25">
        <w:rPr>
          <w:sz w:val="20"/>
          <w:szCs w:val="20"/>
          <w:lang w:val="en-US" w:eastAsia="fr-FR"/>
        </w:rPr>
        <w:t xml:space="preserve"> </w:t>
      </w:r>
      <w:r w:rsidRPr="00341C21">
        <w:rPr>
          <w:sz w:val="20"/>
          <w:szCs w:val="20"/>
          <w:lang w:val="en-US" w:eastAsia="fr-FR"/>
        </w:rPr>
        <w:t>That exploratory research allowed us to pinpo</w:t>
      </w:r>
      <w:r w:rsidR="002E603C" w:rsidRPr="000C02B5">
        <w:rPr>
          <w:sz w:val="20"/>
          <w:szCs w:val="20"/>
          <w:lang w:val="en-US" w:eastAsia="fr-FR"/>
        </w:rPr>
        <w:t xml:space="preserve">int the specific place of the </w:t>
      </w:r>
      <w:proofErr w:type="spellStart"/>
      <w:proofErr w:type="gramStart"/>
      <w:r w:rsidR="002E603C" w:rsidRPr="000C02B5">
        <w:rPr>
          <w:sz w:val="20"/>
          <w:szCs w:val="20"/>
          <w:lang w:val="en-US" w:eastAsia="fr-FR"/>
        </w:rPr>
        <w:t>Np</w:t>
      </w:r>
      <w:r w:rsidRPr="00341C21">
        <w:rPr>
          <w:sz w:val="20"/>
          <w:szCs w:val="20"/>
          <w:lang w:val="en-US" w:eastAsia="fr-FR"/>
        </w:rPr>
        <w:t>N</w:t>
      </w:r>
      <w:proofErr w:type="spellEnd"/>
      <w:proofErr w:type="gramEnd"/>
      <w:r w:rsidRPr="00341C21">
        <w:rPr>
          <w:sz w:val="20"/>
          <w:szCs w:val="20"/>
          <w:lang w:val="en-US" w:eastAsia="fr-FR"/>
        </w:rPr>
        <w:t xml:space="preserve"> sequence, between language and discourse, its blooming into a full discursive pattern, able to produce a stylistic effect linked to lexical innovation, as well as its possible use as a generic </w:t>
      </w:r>
      <w:proofErr w:type="spellStart"/>
      <w:r w:rsidRPr="00341C21">
        <w:rPr>
          <w:sz w:val="20"/>
          <w:szCs w:val="20"/>
          <w:lang w:val="en-US" w:eastAsia="fr-FR"/>
        </w:rPr>
        <w:t>litterarity</w:t>
      </w:r>
      <w:proofErr w:type="spellEnd"/>
      <w:r w:rsidRPr="00341C21">
        <w:rPr>
          <w:sz w:val="20"/>
          <w:szCs w:val="20"/>
          <w:lang w:val="en-US" w:eastAsia="fr-FR"/>
        </w:rPr>
        <w:t xml:space="preserve"> marker.</w:t>
      </w:r>
    </w:p>
    <w:p w:rsidR="00341C21" w:rsidRPr="00505E25" w:rsidRDefault="00341C21" w:rsidP="00341C21">
      <w:pPr>
        <w:suppressAutoHyphens w:val="0"/>
        <w:jc w:val="both"/>
        <w:rPr>
          <w:sz w:val="20"/>
          <w:szCs w:val="20"/>
          <w:lang w:val="en-US" w:eastAsia="fr-FR"/>
        </w:rPr>
      </w:pPr>
      <w:r w:rsidRPr="00341C21">
        <w:rPr>
          <w:sz w:val="20"/>
          <w:szCs w:val="20"/>
          <w:lang w:val="en-US" w:eastAsia="fr-FR"/>
        </w:rPr>
        <w:t>This paper aims at pursuing the work by extending the corpus and proposing new contrastive stu</w:t>
      </w:r>
      <w:r w:rsidR="00C32D9B" w:rsidRPr="000C02B5">
        <w:rPr>
          <w:sz w:val="20"/>
          <w:szCs w:val="20"/>
          <w:lang w:val="en-US" w:eastAsia="fr-FR"/>
        </w:rPr>
        <w:t xml:space="preserve">dies, showing the role of the </w:t>
      </w:r>
      <w:proofErr w:type="spellStart"/>
      <w:proofErr w:type="gramStart"/>
      <w:r w:rsidR="00C32D9B" w:rsidRPr="000C02B5">
        <w:rPr>
          <w:sz w:val="20"/>
          <w:szCs w:val="20"/>
          <w:lang w:val="en-US" w:eastAsia="fr-FR"/>
        </w:rPr>
        <w:t>Np</w:t>
      </w:r>
      <w:r w:rsidRPr="00341C21">
        <w:rPr>
          <w:sz w:val="20"/>
          <w:szCs w:val="20"/>
          <w:lang w:val="en-US" w:eastAsia="fr-FR"/>
        </w:rPr>
        <w:t>N</w:t>
      </w:r>
      <w:proofErr w:type="spellEnd"/>
      <w:proofErr w:type="gramEnd"/>
      <w:r w:rsidRPr="00341C21">
        <w:rPr>
          <w:sz w:val="20"/>
          <w:szCs w:val="20"/>
          <w:lang w:val="en-US" w:eastAsia="fr-FR"/>
        </w:rPr>
        <w:t xml:space="preserve"> sequence as a </w:t>
      </w:r>
      <w:proofErr w:type="spellStart"/>
      <w:r w:rsidRPr="00341C21">
        <w:rPr>
          <w:sz w:val="20"/>
          <w:szCs w:val="20"/>
          <w:lang w:val="en-US" w:eastAsia="fr-FR"/>
        </w:rPr>
        <w:t>litterarity</w:t>
      </w:r>
      <w:proofErr w:type="spellEnd"/>
      <w:r w:rsidRPr="00341C21">
        <w:rPr>
          <w:sz w:val="20"/>
          <w:szCs w:val="20"/>
          <w:lang w:val="en-US" w:eastAsia="fr-FR"/>
        </w:rPr>
        <w:t xml:space="preserve"> marker.</w:t>
      </w:r>
    </w:p>
    <w:p w:rsidR="006D13D1" w:rsidRPr="00914BA1" w:rsidRDefault="006D13D1" w:rsidP="006D13D1">
      <w:pPr>
        <w:suppressAutoHyphens w:val="0"/>
        <w:spacing w:before="240" w:after="80" w:line="280" w:lineRule="exact"/>
        <w:jc w:val="center"/>
        <w:outlineLvl w:val="1"/>
        <w:rPr>
          <w:b/>
          <w:snapToGrid w:val="0"/>
          <w:sz w:val="28"/>
          <w:szCs w:val="20"/>
          <w:lang w:eastAsia="fr-FR"/>
        </w:rPr>
      </w:pPr>
      <w:r w:rsidRPr="00914BA1">
        <w:rPr>
          <w:b/>
          <w:snapToGrid w:val="0"/>
          <w:sz w:val="28"/>
          <w:szCs w:val="20"/>
          <w:lang w:eastAsia="fr-FR"/>
        </w:rPr>
        <w:t>Résumé</w:t>
      </w:r>
    </w:p>
    <w:p w:rsidR="00D63C51" w:rsidRPr="00E43ADB" w:rsidRDefault="00D63C51" w:rsidP="00D63C51">
      <w:pPr>
        <w:jc w:val="both"/>
        <w:rPr>
          <w:sz w:val="20"/>
          <w:szCs w:val="20"/>
        </w:rPr>
      </w:pPr>
      <w:r w:rsidRPr="00E43ADB">
        <w:rPr>
          <w:sz w:val="20"/>
          <w:szCs w:val="20"/>
        </w:rPr>
        <w:t xml:space="preserve">Lors des JADT 2012, la théorie du motif avait été évaluée à l'aune des séquences Nom-préposition-Nom, restreintes aux cas où les deux noms sont identiques. Le corpus était alors constitué d'un extrait de </w:t>
      </w:r>
      <w:proofErr w:type="spellStart"/>
      <w:r w:rsidRPr="00E43ADB">
        <w:rPr>
          <w:i/>
          <w:iCs/>
          <w:sz w:val="20"/>
          <w:szCs w:val="20"/>
        </w:rPr>
        <w:t>Frantext</w:t>
      </w:r>
      <w:proofErr w:type="spellEnd"/>
      <w:r w:rsidRPr="00E43ADB">
        <w:rPr>
          <w:sz w:val="20"/>
          <w:szCs w:val="20"/>
        </w:rPr>
        <w:t xml:space="preserve">, base catégorisée, qui offrait un échantillon des quatre genres littéraires principaux, les mémoires (109 textes), les romans (740 textes), la poésie (191 textes) et le théâtre (210 textes), soit près de 85 millions de mots. Ce premier travail exploratoire a montré que le motif </w:t>
      </w:r>
      <w:proofErr w:type="spellStart"/>
      <w:r w:rsidRPr="00E43ADB">
        <w:rPr>
          <w:sz w:val="20"/>
          <w:szCs w:val="20"/>
        </w:rPr>
        <w:t>NpN</w:t>
      </w:r>
      <w:proofErr w:type="spellEnd"/>
      <w:r w:rsidRPr="00E43ADB">
        <w:rPr>
          <w:sz w:val="20"/>
          <w:szCs w:val="20"/>
        </w:rPr>
        <w:t xml:space="preserve"> se situe entre langue et discours et se développe comme motif discursif susceptible de produire un effet stylistique corrélé à l'innovation lexicale. Il intervient aussi comme possible marqueur générique.</w:t>
      </w:r>
    </w:p>
    <w:p w:rsidR="00836F68" w:rsidRPr="00E43ADB" w:rsidRDefault="00D63C51" w:rsidP="00624C16">
      <w:pPr>
        <w:jc w:val="both"/>
        <w:rPr>
          <w:sz w:val="20"/>
          <w:szCs w:val="20"/>
        </w:rPr>
      </w:pPr>
      <w:r w:rsidRPr="00E43ADB">
        <w:rPr>
          <w:sz w:val="20"/>
          <w:szCs w:val="20"/>
        </w:rPr>
        <w:t xml:space="preserve">La présente communication entend poursuivre cette recherche en développant le corpus de recherche et en proposant de nouvelles études contrastives, susceptibles d’évaluer la suite </w:t>
      </w:r>
      <w:proofErr w:type="spellStart"/>
      <w:r w:rsidRPr="00E43ADB">
        <w:rPr>
          <w:sz w:val="20"/>
          <w:szCs w:val="20"/>
        </w:rPr>
        <w:t>NpN</w:t>
      </w:r>
      <w:proofErr w:type="spellEnd"/>
      <w:r w:rsidRPr="00E43ADB">
        <w:rPr>
          <w:sz w:val="20"/>
          <w:szCs w:val="20"/>
        </w:rPr>
        <w:t xml:space="preserve"> comme marqueur de littérarité. </w:t>
      </w:r>
    </w:p>
    <w:p w:rsidR="00836F68" w:rsidRPr="00E43ADB" w:rsidRDefault="00836F68" w:rsidP="00836F68">
      <w:pPr>
        <w:pStyle w:val="Keywords"/>
      </w:pPr>
      <w:r w:rsidRPr="00E43ADB">
        <w:rPr>
          <w:b/>
        </w:rPr>
        <w:t xml:space="preserve">Mots-clés : </w:t>
      </w:r>
      <w:r w:rsidRPr="00E43ADB">
        <w:t>motif, préposition, genre, littérarité</w:t>
      </w:r>
    </w:p>
    <w:p w:rsidR="00836F68" w:rsidRDefault="00836F68" w:rsidP="00624C16">
      <w:pPr>
        <w:jc w:val="both"/>
      </w:pPr>
    </w:p>
    <w:p w:rsidR="006D13D1" w:rsidRDefault="00624C16" w:rsidP="00CE4A62">
      <w:pPr>
        <w:spacing w:before="120"/>
        <w:jc w:val="both"/>
      </w:pPr>
      <w:r>
        <w:t>Lors des JADT 2012, la théorie du motif</w:t>
      </w:r>
      <w:r w:rsidR="00B9015E">
        <w:rPr>
          <w:rStyle w:val="Appelnotedebasdep"/>
        </w:rPr>
        <w:footnoteReference w:id="1"/>
      </w:r>
      <w:r>
        <w:t xml:space="preserve"> avait été évaluée à l</w:t>
      </w:r>
      <w:r w:rsidR="00B9706C">
        <w:t>’</w:t>
      </w:r>
      <w:r>
        <w:t xml:space="preserve">aune des séquences Nom-préposition-Nom, restreintes aux cas où les deux noms sont identiques. </w:t>
      </w:r>
      <w:r w:rsidR="006D13D1">
        <w:t>Rappelons la définition du motif donné</w:t>
      </w:r>
      <w:r w:rsidR="00D63C51">
        <w:t xml:space="preserve">e par </w:t>
      </w:r>
      <w:proofErr w:type="spellStart"/>
      <w:r w:rsidR="00D63C51">
        <w:t>Longrée</w:t>
      </w:r>
      <w:proofErr w:type="spellEnd"/>
      <w:r w:rsidR="00D63C51">
        <w:t xml:space="preserve"> et </w:t>
      </w:r>
      <w:proofErr w:type="spellStart"/>
      <w:r w:rsidR="00D63C51">
        <w:t>Mellet</w:t>
      </w:r>
      <w:proofErr w:type="spellEnd"/>
      <w:r w:rsidR="00D63C51">
        <w:t xml:space="preserve"> (2013) </w:t>
      </w:r>
      <w:r w:rsidR="006D13D1">
        <w:t>:</w:t>
      </w:r>
    </w:p>
    <w:p w:rsidR="006D13D1" w:rsidRPr="00CE4A62" w:rsidRDefault="006D13D1" w:rsidP="00CE4A62">
      <w:pPr>
        <w:spacing w:before="120"/>
        <w:ind w:left="708"/>
        <w:jc w:val="both"/>
        <w:rPr>
          <w:sz w:val="20"/>
          <w:szCs w:val="20"/>
        </w:rPr>
      </w:pPr>
      <w:r w:rsidRPr="00C73EAB">
        <w:rPr>
          <w:sz w:val="20"/>
          <w:szCs w:val="20"/>
        </w:rPr>
        <w:t xml:space="preserve">Sur le plan fonctionnel, le motif est un « cadre </w:t>
      </w:r>
      <w:proofErr w:type="spellStart"/>
      <w:r w:rsidRPr="00C73EAB">
        <w:rPr>
          <w:sz w:val="20"/>
          <w:szCs w:val="20"/>
        </w:rPr>
        <w:t>collocationnel</w:t>
      </w:r>
      <w:proofErr w:type="spellEnd"/>
      <w:r w:rsidRPr="00C73EAB">
        <w:rPr>
          <w:sz w:val="20"/>
          <w:szCs w:val="20"/>
        </w:rPr>
        <w:t> » accueillant un ensemble d’éléments fixes et de variables, susceptible d’accompagner la structuration textuelle et, simultanément, de caractériser des textes de genres divers, voire de permettre la détection, au sein d’un même texte, des passages de registres différents. (</w:t>
      </w:r>
      <w:proofErr w:type="spellStart"/>
      <w:r w:rsidRPr="00C73EAB">
        <w:rPr>
          <w:sz w:val="20"/>
          <w:szCs w:val="20"/>
        </w:rPr>
        <w:t>Longrée</w:t>
      </w:r>
      <w:proofErr w:type="spellEnd"/>
      <w:r w:rsidRPr="00C73EAB">
        <w:rPr>
          <w:sz w:val="20"/>
          <w:szCs w:val="20"/>
        </w:rPr>
        <w:t xml:space="preserve"> et </w:t>
      </w:r>
      <w:proofErr w:type="spellStart"/>
      <w:r w:rsidRPr="00C73EAB">
        <w:rPr>
          <w:sz w:val="20"/>
          <w:szCs w:val="20"/>
        </w:rPr>
        <w:t>Mellet</w:t>
      </w:r>
      <w:proofErr w:type="spellEnd"/>
      <w:r w:rsidRPr="00C73EAB">
        <w:rPr>
          <w:sz w:val="20"/>
          <w:szCs w:val="20"/>
        </w:rPr>
        <w:t xml:space="preserve"> 2013 : </w:t>
      </w:r>
      <w:r w:rsidR="006B2D38" w:rsidRPr="00C73EAB">
        <w:rPr>
          <w:sz w:val="20"/>
          <w:szCs w:val="20"/>
        </w:rPr>
        <w:t>38</w:t>
      </w:r>
      <w:r w:rsidRPr="00C73EAB">
        <w:rPr>
          <w:sz w:val="20"/>
          <w:szCs w:val="20"/>
        </w:rPr>
        <w:t>)</w:t>
      </w:r>
    </w:p>
    <w:p w:rsidR="006D13D1" w:rsidRDefault="003F789D" w:rsidP="00CE4A62">
      <w:pPr>
        <w:spacing w:before="120"/>
        <w:jc w:val="both"/>
      </w:pPr>
      <w:r w:rsidRPr="00CE4A62">
        <w:t xml:space="preserve">La suite </w:t>
      </w:r>
      <w:proofErr w:type="spellStart"/>
      <w:r w:rsidRPr="00CE4A62">
        <w:t>NpN</w:t>
      </w:r>
      <w:proofErr w:type="spellEnd"/>
      <w:r w:rsidRPr="00CE4A62">
        <w:t xml:space="preserve"> a pu ê</w:t>
      </w:r>
      <w:r w:rsidR="00C93322" w:rsidRPr="00CE4A62">
        <w:t xml:space="preserve">tre définie comme exemple de motif syntaxique. </w:t>
      </w:r>
      <w:r w:rsidR="00097C13" w:rsidRPr="00CE4A62">
        <w:t xml:space="preserve">Cependant, </w:t>
      </w:r>
      <w:proofErr w:type="spellStart"/>
      <w:r w:rsidR="00097C13" w:rsidRPr="00CE4A62">
        <w:t>NpN</w:t>
      </w:r>
      <w:proofErr w:type="spellEnd"/>
      <w:r w:rsidR="00097C13" w:rsidRPr="00CE4A62">
        <w:t xml:space="preserve"> a</w:t>
      </w:r>
      <w:r w:rsidR="00097C13">
        <w:t xml:space="preserve"> également</w:t>
      </w:r>
      <w:r w:rsidR="006D13D1">
        <w:t xml:space="preserve"> fait l’objet d’une analyse syntaxique précise dans le cadre de la Grammaire de Construction (R. </w:t>
      </w:r>
      <w:proofErr w:type="spellStart"/>
      <w:r w:rsidR="006D13D1">
        <w:t>Jackendoff</w:t>
      </w:r>
      <w:proofErr w:type="spellEnd"/>
      <w:r w:rsidR="006D13D1">
        <w:t xml:space="preserve">, 2008) : les propriétés analysées constituent un </w:t>
      </w:r>
      <w:r w:rsidR="002F460D">
        <w:t>défi</w:t>
      </w:r>
      <w:r w:rsidR="006D13D1">
        <w:t xml:space="preserve"> pour la théorisation </w:t>
      </w:r>
      <w:r w:rsidR="00625D7E">
        <w:t xml:space="preserve">grammaticale, puisque la structure </w:t>
      </w:r>
      <w:proofErr w:type="spellStart"/>
      <w:r w:rsidR="00625D7E">
        <w:t>NpN</w:t>
      </w:r>
      <w:proofErr w:type="spellEnd"/>
      <w:r w:rsidR="00625D7E">
        <w:t xml:space="preserve"> est particulièrement idiomatique (ni </w:t>
      </w:r>
      <w:r w:rsidR="00625D7E">
        <w:lastRenderedPageBreak/>
        <w:t xml:space="preserve">l’emploi de noms massifs, ni l’emploi de déterminants, ni l’emploi du pluriel, ni la modification adjectivale ne sont possibles). </w:t>
      </w:r>
      <w:proofErr w:type="spellStart"/>
      <w:r w:rsidR="00625D7E">
        <w:t>NpN</w:t>
      </w:r>
      <w:proofErr w:type="spellEnd"/>
      <w:r w:rsidR="00625D7E">
        <w:t xml:space="preserve"> constitue, de plus, un groupe nominal dont on ne peut préciser la véritable tête. Cette tête, pour </w:t>
      </w:r>
      <w:proofErr w:type="spellStart"/>
      <w:r w:rsidR="00625D7E">
        <w:t>Jackendoff</w:t>
      </w:r>
      <w:proofErr w:type="spellEnd"/>
      <w:r w:rsidR="00625D7E">
        <w:t xml:space="preserve"> serait (plutôt) la préposition elle-même, mais avec une violation du schéma X barre…ce qui a pour conséquence, justement, de faire perdre la tête au syntacticien </w:t>
      </w:r>
      <w:r w:rsidR="00DB7FDB">
        <w:t>soucieux</w:t>
      </w:r>
      <w:r w:rsidR="00625D7E">
        <w:t xml:space="preserve"> de dégager des règles générales du fonctionnement des structures</w:t>
      </w:r>
      <w:r w:rsidR="00DB7FDB">
        <w:t xml:space="preserve"> linguistiques, alors même que la suite se rencontre, outre le français et l’anglais, dans des langues très différentes (mandarin, russe, allemand, </w:t>
      </w:r>
      <w:r w:rsidR="00F103F5">
        <w:t xml:space="preserve">japonais, italien, polonais). </w:t>
      </w:r>
    </w:p>
    <w:p w:rsidR="00624C16" w:rsidRDefault="00F80658" w:rsidP="00DB4CF9">
      <w:pPr>
        <w:spacing w:before="120"/>
        <w:jc w:val="both"/>
      </w:pPr>
      <w:r>
        <w:t xml:space="preserve">L’objectif  de l’article des JADT de 2012 – ainsi que celui-ci – s’inscrivait dans un cadre différent, </w:t>
      </w:r>
      <w:r w:rsidR="002E4C6C">
        <w:t xml:space="preserve">plus </w:t>
      </w:r>
      <w:proofErr w:type="spellStart"/>
      <w:r w:rsidR="002E4C6C">
        <w:t>textualiste</w:t>
      </w:r>
      <w:proofErr w:type="spellEnd"/>
      <w:r w:rsidR="002E4C6C">
        <w:t xml:space="preserve">, </w:t>
      </w:r>
      <w:r>
        <w:t xml:space="preserve">dans la mesure où il s’agissait d’analyser la distribution de </w:t>
      </w:r>
      <w:proofErr w:type="spellStart"/>
      <w:r>
        <w:t>NpN</w:t>
      </w:r>
      <w:proofErr w:type="spellEnd"/>
      <w:r>
        <w:t xml:space="preserve"> selon les genres littéraires. </w:t>
      </w:r>
      <w:r w:rsidR="00624C16">
        <w:t>Le corpus était alors constitué d</w:t>
      </w:r>
      <w:r w:rsidR="00B9706C">
        <w:t>’</w:t>
      </w:r>
      <w:r w:rsidR="00624C16">
        <w:t xml:space="preserve">un extrait de </w:t>
      </w:r>
      <w:proofErr w:type="spellStart"/>
      <w:r w:rsidR="00624C16">
        <w:rPr>
          <w:i/>
          <w:iCs/>
        </w:rPr>
        <w:t>Frantext</w:t>
      </w:r>
      <w:proofErr w:type="spellEnd"/>
      <w:r w:rsidR="00624C16">
        <w:t xml:space="preserve">, base catégorisée, qui offrait un échantillon des quatre genres littéraires principaux, les mémoires (109 textes), les romans (740 textes), la poésie (191 textes) et le théâtre (210 textes), soit près de 85 millions de mots. Ce premier travail exploratoire a montré que le motif </w:t>
      </w:r>
      <w:proofErr w:type="spellStart"/>
      <w:r w:rsidR="00624C16">
        <w:t>NpN</w:t>
      </w:r>
      <w:proofErr w:type="spellEnd"/>
      <w:r w:rsidR="00624C16">
        <w:t xml:space="preserve"> se situe entre langue et discours et se développe comme motif discursif susceptible de produire un effet stylistique corrélé à l</w:t>
      </w:r>
      <w:r w:rsidR="00B9706C">
        <w:t>’</w:t>
      </w:r>
      <w:r w:rsidR="00624C16">
        <w:t>innovation lexicale. Il intervient aussi comme possible marqueur générique.</w:t>
      </w:r>
    </w:p>
    <w:p w:rsidR="00624C16" w:rsidRDefault="00624C16" w:rsidP="00DB4CF9">
      <w:pPr>
        <w:spacing w:before="120"/>
        <w:jc w:val="both"/>
      </w:pPr>
      <w:r>
        <w:t>La présente communication entend poursuivre cette rech</w:t>
      </w:r>
      <w:r w:rsidR="00945C4E">
        <w:t xml:space="preserve">erche en développant le corpus </w:t>
      </w:r>
      <w:r>
        <w:t>de travail et en proposant de nouvelles études contrastives, susceptibles d</w:t>
      </w:r>
      <w:r w:rsidR="00B9706C">
        <w:t>’</w:t>
      </w:r>
      <w:r>
        <w:t xml:space="preserve">évaluer la suite </w:t>
      </w:r>
      <w:proofErr w:type="spellStart"/>
      <w:r>
        <w:t>NpN</w:t>
      </w:r>
      <w:proofErr w:type="spellEnd"/>
      <w:r>
        <w:t xml:space="preserve"> comme marqueur de littérarité. Il est envisagé de confronter deux corpus, l</w:t>
      </w:r>
      <w:r w:rsidR="00B9706C">
        <w:t>’</w:t>
      </w:r>
      <w:r>
        <w:t>un composé d</w:t>
      </w:r>
      <w:r w:rsidR="00B9706C">
        <w:t>’</w:t>
      </w:r>
      <w:r>
        <w:t>articles journalistiques, l</w:t>
      </w:r>
      <w:r w:rsidR="00B9706C">
        <w:t>’</w:t>
      </w:r>
      <w:r>
        <w:t xml:space="preserve">autre de textes </w:t>
      </w:r>
      <w:r w:rsidR="00BF0CD5">
        <w:t>de fiction</w:t>
      </w:r>
      <w:r>
        <w:t>. Ces deux grands ensembles feront l</w:t>
      </w:r>
      <w:r w:rsidR="00B9706C">
        <w:t>’</w:t>
      </w:r>
      <w:r>
        <w:t>objet de partitions internes afin d</w:t>
      </w:r>
      <w:r w:rsidR="00B9706C">
        <w:t>’</w:t>
      </w:r>
      <w:r>
        <w:t>introduire des comparaisons plus fines. Le corpus médiatique se distribuera en deux sous-corpus, l</w:t>
      </w:r>
      <w:r w:rsidR="00B9706C">
        <w:t>’</w:t>
      </w:r>
      <w:r>
        <w:t xml:space="preserve">un constitué de deux quotidiens nationaux, </w:t>
      </w:r>
      <w:r>
        <w:rPr>
          <w:i/>
        </w:rPr>
        <w:t>Le Monde</w:t>
      </w:r>
      <w:r>
        <w:t xml:space="preserve"> et </w:t>
      </w:r>
      <w:r>
        <w:rPr>
          <w:i/>
        </w:rPr>
        <w:t>Libération</w:t>
      </w:r>
      <w:r>
        <w:t>, l</w:t>
      </w:r>
      <w:r w:rsidR="00B9706C">
        <w:t>’</w:t>
      </w:r>
      <w:r>
        <w:t xml:space="preserve">autre de </w:t>
      </w:r>
      <w:r w:rsidR="00BF0CD5">
        <w:t xml:space="preserve">trois </w:t>
      </w:r>
      <w:r>
        <w:t>jour</w:t>
      </w:r>
      <w:r w:rsidR="00BF0CD5">
        <w:t xml:space="preserve">naux régionaux, </w:t>
      </w:r>
      <w:r w:rsidR="00BF0CD5" w:rsidRPr="003F789D">
        <w:rPr>
          <w:i/>
        </w:rPr>
        <w:t>L</w:t>
      </w:r>
      <w:r w:rsidR="00B9706C">
        <w:rPr>
          <w:i/>
        </w:rPr>
        <w:t>’</w:t>
      </w:r>
      <w:r w:rsidRPr="003F789D">
        <w:rPr>
          <w:i/>
        </w:rPr>
        <w:t>Est Républicain</w:t>
      </w:r>
      <w:r w:rsidR="00BF0CD5">
        <w:t xml:space="preserve">, </w:t>
      </w:r>
      <w:r w:rsidR="00BF0CD5" w:rsidRPr="003F789D">
        <w:rPr>
          <w:i/>
        </w:rPr>
        <w:t>Ouest-France</w:t>
      </w:r>
      <w:r w:rsidR="00BF0CD5">
        <w:t xml:space="preserve"> et </w:t>
      </w:r>
      <w:r w:rsidR="00BF0CD5" w:rsidRPr="003F789D">
        <w:rPr>
          <w:i/>
        </w:rPr>
        <w:t>Sud-Oues</w:t>
      </w:r>
      <w:r w:rsidR="00806CAF">
        <w:rPr>
          <w:i/>
        </w:rPr>
        <w:t>t</w:t>
      </w:r>
      <w:r w:rsidR="00806CAF">
        <w:rPr>
          <w:rStyle w:val="Appelnotedebasdep"/>
          <w:i/>
        </w:rPr>
        <w:footnoteReference w:id="2"/>
      </w:r>
      <w:r w:rsidR="008B32BC">
        <w:t xml:space="preserve">, chacun des sous-corpus comptant environ 1,5 millions de mots. </w:t>
      </w:r>
      <w:r w:rsidR="00BF0CD5">
        <w:t>Le corpus fictionnel</w:t>
      </w:r>
      <w:r>
        <w:t xml:space="preserve"> se </w:t>
      </w:r>
      <w:r w:rsidR="000C10A1">
        <w:t>compose de textes contemporains et se décline</w:t>
      </w:r>
      <w:r>
        <w:t xml:space="preserve"> en sous-genres</w:t>
      </w:r>
      <w:r w:rsidR="008B32BC">
        <w:t xml:space="preserve">, comptant </w:t>
      </w:r>
      <w:r w:rsidR="00873E98" w:rsidRPr="00D46A3B">
        <w:t>chacun</w:t>
      </w:r>
      <w:r w:rsidR="00873E98">
        <w:t xml:space="preserve"> </w:t>
      </w:r>
      <w:r w:rsidR="008B32BC">
        <w:t xml:space="preserve">entre 3 et 3,5 millions de mots ; il réunit </w:t>
      </w:r>
      <w:r w:rsidR="00806CAF">
        <w:t>50</w:t>
      </w:r>
      <w:r w:rsidR="00B9706C">
        <w:t xml:space="preserve"> volumes de </w:t>
      </w:r>
      <w:r w:rsidR="008B32BC">
        <w:t xml:space="preserve">la collection </w:t>
      </w:r>
      <w:proofErr w:type="spellStart"/>
      <w:r w:rsidR="008B32BC" w:rsidRPr="008B32BC">
        <w:rPr>
          <w:i/>
        </w:rPr>
        <w:t>Harlequin</w:t>
      </w:r>
      <w:proofErr w:type="spellEnd"/>
      <w:r w:rsidR="00D46A3B">
        <w:rPr>
          <w:i/>
        </w:rPr>
        <w:t xml:space="preserve"> </w:t>
      </w:r>
      <w:r w:rsidR="00D46A3B">
        <w:t>(publiés entre 2001 et 2012)</w:t>
      </w:r>
      <w:r w:rsidR="008B32BC">
        <w:t xml:space="preserve">, </w:t>
      </w:r>
      <w:r w:rsidR="00806CAF">
        <w:t>50</w:t>
      </w:r>
      <w:r w:rsidR="008B32BC">
        <w:t xml:space="preserve"> romans policiers</w:t>
      </w:r>
      <w:r w:rsidR="00806CAF">
        <w:t xml:space="preserve"> (publiés entre 1980 et 2015)</w:t>
      </w:r>
      <w:r w:rsidR="008B32BC">
        <w:t xml:space="preserve"> et une cinquantaine de romans dits sérieux </w:t>
      </w:r>
      <w:r w:rsidR="00806CAF">
        <w:t xml:space="preserve">(publiés entre 1980 et 2015) </w:t>
      </w:r>
      <w:r w:rsidR="008B32BC">
        <w:t xml:space="preserve">dont on trouvera la liste en annexe. </w:t>
      </w:r>
      <w:r w:rsidR="000C10A1">
        <w:t xml:space="preserve">Le premier corpus </w:t>
      </w:r>
      <w:r w:rsidR="008B32BC">
        <w:t xml:space="preserve">extrait de </w:t>
      </w:r>
      <w:proofErr w:type="spellStart"/>
      <w:r w:rsidR="008B32BC" w:rsidRPr="008B32BC">
        <w:rPr>
          <w:i/>
        </w:rPr>
        <w:t>Frantext</w:t>
      </w:r>
      <w:proofErr w:type="spellEnd"/>
      <w:r w:rsidR="008B32BC">
        <w:t xml:space="preserve"> </w:t>
      </w:r>
      <w:r w:rsidR="000C10A1">
        <w:t>sera conservé en mémoire à titre de comparaison</w:t>
      </w:r>
      <w:r w:rsidR="008B32BC">
        <w:t>.</w:t>
      </w:r>
    </w:p>
    <w:p w:rsidR="005E6D54" w:rsidRPr="009C3F30" w:rsidRDefault="00624C16" w:rsidP="00882635">
      <w:pPr>
        <w:spacing w:before="120"/>
        <w:jc w:val="both"/>
        <w:rPr>
          <w:b/>
          <w:bCs/>
        </w:rPr>
      </w:pPr>
      <w:r>
        <w:t>L</w:t>
      </w:r>
      <w:r w:rsidR="00B9706C">
        <w:t>’</w:t>
      </w:r>
      <w:r>
        <w:t>objectif est d</w:t>
      </w:r>
      <w:r w:rsidR="00B9706C">
        <w:t>’</w:t>
      </w:r>
      <w:r>
        <w:t xml:space="preserve">observer le comportement de la suite </w:t>
      </w:r>
      <w:proofErr w:type="spellStart"/>
      <w:r>
        <w:t>NpN</w:t>
      </w:r>
      <w:proofErr w:type="spellEnd"/>
      <w:r>
        <w:t xml:space="preserve"> dans ces différents corpus et de mesurer les variations d</w:t>
      </w:r>
      <w:r w:rsidR="00B9706C">
        <w:t>’</w:t>
      </w:r>
      <w:r>
        <w:t>emploi, le cas échéant, d</w:t>
      </w:r>
      <w:r w:rsidR="00B9706C">
        <w:t>’</w:t>
      </w:r>
      <w:r>
        <w:t>un corpus à l</w:t>
      </w:r>
      <w:r w:rsidR="00B9706C">
        <w:t>’</w:t>
      </w:r>
      <w:r>
        <w:t>autre, tout en posant la question de son fonctionnement comme indice éventuel de littérarité.</w:t>
      </w:r>
      <w:r w:rsidR="00AE29D9">
        <w:t xml:space="preserve"> </w:t>
      </w:r>
    </w:p>
    <w:p w:rsidR="0078192B" w:rsidRPr="00C67304" w:rsidRDefault="0078192B" w:rsidP="00C67304">
      <w:pPr>
        <w:pStyle w:val="Paragraphedeliste"/>
        <w:numPr>
          <w:ilvl w:val="0"/>
          <w:numId w:val="1"/>
        </w:numPr>
        <w:spacing w:before="240" w:after="80"/>
        <w:ind w:left="284" w:hanging="284"/>
        <w:jc w:val="both"/>
        <w:rPr>
          <w:rFonts w:eastAsiaTheme="majorEastAsia"/>
          <w:b/>
          <w:sz w:val="28"/>
          <w:szCs w:val="28"/>
          <w:lang w:val="fr-BE"/>
        </w:rPr>
      </w:pPr>
      <w:r w:rsidRPr="00C67304">
        <w:rPr>
          <w:rFonts w:eastAsiaTheme="majorEastAsia"/>
          <w:b/>
          <w:sz w:val="28"/>
          <w:szCs w:val="28"/>
          <w:lang w:val="fr-BE"/>
        </w:rPr>
        <w:t xml:space="preserve">Répartition des structures </w:t>
      </w:r>
    </w:p>
    <w:p w:rsidR="009C3F30" w:rsidRDefault="009C3F30" w:rsidP="00AA550C">
      <w:pPr>
        <w:spacing w:after="120"/>
        <w:jc w:val="both"/>
        <w:rPr>
          <w:rFonts w:eastAsiaTheme="majorEastAsia"/>
          <w:lang w:val="fr-BE"/>
        </w:rPr>
      </w:pPr>
      <w:r>
        <w:t xml:space="preserve">Il avait été constaté, lors du premier travail sur la suite </w:t>
      </w:r>
      <w:proofErr w:type="spellStart"/>
      <w:r>
        <w:t>NpN</w:t>
      </w:r>
      <w:proofErr w:type="spellEnd"/>
      <w:r>
        <w:t>, que les prépositions rentables pour le motif, autrement dit, qui vérifient la possibilité du retour du même substantif de part et d</w:t>
      </w:r>
      <w:r w:rsidR="00B9706C">
        <w:t>’</w:t>
      </w:r>
      <w:r>
        <w:t xml:space="preserve">autre de la préposition, sont : </w:t>
      </w:r>
      <w:r w:rsidRPr="006D69EC">
        <w:rPr>
          <w:i/>
        </w:rPr>
        <w:t>à</w:t>
      </w:r>
      <w:r>
        <w:t xml:space="preserve">, </w:t>
      </w:r>
      <w:r w:rsidRPr="006D69EC">
        <w:rPr>
          <w:i/>
          <w:lang w:val="fr-BE"/>
        </w:rPr>
        <w:t>après</w:t>
      </w:r>
      <w:r w:rsidRPr="006D69EC">
        <w:rPr>
          <w:lang w:val="fr-BE"/>
        </w:rPr>
        <w:t xml:space="preserve">, </w:t>
      </w:r>
      <w:r w:rsidRPr="006D69EC">
        <w:rPr>
          <w:i/>
          <w:lang w:val="fr-BE"/>
        </w:rPr>
        <w:t>contre</w:t>
      </w:r>
      <w:r w:rsidRPr="006D69EC">
        <w:rPr>
          <w:lang w:val="fr-BE"/>
        </w:rPr>
        <w:t xml:space="preserve">, </w:t>
      </w:r>
      <w:r w:rsidRPr="006D69EC">
        <w:rPr>
          <w:i/>
          <w:lang w:val="fr-BE"/>
        </w:rPr>
        <w:t>par</w:t>
      </w:r>
      <w:r w:rsidRPr="006D69EC">
        <w:rPr>
          <w:lang w:val="fr-BE"/>
        </w:rPr>
        <w:t xml:space="preserve">, </w:t>
      </w:r>
      <w:r w:rsidRPr="006D69EC">
        <w:rPr>
          <w:i/>
          <w:lang w:val="fr-BE"/>
        </w:rPr>
        <w:t>pour</w:t>
      </w:r>
      <w:r w:rsidRPr="006D69EC">
        <w:rPr>
          <w:lang w:val="fr-BE"/>
        </w:rPr>
        <w:t xml:space="preserve">, </w:t>
      </w:r>
      <w:r w:rsidRPr="006D69EC">
        <w:rPr>
          <w:i/>
          <w:lang w:val="fr-BE"/>
        </w:rPr>
        <w:t>sur</w:t>
      </w:r>
      <w:r w:rsidR="00B9706C">
        <w:rPr>
          <w:lang w:val="fr-BE"/>
        </w:rPr>
        <w:t>,</w:t>
      </w:r>
      <w:r w:rsidRPr="006D69EC">
        <w:rPr>
          <w:lang w:val="fr-BE"/>
        </w:rPr>
        <w:t xml:space="preserve"> ainsi que les structures plus complexes </w:t>
      </w:r>
      <w:r w:rsidRPr="006D69EC">
        <w:rPr>
          <w:i/>
          <w:lang w:val="fr-BE"/>
        </w:rPr>
        <w:t>de … à</w:t>
      </w:r>
      <w:r w:rsidRPr="006D69EC">
        <w:rPr>
          <w:lang w:val="fr-BE"/>
        </w:rPr>
        <w:t xml:space="preserve"> et </w:t>
      </w:r>
      <w:r w:rsidRPr="006D69EC">
        <w:rPr>
          <w:i/>
          <w:lang w:val="fr-BE"/>
        </w:rPr>
        <w:t>de … en</w:t>
      </w:r>
      <w:r w:rsidRPr="006D69EC">
        <w:rPr>
          <w:rFonts w:eastAsiaTheme="majorEastAsia"/>
          <w:lang w:val="fr-BE"/>
        </w:rPr>
        <w:t xml:space="preserve">. Cette même liste est conservée dans la présente recherche afin de pouvoir introduire des comparaisons. </w:t>
      </w:r>
    </w:p>
    <w:p w:rsidR="00AA550C" w:rsidRDefault="00483123" w:rsidP="00AA550C">
      <w:pPr>
        <w:spacing w:after="120"/>
        <w:jc w:val="both"/>
        <w:rPr>
          <w:rFonts w:eastAsiaTheme="majorEastAsia"/>
          <w:lang w:val="fr-BE"/>
        </w:rPr>
      </w:pPr>
      <w:r>
        <w:rPr>
          <w:rFonts w:eastAsiaTheme="majorEastAsia"/>
          <w:lang w:val="fr-BE"/>
        </w:rPr>
        <w:t>Le tableau suivant présente les p</w:t>
      </w:r>
      <w:r w:rsidR="00AA550C">
        <w:rPr>
          <w:rFonts w:eastAsiaTheme="majorEastAsia"/>
          <w:lang w:val="fr-BE"/>
        </w:rPr>
        <w:t>ourcentages dans les deux corpus, les journaux cumulés d</w:t>
      </w:r>
      <w:r w:rsidR="00B9706C">
        <w:rPr>
          <w:rFonts w:eastAsiaTheme="majorEastAsia"/>
          <w:lang w:val="fr-BE"/>
        </w:rPr>
        <w:t>’</w:t>
      </w:r>
      <w:r w:rsidR="00AA550C">
        <w:rPr>
          <w:rFonts w:eastAsiaTheme="majorEastAsia"/>
          <w:lang w:val="fr-BE"/>
        </w:rPr>
        <w:t>une part, les romans cumulés d</w:t>
      </w:r>
      <w:r w:rsidR="00B9706C">
        <w:rPr>
          <w:rFonts w:eastAsiaTheme="majorEastAsia"/>
          <w:lang w:val="fr-BE"/>
        </w:rPr>
        <w:t>’</w:t>
      </w:r>
      <w:r w:rsidR="00AA550C">
        <w:rPr>
          <w:rFonts w:eastAsiaTheme="majorEastAsia"/>
          <w:lang w:val="fr-BE"/>
        </w:rPr>
        <w:t>autre part :</w:t>
      </w:r>
    </w:p>
    <w:p w:rsidR="00DB3570" w:rsidRDefault="00DB3570" w:rsidP="00AA550C">
      <w:pPr>
        <w:spacing w:after="120"/>
        <w:jc w:val="both"/>
        <w:rPr>
          <w:rFonts w:eastAsiaTheme="majorEastAsia"/>
          <w:lang w:val="fr-BE"/>
        </w:rPr>
      </w:pPr>
    </w:p>
    <w:p w:rsidR="00DB3570" w:rsidRDefault="00DB3570" w:rsidP="00AA550C">
      <w:pPr>
        <w:spacing w:after="120"/>
        <w:jc w:val="both"/>
        <w:rPr>
          <w:rFonts w:eastAsiaTheme="majorEastAsia"/>
          <w:lang w:val="fr-BE"/>
        </w:rPr>
      </w:pPr>
    </w:p>
    <w:p w:rsidR="00DB3570" w:rsidRDefault="00DB3570" w:rsidP="00AA550C">
      <w:pPr>
        <w:spacing w:after="120"/>
        <w:jc w:val="both"/>
        <w:rPr>
          <w:rFonts w:eastAsiaTheme="majorEastAsia"/>
          <w:lang w:val="fr-BE"/>
        </w:rPr>
      </w:pPr>
    </w:p>
    <w:p w:rsidR="00DB3570" w:rsidRDefault="00DB3570" w:rsidP="00AA550C">
      <w:pPr>
        <w:spacing w:after="120"/>
        <w:jc w:val="both"/>
        <w:rPr>
          <w:rFonts w:eastAsiaTheme="majorEastAsia"/>
          <w:lang w:val="fr-BE"/>
        </w:rPr>
      </w:pPr>
    </w:p>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74"/>
        <w:gridCol w:w="1475"/>
        <w:gridCol w:w="1446"/>
        <w:gridCol w:w="28"/>
        <w:gridCol w:w="1474"/>
        <w:gridCol w:w="1474"/>
      </w:tblGrid>
      <w:tr w:rsidR="001F1F6F" w:rsidRPr="002A174E" w:rsidTr="006D0521">
        <w:trPr>
          <w:trHeight w:val="276"/>
        </w:trPr>
        <w:tc>
          <w:tcPr>
            <w:tcW w:w="4395" w:type="dxa"/>
            <w:gridSpan w:val="3"/>
            <w:shd w:val="clear" w:color="auto" w:fill="auto"/>
            <w:noWrap/>
            <w:vAlign w:val="bottom"/>
          </w:tcPr>
          <w:p w:rsidR="001F1F6F" w:rsidRPr="002A174E" w:rsidRDefault="001F1F6F" w:rsidP="001F1F6F">
            <w:pPr>
              <w:suppressAutoHyphens w:val="0"/>
              <w:jc w:val="center"/>
              <w:rPr>
                <w:color w:val="000000"/>
                <w:sz w:val="20"/>
                <w:szCs w:val="20"/>
                <w:lang w:eastAsia="fr-FR"/>
              </w:rPr>
            </w:pPr>
            <w:r w:rsidRPr="002A174E">
              <w:rPr>
                <w:color w:val="000000"/>
                <w:sz w:val="20"/>
                <w:szCs w:val="20"/>
                <w:lang w:eastAsia="fr-FR"/>
              </w:rPr>
              <w:lastRenderedPageBreak/>
              <w:t>Effectifs</w:t>
            </w:r>
          </w:p>
        </w:tc>
        <w:tc>
          <w:tcPr>
            <w:tcW w:w="2976" w:type="dxa"/>
            <w:gridSpan w:val="3"/>
            <w:shd w:val="clear" w:color="auto" w:fill="auto"/>
            <w:noWrap/>
            <w:vAlign w:val="bottom"/>
          </w:tcPr>
          <w:p w:rsidR="001F1F6F" w:rsidRPr="002A174E" w:rsidRDefault="001F1F6F" w:rsidP="001F1F6F">
            <w:pPr>
              <w:suppressAutoHyphens w:val="0"/>
              <w:jc w:val="center"/>
              <w:rPr>
                <w:color w:val="000000"/>
                <w:sz w:val="20"/>
                <w:szCs w:val="20"/>
                <w:lang w:eastAsia="fr-FR"/>
              </w:rPr>
            </w:pPr>
            <w:r w:rsidRPr="002A174E">
              <w:rPr>
                <w:color w:val="000000"/>
                <w:sz w:val="20"/>
                <w:szCs w:val="20"/>
                <w:lang w:eastAsia="fr-FR"/>
              </w:rPr>
              <w:t>Pourcentages</w:t>
            </w:r>
          </w:p>
        </w:tc>
      </w:tr>
      <w:tr w:rsidR="00B9706C" w:rsidRPr="002A174E" w:rsidTr="006D0521">
        <w:trPr>
          <w:trHeight w:val="276"/>
        </w:trPr>
        <w:tc>
          <w:tcPr>
            <w:tcW w:w="1474" w:type="dxa"/>
            <w:shd w:val="clear" w:color="auto" w:fill="auto"/>
            <w:noWrap/>
            <w:vAlign w:val="bottom"/>
            <w:hideMark/>
          </w:tcPr>
          <w:p w:rsidR="00B9706C" w:rsidRPr="002A174E" w:rsidRDefault="00B9706C" w:rsidP="00F14F78">
            <w:pPr>
              <w:suppressAutoHyphens w:val="0"/>
              <w:rPr>
                <w:color w:val="000000"/>
                <w:sz w:val="20"/>
                <w:szCs w:val="20"/>
                <w:lang w:eastAsia="fr-FR"/>
              </w:rPr>
            </w:pPr>
            <w:r w:rsidRPr="002A174E">
              <w:rPr>
                <w:color w:val="000000"/>
                <w:sz w:val="20"/>
                <w:szCs w:val="20"/>
                <w:lang w:eastAsia="fr-FR"/>
              </w:rPr>
              <w:t>Structure</w:t>
            </w:r>
          </w:p>
        </w:tc>
        <w:tc>
          <w:tcPr>
            <w:tcW w:w="1475" w:type="dxa"/>
            <w:vAlign w:val="bottom"/>
          </w:tcPr>
          <w:p w:rsidR="00B9706C" w:rsidRPr="002A174E" w:rsidRDefault="00B9706C" w:rsidP="00235E9D">
            <w:pPr>
              <w:suppressAutoHyphens w:val="0"/>
              <w:rPr>
                <w:color w:val="000000"/>
                <w:sz w:val="20"/>
                <w:szCs w:val="20"/>
                <w:lang w:eastAsia="fr-FR"/>
              </w:rPr>
            </w:pPr>
            <w:r w:rsidRPr="002A174E">
              <w:rPr>
                <w:color w:val="000000"/>
                <w:sz w:val="20"/>
                <w:szCs w:val="20"/>
                <w:lang w:eastAsia="fr-FR"/>
              </w:rPr>
              <w:t>Journaux</w:t>
            </w:r>
          </w:p>
        </w:tc>
        <w:tc>
          <w:tcPr>
            <w:tcW w:w="1474" w:type="dxa"/>
            <w:gridSpan w:val="2"/>
            <w:vAlign w:val="bottom"/>
          </w:tcPr>
          <w:p w:rsidR="00B9706C" w:rsidRPr="002A174E" w:rsidRDefault="00B9706C" w:rsidP="00235E9D">
            <w:pPr>
              <w:suppressAutoHyphens w:val="0"/>
              <w:rPr>
                <w:color w:val="000000"/>
                <w:sz w:val="20"/>
                <w:szCs w:val="20"/>
                <w:lang w:eastAsia="fr-FR"/>
              </w:rPr>
            </w:pPr>
            <w:r w:rsidRPr="002A174E">
              <w:rPr>
                <w:color w:val="000000"/>
                <w:sz w:val="20"/>
                <w:szCs w:val="20"/>
                <w:lang w:eastAsia="fr-FR"/>
              </w:rPr>
              <w:t>Romans</w:t>
            </w:r>
          </w:p>
        </w:tc>
        <w:tc>
          <w:tcPr>
            <w:tcW w:w="1474" w:type="dxa"/>
            <w:shd w:val="clear" w:color="auto" w:fill="auto"/>
            <w:noWrap/>
            <w:vAlign w:val="bottom"/>
            <w:hideMark/>
          </w:tcPr>
          <w:p w:rsidR="00B9706C" w:rsidRPr="002A174E" w:rsidRDefault="00B9706C" w:rsidP="00F14F78">
            <w:pPr>
              <w:suppressAutoHyphens w:val="0"/>
              <w:rPr>
                <w:color w:val="000000"/>
                <w:sz w:val="20"/>
                <w:szCs w:val="20"/>
                <w:lang w:eastAsia="fr-FR"/>
              </w:rPr>
            </w:pPr>
            <w:r w:rsidRPr="002A174E">
              <w:rPr>
                <w:color w:val="000000"/>
                <w:sz w:val="20"/>
                <w:szCs w:val="20"/>
                <w:lang w:eastAsia="fr-FR"/>
              </w:rPr>
              <w:t>Journaux</w:t>
            </w:r>
          </w:p>
        </w:tc>
        <w:tc>
          <w:tcPr>
            <w:tcW w:w="1474" w:type="dxa"/>
            <w:shd w:val="clear" w:color="auto" w:fill="auto"/>
            <w:noWrap/>
            <w:vAlign w:val="bottom"/>
            <w:hideMark/>
          </w:tcPr>
          <w:p w:rsidR="00B9706C" w:rsidRPr="002A174E" w:rsidRDefault="00B9706C" w:rsidP="00F14F78">
            <w:pPr>
              <w:suppressAutoHyphens w:val="0"/>
              <w:rPr>
                <w:color w:val="000000"/>
                <w:sz w:val="20"/>
                <w:szCs w:val="20"/>
                <w:lang w:eastAsia="fr-FR"/>
              </w:rPr>
            </w:pPr>
            <w:r w:rsidRPr="002A174E">
              <w:rPr>
                <w:color w:val="000000"/>
                <w:sz w:val="20"/>
                <w:szCs w:val="20"/>
                <w:lang w:eastAsia="fr-FR"/>
              </w:rPr>
              <w:t>Romans</w:t>
            </w:r>
          </w:p>
        </w:tc>
      </w:tr>
      <w:tr w:rsidR="00B9706C" w:rsidRPr="002A174E" w:rsidTr="006D0521">
        <w:trPr>
          <w:trHeight w:val="276"/>
        </w:trPr>
        <w:tc>
          <w:tcPr>
            <w:tcW w:w="1474" w:type="dxa"/>
            <w:shd w:val="clear" w:color="auto" w:fill="auto"/>
            <w:noWrap/>
            <w:vAlign w:val="bottom"/>
            <w:hideMark/>
          </w:tcPr>
          <w:p w:rsidR="00B9706C" w:rsidRPr="002A174E" w:rsidRDefault="00B9706C" w:rsidP="00F14F78">
            <w:pPr>
              <w:suppressAutoHyphens w:val="0"/>
              <w:rPr>
                <w:color w:val="000000"/>
                <w:sz w:val="20"/>
                <w:szCs w:val="20"/>
                <w:lang w:eastAsia="fr-FR"/>
              </w:rPr>
            </w:pPr>
            <w:r w:rsidRPr="002A174E">
              <w:rPr>
                <w:color w:val="000000"/>
                <w:sz w:val="20"/>
                <w:szCs w:val="20"/>
                <w:lang w:eastAsia="fr-FR"/>
              </w:rPr>
              <w:t>à</w:t>
            </w:r>
          </w:p>
        </w:tc>
        <w:tc>
          <w:tcPr>
            <w:tcW w:w="1475" w:type="dxa"/>
            <w:vAlign w:val="bottom"/>
          </w:tcPr>
          <w:p w:rsidR="00B9706C" w:rsidRPr="002A174E" w:rsidRDefault="00B9706C">
            <w:pPr>
              <w:jc w:val="right"/>
              <w:rPr>
                <w:color w:val="000000"/>
                <w:sz w:val="20"/>
                <w:szCs w:val="20"/>
              </w:rPr>
            </w:pPr>
            <w:r w:rsidRPr="002A174E">
              <w:rPr>
                <w:color w:val="000000"/>
                <w:sz w:val="20"/>
                <w:szCs w:val="20"/>
              </w:rPr>
              <w:t>235</w:t>
            </w:r>
          </w:p>
        </w:tc>
        <w:tc>
          <w:tcPr>
            <w:tcW w:w="1474" w:type="dxa"/>
            <w:gridSpan w:val="2"/>
            <w:vAlign w:val="bottom"/>
          </w:tcPr>
          <w:p w:rsidR="00B9706C" w:rsidRPr="002A174E" w:rsidRDefault="00B9706C">
            <w:pPr>
              <w:jc w:val="right"/>
              <w:rPr>
                <w:color w:val="000000"/>
                <w:sz w:val="20"/>
                <w:szCs w:val="20"/>
              </w:rPr>
            </w:pPr>
            <w:r w:rsidRPr="002A174E">
              <w:rPr>
                <w:color w:val="000000"/>
                <w:sz w:val="20"/>
                <w:szCs w:val="20"/>
              </w:rPr>
              <w:t>582</w:t>
            </w:r>
          </w:p>
        </w:tc>
        <w:tc>
          <w:tcPr>
            <w:tcW w:w="1474" w:type="dxa"/>
            <w:shd w:val="clear" w:color="auto" w:fill="auto"/>
            <w:noWrap/>
            <w:vAlign w:val="bottom"/>
            <w:hideMark/>
          </w:tcPr>
          <w:p w:rsidR="00B9706C" w:rsidRPr="002A174E" w:rsidRDefault="00B9706C" w:rsidP="00F14F78">
            <w:pPr>
              <w:suppressAutoHyphens w:val="0"/>
              <w:jc w:val="right"/>
              <w:rPr>
                <w:color w:val="000000"/>
                <w:sz w:val="20"/>
                <w:szCs w:val="20"/>
                <w:lang w:eastAsia="fr-FR"/>
              </w:rPr>
            </w:pPr>
            <w:r w:rsidRPr="002A174E">
              <w:rPr>
                <w:color w:val="000000"/>
                <w:sz w:val="20"/>
                <w:szCs w:val="20"/>
                <w:lang w:eastAsia="fr-FR"/>
              </w:rPr>
              <w:t>37,5%</w:t>
            </w:r>
          </w:p>
        </w:tc>
        <w:tc>
          <w:tcPr>
            <w:tcW w:w="1474" w:type="dxa"/>
            <w:shd w:val="clear" w:color="auto" w:fill="auto"/>
            <w:noWrap/>
            <w:vAlign w:val="bottom"/>
            <w:hideMark/>
          </w:tcPr>
          <w:p w:rsidR="00B9706C" w:rsidRPr="002A174E" w:rsidRDefault="00B9706C" w:rsidP="00F14F78">
            <w:pPr>
              <w:suppressAutoHyphens w:val="0"/>
              <w:jc w:val="right"/>
              <w:rPr>
                <w:color w:val="000000"/>
                <w:sz w:val="20"/>
                <w:szCs w:val="20"/>
                <w:lang w:eastAsia="fr-FR"/>
              </w:rPr>
            </w:pPr>
            <w:r w:rsidRPr="002A174E">
              <w:rPr>
                <w:color w:val="000000"/>
                <w:sz w:val="20"/>
                <w:szCs w:val="20"/>
                <w:lang w:eastAsia="fr-FR"/>
              </w:rPr>
              <w:t>44,1%</w:t>
            </w:r>
          </w:p>
        </w:tc>
      </w:tr>
      <w:tr w:rsidR="00B9706C" w:rsidRPr="002A174E" w:rsidTr="006D0521">
        <w:trPr>
          <w:trHeight w:val="276"/>
        </w:trPr>
        <w:tc>
          <w:tcPr>
            <w:tcW w:w="1474" w:type="dxa"/>
            <w:shd w:val="clear" w:color="auto" w:fill="auto"/>
            <w:noWrap/>
            <w:vAlign w:val="bottom"/>
            <w:hideMark/>
          </w:tcPr>
          <w:p w:rsidR="00B9706C" w:rsidRPr="002A174E" w:rsidRDefault="00B9706C" w:rsidP="00F14F78">
            <w:pPr>
              <w:suppressAutoHyphens w:val="0"/>
              <w:rPr>
                <w:color w:val="000000"/>
                <w:sz w:val="20"/>
                <w:szCs w:val="20"/>
                <w:lang w:eastAsia="fr-FR"/>
              </w:rPr>
            </w:pPr>
            <w:r w:rsidRPr="002A174E">
              <w:rPr>
                <w:color w:val="000000"/>
                <w:sz w:val="20"/>
                <w:szCs w:val="20"/>
                <w:lang w:eastAsia="fr-FR"/>
              </w:rPr>
              <w:t>après</w:t>
            </w:r>
          </w:p>
        </w:tc>
        <w:tc>
          <w:tcPr>
            <w:tcW w:w="1475" w:type="dxa"/>
            <w:vAlign w:val="bottom"/>
          </w:tcPr>
          <w:p w:rsidR="00B9706C" w:rsidRPr="002A174E" w:rsidRDefault="00B9706C">
            <w:pPr>
              <w:jc w:val="right"/>
              <w:rPr>
                <w:color w:val="000000"/>
                <w:sz w:val="20"/>
                <w:szCs w:val="20"/>
              </w:rPr>
            </w:pPr>
            <w:r w:rsidRPr="002A174E">
              <w:rPr>
                <w:color w:val="000000"/>
                <w:sz w:val="20"/>
                <w:szCs w:val="20"/>
              </w:rPr>
              <w:t>32</w:t>
            </w:r>
          </w:p>
        </w:tc>
        <w:tc>
          <w:tcPr>
            <w:tcW w:w="1474" w:type="dxa"/>
            <w:gridSpan w:val="2"/>
            <w:vAlign w:val="bottom"/>
          </w:tcPr>
          <w:p w:rsidR="00B9706C" w:rsidRPr="002A174E" w:rsidRDefault="00B9706C">
            <w:pPr>
              <w:jc w:val="right"/>
              <w:rPr>
                <w:color w:val="000000"/>
                <w:sz w:val="20"/>
                <w:szCs w:val="20"/>
              </w:rPr>
            </w:pPr>
            <w:r w:rsidRPr="002A174E">
              <w:rPr>
                <w:color w:val="000000"/>
                <w:sz w:val="20"/>
                <w:szCs w:val="20"/>
              </w:rPr>
              <w:t>62</w:t>
            </w:r>
          </w:p>
        </w:tc>
        <w:tc>
          <w:tcPr>
            <w:tcW w:w="1474" w:type="dxa"/>
            <w:shd w:val="clear" w:color="auto" w:fill="auto"/>
            <w:noWrap/>
            <w:vAlign w:val="bottom"/>
            <w:hideMark/>
          </w:tcPr>
          <w:p w:rsidR="00B9706C" w:rsidRPr="002A174E" w:rsidRDefault="00B9706C" w:rsidP="00F14F78">
            <w:pPr>
              <w:suppressAutoHyphens w:val="0"/>
              <w:jc w:val="right"/>
              <w:rPr>
                <w:color w:val="000000"/>
                <w:sz w:val="20"/>
                <w:szCs w:val="20"/>
                <w:lang w:eastAsia="fr-FR"/>
              </w:rPr>
            </w:pPr>
            <w:r w:rsidRPr="002A174E">
              <w:rPr>
                <w:color w:val="000000"/>
                <w:sz w:val="20"/>
                <w:szCs w:val="20"/>
                <w:lang w:eastAsia="fr-FR"/>
              </w:rPr>
              <w:t>5,1%</w:t>
            </w:r>
          </w:p>
        </w:tc>
        <w:tc>
          <w:tcPr>
            <w:tcW w:w="1474" w:type="dxa"/>
            <w:shd w:val="clear" w:color="auto" w:fill="auto"/>
            <w:noWrap/>
            <w:vAlign w:val="bottom"/>
            <w:hideMark/>
          </w:tcPr>
          <w:p w:rsidR="00B9706C" w:rsidRPr="002A174E" w:rsidRDefault="00B9706C" w:rsidP="00F14F78">
            <w:pPr>
              <w:suppressAutoHyphens w:val="0"/>
              <w:jc w:val="right"/>
              <w:rPr>
                <w:color w:val="000000"/>
                <w:sz w:val="20"/>
                <w:szCs w:val="20"/>
                <w:lang w:eastAsia="fr-FR"/>
              </w:rPr>
            </w:pPr>
            <w:r w:rsidRPr="002A174E">
              <w:rPr>
                <w:color w:val="000000"/>
                <w:sz w:val="20"/>
                <w:szCs w:val="20"/>
                <w:lang w:eastAsia="fr-FR"/>
              </w:rPr>
              <w:t>4,7%</w:t>
            </w:r>
          </w:p>
        </w:tc>
      </w:tr>
      <w:tr w:rsidR="00B9706C" w:rsidRPr="002A174E" w:rsidTr="006D0521">
        <w:trPr>
          <w:trHeight w:val="276"/>
        </w:trPr>
        <w:tc>
          <w:tcPr>
            <w:tcW w:w="1474" w:type="dxa"/>
            <w:shd w:val="clear" w:color="auto" w:fill="auto"/>
            <w:noWrap/>
            <w:vAlign w:val="bottom"/>
            <w:hideMark/>
          </w:tcPr>
          <w:p w:rsidR="00B9706C" w:rsidRPr="002A174E" w:rsidRDefault="00B9706C" w:rsidP="00F14F78">
            <w:pPr>
              <w:suppressAutoHyphens w:val="0"/>
              <w:rPr>
                <w:color w:val="000000"/>
                <w:sz w:val="20"/>
                <w:szCs w:val="20"/>
                <w:lang w:eastAsia="fr-FR"/>
              </w:rPr>
            </w:pPr>
            <w:r w:rsidRPr="002A174E">
              <w:rPr>
                <w:color w:val="000000"/>
                <w:sz w:val="20"/>
                <w:szCs w:val="20"/>
                <w:lang w:eastAsia="fr-FR"/>
              </w:rPr>
              <w:t>contre</w:t>
            </w:r>
          </w:p>
        </w:tc>
        <w:tc>
          <w:tcPr>
            <w:tcW w:w="1475" w:type="dxa"/>
            <w:vAlign w:val="bottom"/>
          </w:tcPr>
          <w:p w:rsidR="00B9706C" w:rsidRPr="002A174E" w:rsidRDefault="00B9706C">
            <w:pPr>
              <w:jc w:val="right"/>
              <w:rPr>
                <w:color w:val="000000"/>
                <w:sz w:val="20"/>
                <w:szCs w:val="20"/>
              </w:rPr>
            </w:pPr>
            <w:r w:rsidRPr="002A174E">
              <w:rPr>
                <w:color w:val="000000"/>
                <w:sz w:val="20"/>
                <w:szCs w:val="20"/>
              </w:rPr>
              <w:t>7</w:t>
            </w:r>
          </w:p>
        </w:tc>
        <w:tc>
          <w:tcPr>
            <w:tcW w:w="1474" w:type="dxa"/>
            <w:gridSpan w:val="2"/>
            <w:vAlign w:val="bottom"/>
          </w:tcPr>
          <w:p w:rsidR="00B9706C" w:rsidRPr="002A174E" w:rsidRDefault="00B9706C">
            <w:pPr>
              <w:jc w:val="right"/>
              <w:rPr>
                <w:color w:val="000000"/>
                <w:sz w:val="20"/>
                <w:szCs w:val="20"/>
              </w:rPr>
            </w:pPr>
            <w:r w:rsidRPr="002A174E">
              <w:rPr>
                <w:color w:val="000000"/>
                <w:sz w:val="20"/>
                <w:szCs w:val="20"/>
              </w:rPr>
              <w:t>11</w:t>
            </w:r>
          </w:p>
        </w:tc>
        <w:tc>
          <w:tcPr>
            <w:tcW w:w="1474" w:type="dxa"/>
            <w:shd w:val="clear" w:color="auto" w:fill="auto"/>
            <w:noWrap/>
            <w:vAlign w:val="bottom"/>
            <w:hideMark/>
          </w:tcPr>
          <w:p w:rsidR="00B9706C" w:rsidRPr="002A174E" w:rsidRDefault="00B9706C" w:rsidP="00F14F78">
            <w:pPr>
              <w:suppressAutoHyphens w:val="0"/>
              <w:jc w:val="right"/>
              <w:rPr>
                <w:color w:val="000000"/>
                <w:sz w:val="20"/>
                <w:szCs w:val="20"/>
                <w:lang w:eastAsia="fr-FR"/>
              </w:rPr>
            </w:pPr>
            <w:r w:rsidRPr="002A174E">
              <w:rPr>
                <w:color w:val="000000"/>
                <w:sz w:val="20"/>
                <w:szCs w:val="20"/>
                <w:lang w:eastAsia="fr-FR"/>
              </w:rPr>
              <w:t>1,1%</w:t>
            </w:r>
          </w:p>
        </w:tc>
        <w:tc>
          <w:tcPr>
            <w:tcW w:w="1474" w:type="dxa"/>
            <w:shd w:val="clear" w:color="auto" w:fill="auto"/>
            <w:noWrap/>
            <w:vAlign w:val="bottom"/>
            <w:hideMark/>
          </w:tcPr>
          <w:p w:rsidR="00B9706C" w:rsidRPr="002A174E" w:rsidRDefault="00B9706C" w:rsidP="00F14F78">
            <w:pPr>
              <w:suppressAutoHyphens w:val="0"/>
              <w:jc w:val="right"/>
              <w:rPr>
                <w:color w:val="000000"/>
                <w:sz w:val="20"/>
                <w:szCs w:val="20"/>
                <w:lang w:eastAsia="fr-FR"/>
              </w:rPr>
            </w:pPr>
            <w:r w:rsidRPr="002A174E">
              <w:rPr>
                <w:color w:val="000000"/>
                <w:sz w:val="20"/>
                <w:szCs w:val="20"/>
                <w:lang w:eastAsia="fr-FR"/>
              </w:rPr>
              <w:t>0,8%</w:t>
            </w:r>
          </w:p>
        </w:tc>
      </w:tr>
      <w:tr w:rsidR="00B9706C" w:rsidRPr="002A174E" w:rsidTr="006D0521">
        <w:trPr>
          <w:trHeight w:val="276"/>
        </w:trPr>
        <w:tc>
          <w:tcPr>
            <w:tcW w:w="1474" w:type="dxa"/>
            <w:shd w:val="clear" w:color="auto" w:fill="auto"/>
            <w:noWrap/>
            <w:vAlign w:val="bottom"/>
            <w:hideMark/>
          </w:tcPr>
          <w:p w:rsidR="00B9706C" w:rsidRPr="002A174E" w:rsidRDefault="00B9706C" w:rsidP="00F14F78">
            <w:pPr>
              <w:suppressAutoHyphens w:val="0"/>
              <w:rPr>
                <w:color w:val="000000"/>
                <w:sz w:val="20"/>
                <w:szCs w:val="20"/>
                <w:lang w:eastAsia="fr-FR"/>
              </w:rPr>
            </w:pPr>
            <w:r w:rsidRPr="002A174E">
              <w:rPr>
                <w:color w:val="000000"/>
                <w:sz w:val="20"/>
                <w:szCs w:val="20"/>
                <w:lang w:eastAsia="fr-FR"/>
              </w:rPr>
              <w:t>de … à</w:t>
            </w:r>
          </w:p>
        </w:tc>
        <w:tc>
          <w:tcPr>
            <w:tcW w:w="1475" w:type="dxa"/>
            <w:vAlign w:val="bottom"/>
          </w:tcPr>
          <w:p w:rsidR="00B9706C" w:rsidRPr="002A174E" w:rsidRDefault="00B9706C">
            <w:pPr>
              <w:jc w:val="right"/>
              <w:rPr>
                <w:color w:val="000000"/>
                <w:sz w:val="20"/>
                <w:szCs w:val="20"/>
              </w:rPr>
            </w:pPr>
            <w:r w:rsidRPr="002A174E">
              <w:rPr>
                <w:color w:val="000000"/>
                <w:sz w:val="20"/>
                <w:szCs w:val="20"/>
              </w:rPr>
              <w:t>40</w:t>
            </w:r>
          </w:p>
        </w:tc>
        <w:tc>
          <w:tcPr>
            <w:tcW w:w="1474" w:type="dxa"/>
            <w:gridSpan w:val="2"/>
            <w:vAlign w:val="bottom"/>
          </w:tcPr>
          <w:p w:rsidR="00B9706C" w:rsidRPr="002A174E" w:rsidRDefault="00B9706C">
            <w:pPr>
              <w:jc w:val="right"/>
              <w:rPr>
                <w:color w:val="000000"/>
                <w:sz w:val="20"/>
                <w:szCs w:val="20"/>
              </w:rPr>
            </w:pPr>
            <w:r w:rsidRPr="002A174E">
              <w:rPr>
                <w:color w:val="000000"/>
                <w:sz w:val="20"/>
                <w:szCs w:val="20"/>
              </w:rPr>
              <w:t>11</w:t>
            </w:r>
          </w:p>
        </w:tc>
        <w:tc>
          <w:tcPr>
            <w:tcW w:w="1474" w:type="dxa"/>
            <w:shd w:val="clear" w:color="000000" w:fill="FFFF00"/>
            <w:noWrap/>
            <w:vAlign w:val="bottom"/>
            <w:hideMark/>
          </w:tcPr>
          <w:p w:rsidR="00B9706C" w:rsidRPr="002A174E" w:rsidRDefault="00B9706C" w:rsidP="00F14F78">
            <w:pPr>
              <w:suppressAutoHyphens w:val="0"/>
              <w:jc w:val="right"/>
              <w:rPr>
                <w:color w:val="000000"/>
                <w:sz w:val="20"/>
                <w:szCs w:val="20"/>
                <w:lang w:eastAsia="fr-FR"/>
              </w:rPr>
            </w:pPr>
            <w:r w:rsidRPr="002A174E">
              <w:rPr>
                <w:color w:val="000000"/>
                <w:sz w:val="20"/>
                <w:szCs w:val="20"/>
                <w:lang w:eastAsia="fr-FR"/>
              </w:rPr>
              <w:t>6,4%</w:t>
            </w:r>
          </w:p>
        </w:tc>
        <w:tc>
          <w:tcPr>
            <w:tcW w:w="1474" w:type="dxa"/>
            <w:shd w:val="clear" w:color="000000" w:fill="00B0F0"/>
            <w:noWrap/>
            <w:vAlign w:val="bottom"/>
            <w:hideMark/>
          </w:tcPr>
          <w:p w:rsidR="00B9706C" w:rsidRPr="002A174E" w:rsidRDefault="00B9706C" w:rsidP="00F14F78">
            <w:pPr>
              <w:suppressAutoHyphens w:val="0"/>
              <w:jc w:val="right"/>
              <w:rPr>
                <w:color w:val="000000"/>
                <w:sz w:val="20"/>
                <w:szCs w:val="20"/>
                <w:lang w:eastAsia="fr-FR"/>
              </w:rPr>
            </w:pPr>
            <w:r w:rsidRPr="002A174E">
              <w:rPr>
                <w:color w:val="000000"/>
                <w:sz w:val="20"/>
                <w:szCs w:val="20"/>
                <w:lang w:eastAsia="fr-FR"/>
              </w:rPr>
              <w:t>0,8%</w:t>
            </w:r>
          </w:p>
        </w:tc>
      </w:tr>
      <w:tr w:rsidR="00B9706C" w:rsidRPr="002A174E" w:rsidTr="006D0521">
        <w:trPr>
          <w:trHeight w:val="276"/>
        </w:trPr>
        <w:tc>
          <w:tcPr>
            <w:tcW w:w="1474" w:type="dxa"/>
            <w:shd w:val="clear" w:color="auto" w:fill="auto"/>
            <w:noWrap/>
            <w:vAlign w:val="bottom"/>
            <w:hideMark/>
          </w:tcPr>
          <w:p w:rsidR="00B9706C" w:rsidRPr="002A174E" w:rsidRDefault="00B9706C" w:rsidP="00F14F78">
            <w:pPr>
              <w:suppressAutoHyphens w:val="0"/>
              <w:rPr>
                <w:color w:val="000000"/>
                <w:sz w:val="20"/>
                <w:szCs w:val="20"/>
                <w:lang w:eastAsia="fr-FR"/>
              </w:rPr>
            </w:pPr>
            <w:r w:rsidRPr="002A174E">
              <w:rPr>
                <w:color w:val="000000"/>
                <w:sz w:val="20"/>
                <w:szCs w:val="20"/>
                <w:lang w:eastAsia="fr-FR"/>
              </w:rPr>
              <w:t>de … en</w:t>
            </w:r>
          </w:p>
        </w:tc>
        <w:tc>
          <w:tcPr>
            <w:tcW w:w="1475" w:type="dxa"/>
            <w:vAlign w:val="bottom"/>
          </w:tcPr>
          <w:p w:rsidR="00B9706C" w:rsidRPr="002A174E" w:rsidRDefault="00B9706C">
            <w:pPr>
              <w:jc w:val="right"/>
              <w:rPr>
                <w:color w:val="000000"/>
                <w:sz w:val="20"/>
                <w:szCs w:val="20"/>
              </w:rPr>
            </w:pPr>
            <w:r w:rsidRPr="002A174E">
              <w:rPr>
                <w:color w:val="000000"/>
                <w:sz w:val="20"/>
                <w:szCs w:val="20"/>
              </w:rPr>
              <w:t>155</w:t>
            </w:r>
          </w:p>
        </w:tc>
        <w:tc>
          <w:tcPr>
            <w:tcW w:w="1474" w:type="dxa"/>
            <w:gridSpan w:val="2"/>
            <w:vAlign w:val="bottom"/>
          </w:tcPr>
          <w:p w:rsidR="00B9706C" w:rsidRPr="002A174E" w:rsidRDefault="00B9706C">
            <w:pPr>
              <w:jc w:val="right"/>
              <w:rPr>
                <w:color w:val="000000"/>
                <w:sz w:val="20"/>
                <w:szCs w:val="20"/>
              </w:rPr>
            </w:pPr>
            <w:r w:rsidRPr="002A174E">
              <w:rPr>
                <w:color w:val="000000"/>
                <w:sz w:val="20"/>
                <w:szCs w:val="20"/>
              </w:rPr>
              <w:t>478</w:t>
            </w:r>
          </w:p>
        </w:tc>
        <w:tc>
          <w:tcPr>
            <w:tcW w:w="1474" w:type="dxa"/>
            <w:shd w:val="clear" w:color="000000" w:fill="00B0F0"/>
            <w:noWrap/>
            <w:vAlign w:val="bottom"/>
            <w:hideMark/>
          </w:tcPr>
          <w:p w:rsidR="00B9706C" w:rsidRPr="002A174E" w:rsidRDefault="00B9706C" w:rsidP="00F14F78">
            <w:pPr>
              <w:suppressAutoHyphens w:val="0"/>
              <w:jc w:val="right"/>
              <w:rPr>
                <w:color w:val="000000"/>
                <w:sz w:val="20"/>
                <w:szCs w:val="20"/>
                <w:lang w:eastAsia="fr-FR"/>
              </w:rPr>
            </w:pPr>
            <w:r w:rsidRPr="002A174E">
              <w:rPr>
                <w:color w:val="000000"/>
                <w:sz w:val="20"/>
                <w:szCs w:val="20"/>
                <w:lang w:eastAsia="fr-FR"/>
              </w:rPr>
              <w:t>24,7%</w:t>
            </w:r>
          </w:p>
        </w:tc>
        <w:tc>
          <w:tcPr>
            <w:tcW w:w="1474" w:type="dxa"/>
            <w:shd w:val="clear" w:color="000000" w:fill="FFFF00"/>
            <w:noWrap/>
            <w:vAlign w:val="bottom"/>
            <w:hideMark/>
          </w:tcPr>
          <w:p w:rsidR="00B9706C" w:rsidRPr="002A174E" w:rsidRDefault="00B9706C" w:rsidP="00F14F78">
            <w:pPr>
              <w:suppressAutoHyphens w:val="0"/>
              <w:jc w:val="right"/>
              <w:rPr>
                <w:color w:val="000000"/>
                <w:sz w:val="20"/>
                <w:szCs w:val="20"/>
                <w:lang w:eastAsia="fr-FR"/>
              </w:rPr>
            </w:pPr>
            <w:r w:rsidRPr="002A174E">
              <w:rPr>
                <w:color w:val="000000"/>
                <w:sz w:val="20"/>
                <w:szCs w:val="20"/>
                <w:lang w:eastAsia="fr-FR"/>
              </w:rPr>
              <w:t>36,2%</w:t>
            </w:r>
          </w:p>
        </w:tc>
      </w:tr>
      <w:tr w:rsidR="00B9706C" w:rsidRPr="002A174E" w:rsidTr="006D0521">
        <w:trPr>
          <w:trHeight w:val="276"/>
        </w:trPr>
        <w:tc>
          <w:tcPr>
            <w:tcW w:w="1474" w:type="dxa"/>
            <w:shd w:val="clear" w:color="auto" w:fill="auto"/>
            <w:noWrap/>
            <w:vAlign w:val="bottom"/>
            <w:hideMark/>
          </w:tcPr>
          <w:p w:rsidR="00B9706C" w:rsidRPr="002A174E" w:rsidRDefault="00B9706C" w:rsidP="00F14F78">
            <w:pPr>
              <w:suppressAutoHyphens w:val="0"/>
              <w:rPr>
                <w:color w:val="000000"/>
                <w:sz w:val="20"/>
                <w:szCs w:val="20"/>
                <w:lang w:eastAsia="fr-FR"/>
              </w:rPr>
            </w:pPr>
            <w:r w:rsidRPr="002A174E">
              <w:rPr>
                <w:color w:val="000000"/>
                <w:sz w:val="20"/>
                <w:szCs w:val="20"/>
                <w:lang w:eastAsia="fr-FR"/>
              </w:rPr>
              <w:t>par</w:t>
            </w:r>
          </w:p>
        </w:tc>
        <w:tc>
          <w:tcPr>
            <w:tcW w:w="1475" w:type="dxa"/>
            <w:vAlign w:val="bottom"/>
          </w:tcPr>
          <w:p w:rsidR="00B9706C" w:rsidRPr="002A174E" w:rsidRDefault="00B9706C">
            <w:pPr>
              <w:jc w:val="right"/>
              <w:rPr>
                <w:color w:val="000000"/>
                <w:sz w:val="20"/>
                <w:szCs w:val="20"/>
              </w:rPr>
            </w:pPr>
            <w:r w:rsidRPr="002A174E">
              <w:rPr>
                <w:color w:val="000000"/>
                <w:sz w:val="20"/>
                <w:szCs w:val="20"/>
              </w:rPr>
              <w:t>86</w:t>
            </w:r>
          </w:p>
        </w:tc>
        <w:tc>
          <w:tcPr>
            <w:tcW w:w="1474" w:type="dxa"/>
            <w:gridSpan w:val="2"/>
            <w:vAlign w:val="bottom"/>
          </w:tcPr>
          <w:p w:rsidR="00B9706C" w:rsidRPr="002A174E" w:rsidRDefault="00B9706C">
            <w:pPr>
              <w:jc w:val="right"/>
              <w:rPr>
                <w:color w:val="000000"/>
                <w:sz w:val="20"/>
                <w:szCs w:val="20"/>
              </w:rPr>
            </w:pPr>
            <w:r w:rsidRPr="002A174E">
              <w:rPr>
                <w:color w:val="000000"/>
                <w:sz w:val="20"/>
                <w:szCs w:val="20"/>
              </w:rPr>
              <w:t>81</w:t>
            </w:r>
          </w:p>
        </w:tc>
        <w:tc>
          <w:tcPr>
            <w:tcW w:w="1474" w:type="dxa"/>
            <w:shd w:val="clear" w:color="000000" w:fill="FFFF00"/>
            <w:noWrap/>
            <w:vAlign w:val="bottom"/>
            <w:hideMark/>
          </w:tcPr>
          <w:p w:rsidR="00B9706C" w:rsidRPr="002A174E" w:rsidRDefault="00B9706C" w:rsidP="00F14F78">
            <w:pPr>
              <w:suppressAutoHyphens w:val="0"/>
              <w:jc w:val="right"/>
              <w:rPr>
                <w:color w:val="000000"/>
                <w:sz w:val="20"/>
                <w:szCs w:val="20"/>
                <w:lang w:eastAsia="fr-FR"/>
              </w:rPr>
            </w:pPr>
            <w:r w:rsidRPr="002A174E">
              <w:rPr>
                <w:color w:val="000000"/>
                <w:sz w:val="20"/>
                <w:szCs w:val="20"/>
                <w:lang w:eastAsia="fr-FR"/>
              </w:rPr>
              <w:t>13,7%</w:t>
            </w:r>
          </w:p>
        </w:tc>
        <w:tc>
          <w:tcPr>
            <w:tcW w:w="1474" w:type="dxa"/>
            <w:shd w:val="clear" w:color="000000" w:fill="00B0F0"/>
            <w:noWrap/>
            <w:vAlign w:val="bottom"/>
            <w:hideMark/>
          </w:tcPr>
          <w:p w:rsidR="00B9706C" w:rsidRPr="002A174E" w:rsidRDefault="00B9706C" w:rsidP="00F14F78">
            <w:pPr>
              <w:suppressAutoHyphens w:val="0"/>
              <w:jc w:val="right"/>
              <w:rPr>
                <w:color w:val="000000"/>
                <w:sz w:val="20"/>
                <w:szCs w:val="20"/>
                <w:lang w:eastAsia="fr-FR"/>
              </w:rPr>
            </w:pPr>
            <w:r w:rsidRPr="002A174E">
              <w:rPr>
                <w:color w:val="000000"/>
                <w:sz w:val="20"/>
                <w:szCs w:val="20"/>
                <w:lang w:eastAsia="fr-FR"/>
              </w:rPr>
              <w:t>6,1%</w:t>
            </w:r>
          </w:p>
        </w:tc>
      </w:tr>
      <w:tr w:rsidR="00B9706C" w:rsidRPr="002A174E" w:rsidTr="006D0521">
        <w:trPr>
          <w:trHeight w:val="276"/>
        </w:trPr>
        <w:tc>
          <w:tcPr>
            <w:tcW w:w="1474" w:type="dxa"/>
            <w:shd w:val="clear" w:color="auto" w:fill="auto"/>
            <w:noWrap/>
            <w:vAlign w:val="bottom"/>
            <w:hideMark/>
          </w:tcPr>
          <w:p w:rsidR="00B9706C" w:rsidRPr="002A174E" w:rsidRDefault="00B9706C" w:rsidP="00F14F78">
            <w:pPr>
              <w:suppressAutoHyphens w:val="0"/>
              <w:rPr>
                <w:color w:val="000000"/>
                <w:sz w:val="20"/>
                <w:szCs w:val="20"/>
                <w:lang w:eastAsia="fr-FR"/>
              </w:rPr>
            </w:pPr>
            <w:r w:rsidRPr="002A174E">
              <w:rPr>
                <w:color w:val="000000"/>
                <w:sz w:val="20"/>
                <w:szCs w:val="20"/>
                <w:lang w:eastAsia="fr-FR"/>
              </w:rPr>
              <w:t>pour</w:t>
            </w:r>
          </w:p>
        </w:tc>
        <w:tc>
          <w:tcPr>
            <w:tcW w:w="1475" w:type="dxa"/>
            <w:vAlign w:val="bottom"/>
          </w:tcPr>
          <w:p w:rsidR="00B9706C" w:rsidRPr="002A174E" w:rsidRDefault="00B9706C">
            <w:pPr>
              <w:jc w:val="right"/>
              <w:rPr>
                <w:color w:val="000000"/>
                <w:sz w:val="20"/>
                <w:szCs w:val="20"/>
              </w:rPr>
            </w:pPr>
            <w:r w:rsidRPr="002A174E">
              <w:rPr>
                <w:color w:val="000000"/>
                <w:sz w:val="20"/>
                <w:szCs w:val="20"/>
              </w:rPr>
              <w:t>31</w:t>
            </w:r>
          </w:p>
        </w:tc>
        <w:tc>
          <w:tcPr>
            <w:tcW w:w="1474" w:type="dxa"/>
            <w:gridSpan w:val="2"/>
            <w:vAlign w:val="bottom"/>
          </w:tcPr>
          <w:p w:rsidR="00B9706C" w:rsidRPr="002A174E" w:rsidRDefault="00B9706C">
            <w:pPr>
              <w:jc w:val="right"/>
              <w:rPr>
                <w:color w:val="000000"/>
                <w:sz w:val="20"/>
                <w:szCs w:val="20"/>
              </w:rPr>
            </w:pPr>
            <w:r w:rsidRPr="002A174E">
              <w:rPr>
                <w:color w:val="000000"/>
                <w:sz w:val="20"/>
                <w:szCs w:val="20"/>
              </w:rPr>
              <w:t>41</w:t>
            </w:r>
          </w:p>
        </w:tc>
        <w:tc>
          <w:tcPr>
            <w:tcW w:w="1474" w:type="dxa"/>
            <w:shd w:val="clear" w:color="auto" w:fill="auto"/>
            <w:noWrap/>
            <w:vAlign w:val="bottom"/>
            <w:hideMark/>
          </w:tcPr>
          <w:p w:rsidR="00B9706C" w:rsidRPr="002A174E" w:rsidRDefault="00B9706C" w:rsidP="00F14F78">
            <w:pPr>
              <w:suppressAutoHyphens w:val="0"/>
              <w:jc w:val="right"/>
              <w:rPr>
                <w:color w:val="000000"/>
                <w:sz w:val="20"/>
                <w:szCs w:val="20"/>
                <w:lang w:eastAsia="fr-FR"/>
              </w:rPr>
            </w:pPr>
            <w:r w:rsidRPr="002A174E">
              <w:rPr>
                <w:color w:val="000000"/>
                <w:sz w:val="20"/>
                <w:szCs w:val="20"/>
                <w:lang w:eastAsia="fr-FR"/>
              </w:rPr>
              <w:t>4,9%</w:t>
            </w:r>
          </w:p>
        </w:tc>
        <w:tc>
          <w:tcPr>
            <w:tcW w:w="1474" w:type="dxa"/>
            <w:shd w:val="clear" w:color="auto" w:fill="auto"/>
            <w:noWrap/>
            <w:vAlign w:val="bottom"/>
            <w:hideMark/>
          </w:tcPr>
          <w:p w:rsidR="00B9706C" w:rsidRPr="002A174E" w:rsidRDefault="00B9706C" w:rsidP="00F14F78">
            <w:pPr>
              <w:suppressAutoHyphens w:val="0"/>
              <w:jc w:val="right"/>
              <w:rPr>
                <w:color w:val="000000"/>
                <w:sz w:val="20"/>
                <w:szCs w:val="20"/>
                <w:lang w:eastAsia="fr-FR"/>
              </w:rPr>
            </w:pPr>
            <w:r w:rsidRPr="002A174E">
              <w:rPr>
                <w:color w:val="000000"/>
                <w:sz w:val="20"/>
                <w:szCs w:val="20"/>
                <w:lang w:eastAsia="fr-FR"/>
              </w:rPr>
              <w:t>3,1%</w:t>
            </w:r>
          </w:p>
        </w:tc>
      </w:tr>
      <w:tr w:rsidR="00B9706C" w:rsidRPr="002A174E" w:rsidTr="006D0521">
        <w:trPr>
          <w:trHeight w:val="276"/>
        </w:trPr>
        <w:tc>
          <w:tcPr>
            <w:tcW w:w="1474" w:type="dxa"/>
            <w:shd w:val="clear" w:color="auto" w:fill="auto"/>
            <w:noWrap/>
            <w:vAlign w:val="bottom"/>
            <w:hideMark/>
          </w:tcPr>
          <w:p w:rsidR="00B9706C" w:rsidRPr="002A174E" w:rsidRDefault="00B9706C" w:rsidP="00F14F78">
            <w:pPr>
              <w:suppressAutoHyphens w:val="0"/>
              <w:rPr>
                <w:color w:val="000000"/>
                <w:sz w:val="20"/>
                <w:szCs w:val="20"/>
                <w:lang w:eastAsia="fr-FR"/>
              </w:rPr>
            </w:pPr>
            <w:r w:rsidRPr="002A174E">
              <w:rPr>
                <w:color w:val="000000"/>
                <w:sz w:val="20"/>
                <w:szCs w:val="20"/>
                <w:lang w:eastAsia="fr-FR"/>
              </w:rPr>
              <w:t>sur</w:t>
            </w:r>
          </w:p>
        </w:tc>
        <w:tc>
          <w:tcPr>
            <w:tcW w:w="1475" w:type="dxa"/>
            <w:vAlign w:val="bottom"/>
          </w:tcPr>
          <w:p w:rsidR="00B9706C" w:rsidRPr="002A174E" w:rsidRDefault="00B9706C">
            <w:pPr>
              <w:jc w:val="right"/>
              <w:rPr>
                <w:color w:val="000000"/>
                <w:sz w:val="20"/>
                <w:szCs w:val="20"/>
              </w:rPr>
            </w:pPr>
            <w:r w:rsidRPr="002A174E">
              <w:rPr>
                <w:color w:val="000000"/>
                <w:sz w:val="20"/>
                <w:szCs w:val="20"/>
              </w:rPr>
              <w:t>41</w:t>
            </w:r>
          </w:p>
        </w:tc>
        <w:tc>
          <w:tcPr>
            <w:tcW w:w="1474" w:type="dxa"/>
            <w:gridSpan w:val="2"/>
            <w:vAlign w:val="bottom"/>
          </w:tcPr>
          <w:p w:rsidR="00B9706C" w:rsidRPr="002A174E" w:rsidRDefault="00B9706C">
            <w:pPr>
              <w:jc w:val="right"/>
              <w:rPr>
                <w:color w:val="000000"/>
                <w:sz w:val="20"/>
                <w:szCs w:val="20"/>
              </w:rPr>
            </w:pPr>
            <w:r w:rsidRPr="002A174E">
              <w:rPr>
                <w:color w:val="000000"/>
                <w:sz w:val="20"/>
                <w:szCs w:val="20"/>
              </w:rPr>
              <w:t>53</w:t>
            </w:r>
          </w:p>
        </w:tc>
        <w:tc>
          <w:tcPr>
            <w:tcW w:w="1474" w:type="dxa"/>
            <w:shd w:val="clear" w:color="000000" w:fill="FFFF00"/>
            <w:noWrap/>
            <w:vAlign w:val="bottom"/>
            <w:hideMark/>
          </w:tcPr>
          <w:p w:rsidR="00B9706C" w:rsidRPr="002A174E" w:rsidRDefault="00B9706C" w:rsidP="00F14F78">
            <w:pPr>
              <w:suppressAutoHyphens w:val="0"/>
              <w:jc w:val="right"/>
              <w:rPr>
                <w:color w:val="000000"/>
                <w:sz w:val="20"/>
                <w:szCs w:val="20"/>
                <w:lang w:eastAsia="fr-FR"/>
              </w:rPr>
            </w:pPr>
            <w:r w:rsidRPr="002A174E">
              <w:rPr>
                <w:color w:val="000000"/>
                <w:sz w:val="20"/>
                <w:szCs w:val="20"/>
                <w:lang w:eastAsia="fr-FR"/>
              </w:rPr>
              <w:t>6,5%</w:t>
            </w:r>
          </w:p>
        </w:tc>
        <w:tc>
          <w:tcPr>
            <w:tcW w:w="1474" w:type="dxa"/>
            <w:shd w:val="clear" w:color="auto" w:fill="auto"/>
            <w:noWrap/>
            <w:vAlign w:val="bottom"/>
            <w:hideMark/>
          </w:tcPr>
          <w:p w:rsidR="00B9706C" w:rsidRPr="002A174E" w:rsidRDefault="00B9706C" w:rsidP="00F14F78">
            <w:pPr>
              <w:suppressAutoHyphens w:val="0"/>
              <w:jc w:val="right"/>
              <w:rPr>
                <w:color w:val="000000"/>
                <w:sz w:val="20"/>
                <w:szCs w:val="20"/>
                <w:lang w:eastAsia="fr-FR"/>
              </w:rPr>
            </w:pPr>
            <w:r w:rsidRPr="002A174E">
              <w:rPr>
                <w:color w:val="000000"/>
                <w:sz w:val="20"/>
                <w:szCs w:val="20"/>
                <w:lang w:eastAsia="fr-FR"/>
              </w:rPr>
              <w:t>4,0%</w:t>
            </w:r>
          </w:p>
        </w:tc>
      </w:tr>
    </w:tbl>
    <w:p w:rsidR="00B36CA7" w:rsidRPr="002F4A2B" w:rsidRDefault="002F4A2B" w:rsidP="00ED748C">
      <w:pPr>
        <w:spacing w:after="120"/>
        <w:jc w:val="both"/>
        <w:rPr>
          <w:rFonts w:eastAsiaTheme="majorEastAsia"/>
          <w:i/>
          <w:sz w:val="22"/>
          <w:szCs w:val="22"/>
          <w:lang w:val="fr-BE"/>
        </w:rPr>
      </w:pPr>
      <w:r w:rsidRPr="007E1660">
        <w:rPr>
          <w:rFonts w:eastAsiaTheme="majorEastAsia"/>
          <w:i/>
          <w:sz w:val="22"/>
          <w:szCs w:val="22"/>
          <w:lang w:val="fr-BE"/>
        </w:rPr>
        <w:t>Figure 1</w:t>
      </w:r>
      <w:r w:rsidR="001F4B46" w:rsidRPr="007E1660">
        <w:rPr>
          <w:rFonts w:eastAsiaTheme="majorEastAsia"/>
          <w:i/>
          <w:sz w:val="22"/>
          <w:szCs w:val="22"/>
          <w:lang w:val="fr-BE"/>
        </w:rPr>
        <w:t xml:space="preserve">- </w:t>
      </w:r>
      <w:r w:rsidR="0071228D" w:rsidRPr="007E1660">
        <w:rPr>
          <w:rFonts w:eastAsiaTheme="majorEastAsia"/>
          <w:i/>
          <w:sz w:val="22"/>
          <w:szCs w:val="22"/>
          <w:lang w:val="fr-BE"/>
        </w:rPr>
        <w:t xml:space="preserve">Distribution </w:t>
      </w:r>
      <w:r w:rsidR="001F4B46" w:rsidRPr="007E1660">
        <w:rPr>
          <w:rFonts w:eastAsiaTheme="majorEastAsia"/>
          <w:i/>
          <w:sz w:val="22"/>
          <w:szCs w:val="22"/>
          <w:lang w:val="fr-BE"/>
        </w:rPr>
        <w:t>des structures selon les deux partitions du corpus</w:t>
      </w:r>
    </w:p>
    <w:p w:rsidR="00B9706C" w:rsidRDefault="00B9706C" w:rsidP="00ED748C">
      <w:pPr>
        <w:spacing w:after="120"/>
        <w:jc w:val="both"/>
        <w:rPr>
          <w:rFonts w:eastAsiaTheme="majorEastAsia"/>
          <w:lang w:val="fr-BE"/>
        </w:rPr>
      </w:pPr>
      <w:r>
        <w:rPr>
          <w:rFonts w:eastAsiaTheme="majorEastAsia"/>
          <w:lang w:val="fr-BE"/>
        </w:rPr>
        <w:t>Soumis à un test de Khi2, ce tableau révèle un</w:t>
      </w:r>
      <w:r w:rsidR="004E27ED">
        <w:rPr>
          <w:rFonts w:eastAsiaTheme="majorEastAsia"/>
          <w:lang w:val="fr-BE"/>
        </w:rPr>
        <w:t>e</w:t>
      </w:r>
      <w:r>
        <w:rPr>
          <w:rFonts w:eastAsiaTheme="majorEastAsia"/>
          <w:lang w:val="fr-BE"/>
        </w:rPr>
        <w:t xml:space="preserve"> probabilité quasi nulle pour l’hypothèse nulle</w:t>
      </w:r>
      <w:r w:rsidR="001F36BA">
        <w:rPr>
          <w:rFonts w:eastAsiaTheme="majorEastAsia"/>
          <w:lang w:val="fr-BE"/>
        </w:rPr>
        <w:t> ; les excès et les déficits statistiquement significatifs sont colorés</w:t>
      </w:r>
      <w:r w:rsidR="004E27ED">
        <w:rPr>
          <w:rFonts w:eastAsiaTheme="majorEastAsia"/>
          <w:lang w:val="fr-BE"/>
        </w:rPr>
        <w:t xml:space="preserve"> (respectivement en jaune et bleu)</w:t>
      </w:r>
      <w:r w:rsidR="001F36BA">
        <w:rPr>
          <w:rFonts w:eastAsiaTheme="majorEastAsia"/>
          <w:lang w:val="fr-BE"/>
        </w:rPr>
        <w:t>.</w:t>
      </w:r>
    </w:p>
    <w:p w:rsidR="00B36CA7" w:rsidRDefault="00B36CA7" w:rsidP="00ED748C">
      <w:pPr>
        <w:spacing w:after="120"/>
        <w:jc w:val="both"/>
        <w:rPr>
          <w:rFonts w:eastAsiaTheme="majorEastAsia"/>
          <w:lang w:val="fr-BE"/>
        </w:rPr>
      </w:pPr>
      <w:r>
        <w:rPr>
          <w:rFonts w:eastAsiaTheme="majorEastAsia"/>
          <w:lang w:val="fr-BE"/>
        </w:rPr>
        <w:t>Ce tableau qui réduit le corpus à deux sous-ensembles permet de pointer les divergences d</w:t>
      </w:r>
      <w:r w:rsidR="00B9706C">
        <w:rPr>
          <w:rFonts w:eastAsiaTheme="majorEastAsia"/>
          <w:lang w:val="fr-BE"/>
        </w:rPr>
        <w:t>’</w:t>
      </w:r>
      <w:r>
        <w:rPr>
          <w:rFonts w:eastAsiaTheme="majorEastAsia"/>
          <w:lang w:val="fr-BE"/>
        </w:rPr>
        <w:t xml:space="preserve">emploi quant aux structures </w:t>
      </w:r>
      <w:proofErr w:type="spellStart"/>
      <w:r>
        <w:rPr>
          <w:rFonts w:eastAsiaTheme="majorEastAsia"/>
          <w:lang w:val="fr-BE"/>
        </w:rPr>
        <w:t>NpN</w:t>
      </w:r>
      <w:proofErr w:type="spellEnd"/>
      <w:r>
        <w:rPr>
          <w:rFonts w:eastAsiaTheme="majorEastAsia"/>
          <w:lang w:val="fr-BE"/>
        </w:rPr>
        <w:t xml:space="preserve"> entre journaux et textes fictionnels.</w:t>
      </w:r>
      <w:r w:rsidR="002E7702">
        <w:rPr>
          <w:rFonts w:eastAsiaTheme="majorEastAsia"/>
          <w:lang w:val="fr-BE"/>
        </w:rPr>
        <w:t xml:space="preserve"> </w:t>
      </w:r>
      <w:r w:rsidR="00EB0382">
        <w:rPr>
          <w:rFonts w:eastAsiaTheme="majorEastAsia"/>
          <w:lang w:val="fr-BE"/>
        </w:rPr>
        <w:t>Si les structures qui utilisent les prépositions « à », « après », « contre », « pour » sont à peu près équitablement réparties entre les deux corpus, d</w:t>
      </w:r>
      <w:r w:rsidR="002E7702">
        <w:rPr>
          <w:rFonts w:eastAsiaTheme="majorEastAsia"/>
          <w:lang w:val="fr-BE"/>
        </w:rPr>
        <w:t>es déséquilibres significatifs opposent l</w:t>
      </w:r>
      <w:r w:rsidR="00B9706C">
        <w:rPr>
          <w:rFonts w:eastAsiaTheme="majorEastAsia"/>
          <w:lang w:val="fr-BE"/>
        </w:rPr>
        <w:t>’</w:t>
      </w:r>
      <w:r w:rsidR="002E7702">
        <w:rPr>
          <w:rFonts w:eastAsiaTheme="majorEastAsia"/>
          <w:lang w:val="fr-BE"/>
        </w:rPr>
        <w:t>emploi des structures qui utilisent « de</w:t>
      </w:r>
      <w:r w:rsidR="001F36BA">
        <w:rPr>
          <w:rFonts w:eastAsiaTheme="majorEastAsia"/>
          <w:lang w:val="fr-BE"/>
        </w:rPr>
        <w:t xml:space="preserve"> </w:t>
      </w:r>
      <w:r w:rsidR="002E7702">
        <w:rPr>
          <w:rFonts w:eastAsiaTheme="majorEastAsia"/>
          <w:lang w:val="fr-BE"/>
        </w:rPr>
        <w:t>…</w:t>
      </w:r>
      <w:r w:rsidR="001F36BA">
        <w:rPr>
          <w:rFonts w:eastAsiaTheme="majorEastAsia"/>
          <w:lang w:val="fr-BE"/>
        </w:rPr>
        <w:t xml:space="preserve"> </w:t>
      </w:r>
      <w:r w:rsidR="002E7702">
        <w:rPr>
          <w:rFonts w:eastAsiaTheme="majorEastAsia"/>
          <w:lang w:val="fr-BE"/>
        </w:rPr>
        <w:t>à », « de</w:t>
      </w:r>
      <w:r w:rsidR="001F36BA">
        <w:rPr>
          <w:rFonts w:eastAsiaTheme="majorEastAsia"/>
          <w:lang w:val="fr-BE"/>
        </w:rPr>
        <w:t xml:space="preserve"> </w:t>
      </w:r>
      <w:r w:rsidR="002E7702">
        <w:rPr>
          <w:rFonts w:eastAsiaTheme="majorEastAsia"/>
          <w:lang w:val="fr-BE"/>
        </w:rPr>
        <w:t>…</w:t>
      </w:r>
      <w:r w:rsidR="001F36BA">
        <w:rPr>
          <w:rFonts w:eastAsiaTheme="majorEastAsia"/>
          <w:lang w:val="fr-BE"/>
        </w:rPr>
        <w:t xml:space="preserve"> </w:t>
      </w:r>
      <w:r w:rsidR="002E7702">
        <w:rPr>
          <w:rFonts w:eastAsiaTheme="majorEastAsia"/>
          <w:lang w:val="fr-BE"/>
        </w:rPr>
        <w:t xml:space="preserve">en », « par » et « sur ». On constate en effet </w:t>
      </w:r>
      <w:r w:rsidR="005010DA">
        <w:rPr>
          <w:rFonts w:eastAsiaTheme="majorEastAsia"/>
          <w:lang w:val="fr-BE"/>
        </w:rPr>
        <w:t xml:space="preserve">un </w:t>
      </w:r>
      <w:proofErr w:type="spellStart"/>
      <w:r w:rsidR="005010DA">
        <w:rPr>
          <w:rFonts w:eastAsiaTheme="majorEastAsia"/>
          <w:lang w:val="fr-BE"/>
        </w:rPr>
        <w:t>sur-emploi</w:t>
      </w:r>
      <w:proofErr w:type="spellEnd"/>
      <w:r w:rsidR="005010DA">
        <w:rPr>
          <w:rFonts w:eastAsiaTheme="majorEastAsia"/>
          <w:lang w:val="fr-BE"/>
        </w:rPr>
        <w:t>, dans le corpus médiatique</w:t>
      </w:r>
      <w:r w:rsidR="00EB0382">
        <w:rPr>
          <w:rFonts w:eastAsiaTheme="majorEastAsia"/>
          <w:lang w:val="fr-BE"/>
        </w:rPr>
        <w:t>,</w:t>
      </w:r>
      <w:r w:rsidR="005010DA">
        <w:rPr>
          <w:rFonts w:eastAsiaTheme="majorEastAsia"/>
          <w:lang w:val="fr-BE"/>
        </w:rPr>
        <w:t xml:space="preserve"> des structures ordonnées autour de « de</w:t>
      </w:r>
      <w:r w:rsidR="001F36BA">
        <w:rPr>
          <w:rFonts w:eastAsiaTheme="majorEastAsia"/>
          <w:lang w:val="fr-BE"/>
        </w:rPr>
        <w:t xml:space="preserve"> </w:t>
      </w:r>
      <w:r w:rsidR="005010DA">
        <w:rPr>
          <w:rFonts w:eastAsiaTheme="majorEastAsia"/>
          <w:lang w:val="fr-BE"/>
        </w:rPr>
        <w:t>…</w:t>
      </w:r>
      <w:r w:rsidR="001F36BA">
        <w:rPr>
          <w:rFonts w:eastAsiaTheme="majorEastAsia"/>
          <w:lang w:val="fr-BE"/>
        </w:rPr>
        <w:t xml:space="preserve"> </w:t>
      </w:r>
      <w:r w:rsidR="005010DA">
        <w:rPr>
          <w:rFonts w:eastAsiaTheme="majorEastAsia"/>
          <w:lang w:val="fr-BE"/>
        </w:rPr>
        <w:t>à », « par » et « sur » tandis que le privilège est accordé aux textes fictionnels pour celles organisées autour de « de</w:t>
      </w:r>
      <w:r w:rsidR="001F36BA">
        <w:rPr>
          <w:rFonts w:eastAsiaTheme="majorEastAsia"/>
          <w:lang w:val="fr-BE"/>
        </w:rPr>
        <w:t xml:space="preserve"> </w:t>
      </w:r>
      <w:r w:rsidR="005010DA">
        <w:rPr>
          <w:rFonts w:eastAsiaTheme="majorEastAsia"/>
          <w:lang w:val="fr-BE"/>
        </w:rPr>
        <w:t xml:space="preserve">… en ». </w:t>
      </w:r>
      <w:r w:rsidR="00EC042F">
        <w:rPr>
          <w:rFonts w:eastAsiaTheme="majorEastAsia"/>
          <w:lang w:val="fr-BE"/>
        </w:rPr>
        <w:t>La structure « de</w:t>
      </w:r>
      <w:r w:rsidR="001F36BA">
        <w:rPr>
          <w:rFonts w:eastAsiaTheme="majorEastAsia"/>
          <w:lang w:val="fr-BE"/>
        </w:rPr>
        <w:t xml:space="preserve"> </w:t>
      </w:r>
      <w:r w:rsidR="00EC042F">
        <w:rPr>
          <w:rFonts w:eastAsiaTheme="majorEastAsia"/>
          <w:lang w:val="fr-BE"/>
        </w:rPr>
        <w:t>…</w:t>
      </w:r>
      <w:r w:rsidR="001F36BA">
        <w:rPr>
          <w:rFonts w:eastAsiaTheme="majorEastAsia"/>
          <w:lang w:val="fr-BE"/>
        </w:rPr>
        <w:t xml:space="preserve"> </w:t>
      </w:r>
      <w:r w:rsidR="00EC042F">
        <w:rPr>
          <w:rFonts w:eastAsiaTheme="majorEastAsia"/>
          <w:lang w:val="fr-BE"/>
        </w:rPr>
        <w:t xml:space="preserve">à » est illustrée par </w:t>
      </w:r>
      <w:r w:rsidR="00EC042F" w:rsidRPr="001F36BA">
        <w:rPr>
          <w:rFonts w:eastAsiaTheme="majorEastAsia"/>
          <w:i/>
          <w:lang w:val="fr-BE"/>
        </w:rPr>
        <w:t>de clou à clou</w:t>
      </w:r>
      <w:r w:rsidR="00EC042F">
        <w:rPr>
          <w:rFonts w:eastAsiaTheme="majorEastAsia"/>
          <w:lang w:val="fr-BE"/>
        </w:rPr>
        <w:t xml:space="preserve"> (</w:t>
      </w:r>
      <w:r w:rsidR="00EC042F" w:rsidRPr="00855E82">
        <w:rPr>
          <w:rFonts w:eastAsiaTheme="majorEastAsia"/>
          <w:i/>
          <w:lang w:val="fr-BE"/>
        </w:rPr>
        <w:t>L</w:t>
      </w:r>
      <w:r w:rsidR="00B9706C">
        <w:rPr>
          <w:rFonts w:eastAsiaTheme="majorEastAsia"/>
          <w:i/>
          <w:lang w:val="fr-BE"/>
        </w:rPr>
        <w:t>’</w:t>
      </w:r>
      <w:r w:rsidR="00EC042F" w:rsidRPr="00855E82">
        <w:rPr>
          <w:rFonts w:eastAsiaTheme="majorEastAsia"/>
          <w:i/>
          <w:lang w:val="fr-BE"/>
        </w:rPr>
        <w:t>Est Républicain</w:t>
      </w:r>
      <w:r w:rsidR="00EC042F">
        <w:rPr>
          <w:rFonts w:eastAsiaTheme="majorEastAsia"/>
          <w:lang w:val="fr-BE"/>
        </w:rPr>
        <w:t xml:space="preserve">), </w:t>
      </w:r>
      <w:r w:rsidR="00EC042F" w:rsidRPr="001F36BA">
        <w:rPr>
          <w:rFonts w:eastAsiaTheme="majorEastAsia"/>
          <w:i/>
          <w:lang w:val="fr-BE"/>
        </w:rPr>
        <w:t>de monastère à monastère</w:t>
      </w:r>
      <w:r w:rsidR="00EC042F">
        <w:rPr>
          <w:rFonts w:eastAsiaTheme="majorEastAsia"/>
          <w:lang w:val="fr-BE"/>
        </w:rPr>
        <w:t xml:space="preserve">, </w:t>
      </w:r>
      <w:r w:rsidR="00EC042F" w:rsidRPr="001F36BA">
        <w:rPr>
          <w:rFonts w:eastAsiaTheme="majorEastAsia"/>
          <w:i/>
          <w:lang w:val="fr-BE"/>
        </w:rPr>
        <w:t>de peau à peau</w:t>
      </w:r>
      <w:r w:rsidR="00EC042F">
        <w:rPr>
          <w:rFonts w:eastAsiaTheme="majorEastAsia"/>
          <w:lang w:val="fr-BE"/>
        </w:rPr>
        <w:t xml:space="preserve"> (</w:t>
      </w:r>
      <w:r w:rsidR="00EC042F" w:rsidRPr="00EC042F">
        <w:rPr>
          <w:rFonts w:eastAsiaTheme="majorEastAsia"/>
          <w:i/>
          <w:lang w:val="fr-BE"/>
        </w:rPr>
        <w:t>Le Figaro</w:t>
      </w:r>
      <w:r w:rsidR="00EC042F">
        <w:rPr>
          <w:rFonts w:eastAsiaTheme="majorEastAsia"/>
          <w:lang w:val="fr-BE"/>
        </w:rPr>
        <w:t xml:space="preserve">), </w:t>
      </w:r>
      <w:r w:rsidR="00EC042F" w:rsidRPr="001F36BA">
        <w:rPr>
          <w:rFonts w:eastAsiaTheme="majorEastAsia"/>
          <w:i/>
          <w:lang w:val="fr-BE"/>
        </w:rPr>
        <w:t>de bande à bande</w:t>
      </w:r>
      <w:r w:rsidR="00EC042F">
        <w:rPr>
          <w:rFonts w:eastAsiaTheme="majorEastAsia"/>
          <w:lang w:val="fr-BE"/>
        </w:rPr>
        <w:t xml:space="preserve">, </w:t>
      </w:r>
      <w:r w:rsidR="00EC042F" w:rsidRPr="001F36BA">
        <w:rPr>
          <w:rFonts w:eastAsiaTheme="majorEastAsia"/>
          <w:i/>
          <w:lang w:val="fr-BE"/>
        </w:rPr>
        <w:t>de gré à gré</w:t>
      </w:r>
      <w:r w:rsidR="00EC042F">
        <w:rPr>
          <w:rFonts w:eastAsiaTheme="majorEastAsia"/>
          <w:lang w:val="fr-BE"/>
        </w:rPr>
        <w:t xml:space="preserve">, </w:t>
      </w:r>
      <w:r w:rsidR="00EC042F" w:rsidRPr="001F36BA">
        <w:rPr>
          <w:rFonts w:eastAsiaTheme="majorEastAsia"/>
          <w:i/>
          <w:lang w:val="fr-BE"/>
        </w:rPr>
        <w:t>de personne à personne</w:t>
      </w:r>
      <w:r w:rsidR="00EC042F">
        <w:rPr>
          <w:rFonts w:eastAsiaTheme="majorEastAsia"/>
          <w:lang w:val="fr-BE"/>
        </w:rPr>
        <w:t xml:space="preserve">, </w:t>
      </w:r>
      <w:r w:rsidR="00EC042F" w:rsidRPr="001F36BA">
        <w:rPr>
          <w:rFonts w:eastAsiaTheme="majorEastAsia"/>
          <w:i/>
          <w:lang w:val="fr-BE"/>
        </w:rPr>
        <w:t>de baguettes à baguettes</w:t>
      </w:r>
      <w:r w:rsidR="00EC042F">
        <w:rPr>
          <w:rFonts w:eastAsiaTheme="majorEastAsia"/>
          <w:lang w:val="fr-BE"/>
        </w:rPr>
        <w:t xml:space="preserve">, </w:t>
      </w:r>
      <w:r w:rsidR="00EC042F" w:rsidRPr="001F36BA">
        <w:rPr>
          <w:rFonts w:eastAsiaTheme="majorEastAsia"/>
          <w:i/>
          <w:lang w:val="fr-BE"/>
        </w:rPr>
        <w:t>de banlieue à banlieue</w:t>
      </w:r>
      <w:r w:rsidR="00EC042F">
        <w:rPr>
          <w:rFonts w:eastAsiaTheme="majorEastAsia"/>
          <w:lang w:val="fr-BE"/>
        </w:rPr>
        <w:t xml:space="preserve">, </w:t>
      </w:r>
      <w:r w:rsidR="00EC042F" w:rsidRPr="001F36BA">
        <w:rPr>
          <w:rFonts w:eastAsiaTheme="majorEastAsia"/>
          <w:i/>
          <w:lang w:val="fr-BE"/>
        </w:rPr>
        <w:t>de cœur à cœur</w:t>
      </w:r>
      <w:r w:rsidR="00EC042F">
        <w:rPr>
          <w:rFonts w:eastAsiaTheme="majorEastAsia"/>
          <w:lang w:val="fr-BE"/>
        </w:rPr>
        <w:t xml:space="preserve">, </w:t>
      </w:r>
      <w:r w:rsidR="00EC042F" w:rsidRPr="001F36BA">
        <w:rPr>
          <w:rFonts w:eastAsiaTheme="majorEastAsia"/>
          <w:i/>
          <w:lang w:val="fr-BE"/>
        </w:rPr>
        <w:t>de verrier à verrier</w:t>
      </w:r>
      <w:r w:rsidR="00EC042F">
        <w:rPr>
          <w:rFonts w:eastAsiaTheme="majorEastAsia"/>
          <w:lang w:val="fr-BE"/>
        </w:rPr>
        <w:t xml:space="preserve"> (</w:t>
      </w:r>
      <w:r w:rsidR="00EC042F" w:rsidRPr="00855E82">
        <w:rPr>
          <w:rFonts w:eastAsiaTheme="majorEastAsia"/>
          <w:i/>
          <w:lang w:val="fr-BE"/>
        </w:rPr>
        <w:t>Libération</w:t>
      </w:r>
      <w:r w:rsidR="00EC042F">
        <w:rPr>
          <w:rFonts w:eastAsiaTheme="majorEastAsia"/>
          <w:lang w:val="fr-BE"/>
        </w:rPr>
        <w:t xml:space="preserve">), </w:t>
      </w:r>
      <w:r w:rsidR="00EC042F" w:rsidRPr="001F36BA">
        <w:rPr>
          <w:rFonts w:eastAsiaTheme="majorEastAsia"/>
          <w:i/>
          <w:lang w:val="fr-BE"/>
        </w:rPr>
        <w:t>de fibre à fibre</w:t>
      </w:r>
      <w:r w:rsidR="00EC042F">
        <w:rPr>
          <w:rFonts w:eastAsiaTheme="majorEastAsia"/>
          <w:lang w:val="fr-BE"/>
        </w:rPr>
        <w:t xml:space="preserve">, </w:t>
      </w:r>
      <w:r w:rsidR="00EC042F" w:rsidRPr="001F36BA">
        <w:rPr>
          <w:rFonts w:eastAsiaTheme="majorEastAsia"/>
          <w:i/>
          <w:lang w:val="fr-BE"/>
        </w:rPr>
        <w:t>de ligne à ligne</w:t>
      </w:r>
      <w:r w:rsidR="00EC042F">
        <w:rPr>
          <w:rFonts w:eastAsiaTheme="majorEastAsia"/>
          <w:lang w:val="fr-BE"/>
        </w:rPr>
        <w:t xml:space="preserve">, </w:t>
      </w:r>
      <w:r w:rsidR="00EC042F" w:rsidRPr="001F36BA">
        <w:rPr>
          <w:rFonts w:eastAsiaTheme="majorEastAsia"/>
          <w:i/>
          <w:lang w:val="fr-BE"/>
        </w:rPr>
        <w:t>de particulier à particulier</w:t>
      </w:r>
      <w:r w:rsidR="00EC042F">
        <w:rPr>
          <w:rFonts w:eastAsiaTheme="majorEastAsia"/>
          <w:lang w:val="fr-BE"/>
        </w:rPr>
        <w:t xml:space="preserve">, </w:t>
      </w:r>
      <w:r w:rsidR="00EC042F" w:rsidRPr="001F36BA">
        <w:rPr>
          <w:rFonts w:eastAsiaTheme="majorEastAsia"/>
          <w:i/>
          <w:lang w:val="fr-BE"/>
        </w:rPr>
        <w:t>de poste à poste</w:t>
      </w:r>
      <w:r w:rsidR="00EC042F">
        <w:rPr>
          <w:rFonts w:eastAsiaTheme="majorEastAsia"/>
          <w:lang w:val="fr-BE"/>
        </w:rPr>
        <w:t xml:space="preserve"> (</w:t>
      </w:r>
      <w:r w:rsidR="00EC042F" w:rsidRPr="00855E82">
        <w:rPr>
          <w:rFonts w:eastAsiaTheme="majorEastAsia"/>
          <w:i/>
          <w:lang w:val="fr-BE"/>
        </w:rPr>
        <w:t>Le Monde</w:t>
      </w:r>
      <w:r w:rsidR="00EC042F">
        <w:rPr>
          <w:rFonts w:eastAsiaTheme="majorEastAsia"/>
          <w:lang w:val="fr-BE"/>
        </w:rPr>
        <w:t xml:space="preserve">), </w:t>
      </w:r>
      <w:r w:rsidR="00EC042F" w:rsidRPr="001F36BA">
        <w:rPr>
          <w:rFonts w:eastAsiaTheme="majorEastAsia"/>
          <w:i/>
          <w:lang w:val="fr-BE"/>
        </w:rPr>
        <w:t>de gré à gré</w:t>
      </w:r>
      <w:r w:rsidR="00EC042F">
        <w:rPr>
          <w:rFonts w:eastAsiaTheme="majorEastAsia"/>
          <w:lang w:val="fr-BE"/>
        </w:rPr>
        <w:t xml:space="preserve"> (</w:t>
      </w:r>
      <w:r w:rsidR="001F36BA" w:rsidRPr="001F36BA">
        <w:rPr>
          <w:rFonts w:eastAsiaTheme="majorEastAsia"/>
          <w:i/>
          <w:lang w:val="fr-BE"/>
        </w:rPr>
        <w:t>Le Monde</w:t>
      </w:r>
      <w:r w:rsidR="001F36BA">
        <w:rPr>
          <w:rFonts w:eastAsiaTheme="majorEastAsia"/>
          <w:lang w:val="fr-BE"/>
        </w:rPr>
        <w:t xml:space="preserve">, </w:t>
      </w:r>
      <w:r w:rsidR="00EC042F" w:rsidRPr="00855E82">
        <w:rPr>
          <w:rFonts w:eastAsiaTheme="majorEastAsia"/>
          <w:i/>
          <w:lang w:val="fr-BE"/>
        </w:rPr>
        <w:t>Sud-Ouest</w:t>
      </w:r>
      <w:r w:rsidR="001F36BA">
        <w:rPr>
          <w:rFonts w:eastAsiaTheme="majorEastAsia"/>
          <w:lang w:val="fr-BE"/>
        </w:rPr>
        <w:t>,</w:t>
      </w:r>
      <w:r w:rsidR="001F36BA" w:rsidRPr="00162ACB">
        <w:rPr>
          <w:rFonts w:eastAsiaTheme="majorEastAsia"/>
          <w:i/>
          <w:lang w:val="fr-BE"/>
        </w:rPr>
        <w:t xml:space="preserve"> </w:t>
      </w:r>
      <w:r w:rsidR="00C0580E" w:rsidRPr="00162ACB">
        <w:rPr>
          <w:rFonts w:eastAsiaTheme="majorEastAsia"/>
          <w:i/>
          <w:lang w:val="fr-BE"/>
        </w:rPr>
        <w:t>Ouest-France</w:t>
      </w:r>
      <w:r w:rsidR="00C0580E">
        <w:rPr>
          <w:rFonts w:eastAsiaTheme="majorEastAsia"/>
          <w:lang w:val="fr-BE"/>
        </w:rPr>
        <w:t xml:space="preserve">). </w:t>
      </w:r>
    </w:p>
    <w:p w:rsidR="00014B54" w:rsidRDefault="00014B54" w:rsidP="00ED748C">
      <w:pPr>
        <w:spacing w:after="120"/>
        <w:jc w:val="both"/>
        <w:rPr>
          <w:rFonts w:eastAsiaTheme="majorEastAsia"/>
          <w:lang w:val="fr-BE"/>
        </w:rPr>
      </w:pPr>
      <w:r>
        <w:rPr>
          <w:rFonts w:eastAsiaTheme="majorEastAsia"/>
          <w:lang w:val="fr-BE"/>
        </w:rPr>
        <w:t xml:space="preserve">La préposition « par » : </w:t>
      </w:r>
      <w:r w:rsidRPr="001F36BA">
        <w:rPr>
          <w:rFonts w:eastAsiaTheme="majorEastAsia"/>
          <w:i/>
          <w:lang w:val="fr-BE"/>
        </w:rPr>
        <w:t>point par point</w:t>
      </w:r>
      <w:r>
        <w:rPr>
          <w:rFonts w:eastAsiaTheme="majorEastAsia"/>
          <w:lang w:val="fr-BE"/>
        </w:rPr>
        <w:t xml:space="preserve">, </w:t>
      </w:r>
      <w:r w:rsidRPr="001F36BA">
        <w:rPr>
          <w:rFonts w:eastAsiaTheme="majorEastAsia"/>
          <w:i/>
          <w:lang w:val="fr-BE"/>
        </w:rPr>
        <w:t>cas par cas</w:t>
      </w:r>
      <w:r>
        <w:rPr>
          <w:rFonts w:eastAsiaTheme="majorEastAsia"/>
          <w:lang w:val="fr-BE"/>
        </w:rPr>
        <w:t xml:space="preserve"> (</w:t>
      </w:r>
      <w:r w:rsidRPr="001F36BA">
        <w:rPr>
          <w:rFonts w:eastAsiaTheme="majorEastAsia"/>
          <w:i/>
          <w:lang w:val="fr-BE"/>
        </w:rPr>
        <w:t>L</w:t>
      </w:r>
      <w:r w:rsidR="00B9706C" w:rsidRPr="001F36BA">
        <w:rPr>
          <w:rFonts w:eastAsiaTheme="majorEastAsia"/>
          <w:i/>
          <w:lang w:val="fr-BE"/>
        </w:rPr>
        <w:t>’</w:t>
      </w:r>
      <w:r w:rsidRPr="001F36BA">
        <w:rPr>
          <w:rFonts w:eastAsiaTheme="majorEastAsia"/>
          <w:i/>
          <w:lang w:val="fr-BE"/>
        </w:rPr>
        <w:t>Est Républicain</w:t>
      </w:r>
      <w:r>
        <w:rPr>
          <w:rFonts w:eastAsiaTheme="majorEastAsia"/>
          <w:lang w:val="fr-BE"/>
        </w:rPr>
        <w:t xml:space="preserve">), </w:t>
      </w:r>
      <w:r w:rsidRPr="001F36BA">
        <w:rPr>
          <w:rFonts w:eastAsiaTheme="majorEastAsia"/>
          <w:i/>
          <w:lang w:val="fr-BE"/>
        </w:rPr>
        <w:t>hôpital par hôpital</w:t>
      </w:r>
      <w:r>
        <w:rPr>
          <w:rFonts w:eastAsiaTheme="majorEastAsia"/>
          <w:lang w:val="fr-BE"/>
        </w:rPr>
        <w:t xml:space="preserve">, </w:t>
      </w:r>
      <w:r w:rsidRPr="001F36BA">
        <w:rPr>
          <w:rFonts w:eastAsiaTheme="majorEastAsia"/>
          <w:i/>
          <w:lang w:val="fr-BE"/>
        </w:rPr>
        <w:t>jour par jour</w:t>
      </w:r>
      <w:r>
        <w:rPr>
          <w:rFonts w:eastAsiaTheme="majorEastAsia"/>
          <w:lang w:val="fr-BE"/>
        </w:rPr>
        <w:t xml:space="preserve">, </w:t>
      </w:r>
      <w:r w:rsidRPr="001F36BA">
        <w:rPr>
          <w:rFonts w:eastAsiaTheme="majorEastAsia"/>
          <w:i/>
          <w:lang w:val="fr-BE"/>
        </w:rPr>
        <w:t>pays par pays</w:t>
      </w:r>
      <w:r>
        <w:rPr>
          <w:rFonts w:eastAsiaTheme="majorEastAsia"/>
          <w:lang w:val="fr-BE"/>
        </w:rPr>
        <w:t xml:space="preserve"> (</w:t>
      </w:r>
      <w:r w:rsidRPr="001F36BA">
        <w:rPr>
          <w:rFonts w:eastAsiaTheme="majorEastAsia"/>
          <w:i/>
          <w:lang w:val="fr-BE"/>
        </w:rPr>
        <w:t>Le Figaro</w:t>
      </w:r>
      <w:r>
        <w:rPr>
          <w:rFonts w:eastAsiaTheme="majorEastAsia"/>
          <w:lang w:val="fr-BE"/>
        </w:rPr>
        <w:t xml:space="preserve">), </w:t>
      </w:r>
      <w:r w:rsidRPr="001F36BA">
        <w:rPr>
          <w:rFonts w:eastAsiaTheme="majorEastAsia"/>
          <w:i/>
          <w:lang w:val="fr-BE"/>
        </w:rPr>
        <w:t>cas par cas</w:t>
      </w:r>
      <w:r w:rsidR="001F36BA" w:rsidRPr="001F36BA">
        <w:rPr>
          <w:rFonts w:eastAsiaTheme="majorEastAsia"/>
          <w:lang w:val="fr-BE"/>
        </w:rPr>
        <w:t xml:space="preserve">, </w:t>
      </w:r>
      <w:r w:rsidRPr="001F36BA">
        <w:rPr>
          <w:rFonts w:eastAsiaTheme="majorEastAsia"/>
          <w:i/>
          <w:lang w:val="fr-BE"/>
        </w:rPr>
        <w:t>coup par coup</w:t>
      </w:r>
      <w:r w:rsidR="001F36BA" w:rsidRPr="001F36BA">
        <w:rPr>
          <w:rFonts w:eastAsiaTheme="majorEastAsia"/>
          <w:lang w:val="fr-BE"/>
        </w:rPr>
        <w:t xml:space="preserve">, </w:t>
      </w:r>
      <w:r w:rsidRPr="001F36BA">
        <w:rPr>
          <w:rFonts w:eastAsiaTheme="majorEastAsia"/>
          <w:i/>
          <w:lang w:val="fr-BE"/>
        </w:rPr>
        <w:t>état par état</w:t>
      </w:r>
      <w:r w:rsidR="001F36BA" w:rsidRPr="001F36BA">
        <w:rPr>
          <w:rFonts w:eastAsiaTheme="majorEastAsia"/>
          <w:lang w:val="fr-BE"/>
        </w:rPr>
        <w:t xml:space="preserve">, </w:t>
      </w:r>
      <w:r w:rsidRPr="001F36BA">
        <w:rPr>
          <w:rFonts w:eastAsiaTheme="majorEastAsia"/>
          <w:i/>
          <w:lang w:val="fr-BE"/>
        </w:rPr>
        <w:t>image par image</w:t>
      </w:r>
      <w:r w:rsidR="001F36BA" w:rsidRPr="001F36BA">
        <w:rPr>
          <w:rFonts w:eastAsiaTheme="majorEastAsia"/>
          <w:lang w:val="fr-BE"/>
        </w:rPr>
        <w:t xml:space="preserve">, </w:t>
      </w:r>
      <w:r w:rsidRPr="001F36BA">
        <w:rPr>
          <w:rFonts w:eastAsiaTheme="majorEastAsia"/>
          <w:i/>
          <w:lang w:val="fr-BE"/>
        </w:rPr>
        <w:t>mètre par mètre</w:t>
      </w:r>
      <w:r w:rsidR="001F36BA" w:rsidRPr="001F36BA">
        <w:rPr>
          <w:rFonts w:eastAsiaTheme="majorEastAsia"/>
          <w:lang w:val="fr-BE"/>
        </w:rPr>
        <w:t xml:space="preserve">, </w:t>
      </w:r>
      <w:r w:rsidRPr="001F36BA">
        <w:rPr>
          <w:rFonts w:eastAsiaTheme="majorEastAsia"/>
          <w:i/>
          <w:lang w:val="fr-BE"/>
        </w:rPr>
        <w:t>minute par minute</w:t>
      </w:r>
      <w:r w:rsidR="001F36BA" w:rsidRPr="001F36BA">
        <w:rPr>
          <w:rFonts w:eastAsiaTheme="majorEastAsia"/>
          <w:lang w:val="fr-BE"/>
        </w:rPr>
        <w:t xml:space="preserve">, </w:t>
      </w:r>
      <w:r w:rsidRPr="001F36BA">
        <w:rPr>
          <w:rFonts w:eastAsiaTheme="majorEastAsia"/>
          <w:i/>
          <w:lang w:val="fr-BE"/>
        </w:rPr>
        <w:t>pièce par pièce</w:t>
      </w:r>
      <w:r w:rsidR="001F36BA" w:rsidRPr="001F36BA">
        <w:rPr>
          <w:rFonts w:eastAsiaTheme="majorEastAsia"/>
          <w:lang w:val="fr-BE"/>
        </w:rPr>
        <w:t xml:space="preserve">, </w:t>
      </w:r>
      <w:r w:rsidRPr="001F36BA">
        <w:rPr>
          <w:rFonts w:eastAsiaTheme="majorEastAsia"/>
          <w:i/>
          <w:lang w:val="fr-BE"/>
        </w:rPr>
        <w:t>plan par plan</w:t>
      </w:r>
      <w:r w:rsidR="001F36BA" w:rsidRPr="001F36BA">
        <w:rPr>
          <w:rFonts w:eastAsiaTheme="majorEastAsia"/>
          <w:lang w:val="fr-BE"/>
        </w:rPr>
        <w:t xml:space="preserve">, </w:t>
      </w:r>
      <w:r w:rsidRPr="001F36BA">
        <w:rPr>
          <w:rFonts w:eastAsiaTheme="majorEastAsia"/>
          <w:i/>
          <w:lang w:val="fr-BE"/>
        </w:rPr>
        <w:t>point par point</w:t>
      </w:r>
      <w:r w:rsidR="001F36BA" w:rsidRPr="001F36BA">
        <w:rPr>
          <w:rFonts w:eastAsiaTheme="majorEastAsia"/>
          <w:lang w:val="fr-BE"/>
        </w:rPr>
        <w:t xml:space="preserve">, </w:t>
      </w:r>
      <w:r w:rsidRPr="001F36BA">
        <w:rPr>
          <w:rFonts w:eastAsiaTheme="majorEastAsia"/>
          <w:i/>
          <w:lang w:val="fr-BE"/>
        </w:rPr>
        <w:t>semaine par semaine</w:t>
      </w:r>
      <w:r w:rsidR="001F36BA" w:rsidRPr="001F36BA">
        <w:rPr>
          <w:rFonts w:eastAsiaTheme="majorEastAsia"/>
          <w:lang w:val="fr-BE"/>
        </w:rPr>
        <w:t xml:space="preserve">, </w:t>
      </w:r>
      <w:r w:rsidRPr="001F36BA">
        <w:rPr>
          <w:rFonts w:eastAsiaTheme="majorEastAsia"/>
          <w:i/>
          <w:lang w:val="fr-BE"/>
        </w:rPr>
        <w:t>touche par touche</w:t>
      </w:r>
      <w:r>
        <w:rPr>
          <w:rFonts w:eastAsiaTheme="majorEastAsia"/>
          <w:lang w:val="fr-BE"/>
        </w:rPr>
        <w:t xml:space="preserve"> (</w:t>
      </w:r>
      <w:r w:rsidRPr="001F36BA">
        <w:rPr>
          <w:rFonts w:eastAsiaTheme="majorEastAsia"/>
          <w:i/>
          <w:lang w:val="fr-BE"/>
        </w:rPr>
        <w:t>Libération</w:t>
      </w:r>
      <w:r>
        <w:rPr>
          <w:rFonts w:eastAsiaTheme="majorEastAsia"/>
          <w:lang w:val="fr-BE"/>
        </w:rPr>
        <w:t xml:space="preserve">), </w:t>
      </w:r>
      <w:r w:rsidRPr="001F36BA">
        <w:rPr>
          <w:rFonts w:eastAsiaTheme="majorEastAsia"/>
          <w:i/>
          <w:lang w:val="fr-BE"/>
        </w:rPr>
        <w:t>cas par cas</w:t>
      </w:r>
      <w:r w:rsidR="001F36BA" w:rsidRPr="001F36BA">
        <w:rPr>
          <w:rFonts w:eastAsiaTheme="majorEastAsia"/>
          <w:lang w:val="fr-BE"/>
        </w:rPr>
        <w:t xml:space="preserve">, </w:t>
      </w:r>
      <w:r w:rsidRPr="001F36BA">
        <w:rPr>
          <w:rFonts w:eastAsiaTheme="majorEastAsia"/>
          <w:i/>
          <w:lang w:val="fr-BE"/>
        </w:rPr>
        <w:t>entreprise par entreprise</w:t>
      </w:r>
      <w:r w:rsidR="001F36BA" w:rsidRPr="001F36BA">
        <w:rPr>
          <w:rFonts w:eastAsiaTheme="majorEastAsia"/>
          <w:lang w:val="fr-BE"/>
        </w:rPr>
        <w:t xml:space="preserve">, </w:t>
      </w:r>
      <w:r w:rsidRPr="001F36BA">
        <w:rPr>
          <w:rFonts w:eastAsiaTheme="majorEastAsia"/>
          <w:i/>
          <w:lang w:val="fr-BE"/>
        </w:rPr>
        <w:t>point par point</w:t>
      </w:r>
      <w:r w:rsidR="001F36BA" w:rsidRPr="001F36BA">
        <w:rPr>
          <w:rFonts w:eastAsiaTheme="majorEastAsia"/>
          <w:lang w:val="fr-BE"/>
        </w:rPr>
        <w:t xml:space="preserve">, </w:t>
      </w:r>
      <w:r w:rsidRPr="001F36BA">
        <w:rPr>
          <w:rFonts w:eastAsiaTheme="majorEastAsia"/>
          <w:i/>
          <w:lang w:val="fr-BE"/>
        </w:rPr>
        <w:t>brique par brique</w:t>
      </w:r>
      <w:r w:rsidR="001F36BA" w:rsidRPr="001F36BA">
        <w:rPr>
          <w:rFonts w:eastAsiaTheme="majorEastAsia"/>
          <w:lang w:val="fr-BE"/>
        </w:rPr>
        <w:t xml:space="preserve">, </w:t>
      </w:r>
      <w:r w:rsidRPr="001F36BA">
        <w:rPr>
          <w:rFonts w:eastAsiaTheme="majorEastAsia"/>
          <w:i/>
          <w:lang w:val="fr-BE"/>
        </w:rPr>
        <w:t>coup par coup</w:t>
      </w:r>
      <w:r w:rsidR="001F36BA" w:rsidRPr="001F36BA">
        <w:rPr>
          <w:rFonts w:eastAsiaTheme="majorEastAsia"/>
          <w:lang w:val="fr-BE"/>
        </w:rPr>
        <w:t xml:space="preserve">, </w:t>
      </w:r>
      <w:r w:rsidRPr="001F36BA">
        <w:rPr>
          <w:rFonts w:eastAsiaTheme="majorEastAsia"/>
          <w:i/>
          <w:lang w:val="fr-BE"/>
        </w:rPr>
        <w:t>heure par heure</w:t>
      </w:r>
      <w:r w:rsidR="001F36BA" w:rsidRPr="001F36BA">
        <w:rPr>
          <w:rFonts w:eastAsiaTheme="majorEastAsia"/>
          <w:lang w:val="fr-BE"/>
        </w:rPr>
        <w:t xml:space="preserve">, </w:t>
      </w:r>
      <w:r w:rsidRPr="001F36BA">
        <w:rPr>
          <w:rFonts w:eastAsiaTheme="majorEastAsia"/>
          <w:i/>
          <w:lang w:val="fr-BE"/>
        </w:rPr>
        <w:t>phrase par phrase</w:t>
      </w:r>
      <w:r w:rsidR="001F36BA" w:rsidRPr="001F36BA">
        <w:rPr>
          <w:rFonts w:eastAsiaTheme="majorEastAsia"/>
          <w:lang w:val="fr-BE"/>
        </w:rPr>
        <w:t xml:space="preserve">, </w:t>
      </w:r>
      <w:r w:rsidRPr="001F36BA">
        <w:rPr>
          <w:rFonts w:eastAsiaTheme="majorEastAsia"/>
          <w:i/>
          <w:lang w:val="fr-BE"/>
        </w:rPr>
        <w:t>secteur par secteur</w:t>
      </w:r>
      <w:r>
        <w:rPr>
          <w:rFonts w:eastAsiaTheme="majorEastAsia"/>
          <w:lang w:val="fr-BE"/>
        </w:rPr>
        <w:t xml:space="preserve"> (</w:t>
      </w:r>
      <w:r w:rsidRPr="001F36BA">
        <w:rPr>
          <w:rFonts w:eastAsiaTheme="majorEastAsia"/>
          <w:i/>
          <w:lang w:val="fr-BE"/>
        </w:rPr>
        <w:t>Le Monde</w:t>
      </w:r>
      <w:r>
        <w:rPr>
          <w:rFonts w:eastAsiaTheme="majorEastAsia"/>
          <w:lang w:val="fr-BE"/>
        </w:rPr>
        <w:t>)</w:t>
      </w:r>
      <w:r w:rsidR="001F36BA" w:rsidRPr="001F36BA">
        <w:rPr>
          <w:rFonts w:eastAsiaTheme="majorEastAsia"/>
          <w:lang w:val="fr-BE"/>
        </w:rPr>
        <w:t xml:space="preserve">, </w:t>
      </w:r>
      <w:r w:rsidRPr="001F36BA">
        <w:rPr>
          <w:rFonts w:eastAsiaTheme="majorEastAsia"/>
          <w:i/>
          <w:lang w:val="fr-BE"/>
        </w:rPr>
        <w:t>cas par cas</w:t>
      </w:r>
      <w:r w:rsidR="001F36BA" w:rsidRPr="001F36BA">
        <w:rPr>
          <w:rFonts w:eastAsiaTheme="majorEastAsia"/>
          <w:lang w:val="fr-BE"/>
        </w:rPr>
        <w:t xml:space="preserve">, </w:t>
      </w:r>
      <w:r w:rsidRPr="001F36BA">
        <w:rPr>
          <w:rFonts w:eastAsiaTheme="majorEastAsia"/>
          <w:i/>
          <w:lang w:val="fr-BE"/>
        </w:rPr>
        <w:t>coup par coup</w:t>
      </w:r>
      <w:r w:rsidR="001F36BA" w:rsidRPr="001F36BA">
        <w:rPr>
          <w:rFonts w:eastAsiaTheme="majorEastAsia"/>
          <w:lang w:val="fr-BE"/>
        </w:rPr>
        <w:t xml:space="preserve">, </w:t>
      </w:r>
      <w:r w:rsidRPr="001F36BA">
        <w:rPr>
          <w:rFonts w:eastAsiaTheme="majorEastAsia"/>
          <w:i/>
          <w:lang w:val="fr-BE"/>
        </w:rPr>
        <w:t>heure par heure</w:t>
      </w:r>
      <w:r w:rsidR="001F36BA" w:rsidRPr="001F36BA">
        <w:rPr>
          <w:rFonts w:eastAsiaTheme="majorEastAsia"/>
          <w:lang w:val="fr-BE"/>
        </w:rPr>
        <w:t xml:space="preserve">, </w:t>
      </w:r>
      <w:r w:rsidRPr="001F36BA">
        <w:rPr>
          <w:rFonts w:eastAsiaTheme="majorEastAsia"/>
          <w:i/>
          <w:lang w:val="fr-BE"/>
        </w:rPr>
        <w:t>pied par pied</w:t>
      </w:r>
      <w:r w:rsidR="001F36BA" w:rsidRPr="001F36BA">
        <w:rPr>
          <w:rFonts w:eastAsiaTheme="majorEastAsia"/>
          <w:lang w:val="fr-BE"/>
        </w:rPr>
        <w:t xml:space="preserve">, </w:t>
      </w:r>
      <w:r w:rsidRPr="001F36BA">
        <w:rPr>
          <w:rFonts w:eastAsiaTheme="majorEastAsia"/>
          <w:i/>
          <w:lang w:val="fr-BE"/>
        </w:rPr>
        <w:t>pierre par pierre</w:t>
      </w:r>
      <w:r w:rsidR="001F36BA" w:rsidRPr="001F36BA">
        <w:rPr>
          <w:rFonts w:eastAsiaTheme="majorEastAsia"/>
          <w:lang w:val="fr-BE"/>
        </w:rPr>
        <w:t xml:space="preserve">, </w:t>
      </w:r>
      <w:r w:rsidRPr="001F36BA">
        <w:rPr>
          <w:rFonts w:eastAsiaTheme="majorEastAsia"/>
          <w:i/>
          <w:lang w:val="fr-BE"/>
        </w:rPr>
        <w:t>poste par poste</w:t>
      </w:r>
      <w:r w:rsidR="001F36BA" w:rsidRPr="001F36BA">
        <w:rPr>
          <w:rFonts w:eastAsiaTheme="majorEastAsia"/>
          <w:lang w:val="fr-BE"/>
        </w:rPr>
        <w:t xml:space="preserve">, </w:t>
      </w:r>
      <w:r w:rsidRPr="001F36BA">
        <w:rPr>
          <w:rFonts w:eastAsiaTheme="majorEastAsia"/>
          <w:i/>
          <w:lang w:val="fr-BE"/>
        </w:rPr>
        <w:t>région par région</w:t>
      </w:r>
      <w:r>
        <w:rPr>
          <w:rFonts w:eastAsiaTheme="majorEastAsia"/>
          <w:lang w:val="fr-BE"/>
        </w:rPr>
        <w:t xml:space="preserve"> (</w:t>
      </w:r>
      <w:r w:rsidRPr="001F36BA">
        <w:rPr>
          <w:rFonts w:eastAsiaTheme="majorEastAsia"/>
          <w:i/>
          <w:lang w:val="fr-BE"/>
        </w:rPr>
        <w:t>Sud-Ouest</w:t>
      </w:r>
      <w:r>
        <w:rPr>
          <w:rFonts w:eastAsiaTheme="majorEastAsia"/>
          <w:lang w:val="fr-BE"/>
        </w:rPr>
        <w:t>)</w:t>
      </w:r>
      <w:r w:rsidR="001F36BA" w:rsidRPr="001F36BA">
        <w:rPr>
          <w:rFonts w:eastAsiaTheme="majorEastAsia"/>
          <w:lang w:val="fr-BE"/>
        </w:rPr>
        <w:t xml:space="preserve">, </w:t>
      </w:r>
      <w:r w:rsidRPr="001F36BA">
        <w:rPr>
          <w:rFonts w:eastAsiaTheme="majorEastAsia"/>
          <w:i/>
          <w:lang w:val="fr-BE"/>
        </w:rPr>
        <w:t>coup par coup</w:t>
      </w:r>
      <w:r w:rsidR="001F36BA" w:rsidRPr="001F36BA">
        <w:rPr>
          <w:rFonts w:eastAsiaTheme="majorEastAsia"/>
          <w:lang w:val="fr-BE"/>
        </w:rPr>
        <w:t xml:space="preserve">, </w:t>
      </w:r>
      <w:r w:rsidRPr="001F36BA">
        <w:rPr>
          <w:rFonts w:eastAsiaTheme="majorEastAsia"/>
          <w:i/>
          <w:lang w:val="fr-BE"/>
        </w:rPr>
        <w:t>entreprise par entreprise</w:t>
      </w:r>
      <w:r w:rsidR="001F36BA" w:rsidRPr="001F36BA">
        <w:rPr>
          <w:rFonts w:eastAsiaTheme="majorEastAsia"/>
          <w:lang w:val="fr-BE"/>
        </w:rPr>
        <w:t xml:space="preserve">, </w:t>
      </w:r>
      <w:r w:rsidRPr="001F36BA">
        <w:rPr>
          <w:rFonts w:eastAsiaTheme="majorEastAsia"/>
          <w:i/>
          <w:lang w:val="fr-BE"/>
        </w:rPr>
        <w:t>point par point</w:t>
      </w:r>
      <w:r w:rsidR="001F36BA" w:rsidRPr="001F36BA">
        <w:rPr>
          <w:rFonts w:eastAsiaTheme="majorEastAsia"/>
          <w:lang w:val="fr-BE"/>
        </w:rPr>
        <w:t xml:space="preserve">, </w:t>
      </w:r>
      <w:r w:rsidRPr="001F36BA">
        <w:rPr>
          <w:rFonts w:eastAsiaTheme="majorEastAsia"/>
          <w:i/>
          <w:lang w:val="fr-BE"/>
        </w:rPr>
        <w:t>sujet par sujet</w:t>
      </w:r>
      <w:r w:rsidR="001F36BA" w:rsidRPr="001F36BA">
        <w:rPr>
          <w:rFonts w:eastAsiaTheme="majorEastAsia"/>
          <w:lang w:val="fr-BE"/>
        </w:rPr>
        <w:t xml:space="preserve">, </w:t>
      </w:r>
      <w:r w:rsidRPr="001F36BA">
        <w:rPr>
          <w:rFonts w:eastAsiaTheme="majorEastAsia"/>
          <w:i/>
          <w:lang w:val="fr-BE"/>
        </w:rPr>
        <w:t>bateau par bateau</w:t>
      </w:r>
      <w:r w:rsidR="001F36BA" w:rsidRPr="001F36BA">
        <w:rPr>
          <w:rFonts w:eastAsiaTheme="majorEastAsia"/>
          <w:lang w:val="fr-BE"/>
        </w:rPr>
        <w:t xml:space="preserve">, </w:t>
      </w:r>
      <w:r w:rsidRPr="001F36BA">
        <w:rPr>
          <w:rFonts w:eastAsiaTheme="majorEastAsia"/>
          <w:i/>
          <w:lang w:val="fr-BE"/>
        </w:rPr>
        <w:t>brique par brique</w:t>
      </w:r>
      <w:r w:rsidR="001F36BA" w:rsidRPr="001F36BA">
        <w:rPr>
          <w:rFonts w:eastAsiaTheme="majorEastAsia"/>
          <w:lang w:val="fr-BE"/>
        </w:rPr>
        <w:t xml:space="preserve">, </w:t>
      </w:r>
      <w:r w:rsidRPr="001F36BA">
        <w:rPr>
          <w:rFonts w:eastAsiaTheme="majorEastAsia"/>
          <w:i/>
          <w:lang w:val="fr-BE"/>
        </w:rPr>
        <w:t>élève par élève</w:t>
      </w:r>
      <w:r w:rsidR="001F36BA" w:rsidRPr="001F36BA">
        <w:rPr>
          <w:rFonts w:eastAsiaTheme="majorEastAsia"/>
          <w:lang w:val="fr-BE"/>
        </w:rPr>
        <w:t xml:space="preserve">, </w:t>
      </w:r>
      <w:r w:rsidRPr="001F36BA">
        <w:rPr>
          <w:rFonts w:eastAsiaTheme="majorEastAsia"/>
          <w:i/>
          <w:lang w:val="fr-BE"/>
        </w:rPr>
        <w:t>heure par heure</w:t>
      </w:r>
      <w:r w:rsidR="001F36BA" w:rsidRPr="001F36BA">
        <w:rPr>
          <w:rFonts w:eastAsiaTheme="majorEastAsia"/>
          <w:lang w:val="fr-BE"/>
        </w:rPr>
        <w:t xml:space="preserve">, </w:t>
      </w:r>
      <w:r w:rsidRPr="001F36BA">
        <w:rPr>
          <w:rFonts w:eastAsiaTheme="majorEastAsia"/>
          <w:i/>
          <w:lang w:val="fr-BE"/>
        </w:rPr>
        <w:t>légu</w:t>
      </w:r>
      <w:r w:rsidR="00BB5847" w:rsidRPr="001F36BA">
        <w:rPr>
          <w:rFonts w:eastAsiaTheme="majorEastAsia"/>
          <w:i/>
          <w:lang w:val="fr-BE"/>
        </w:rPr>
        <w:t>me par légume</w:t>
      </w:r>
      <w:r w:rsidR="001F36BA" w:rsidRPr="001F36BA">
        <w:rPr>
          <w:rFonts w:eastAsiaTheme="majorEastAsia"/>
          <w:lang w:val="fr-BE"/>
        </w:rPr>
        <w:t xml:space="preserve">, </w:t>
      </w:r>
      <w:r w:rsidR="00BB5847" w:rsidRPr="001F36BA">
        <w:rPr>
          <w:rFonts w:eastAsiaTheme="majorEastAsia"/>
          <w:i/>
          <w:lang w:val="fr-BE"/>
        </w:rPr>
        <w:t>minute par minut</w:t>
      </w:r>
      <w:r w:rsidRPr="001F36BA">
        <w:rPr>
          <w:rFonts w:eastAsiaTheme="majorEastAsia"/>
          <w:i/>
          <w:lang w:val="fr-BE"/>
        </w:rPr>
        <w:t>e</w:t>
      </w:r>
      <w:r w:rsidR="001F36BA" w:rsidRPr="001F36BA">
        <w:rPr>
          <w:rFonts w:eastAsiaTheme="majorEastAsia"/>
          <w:lang w:val="fr-BE"/>
        </w:rPr>
        <w:t xml:space="preserve">, </w:t>
      </w:r>
      <w:r w:rsidRPr="001F36BA">
        <w:rPr>
          <w:rFonts w:eastAsiaTheme="majorEastAsia"/>
          <w:i/>
          <w:lang w:val="fr-BE"/>
        </w:rPr>
        <w:t>phrase par phrase</w:t>
      </w:r>
      <w:r w:rsidR="001F36BA" w:rsidRPr="001F36BA">
        <w:rPr>
          <w:rFonts w:eastAsiaTheme="majorEastAsia"/>
          <w:lang w:val="fr-BE"/>
        </w:rPr>
        <w:t xml:space="preserve">, </w:t>
      </w:r>
      <w:r w:rsidRPr="001F36BA">
        <w:rPr>
          <w:rFonts w:eastAsiaTheme="majorEastAsia"/>
          <w:i/>
          <w:lang w:val="fr-BE"/>
        </w:rPr>
        <w:t>port par port</w:t>
      </w:r>
      <w:r w:rsidR="001F36BA" w:rsidRPr="001F36BA">
        <w:rPr>
          <w:rFonts w:eastAsiaTheme="majorEastAsia"/>
          <w:lang w:val="fr-BE"/>
        </w:rPr>
        <w:t xml:space="preserve">, </w:t>
      </w:r>
      <w:r w:rsidRPr="001F36BA">
        <w:rPr>
          <w:rFonts w:eastAsiaTheme="majorEastAsia"/>
          <w:i/>
          <w:lang w:val="fr-BE"/>
        </w:rPr>
        <w:t>secteur par secteur</w:t>
      </w:r>
      <w:r>
        <w:rPr>
          <w:rFonts w:eastAsiaTheme="majorEastAsia"/>
          <w:lang w:val="fr-BE"/>
        </w:rPr>
        <w:t xml:space="preserve"> (</w:t>
      </w:r>
      <w:r w:rsidRPr="001F36BA">
        <w:rPr>
          <w:rFonts w:eastAsiaTheme="majorEastAsia"/>
          <w:i/>
          <w:lang w:val="fr-BE"/>
        </w:rPr>
        <w:t>Ouest-France</w:t>
      </w:r>
      <w:r>
        <w:rPr>
          <w:rFonts w:eastAsiaTheme="majorEastAsia"/>
          <w:lang w:val="fr-BE"/>
        </w:rPr>
        <w:t xml:space="preserve">). </w:t>
      </w:r>
    </w:p>
    <w:p w:rsidR="00BB5847" w:rsidRDefault="00BB5847" w:rsidP="00ED748C">
      <w:pPr>
        <w:spacing w:after="120"/>
        <w:jc w:val="both"/>
        <w:rPr>
          <w:rFonts w:eastAsiaTheme="majorEastAsia"/>
          <w:lang w:val="fr-BE"/>
        </w:rPr>
      </w:pPr>
      <w:r>
        <w:rPr>
          <w:rFonts w:eastAsiaTheme="majorEastAsia"/>
          <w:lang w:val="fr-BE"/>
        </w:rPr>
        <w:t xml:space="preserve">La préposition « sur » : </w:t>
      </w:r>
      <w:r w:rsidRPr="001F36BA">
        <w:rPr>
          <w:rFonts w:eastAsiaTheme="majorEastAsia"/>
          <w:i/>
          <w:lang w:val="fr-BE"/>
        </w:rPr>
        <w:t>coup</w:t>
      </w:r>
      <w:r w:rsidR="00873E98">
        <w:rPr>
          <w:rFonts w:eastAsiaTheme="majorEastAsia"/>
          <w:i/>
          <w:lang w:val="fr-BE"/>
        </w:rPr>
        <w:t xml:space="preserve"> sur coup</w:t>
      </w:r>
      <w:r w:rsidR="001F36BA" w:rsidRPr="001F36BA">
        <w:rPr>
          <w:rFonts w:eastAsiaTheme="majorEastAsia"/>
          <w:lang w:val="fr-BE"/>
        </w:rPr>
        <w:t xml:space="preserve">, </w:t>
      </w:r>
      <w:r w:rsidRPr="00873E98">
        <w:rPr>
          <w:rFonts w:eastAsiaTheme="majorEastAsia"/>
          <w:i/>
          <w:lang w:val="fr-BE"/>
        </w:rPr>
        <w:t>film</w:t>
      </w:r>
      <w:r w:rsidR="00873E98" w:rsidRPr="00873E98">
        <w:rPr>
          <w:rFonts w:eastAsiaTheme="majorEastAsia"/>
          <w:i/>
          <w:lang w:val="fr-BE"/>
        </w:rPr>
        <w:t xml:space="preserve"> sur film</w:t>
      </w:r>
      <w:r w:rsidR="00873E98">
        <w:rPr>
          <w:rFonts w:eastAsiaTheme="majorEastAsia"/>
          <w:lang w:val="fr-BE"/>
        </w:rPr>
        <w:t>,</w:t>
      </w:r>
      <w:r w:rsidR="001F36BA" w:rsidRPr="001F36BA">
        <w:rPr>
          <w:rFonts w:eastAsiaTheme="majorEastAsia"/>
          <w:lang w:val="fr-BE"/>
        </w:rPr>
        <w:t xml:space="preserve"> </w:t>
      </w:r>
      <w:r w:rsidRPr="001F36BA">
        <w:rPr>
          <w:rFonts w:eastAsiaTheme="majorEastAsia"/>
          <w:i/>
          <w:lang w:val="fr-BE"/>
        </w:rPr>
        <w:t>podium</w:t>
      </w:r>
      <w:r w:rsidR="00873E98">
        <w:rPr>
          <w:rFonts w:eastAsiaTheme="majorEastAsia"/>
          <w:i/>
          <w:lang w:val="fr-BE"/>
        </w:rPr>
        <w:t xml:space="preserve"> sur podium</w:t>
      </w:r>
      <w:r>
        <w:rPr>
          <w:rFonts w:eastAsiaTheme="majorEastAsia"/>
          <w:lang w:val="fr-BE"/>
        </w:rPr>
        <w:t xml:space="preserve"> (</w:t>
      </w:r>
      <w:r w:rsidRPr="001F36BA">
        <w:rPr>
          <w:rFonts w:eastAsiaTheme="majorEastAsia"/>
          <w:i/>
          <w:lang w:val="fr-BE"/>
        </w:rPr>
        <w:t>L</w:t>
      </w:r>
      <w:r w:rsidR="00B9706C" w:rsidRPr="001F36BA">
        <w:rPr>
          <w:rFonts w:eastAsiaTheme="majorEastAsia"/>
          <w:i/>
          <w:lang w:val="fr-BE"/>
        </w:rPr>
        <w:t>’</w:t>
      </w:r>
      <w:r w:rsidRPr="001F36BA">
        <w:rPr>
          <w:rFonts w:eastAsiaTheme="majorEastAsia"/>
          <w:i/>
          <w:lang w:val="fr-BE"/>
        </w:rPr>
        <w:t>Est Républicain</w:t>
      </w:r>
      <w:r>
        <w:rPr>
          <w:rFonts w:eastAsiaTheme="majorEastAsia"/>
          <w:lang w:val="fr-BE"/>
        </w:rPr>
        <w:t>)</w:t>
      </w:r>
      <w:r w:rsidR="001F36BA" w:rsidRPr="001F36BA">
        <w:rPr>
          <w:rFonts w:eastAsiaTheme="majorEastAsia"/>
          <w:lang w:val="fr-BE"/>
        </w:rPr>
        <w:t xml:space="preserve">, </w:t>
      </w:r>
      <w:r w:rsidRPr="007E1660">
        <w:rPr>
          <w:rFonts w:eastAsiaTheme="majorEastAsia"/>
          <w:i/>
          <w:lang w:val="fr-BE"/>
        </w:rPr>
        <w:t>coup</w:t>
      </w:r>
      <w:r w:rsidR="00873E98" w:rsidRPr="007E1660">
        <w:rPr>
          <w:rFonts w:eastAsiaTheme="majorEastAsia"/>
          <w:i/>
          <w:lang w:val="fr-BE"/>
        </w:rPr>
        <w:t xml:space="preserve"> sur coup</w:t>
      </w:r>
      <w:r w:rsidR="001F36BA" w:rsidRPr="007E1660">
        <w:rPr>
          <w:rFonts w:eastAsiaTheme="majorEastAsia"/>
          <w:lang w:val="fr-BE"/>
        </w:rPr>
        <w:t xml:space="preserve">, </w:t>
      </w:r>
      <w:r w:rsidRPr="007E1660">
        <w:rPr>
          <w:rFonts w:eastAsiaTheme="majorEastAsia"/>
          <w:i/>
          <w:lang w:val="fr-BE"/>
        </w:rPr>
        <w:t>cigarette</w:t>
      </w:r>
      <w:r w:rsidR="00873E98" w:rsidRPr="007E1660">
        <w:rPr>
          <w:rFonts w:eastAsiaTheme="majorEastAsia"/>
          <w:i/>
          <w:lang w:val="fr-BE"/>
        </w:rPr>
        <w:t xml:space="preserve"> sur cigarette</w:t>
      </w:r>
      <w:r w:rsidR="001F36BA" w:rsidRPr="007E1660">
        <w:rPr>
          <w:rFonts w:eastAsiaTheme="majorEastAsia"/>
          <w:lang w:val="fr-BE"/>
        </w:rPr>
        <w:t xml:space="preserve">, </w:t>
      </w:r>
      <w:r w:rsidRPr="007E1660">
        <w:rPr>
          <w:rFonts w:eastAsiaTheme="majorEastAsia"/>
          <w:i/>
          <w:lang w:val="fr-BE"/>
        </w:rPr>
        <w:t>rôle</w:t>
      </w:r>
      <w:r w:rsidRPr="007E1660">
        <w:rPr>
          <w:rFonts w:eastAsiaTheme="majorEastAsia"/>
          <w:lang w:val="fr-BE"/>
        </w:rPr>
        <w:t xml:space="preserve"> </w:t>
      </w:r>
      <w:r w:rsidR="00873E98" w:rsidRPr="007E1660">
        <w:rPr>
          <w:rFonts w:eastAsiaTheme="majorEastAsia"/>
          <w:i/>
          <w:lang w:val="fr-BE"/>
        </w:rPr>
        <w:t>sur rôle</w:t>
      </w:r>
      <w:r w:rsidR="00873E98" w:rsidRPr="007E1660">
        <w:rPr>
          <w:rFonts w:eastAsiaTheme="majorEastAsia"/>
          <w:lang w:val="fr-BE"/>
        </w:rPr>
        <w:t xml:space="preserve"> </w:t>
      </w:r>
      <w:r w:rsidRPr="007E1660">
        <w:rPr>
          <w:rFonts w:eastAsiaTheme="majorEastAsia"/>
          <w:lang w:val="fr-BE"/>
        </w:rPr>
        <w:t>(</w:t>
      </w:r>
      <w:r w:rsidRPr="007E1660">
        <w:rPr>
          <w:rFonts w:eastAsiaTheme="majorEastAsia"/>
          <w:i/>
          <w:lang w:val="fr-BE"/>
        </w:rPr>
        <w:t>Le Figaro</w:t>
      </w:r>
      <w:r w:rsidRPr="007E1660">
        <w:rPr>
          <w:rFonts w:eastAsiaTheme="majorEastAsia"/>
          <w:lang w:val="fr-BE"/>
        </w:rPr>
        <w:t>)</w:t>
      </w:r>
      <w:r w:rsidR="001F36BA" w:rsidRPr="007E1660">
        <w:rPr>
          <w:rFonts w:eastAsiaTheme="majorEastAsia"/>
          <w:lang w:val="fr-BE"/>
        </w:rPr>
        <w:t xml:space="preserve">, </w:t>
      </w:r>
      <w:r w:rsidRPr="007E1660">
        <w:rPr>
          <w:rFonts w:eastAsiaTheme="majorEastAsia"/>
          <w:i/>
          <w:lang w:val="fr-BE"/>
        </w:rPr>
        <w:t>coup</w:t>
      </w:r>
      <w:r w:rsidR="00873E98" w:rsidRPr="007E1660">
        <w:rPr>
          <w:rFonts w:eastAsiaTheme="majorEastAsia"/>
          <w:i/>
          <w:lang w:val="fr-BE"/>
        </w:rPr>
        <w:t xml:space="preserve"> sur coup</w:t>
      </w:r>
      <w:r w:rsidR="001F36BA" w:rsidRPr="007E1660">
        <w:rPr>
          <w:rFonts w:eastAsiaTheme="majorEastAsia"/>
          <w:lang w:val="fr-BE"/>
        </w:rPr>
        <w:t xml:space="preserve">, </w:t>
      </w:r>
      <w:proofErr w:type="spellStart"/>
      <w:r w:rsidRPr="007E1660">
        <w:rPr>
          <w:rFonts w:eastAsiaTheme="majorEastAsia"/>
          <w:i/>
          <w:lang w:val="fr-BE"/>
        </w:rPr>
        <w:t>nicorette</w:t>
      </w:r>
      <w:proofErr w:type="spellEnd"/>
      <w:r w:rsidR="00873E98" w:rsidRPr="007E1660">
        <w:rPr>
          <w:rFonts w:eastAsiaTheme="majorEastAsia"/>
          <w:i/>
          <w:lang w:val="fr-BE"/>
        </w:rPr>
        <w:t xml:space="preserve"> sur </w:t>
      </w:r>
      <w:proofErr w:type="spellStart"/>
      <w:r w:rsidR="00873E98" w:rsidRPr="007E1660">
        <w:rPr>
          <w:rFonts w:eastAsiaTheme="majorEastAsia"/>
          <w:i/>
          <w:lang w:val="fr-BE"/>
        </w:rPr>
        <w:t>nicorette</w:t>
      </w:r>
      <w:proofErr w:type="spellEnd"/>
      <w:r w:rsidR="001F36BA" w:rsidRPr="007E1660">
        <w:rPr>
          <w:rFonts w:eastAsiaTheme="majorEastAsia"/>
          <w:lang w:val="fr-BE"/>
        </w:rPr>
        <w:t xml:space="preserve">, </w:t>
      </w:r>
      <w:r w:rsidRPr="007E1660">
        <w:rPr>
          <w:rFonts w:eastAsiaTheme="majorEastAsia"/>
          <w:i/>
          <w:lang w:val="fr-BE"/>
        </w:rPr>
        <w:t>but</w:t>
      </w:r>
      <w:r w:rsidR="00873E98" w:rsidRPr="007E1660">
        <w:rPr>
          <w:rFonts w:eastAsiaTheme="majorEastAsia"/>
          <w:i/>
          <w:lang w:val="fr-BE"/>
        </w:rPr>
        <w:t xml:space="preserve"> sur but</w:t>
      </w:r>
      <w:r w:rsidR="001F36BA" w:rsidRPr="007E1660">
        <w:rPr>
          <w:rFonts w:eastAsiaTheme="majorEastAsia"/>
          <w:lang w:val="fr-BE"/>
        </w:rPr>
        <w:t xml:space="preserve">, </w:t>
      </w:r>
      <w:r w:rsidRPr="007E1660">
        <w:rPr>
          <w:rFonts w:eastAsiaTheme="majorEastAsia"/>
          <w:i/>
          <w:lang w:val="fr-BE"/>
        </w:rPr>
        <w:t>cigarette</w:t>
      </w:r>
      <w:r w:rsidR="00873E98" w:rsidRPr="007E1660">
        <w:rPr>
          <w:rFonts w:eastAsiaTheme="majorEastAsia"/>
          <w:i/>
          <w:lang w:val="fr-BE"/>
        </w:rPr>
        <w:t xml:space="preserve"> sur cigarette</w:t>
      </w:r>
      <w:r w:rsidR="001F36BA" w:rsidRPr="007E1660">
        <w:rPr>
          <w:rFonts w:eastAsiaTheme="majorEastAsia"/>
          <w:lang w:val="fr-BE"/>
        </w:rPr>
        <w:t xml:space="preserve">, </w:t>
      </w:r>
      <w:r w:rsidRPr="007E1660">
        <w:rPr>
          <w:rFonts w:eastAsiaTheme="majorEastAsia"/>
          <w:i/>
          <w:lang w:val="fr-BE"/>
        </w:rPr>
        <w:t>pièce</w:t>
      </w:r>
      <w:r w:rsidR="00873E98" w:rsidRPr="007E1660">
        <w:rPr>
          <w:rFonts w:eastAsiaTheme="majorEastAsia"/>
          <w:i/>
          <w:lang w:val="fr-BE"/>
        </w:rPr>
        <w:t xml:space="preserve"> sur pièce</w:t>
      </w:r>
      <w:r w:rsidR="001F36BA" w:rsidRPr="007E1660">
        <w:rPr>
          <w:rFonts w:eastAsiaTheme="majorEastAsia"/>
          <w:lang w:val="fr-BE"/>
        </w:rPr>
        <w:t xml:space="preserve">, </w:t>
      </w:r>
      <w:r w:rsidRPr="007E1660">
        <w:rPr>
          <w:rFonts w:eastAsiaTheme="majorEastAsia"/>
          <w:i/>
          <w:lang w:val="fr-BE"/>
        </w:rPr>
        <w:t>ton</w:t>
      </w:r>
      <w:r w:rsidR="00873E98" w:rsidRPr="007E1660">
        <w:rPr>
          <w:rFonts w:eastAsiaTheme="majorEastAsia"/>
          <w:i/>
          <w:lang w:val="fr-BE"/>
        </w:rPr>
        <w:t xml:space="preserve"> sur ton</w:t>
      </w:r>
      <w:r w:rsidRPr="007E1660">
        <w:rPr>
          <w:rFonts w:eastAsiaTheme="majorEastAsia"/>
          <w:lang w:val="fr-BE"/>
        </w:rPr>
        <w:t xml:space="preserve"> (</w:t>
      </w:r>
      <w:r w:rsidRPr="007E1660">
        <w:rPr>
          <w:rFonts w:eastAsiaTheme="majorEastAsia"/>
          <w:i/>
          <w:lang w:val="fr-BE"/>
        </w:rPr>
        <w:t>Libération</w:t>
      </w:r>
      <w:r w:rsidRPr="007E1660">
        <w:rPr>
          <w:rFonts w:eastAsiaTheme="majorEastAsia"/>
          <w:lang w:val="fr-BE"/>
        </w:rPr>
        <w:t>)</w:t>
      </w:r>
      <w:r w:rsidR="001F36BA" w:rsidRPr="007E1660">
        <w:rPr>
          <w:rFonts w:eastAsiaTheme="majorEastAsia"/>
          <w:lang w:val="fr-BE"/>
        </w:rPr>
        <w:t xml:space="preserve">, </w:t>
      </w:r>
      <w:r w:rsidRPr="007E1660">
        <w:rPr>
          <w:rFonts w:eastAsiaTheme="majorEastAsia"/>
          <w:i/>
          <w:lang w:val="fr-BE"/>
        </w:rPr>
        <w:t>coup</w:t>
      </w:r>
      <w:r w:rsidR="00873E98" w:rsidRPr="007E1660">
        <w:rPr>
          <w:rFonts w:eastAsiaTheme="majorEastAsia"/>
          <w:i/>
          <w:lang w:val="fr-BE"/>
        </w:rPr>
        <w:t xml:space="preserve"> sur coup</w:t>
      </w:r>
      <w:r w:rsidR="001F36BA" w:rsidRPr="007E1660">
        <w:rPr>
          <w:rFonts w:eastAsiaTheme="majorEastAsia"/>
          <w:lang w:val="fr-BE"/>
        </w:rPr>
        <w:t xml:space="preserve">, </w:t>
      </w:r>
      <w:r w:rsidRPr="007E1660">
        <w:rPr>
          <w:rFonts w:eastAsiaTheme="majorEastAsia"/>
          <w:i/>
          <w:lang w:val="fr-BE"/>
        </w:rPr>
        <w:t>accident</w:t>
      </w:r>
      <w:r w:rsidR="00873E98" w:rsidRPr="007E1660">
        <w:rPr>
          <w:rFonts w:eastAsiaTheme="majorEastAsia"/>
          <w:i/>
          <w:lang w:val="fr-BE"/>
        </w:rPr>
        <w:t xml:space="preserve"> sur accident</w:t>
      </w:r>
      <w:r w:rsidR="001F36BA" w:rsidRPr="007E1660">
        <w:rPr>
          <w:rFonts w:eastAsiaTheme="majorEastAsia"/>
          <w:lang w:val="fr-BE"/>
        </w:rPr>
        <w:t xml:space="preserve">, </w:t>
      </w:r>
      <w:r w:rsidRPr="007E1660">
        <w:rPr>
          <w:rFonts w:eastAsiaTheme="majorEastAsia"/>
          <w:i/>
          <w:lang w:val="fr-BE"/>
        </w:rPr>
        <w:t>colloque</w:t>
      </w:r>
      <w:r w:rsidR="00873E98" w:rsidRPr="007E1660">
        <w:rPr>
          <w:rFonts w:eastAsiaTheme="majorEastAsia"/>
          <w:i/>
          <w:lang w:val="fr-BE"/>
        </w:rPr>
        <w:t xml:space="preserve"> sur colloque</w:t>
      </w:r>
      <w:r w:rsidR="001F36BA" w:rsidRPr="007E1660">
        <w:rPr>
          <w:rFonts w:eastAsiaTheme="majorEastAsia"/>
          <w:lang w:val="fr-BE"/>
        </w:rPr>
        <w:t xml:space="preserve">, </w:t>
      </w:r>
      <w:r w:rsidRPr="007E1660">
        <w:rPr>
          <w:rFonts w:eastAsiaTheme="majorEastAsia"/>
          <w:i/>
          <w:lang w:val="fr-BE"/>
        </w:rPr>
        <w:t>procès</w:t>
      </w:r>
      <w:r w:rsidR="00873E98" w:rsidRPr="007E1660">
        <w:rPr>
          <w:rFonts w:eastAsiaTheme="majorEastAsia"/>
          <w:i/>
          <w:lang w:val="fr-BE"/>
        </w:rPr>
        <w:t xml:space="preserve"> sur procès</w:t>
      </w:r>
      <w:r w:rsidR="001F36BA" w:rsidRPr="007E1660">
        <w:rPr>
          <w:rFonts w:eastAsiaTheme="majorEastAsia"/>
          <w:lang w:val="fr-BE"/>
        </w:rPr>
        <w:t xml:space="preserve">, </w:t>
      </w:r>
      <w:r w:rsidRPr="007E1660">
        <w:rPr>
          <w:rFonts w:eastAsiaTheme="majorEastAsia"/>
          <w:i/>
          <w:lang w:val="fr-BE"/>
        </w:rPr>
        <w:t xml:space="preserve">ton </w:t>
      </w:r>
      <w:r w:rsidR="00873E98" w:rsidRPr="007E1660">
        <w:rPr>
          <w:rFonts w:eastAsiaTheme="majorEastAsia"/>
          <w:i/>
          <w:lang w:val="fr-BE"/>
        </w:rPr>
        <w:t>sur ton</w:t>
      </w:r>
      <w:r w:rsidR="00873E98" w:rsidRPr="007E1660">
        <w:rPr>
          <w:rFonts w:eastAsiaTheme="majorEastAsia"/>
          <w:lang w:val="fr-BE"/>
        </w:rPr>
        <w:t xml:space="preserve"> </w:t>
      </w:r>
      <w:r w:rsidRPr="007E1660">
        <w:rPr>
          <w:rFonts w:eastAsiaTheme="majorEastAsia"/>
          <w:lang w:val="fr-BE"/>
        </w:rPr>
        <w:t>(</w:t>
      </w:r>
      <w:r w:rsidRPr="007E1660">
        <w:rPr>
          <w:rFonts w:eastAsiaTheme="majorEastAsia"/>
          <w:i/>
          <w:lang w:val="fr-BE"/>
        </w:rPr>
        <w:t>Le Monde</w:t>
      </w:r>
      <w:r w:rsidRPr="007E1660">
        <w:rPr>
          <w:rFonts w:eastAsiaTheme="majorEastAsia"/>
          <w:lang w:val="fr-BE"/>
        </w:rPr>
        <w:t>)</w:t>
      </w:r>
      <w:r w:rsidR="001F36BA" w:rsidRPr="007E1660">
        <w:rPr>
          <w:rFonts w:eastAsiaTheme="majorEastAsia"/>
          <w:lang w:val="fr-BE"/>
        </w:rPr>
        <w:t xml:space="preserve">, </w:t>
      </w:r>
      <w:r w:rsidRPr="007E1660">
        <w:rPr>
          <w:rFonts w:eastAsiaTheme="majorEastAsia"/>
          <w:i/>
          <w:lang w:val="fr-BE"/>
        </w:rPr>
        <w:t>coup</w:t>
      </w:r>
      <w:r w:rsidR="00873E98" w:rsidRPr="007E1660">
        <w:rPr>
          <w:rFonts w:eastAsiaTheme="majorEastAsia"/>
          <w:i/>
          <w:lang w:val="fr-BE"/>
        </w:rPr>
        <w:t xml:space="preserve"> sur coup</w:t>
      </w:r>
      <w:r w:rsidR="001F36BA" w:rsidRPr="007E1660">
        <w:rPr>
          <w:rFonts w:eastAsiaTheme="majorEastAsia"/>
          <w:lang w:val="fr-BE"/>
        </w:rPr>
        <w:t xml:space="preserve">, </w:t>
      </w:r>
      <w:r w:rsidRPr="007E1660">
        <w:rPr>
          <w:rFonts w:eastAsiaTheme="majorEastAsia"/>
          <w:i/>
          <w:lang w:val="fr-BE"/>
        </w:rPr>
        <w:t>frites</w:t>
      </w:r>
      <w:r w:rsidR="00873E98" w:rsidRPr="007E1660">
        <w:rPr>
          <w:rFonts w:eastAsiaTheme="majorEastAsia"/>
          <w:i/>
          <w:lang w:val="fr-BE"/>
        </w:rPr>
        <w:t xml:space="preserve"> sur frites</w:t>
      </w:r>
      <w:r w:rsidR="001F36BA" w:rsidRPr="007E1660">
        <w:rPr>
          <w:rFonts w:eastAsiaTheme="majorEastAsia"/>
          <w:lang w:val="fr-BE"/>
        </w:rPr>
        <w:t xml:space="preserve">, </w:t>
      </w:r>
      <w:r w:rsidRPr="007E1660">
        <w:rPr>
          <w:rFonts w:eastAsiaTheme="majorEastAsia"/>
          <w:i/>
          <w:lang w:val="fr-BE"/>
        </w:rPr>
        <w:t>nom</w:t>
      </w:r>
      <w:r w:rsidR="00873E98" w:rsidRPr="007E1660">
        <w:rPr>
          <w:rFonts w:eastAsiaTheme="majorEastAsia"/>
          <w:i/>
          <w:lang w:val="fr-BE"/>
        </w:rPr>
        <w:t xml:space="preserve"> sur nom</w:t>
      </w:r>
      <w:r w:rsidR="001F36BA" w:rsidRPr="007E1660">
        <w:rPr>
          <w:rFonts w:eastAsiaTheme="majorEastAsia"/>
          <w:lang w:val="fr-BE"/>
        </w:rPr>
        <w:t xml:space="preserve">, </w:t>
      </w:r>
      <w:r w:rsidRPr="007E1660">
        <w:rPr>
          <w:rFonts w:eastAsiaTheme="majorEastAsia"/>
          <w:i/>
          <w:lang w:val="fr-BE"/>
        </w:rPr>
        <w:t>retard</w:t>
      </w:r>
      <w:r w:rsidRPr="007E1660">
        <w:rPr>
          <w:rFonts w:eastAsiaTheme="majorEastAsia"/>
          <w:lang w:val="fr-BE"/>
        </w:rPr>
        <w:t xml:space="preserve"> </w:t>
      </w:r>
      <w:r w:rsidR="00873E98" w:rsidRPr="007E1660">
        <w:rPr>
          <w:rFonts w:eastAsiaTheme="majorEastAsia"/>
          <w:i/>
          <w:lang w:val="fr-BE"/>
        </w:rPr>
        <w:t>sur retard</w:t>
      </w:r>
      <w:r w:rsidR="00873E98" w:rsidRPr="007E1660">
        <w:rPr>
          <w:rFonts w:eastAsiaTheme="majorEastAsia"/>
          <w:lang w:val="fr-BE"/>
        </w:rPr>
        <w:t xml:space="preserve"> </w:t>
      </w:r>
      <w:r w:rsidRPr="007E1660">
        <w:rPr>
          <w:rFonts w:eastAsiaTheme="majorEastAsia"/>
          <w:lang w:val="fr-BE"/>
        </w:rPr>
        <w:t>(</w:t>
      </w:r>
      <w:r w:rsidRPr="007E1660">
        <w:rPr>
          <w:rFonts w:eastAsiaTheme="majorEastAsia"/>
          <w:i/>
          <w:lang w:val="fr-BE"/>
        </w:rPr>
        <w:t>Sud-Ouest</w:t>
      </w:r>
      <w:r w:rsidRPr="007E1660">
        <w:rPr>
          <w:rFonts w:eastAsiaTheme="majorEastAsia"/>
          <w:lang w:val="fr-BE"/>
        </w:rPr>
        <w:t>)</w:t>
      </w:r>
      <w:r w:rsidR="001F36BA" w:rsidRPr="007E1660">
        <w:rPr>
          <w:rFonts w:eastAsiaTheme="majorEastAsia"/>
          <w:lang w:val="fr-BE"/>
        </w:rPr>
        <w:t xml:space="preserve">, </w:t>
      </w:r>
      <w:r w:rsidRPr="007E1660">
        <w:rPr>
          <w:rFonts w:eastAsiaTheme="majorEastAsia"/>
          <w:i/>
          <w:lang w:val="fr-BE"/>
        </w:rPr>
        <w:t>coup</w:t>
      </w:r>
      <w:r w:rsidR="00873E98" w:rsidRPr="007E1660">
        <w:rPr>
          <w:rFonts w:eastAsiaTheme="majorEastAsia"/>
          <w:i/>
          <w:lang w:val="fr-BE"/>
        </w:rPr>
        <w:t xml:space="preserve"> sur coup</w:t>
      </w:r>
      <w:r w:rsidR="001F36BA" w:rsidRPr="007E1660">
        <w:rPr>
          <w:rFonts w:eastAsiaTheme="majorEastAsia"/>
          <w:lang w:val="fr-BE"/>
        </w:rPr>
        <w:t xml:space="preserve">, </w:t>
      </w:r>
      <w:r w:rsidRPr="007E1660">
        <w:rPr>
          <w:rFonts w:eastAsiaTheme="majorEastAsia"/>
          <w:i/>
          <w:lang w:val="fr-BE"/>
        </w:rPr>
        <w:t>bêtise</w:t>
      </w:r>
      <w:r w:rsidR="00873E98" w:rsidRPr="007E1660">
        <w:rPr>
          <w:rFonts w:eastAsiaTheme="majorEastAsia"/>
          <w:i/>
          <w:lang w:val="fr-BE"/>
        </w:rPr>
        <w:t xml:space="preserve"> sur bêtise</w:t>
      </w:r>
      <w:r w:rsidR="001F36BA" w:rsidRPr="007E1660">
        <w:rPr>
          <w:rFonts w:eastAsiaTheme="majorEastAsia"/>
          <w:lang w:val="fr-BE"/>
        </w:rPr>
        <w:t xml:space="preserve">, </w:t>
      </w:r>
      <w:r w:rsidRPr="007E1660">
        <w:rPr>
          <w:rFonts w:eastAsiaTheme="majorEastAsia"/>
          <w:i/>
          <w:lang w:val="fr-BE"/>
        </w:rPr>
        <w:t>bord</w:t>
      </w:r>
      <w:r w:rsidR="00873E98" w:rsidRPr="007E1660">
        <w:rPr>
          <w:rFonts w:eastAsiaTheme="majorEastAsia"/>
          <w:i/>
          <w:lang w:val="fr-BE"/>
        </w:rPr>
        <w:t xml:space="preserve"> sur bord</w:t>
      </w:r>
      <w:r w:rsidR="001F36BA" w:rsidRPr="007E1660">
        <w:rPr>
          <w:rFonts w:eastAsiaTheme="majorEastAsia"/>
          <w:lang w:val="fr-BE"/>
        </w:rPr>
        <w:t xml:space="preserve">, </w:t>
      </w:r>
      <w:r w:rsidRPr="007E1660">
        <w:rPr>
          <w:rFonts w:eastAsiaTheme="majorEastAsia"/>
          <w:i/>
          <w:lang w:val="fr-BE"/>
        </w:rPr>
        <w:t>colloque</w:t>
      </w:r>
      <w:r w:rsidR="00873E98" w:rsidRPr="007E1660">
        <w:rPr>
          <w:rFonts w:eastAsiaTheme="majorEastAsia"/>
          <w:i/>
          <w:lang w:val="fr-BE"/>
        </w:rPr>
        <w:t xml:space="preserve"> sur colloque</w:t>
      </w:r>
      <w:r w:rsidR="001F36BA" w:rsidRPr="007E1660">
        <w:rPr>
          <w:rFonts w:eastAsiaTheme="majorEastAsia"/>
          <w:lang w:val="fr-BE"/>
        </w:rPr>
        <w:t xml:space="preserve">, </w:t>
      </w:r>
      <w:r w:rsidRPr="007E1660">
        <w:rPr>
          <w:rFonts w:eastAsiaTheme="majorEastAsia"/>
          <w:i/>
          <w:lang w:val="fr-BE"/>
        </w:rPr>
        <w:t>mévente</w:t>
      </w:r>
      <w:r w:rsidR="00873E98" w:rsidRPr="007E1660">
        <w:rPr>
          <w:rFonts w:eastAsiaTheme="majorEastAsia"/>
          <w:i/>
          <w:lang w:val="fr-BE"/>
        </w:rPr>
        <w:t xml:space="preserve"> sur mévente</w:t>
      </w:r>
      <w:r w:rsidR="001F36BA" w:rsidRPr="007E1660">
        <w:rPr>
          <w:rFonts w:eastAsiaTheme="majorEastAsia"/>
          <w:lang w:val="fr-BE"/>
        </w:rPr>
        <w:t xml:space="preserve">, </w:t>
      </w:r>
      <w:r w:rsidRPr="007E1660">
        <w:rPr>
          <w:rFonts w:eastAsiaTheme="majorEastAsia"/>
          <w:i/>
          <w:lang w:val="fr-BE"/>
        </w:rPr>
        <w:t>passe</w:t>
      </w:r>
      <w:r w:rsidR="00873E98" w:rsidRPr="007E1660">
        <w:rPr>
          <w:rFonts w:eastAsiaTheme="majorEastAsia"/>
          <w:i/>
          <w:lang w:val="fr-BE"/>
        </w:rPr>
        <w:t xml:space="preserve"> sur passe</w:t>
      </w:r>
      <w:r w:rsidR="001F36BA" w:rsidRPr="007E1660">
        <w:rPr>
          <w:rFonts w:eastAsiaTheme="majorEastAsia"/>
          <w:lang w:val="fr-BE"/>
        </w:rPr>
        <w:t xml:space="preserve">, </w:t>
      </w:r>
      <w:r w:rsidRPr="007E1660">
        <w:rPr>
          <w:rFonts w:eastAsiaTheme="majorEastAsia"/>
          <w:i/>
          <w:lang w:val="fr-BE"/>
        </w:rPr>
        <w:t>procès</w:t>
      </w:r>
      <w:r w:rsidR="00873E98" w:rsidRPr="007E1660">
        <w:rPr>
          <w:rFonts w:eastAsiaTheme="majorEastAsia"/>
          <w:i/>
          <w:lang w:val="fr-BE"/>
        </w:rPr>
        <w:t xml:space="preserve"> sur procès</w:t>
      </w:r>
      <w:r w:rsidR="001F36BA" w:rsidRPr="007E1660">
        <w:rPr>
          <w:rFonts w:eastAsiaTheme="majorEastAsia"/>
          <w:lang w:val="fr-BE"/>
        </w:rPr>
        <w:t xml:space="preserve">, </w:t>
      </w:r>
      <w:r w:rsidRPr="007E1660">
        <w:rPr>
          <w:rFonts w:eastAsiaTheme="majorEastAsia"/>
          <w:i/>
          <w:lang w:val="fr-BE"/>
        </w:rPr>
        <w:t>télé</w:t>
      </w:r>
      <w:r w:rsidR="00873E98" w:rsidRPr="007E1660">
        <w:rPr>
          <w:rFonts w:eastAsiaTheme="majorEastAsia"/>
          <w:lang w:val="fr-BE"/>
        </w:rPr>
        <w:t xml:space="preserve"> </w:t>
      </w:r>
      <w:r w:rsidR="00873E98" w:rsidRPr="007E1660">
        <w:rPr>
          <w:rFonts w:eastAsiaTheme="majorEastAsia"/>
          <w:i/>
          <w:lang w:val="fr-BE"/>
        </w:rPr>
        <w:t>sur télé</w:t>
      </w:r>
      <w:r w:rsidR="00873E98" w:rsidRPr="007E1660">
        <w:rPr>
          <w:rFonts w:eastAsiaTheme="majorEastAsia"/>
          <w:lang w:val="fr-BE"/>
        </w:rPr>
        <w:t>,</w:t>
      </w:r>
      <w:r w:rsidR="001F36BA" w:rsidRPr="007E1660">
        <w:rPr>
          <w:rFonts w:eastAsiaTheme="majorEastAsia"/>
          <w:lang w:val="fr-BE"/>
        </w:rPr>
        <w:t xml:space="preserve"> </w:t>
      </w:r>
      <w:r w:rsidRPr="007E1660">
        <w:rPr>
          <w:rFonts w:eastAsiaTheme="majorEastAsia"/>
          <w:i/>
          <w:lang w:val="fr-BE"/>
        </w:rPr>
        <w:t>ton</w:t>
      </w:r>
      <w:r w:rsidR="00873E98" w:rsidRPr="007E1660">
        <w:rPr>
          <w:rFonts w:eastAsiaTheme="majorEastAsia"/>
          <w:i/>
          <w:lang w:val="fr-BE"/>
        </w:rPr>
        <w:t xml:space="preserve"> sur ton</w:t>
      </w:r>
      <w:r w:rsidR="001F36BA" w:rsidRPr="007E1660">
        <w:rPr>
          <w:rFonts w:eastAsiaTheme="majorEastAsia"/>
          <w:lang w:val="fr-BE"/>
        </w:rPr>
        <w:t xml:space="preserve">, </w:t>
      </w:r>
      <w:r w:rsidRPr="007E1660">
        <w:rPr>
          <w:rFonts w:eastAsiaTheme="majorEastAsia"/>
          <w:i/>
          <w:lang w:val="fr-BE"/>
        </w:rPr>
        <w:t>victoire</w:t>
      </w:r>
      <w:r w:rsidR="00873E98" w:rsidRPr="007E1660">
        <w:rPr>
          <w:rFonts w:eastAsiaTheme="majorEastAsia"/>
          <w:lang w:val="fr-BE"/>
        </w:rPr>
        <w:t xml:space="preserve"> </w:t>
      </w:r>
      <w:r w:rsidR="00873E98" w:rsidRPr="007E1660">
        <w:rPr>
          <w:rFonts w:eastAsiaTheme="majorEastAsia"/>
          <w:i/>
          <w:lang w:val="fr-BE"/>
        </w:rPr>
        <w:t>sur victoire</w:t>
      </w:r>
      <w:r w:rsidR="00873E98" w:rsidRPr="007E1660">
        <w:rPr>
          <w:rFonts w:eastAsiaTheme="majorEastAsia"/>
          <w:lang w:val="fr-BE"/>
        </w:rPr>
        <w:t xml:space="preserve"> </w:t>
      </w:r>
      <w:r w:rsidRPr="007E1660">
        <w:rPr>
          <w:rFonts w:eastAsiaTheme="majorEastAsia"/>
          <w:lang w:val="fr-BE"/>
        </w:rPr>
        <w:t>(</w:t>
      </w:r>
      <w:r w:rsidRPr="007E1660">
        <w:rPr>
          <w:rFonts w:eastAsiaTheme="majorEastAsia"/>
          <w:i/>
          <w:lang w:val="fr-BE"/>
        </w:rPr>
        <w:t>Ouest-France</w:t>
      </w:r>
      <w:r w:rsidRPr="007E1660">
        <w:rPr>
          <w:rFonts w:eastAsiaTheme="majorEastAsia"/>
          <w:lang w:val="fr-BE"/>
        </w:rPr>
        <w:t>).</w:t>
      </w:r>
      <w:r>
        <w:rPr>
          <w:rFonts w:eastAsiaTheme="majorEastAsia"/>
          <w:lang w:val="fr-BE"/>
        </w:rPr>
        <w:t xml:space="preserve"> </w:t>
      </w:r>
    </w:p>
    <w:p w:rsidR="00B36CA7" w:rsidRDefault="00F65E0A" w:rsidP="00ED748C">
      <w:pPr>
        <w:spacing w:after="120"/>
        <w:jc w:val="both"/>
        <w:rPr>
          <w:rFonts w:eastAsiaTheme="majorEastAsia"/>
          <w:lang w:val="fr-BE"/>
        </w:rPr>
      </w:pPr>
      <w:r>
        <w:rPr>
          <w:rFonts w:eastAsiaTheme="majorEastAsia"/>
          <w:lang w:val="fr-BE"/>
        </w:rPr>
        <w:t xml:space="preserve">Le détail des </w:t>
      </w:r>
      <w:r w:rsidR="00C36781">
        <w:rPr>
          <w:rFonts w:eastAsiaTheme="majorEastAsia"/>
          <w:lang w:val="fr-BE"/>
        </w:rPr>
        <w:t xml:space="preserve">corpus </w:t>
      </w:r>
      <w:r w:rsidR="007F430F">
        <w:rPr>
          <w:rFonts w:eastAsiaTheme="majorEastAsia"/>
          <w:lang w:val="fr-BE"/>
        </w:rPr>
        <w:t>présenté dans le tableau ci-après permet d</w:t>
      </w:r>
      <w:r w:rsidR="00B9706C">
        <w:rPr>
          <w:rFonts w:eastAsiaTheme="majorEastAsia"/>
          <w:lang w:val="fr-BE"/>
        </w:rPr>
        <w:t>’</w:t>
      </w:r>
      <w:r w:rsidR="007F430F">
        <w:rPr>
          <w:rFonts w:eastAsiaTheme="majorEastAsia"/>
          <w:lang w:val="fr-BE"/>
        </w:rPr>
        <w:t xml:space="preserve">affiner les commentaires et de faire apparaître des </w:t>
      </w:r>
      <w:r w:rsidR="0074055E">
        <w:rPr>
          <w:rFonts w:eastAsiaTheme="majorEastAsia"/>
          <w:lang w:val="fr-BE"/>
        </w:rPr>
        <w:t>résultats contrastifs au sein d</w:t>
      </w:r>
      <w:r w:rsidR="00B9706C">
        <w:rPr>
          <w:rFonts w:eastAsiaTheme="majorEastAsia"/>
          <w:lang w:val="fr-BE"/>
        </w:rPr>
        <w:t>’</w:t>
      </w:r>
      <w:r w:rsidR="0074055E">
        <w:rPr>
          <w:rFonts w:eastAsiaTheme="majorEastAsia"/>
          <w:lang w:val="fr-BE"/>
        </w:rPr>
        <w:t xml:space="preserve">un même ensemble générique. </w:t>
      </w:r>
    </w:p>
    <w:p w:rsidR="00CD1F4E" w:rsidRDefault="00CD1F4E" w:rsidP="00ED748C">
      <w:pPr>
        <w:spacing w:after="120"/>
        <w:jc w:val="both"/>
        <w:rPr>
          <w:rFonts w:eastAsiaTheme="majorEastAsia"/>
          <w:lang w:val="fr-BE"/>
        </w:rPr>
      </w:pPr>
    </w:p>
    <w:p w:rsidR="00CD1F4E" w:rsidRDefault="00CD1F4E" w:rsidP="00ED748C">
      <w:pPr>
        <w:spacing w:after="120"/>
        <w:jc w:val="both"/>
        <w:rPr>
          <w:rFonts w:eastAsiaTheme="majorEastAsia"/>
          <w:lang w:val="fr-BE"/>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4"/>
        <w:gridCol w:w="850"/>
        <w:gridCol w:w="1020"/>
        <w:gridCol w:w="680"/>
        <w:gridCol w:w="850"/>
        <w:gridCol w:w="850"/>
        <w:gridCol w:w="850"/>
        <w:gridCol w:w="850"/>
        <w:gridCol w:w="850"/>
        <w:gridCol w:w="850"/>
        <w:gridCol w:w="850"/>
      </w:tblGrid>
      <w:tr w:rsidR="00AD464C" w:rsidRPr="00645C76" w:rsidTr="006D0521">
        <w:trPr>
          <w:trHeight w:val="276"/>
        </w:trPr>
        <w:tc>
          <w:tcPr>
            <w:tcW w:w="824" w:type="dxa"/>
            <w:shd w:val="clear" w:color="auto" w:fill="auto"/>
            <w:noWrap/>
            <w:vAlign w:val="bottom"/>
            <w:hideMark/>
          </w:tcPr>
          <w:p w:rsidR="00FA23D0" w:rsidRPr="00E92743" w:rsidRDefault="00FA23D0">
            <w:pPr>
              <w:suppressAutoHyphens w:val="0"/>
              <w:rPr>
                <w:color w:val="000000"/>
                <w:sz w:val="18"/>
                <w:szCs w:val="18"/>
                <w:lang w:eastAsia="fr-FR"/>
              </w:rPr>
            </w:pPr>
            <w:r w:rsidRPr="00E92743">
              <w:rPr>
                <w:color w:val="000000"/>
                <w:sz w:val="18"/>
                <w:szCs w:val="18"/>
              </w:rPr>
              <w:lastRenderedPageBreak/>
              <w:t>Structure</w:t>
            </w:r>
          </w:p>
        </w:tc>
        <w:tc>
          <w:tcPr>
            <w:tcW w:w="850" w:type="dxa"/>
            <w:shd w:val="clear" w:color="auto" w:fill="auto"/>
            <w:noWrap/>
            <w:vAlign w:val="bottom"/>
            <w:hideMark/>
          </w:tcPr>
          <w:p w:rsidR="00E92743" w:rsidRDefault="00FA23D0">
            <w:pPr>
              <w:rPr>
                <w:i/>
                <w:color w:val="000000"/>
                <w:sz w:val="16"/>
                <w:szCs w:val="16"/>
              </w:rPr>
            </w:pPr>
            <w:r w:rsidRPr="00E92743">
              <w:rPr>
                <w:i/>
                <w:color w:val="000000"/>
                <w:sz w:val="16"/>
                <w:szCs w:val="16"/>
              </w:rPr>
              <w:t>Sud-</w:t>
            </w:r>
          </w:p>
          <w:p w:rsidR="00FA23D0" w:rsidRPr="00E92743" w:rsidRDefault="00FA23D0">
            <w:pPr>
              <w:rPr>
                <w:i/>
                <w:color w:val="000000"/>
                <w:sz w:val="16"/>
                <w:szCs w:val="16"/>
              </w:rPr>
            </w:pPr>
            <w:r w:rsidRPr="00E92743">
              <w:rPr>
                <w:i/>
                <w:color w:val="000000"/>
                <w:sz w:val="16"/>
                <w:szCs w:val="16"/>
              </w:rPr>
              <w:t>Ouest</w:t>
            </w:r>
          </w:p>
        </w:tc>
        <w:tc>
          <w:tcPr>
            <w:tcW w:w="1020" w:type="dxa"/>
            <w:shd w:val="clear" w:color="auto" w:fill="auto"/>
            <w:noWrap/>
            <w:vAlign w:val="bottom"/>
            <w:hideMark/>
          </w:tcPr>
          <w:p w:rsidR="00FA23D0" w:rsidRPr="00E92743" w:rsidRDefault="00E708C4">
            <w:pPr>
              <w:rPr>
                <w:i/>
                <w:color w:val="000000"/>
                <w:sz w:val="16"/>
                <w:szCs w:val="16"/>
              </w:rPr>
            </w:pPr>
            <w:r w:rsidRPr="00E92743">
              <w:rPr>
                <w:i/>
                <w:color w:val="000000"/>
                <w:sz w:val="16"/>
                <w:szCs w:val="16"/>
              </w:rPr>
              <w:t xml:space="preserve">Est </w:t>
            </w:r>
            <w:r w:rsidR="00FA23D0" w:rsidRPr="00E92743">
              <w:rPr>
                <w:i/>
                <w:color w:val="000000"/>
                <w:sz w:val="16"/>
                <w:szCs w:val="16"/>
              </w:rPr>
              <w:t>Républicain</w:t>
            </w:r>
          </w:p>
        </w:tc>
        <w:tc>
          <w:tcPr>
            <w:tcW w:w="680" w:type="dxa"/>
            <w:shd w:val="clear" w:color="auto" w:fill="auto"/>
            <w:noWrap/>
            <w:vAlign w:val="bottom"/>
            <w:hideMark/>
          </w:tcPr>
          <w:p w:rsidR="00FA23D0" w:rsidRPr="00E92743" w:rsidRDefault="00FA23D0">
            <w:pPr>
              <w:rPr>
                <w:i/>
                <w:color w:val="000000"/>
                <w:sz w:val="16"/>
                <w:szCs w:val="16"/>
              </w:rPr>
            </w:pPr>
            <w:r w:rsidRPr="00E92743">
              <w:rPr>
                <w:i/>
                <w:color w:val="000000"/>
                <w:sz w:val="16"/>
                <w:szCs w:val="16"/>
              </w:rPr>
              <w:t>Figaro</w:t>
            </w:r>
          </w:p>
        </w:tc>
        <w:tc>
          <w:tcPr>
            <w:tcW w:w="850" w:type="dxa"/>
            <w:shd w:val="clear" w:color="auto" w:fill="auto"/>
            <w:noWrap/>
            <w:vAlign w:val="bottom"/>
            <w:hideMark/>
          </w:tcPr>
          <w:p w:rsidR="00FA23D0" w:rsidRPr="00E92743" w:rsidRDefault="00FA23D0">
            <w:pPr>
              <w:rPr>
                <w:i/>
                <w:color w:val="000000"/>
                <w:sz w:val="16"/>
                <w:szCs w:val="16"/>
              </w:rPr>
            </w:pPr>
            <w:r w:rsidRPr="00E92743">
              <w:rPr>
                <w:i/>
                <w:color w:val="000000"/>
                <w:sz w:val="16"/>
                <w:szCs w:val="16"/>
              </w:rPr>
              <w:t>Libération</w:t>
            </w:r>
          </w:p>
        </w:tc>
        <w:tc>
          <w:tcPr>
            <w:tcW w:w="850" w:type="dxa"/>
            <w:shd w:val="clear" w:color="auto" w:fill="auto"/>
            <w:noWrap/>
            <w:vAlign w:val="bottom"/>
            <w:hideMark/>
          </w:tcPr>
          <w:p w:rsidR="00FA23D0" w:rsidRPr="00E92743" w:rsidRDefault="00FA23D0">
            <w:pPr>
              <w:rPr>
                <w:i/>
                <w:color w:val="000000"/>
                <w:sz w:val="16"/>
                <w:szCs w:val="16"/>
              </w:rPr>
            </w:pPr>
            <w:r w:rsidRPr="00E92743">
              <w:rPr>
                <w:i/>
                <w:color w:val="000000"/>
                <w:sz w:val="16"/>
                <w:szCs w:val="16"/>
              </w:rPr>
              <w:t>Monde</w:t>
            </w:r>
          </w:p>
        </w:tc>
        <w:tc>
          <w:tcPr>
            <w:tcW w:w="850" w:type="dxa"/>
            <w:shd w:val="clear" w:color="auto" w:fill="auto"/>
            <w:noWrap/>
            <w:vAlign w:val="bottom"/>
            <w:hideMark/>
          </w:tcPr>
          <w:p w:rsidR="00FA23D0" w:rsidRPr="00E92743" w:rsidRDefault="00FA23D0">
            <w:pPr>
              <w:rPr>
                <w:i/>
                <w:color w:val="000000"/>
                <w:sz w:val="16"/>
                <w:szCs w:val="16"/>
              </w:rPr>
            </w:pPr>
            <w:r w:rsidRPr="00E92743">
              <w:rPr>
                <w:i/>
                <w:color w:val="000000"/>
                <w:sz w:val="16"/>
                <w:szCs w:val="16"/>
              </w:rPr>
              <w:t>Ouest-France</w:t>
            </w:r>
          </w:p>
        </w:tc>
        <w:tc>
          <w:tcPr>
            <w:tcW w:w="850" w:type="dxa"/>
            <w:shd w:val="clear" w:color="auto" w:fill="auto"/>
            <w:noWrap/>
            <w:vAlign w:val="bottom"/>
            <w:hideMark/>
          </w:tcPr>
          <w:p w:rsidR="00FA23D0" w:rsidRPr="00E92743" w:rsidRDefault="00FA23D0">
            <w:pPr>
              <w:rPr>
                <w:color w:val="000000"/>
                <w:sz w:val="16"/>
                <w:szCs w:val="16"/>
              </w:rPr>
            </w:pPr>
            <w:r w:rsidRPr="00E92743">
              <w:rPr>
                <w:color w:val="000000"/>
                <w:sz w:val="16"/>
                <w:szCs w:val="16"/>
              </w:rPr>
              <w:t>R-</w:t>
            </w:r>
            <w:proofErr w:type="spellStart"/>
            <w:r w:rsidRPr="00E92743">
              <w:rPr>
                <w:color w:val="000000"/>
                <w:sz w:val="16"/>
                <w:szCs w:val="16"/>
              </w:rPr>
              <w:t>Harlequin</w:t>
            </w:r>
            <w:proofErr w:type="spellEnd"/>
          </w:p>
        </w:tc>
        <w:tc>
          <w:tcPr>
            <w:tcW w:w="850" w:type="dxa"/>
            <w:shd w:val="clear" w:color="auto" w:fill="auto"/>
            <w:noWrap/>
            <w:vAlign w:val="bottom"/>
            <w:hideMark/>
          </w:tcPr>
          <w:p w:rsidR="00FA23D0" w:rsidRPr="00E92743" w:rsidRDefault="00FA23D0">
            <w:pPr>
              <w:rPr>
                <w:color w:val="000000"/>
                <w:sz w:val="16"/>
                <w:szCs w:val="16"/>
              </w:rPr>
            </w:pPr>
            <w:r w:rsidRPr="00E92743">
              <w:rPr>
                <w:color w:val="000000"/>
                <w:sz w:val="16"/>
                <w:szCs w:val="16"/>
              </w:rPr>
              <w:t>R-Policiers</w:t>
            </w:r>
          </w:p>
        </w:tc>
        <w:tc>
          <w:tcPr>
            <w:tcW w:w="850" w:type="dxa"/>
            <w:shd w:val="clear" w:color="auto" w:fill="auto"/>
            <w:noWrap/>
            <w:vAlign w:val="bottom"/>
            <w:hideMark/>
          </w:tcPr>
          <w:p w:rsidR="00E92743" w:rsidRDefault="00FA23D0">
            <w:pPr>
              <w:rPr>
                <w:color w:val="000000"/>
                <w:sz w:val="16"/>
                <w:szCs w:val="16"/>
              </w:rPr>
            </w:pPr>
            <w:r w:rsidRPr="00E92743">
              <w:rPr>
                <w:color w:val="000000"/>
                <w:sz w:val="16"/>
                <w:szCs w:val="16"/>
              </w:rPr>
              <w:t>R-</w:t>
            </w:r>
          </w:p>
          <w:p w:rsidR="00FA23D0" w:rsidRPr="00E92743" w:rsidRDefault="00FA23D0">
            <w:pPr>
              <w:rPr>
                <w:color w:val="000000"/>
                <w:sz w:val="16"/>
                <w:szCs w:val="16"/>
              </w:rPr>
            </w:pPr>
            <w:r w:rsidRPr="00E92743">
              <w:rPr>
                <w:color w:val="000000"/>
                <w:sz w:val="16"/>
                <w:szCs w:val="16"/>
              </w:rPr>
              <w:t>Sérieux</w:t>
            </w:r>
          </w:p>
        </w:tc>
        <w:tc>
          <w:tcPr>
            <w:tcW w:w="850" w:type="dxa"/>
            <w:shd w:val="clear" w:color="auto" w:fill="auto"/>
            <w:noWrap/>
            <w:vAlign w:val="bottom"/>
            <w:hideMark/>
          </w:tcPr>
          <w:p w:rsidR="00FA23D0" w:rsidRPr="00E92743" w:rsidRDefault="00FA23D0">
            <w:pPr>
              <w:rPr>
                <w:color w:val="000000"/>
                <w:sz w:val="16"/>
                <w:szCs w:val="16"/>
              </w:rPr>
            </w:pPr>
            <w:r w:rsidRPr="00E92743">
              <w:rPr>
                <w:color w:val="000000"/>
                <w:sz w:val="16"/>
                <w:szCs w:val="16"/>
              </w:rPr>
              <w:t>Total général</w:t>
            </w:r>
          </w:p>
        </w:tc>
      </w:tr>
      <w:tr w:rsidR="00AD464C" w:rsidRPr="00645C76" w:rsidTr="006D0521">
        <w:trPr>
          <w:trHeight w:val="276"/>
        </w:trPr>
        <w:tc>
          <w:tcPr>
            <w:tcW w:w="824" w:type="dxa"/>
            <w:shd w:val="clear" w:color="auto" w:fill="auto"/>
            <w:noWrap/>
            <w:vAlign w:val="bottom"/>
            <w:hideMark/>
          </w:tcPr>
          <w:p w:rsidR="00FA23D0" w:rsidRPr="00645C76" w:rsidRDefault="00FA23D0">
            <w:pPr>
              <w:rPr>
                <w:color w:val="000000"/>
                <w:sz w:val="20"/>
                <w:szCs w:val="20"/>
              </w:rPr>
            </w:pPr>
            <w:r w:rsidRPr="00645C76">
              <w:rPr>
                <w:color w:val="000000"/>
                <w:sz w:val="20"/>
                <w:szCs w:val="20"/>
              </w:rPr>
              <w:t>à</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41,0%</w:t>
            </w:r>
          </w:p>
        </w:tc>
        <w:tc>
          <w:tcPr>
            <w:tcW w:w="102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39,6%</w:t>
            </w:r>
          </w:p>
        </w:tc>
        <w:tc>
          <w:tcPr>
            <w:tcW w:w="68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35,9%</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41,3%</w:t>
            </w:r>
          </w:p>
        </w:tc>
        <w:tc>
          <w:tcPr>
            <w:tcW w:w="850" w:type="dxa"/>
            <w:shd w:val="clear" w:color="000000" w:fill="00B0F0"/>
            <w:noWrap/>
            <w:vAlign w:val="bottom"/>
            <w:hideMark/>
          </w:tcPr>
          <w:p w:rsidR="00FA23D0" w:rsidRPr="00645C76" w:rsidRDefault="00FA23D0">
            <w:pPr>
              <w:jc w:val="right"/>
              <w:rPr>
                <w:color w:val="000000"/>
                <w:sz w:val="20"/>
                <w:szCs w:val="20"/>
              </w:rPr>
            </w:pPr>
            <w:r w:rsidRPr="00645C76">
              <w:rPr>
                <w:color w:val="000000"/>
                <w:sz w:val="20"/>
                <w:szCs w:val="20"/>
              </w:rPr>
              <w:t>28,7%</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40,9%</w:t>
            </w:r>
          </w:p>
        </w:tc>
        <w:tc>
          <w:tcPr>
            <w:tcW w:w="850" w:type="dxa"/>
            <w:shd w:val="clear" w:color="000000" w:fill="FFFF00"/>
            <w:noWrap/>
            <w:vAlign w:val="bottom"/>
            <w:hideMark/>
          </w:tcPr>
          <w:p w:rsidR="00FA23D0" w:rsidRPr="00645C76" w:rsidRDefault="00FA23D0">
            <w:pPr>
              <w:jc w:val="right"/>
              <w:rPr>
                <w:color w:val="000000"/>
                <w:sz w:val="20"/>
                <w:szCs w:val="20"/>
              </w:rPr>
            </w:pPr>
            <w:r w:rsidRPr="00645C76">
              <w:rPr>
                <w:color w:val="000000"/>
                <w:sz w:val="20"/>
                <w:szCs w:val="20"/>
              </w:rPr>
              <w:t>70,3%</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45,9%</w:t>
            </w:r>
          </w:p>
        </w:tc>
        <w:tc>
          <w:tcPr>
            <w:tcW w:w="850" w:type="dxa"/>
            <w:shd w:val="clear" w:color="000000" w:fill="00B0F0"/>
            <w:noWrap/>
            <w:vAlign w:val="bottom"/>
            <w:hideMark/>
          </w:tcPr>
          <w:p w:rsidR="00FA23D0" w:rsidRPr="00645C76" w:rsidRDefault="00FA23D0">
            <w:pPr>
              <w:jc w:val="right"/>
              <w:rPr>
                <w:color w:val="000000"/>
                <w:sz w:val="20"/>
                <w:szCs w:val="20"/>
              </w:rPr>
            </w:pPr>
            <w:r w:rsidRPr="00645C76">
              <w:rPr>
                <w:color w:val="000000"/>
                <w:sz w:val="20"/>
                <w:szCs w:val="20"/>
              </w:rPr>
              <w:t>29,7%</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42,0%</w:t>
            </w:r>
          </w:p>
        </w:tc>
      </w:tr>
      <w:tr w:rsidR="00AD464C" w:rsidRPr="00645C76" w:rsidTr="006D0521">
        <w:trPr>
          <w:trHeight w:val="276"/>
        </w:trPr>
        <w:tc>
          <w:tcPr>
            <w:tcW w:w="824" w:type="dxa"/>
            <w:shd w:val="clear" w:color="auto" w:fill="auto"/>
            <w:noWrap/>
            <w:vAlign w:val="bottom"/>
            <w:hideMark/>
          </w:tcPr>
          <w:p w:rsidR="00FA23D0" w:rsidRPr="00645C76" w:rsidRDefault="00FA23D0">
            <w:pPr>
              <w:rPr>
                <w:color w:val="000000"/>
                <w:sz w:val="20"/>
                <w:szCs w:val="20"/>
              </w:rPr>
            </w:pPr>
            <w:r w:rsidRPr="00645C76">
              <w:rPr>
                <w:color w:val="000000"/>
                <w:sz w:val="20"/>
                <w:szCs w:val="20"/>
              </w:rPr>
              <w:t>après</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3,8%</w:t>
            </w:r>
          </w:p>
        </w:tc>
        <w:tc>
          <w:tcPr>
            <w:tcW w:w="1020" w:type="dxa"/>
            <w:shd w:val="clear" w:color="000000" w:fill="00B0F0"/>
            <w:noWrap/>
            <w:vAlign w:val="bottom"/>
            <w:hideMark/>
          </w:tcPr>
          <w:p w:rsidR="00FA23D0" w:rsidRPr="00645C76" w:rsidRDefault="00FA23D0">
            <w:pPr>
              <w:jc w:val="right"/>
              <w:rPr>
                <w:color w:val="000000"/>
                <w:sz w:val="20"/>
                <w:szCs w:val="20"/>
              </w:rPr>
            </w:pPr>
            <w:r w:rsidRPr="00645C76">
              <w:rPr>
                <w:color w:val="000000"/>
                <w:sz w:val="20"/>
                <w:szCs w:val="20"/>
              </w:rPr>
              <w:t>0,0%</w:t>
            </w:r>
          </w:p>
        </w:tc>
        <w:tc>
          <w:tcPr>
            <w:tcW w:w="68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3,9%</w:t>
            </w:r>
          </w:p>
        </w:tc>
        <w:tc>
          <w:tcPr>
            <w:tcW w:w="850" w:type="dxa"/>
            <w:shd w:val="clear" w:color="000000" w:fill="FFFF00"/>
            <w:noWrap/>
            <w:vAlign w:val="bottom"/>
            <w:hideMark/>
          </w:tcPr>
          <w:p w:rsidR="00FA23D0" w:rsidRPr="00645C76" w:rsidRDefault="00FA23D0">
            <w:pPr>
              <w:jc w:val="right"/>
              <w:rPr>
                <w:color w:val="000000"/>
                <w:sz w:val="20"/>
                <w:szCs w:val="20"/>
              </w:rPr>
            </w:pPr>
            <w:r w:rsidRPr="00645C76">
              <w:rPr>
                <w:color w:val="000000"/>
                <w:sz w:val="20"/>
                <w:szCs w:val="20"/>
              </w:rPr>
              <w:t>9,8%</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6,2%</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5,3%</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3,7%</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2,4%</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6,3%</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4,8%</w:t>
            </w:r>
          </w:p>
        </w:tc>
      </w:tr>
      <w:tr w:rsidR="00AD464C" w:rsidRPr="00645C76" w:rsidTr="006D0521">
        <w:trPr>
          <w:trHeight w:val="276"/>
        </w:trPr>
        <w:tc>
          <w:tcPr>
            <w:tcW w:w="824" w:type="dxa"/>
            <w:shd w:val="clear" w:color="auto" w:fill="auto"/>
            <w:noWrap/>
            <w:vAlign w:val="bottom"/>
            <w:hideMark/>
          </w:tcPr>
          <w:p w:rsidR="00FA23D0" w:rsidRPr="00645C76" w:rsidRDefault="00FA23D0">
            <w:pPr>
              <w:rPr>
                <w:color w:val="000000"/>
                <w:sz w:val="20"/>
                <w:szCs w:val="20"/>
              </w:rPr>
            </w:pPr>
            <w:r w:rsidRPr="00645C76">
              <w:rPr>
                <w:color w:val="000000"/>
                <w:sz w:val="20"/>
                <w:szCs w:val="20"/>
              </w:rPr>
              <w:t>contre</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0,0%</w:t>
            </w:r>
          </w:p>
        </w:tc>
        <w:tc>
          <w:tcPr>
            <w:tcW w:w="102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0,0%</w:t>
            </w:r>
          </w:p>
        </w:tc>
        <w:tc>
          <w:tcPr>
            <w:tcW w:w="680" w:type="dxa"/>
            <w:shd w:val="clear" w:color="000000" w:fill="FFFF00"/>
            <w:noWrap/>
            <w:vAlign w:val="bottom"/>
            <w:hideMark/>
          </w:tcPr>
          <w:p w:rsidR="00FA23D0" w:rsidRPr="00645C76" w:rsidRDefault="00FA23D0">
            <w:pPr>
              <w:jc w:val="right"/>
              <w:rPr>
                <w:color w:val="000000"/>
                <w:sz w:val="20"/>
                <w:szCs w:val="20"/>
              </w:rPr>
            </w:pPr>
            <w:r w:rsidRPr="00645C76">
              <w:rPr>
                <w:color w:val="000000"/>
                <w:sz w:val="20"/>
                <w:szCs w:val="20"/>
              </w:rPr>
              <w:t>2,9%</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1,4%</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1,6%</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0,5%</w:t>
            </w:r>
          </w:p>
        </w:tc>
        <w:tc>
          <w:tcPr>
            <w:tcW w:w="850" w:type="dxa"/>
            <w:shd w:val="clear" w:color="000000" w:fill="FFFF00"/>
            <w:noWrap/>
            <w:vAlign w:val="bottom"/>
            <w:hideMark/>
          </w:tcPr>
          <w:p w:rsidR="00FA23D0" w:rsidRPr="00645C76" w:rsidRDefault="00FA23D0">
            <w:pPr>
              <w:jc w:val="right"/>
              <w:rPr>
                <w:color w:val="000000"/>
                <w:sz w:val="20"/>
                <w:szCs w:val="20"/>
              </w:rPr>
            </w:pPr>
            <w:r w:rsidRPr="00645C76">
              <w:rPr>
                <w:color w:val="000000"/>
                <w:sz w:val="20"/>
                <w:szCs w:val="20"/>
              </w:rPr>
              <w:t>2,4%</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0,7%</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0,2%</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0,9%</w:t>
            </w:r>
          </w:p>
        </w:tc>
      </w:tr>
      <w:tr w:rsidR="00AD464C" w:rsidRPr="00645C76" w:rsidTr="006D0521">
        <w:trPr>
          <w:trHeight w:val="276"/>
        </w:trPr>
        <w:tc>
          <w:tcPr>
            <w:tcW w:w="824" w:type="dxa"/>
            <w:shd w:val="clear" w:color="auto" w:fill="auto"/>
            <w:noWrap/>
            <w:vAlign w:val="bottom"/>
            <w:hideMark/>
          </w:tcPr>
          <w:p w:rsidR="00FA23D0" w:rsidRPr="00645C76" w:rsidRDefault="00FA23D0">
            <w:pPr>
              <w:rPr>
                <w:color w:val="000000"/>
                <w:sz w:val="20"/>
                <w:szCs w:val="20"/>
              </w:rPr>
            </w:pPr>
            <w:r w:rsidRPr="00645C76">
              <w:rPr>
                <w:color w:val="000000"/>
                <w:sz w:val="20"/>
                <w:szCs w:val="20"/>
              </w:rPr>
              <w:t>de … à</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1,9%</w:t>
            </w:r>
          </w:p>
        </w:tc>
        <w:tc>
          <w:tcPr>
            <w:tcW w:w="1020" w:type="dxa"/>
            <w:shd w:val="clear" w:color="000000" w:fill="FFFF00"/>
            <w:noWrap/>
            <w:vAlign w:val="bottom"/>
            <w:hideMark/>
          </w:tcPr>
          <w:p w:rsidR="00FA23D0" w:rsidRPr="00645C76" w:rsidRDefault="00FA23D0">
            <w:pPr>
              <w:jc w:val="right"/>
              <w:rPr>
                <w:color w:val="000000"/>
                <w:sz w:val="20"/>
                <w:szCs w:val="20"/>
              </w:rPr>
            </w:pPr>
            <w:r w:rsidRPr="00645C76">
              <w:rPr>
                <w:color w:val="000000"/>
                <w:sz w:val="20"/>
                <w:szCs w:val="20"/>
              </w:rPr>
              <w:t>14,6%</w:t>
            </w:r>
          </w:p>
        </w:tc>
        <w:tc>
          <w:tcPr>
            <w:tcW w:w="68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1,9%</w:t>
            </w:r>
          </w:p>
        </w:tc>
        <w:tc>
          <w:tcPr>
            <w:tcW w:w="850" w:type="dxa"/>
            <w:shd w:val="clear" w:color="000000" w:fill="FFFF00"/>
            <w:noWrap/>
            <w:vAlign w:val="bottom"/>
            <w:hideMark/>
          </w:tcPr>
          <w:p w:rsidR="00FA23D0" w:rsidRPr="00645C76" w:rsidRDefault="00FA23D0">
            <w:pPr>
              <w:jc w:val="right"/>
              <w:rPr>
                <w:color w:val="000000"/>
                <w:sz w:val="20"/>
                <w:szCs w:val="20"/>
              </w:rPr>
            </w:pPr>
            <w:r w:rsidRPr="00645C76">
              <w:rPr>
                <w:color w:val="000000"/>
                <w:sz w:val="20"/>
                <w:szCs w:val="20"/>
              </w:rPr>
              <w:t>8,4%</w:t>
            </w:r>
          </w:p>
        </w:tc>
        <w:tc>
          <w:tcPr>
            <w:tcW w:w="850" w:type="dxa"/>
            <w:shd w:val="clear" w:color="000000" w:fill="FFFF00"/>
            <w:noWrap/>
            <w:vAlign w:val="bottom"/>
            <w:hideMark/>
          </w:tcPr>
          <w:p w:rsidR="00FA23D0" w:rsidRPr="00645C76" w:rsidRDefault="00FA23D0">
            <w:pPr>
              <w:jc w:val="right"/>
              <w:rPr>
                <w:color w:val="000000"/>
                <w:sz w:val="20"/>
                <w:szCs w:val="20"/>
              </w:rPr>
            </w:pPr>
            <w:r w:rsidRPr="00645C76">
              <w:rPr>
                <w:color w:val="000000"/>
                <w:sz w:val="20"/>
                <w:szCs w:val="20"/>
              </w:rPr>
              <w:t>7,0%</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1,0%</w:t>
            </w:r>
          </w:p>
        </w:tc>
        <w:tc>
          <w:tcPr>
            <w:tcW w:w="850" w:type="dxa"/>
            <w:shd w:val="clear" w:color="000000" w:fill="00B0F0"/>
            <w:noWrap/>
            <w:vAlign w:val="bottom"/>
            <w:hideMark/>
          </w:tcPr>
          <w:p w:rsidR="00FA23D0" w:rsidRPr="00645C76" w:rsidRDefault="00FA23D0">
            <w:pPr>
              <w:jc w:val="right"/>
              <w:rPr>
                <w:color w:val="000000"/>
                <w:sz w:val="20"/>
                <w:szCs w:val="20"/>
              </w:rPr>
            </w:pPr>
            <w:r w:rsidRPr="00645C76">
              <w:rPr>
                <w:color w:val="000000"/>
                <w:sz w:val="20"/>
                <w:szCs w:val="20"/>
              </w:rPr>
              <w:t>0,0%</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1,7%</w:t>
            </w:r>
          </w:p>
        </w:tc>
        <w:tc>
          <w:tcPr>
            <w:tcW w:w="850" w:type="dxa"/>
            <w:shd w:val="clear" w:color="000000" w:fill="00B0F0"/>
            <w:noWrap/>
            <w:vAlign w:val="bottom"/>
            <w:hideMark/>
          </w:tcPr>
          <w:p w:rsidR="00FA23D0" w:rsidRPr="00645C76" w:rsidRDefault="00FA23D0">
            <w:pPr>
              <w:jc w:val="right"/>
              <w:rPr>
                <w:color w:val="000000"/>
                <w:sz w:val="20"/>
                <w:szCs w:val="20"/>
              </w:rPr>
            </w:pPr>
            <w:r w:rsidRPr="00645C76">
              <w:rPr>
                <w:color w:val="000000"/>
                <w:sz w:val="20"/>
                <w:szCs w:val="20"/>
              </w:rPr>
              <w:t>0,8%</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2,6%</w:t>
            </w:r>
          </w:p>
        </w:tc>
      </w:tr>
      <w:tr w:rsidR="00AD464C" w:rsidRPr="00645C76" w:rsidTr="006D0521">
        <w:trPr>
          <w:trHeight w:val="276"/>
        </w:trPr>
        <w:tc>
          <w:tcPr>
            <w:tcW w:w="824" w:type="dxa"/>
            <w:shd w:val="clear" w:color="auto" w:fill="auto"/>
            <w:noWrap/>
            <w:vAlign w:val="bottom"/>
            <w:hideMark/>
          </w:tcPr>
          <w:p w:rsidR="00FA23D0" w:rsidRPr="00645C76" w:rsidRDefault="00FA23D0">
            <w:pPr>
              <w:rPr>
                <w:color w:val="000000"/>
                <w:sz w:val="20"/>
                <w:szCs w:val="20"/>
              </w:rPr>
            </w:pPr>
            <w:r w:rsidRPr="00645C76">
              <w:rPr>
                <w:color w:val="000000"/>
                <w:sz w:val="20"/>
                <w:szCs w:val="20"/>
              </w:rPr>
              <w:t>de … en</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34,6%</w:t>
            </w:r>
          </w:p>
        </w:tc>
        <w:tc>
          <w:tcPr>
            <w:tcW w:w="102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31,3%</w:t>
            </w:r>
          </w:p>
        </w:tc>
        <w:tc>
          <w:tcPr>
            <w:tcW w:w="680" w:type="dxa"/>
            <w:shd w:val="clear" w:color="000000" w:fill="00B0F0"/>
            <w:noWrap/>
            <w:vAlign w:val="bottom"/>
            <w:hideMark/>
          </w:tcPr>
          <w:p w:rsidR="00FA23D0" w:rsidRPr="00645C76" w:rsidRDefault="00FA23D0">
            <w:pPr>
              <w:jc w:val="right"/>
              <w:rPr>
                <w:color w:val="000000"/>
                <w:sz w:val="20"/>
                <w:szCs w:val="20"/>
              </w:rPr>
            </w:pPr>
            <w:r w:rsidRPr="00645C76">
              <w:rPr>
                <w:color w:val="000000"/>
                <w:sz w:val="20"/>
                <w:szCs w:val="20"/>
              </w:rPr>
              <w:t>14,6%</w:t>
            </w:r>
          </w:p>
        </w:tc>
        <w:tc>
          <w:tcPr>
            <w:tcW w:w="850" w:type="dxa"/>
            <w:shd w:val="clear" w:color="000000" w:fill="00B0F0"/>
            <w:noWrap/>
            <w:vAlign w:val="bottom"/>
            <w:hideMark/>
          </w:tcPr>
          <w:p w:rsidR="00FA23D0" w:rsidRPr="00645C76" w:rsidRDefault="00FA23D0">
            <w:pPr>
              <w:jc w:val="right"/>
              <w:rPr>
                <w:color w:val="000000"/>
                <w:sz w:val="20"/>
                <w:szCs w:val="20"/>
              </w:rPr>
            </w:pPr>
            <w:r w:rsidRPr="00645C76">
              <w:rPr>
                <w:color w:val="000000"/>
                <w:sz w:val="20"/>
                <w:szCs w:val="20"/>
              </w:rPr>
              <w:t>14,7%</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27,1%</w:t>
            </w:r>
          </w:p>
        </w:tc>
        <w:tc>
          <w:tcPr>
            <w:tcW w:w="850" w:type="dxa"/>
            <w:shd w:val="clear" w:color="000000" w:fill="00B0F0"/>
            <w:noWrap/>
            <w:vAlign w:val="bottom"/>
            <w:hideMark/>
          </w:tcPr>
          <w:p w:rsidR="00FA23D0" w:rsidRPr="00645C76" w:rsidRDefault="00FA23D0">
            <w:pPr>
              <w:jc w:val="right"/>
              <w:rPr>
                <w:color w:val="000000"/>
                <w:sz w:val="20"/>
                <w:szCs w:val="20"/>
              </w:rPr>
            </w:pPr>
            <w:r w:rsidRPr="00645C76">
              <w:rPr>
                <w:color w:val="000000"/>
                <w:sz w:val="20"/>
                <w:szCs w:val="20"/>
              </w:rPr>
              <w:t>22,1%</w:t>
            </w:r>
          </w:p>
        </w:tc>
        <w:tc>
          <w:tcPr>
            <w:tcW w:w="850" w:type="dxa"/>
            <w:shd w:val="clear" w:color="000000" w:fill="00B0F0"/>
            <w:noWrap/>
            <w:vAlign w:val="bottom"/>
            <w:hideMark/>
          </w:tcPr>
          <w:p w:rsidR="00FA23D0" w:rsidRPr="00645C76" w:rsidRDefault="00FA23D0">
            <w:pPr>
              <w:jc w:val="right"/>
              <w:rPr>
                <w:color w:val="000000"/>
                <w:sz w:val="20"/>
                <w:szCs w:val="20"/>
              </w:rPr>
            </w:pPr>
            <w:r w:rsidRPr="00645C76">
              <w:rPr>
                <w:color w:val="000000"/>
                <w:sz w:val="20"/>
                <w:szCs w:val="20"/>
              </w:rPr>
              <w:t>15,5%</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34,8%</w:t>
            </w:r>
          </w:p>
        </w:tc>
        <w:tc>
          <w:tcPr>
            <w:tcW w:w="850" w:type="dxa"/>
            <w:shd w:val="clear" w:color="000000" w:fill="FFFF00"/>
            <w:noWrap/>
            <w:vAlign w:val="bottom"/>
            <w:hideMark/>
          </w:tcPr>
          <w:p w:rsidR="00FA23D0" w:rsidRPr="00645C76" w:rsidRDefault="00FA23D0">
            <w:pPr>
              <w:jc w:val="right"/>
              <w:rPr>
                <w:color w:val="000000"/>
                <w:sz w:val="20"/>
                <w:szCs w:val="20"/>
              </w:rPr>
            </w:pPr>
            <w:r w:rsidRPr="00645C76">
              <w:rPr>
                <w:color w:val="000000"/>
                <w:sz w:val="20"/>
                <w:szCs w:val="20"/>
              </w:rPr>
              <w:t>54,3%</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32,5%</w:t>
            </w:r>
          </w:p>
        </w:tc>
      </w:tr>
      <w:tr w:rsidR="00AD464C" w:rsidRPr="00645C76" w:rsidTr="006D0521">
        <w:trPr>
          <w:trHeight w:val="276"/>
        </w:trPr>
        <w:tc>
          <w:tcPr>
            <w:tcW w:w="824" w:type="dxa"/>
            <w:shd w:val="clear" w:color="auto" w:fill="auto"/>
            <w:noWrap/>
            <w:vAlign w:val="bottom"/>
            <w:hideMark/>
          </w:tcPr>
          <w:p w:rsidR="00FA23D0" w:rsidRPr="00645C76" w:rsidRDefault="00FA23D0">
            <w:pPr>
              <w:rPr>
                <w:color w:val="000000"/>
                <w:sz w:val="20"/>
                <w:szCs w:val="20"/>
              </w:rPr>
            </w:pPr>
            <w:r w:rsidRPr="00645C76">
              <w:rPr>
                <w:color w:val="000000"/>
                <w:sz w:val="20"/>
                <w:szCs w:val="20"/>
              </w:rPr>
              <w:t>par</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6,4%</w:t>
            </w:r>
          </w:p>
        </w:tc>
        <w:tc>
          <w:tcPr>
            <w:tcW w:w="102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5,2%</w:t>
            </w:r>
          </w:p>
        </w:tc>
        <w:tc>
          <w:tcPr>
            <w:tcW w:w="680" w:type="dxa"/>
            <w:shd w:val="clear" w:color="000000" w:fill="FFFF00"/>
            <w:noWrap/>
            <w:vAlign w:val="bottom"/>
            <w:hideMark/>
          </w:tcPr>
          <w:p w:rsidR="00FA23D0" w:rsidRPr="00645C76" w:rsidRDefault="00FA23D0">
            <w:pPr>
              <w:jc w:val="right"/>
              <w:rPr>
                <w:color w:val="000000"/>
                <w:sz w:val="20"/>
                <w:szCs w:val="20"/>
              </w:rPr>
            </w:pPr>
            <w:r w:rsidRPr="00645C76">
              <w:rPr>
                <w:color w:val="000000"/>
                <w:sz w:val="20"/>
                <w:szCs w:val="20"/>
              </w:rPr>
              <w:t>28,2%</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12,6%</w:t>
            </w:r>
          </w:p>
        </w:tc>
        <w:tc>
          <w:tcPr>
            <w:tcW w:w="850" w:type="dxa"/>
            <w:shd w:val="clear" w:color="000000" w:fill="FFFF00"/>
            <w:noWrap/>
            <w:vAlign w:val="bottom"/>
            <w:hideMark/>
          </w:tcPr>
          <w:p w:rsidR="00FA23D0" w:rsidRPr="00645C76" w:rsidRDefault="00FA23D0">
            <w:pPr>
              <w:jc w:val="right"/>
              <w:rPr>
                <w:color w:val="000000"/>
                <w:sz w:val="20"/>
                <w:szCs w:val="20"/>
              </w:rPr>
            </w:pPr>
            <w:r w:rsidRPr="00645C76">
              <w:rPr>
                <w:color w:val="000000"/>
                <w:sz w:val="20"/>
                <w:szCs w:val="20"/>
              </w:rPr>
              <w:t>18,6%</w:t>
            </w:r>
          </w:p>
        </w:tc>
        <w:tc>
          <w:tcPr>
            <w:tcW w:w="850" w:type="dxa"/>
            <w:shd w:val="clear" w:color="000000" w:fill="FFFF00"/>
            <w:noWrap/>
            <w:vAlign w:val="bottom"/>
            <w:hideMark/>
          </w:tcPr>
          <w:p w:rsidR="00FA23D0" w:rsidRPr="00645C76" w:rsidRDefault="00FA23D0">
            <w:pPr>
              <w:jc w:val="right"/>
              <w:rPr>
                <w:color w:val="000000"/>
                <w:sz w:val="20"/>
                <w:szCs w:val="20"/>
              </w:rPr>
            </w:pPr>
            <w:r w:rsidRPr="00645C76">
              <w:rPr>
                <w:color w:val="000000"/>
                <w:sz w:val="20"/>
                <w:szCs w:val="20"/>
              </w:rPr>
              <w:t>18,3%</w:t>
            </w:r>
          </w:p>
        </w:tc>
        <w:tc>
          <w:tcPr>
            <w:tcW w:w="850" w:type="dxa"/>
            <w:shd w:val="clear" w:color="000000" w:fill="00B0F0"/>
            <w:noWrap/>
            <w:vAlign w:val="bottom"/>
            <w:hideMark/>
          </w:tcPr>
          <w:p w:rsidR="00FA23D0" w:rsidRPr="00645C76" w:rsidRDefault="00FA23D0">
            <w:pPr>
              <w:jc w:val="right"/>
              <w:rPr>
                <w:color w:val="000000"/>
                <w:sz w:val="20"/>
                <w:szCs w:val="20"/>
              </w:rPr>
            </w:pPr>
            <w:r w:rsidRPr="00645C76">
              <w:rPr>
                <w:color w:val="000000"/>
                <w:sz w:val="20"/>
                <w:szCs w:val="20"/>
              </w:rPr>
              <w:t>1,7%</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6,9%</w:t>
            </w:r>
          </w:p>
        </w:tc>
        <w:tc>
          <w:tcPr>
            <w:tcW w:w="850" w:type="dxa"/>
            <w:shd w:val="clear" w:color="000000" w:fill="00B0F0"/>
            <w:noWrap/>
            <w:vAlign w:val="bottom"/>
            <w:hideMark/>
          </w:tcPr>
          <w:p w:rsidR="00FA23D0" w:rsidRPr="00645C76" w:rsidRDefault="00FA23D0">
            <w:pPr>
              <w:jc w:val="right"/>
              <w:rPr>
                <w:color w:val="000000"/>
                <w:sz w:val="20"/>
                <w:szCs w:val="20"/>
              </w:rPr>
            </w:pPr>
            <w:r w:rsidRPr="00645C76">
              <w:rPr>
                <w:color w:val="000000"/>
                <w:sz w:val="20"/>
                <w:szCs w:val="20"/>
              </w:rPr>
              <w:t>3,4%</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8,6%</w:t>
            </w:r>
          </w:p>
        </w:tc>
      </w:tr>
      <w:tr w:rsidR="00AD464C" w:rsidRPr="00645C76" w:rsidTr="006D0521">
        <w:trPr>
          <w:trHeight w:val="276"/>
        </w:trPr>
        <w:tc>
          <w:tcPr>
            <w:tcW w:w="824" w:type="dxa"/>
            <w:shd w:val="clear" w:color="auto" w:fill="auto"/>
            <w:noWrap/>
            <w:vAlign w:val="bottom"/>
            <w:hideMark/>
          </w:tcPr>
          <w:p w:rsidR="00FA23D0" w:rsidRPr="00645C76" w:rsidRDefault="00FA23D0">
            <w:pPr>
              <w:rPr>
                <w:color w:val="000000"/>
                <w:sz w:val="20"/>
                <w:szCs w:val="20"/>
              </w:rPr>
            </w:pPr>
            <w:r w:rsidRPr="00645C76">
              <w:rPr>
                <w:color w:val="000000"/>
                <w:sz w:val="20"/>
                <w:szCs w:val="20"/>
              </w:rPr>
              <w:t>pour</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5,1%</w:t>
            </w:r>
          </w:p>
        </w:tc>
        <w:tc>
          <w:tcPr>
            <w:tcW w:w="102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4,2%</w:t>
            </w:r>
          </w:p>
        </w:tc>
        <w:tc>
          <w:tcPr>
            <w:tcW w:w="68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5,8%</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3,5%</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6,2%</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4,8%</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5,1%</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2,8%</w:t>
            </w:r>
          </w:p>
        </w:tc>
        <w:tc>
          <w:tcPr>
            <w:tcW w:w="850" w:type="dxa"/>
            <w:shd w:val="clear" w:color="000000" w:fill="00B0F0"/>
            <w:noWrap/>
            <w:vAlign w:val="bottom"/>
            <w:hideMark/>
          </w:tcPr>
          <w:p w:rsidR="00FA23D0" w:rsidRPr="00645C76" w:rsidRDefault="00FA23D0">
            <w:pPr>
              <w:jc w:val="right"/>
              <w:rPr>
                <w:color w:val="000000"/>
                <w:sz w:val="20"/>
                <w:szCs w:val="20"/>
              </w:rPr>
            </w:pPr>
            <w:r w:rsidRPr="00645C76">
              <w:rPr>
                <w:color w:val="000000"/>
                <w:sz w:val="20"/>
                <w:szCs w:val="20"/>
              </w:rPr>
              <w:t>1,5%</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3,7%</w:t>
            </w:r>
          </w:p>
        </w:tc>
      </w:tr>
      <w:tr w:rsidR="00AD464C" w:rsidRPr="00645C76" w:rsidTr="006D0521">
        <w:trPr>
          <w:trHeight w:val="276"/>
        </w:trPr>
        <w:tc>
          <w:tcPr>
            <w:tcW w:w="824" w:type="dxa"/>
            <w:shd w:val="clear" w:color="auto" w:fill="auto"/>
            <w:noWrap/>
            <w:vAlign w:val="bottom"/>
            <w:hideMark/>
          </w:tcPr>
          <w:p w:rsidR="00FA23D0" w:rsidRPr="00645C76" w:rsidRDefault="00FA23D0">
            <w:pPr>
              <w:rPr>
                <w:color w:val="000000"/>
                <w:sz w:val="20"/>
                <w:szCs w:val="20"/>
              </w:rPr>
            </w:pPr>
            <w:r w:rsidRPr="00645C76">
              <w:rPr>
                <w:color w:val="000000"/>
                <w:sz w:val="20"/>
                <w:szCs w:val="20"/>
              </w:rPr>
              <w:t>sur</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7,1%</w:t>
            </w:r>
          </w:p>
        </w:tc>
        <w:tc>
          <w:tcPr>
            <w:tcW w:w="102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5,2%</w:t>
            </w:r>
          </w:p>
        </w:tc>
        <w:tc>
          <w:tcPr>
            <w:tcW w:w="68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6,8%</w:t>
            </w:r>
          </w:p>
        </w:tc>
        <w:tc>
          <w:tcPr>
            <w:tcW w:w="850" w:type="dxa"/>
            <w:shd w:val="clear" w:color="000000" w:fill="FFFF00"/>
            <w:noWrap/>
            <w:vAlign w:val="bottom"/>
            <w:hideMark/>
          </w:tcPr>
          <w:p w:rsidR="00FA23D0" w:rsidRPr="00645C76" w:rsidRDefault="00FA23D0">
            <w:pPr>
              <w:jc w:val="right"/>
              <w:rPr>
                <w:color w:val="000000"/>
                <w:sz w:val="20"/>
                <w:szCs w:val="20"/>
              </w:rPr>
            </w:pPr>
            <w:r w:rsidRPr="00645C76">
              <w:rPr>
                <w:color w:val="000000"/>
                <w:sz w:val="20"/>
                <w:szCs w:val="20"/>
              </w:rPr>
              <w:t>8,4%</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4,7%</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7,2%</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1,4%</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4,8%</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3,8%</w:t>
            </w:r>
          </w:p>
        </w:tc>
        <w:tc>
          <w:tcPr>
            <w:tcW w:w="850" w:type="dxa"/>
            <w:shd w:val="clear" w:color="auto" w:fill="auto"/>
            <w:noWrap/>
            <w:vAlign w:val="bottom"/>
            <w:hideMark/>
          </w:tcPr>
          <w:p w:rsidR="00FA23D0" w:rsidRPr="00645C76" w:rsidRDefault="00FA23D0">
            <w:pPr>
              <w:jc w:val="right"/>
              <w:rPr>
                <w:color w:val="000000"/>
                <w:sz w:val="20"/>
                <w:szCs w:val="20"/>
              </w:rPr>
            </w:pPr>
            <w:r w:rsidRPr="00645C76">
              <w:rPr>
                <w:color w:val="000000"/>
                <w:sz w:val="20"/>
                <w:szCs w:val="20"/>
              </w:rPr>
              <w:t>4,8%</w:t>
            </w:r>
          </w:p>
        </w:tc>
      </w:tr>
    </w:tbl>
    <w:p w:rsidR="002F4A2B" w:rsidRPr="002F4A2B" w:rsidRDefault="002F4A2B" w:rsidP="002F4A2B">
      <w:pPr>
        <w:spacing w:after="120"/>
        <w:jc w:val="both"/>
        <w:rPr>
          <w:rFonts w:eastAsiaTheme="majorEastAsia"/>
          <w:i/>
          <w:sz w:val="22"/>
          <w:szCs w:val="22"/>
          <w:lang w:val="fr-BE"/>
        </w:rPr>
      </w:pPr>
      <w:r w:rsidRPr="007E1660">
        <w:rPr>
          <w:rFonts w:eastAsiaTheme="majorEastAsia"/>
          <w:i/>
          <w:sz w:val="22"/>
          <w:szCs w:val="22"/>
          <w:lang w:val="fr-BE"/>
        </w:rPr>
        <w:t>Figure 2</w:t>
      </w:r>
      <w:r w:rsidR="00552140" w:rsidRPr="007E1660">
        <w:rPr>
          <w:rFonts w:eastAsiaTheme="majorEastAsia"/>
          <w:i/>
          <w:sz w:val="22"/>
          <w:szCs w:val="22"/>
          <w:lang w:val="fr-BE"/>
        </w:rPr>
        <w:t>- Distribution des structures selon les sous-genres</w:t>
      </w:r>
    </w:p>
    <w:p w:rsidR="00B36CA7" w:rsidRDefault="00633726" w:rsidP="00882635">
      <w:pPr>
        <w:spacing w:before="120"/>
        <w:jc w:val="both"/>
        <w:rPr>
          <w:rFonts w:eastAsiaTheme="majorEastAsia"/>
          <w:lang w:val="fr-BE"/>
        </w:rPr>
      </w:pPr>
      <w:r>
        <w:rPr>
          <w:rFonts w:eastAsiaTheme="majorEastAsia"/>
          <w:lang w:val="fr-BE"/>
        </w:rPr>
        <w:t>Pour les prépositions équitablement réparties</w:t>
      </w:r>
      <w:r w:rsidR="001F36BA" w:rsidRPr="001F36BA">
        <w:rPr>
          <w:rFonts w:eastAsiaTheme="majorEastAsia"/>
          <w:lang w:val="fr-BE"/>
        </w:rPr>
        <w:t xml:space="preserve">, </w:t>
      </w:r>
      <w:r>
        <w:rPr>
          <w:rFonts w:eastAsiaTheme="majorEastAsia"/>
          <w:lang w:val="fr-BE"/>
        </w:rPr>
        <w:t>globalement</w:t>
      </w:r>
      <w:r w:rsidR="001F36BA" w:rsidRPr="001F36BA">
        <w:rPr>
          <w:rFonts w:eastAsiaTheme="majorEastAsia"/>
          <w:lang w:val="fr-BE"/>
        </w:rPr>
        <w:t xml:space="preserve">, </w:t>
      </w:r>
      <w:r>
        <w:rPr>
          <w:rFonts w:eastAsiaTheme="majorEastAsia"/>
          <w:lang w:val="fr-BE"/>
        </w:rPr>
        <w:t>dans les deux ensembles génériques</w:t>
      </w:r>
      <w:r w:rsidR="001F36BA" w:rsidRPr="001F36BA">
        <w:rPr>
          <w:rFonts w:eastAsiaTheme="majorEastAsia"/>
          <w:lang w:val="fr-BE"/>
        </w:rPr>
        <w:t xml:space="preserve">, </w:t>
      </w:r>
      <w:r>
        <w:rPr>
          <w:rFonts w:eastAsiaTheme="majorEastAsia"/>
          <w:lang w:val="fr-BE"/>
        </w:rPr>
        <w:t>on constate cependant que certains sous-corpus se distinguent par un emploi spécifique</w:t>
      </w:r>
      <w:r w:rsidR="001F36BA" w:rsidRPr="001F36BA">
        <w:rPr>
          <w:rFonts w:eastAsiaTheme="majorEastAsia"/>
          <w:lang w:val="fr-BE"/>
        </w:rPr>
        <w:t xml:space="preserve">, </w:t>
      </w:r>
      <w:r>
        <w:rPr>
          <w:rFonts w:eastAsiaTheme="majorEastAsia"/>
          <w:lang w:val="fr-BE"/>
        </w:rPr>
        <w:t>excédentaire ou déficitaire. C</w:t>
      </w:r>
      <w:r w:rsidR="00806CAF">
        <w:rPr>
          <w:rFonts w:eastAsiaTheme="majorEastAsia"/>
          <w:lang w:val="fr-BE"/>
        </w:rPr>
        <w:t>’</w:t>
      </w:r>
      <w:r>
        <w:rPr>
          <w:rFonts w:eastAsiaTheme="majorEastAsia"/>
          <w:lang w:val="fr-BE"/>
        </w:rPr>
        <w:t xml:space="preserve">est la collection </w:t>
      </w:r>
      <w:proofErr w:type="spellStart"/>
      <w:r w:rsidRPr="008F511B">
        <w:rPr>
          <w:rFonts w:eastAsiaTheme="majorEastAsia"/>
          <w:i/>
          <w:lang w:val="fr-BE"/>
        </w:rPr>
        <w:t>Harlequin</w:t>
      </w:r>
      <w:proofErr w:type="spellEnd"/>
      <w:r>
        <w:rPr>
          <w:rFonts w:eastAsiaTheme="majorEastAsia"/>
          <w:lang w:val="fr-BE"/>
        </w:rPr>
        <w:t xml:space="preserve"> qui concentre le plus fort effectif de structures avec préposition « à »</w:t>
      </w:r>
      <w:r w:rsidR="001F36BA" w:rsidRPr="001F36BA">
        <w:rPr>
          <w:rFonts w:eastAsiaTheme="majorEastAsia"/>
          <w:lang w:val="fr-BE"/>
        </w:rPr>
        <w:t xml:space="preserve">, </w:t>
      </w:r>
      <w:r>
        <w:rPr>
          <w:rFonts w:eastAsiaTheme="majorEastAsia"/>
          <w:lang w:val="fr-BE"/>
        </w:rPr>
        <w:t xml:space="preserve">tandis que </w:t>
      </w:r>
      <w:r w:rsidRPr="00633726">
        <w:rPr>
          <w:rFonts w:eastAsiaTheme="majorEastAsia"/>
          <w:i/>
          <w:lang w:val="fr-BE"/>
        </w:rPr>
        <w:t>Libération</w:t>
      </w:r>
      <w:r>
        <w:rPr>
          <w:rFonts w:eastAsiaTheme="majorEastAsia"/>
          <w:lang w:val="fr-BE"/>
        </w:rPr>
        <w:t xml:space="preserve"> attire les structures organisées autour de « après ». La préposition « contre » assure un passage </w:t>
      </w:r>
      <w:proofErr w:type="spellStart"/>
      <w:r>
        <w:rPr>
          <w:rFonts w:eastAsiaTheme="majorEastAsia"/>
          <w:lang w:val="fr-BE"/>
        </w:rPr>
        <w:t>transgénérique</w:t>
      </w:r>
      <w:proofErr w:type="spellEnd"/>
      <w:r>
        <w:rPr>
          <w:rFonts w:eastAsiaTheme="majorEastAsia"/>
          <w:lang w:val="fr-BE"/>
        </w:rPr>
        <w:t xml:space="preserve"> en étant prisée aussi bien du </w:t>
      </w:r>
      <w:r w:rsidRPr="0084026F">
        <w:rPr>
          <w:rFonts w:eastAsiaTheme="majorEastAsia"/>
          <w:i/>
          <w:lang w:val="fr-BE"/>
        </w:rPr>
        <w:t xml:space="preserve">Figaro </w:t>
      </w:r>
      <w:r>
        <w:rPr>
          <w:rFonts w:eastAsiaTheme="majorEastAsia"/>
          <w:lang w:val="fr-BE"/>
        </w:rPr>
        <w:t xml:space="preserve">que du roman </w:t>
      </w:r>
      <w:proofErr w:type="spellStart"/>
      <w:r w:rsidRPr="0084026F">
        <w:rPr>
          <w:rFonts w:eastAsiaTheme="majorEastAsia"/>
          <w:i/>
          <w:lang w:val="fr-BE"/>
        </w:rPr>
        <w:t>Harlequin</w:t>
      </w:r>
      <w:proofErr w:type="spellEnd"/>
      <w:r>
        <w:rPr>
          <w:rFonts w:eastAsiaTheme="majorEastAsia"/>
          <w:lang w:val="fr-BE"/>
        </w:rPr>
        <w:t xml:space="preserve">. </w:t>
      </w:r>
    </w:p>
    <w:p w:rsidR="006E3A38" w:rsidRDefault="006E3A38" w:rsidP="00ED748C">
      <w:pPr>
        <w:spacing w:after="120"/>
        <w:jc w:val="both"/>
        <w:rPr>
          <w:rFonts w:eastAsiaTheme="majorEastAsia"/>
          <w:lang w:val="fr-BE"/>
        </w:rPr>
      </w:pPr>
      <w:r>
        <w:rPr>
          <w:rFonts w:eastAsiaTheme="majorEastAsia"/>
          <w:lang w:val="fr-BE"/>
        </w:rPr>
        <w:t>La primauté de la structure « de</w:t>
      </w:r>
      <w:r w:rsidR="00560DC6">
        <w:rPr>
          <w:rFonts w:eastAsiaTheme="majorEastAsia"/>
          <w:lang w:val="fr-BE"/>
        </w:rPr>
        <w:t xml:space="preserve"> </w:t>
      </w:r>
      <w:r>
        <w:rPr>
          <w:rFonts w:eastAsiaTheme="majorEastAsia"/>
          <w:lang w:val="fr-BE"/>
        </w:rPr>
        <w:t>…</w:t>
      </w:r>
      <w:r w:rsidR="00560DC6">
        <w:rPr>
          <w:rFonts w:eastAsiaTheme="majorEastAsia"/>
          <w:lang w:val="fr-BE"/>
        </w:rPr>
        <w:t xml:space="preserve"> </w:t>
      </w:r>
      <w:r>
        <w:rPr>
          <w:rFonts w:eastAsiaTheme="majorEastAsia"/>
          <w:lang w:val="fr-BE"/>
        </w:rPr>
        <w:t>à » est confirmée pour l</w:t>
      </w:r>
      <w:r w:rsidR="00B9706C">
        <w:rPr>
          <w:rFonts w:eastAsiaTheme="majorEastAsia"/>
          <w:lang w:val="fr-BE"/>
        </w:rPr>
        <w:t>’</w:t>
      </w:r>
      <w:r>
        <w:rPr>
          <w:rFonts w:eastAsiaTheme="majorEastAsia"/>
          <w:lang w:val="fr-BE"/>
        </w:rPr>
        <w:t>ensemble médiatique et</w:t>
      </w:r>
      <w:r w:rsidR="001F36BA" w:rsidRPr="001F36BA">
        <w:rPr>
          <w:rFonts w:eastAsiaTheme="majorEastAsia"/>
          <w:lang w:val="fr-BE"/>
        </w:rPr>
        <w:t xml:space="preserve">, </w:t>
      </w:r>
      <w:r>
        <w:rPr>
          <w:rFonts w:eastAsiaTheme="majorEastAsia"/>
          <w:lang w:val="fr-BE"/>
        </w:rPr>
        <w:t>en particulier</w:t>
      </w:r>
      <w:r w:rsidR="001F36BA" w:rsidRPr="001F36BA">
        <w:rPr>
          <w:rFonts w:eastAsiaTheme="majorEastAsia"/>
          <w:lang w:val="fr-BE"/>
        </w:rPr>
        <w:t xml:space="preserve">, </w:t>
      </w:r>
      <w:r>
        <w:rPr>
          <w:rFonts w:eastAsiaTheme="majorEastAsia"/>
          <w:lang w:val="fr-BE"/>
        </w:rPr>
        <w:t>par trois journaux</w:t>
      </w:r>
      <w:r w:rsidR="001F36BA" w:rsidRPr="001F36BA">
        <w:rPr>
          <w:rFonts w:eastAsiaTheme="majorEastAsia"/>
          <w:lang w:val="fr-BE"/>
        </w:rPr>
        <w:t xml:space="preserve">, </w:t>
      </w:r>
      <w:r>
        <w:rPr>
          <w:rFonts w:eastAsiaTheme="majorEastAsia"/>
          <w:lang w:val="fr-BE"/>
        </w:rPr>
        <w:t>l</w:t>
      </w:r>
      <w:r w:rsidR="00B9706C">
        <w:rPr>
          <w:rFonts w:eastAsiaTheme="majorEastAsia"/>
          <w:lang w:val="fr-BE"/>
        </w:rPr>
        <w:t>’</w:t>
      </w:r>
      <w:r>
        <w:rPr>
          <w:rFonts w:eastAsiaTheme="majorEastAsia"/>
          <w:lang w:val="fr-BE"/>
        </w:rPr>
        <w:t xml:space="preserve">un régional </w:t>
      </w:r>
      <w:r w:rsidRPr="00155661">
        <w:rPr>
          <w:rFonts w:eastAsiaTheme="majorEastAsia"/>
          <w:i/>
          <w:lang w:val="fr-BE"/>
        </w:rPr>
        <w:t>L</w:t>
      </w:r>
      <w:r w:rsidR="00B9706C">
        <w:rPr>
          <w:rFonts w:eastAsiaTheme="majorEastAsia"/>
          <w:i/>
          <w:lang w:val="fr-BE"/>
        </w:rPr>
        <w:t>’</w:t>
      </w:r>
      <w:r w:rsidRPr="00155661">
        <w:rPr>
          <w:rFonts w:eastAsiaTheme="majorEastAsia"/>
          <w:i/>
          <w:lang w:val="fr-BE"/>
        </w:rPr>
        <w:t>Est Républicain</w:t>
      </w:r>
      <w:r w:rsidR="001F36BA" w:rsidRPr="001F36BA">
        <w:rPr>
          <w:rFonts w:eastAsiaTheme="majorEastAsia"/>
          <w:lang w:val="fr-BE"/>
        </w:rPr>
        <w:t xml:space="preserve">, </w:t>
      </w:r>
      <w:r w:rsidR="00155661">
        <w:rPr>
          <w:rFonts w:eastAsiaTheme="majorEastAsia"/>
          <w:lang w:val="fr-BE"/>
        </w:rPr>
        <w:t xml:space="preserve">les </w:t>
      </w:r>
      <w:r>
        <w:rPr>
          <w:rFonts w:eastAsiaTheme="majorEastAsia"/>
          <w:lang w:val="fr-BE"/>
        </w:rPr>
        <w:t>deux</w:t>
      </w:r>
      <w:r w:rsidR="00155661">
        <w:rPr>
          <w:rFonts w:eastAsiaTheme="majorEastAsia"/>
          <w:lang w:val="fr-BE"/>
        </w:rPr>
        <w:t xml:space="preserve"> autres</w:t>
      </w:r>
      <w:r>
        <w:rPr>
          <w:rFonts w:eastAsiaTheme="majorEastAsia"/>
          <w:lang w:val="fr-BE"/>
        </w:rPr>
        <w:t xml:space="preserve"> nationaux</w:t>
      </w:r>
      <w:r w:rsidR="001F36BA" w:rsidRPr="001F36BA">
        <w:rPr>
          <w:rFonts w:eastAsiaTheme="majorEastAsia"/>
          <w:lang w:val="fr-BE"/>
        </w:rPr>
        <w:t xml:space="preserve">, </w:t>
      </w:r>
      <w:r w:rsidRPr="00155661">
        <w:rPr>
          <w:rFonts w:eastAsiaTheme="majorEastAsia"/>
          <w:i/>
          <w:lang w:val="fr-BE"/>
        </w:rPr>
        <w:t xml:space="preserve">Libération </w:t>
      </w:r>
      <w:r>
        <w:rPr>
          <w:rFonts w:eastAsiaTheme="majorEastAsia"/>
          <w:lang w:val="fr-BE"/>
        </w:rPr>
        <w:t xml:space="preserve">et </w:t>
      </w:r>
      <w:r w:rsidRPr="00155661">
        <w:rPr>
          <w:rFonts w:eastAsiaTheme="majorEastAsia"/>
          <w:i/>
          <w:lang w:val="fr-BE"/>
        </w:rPr>
        <w:t>Le Monde</w:t>
      </w:r>
      <w:r>
        <w:rPr>
          <w:rFonts w:eastAsiaTheme="majorEastAsia"/>
          <w:lang w:val="fr-BE"/>
        </w:rPr>
        <w:t>. Parallèlement</w:t>
      </w:r>
      <w:r w:rsidR="001F36BA" w:rsidRPr="001F36BA">
        <w:rPr>
          <w:rFonts w:eastAsiaTheme="majorEastAsia"/>
          <w:lang w:val="fr-BE"/>
        </w:rPr>
        <w:t xml:space="preserve">, </w:t>
      </w:r>
      <w:r>
        <w:rPr>
          <w:rFonts w:eastAsiaTheme="majorEastAsia"/>
          <w:lang w:val="fr-BE"/>
        </w:rPr>
        <w:t>la structure « de</w:t>
      </w:r>
      <w:r w:rsidR="00560DC6">
        <w:rPr>
          <w:rFonts w:eastAsiaTheme="majorEastAsia"/>
          <w:lang w:val="fr-BE"/>
        </w:rPr>
        <w:t xml:space="preserve"> </w:t>
      </w:r>
      <w:r>
        <w:rPr>
          <w:rFonts w:eastAsiaTheme="majorEastAsia"/>
          <w:lang w:val="fr-BE"/>
        </w:rPr>
        <w:t>…</w:t>
      </w:r>
      <w:r w:rsidR="00560DC6">
        <w:rPr>
          <w:rFonts w:eastAsiaTheme="majorEastAsia"/>
          <w:lang w:val="fr-BE"/>
        </w:rPr>
        <w:t xml:space="preserve"> </w:t>
      </w:r>
      <w:r>
        <w:rPr>
          <w:rFonts w:eastAsiaTheme="majorEastAsia"/>
          <w:lang w:val="fr-BE"/>
        </w:rPr>
        <w:t>en »</w:t>
      </w:r>
      <w:r w:rsidR="001F36BA" w:rsidRPr="001F36BA">
        <w:rPr>
          <w:rFonts w:eastAsiaTheme="majorEastAsia"/>
          <w:lang w:val="fr-BE"/>
        </w:rPr>
        <w:t xml:space="preserve">, </w:t>
      </w:r>
      <w:r>
        <w:rPr>
          <w:rFonts w:eastAsiaTheme="majorEastAsia"/>
          <w:lang w:val="fr-BE"/>
        </w:rPr>
        <w:t>apparue comme caractéristique de l</w:t>
      </w:r>
      <w:r w:rsidR="00B9706C">
        <w:rPr>
          <w:rFonts w:eastAsiaTheme="majorEastAsia"/>
          <w:lang w:val="fr-BE"/>
        </w:rPr>
        <w:t>’</w:t>
      </w:r>
      <w:r>
        <w:rPr>
          <w:rFonts w:eastAsiaTheme="majorEastAsia"/>
          <w:lang w:val="fr-BE"/>
        </w:rPr>
        <w:t>ensemble fictionnel</w:t>
      </w:r>
      <w:r w:rsidR="001F36BA" w:rsidRPr="001F36BA">
        <w:rPr>
          <w:rFonts w:eastAsiaTheme="majorEastAsia"/>
          <w:lang w:val="fr-BE"/>
        </w:rPr>
        <w:t xml:space="preserve">, </w:t>
      </w:r>
      <w:r>
        <w:rPr>
          <w:rFonts w:eastAsiaTheme="majorEastAsia"/>
          <w:lang w:val="fr-BE"/>
        </w:rPr>
        <w:t xml:space="preserve">se </w:t>
      </w:r>
      <w:r w:rsidR="00155661">
        <w:rPr>
          <w:rFonts w:eastAsiaTheme="majorEastAsia"/>
          <w:lang w:val="fr-BE"/>
        </w:rPr>
        <w:t xml:space="preserve">trouve </w:t>
      </w:r>
      <w:proofErr w:type="spellStart"/>
      <w:r w:rsidR="00155661">
        <w:rPr>
          <w:rFonts w:eastAsiaTheme="majorEastAsia"/>
          <w:lang w:val="fr-BE"/>
        </w:rPr>
        <w:t>sur-représentée</w:t>
      </w:r>
      <w:proofErr w:type="spellEnd"/>
      <w:r w:rsidR="00155661">
        <w:rPr>
          <w:rFonts w:eastAsiaTheme="majorEastAsia"/>
          <w:lang w:val="fr-BE"/>
        </w:rPr>
        <w:t xml:space="preserve"> dans le </w:t>
      </w:r>
      <w:r w:rsidR="00155661" w:rsidRPr="008F511B">
        <w:rPr>
          <w:rFonts w:eastAsiaTheme="majorEastAsia"/>
          <w:i/>
          <w:lang w:val="fr-BE"/>
        </w:rPr>
        <w:t>R</w:t>
      </w:r>
      <w:r w:rsidRPr="008F511B">
        <w:rPr>
          <w:rFonts w:eastAsiaTheme="majorEastAsia"/>
          <w:i/>
          <w:lang w:val="fr-BE"/>
        </w:rPr>
        <w:t>oman sérieux</w:t>
      </w:r>
      <w:r>
        <w:rPr>
          <w:rFonts w:eastAsiaTheme="majorEastAsia"/>
          <w:lang w:val="fr-BE"/>
        </w:rPr>
        <w:t xml:space="preserve"> tandis que la collection </w:t>
      </w:r>
      <w:proofErr w:type="spellStart"/>
      <w:r w:rsidRPr="00155661">
        <w:rPr>
          <w:rFonts w:eastAsiaTheme="majorEastAsia"/>
          <w:i/>
          <w:lang w:val="fr-BE"/>
        </w:rPr>
        <w:t>Harlequin</w:t>
      </w:r>
      <w:proofErr w:type="spellEnd"/>
      <w:r>
        <w:rPr>
          <w:rFonts w:eastAsiaTheme="majorEastAsia"/>
          <w:lang w:val="fr-BE"/>
        </w:rPr>
        <w:t xml:space="preserve"> marque le pas dans </w:t>
      </w:r>
      <w:r w:rsidR="00155661">
        <w:rPr>
          <w:rFonts w:eastAsiaTheme="majorEastAsia"/>
          <w:lang w:val="fr-BE"/>
        </w:rPr>
        <w:t>son camp générique.</w:t>
      </w:r>
    </w:p>
    <w:p w:rsidR="00FD1B9F" w:rsidRDefault="00FD1B9F" w:rsidP="00882635">
      <w:pPr>
        <w:spacing w:before="120"/>
        <w:jc w:val="both"/>
        <w:rPr>
          <w:rFonts w:eastAsiaTheme="majorEastAsia"/>
          <w:lang w:val="fr-BE"/>
        </w:rPr>
      </w:pPr>
      <w:r>
        <w:rPr>
          <w:rFonts w:eastAsiaTheme="majorEastAsia"/>
          <w:lang w:val="fr-BE"/>
        </w:rPr>
        <w:t xml:space="preserve">L’analyse arborée suivante permet de visualiser les affinités </w:t>
      </w:r>
      <w:r w:rsidRPr="007E1660">
        <w:rPr>
          <w:rFonts w:eastAsiaTheme="majorEastAsia"/>
          <w:lang w:val="fr-BE"/>
        </w:rPr>
        <w:t xml:space="preserve">des </w:t>
      </w:r>
      <w:r w:rsidR="004415C7" w:rsidRPr="007E1660">
        <w:rPr>
          <w:rFonts w:eastAsiaTheme="majorEastAsia"/>
          <w:lang w:val="fr-BE"/>
        </w:rPr>
        <w:t>partitions</w:t>
      </w:r>
      <w:r w:rsidRPr="007E1660">
        <w:rPr>
          <w:rFonts w:eastAsiaTheme="majorEastAsia"/>
          <w:lang w:val="fr-BE"/>
        </w:rPr>
        <w:t xml:space="preserve"> du</w:t>
      </w:r>
      <w:r>
        <w:rPr>
          <w:rFonts w:eastAsiaTheme="majorEastAsia"/>
          <w:lang w:val="fr-BE"/>
        </w:rPr>
        <w:t xml:space="preserve"> corpus quant à l’emploi des structures </w:t>
      </w:r>
      <w:proofErr w:type="spellStart"/>
      <w:r w:rsidRPr="008D53EC">
        <w:rPr>
          <w:rFonts w:eastAsiaTheme="majorEastAsia"/>
          <w:lang w:val="fr-BE"/>
        </w:rPr>
        <w:t>NpN</w:t>
      </w:r>
      <w:proofErr w:type="spellEnd"/>
      <w:r w:rsidRPr="008D53EC">
        <w:rPr>
          <w:rFonts w:eastAsiaTheme="majorEastAsia"/>
          <w:lang w:val="fr-BE"/>
        </w:rPr>
        <w:t xml:space="preserve"> </w:t>
      </w:r>
      <w:r>
        <w:rPr>
          <w:rFonts w:eastAsiaTheme="majorEastAsia"/>
          <w:lang w:val="fr-BE"/>
        </w:rPr>
        <w:t xml:space="preserve">et l’analyse factorielle </w:t>
      </w:r>
      <w:r w:rsidR="00660CD9">
        <w:rPr>
          <w:rFonts w:eastAsiaTheme="majorEastAsia"/>
          <w:lang w:val="fr-BE"/>
        </w:rPr>
        <w:t xml:space="preserve">précise ces affinités en affichant les proximités entre les prépositions pivots des structures. </w:t>
      </w:r>
    </w:p>
    <w:p w:rsidR="00A7014D" w:rsidRDefault="00A7014D" w:rsidP="00ED748C">
      <w:pPr>
        <w:spacing w:after="120"/>
        <w:jc w:val="both"/>
        <w:rPr>
          <w:rFonts w:eastAsiaTheme="majorEastAsia"/>
          <w:lang w:val="fr-BE"/>
        </w:rPr>
      </w:pPr>
    </w:p>
    <w:p w:rsidR="00A7014D" w:rsidRDefault="00A7014D" w:rsidP="00A7014D">
      <w:pPr>
        <w:rPr>
          <w:lang w:val="fr-BE"/>
        </w:rPr>
      </w:pPr>
      <w:r>
        <w:rPr>
          <w:noProof/>
          <w:lang w:eastAsia="fr-FR"/>
        </w:rPr>
        <w:drawing>
          <wp:inline distT="0" distB="0" distL="0" distR="0" wp14:anchorId="65BDB6EB" wp14:editId="3A1F4C0F">
            <wp:extent cx="3187700" cy="323215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7700" cy="3232150"/>
                    </a:xfrm>
                    <a:prstGeom prst="rect">
                      <a:avLst/>
                    </a:prstGeom>
                    <a:noFill/>
                    <a:ln>
                      <a:noFill/>
                    </a:ln>
                  </pic:spPr>
                </pic:pic>
              </a:graphicData>
            </a:graphic>
          </wp:inline>
        </w:drawing>
      </w:r>
    </w:p>
    <w:p w:rsidR="002F4A2B" w:rsidRPr="002F4A2B" w:rsidRDefault="002F4A2B" w:rsidP="002F4A2B">
      <w:pPr>
        <w:spacing w:after="120"/>
        <w:jc w:val="both"/>
        <w:rPr>
          <w:rFonts w:eastAsiaTheme="majorEastAsia"/>
          <w:i/>
          <w:sz w:val="22"/>
          <w:szCs w:val="22"/>
          <w:lang w:val="fr-BE"/>
        </w:rPr>
      </w:pPr>
      <w:r w:rsidRPr="007E1660">
        <w:rPr>
          <w:rFonts w:eastAsiaTheme="majorEastAsia"/>
          <w:i/>
          <w:sz w:val="22"/>
          <w:szCs w:val="22"/>
          <w:lang w:val="fr-BE"/>
        </w:rPr>
        <w:t>Figure 3</w:t>
      </w:r>
      <w:r w:rsidR="003B65CD" w:rsidRPr="007E1660">
        <w:rPr>
          <w:rFonts w:eastAsiaTheme="majorEastAsia"/>
          <w:i/>
          <w:sz w:val="22"/>
          <w:szCs w:val="22"/>
          <w:lang w:val="fr-BE"/>
        </w:rPr>
        <w:t>- Analyse arborée de la distribution des structures selon les sous-genres</w:t>
      </w:r>
    </w:p>
    <w:p w:rsidR="00A362F7" w:rsidRDefault="00505E25" w:rsidP="00882635">
      <w:pPr>
        <w:spacing w:before="120"/>
        <w:jc w:val="both"/>
        <w:rPr>
          <w:lang w:val="fr-BE"/>
        </w:rPr>
      </w:pPr>
      <w:r w:rsidRPr="007E1660">
        <w:rPr>
          <w:lang w:val="fr-BE"/>
        </w:rPr>
        <w:t xml:space="preserve">La figure 3 montre une faible structuration du corpus (deux journaux, </w:t>
      </w:r>
      <w:r w:rsidRPr="007E1660">
        <w:rPr>
          <w:i/>
          <w:lang w:val="fr-BE"/>
        </w:rPr>
        <w:t>Libération</w:t>
      </w:r>
      <w:r w:rsidRPr="007E1660">
        <w:rPr>
          <w:lang w:val="fr-BE"/>
        </w:rPr>
        <w:t xml:space="preserve"> et </w:t>
      </w:r>
      <w:r w:rsidR="00CC542D">
        <w:rPr>
          <w:i/>
          <w:lang w:val="fr-BE"/>
        </w:rPr>
        <w:t>Est rép</w:t>
      </w:r>
      <w:r w:rsidRPr="007E1660">
        <w:rPr>
          <w:i/>
          <w:lang w:val="fr-BE"/>
        </w:rPr>
        <w:t>ublicain</w:t>
      </w:r>
      <w:r w:rsidRPr="007E1660">
        <w:rPr>
          <w:lang w:val="fr-BE"/>
        </w:rPr>
        <w:t xml:space="preserve">, sont proches de la racine) : un groupe relativement homogène sur le plan générique se dégage, regroupant deux journaux nationaux, </w:t>
      </w:r>
      <w:r w:rsidRPr="007E1660">
        <w:rPr>
          <w:i/>
          <w:lang w:val="fr-BE"/>
        </w:rPr>
        <w:t xml:space="preserve">Le Monde </w:t>
      </w:r>
      <w:r w:rsidRPr="007E1660">
        <w:rPr>
          <w:lang w:val="fr-BE"/>
        </w:rPr>
        <w:t xml:space="preserve">et </w:t>
      </w:r>
      <w:r w:rsidRPr="007E1660">
        <w:rPr>
          <w:i/>
          <w:lang w:val="fr-BE"/>
        </w:rPr>
        <w:t>Le Figaro</w:t>
      </w:r>
      <w:r w:rsidRPr="007E1660">
        <w:rPr>
          <w:lang w:val="fr-BE"/>
        </w:rPr>
        <w:t xml:space="preserve"> mais aussi un journal </w:t>
      </w:r>
      <w:r w:rsidRPr="007E1660">
        <w:rPr>
          <w:lang w:val="fr-BE"/>
        </w:rPr>
        <w:lastRenderedPageBreak/>
        <w:t xml:space="preserve">régional </w:t>
      </w:r>
      <w:r w:rsidRPr="007E1660">
        <w:rPr>
          <w:i/>
          <w:lang w:val="fr-BE"/>
        </w:rPr>
        <w:t>Ouest-France</w:t>
      </w:r>
      <w:r w:rsidRPr="007E1660">
        <w:rPr>
          <w:lang w:val="fr-BE"/>
        </w:rPr>
        <w:t>, tandis que</w:t>
      </w:r>
      <w:r w:rsidRPr="007E1660">
        <w:rPr>
          <w:i/>
          <w:lang w:val="fr-BE"/>
        </w:rPr>
        <w:t xml:space="preserve"> </w:t>
      </w:r>
      <w:r w:rsidRPr="007E1660">
        <w:rPr>
          <w:lang w:val="fr-BE"/>
        </w:rPr>
        <w:t xml:space="preserve">le journal </w:t>
      </w:r>
      <w:r w:rsidRPr="007E1660">
        <w:rPr>
          <w:i/>
          <w:lang w:val="fr-BE"/>
        </w:rPr>
        <w:t xml:space="preserve">Sud-Ouest </w:t>
      </w:r>
      <w:r w:rsidRPr="007E1660">
        <w:rPr>
          <w:lang w:val="fr-BE"/>
        </w:rPr>
        <w:t xml:space="preserve">en est éloigné. Le sous-corpus littéraire est nettement moins homogène : </w:t>
      </w:r>
      <w:proofErr w:type="spellStart"/>
      <w:r w:rsidRPr="007E1660">
        <w:rPr>
          <w:i/>
          <w:lang w:val="fr-BE"/>
        </w:rPr>
        <w:t>Harlequin</w:t>
      </w:r>
      <w:proofErr w:type="spellEnd"/>
      <w:r w:rsidRPr="007E1660">
        <w:rPr>
          <w:i/>
          <w:lang w:val="fr-BE"/>
        </w:rPr>
        <w:t xml:space="preserve"> </w:t>
      </w:r>
      <w:r w:rsidRPr="007E1660">
        <w:rPr>
          <w:lang w:val="fr-BE"/>
        </w:rPr>
        <w:t>et les romans sérieux sont très distants des nœuds, et le premier est proche de la racine.</w:t>
      </w:r>
      <w:r w:rsidR="00A362F7" w:rsidRPr="007E1660">
        <w:rPr>
          <w:lang w:val="fr-BE"/>
        </w:rPr>
        <w:t xml:space="preserve"> </w:t>
      </w:r>
      <w:r w:rsidR="007E1660">
        <w:rPr>
          <w:lang w:val="fr-BE"/>
        </w:rPr>
        <w:t xml:space="preserve">Toutefois, on peut constater que si le roman sérieux est porté par la même branche principale que le roman policier, tout en affichant ses particularités par la longueur de la branche secondaire, la collection </w:t>
      </w:r>
      <w:proofErr w:type="spellStart"/>
      <w:r w:rsidR="007E1660" w:rsidRPr="007E1660">
        <w:rPr>
          <w:i/>
          <w:lang w:val="fr-BE"/>
        </w:rPr>
        <w:t>Harlequin</w:t>
      </w:r>
      <w:proofErr w:type="spellEnd"/>
      <w:r w:rsidR="007E1660">
        <w:rPr>
          <w:lang w:val="fr-BE"/>
        </w:rPr>
        <w:t xml:space="preserve">  se marginalise tant par rapport au corpus médiatique que par rapport au corpus littéraire.</w:t>
      </w:r>
    </w:p>
    <w:p w:rsidR="00A7014D" w:rsidRPr="000B5862" w:rsidRDefault="00A7014D" w:rsidP="00A7014D">
      <w:pPr>
        <w:rPr>
          <w:lang w:val="fr-BE"/>
        </w:rPr>
      </w:pPr>
      <w:r>
        <w:rPr>
          <w:noProof/>
          <w:lang w:eastAsia="fr-FR"/>
        </w:rPr>
        <w:drawing>
          <wp:inline distT="0" distB="0" distL="0" distR="0" wp14:anchorId="5DB5AA7F" wp14:editId="1D5ABC2E">
            <wp:extent cx="5753100" cy="39306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930650"/>
                    </a:xfrm>
                    <a:prstGeom prst="rect">
                      <a:avLst/>
                    </a:prstGeom>
                    <a:noFill/>
                    <a:ln>
                      <a:noFill/>
                    </a:ln>
                  </pic:spPr>
                </pic:pic>
              </a:graphicData>
            </a:graphic>
          </wp:inline>
        </w:drawing>
      </w:r>
    </w:p>
    <w:p w:rsidR="001C593B" w:rsidRPr="001C593B" w:rsidRDefault="001C593B" w:rsidP="00ED748C">
      <w:pPr>
        <w:spacing w:after="120"/>
        <w:jc w:val="both"/>
        <w:rPr>
          <w:rFonts w:eastAsiaTheme="majorEastAsia"/>
          <w:i/>
          <w:lang w:val="fr-BE"/>
        </w:rPr>
      </w:pPr>
      <w:r w:rsidRPr="004A306D">
        <w:rPr>
          <w:rFonts w:eastAsiaTheme="majorEastAsia"/>
          <w:i/>
          <w:lang w:val="fr-BE"/>
        </w:rPr>
        <w:t>Figure 4</w:t>
      </w:r>
      <w:r w:rsidR="004F53C8" w:rsidRPr="004A306D">
        <w:rPr>
          <w:rFonts w:eastAsiaTheme="majorEastAsia"/>
          <w:i/>
          <w:lang w:val="fr-BE"/>
        </w:rPr>
        <w:t xml:space="preserve">- </w:t>
      </w:r>
      <w:r w:rsidR="00DB1EAA" w:rsidRPr="004A306D">
        <w:rPr>
          <w:rFonts w:eastAsiaTheme="majorEastAsia"/>
          <w:i/>
          <w:lang w:val="fr-BE"/>
        </w:rPr>
        <w:t>La</w:t>
      </w:r>
      <w:r w:rsidR="004F53C8" w:rsidRPr="004A306D">
        <w:rPr>
          <w:rFonts w:eastAsiaTheme="majorEastAsia"/>
          <w:i/>
          <w:lang w:val="fr-BE"/>
        </w:rPr>
        <w:t xml:space="preserve"> répartition des structures selon les sous-genres</w:t>
      </w:r>
    </w:p>
    <w:p w:rsidR="00A7014D" w:rsidRPr="004A306D" w:rsidRDefault="00E41C4C" w:rsidP="00ED748C">
      <w:pPr>
        <w:spacing w:after="120"/>
        <w:jc w:val="both"/>
        <w:rPr>
          <w:rFonts w:eastAsiaTheme="majorEastAsia"/>
          <w:lang w:val="fr-BE"/>
        </w:rPr>
      </w:pPr>
      <w:r w:rsidRPr="004A306D">
        <w:t xml:space="preserve">L’axe 1 de l’AFC montre clairement une partition du corpus entre sous-corpus journalistiques et sous-corpus littéraire, avec le dissident </w:t>
      </w:r>
      <w:r w:rsidRPr="004A306D">
        <w:rPr>
          <w:i/>
        </w:rPr>
        <w:t>Sud-Ouest</w:t>
      </w:r>
      <w:r w:rsidRPr="004A306D">
        <w:t xml:space="preserve"> proche de la racine du graphique et présentant une certaine neutrali</w:t>
      </w:r>
      <w:r w:rsidR="004E3F05">
        <w:t>té quant à l’usage des différent</w:t>
      </w:r>
      <w:r w:rsidRPr="004A306D">
        <w:t>es struc</w:t>
      </w:r>
      <w:r w:rsidR="004E3F05">
        <w:t xml:space="preserve">tures </w:t>
      </w:r>
      <w:proofErr w:type="spellStart"/>
      <w:r w:rsidR="004E3F05">
        <w:t>Np</w:t>
      </w:r>
      <w:r w:rsidRPr="004A306D">
        <w:t>N</w:t>
      </w:r>
      <w:proofErr w:type="spellEnd"/>
      <w:r w:rsidRPr="004A306D">
        <w:t xml:space="preserve">. L’axe 2 confirme l’éclatement du sous-corpus littéraire au regard de cet usage : </w:t>
      </w:r>
      <w:proofErr w:type="spellStart"/>
      <w:r w:rsidRPr="00AB3AE0">
        <w:rPr>
          <w:i/>
        </w:rPr>
        <w:t>Harlequin</w:t>
      </w:r>
      <w:proofErr w:type="spellEnd"/>
      <w:r w:rsidRPr="004A306D">
        <w:t xml:space="preserve"> et les romans sérieux sont très fortement excentrés et opposés l’un à l’autre. La fréquence de telles structure</w:t>
      </w:r>
      <w:r w:rsidR="004E3F05">
        <w:t>s apparaît comme représentative</w:t>
      </w:r>
      <w:r w:rsidRPr="004A306D">
        <w:t xml:space="preserve"> de styles différents : au plus simple </w:t>
      </w:r>
      <w:r w:rsidRPr="004A306D">
        <w:rPr>
          <w:i/>
        </w:rPr>
        <w:t>à</w:t>
      </w:r>
      <w:r w:rsidRPr="004A306D">
        <w:t xml:space="preserve"> </w:t>
      </w:r>
      <w:r w:rsidR="00F775FC">
        <w:t>(</w:t>
      </w:r>
      <w:r w:rsidR="00F775FC" w:rsidRPr="00F775FC">
        <w:rPr>
          <w:i/>
        </w:rPr>
        <w:t>tête à tête</w:t>
      </w:r>
      <w:r w:rsidR="00F775FC">
        <w:t xml:space="preserve">) </w:t>
      </w:r>
      <w:r w:rsidRPr="004A306D">
        <w:t xml:space="preserve">s’oppose le plus complexe </w:t>
      </w:r>
      <w:r w:rsidRPr="004A306D">
        <w:rPr>
          <w:i/>
        </w:rPr>
        <w:t>de … en</w:t>
      </w:r>
      <w:r w:rsidRPr="004A306D">
        <w:t xml:space="preserve"> </w:t>
      </w:r>
      <w:r w:rsidR="00F775FC">
        <w:t>(</w:t>
      </w:r>
      <w:r w:rsidR="00F775FC" w:rsidRPr="00F775FC">
        <w:rPr>
          <w:i/>
        </w:rPr>
        <w:t>de génération en génération</w:t>
      </w:r>
      <w:r w:rsidR="00F775FC">
        <w:t xml:space="preserve">) </w:t>
      </w:r>
      <w:r w:rsidRPr="004A306D">
        <w:t xml:space="preserve">et le plus sophistiqué </w:t>
      </w:r>
      <w:r w:rsidRPr="004A306D">
        <w:rPr>
          <w:i/>
        </w:rPr>
        <w:t>après</w:t>
      </w:r>
      <w:r w:rsidR="00F775FC">
        <w:t xml:space="preserve"> </w:t>
      </w:r>
      <w:r w:rsidR="00F775FC" w:rsidRPr="00F775FC">
        <w:rPr>
          <w:i/>
        </w:rPr>
        <w:t>(feuille après feuille</w:t>
      </w:r>
      <w:r w:rsidR="00F775FC">
        <w:t>)</w:t>
      </w:r>
      <w:r w:rsidR="00F775FC">
        <w:rPr>
          <w:i/>
        </w:rPr>
        <w:t>.</w:t>
      </w:r>
    </w:p>
    <w:p w:rsidR="00202355" w:rsidRDefault="00202355" w:rsidP="00ED748C">
      <w:pPr>
        <w:spacing w:after="120"/>
        <w:jc w:val="both"/>
        <w:rPr>
          <w:rFonts w:eastAsiaTheme="majorEastAsia"/>
          <w:lang w:val="fr-BE"/>
        </w:rPr>
      </w:pPr>
      <w:r w:rsidRPr="004A306D">
        <w:rPr>
          <w:rFonts w:eastAsiaTheme="majorEastAsia"/>
          <w:lang w:val="fr-BE"/>
        </w:rPr>
        <w:t>Le corpus est fortement structuré par l’opposition de de</w:t>
      </w:r>
      <w:r w:rsidR="006F20D6">
        <w:rPr>
          <w:rFonts w:eastAsiaTheme="majorEastAsia"/>
          <w:lang w:val="fr-BE"/>
        </w:rPr>
        <w:t xml:space="preserve">ux sous-genres littéraires, le </w:t>
      </w:r>
      <w:r w:rsidR="006F20D6" w:rsidRPr="006F20D6">
        <w:rPr>
          <w:rFonts w:eastAsiaTheme="majorEastAsia"/>
          <w:i/>
          <w:lang w:val="fr-BE"/>
        </w:rPr>
        <w:t>R</w:t>
      </w:r>
      <w:r w:rsidRPr="006F20D6">
        <w:rPr>
          <w:rFonts w:eastAsiaTheme="majorEastAsia"/>
          <w:i/>
          <w:lang w:val="fr-BE"/>
        </w:rPr>
        <w:t xml:space="preserve">oman </w:t>
      </w:r>
      <w:r w:rsidRPr="004A306D">
        <w:rPr>
          <w:rFonts w:eastAsiaTheme="majorEastAsia"/>
          <w:lang w:val="fr-BE"/>
        </w:rPr>
        <w:t xml:space="preserve">sérieux dans le quadrant sud-est et la collection </w:t>
      </w:r>
      <w:proofErr w:type="spellStart"/>
      <w:r w:rsidRPr="00276981">
        <w:rPr>
          <w:rFonts w:eastAsiaTheme="majorEastAsia"/>
          <w:i/>
          <w:lang w:val="fr-BE"/>
        </w:rPr>
        <w:t>Harlequin</w:t>
      </w:r>
      <w:proofErr w:type="spellEnd"/>
      <w:r w:rsidRPr="004A306D">
        <w:rPr>
          <w:rFonts w:eastAsiaTheme="majorEastAsia"/>
          <w:lang w:val="fr-BE"/>
        </w:rPr>
        <w:t xml:space="preserve"> dans le quadrant sud-ouest.</w:t>
      </w:r>
      <w:r w:rsidR="00D96A1F" w:rsidRPr="004A306D">
        <w:rPr>
          <w:rFonts w:eastAsiaTheme="majorEastAsia"/>
          <w:lang w:val="fr-BE"/>
        </w:rPr>
        <w:t xml:space="preserve"> Les motifs </w:t>
      </w:r>
      <w:proofErr w:type="spellStart"/>
      <w:r w:rsidR="00553CCD">
        <w:rPr>
          <w:rFonts w:eastAsiaTheme="majorEastAsia"/>
          <w:lang w:val="fr-BE"/>
        </w:rPr>
        <w:t>Np</w:t>
      </w:r>
      <w:r w:rsidR="00D96A1F" w:rsidRPr="008D53EC">
        <w:rPr>
          <w:rFonts w:eastAsiaTheme="majorEastAsia"/>
          <w:lang w:val="fr-BE"/>
        </w:rPr>
        <w:t>N</w:t>
      </w:r>
      <w:proofErr w:type="spellEnd"/>
      <w:r w:rsidR="00D96A1F" w:rsidRPr="008D53EC">
        <w:rPr>
          <w:rFonts w:eastAsiaTheme="majorEastAsia"/>
          <w:lang w:val="fr-BE"/>
        </w:rPr>
        <w:t xml:space="preserve"> </w:t>
      </w:r>
      <w:r w:rsidR="00D96A1F" w:rsidRPr="004A306D">
        <w:rPr>
          <w:rFonts w:eastAsiaTheme="majorEastAsia"/>
          <w:lang w:val="fr-BE"/>
        </w:rPr>
        <w:t>s’avèrent donc, dans un premier temps, nettement plus rentables pour distinguer les sous-genres au sein de l’écriture de type littéraire que pour distinguer les genres lourds tels que journalisme et roman.</w:t>
      </w:r>
    </w:p>
    <w:p w:rsidR="00741A02" w:rsidRPr="00CA39BF" w:rsidRDefault="00741A02" w:rsidP="00CA39BF">
      <w:pPr>
        <w:pStyle w:val="Paragraphedeliste"/>
        <w:numPr>
          <w:ilvl w:val="0"/>
          <w:numId w:val="1"/>
        </w:numPr>
        <w:spacing w:before="280" w:after="80"/>
        <w:ind w:left="0" w:firstLine="0"/>
        <w:jc w:val="both"/>
        <w:rPr>
          <w:rFonts w:eastAsiaTheme="majorEastAsia"/>
          <w:b/>
          <w:sz w:val="28"/>
          <w:szCs w:val="28"/>
          <w:lang w:val="fr-BE"/>
        </w:rPr>
      </w:pPr>
      <w:r w:rsidRPr="00CA39BF">
        <w:rPr>
          <w:rFonts w:eastAsiaTheme="majorEastAsia"/>
          <w:b/>
          <w:sz w:val="28"/>
          <w:szCs w:val="28"/>
          <w:lang w:val="fr-BE"/>
        </w:rPr>
        <w:t>Le rendement des structures</w:t>
      </w:r>
    </w:p>
    <w:p w:rsidR="0005566B" w:rsidRDefault="00741A02" w:rsidP="00560DC6">
      <w:pPr>
        <w:jc w:val="both"/>
        <w:rPr>
          <w:lang w:val="fr-BE"/>
        </w:rPr>
      </w:pPr>
      <w:r>
        <w:rPr>
          <w:lang w:val="fr-BE"/>
        </w:rPr>
        <w:t>Le rendement des structures peut être évalué au travers de deux paramètres</w:t>
      </w:r>
      <w:r w:rsidR="001F36BA" w:rsidRPr="001F36BA">
        <w:rPr>
          <w:lang w:val="fr-BE"/>
        </w:rPr>
        <w:t xml:space="preserve">, </w:t>
      </w:r>
      <w:r>
        <w:rPr>
          <w:lang w:val="fr-BE"/>
        </w:rPr>
        <w:t>leur fréquence et leur productivité : une structure est-elle plus ou moins propre à générer des expressions que les autres ?</w:t>
      </w:r>
    </w:p>
    <w:p w:rsidR="0005566B" w:rsidRPr="00882635" w:rsidRDefault="0005566B" w:rsidP="00882635">
      <w:pPr>
        <w:pStyle w:val="Paragraphedeliste"/>
        <w:numPr>
          <w:ilvl w:val="1"/>
          <w:numId w:val="1"/>
        </w:numPr>
        <w:spacing w:before="180" w:after="60"/>
        <w:ind w:left="0" w:firstLine="0"/>
        <w:rPr>
          <w:b/>
          <w:i/>
          <w:lang w:val="fr-BE"/>
        </w:rPr>
      </w:pPr>
      <w:r w:rsidRPr="00882635">
        <w:rPr>
          <w:b/>
          <w:i/>
          <w:lang w:val="fr-BE"/>
        </w:rPr>
        <w:t>La fréquence</w:t>
      </w:r>
    </w:p>
    <w:p w:rsidR="00F14F78" w:rsidRPr="003D48FE" w:rsidRDefault="00741A02" w:rsidP="00560DC6">
      <w:pPr>
        <w:spacing w:after="240"/>
        <w:jc w:val="both"/>
        <w:rPr>
          <w:lang w:val="fr-BE"/>
        </w:rPr>
      </w:pPr>
      <w:r>
        <w:rPr>
          <w:lang w:val="fr-BE"/>
        </w:rPr>
        <w:lastRenderedPageBreak/>
        <w:t xml:space="preserve">Est calculée la proportion des occurrences des structures </w:t>
      </w:r>
      <w:proofErr w:type="spellStart"/>
      <w:r>
        <w:rPr>
          <w:lang w:val="fr-BE"/>
        </w:rPr>
        <w:t>NpN</w:t>
      </w:r>
      <w:proofErr w:type="spellEnd"/>
      <w:r>
        <w:rPr>
          <w:lang w:val="fr-BE"/>
        </w:rPr>
        <w:t xml:space="preserve"> sur les effectifs </w:t>
      </w:r>
      <w:r w:rsidRPr="003D48FE">
        <w:rPr>
          <w:lang w:val="fr-BE"/>
        </w:rPr>
        <w:t>totaux de ch</w:t>
      </w:r>
      <w:r w:rsidR="00F14F78" w:rsidRPr="003D48FE">
        <w:rPr>
          <w:lang w:val="fr-BE"/>
        </w:rPr>
        <w:t>aque préposition dans le corpus.</w:t>
      </w:r>
    </w:p>
    <w:tbl>
      <w:tblPr>
        <w:tblW w:w="0" w:type="auto"/>
        <w:tblLayout w:type="fixed"/>
        <w:tblCellMar>
          <w:left w:w="70" w:type="dxa"/>
          <w:right w:w="70" w:type="dxa"/>
        </w:tblCellMar>
        <w:tblLook w:val="04A0" w:firstRow="1" w:lastRow="0" w:firstColumn="1" w:lastColumn="0" w:noHBand="0" w:noVBand="1"/>
      </w:tblPr>
      <w:tblGrid>
        <w:gridCol w:w="993"/>
        <w:gridCol w:w="850"/>
        <w:gridCol w:w="992"/>
        <w:gridCol w:w="851"/>
        <w:gridCol w:w="850"/>
        <w:gridCol w:w="709"/>
        <w:gridCol w:w="1013"/>
        <w:gridCol w:w="1014"/>
        <w:gridCol w:w="932"/>
        <w:gridCol w:w="868"/>
      </w:tblGrid>
      <w:tr w:rsidR="003D48FE" w:rsidRPr="00AB7609" w:rsidTr="006D0521">
        <w:trPr>
          <w:trHeight w:val="276"/>
        </w:trPr>
        <w:tc>
          <w:tcPr>
            <w:tcW w:w="907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8FE" w:rsidRPr="00AB7609" w:rsidRDefault="003D48FE" w:rsidP="00127535">
            <w:pPr>
              <w:suppressAutoHyphens w:val="0"/>
              <w:rPr>
                <w:b/>
                <w:bCs/>
                <w:color w:val="000000"/>
                <w:sz w:val="20"/>
                <w:szCs w:val="20"/>
                <w:lang w:eastAsia="fr-FR"/>
              </w:rPr>
            </w:pPr>
            <w:r w:rsidRPr="00AB7609">
              <w:rPr>
                <w:b/>
                <w:bCs/>
                <w:color w:val="000000"/>
                <w:sz w:val="20"/>
                <w:szCs w:val="20"/>
                <w:lang w:eastAsia="fr-FR"/>
              </w:rPr>
              <w:t>Effectifs des prépositions</w:t>
            </w:r>
            <w:r w:rsidR="008976B3" w:rsidRPr="00AB7609">
              <w:rPr>
                <w:b/>
                <w:bCs/>
                <w:color w:val="000000"/>
                <w:sz w:val="20"/>
                <w:szCs w:val="20"/>
                <w:lang w:eastAsia="fr-FR"/>
              </w:rPr>
              <w:t xml:space="preserve"> (A)</w:t>
            </w:r>
          </w:p>
        </w:tc>
      </w:tr>
      <w:tr w:rsidR="003D48FE" w:rsidRPr="00AB7609" w:rsidTr="006D0521">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rPr>
                <w:sz w:val="16"/>
                <w:szCs w:val="16"/>
                <w:lang w:eastAsia="fr-FR"/>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rPr>
                <w:color w:val="000000"/>
                <w:sz w:val="16"/>
                <w:szCs w:val="16"/>
                <w:lang w:eastAsia="fr-FR"/>
              </w:rPr>
            </w:pPr>
            <w:r w:rsidRPr="00AB7609">
              <w:rPr>
                <w:color w:val="000000"/>
                <w:sz w:val="16"/>
                <w:szCs w:val="16"/>
                <w:lang w:eastAsia="fr-FR"/>
              </w:rPr>
              <w:t>Sud-Ouest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E708C4" w:rsidP="00127535">
            <w:pPr>
              <w:suppressAutoHyphens w:val="0"/>
              <w:rPr>
                <w:color w:val="000000"/>
                <w:sz w:val="16"/>
                <w:szCs w:val="16"/>
                <w:lang w:eastAsia="fr-FR"/>
              </w:rPr>
            </w:pPr>
            <w:r w:rsidRPr="00AB7609">
              <w:rPr>
                <w:color w:val="000000"/>
                <w:sz w:val="16"/>
                <w:szCs w:val="16"/>
                <w:lang w:eastAsia="fr-FR"/>
              </w:rPr>
              <w:t xml:space="preserve">L’Est </w:t>
            </w:r>
            <w:r w:rsidR="00127535" w:rsidRPr="00AB7609">
              <w:rPr>
                <w:color w:val="000000"/>
                <w:sz w:val="16"/>
                <w:szCs w:val="16"/>
                <w:lang w:eastAsia="fr-FR"/>
              </w:rPr>
              <w:t>Républicain</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rPr>
                <w:color w:val="000000"/>
                <w:sz w:val="16"/>
                <w:szCs w:val="16"/>
                <w:lang w:eastAsia="fr-FR"/>
              </w:rPr>
            </w:pPr>
            <w:r w:rsidRPr="00AB7609">
              <w:rPr>
                <w:color w:val="000000"/>
                <w:sz w:val="16"/>
                <w:szCs w:val="16"/>
                <w:lang w:eastAsia="fr-FR"/>
              </w:rPr>
              <w:t>Figaro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rPr>
                <w:color w:val="000000"/>
                <w:sz w:val="16"/>
                <w:szCs w:val="16"/>
                <w:lang w:eastAsia="fr-FR"/>
              </w:rPr>
            </w:pPr>
            <w:r w:rsidRPr="00AB7609">
              <w:rPr>
                <w:color w:val="000000"/>
                <w:sz w:val="16"/>
                <w:szCs w:val="16"/>
                <w:lang w:eastAsia="fr-FR"/>
              </w:rPr>
              <w:t>Libération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rPr>
                <w:color w:val="000000"/>
                <w:sz w:val="16"/>
                <w:szCs w:val="16"/>
                <w:lang w:eastAsia="fr-FR"/>
              </w:rPr>
            </w:pPr>
            <w:r w:rsidRPr="00AB7609">
              <w:rPr>
                <w:color w:val="000000"/>
                <w:sz w:val="16"/>
                <w:szCs w:val="16"/>
                <w:lang w:eastAsia="fr-FR"/>
              </w:rPr>
              <w:t>Monde</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rPr>
                <w:color w:val="000000"/>
                <w:sz w:val="16"/>
                <w:szCs w:val="16"/>
                <w:lang w:eastAsia="fr-FR"/>
              </w:rPr>
            </w:pPr>
            <w:r w:rsidRPr="00AB7609">
              <w:rPr>
                <w:color w:val="000000"/>
                <w:sz w:val="16"/>
                <w:szCs w:val="16"/>
                <w:lang w:eastAsia="fr-FR"/>
              </w:rPr>
              <w:t>Ouest-France</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rPr>
                <w:color w:val="000000"/>
                <w:sz w:val="16"/>
                <w:szCs w:val="16"/>
                <w:lang w:eastAsia="fr-FR"/>
              </w:rPr>
            </w:pPr>
            <w:r w:rsidRPr="00AB7609">
              <w:rPr>
                <w:color w:val="000000"/>
                <w:sz w:val="16"/>
                <w:szCs w:val="16"/>
                <w:lang w:eastAsia="fr-FR"/>
              </w:rPr>
              <w:t>R-</w:t>
            </w:r>
            <w:proofErr w:type="spellStart"/>
            <w:r w:rsidRPr="00AB7609">
              <w:rPr>
                <w:color w:val="000000"/>
                <w:sz w:val="16"/>
                <w:szCs w:val="16"/>
                <w:lang w:eastAsia="fr-FR"/>
              </w:rPr>
              <w:t>Harlequin</w:t>
            </w:r>
            <w:proofErr w:type="spellEnd"/>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rPr>
                <w:color w:val="000000"/>
                <w:sz w:val="16"/>
                <w:szCs w:val="16"/>
                <w:lang w:eastAsia="fr-FR"/>
              </w:rPr>
            </w:pPr>
            <w:r w:rsidRPr="00AB7609">
              <w:rPr>
                <w:color w:val="000000"/>
                <w:sz w:val="16"/>
                <w:szCs w:val="16"/>
                <w:lang w:eastAsia="fr-FR"/>
              </w:rPr>
              <w:t>R-Policiers</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rPr>
                <w:color w:val="000000"/>
                <w:sz w:val="16"/>
                <w:szCs w:val="16"/>
                <w:lang w:eastAsia="fr-FR"/>
              </w:rPr>
            </w:pPr>
            <w:r w:rsidRPr="00AB7609">
              <w:rPr>
                <w:color w:val="000000"/>
                <w:sz w:val="16"/>
                <w:szCs w:val="16"/>
                <w:lang w:eastAsia="fr-FR"/>
              </w:rPr>
              <w:t>R-Sérieux</w:t>
            </w:r>
          </w:p>
        </w:tc>
      </w:tr>
      <w:tr w:rsidR="003D48FE" w:rsidRPr="00AB7609" w:rsidTr="006D0521">
        <w:trPr>
          <w:trHeight w:val="33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rPr>
                <w:color w:val="000000"/>
                <w:sz w:val="20"/>
                <w:szCs w:val="20"/>
                <w:lang w:eastAsia="fr-FR"/>
              </w:rPr>
            </w:pPr>
            <w:r w:rsidRPr="00AB7609">
              <w:rPr>
                <w:color w:val="000000"/>
                <w:sz w:val="20"/>
                <w:szCs w:val="20"/>
                <w:lang w:eastAsia="fr-FR"/>
              </w:rPr>
              <w:t>à</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39147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49642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31114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31879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31445</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35467</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81994</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84677</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81996</w:t>
            </w:r>
          </w:p>
        </w:tc>
      </w:tr>
      <w:tr w:rsidR="003D48FE" w:rsidRPr="00AB7609" w:rsidTr="006D0521">
        <w:trPr>
          <w:trHeight w:val="33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rPr>
                <w:color w:val="000000"/>
                <w:sz w:val="20"/>
                <w:szCs w:val="20"/>
                <w:lang w:eastAsia="fr-FR"/>
              </w:rPr>
            </w:pPr>
            <w:r w:rsidRPr="00AB7609">
              <w:rPr>
                <w:color w:val="000000"/>
                <w:sz w:val="20"/>
                <w:szCs w:val="20"/>
                <w:lang w:eastAsia="fr-FR"/>
              </w:rPr>
              <w:t>après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2037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1865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2369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2021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1845</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2141</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3932</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3419</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3071</w:t>
            </w:r>
          </w:p>
        </w:tc>
      </w:tr>
      <w:tr w:rsidR="003D48FE" w:rsidRPr="00AB7609" w:rsidTr="006D0521">
        <w:trPr>
          <w:trHeight w:val="33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rPr>
                <w:color w:val="000000"/>
                <w:sz w:val="20"/>
                <w:szCs w:val="20"/>
                <w:lang w:eastAsia="fr-FR"/>
              </w:rPr>
            </w:pPr>
            <w:r w:rsidRPr="00AB7609">
              <w:rPr>
                <w:color w:val="000000"/>
                <w:sz w:val="20"/>
                <w:szCs w:val="20"/>
                <w:lang w:eastAsia="fr-FR"/>
              </w:rPr>
              <w:t>contre</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982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847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1666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1355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1375</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1237</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2618</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1917</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1686</w:t>
            </w:r>
          </w:p>
        </w:tc>
      </w:tr>
      <w:tr w:rsidR="003D48FE" w:rsidRPr="00AB7609" w:rsidTr="006D0521">
        <w:trPr>
          <w:trHeight w:val="33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rPr>
                <w:color w:val="000000"/>
                <w:sz w:val="20"/>
                <w:szCs w:val="20"/>
                <w:lang w:eastAsia="fr-FR"/>
              </w:rPr>
            </w:pPr>
            <w:r w:rsidRPr="00AB7609">
              <w:rPr>
                <w:color w:val="000000"/>
                <w:sz w:val="20"/>
                <w:szCs w:val="20"/>
                <w:lang w:eastAsia="fr-FR"/>
              </w:rPr>
              <w:t>à</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39147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49642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31114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31879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31445</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35467</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81994</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84677</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81996</w:t>
            </w:r>
          </w:p>
        </w:tc>
      </w:tr>
      <w:tr w:rsidR="003D48FE" w:rsidRPr="00AB7609" w:rsidTr="006D0521">
        <w:trPr>
          <w:trHeight w:val="33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rPr>
                <w:color w:val="000000"/>
                <w:sz w:val="20"/>
                <w:szCs w:val="20"/>
                <w:lang w:eastAsia="fr-FR"/>
              </w:rPr>
            </w:pPr>
            <w:r w:rsidRPr="00AB7609">
              <w:rPr>
                <w:color w:val="000000"/>
                <w:sz w:val="20"/>
                <w:szCs w:val="20"/>
                <w:lang w:eastAsia="fr-FR"/>
              </w:rPr>
              <w:t>en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20731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19052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20444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21434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21678</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19745</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32435</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32636</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28632</w:t>
            </w:r>
          </w:p>
        </w:tc>
      </w:tr>
      <w:tr w:rsidR="003D48FE" w:rsidRPr="00AB7609" w:rsidTr="006D0521">
        <w:trPr>
          <w:trHeight w:val="33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rPr>
                <w:color w:val="000000"/>
                <w:sz w:val="20"/>
                <w:szCs w:val="20"/>
                <w:lang w:eastAsia="fr-FR"/>
              </w:rPr>
            </w:pPr>
            <w:r w:rsidRPr="00AB7609">
              <w:rPr>
                <w:color w:val="000000"/>
                <w:sz w:val="20"/>
                <w:szCs w:val="20"/>
                <w:lang w:eastAsia="fr-FR"/>
              </w:rPr>
              <w:t>par</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9134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9380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8775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9268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9995</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8644</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8735</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10760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10278</w:t>
            </w:r>
          </w:p>
        </w:tc>
      </w:tr>
      <w:tr w:rsidR="003D48FE" w:rsidRPr="00AB7609" w:rsidTr="006D0521">
        <w:trPr>
          <w:trHeight w:val="33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rPr>
                <w:color w:val="000000"/>
                <w:sz w:val="20"/>
                <w:szCs w:val="20"/>
                <w:lang w:eastAsia="fr-FR"/>
              </w:rPr>
            </w:pPr>
            <w:r w:rsidRPr="00AB7609">
              <w:rPr>
                <w:color w:val="000000"/>
                <w:sz w:val="20"/>
                <w:szCs w:val="20"/>
                <w:lang w:eastAsia="fr-FR"/>
              </w:rPr>
              <w:t>pour</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1570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15839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13153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13454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12592</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13528</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27423</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22954</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AB7609" w:rsidRDefault="00127535" w:rsidP="00127535">
            <w:pPr>
              <w:suppressAutoHyphens w:val="0"/>
              <w:jc w:val="right"/>
              <w:rPr>
                <w:color w:val="000000"/>
                <w:sz w:val="20"/>
                <w:szCs w:val="20"/>
                <w:lang w:eastAsia="fr-FR"/>
              </w:rPr>
            </w:pPr>
            <w:r w:rsidRPr="00AB7609">
              <w:rPr>
                <w:color w:val="000000"/>
                <w:sz w:val="20"/>
                <w:szCs w:val="20"/>
                <w:lang w:eastAsia="fr-FR"/>
              </w:rPr>
              <w:t>20505</w:t>
            </w:r>
          </w:p>
        </w:tc>
      </w:tr>
      <w:tr w:rsidR="003D48FE" w:rsidRPr="00415C2B" w:rsidTr="006D0521">
        <w:trPr>
          <w:trHeight w:val="33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22"/>
                <w:szCs w:val="22"/>
                <w:lang w:eastAsia="fr-FR"/>
              </w:rPr>
            </w:pPr>
            <w:r w:rsidRPr="00415C2B">
              <w:rPr>
                <w:color w:val="000000"/>
                <w:sz w:val="22"/>
                <w:szCs w:val="22"/>
                <w:lang w:eastAsia="fr-FR"/>
              </w:rPr>
              <w:t>sur</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9638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8693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3026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9484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9114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9136</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18264</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21238</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16624</w:t>
            </w:r>
          </w:p>
        </w:tc>
      </w:tr>
      <w:tr w:rsidR="003D48FE" w:rsidRPr="00415C2B" w:rsidTr="006D0521">
        <w:trPr>
          <w:trHeight w:val="276"/>
        </w:trPr>
        <w:tc>
          <w:tcPr>
            <w:tcW w:w="907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8FE" w:rsidRPr="00415C2B" w:rsidRDefault="003D48FE" w:rsidP="009D5E30">
            <w:pPr>
              <w:suppressAutoHyphens w:val="0"/>
              <w:rPr>
                <w:b/>
                <w:bCs/>
                <w:color w:val="000000"/>
                <w:sz w:val="22"/>
                <w:szCs w:val="22"/>
                <w:lang w:eastAsia="fr-FR"/>
              </w:rPr>
            </w:pPr>
            <w:r w:rsidRPr="00415C2B">
              <w:rPr>
                <w:b/>
                <w:bCs/>
                <w:color w:val="000000"/>
                <w:sz w:val="22"/>
                <w:szCs w:val="22"/>
                <w:lang w:eastAsia="fr-FR"/>
              </w:rPr>
              <w:t xml:space="preserve">Effectifs des structures </w:t>
            </w:r>
            <w:proofErr w:type="spellStart"/>
            <w:r w:rsidRPr="00415C2B">
              <w:rPr>
                <w:b/>
                <w:bCs/>
                <w:color w:val="000000"/>
                <w:sz w:val="22"/>
                <w:szCs w:val="22"/>
                <w:lang w:eastAsia="fr-FR"/>
              </w:rPr>
              <w:t>NpN</w:t>
            </w:r>
            <w:proofErr w:type="spellEnd"/>
            <w:r w:rsidR="008976B3" w:rsidRPr="00415C2B">
              <w:rPr>
                <w:b/>
                <w:bCs/>
                <w:color w:val="000000"/>
                <w:sz w:val="22"/>
                <w:szCs w:val="22"/>
                <w:lang w:eastAsia="fr-FR"/>
              </w:rPr>
              <w:t xml:space="preserve"> (B)</w:t>
            </w:r>
          </w:p>
        </w:tc>
      </w:tr>
      <w:tr w:rsidR="003D48FE" w:rsidRPr="00415C2B" w:rsidTr="006D0521">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16"/>
                <w:szCs w:val="16"/>
                <w:lang w:eastAsia="fr-FR"/>
              </w:rPr>
            </w:pPr>
            <w:r w:rsidRPr="00415C2B">
              <w:rPr>
                <w:color w:val="000000"/>
                <w:sz w:val="16"/>
                <w:szCs w:val="16"/>
                <w:lang w:eastAsia="fr-FR"/>
              </w:rPr>
              <w:t>Structure</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16"/>
                <w:szCs w:val="16"/>
                <w:lang w:eastAsia="fr-FR"/>
              </w:rPr>
            </w:pPr>
            <w:r w:rsidRPr="00415C2B">
              <w:rPr>
                <w:color w:val="000000"/>
                <w:sz w:val="16"/>
                <w:szCs w:val="16"/>
                <w:lang w:eastAsia="fr-FR"/>
              </w:rPr>
              <w:t>Sud-Ouest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E708C4" w:rsidP="00127535">
            <w:pPr>
              <w:suppressAutoHyphens w:val="0"/>
              <w:rPr>
                <w:color w:val="000000"/>
                <w:sz w:val="16"/>
                <w:szCs w:val="16"/>
                <w:lang w:eastAsia="fr-FR"/>
              </w:rPr>
            </w:pPr>
            <w:r w:rsidRPr="00415C2B">
              <w:rPr>
                <w:color w:val="000000"/>
                <w:sz w:val="16"/>
                <w:szCs w:val="16"/>
                <w:lang w:eastAsia="fr-FR"/>
              </w:rPr>
              <w:t xml:space="preserve">L’Est </w:t>
            </w:r>
            <w:r w:rsidR="00127535" w:rsidRPr="00415C2B">
              <w:rPr>
                <w:color w:val="000000"/>
                <w:sz w:val="16"/>
                <w:szCs w:val="16"/>
                <w:lang w:eastAsia="fr-FR"/>
              </w:rPr>
              <w:t>Républicain</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16"/>
                <w:szCs w:val="16"/>
                <w:lang w:eastAsia="fr-FR"/>
              </w:rPr>
            </w:pPr>
            <w:r w:rsidRPr="00415C2B">
              <w:rPr>
                <w:color w:val="000000"/>
                <w:sz w:val="16"/>
                <w:szCs w:val="16"/>
                <w:lang w:eastAsia="fr-FR"/>
              </w:rPr>
              <w:t>Figaro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16"/>
                <w:szCs w:val="16"/>
                <w:lang w:eastAsia="fr-FR"/>
              </w:rPr>
            </w:pPr>
            <w:r w:rsidRPr="00415C2B">
              <w:rPr>
                <w:color w:val="000000"/>
                <w:sz w:val="16"/>
                <w:szCs w:val="16"/>
                <w:lang w:eastAsia="fr-FR"/>
              </w:rPr>
              <w:t>Libération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16"/>
                <w:szCs w:val="16"/>
                <w:lang w:eastAsia="fr-FR"/>
              </w:rPr>
            </w:pPr>
            <w:r w:rsidRPr="00415C2B">
              <w:rPr>
                <w:color w:val="000000"/>
                <w:sz w:val="16"/>
                <w:szCs w:val="16"/>
                <w:lang w:eastAsia="fr-FR"/>
              </w:rPr>
              <w:t>Monde</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16"/>
                <w:szCs w:val="16"/>
                <w:lang w:eastAsia="fr-FR"/>
              </w:rPr>
            </w:pPr>
            <w:r w:rsidRPr="00415C2B">
              <w:rPr>
                <w:color w:val="000000"/>
                <w:sz w:val="16"/>
                <w:szCs w:val="16"/>
                <w:lang w:eastAsia="fr-FR"/>
              </w:rPr>
              <w:t>Ouest-France</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16"/>
                <w:szCs w:val="16"/>
                <w:lang w:eastAsia="fr-FR"/>
              </w:rPr>
            </w:pPr>
            <w:r w:rsidRPr="00415C2B">
              <w:rPr>
                <w:color w:val="000000"/>
                <w:sz w:val="16"/>
                <w:szCs w:val="16"/>
                <w:lang w:eastAsia="fr-FR"/>
              </w:rPr>
              <w:t>R-</w:t>
            </w:r>
            <w:proofErr w:type="spellStart"/>
            <w:r w:rsidRPr="00415C2B">
              <w:rPr>
                <w:color w:val="000000"/>
                <w:sz w:val="16"/>
                <w:szCs w:val="16"/>
                <w:lang w:eastAsia="fr-FR"/>
              </w:rPr>
              <w:t>Harlequin</w:t>
            </w:r>
            <w:proofErr w:type="spellEnd"/>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16"/>
                <w:szCs w:val="16"/>
                <w:lang w:eastAsia="fr-FR"/>
              </w:rPr>
            </w:pPr>
            <w:r w:rsidRPr="00415C2B">
              <w:rPr>
                <w:color w:val="000000"/>
                <w:sz w:val="16"/>
                <w:szCs w:val="16"/>
                <w:lang w:eastAsia="fr-FR"/>
              </w:rPr>
              <w:t>R-Policiers</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16"/>
                <w:szCs w:val="16"/>
                <w:lang w:eastAsia="fr-FR"/>
              </w:rPr>
            </w:pPr>
            <w:r w:rsidRPr="00415C2B">
              <w:rPr>
                <w:color w:val="000000"/>
                <w:sz w:val="16"/>
                <w:szCs w:val="16"/>
                <w:lang w:eastAsia="fr-FR"/>
              </w:rPr>
              <w:t>R-Sérieux</w:t>
            </w:r>
          </w:p>
        </w:tc>
      </w:tr>
      <w:tr w:rsidR="003D48FE" w:rsidRPr="00415C2B" w:rsidTr="006D0521">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22"/>
                <w:szCs w:val="22"/>
                <w:lang w:eastAsia="fr-FR"/>
              </w:rPr>
            </w:pPr>
            <w:r w:rsidRPr="00415C2B">
              <w:rPr>
                <w:color w:val="000000"/>
                <w:sz w:val="22"/>
                <w:szCs w:val="22"/>
                <w:lang w:eastAsia="fr-FR"/>
              </w:rPr>
              <w:t>à</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64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38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59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37</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85</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208</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133</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156</w:t>
            </w:r>
          </w:p>
        </w:tc>
      </w:tr>
      <w:tr w:rsidR="003D48FE" w:rsidRPr="00415C2B" w:rsidTr="006D0521">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22"/>
                <w:szCs w:val="22"/>
                <w:lang w:eastAsia="fr-FR"/>
              </w:rPr>
            </w:pPr>
            <w:r w:rsidRPr="00415C2B">
              <w:rPr>
                <w:color w:val="000000"/>
                <w:sz w:val="22"/>
                <w:szCs w:val="22"/>
                <w:lang w:eastAsia="fr-FR"/>
              </w:rPr>
              <w:t>après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8</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11</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11</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7</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33</w:t>
            </w:r>
          </w:p>
        </w:tc>
      </w:tr>
      <w:tr w:rsidR="003D48FE" w:rsidRPr="00415C2B" w:rsidTr="006D0521">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22"/>
                <w:szCs w:val="22"/>
                <w:lang w:eastAsia="fr-FR"/>
              </w:rPr>
            </w:pPr>
            <w:r w:rsidRPr="00415C2B">
              <w:rPr>
                <w:color w:val="000000"/>
                <w:sz w:val="22"/>
                <w:szCs w:val="22"/>
                <w:lang w:eastAsia="fr-FR"/>
              </w:rPr>
              <w:t>contre</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22"/>
                <w:szCs w:val="22"/>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sz w:val="22"/>
                <w:szCs w:val="22"/>
                <w:lang w:eastAsia="fr-FR"/>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2</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7</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2</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w:t>
            </w:r>
          </w:p>
        </w:tc>
      </w:tr>
      <w:tr w:rsidR="003D48FE" w:rsidRPr="00415C2B" w:rsidTr="006D0521">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22"/>
                <w:szCs w:val="22"/>
                <w:lang w:eastAsia="fr-FR"/>
              </w:rPr>
            </w:pPr>
            <w:r w:rsidRPr="00415C2B">
              <w:rPr>
                <w:color w:val="000000"/>
                <w:sz w:val="22"/>
                <w:szCs w:val="22"/>
                <w:lang w:eastAsia="fr-FR"/>
              </w:rPr>
              <w:t>de … à</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9</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2</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5</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4</w:t>
            </w:r>
          </w:p>
        </w:tc>
      </w:tr>
      <w:tr w:rsidR="003D48FE" w:rsidRPr="00415C2B" w:rsidTr="006D0521">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22"/>
                <w:szCs w:val="22"/>
                <w:lang w:eastAsia="fr-FR"/>
              </w:rPr>
            </w:pPr>
            <w:r w:rsidRPr="00415C2B">
              <w:rPr>
                <w:color w:val="000000"/>
                <w:sz w:val="22"/>
                <w:szCs w:val="22"/>
                <w:lang w:eastAsia="fr-FR"/>
              </w:rPr>
              <w:t>de … en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30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35</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46</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46</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101</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285</w:t>
            </w:r>
          </w:p>
        </w:tc>
      </w:tr>
      <w:tr w:rsidR="003D48FE" w:rsidRPr="00415C2B" w:rsidTr="006D0521">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22"/>
                <w:szCs w:val="22"/>
                <w:lang w:eastAsia="fr-FR"/>
              </w:rPr>
            </w:pPr>
            <w:r w:rsidRPr="00415C2B">
              <w:rPr>
                <w:color w:val="000000"/>
                <w:sz w:val="22"/>
                <w:szCs w:val="22"/>
                <w:lang w:eastAsia="fr-FR"/>
              </w:rPr>
              <w:t>par</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29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24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38</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5</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20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18</w:t>
            </w:r>
          </w:p>
        </w:tc>
      </w:tr>
      <w:tr w:rsidR="003D48FE" w:rsidRPr="00415C2B" w:rsidTr="006D0521">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22"/>
                <w:szCs w:val="22"/>
                <w:lang w:eastAsia="fr-FR"/>
              </w:rPr>
            </w:pPr>
            <w:r w:rsidRPr="00415C2B">
              <w:rPr>
                <w:color w:val="000000"/>
                <w:sz w:val="22"/>
                <w:szCs w:val="22"/>
                <w:lang w:eastAsia="fr-FR"/>
              </w:rPr>
              <w:t>pour</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8</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10</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15</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8</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8</w:t>
            </w:r>
          </w:p>
        </w:tc>
      </w:tr>
      <w:tr w:rsidR="003D48FE" w:rsidRPr="00415C2B" w:rsidTr="006D0521">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22"/>
                <w:szCs w:val="22"/>
                <w:lang w:eastAsia="fr-FR"/>
              </w:rPr>
            </w:pPr>
            <w:r w:rsidRPr="00415C2B">
              <w:rPr>
                <w:color w:val="000000"/>
                <w:sz w:val="22"/>
                <w:szCs w:val="22"/>
                <w:lang w:eastAsia="fr-FR"/>
              </w:rPr>
              <w:t>sur</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6</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15</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4</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14</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20</w:t>
            </w:r>
          </w:p>
        </w:tc>
      </w:tr>
      <w:tr w:rsidR="003D48FE" w:rsidRPr="00415C2B" w:rsidTr="006D0521">
        <w:trPr>
          <w:trHeight w:val="276"/>
        </w:trPr>
        <w:tc>
          <w:tcPr>
            <w:tcW w:w="82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7B29" w:rsidRPr="00415C2B" w:rsidRDefault="003D48FE" w:rsidP="00127535">
            <w:pPr>
              <w:suppressAutoHyphens w:val="0"/>
              <w:rPr>
                <w:b/>
                <w:bCs/>
                <w:color w:val="000000"/>
                <w:sz w:val="22"/>
                <w:szCs w:val="22"/>
                <w:lang w:eastAsia="fr-FR"/>
              </w:rPr>
            </w:pPr>
            <w:r w:rsidRPr="00415C2B">
              <w:rPr>
                <w:b/>
                <w:bCs/>
                <w:color w:val="000000"/>
                <w:sz w:val="22"/>
                <w:szCs w:val="22"/>
                <w:lang w:eastAsia="fr-FR"/>
              </w:rPr>
              <w:t>Pourcentages</w:t>
            </w:r>
            <w:r w:rsidR="008976B3" w:rsidRPr="00415C2B">
              <w:rPr>
                <w:b/>
                <w:bCs/>
                <w:color w:val="000000"/>
                <w:sz w:val="22"/>
                <w:szCs w:val="22"/>
                <w:lang w:eastAsia="fr-FR"/>
              </w:rPr>
              <w:t xml:space="preserve"> des effectifs B dans A</w:t>
            </w:r>
          </w:p>
        </w:tc>
        <w:tc>
          <w:tcPr>
            <w:tcW w:w="868" w:type="dxa"/>
            <w:tcBorders>
              <w:top w:val="single" w:sz="4" w:space="0" w:color="auto"/>
              <w:left w:val="single" w:sz="4" w:space="0" w:color="auto"/>
              <w:bottom w:val="single" w:sz="4" w:space="0" w:color="auto"/>
              <w:right w:val="single" w:sz="4" w:space="0" w:color="auto"/>
            </w:tcBorders>
          </w:tcPr>
          <w:p w:rsidR="003D48FE" w:rsidRPr="00415C2B" w:rsidRDefault="003D48FE" w:rsidP="00127535">
            <w:pPr>
              <w:suppressAutoHyphens w:val="0"/>
              <w:rPr>
                <w:b/>
                <w:bCs/>
                <w:color w:val="000000"/>
                <w:sz w:val="22"/>
                <w:szCs w:val="22"/>
                <w:lang w:eastAsia="fr-FR"/>
              </w:rPr>
            </w:pPr>
          </w:p>
        </w:tc>
      </w:tr>
      <w:tr w:rsidR="003D48FE" w:rsidRPr="00415C2B" w:rsidTr="006D0521">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16"/>
                <w:szCs w:val="16"/>
                <w:lang w:eastAsia="fr-FR"/>
              </w:rPr>
            </w:pPr>
            <w:r w:rsidRPr="00415C2B">
              <w:rPr>
                <w:color w:val="000000"/>
                <w:sz w:val="16"/>
                <w:szCs w:val="16"/>
                <w:lang w:eastAsia="fr-FR"/>
              </w:rPr>
              <w:t>Structure</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16"/>
                <w:szCs w:val="16"/>
                <w:lang w:eastAsia="fr-FR"/>
              </w:rPr>
            </w:pPr>
            <w:r w:rsidRPr="00415C2B">
              <w:rPr>
                <w:color w:val="000000"/>
                <w:sz w:val="16"/>
                <w:szCs w:val="16"/>
                <w:lang w:eastAsia="fr-FR"/>
              </w:rPr>
              <w:t>Sud-Ouest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E708C4" w:rsidP="00127535">
            <w:pPr>
              <w:suppressAutoHyphens w:val="0"/>
              <w:rPr>
                <w:color w:val="000000"/>
                <w:sz w:val="16"/>
                <w:szCs w:val="16"/>
                <w:lang w:eastAsia="fr-FR"/>
              </w:rPr>
            </w:pPr>
            <w:r w:rsidRPr="00415C2B">
              <w:rPr>
                <w:color w:val="000000"/>
                <w:sz w:val="16"/>
                <w:szCs w:val="16"/>
                <w:lang w:eastAsia="fr-FR"/>
              </w:rPr>
              <w:t xml:space="preserve">L’Est </w:t>
            </w:r>
            <w:r w:rsidR="00127535" w:rsidRPr="00415C2B">
              <w:rPr>
                <w:color w:val="000000"/>
                <w:sz w:val="16"/>
                <w:szCs w:val="16"/>
                <w:lang w:eastAsia="fr-FR"/>
              </w:rPr>
              <w:t>Républicain</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16"/>
                <w:szCs w:val="16"/>
                <w:lang w:eastAsia="fr-FR"/>
              </w:rPr>
            </w:pPr>
            <w:r w:rsidRPr="00415C2B">
              <w:rPr>
                <w:color w:val="000000"/>
                <w:sz w:val="16"/>
                <w:szCs w:val="16"/>
                <w:lang w:eastAsia="fr-FR"/>
              </w:rPr>
              <w:t>Figaro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16"/>
                <w:szCs w:val="16"/>
                <w:lang w:eastAsia="fr-FR"/>
              </w:rPr>
            </w:pPr>
            <w:r w:rsidRPr="00415C2B">
              <w:rPr>
                <w:color w:val="000000"/>
                <w:sz w:val="16"/>
                <w:szCs w:val="16"/>
                <w:lang w:eastAsia="fr-FR"/>
              </w:rPr>
              <w:t>Libération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16"/>
                <w:szCs w:val="16"/>
                <w:lang w:eastAsia="fr-FR"/>
              </w:rPr>
            </w:pPr>
            <w:r w:rsidRPr="00415C2B">
              <w:rPr>
                <w:color w:val="000000"/>
                <w:sz w:val="16"/>
                <w:szCs w:val="16"/>
                <w:lang w:eastAsia="fr-FR"/>
              </w:rPr>
              <w:t>Monde</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16"/>
                <w:szCs w:val="16"/>
                <w:lang w:eastAsia="fr-FR"/>
              </w:rPr>
            </w:pPr>
            <w:r w:rsidRPr="00415C2B">
              <w:rPr>
                <w:color w:val="000000"/>
                <w:sz w:val="16"/>
                <w:szCs w:val="16"/>
                <w:lang w:eastAsia="fr-FR"/>
              </w:rPr>
              <w:t>Ouest-France</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16"/>
                <w:szCs w:val="16"/>
                <w:lang w:eastAsia="fr-FR"/>
              </w:rPr>
            </w:pPr>
            <w:r w:rsidRPr="00415C2B">
              <w:rPr>
                <w:color w:val="000000"/>
                <w:sz w:val="16"/>
                <w:szCs w:val="16"/>
                <w:lang w:eastAsia="fr-FR"/>
              </w:rPr>
              <w:t>R-</w:t>
            </w:r>
            <w:proofErr w:type="spellStart"/>
            <w:r w:rsidRPr="00415C2B">
              <w:rPr>
                <w:color w:val="000000"/>
                <w:sz w:val="16"/>
                <w:szCs w:val="16"/>
                <w:lang w:eastAsia="fr-FR"/>
              </w:rPr>
              <w:t>Harlequin</w:t>
            </w:r>
            <w:proofErr w:type="spellEnd"/>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16"/>
                <w:szCs w:val="16"/>
                <w:lang w:eastAsia="fr-FR"/>
              </w:rPr>
            </w:pPr>
            <w:r w:rsidRPr="00415C2B">
              <w:rPr>
                <w:color w:val="000000"/>
                <w:sz w:val="16"/>
                <w:szCs w:val="16"/>
                <w:lang w:eastAsia="fr-FR"/>
              </w:rPr>
              <w:t>R-Policiers</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16"/>
                <w:szCs w:val="16"/>
                <w:lang w:eastAsia="fr-FR"/>
              </w:rPr>
            </w:pPr>
            <w:r w:rsidRPr="00415C2B">
              <w:rPr>
                <w:color w:val="000000"/>
                <w:sz w:val="16"/>
                <w:szCs w:val="16"/>
                <w:lang w:eastAsia="fr-FR"/>
              </w:rPr>
              <w:t>R-Sérieux</w:t>
            </w:r>
          </w:p>
        </w:tc>
      </w:tr>
      <w:tr w:rsidR="00127535" w:rsidRPr="00415C2B" w:rsidTr="006D0521">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22"/>
                <w:szCs w:val="22"/>
                <w:lang w:eastAsia="fr-FR"/>
              </w:rPr>
            </w:pPr>
            <w:r w:rsidRPr="00415C2B">
              <w:rPr>
                <w:color w:val="000000"/>
                <w:sz w:val="22"/>
                <w:szCs w:val="22"/>
                <w:lang w:eastAsia="fr-FR"/>
              </w:rPr>
              <w:t>à</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0,12%</w:t>
            </w:r>
          </w:p>
        </w:tc>
        <w:tc>
          <w:tcPr>
            <w:tcW w:w="101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0,24%</w:t>
            </w:r>
          </w:p>
        </w:tc>
        <w:tc>
          <w:tcPr>
            <w:tcW w:w="101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0,25%</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0,16%</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0,19%</w:t>
            </w:r>
          </w:p>
        </w:tc>
      </w:tr>
      <w:tr w:rsidR="00127535" w:rsidRPr="00415C2B" w:rsidTr="006D0521">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22"/>
                <w:szCs w:val="22"/>
                <w:lang w:eastAsia="fr-FR"/>
              </w:rPr>
            </w:pPr>
            <w:r w:rsidRPr="00415C2B">
              <w:rPr>
                <w:color w:val="000000"/>
                <w:sz w:val="22"/>
                <w:szCs w:val="22"/>
                <w:lang w:eastAsia="fr-FR"/>
              </w:rPr>
              <w:t>après</w:t>
            </w:r>
          </w:p>
        </w:tc>
        <w:tc>
          <w:tcPr>
            <w:tcW w:w="85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0,29%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0,17%</w:t>
            </w:r>
          </w:p>
        </w:tc>
        <w:tc>
          <w:tcPr>
            <w:tcW w:w="85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0,69%</w:t>
            </w:r>
          </w:p>
        </w:tc>
        <w:tc>
          <w:tcPr>
            <w:tcW w:w="70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0,43%</w:t>
            </w:r>
          </w:p>
        </w:tc>
        <w:tc>
          <w:tcPr>
            <w:tcW w:w="101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0,51%</w:t>
            </w:r>
          </w:p>
        </w:tc>
        <w:tc>
          <w:tcPr>
            <w:tcW w:w="101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0,28%</w:t>
            </w:r>
          </w:p>
        </w:tc>
        <w:tc>
          <w:tcPr>
            <w:tcW w:w="93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0,20%</w:t>
            </w:r>
          </w:p>
        </w:tc>
        <w:tc>
          <w:tcPr>
            <w:tcW w:w="86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1,07%</w:t>
            </w:r>
          </w:p>
        </w:tc>
      </w:tr>
      <w:tr w:rsidR="003D48FE" w:rsidRPr="00415C2B" w:rsidTr="006D0521">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22"/>
                <w:szCs w:val="22"/>
                <w:lang w:eastAsia="fr-FR"/>
              </w:rPr>
            </w:pPr>
            <w:r w:rsidRPr="00415C2B">
              <w:rPr>
                <w:color w:val="000000"/>
                <w:sz w:val="22"/>
                <w:szCs w:val="22"/>
                <w:lang w:eastAsia="fr-FR"/>
              </w:rPr>
              <w:t>contre</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0,15%</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0,08%</w:t>
            </w:r>
          </w:p>
        </w:tc>
        <w:tc>
          <w:tcPr>
            <w:tcW w:w="101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0,27%</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0,06%</w:t>
            </w:r>
          </w:p>
        </w:tc>
      </w:tr>
      <w:tr w:rsidR="003D48FE" w:rsidRPr="00415C2B" w:rsidTr="006D0521">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22"/>
                <w:szCs w:val="22"/>
                <w:lang w:eastAsia="fr-FR"/>
              </w:rPr>
            </w:pPr>
            <w:r w:rsidRPr="00415C2B">
              <w:rPr>
                <w:color w:val="000000"/>
                <w:sz w:val="22"/>
                <w:szCs w:val="22"/>
                <w:lang w:eastAsia="fr-FR"/>
              </w:rPr>
              <w:t>de … à</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0,03%</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0,01%</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0,00%</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0,01%</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0,00%</w:t>
            </w:r>
          </w:p>
        </w:tc>
      </w:tr>
      <w:tr w:rsidR="00127535" w:rsidRPr="00415C2B" w:rsidTr="006D0521">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22"/>
                <w:szCs w:val="22"/>
                <w:lang w:eastAsia="fr-FR"/>
              </w:rPr>
            </w:pPr>
            <w:r w:rsidRPr="00415C2B">
              <w:rPr>
                <w:color w:val="000000"/>
                <w:sz w:val="22"/>
                <w:szCs w:val="22"/>
                <w:lang w:eastAsia="fr-FR"/>
              </w:rPr>
              <w:t>de … en</w:t>
            </w:r>
          </w:p>
        </w:tc>
        <w:tc>
          <w:tcPr>
            <w:tcW w:w="85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0,16%</w:t>
            </w:r>
          </w:p>
        </w:tc>
        <w:tc>
          <w:tcPr>
            <w:tcW w:w="101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0,23%</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0,14%</w:t>
            </w:r>
          </w:p>
        </w:tc>
        <w:tc>
          <w:tcPr>
            <w:tcW w:w="93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0,31%</w:t>
            </w:r>
          </w:p>
        </w:tc>
        <w:tc>
          <w:tcPr>
            <w:tcW w:w="86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1,00%</w:t>
            </w:r>
          </w:p>
        </w:tc>
      </w:tr>
      <w:tr w:rsidR="00127535" w:rsidRPr="00415C2B" w:rsidTr="006D0521">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22"/>
                <w:szCs w:val="22"/>
                <w:lang w:eastAsia="fr-FR"/>
              </w:rPr>
            </w:pPr>
            <w:r w:rsidRPr="00415C2B">
              <w:rPr>
                <w:color w:val="000000"/>
                <w:sz w:val="22"/>
                <w:szCs w:val="22"/>
                <w:lang w:eastAsia="fr-FR"/>
              </w:rPr>
              <w:t>par</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0,05%</w:t>
            </w:r>
          </w:p>
        </w:tc>
        <w:tc>
          <w:tcPr>
            <w:tcW w:w="8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0,33%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0,19%</w:t>
            </w:r>
          </w:p>
        </w:tc>
        <w:tc>
          <w:tcPr>
            <w:tcW w:w="70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0,24%</w:t>
            </w:r>
          </w:p>
        </w:tc>
        <w:tc>
          <w:tcPr>
            <w:tcW w:w="101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0,44%</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0,06%</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0,19%</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0,18%</w:t>
            </w:r>
          </w:p>
        </w:tc>
      </w:tr>
      <w:tr w:rsidR="003D48FE" w:rsidRPr="00415C2B" w:rsidTr="006D0521">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22"/>
                <w:szCs w:val="22"/>
                <w:lang w:eastAsia="fr-FR"/>
              </w:rPr>
            </w:pPr>
            <w:r w:rsidRPr="00415C2B">
              <w:rPr>
                <w:color w:val="000000"/>
                <w:sz w:val="22"/>
                <w:szCs w:val="22"/>
                <w:lang w:eastAsia="fr-FR"/>
              </w:rPr>
              <w:t>pour</w:t>
            </w:r>
          </w:p>
        </w:tc>
        <w:tc>
          <w:tcPr>
            <w:tcW w:w="85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0,06%</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0,07%</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0,05%</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0,03%</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0,04%</w:t>
            </w:r>
          </w:p>
        </w:tc>
      </w:tr>
      <w:tr w:rsidR="003D48FE" w:rsidRPr="00415C2B" w:rsidTr="006D0521">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rPr>
                <w:color w:val="000000"/>
                <w:sz w:val="22"/>
                <w:szCs w:val="22"/>
                <w:lang w:eastAsia="fr-FR"/>
              </w:rPr>
            </w:pPr>
            <w:r w:rsidRPr="00415C2B">
              <w:rPr>
                <w:color w:val="000000"/>
                <w:sz w:val="22"/>
                <w:szCs w:val="22"/>
                <w:lang w:eastAsia="fr-FR"/>
              </w:rPr>
              <w:t>sur</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0,06%</w:t>
            </w:r>
          </w:p>
        </w:tc>
        <w:tc>
          <w:tcPr>
            <w:tcW w:w="8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0,23%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0,07%</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0,16%</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0,02%</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0,07%</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535" w:rsidRPr="00415C2B" w:rsidRDefault="00127535" w:rsidP="00127535">
            <w:pPr>
              <w:suppressAutoHyphens w:val="0"/>
              <w:jc w:val="right"/>
              <w:rPr>
                <w:color w:val="000000"/>
                <w:sz w:val="22"/>
                <w:szCs w:val="22"/>
                <w:lang w:eastAsia="fr-FR"/>
              </w:rPr>
            </w:pPr>
            <w:r w:rsidRPr="00415C2B">
              <w:rPr>
                <w:color w:val="000000"/>
                <w:sz w:val="22"/>
                <w:szCs w:val="22"/>
                <w:lang w:eastAsia="fr-FR"/>
              </w:rPr>
              <w:t>0,12%</w:t>
            </w:r>
          </w:p>
        </w:tc>
      </w:tr>
    </w:tbl>
    <w:p w:rsidR="00F14F78" w:rsidRPr="006D0521" w:rsidRDefault="00C939A1" w:rsidP="00C939A1">
      <w:pPr>
        <w:spacing w:after="120"/>
        <w:jc w:val="both"/>
        <w:rPr>
          <w:rFonts w:eastAsiaTheme="majorEastAsia"/>
          <w:i/>
          <w:sz w:val="22"/>
          <w:szCs w:val="22"/>
          <w:lang w:val="fr-BE"/>
        </w:rPr>
      </w:pPr>
      <w:r w:rsidRPr="00635232">
        <w:rPr>
          <w:rFonts w:eastAsiaTheme="majorEastAsia"/>
          <w:i/>
          <w:sz w:val="22"/>
          <w:szCs w:val="22"/>
          <w:lang w:val="fr-BE"/>
        </w:rPr>
        <w:t>Figure 5</w:t>
      </w:r>
      <w:r w:rsidR="004F53C8" w:rsidRPr="00635232">
        <w:rPr>
          <w:rFonts w:eastAsiaTheme="majorEastAsia"/>
          <w:i/>
          <w:sz w:val="22"/>
          <w:szCs w:val="22"/>
          <w:lang w:val="fr-BE"/>
        </w:rPr>
        <w:t xml:space="preserve">- </w:t>
      </w:r>
      <w:r w:rsidR="00E1443F" w:rsidRPr="00635232">
        <w:rPr>
          <w:rFonts w:eastAsiaTheme="majorEastAsia"/>
          <w:i/>
          <w:sz w:val="22"/>
          <w:szCs w:val="22"/>
          <w:lang w:val="fr-BE"/>
        </w:rPr>
        <w:t xml:space="preserve">Un rapport : Les </w:t>
      </w:r>
      <w:r w:rsidR="004F53C8" w:rsidRPr="00635232">
        <w:rPr>
          <w:rFonts w:eastAsiaTheme="majorEastAsia"/>
          <w:i/>
          <w:sz w:val="22"/>
          <w:szCs w:val="22"/>
          <w:lang w:val="fr-BE"/>
        </w:rPr>
        <w:t xml:space="preserve">effectifs des </w:t>
      </w:r>
      <w:r w:rsidR="00E1443F" w:rsidRPr="00635232">
        <w:rPr>
          <w:rFonts w:eastAsiaTheme="majorEastAsia"/>
          <w:i/>
          <w:sz w:val="22"/>
          <w:szCs w:val="22"/>
          <w:lang w:val="fr-BE"/>
        </w:rPr>
        <w:t>structures</w:t>
      </w:r>
      <w:r w:rsidR="004F53C8" w:rsidRPr="00635232">
        <w:rPr>
          <w:rFonts w:eastAsiaTheme="majorEastAsia"/>
          <w:i/>
          <w:sz w:val="22"/>
          <w:szCs w:val="22"/>
          <w:lang w:val="fr-BE"/>
        </w:rPr>
        <w:t xml:space="preserve"> </w:t>
      </w:r>
      <w:r w:rsidR="00E1443F" w:rsidRPr="00635232">
        <w:rPr>
          <w:rFonts w:eastAsiaTheme="majorEastAsia"/>
          <w:i/>
          <w:sz w:val="22"/>
          <w:szCs w:val="22"/>
          <w:lang w:val="fr-BE"/>
        </w:rPr>
        <w:t>par rapport aux</w:t>
      </w:r>
      <w:r w:rsidR="004F53C8" w:rsidRPr="00635232">
        <w:rPr>
          <w:rFonts w:eastAsiaTheme="majorEastAsia"/>
          <w:i/>
          <w:sz w:val="22"/>
          <w:szCs w:val="22"/>
          <w:lang w:val="fr-BE"/>
        </w:rPr>
        <w:t xml:space="preserve"> effectifs des </w:t>
      </w:r>
      <w:r w:rsidR="00E1443F" w:rsidRPr="00635232">
        <w:rPr>
          <w:rFonts w:eastAsiaTheme="majorEastAsia"/>
          <w:i/>
          <w:sz w:val="22"/>
          <w:szCs w:val="22"/>
          <w:lang w:val="fr-BE"/>
        </w:rPr>
        <w:t>prépositions</w:t>
      </w:r>
    </w:p>
    <w:p w:rsidR="00F1661B" w:rsidRDefault="0032178D" w:rsidP="00882635">
      <w:pPr>
        <w:spacing w:before="120"/>
        <w:jc w:val="both"/>
        <w:rPr>
          <w:i/>
          <w:lang w:val="fr-BE"/>
        </w:rPr>
      </w:pPr>
      <w:r>
        <w:rPr>
          <w:lang w:val="fr-BE"/>
        </w:rPr>
        <w:t>Le seuil de 0,19 % est choisi comme seuil au-delà duquel la proportion peut être dite significative. La préposition « après » peut être dite la plus productive car ce seuil est dépassé pour 7 sous-corpus sur 9</w:t>
      </w:r>
      <w:r w:rsidR="000B53CB">
        <w:rPr>
          <w:lang w:val="fr-BE"/>
        </w:rPr>
        <w:t>. C</w:t>
      </w:r>
      <w:r w:rsidR="00B9706C">
        <w:rPr>
          <w:lang w:val="fr-BE"/>
        </w:rPr>
        <w:t>’</w:t>
      </w:r>
      <w:r w:rsidR="000B53CB">
        <w:rPr>
          <w:lang w:val="fr-BE"/>
        </w:rPr>
        <w:t xml:space="preserve">est la préposition qui mobilise le plus grand nombre de ses occurrences pour les faire entrer dans des structures </w:t>
      </w:r>
      <w:proofErr w:type="spellStart"/>
      <w:r w:rsidR="000B53CB">
        <w:rPr>
          <w:lang w:val="fr-BE"/>
        </w:rPr>
        <w:t>NpN</w:t>
      </w:r>
      <w:proofErr w:type="spellEnd"/>
      <w:r>
        <w:rPr>
          <w:lang w:val="fr-BE"/>
        </w:rPr>
        <w:t> ; elle est suivie de la structure « de</w:t>
      </w:r>
      <w:r w:rsidR="00560DC6">
        <w:rPr>
          <w:lang w:val="fr-BE"/>
        </w:rPr>
        <w:t xml:space="preserve"> </w:t>
      </w:r>
      <w:r>
        <w:rPr>
          <w:lang w:val="fr-BE"/>
        </w:rPr>
        <w:t>…</w:t>
      </w:r>
      <w:r w:rsidR="00560DC6">
        <w:rPr>
          <w:lang w:val="fr-BE"/>
        </w:rPr>
        <w:t xml:space="preserve"> </w:t>
      </w:r>
      <w:r>
        <w:rPr>
          <w:lang w:val="fr-BE"/>
        </w:rPr>
        <w:t>en » pour laquelle le seuil est dépassé pour 4 sous-corpus. En revanche</w:t>
      </w:r>
      <w:r w:rsidR="001F36BA" w:rsidRPr="001F36BA">
        <w:rPr>
          <w:lang w:val="fr-BE"/>
        </w:rPr>
        <w:t xml:space="preserve">, </w:t>
      </w:r>
      <w:r>
        <w:rPr>
          <w:lang w:val="fr-BE"/>
        </w:rPr>
        <w:t xml:space="preserve">les prépositions </w:t>
      </w:r>
      <w:r w:rsidR="00910864">
        <w:rPr>
          <w:lang w:val="fr-BE"/>
        </w:rPr>
        <w:t>« contre »</w:t>
      </w:r>
      <w:r w:rsidR="001F36BA" w:rsidRPr="001F36BA">
        <w:rPr>
          <w:lang w:val="fr-BE"/>
        </w:rPr>
        <w:t xml:space="preserve">, </w:t>
      </w:r>
      <w:r>
        <w:rPr>
          <w:lang w:val="fr-BE"/>
        </w:rPr>
        <w:t xml:space="preserve">« pour » et « sur » apparaissent comme les moins productives en structures </w:t>
      </w:r>
      <w:proofErr w:type="spellStart"/>
      <w:r>
        <w:rPr>
          <w:lang w:val="fr-BE"/>
        </w:rPr>
        <w:t>NpN</w:t>
      </w:r>
      <w:proofErr w:type="spellEnd"/>
      <w:r>
        <w:rPr>
          <w:lang w:val="fr-BE"/>
        </w:rPr>
        <w:t xml:space="preserve">. </w:t>
      </w:r>
      <w:r w:rsidR="0009083E">
        <w:rPr>
          <w:lang w:val="fr-BE"/>
        </w:rPr>
        <w:t>Pour mémoire</w:t>
      </w:r>
      <w:r w:rsidR="001F36BA" w:rsidRPr="001F36BA">
        <w:rPr>
          <w:lang w:val="fr-BE"/>
        </w:rPr>
        <w:t xml:space="preserve">, </w:t>
      </w:r>
      <w:r w:rsidR="0009083E">
        <w:rPr>
          <w:lang w:val="fr-BE"/>
        </w:rPr>
        <w:t>dans le corpus littéraire extrait de</w:t>
      </w:r>
      <w:r w:rsidR="0009083E" w:rsidRPr="00F1661B">
        <w:rPr>
          <w:i/>
          <w:lang w:val="fr-BE"/>
        </w:rPr>
        <w:t xml:space="preserve"> </w:t>
      </w:r>
      <w:proofErr w:type="spellStart"/>
      <w:r w:rsidR="0009083E" w:rsidRPr="00F1661B">
        <w:rPr>
          <w:i/>
          <w:lang w:val="fr-BE"/>
        </w:rPr>
        <w:t>Frantext</w:t>
      </w:r>
      <w:proofErr w:type="spellEnd"/>
      <w:r w:rsidR="001F36BA" w:rsidRPr="001F36BA">
        <w:rPr>
          <w:lang w:val="fr-BE"/>
        </w:rPr>
        <w:t xml:space="preserve">, </w:t>
      </w:r>
      <w:r w:rsidR="0009083E">
        <w:rPr>
          <w:lang w:val="fr-BE"/>
        </w:rPr>
        <w:t>c</w:t>
      </w:r>
      <w:r w:rsidR="00B9706C">
        <w:rPr>
          <w:lang w:val="fr-BE"/>
        </w:rPr>
        <w:t>’</w:t>
      </w:r>
      <w:r w:rsidR="0009083E">
        <w:rPr>
          <w:lang w:val="fr-BE"/>
        </w:rPr>
        <w:t>était les prépositions « contre » et « de</w:t>
      </w:r>
      <w:r w:rsidR="00560DC6">
        <w:rPr>
          <w:lang w:val="fr-BE"/>
        </w:rPr>
        <w:t xml:space="preserve"> </w:t>
      </w:r>
      <w:r w:rsidR="0009083E">
        <w:rPr>
          <w:lang w:val="fr-BE"/>
        </w:rPr>
        <w:t>…</w:t>
      </w:r>
      <w:r w:rsidR="00560DC6">
        <w:rPr>
          <w:lang w:val="fr-BE"/>
        </w:rPr>
        <w:t xml:space="preserve"> </w:t>
      </w:r>
      <w:r w:rsidR="009454DF">
        <w:rPr>
          <w:lang w:val="fr-BE"/>
        </w:rPr>
        <w:t>en » qui étai</w:t>
      </w:r>
      <w:r w:rsidR="005D6A12">
        <w:rPr>
          <w:lang w:val="fr-BE"/>
        </w:rPr>
        <w:t>e</w:t>
      </w:r>
      <w:r w:rsidR="0009083E">
        <w:rPr>
          <w:lang w:val="fr-BE"/>
        </w:rPr>
        <w:t xml:space="preserve">nt apparues comme les plus productives de </w:t>
      </w:r>
      <w:proofErr w:type="spellStart"/>
      <w:r w:rsidR="0009083E">
        <w:rPr>
          <w:lang w:val="fr-BE"/>
        </w:rPr>
        <w:t>NpN</w:t>
      </w:r>
      <w:proofErr w:type="spellEnd"/>
      <w:r w:rsidR="0009083E">
        <w:rPr>
          <w:lang w:val="fr-BE"/>
        </w:rPr>
        <w:t xml:space="preserve">. </w:t>
      </w:r>
      <w:r w:rsidR="00205FB0">
        <w:rPr>
          <w:lang w:val="fr-BE"/>
        </w:rPr>
        <w:t>Par comparaison avec ce premier travail exploratoire</w:t>
      </w:r>
      <w:r w:rsidR="001F36BA" w:rsidRPr="001F36BA">
        <w:rPr>
          <w:lang w:val="fr-BE"/>
        </w:rPr>
        <w:t xml:space="preserve">, </w:t>
      </w:r>
      <w:r w:rsidR="00E41DD1">
        <w:rPr>
          <w:lang w:val="fr-BE"/>
        </w:rPr>
        <w:t>« de</w:t>
      </w:r>
      <w:r w:rsidR="00560DC6">
        <w:rPr>
          <w:lang w:val="fr-BE"/>
        </w:rPr>
        <w:t xml:space="preserve"> </w:t>
      </w:r>
      <w:r w:rsidR="00E41DD1">
        <w:rPr>
          <w:lang w:val="fr-BE"/>
        </w:rPr>
        <w:t>…</w:t>
      </w:r>
      <w:r w:rsidR="00560DC6">
        <w:rPr>
          <w:lang w:val="fr-BE"/>
        </w:rPr>
        <w:t xml:space="preserve"> </w:t>
      </w:r>
      <w:r w:rsidR="00E41DD1">
        <w:rPr>
          <w:lang w:val="fr-BE"/>
        </w:rPr>
        <w:t>en » reste majoritaire dans deux sous-corpus fictionnels (</w:t>
      </w:r>
      <w:proofErr w:type="spellStart"/>
      <w:r w:rsidR="00E41DD1" w:rsidRPr="003D51C0">
        <w:rPr>
          <w:i/>
          <w:lang w:val="fr-BE"/>
        </w:rPr>
        <w:t>Harlequin</w:t>
      </w:r>
      <w:proofErr w:type="spellEnd"/>
      <w:r w:rsidR="00E41DD1">
        <w:rPr>
          <w:lang w:val="fr-BE"/>
        </w:rPr>
        <w:t xml:space="preserve"> se détache de son clan générique)</w:t>
      </w:r>
      <w:r w:rsidR="00560DC6">
        <w:rPr>
          <w:lang w:val="fr-BE"/>
        </w:rPr>
        <w:t>,</w:t>
      </w:r>
      <w:r w:rsidR="00E41DD1">
        <w:rPr>
          <w:lang w:val="fr-BE"/>
        </w:rPr>
        <w:t xml:space="preserve"> mais aussi dans deux journaux régionaux (</w:t>
      </w:r>
      <w:r w:rsidR="00E41DD1" w:rsidRPr="00560DC6">
        <w:rPr>
          <w:i/>
          <w:lang w:val="fr-BE"/>
        </w:rPr>
        <w:t>Sud-Ouest</w:t>
      </w:r>
      <w:r w:rsidR="00E41DD1">
        <w:rPr>
          <w:lang w:val="fr-BE"/>
        </w:rPr>
        <w:t xml:space="preserve"> et </w:t>
      </w:r>
      <w:r w:rsidR="00E41DD1" w:rsidRPr="00560DC6">
        <w:rPr>
          <w:i/>
          <w:lang w:val="fr-BE"/>
        </w:rPr>
        <w:t>Ouest-France</w:t>
      </w:r>
      <w:r w:rsidR="00E41DD1">
        <w:rPr>
          <w:lang w:val="fr-BE"/>
        </w:rPr>
        <w:t>)</w:t>
      </w:r>
      <w:r w:rsidR="00730AA0">
        <w:rPr>
          <w:lang w:val="fr-BE"/>
        </w:rPr>
        <w:t>. On ne peut donc parler d</w:t>
      </w:r>
      <w:r w:rsidR="00B9706C">
        <w:rPr>
          <w:lang w:val="fr-BE"/>
        </w:rPr>
        <w:t>’</w:t>
      </w:r>
      <w:r w:rsidR="00730AA0">
        <w:rPr>
          <w:lang w:val="fr-BE"/>
        </w:rPr>
        <w:t xml:space="preserve">un partage générique clair. </w:t>
      </w:r>
      <w:r w:rsidR="008B58A1">
        <w:rPr>
          <w:lang w:val="fr-BE"/>
        </w:rPr>
        <w:t>« Contre »</w:t>
      </w:r>
      <w:r w:rsidR="00560DC6">
        <w:rPr>
          <w:lang w:val="fr-BE"/>
        </w:rPr>
        <w:t>,</w:t>
      </w:r>
      <w:r w:rsidR="008B58A1">
        <w:rPr>
          <w:lang w:val="fr-BE"/>
        </w:rPr>
        <w:t xml:space="preserve"> qui </w:t>
      </w:r>
      <w:r w:rsidR="008B58A1">
        <w:rPr>
          <w:lang w:val="fr-BE"/>
        </w:rPr>
        <w:lastRenderedPageBreak/>
        <w:t xml:space="preserve">était la préposition la plus productive dans le corpus littéraire </w:t>
      </w:r>
      <w:proofErr w:type="spellStart"/>
      <w:r w:rsidR="008B58A1" w:rsidRPr="008B58A1">
        <w:rPr>
          <w:i/>
          <w:lang w:val="fr-BE"/>
        </w:rPr>
        <w:t>Frantext</w:t>
      </w:r>
      <w:proofErr w:type="spellEnd"/>
      <w:r w:rsidR="00560DC6">
        <w:rPr>
          <w:lang w:val="fr-BE"/>
        </w:rPr>
        <w:t>,</w:t>
      </w:r>
      <w:r w:rsidR="008B58A1" w:rsidRPr="008B58A1">
        <w:rPr>
          <w:i/>
          <w:lang w:val="fr-BE"/>
        </w:rPr>
        <w:t xml:space="preserve"> </w:t>
      </w:r>
      <w:r w:rsidR="008B58A1">
        <w:rPr>
          <w:lang w:val="fr-BE"/>
        </w:rPr>
        <w:t xml:space="preserve">ne confirme sa primauté dans ce nouveau corpus que pour la collection </w:t>
      </w:r>
      <w:proofErr w:type="spellStart"/>
      <w:r w:rsidR="008B58A1" w:rsidRPr="008B58A1">
        <w:rPr>
          <w:i/>
          <w:lang w:val="fr-BE"/>
        </w:rPr>
        <w:t>Harlequin</w:t>
      </w:r>
      <w:proofErr w:type="spellEnd"/>
      <w:r w:rsidR="008B58A1" w:rsidRPr="008B58A1">
        <w:rPr>
          <w:i/>
          <w:lang w:val="fr-BE"/>
        </w:rPr>
        <w:t>.</w:t>
      </w:r>
    </w:p>
    <w:p w:rsidR="008B58A1" w:rsidRDefault="008B58A1" w:rsidP="00882635">
      <w:pPr>
        <w:spacing w:before="120"/>
        <w:jc w:val="both"/>
        <w:rPr>
          <w:lang w:val="fr-BE"/>
        </w:rPr>
      </w:pPr>
      <w:r w:rsidRPr="008B58A1">
        <w:rPr>
          <w:lang w:val="fr-BE"/>
        </w:rPr>
        <w:t>Si</w:t>
      </w:r>
      <w:r>
        <w:rPr>
          <w:lang w:val="fr-BE"/>
        </w:rPr>
        <w:t xml:space="preserve"> on observe le comportement des sous-corpus relativement aux structures générées par les différentes prépositions</w:t>
      </w:r>
      <w:r w:rsidR="001F36BA" w:rsidRPr="001F36BA">
        <w:rPr>
          <w:lang w:val="fr-BE"/>
        </w:rPr>
        <w:t xml:space="preserve">, </w:t>
      </w:r>
      <w:r>
        <w:rPr>
          <w:lang w:val="fr-BE"/>
        </w:rPr>
        <w:t>c</w:t>
      </w:r>
      <w:r w:rsidR="00B9706C">
        <w:rPr>
          <w:lang w:val="fr-BE"/>
        </w:rPr>
        <w:t>’</w:t>
      </w:r>
      <w:r>
        <w:rPr>
          <w:lang w:val="fr-BE"/>
        </w:rPr>
        <w:t>est-à-dire si on observe les colonnes plutôt que les lignes</w:t>
      </w:r>
      <w:r w:rsidR="001F36BA" w:rsidRPr="001F36BA">
        <w:rPr>
          <w:lang w:val="fr-BE"/>
        </w:rPr>
        <w:t xml:space="preserve">, </w:t>
      </w:r>
      <w:r>
        <w:rPr>
          <w:lang w:val="fr-BE"/>
        </w:rPr>
        <w:t xml:space="preserve">on constate que </w:t>
      </w:r>
      <w:r w:rsidRPr="008B58A1">
        <w:rPr>
          <w:i/>
          <w:lang w:val="fr-BE"/>
        </w:rPr>
        <w:t>Ouest-France</w:t>
      </w:r>
      <w:r>
        <w:rPr>
          <w:lang w:val="fr-BE"/>
        </w:rPr>
        <w:t xml:space="preserve"> est le journal pour lequel le plus grand nombre de prépositions entrent dans des structures </w:t>
      </w:r>
      <w:proofErr w:type="spellStart"/>
      <w:r>
        <w:rPr>
          <w:lang w:val="fr-BE"/>
        </w:rPr>
        <w:t>NpN</w:t>
      </w:r>
      <w:proofErr w:type="spellEnd"/>
      <w:r>
        <w:rPr>
          <w:lang w:val="fr-BE"/>
        </w:rPr>
        <w:t> : « à</w:t>
      </w:r>
      <w:r w:rsidR="00560DC6">
        <w:rPr>
          <w:lang w:val="fr-BE"/>
        </w:rPr>
        <w:t> »</w:t>
      </w:r>
      <w:r w:rsidR="001F36BA" w:rsidRPr="001F36BA">
        <w:rPr>
          <w:lang w:val="fr-BE"/>
        </w:rPr>
        <w:t xml:space="preserve">, </w:t>
      </w:r>
      <w:r w:rsidR="00560DC6">
        <w:rPr>
          <w:lang w:val="fr-BE"/>
        </w:rPr>
        <w:t>« </w:t>
      </w:r>
      <w:r>
        <w:rPr>
          <w:lang w:val="fr-BE"/>
        </w:rPr>
        <w:t>après</w:t>
      </w:r>
      <w:r w:rsidR="00560DC6">
        <w:rPr>
          <w:lang w:val="fr-BE"/>
        </w:rPr>
        <w:t> »</w:t>
      </w:r>
      <w:r w:rsidR="001F36BA" w:rsidRPr="001F36BA">
        <w:rPr>
          <w:lang w:val="fr-BE"/>
        </w:rPr>
        <w:t xml:space="preserve">, </w:t>
      </w:r>
      <w:r w:rsidR="00560DC6">
        <w:rPr>
          <w:lang w:val="fr-BE"/>
        </w:rPr>
        <w:t>« </w:t>
      </w:r>
      <w:r>
        <w:rPr>
          <w:lang w:val="fr-BE"/>
        </w:rPr>
        <w:t>de</w:t>
      </w:r>
      <w:r w:rsidR="00560DC6">
        <w:rPr>
          <w:lang w:val="fr-BE"/>
        </w:rPr>
        <w:t xml:space="preserve"> </w:t>
      </w:r>
      <w:r>
        <w:rPr>
          <w:lang w:val="fr-BE"/>
        </w:rPr>
        <w:t>…</w:t>
      </w:r>
      <w:r w:rsidR="00560DC6">
        <w:rPr>
          <w:lang w:val="fr-BE"/>
        </w:rPr>
        <w:t xml:space="preserve"> </w:t>
      </w:r>
      <w:r>
        <w:rPr>
          <w:lang w:val="fr-BE"/>
        </w:rPr>
        <w:t>en</w:t>
      </w:r>
      <w:r w:rsidR="00560DC6">
        <w:rPr>
          <w:lang w:val="fr-BE"/>
        </w:rPr>
        <w:t> »</w:t>
      </w:r>
      <w:r w:rsidR="001F36BA" w:rsidRPr="001F36BA">
        <w:rPr>
          <w:lang w:val="fr-BE"/>
        </w:rPr>
        <w:t xml:space="preserve">, </w:t>
      </w:r>
      <w:r w:rsidR="00560DC6">
        <w:rPr>
          <w:lang w:val="fr-BE"/>
        </w:rPr>
        <w:t>« </w:t>
      </w:r>
      <w:r>
        <w:rPr>
          <w:lang w:val="fr-BE"/>
        </w:rPr>
        <w:t xml:space="preserve">par ». Il est suivi par </w:t>
      </w:r>
      <w:r w:rsidRPr="00560DC6">
        <w:rPr>
          <w:i/>
          <w:lang w:val="fr-BE"/>
        </w:rPr>
        <w:t xml:space="preserve">Sud-Ouest </w:t>
      </w:r>
      <w:r>
        <w:rPr>
          <w:lang w:val="fr-BE"/>
        </w:rPr>
        <w:t>avec les prépositions « après</w:t>
      </w:r>
      <w:r w:rsidR="00560DC6">
        <w:rPr>
          <w:lang w:val="fr-BE"/>
        </w:rPr>
        <w:t> »</w:t>
      </w:r>
      <w:r w:rsidR="001F36BA" w:rsidRPr="001F36BA">
        <w:rPr>
          <w:lang w:val="fr-BE"/>
        </w:rPr>
        <w:t xml:space="preserve">, </w:t>
      </w:r>
      <w:r w:rsidR="00560DC6">
        <w:rPr>
          <w:lang w:val="fr-BE"/>
        </w:rPr>
        <w:t>« </w:t>
      </w:r>
      <w:r>
        <w:rPr>
          <w:lang w:val="fr-BE"/>
        </w:rPr>
        <w:t>de</w:t>
      </w:r>
      <w:r w:rsidR="00560DC6">
        <w:rPr>
          <w:lang w:val="fr-BE"/>
        </w:rPr>
        <w:t xml:space="preserve"> </w:t>
      </w:r>
      <w:r>
        <w:rPr>
          <w:lang w:val="fr-BE"/>
        </w:rPr>
        <w:t>…</w:t>
      </w:r>
      <w:r w:rsidR="00560DC6">
        <w:rPr>
          <w:lang w:val="fr-BE"/>
        </w:rPr>
        <w:t xml:space="preserve"> </w:t>
      </w:r>
      <w:r>
        <w:rPr>
          <w:lang w:val="fr-BE"/>
        </w:rPr>
        <w:t>en</w:t>
      </w:r>
      <w:r w:rsidR="00560DC6">
        <w:rPr>
          <w:lang w:val="fr-BE"/>
        </w:rPr>
        <w:t> »</w:t>
      </w:r>
      <w:r w:rsidR="001F36BA" w:rsidRPr="001F36BA">
        <w:rPr>
          <w:lang w:val="fr-BE"/>
        </w:rPr>
        <w:t xml:space="preserve">, </w:t>
      </w:r>
      <w:r w:rsidR="00560DC6">
        <w:rPr>
          <w:lang w:val="fr-BE"/>
        </w:rPr>
        <w:t>« </w:t>
      </w:r>
      <w:r>
        <w:rPr>
          <w:lang w:val="fr-BE"/>
        </w:rPr>
        <w:t>pour » puis par un texte fictionnel</w:t>
      </w:r>
      <w:r w:rsidR="001F36BA" w:rsidRPr="001F36BA">
        <w:rPr>
          <w:lang w:val="fr-BE"/>
        </w:rPr>
        <w:t xml:space="preserve">, </w:t>
      </w:r>
      <w:proofErr w:type="spellStart"/>
      <w:r w:rsidRPr="00333897">
        <w:rPr>
          <w:i/>
          <w:lang w:val="fr-BE"/>
        </w:rPr>
        <w:t>Harlequin</w:t>
      </w:r>
      <w:proofErr w:type="spellEnd"/>
      <w:r w:rsidRPr="00333897">
        <w:rPr>
          <w:i/>
          <w:lang w:val="fr-BE"/>
        </w:rPr>
        <w:t xml:space="preserve"> </w:t>
      </w:r>
      <w:r>
        <w:rPr>
          <w:lang w:val="fr-BE"/>
        </w:rPr>
        <w:t>avec les prépositions « à</w:t>
      </w:r>
      <w:r w:rsidR="00560DC6">
        <w:rPr>
          <w:lang w:val="fr-BE"/>
        </w:rPr>
        <w:t> »</w:t>
      </w:r>
      <w:r w:rsidR="001F36BA" w:rsidRPr="001F36BA">
        <w:rPr>
          <w:lang w:val="fr-BE"/>
        </w:rPr>
        <w:t xml:space="preserve">, </w:t>
      </w:r>
      <w:r w:rsidR="00560DC6">
        <w:rPr>
          <w:lang w:val="fr-BE"/>
        </w:rPr>
        <w:t>« </w:t>
      </w:r>
      <w:r>
        <w:rPr>
          <w:lang w:val="fr-BE"/>
        </w:rPr>
        <w:t>après</w:t>
      </w:r>
      <w:r w:rsidR="00560DC6">
        <w:rPr>
          <w:lang w:val="fr-BE"/>
        </w:rPr>
        <w:t> »</w:t>
      </w:r>
      <w:r w:rsidR="001F36BA" w:rsidRPr="001F36BA">
        <w:rPr>
          <w:lang w:val="fr-BE"/>
        </w:rPr>
        <w:t xml:space="preserve">, </w:t>
      </w:r>
      <w:r w:rsidR="00560DC6">
        <w:rPr>
          <w:lang w:val="fr-BE"/>
        </w:rPr>
        <w:t>« </w:t>
      </w:r>
      <w:r>
        <w:rPr>
          <w:lang w:val="fr-BE"/>
        </w:rPr>
        <w:t xml:space="preserve">contre ». </w:t>
      </w:r>
      <w:r w:rsidR="0061139F">
        <w:rPr>
          <w:lang w:val="fr-BE"/>
        </w:rPr>
        <w:t>En revanche</w:t>
      </w:r>
      <w:r w:rsidR="001F36BA" w:rsidRPr="001F36BA">
        <w:rPr>
          <w:lang w:val="fr-BE"/>
        </w:rPr>
        <w:t xml:space="preserve">, </w:t>
      </w:r>
      <w:r w:rsidR="0061139F">
        <w:rPr>
          <w:i/>
          <w:lang w:val="fr-BE"/>
        </w:rPr>
        <w:t>L</w:t>
      </w:r>
      <w:r w:rsidR="00B9706C">
        <w:rPr>
          <w:i/>
          <w:lang w:val="fr-BE"/>
        </w:rPr>
        <w:t>’</w:t>
      </w:r>
      <w:r w:rsidR="0061139F" w:rsidRPr="0061139F">
        <w:rPr>
          <w:i/>
          <w:lang w:val="fr-BE"/>
        </w:rPr>
        <w:t>Est Républicain</w:t>
      </w:r>
      <w:r w:rsidR="0061139F">
        <w:rPr>
          <w:lang w:val="fr-BE"/>
        </w:rPr>
        <w:t xml:space="preserve"> se distingue par le fait qu</w:t>
      </w:r>
      <w:r w:rsidR="00B9706C">
        <w:rPr>
          <w:lang w:val="fr-BE"/>
        </w:rPr>
        <w:t>’</w:t>
      </w:r>
      <w:r w:rsidR="0061139F">
        <w:rPr>
          <w:lang w:val="fr-BE"/>
        </w:rPr>
        <w:t>aucune préposition ne se démarque de l</w:t>
      </w:r>
      <w:r w:rsidR="00B9706C">
        <w:rPr>
          <w:lang w:val="fr-BE"/>
        </w:rPr>
        <w:t>’</w:t>
      </w:r>
      <w:r w:rsidR="0061139F">
        <w:rPr>
          <w:lang w:val="fr-BE"/>
        </w:rPr>
        <w:t>ensemble pour lui.</w:t>
      </w:r>
    </w:p>
    <w:p w:rsidR="00741A02" w:rsidRPr="00882635" w:rsidRDefault="00882635" w:rsidP="00882635">
      <w:pPr>
        <w:pStyle w:val="Paragraphedeliste"/>
        <w:spacing w:before="180" w:after="60"/>
        <w:ind w:left="0"/>
        <w:rPr>
          <w:b/>
          <w:i/>
        </w:rPr>
      </w:pPr>
      <w:r>
        <w:rPr>
          <w:b/>
          <w:i/>
        </w:rPr>
        <w:t xml:space="preserve">2.2. </w:t>
      </w:r>
      <w:r w:rsidR="00663DE9" w:rsidRPr="00882635">
        <w:rPr>
          <w:b/>
          <w:i/>
        </w:rPr>
        <w:t>La productivité</w:t>
      </w:r>
    </w:p>
    <w:p w:rsidR="00741A02" w:rsidRDefault="00741A02" w:rsidP="009D5E30">
      <w:pPr>
        <w:spacing w:after="240"/>
        <w:jc w:val="both"/>
        <w:rPr>
          <w:lang w:val="fr-BE"/>
        </w:rPr>
      </w:pPr>
      <w:r>
        <w:rPr>
          <w:lang w:val="fr-BE"/>
        </w:rPr>
        <w:t>Pour évaluer la productivité des structures</w:t>
      </w:r>
      <w:r w:rsidR="001F36BA" w:rsidRPr="001F36BA">
        <w:rPr>
          <w:lang w:val="fr-BE"/>
        </w:rPr>
        <w:t xml:space="preserve">, </w:t>
      </w:r>
      <w:r>
        <w:rPr>
          <w:lang w:val="fr-BE"/>
        </w:rPr>
        <w:t>on établit une autre comparaison entre la fré</w:t>
      </w:r>
      <w:r>
        <w:rPr>
          <w:lang w:val="fr-BE"/>
        </w:rPr>
        <w:softHyphen/>
        <w:t>quence des prépositions et le nombre d</w:t>
      </w:r>
      <w:r w:rsidR="00B9706C">
        <w:rPr>
          <w:lang w:val="fr-BE"/>
        </w:rPr>
        <w:t>’</w:t>
      </w:r>
      <w:r>
        <w:rPr>
          <w:lang w:val="fr-BE"/>
        </w:rPr>
        <w:t>expressions différentes</w:t>
      </w:r>
      <w:r w:rsidR="006F20D6">
        <w:rPr>
          <w:lang w:val="fr-BE"/>
        </w:rPr>
        <w:t xml:space="preserve"> produites par les structures </w:t>
      </w:r>
      <w:proofErr w:type="spellStart"/>
      <w:r w:rsidR="006F20D6">
        <w:rPr>
          <w:lang w:val="fr-BE"/>
        </w:rPr>
        <w:t>Np</w:t>
      </w:r>
      <w:r>
        <w:rPr>
          <w:lang w:val="fr-BE"/>
        </w:rPr>
        <w:t>N</w:t>
      </w:r>
      <w:proofErr w:type="spellEnd"/>
      <w:r>
        <w:rPr>
          <w:lang w:val="fr-BE"/>
        </w:rPr>
        <w:t>. On calcule alors d</w:t>
      </w:r>
      <w:r w:rsidR="00B9706C">
        <w:rPr>
          <w:lang w:val="fr-BE"/>
        </w:rPr>
        <w:t>’</w:t>
      </w:r>
      <w:r>
        <w:rPr>
          <w:lang w:val="fr-BE"/>
        </w:rPr>
        <w:t>une part la proportion des effectifs de chaque préposition sur le total des effectifs des 7 prépositions</w:t>
      </w:r>
      <w:r w:rsidR="001F36BA" w:rsidRPr="001F36BA">
        <w:rPr>
          <w:lang w:val="fr-BE"/>
        </w:rPr>
        <w:t xml:space="preserve">, </w:t>
      </w:r>
      <w:r>
        <w:rPr>
          <w:lang w:val="fr-BE"/>
        </w:rPr>
        <w:t>d</w:t>
      </w:r>
      <w:r w:rsidR="00B9706C">
        <w:rPr>
          <w:lang w:val="fr-BE"/>
        </w:rPr>
        <w:t>’</w:t>
      </w:r>
      <w:r>
        <w:rPr>
          <w:lang w:val="fr-BE"/>
        </w:rPr>
        <w:t>autre part la proportion des différentes expressions générées par chaque préposition sur le nombre total des expressions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
        <w:gridCol w:w="851"/>
        <w:gridCol w:w="994"/>
        <w:gridCol w:w="996"/>
        <w:gridCol w:w="890"/>
        <w:gridCol w:w="757"/>
        <w:gridCol w:w="757"/>
        <w:gridCol w:w="849"/>
        <w:gridCol w:w="761"/>
        <w:gridCol w:w="757"/>
        <w:gridCol w:w="757"/>
      </w:tblGrid>
      <w:tr w:rsidR="007347E1" w:rsidRPr="00E768F4" w:rsidTr="006D0521">
        <w:trPr>
          <w:gridAfter w:val="5"/>
          <w:wAfter w:w="3881" w:type="dxa"/>
          <w:trHeight w:val="336"/>
        </w:trPr>
        <w:tc>
          <w:tcPr>
            <w:tcW w:w="5191" w:type="dxa"/>
            <w:gridSpan w:val="6"/>
            <w:shd w:val="clear" w:color="auto" w:fill="auto"/>
            <w:noWrap/>
            <w:vAlign w:val="bottom"/>
            <w:hideMark/>
          </w:tcPr>
          <w:p w:rsidR="007347E1" w:rsidRPr="00E768F4" w:rsidRDefault="007347E1" w:rsidP="007347E1">
            <w:pPr>
              <w:suppressAutoHyphens w:val="0"/>
              <w:rPr>
                <w:sz w:val="20"/>
                <w:szCs w:val="20"/>
                <w:lang w:eastAsia="fr-FR"/>
              </w:rPr>
            </w:pPr>
            <w:r w:rsidRPr="00E768F4">
              <w:rPr>
                <w:b/>
                <w:bCs/>
                <w:color w:val="000000"/>
                <w:sz w:val="20"/>
                <w:szCs w:val="20"/>
                <w:lang w:eastAsia="fr-FR"/>
              </w:rPr>
              <w:t>Pourcentages de chaque préposition sur toutes les prépositions</w:t>
            </w:r>
          </w:p>
        </w:tc>
      </w:tr>
      <w:tr w:rsidR="00BD1539" w:rsidRPr="0020265E" w:rsidTr="006D0521">
        <w:trPr>
          <w:trHeight w:val="276"/>
        </w:trPr>
        <w:tc>
          <w:tcPr>
            <w:tcW w:w="703" w:type="dxa"/>
            <w:shd w:val="clear" w:color="auto" w:fill="auto"/>
            <w:noWrap/>
            <w:vAlign w:val="bottom"/>
            <w:hideMark/>
          </w:tcPr>
          <w:p w:rsidR="007347E1" w:rsidRPr="0020265E" w:rsidRDefault="007347E1" w:rsidP="007347E1">
            <w:pPr>
              <w:suppressAutoHyphens w:val="0"/>
              <w:rPr>
                <w:sz w:val="16"/>
                <w:szCs w:val="16"/>
                <w:lang w:eastAsia="fr-FR"/>
              </w:rPr>
            </w:pPr>
          </w:p>
        </w:tc>
        <w:tc>
          <w:tcPr>
            <w:tcW w:w="851" w:type="dxa"/>
            <w:shd w:val="clear" w:color="auto" w:fill="auto"/>
            <w:noWrap/>
            <w:vAlign w:val="bottom"/>
            <w:hideMark/>
          </w:tcPr>
          <w:p w:rsidR="007347E1" w:rsidRPr="0020265E" w:rsidRDefault="007347E1" w:rsidP="007347E1">
            <w:pPr>
              <w:suppressAutoHyphens w:val="0"/>
              <w:rPr>
                <w:i/>
                <w:color w:val="000000"/>
                <w:sz w:val="16"/>
                <w:szCs w:val="16"/>
                <w:lang w:eastAsia="fr-FR"/>
              </w:rPr>
            </w:pPr>
            <w:r w:rsidRPr="0020265E">
              <w:rPr>
                <w:i/>
                <w:color w:val="000000"/>
                <w:sz w:val="16"/>
                <w:szCs w:val="16"/>
                <w:lang w:eastAsia="fr-FR"/>
              </w:rPr>
              <w:t>Sud-Ouest</w:t>
            </w:r>
          </w:p>
        </w:tc>
        <w:tc>
          <w:tcPr>
            <w:tcW w:w="994" w:type="dxa"/>
            <w:shd w:val="clear" w:color="auto" w:fill="auto"/>
            <w:noWrap/>
            <w:vAlign w:val="bottom"/>
            <w:hideMark/>
          </w:tcPr>
          <w:p w:rsidR="007347E1" w:rsidRPr="0020265E" w:rsidRDefault="0020265E" w:rsidP="007347E1">
            <w:pPr>
              <w:suppressAutoHyphens w:val="0"/>
              <w:rPr>
                <w:i/>
                <w:color w:val="000000"/>
                <w:sz w:val="16"/>
                <w:szCs w:val="16"/>
                <w:lang w:eastAsia="fr-FR"/>
              </w:rPr>
            </w:pPr>
            <w:proofErr w:type="spellStart"/>
            <w:r>
              <w:rPr>
                <w:i/>
                <w:color w:val="000000"/>
                <w:sz w:val="16"/>
                <w:szCs w:val="16"/>
                <w:lang w:eastAsia="fr-FR"/>
              </w:rPr>
              <w:t>L</w:t>
            </w:r>
            <w:r w:rsidR="007347E1" w:rsidRPr="0020265E">
              <w:rPr>
                <w:i/>
                <w:color w:val="000000"/>
                <w:sz w:val="16"/>
                <w:szCs w:val="16"/>
                <w:lang w:eastAsia="fr-FR"/>
              </w:rPr>
              <w:t>Est</w:t>
            </w:r>
            <w:proofErr w:type="spellEnd"/>
            <w:r w:rsidR="007347E1" w:rsidRPr="0020265E">
              <w:rPr>
                <w:i/>
                <w:color w:val="000000"/>
                <w:sz w:val="16"/>
                <w:szCs w:val="16"/>
                <w:lang w:eastAsia="fr-FR"/>
              </w:rPr>
              <w:t>-Républicain</w:t>
            </w:r>
          </w:p>
        </w:tc>
        <w:tc>
          <w:tcPr>
            <w:tcW w:w="996" w:type="dxa"/>
            <w:shd w:val="clear" w:color="auto" w:fill="auto"/>
            <w:noWrap/>
            <w:vAlign w:val="bottom"/>
            <w:hideMark/>
          </w:tcPr>
          <w:p w:rsidR="007347E1" w:rsidRPr="0020265E" w:rsidRDefault="007347E1" w:rsidP="007347E1">
            <w:pPr>
              <w:suppressAutoHyphens w:val="0"/>
              <w:rPr>
                <w:i/>
                <w:color w:val="000000"/>
                <w:sz w:val="16"/>
                <w:szCs w:val="16"/>
                <w:lang w:eastAsia="fr-FR"/>
              </w:rPr>
            </w:pPr>
            <w:r w:rsidRPr="0020265E">
              <w:rPr>
                <w:i/>
                <w:color w:val="000000"/>
                <w:sz w:val="16"/>
                <w:szCs w:val="16"/>
                <w:lang w:eastAsia="fr-FR"/>
              </w:rPr>
              <w:t>Figaro</w:t>
            </w:r>
          </w:p>
        </w:tc>
        <w:tc>
          <w:tcPr>
            <w:tcW w:w="890" w:type="dxa"/>
            <w:shd w:val="clear" w:color="auto" w:fill="auto"/>
            <w:noWrap/>
            <w:vAlign w:val="bottom"/>
            <w:hideMark/>
          </w:tcPr>
          <w:p w:rsidR="007347E1" w:rsidRPr="0020265E" w:rsidRDefault="007347E1" w:rsidP="007347E1">
            <w:pPr>
              <w:suppressAutoHyphens w:val="0"/>
              <w:rPr>
                <w:i/>
                <w:color w:val="000000"/>
                <w:sz w:val="16"/>
                <w:szCs w:val="16"/>
                <w:lang w:eastAsia="fr-FR"/>
              </w:rPr>
            </w:pPr>
            <w:r w:rsidRPr="0020265E">
              <w:rPr>
                <w:i/>
                <w:color w:val="000000"/>
                <w:sz w:val="16"/>
                <w:szCs w:val="16"/>
                <w:lang w:eastAsia="fr-FR"/>
              </w:rPr>
              <w:t>Libération</w:t>
            </w:r>
          </w:p>
        </w:tc>
        <w:tc>
          <w:tcPr>
            <w:tcW w:w="757" w:type="dxa"/>
            <w:shd w:val="clear" w:color="auto" w:fill="auto"/>
            <w:noWrap/>
            <w:vAlign w:val="bottom"/>
            <w:hideMark/>
          </w:tcPr>
          <w:p w:rsidR="007347E1" w:rsidRPr="0020265E" w:rsidRDefault="007347E1" w:rsidP="007347E1">
            <w:pPr>
              <w:suppressAutoHyphens w:val="0"/>
              <w:rPr>
                <w:i/>
                <w:color w:val="000000"/>
                <w:sz w:val="16"/>
                <w:szCs w:val="16"/>
                <w:lang w:eastAsia="fr-FR"/>
              </w:rPr>
            </w:pPr>
            <w:r w:rsidRPr="0020265E">
              <w:rPr>
                <w:i/>
                <w:color w:val="000000"/>
                <w:sz w:val="16"/>
                <w:szCs w:val="16"/>
                <w:lang w:eastAsia="fr-FR"/>
              </w:rPr>
              <w:t>Monde</w:t>
            </w:r>
          </w:p>
        </w:tc>
        <w:tc>
          <w:tcPr>
            <w:tcW w:w="757" w:type="dxa"/>
            <w:shd w:val="clear" w:color="auto" w:fill="auto"/>
            <w:noWrap/>
            <w:vAlign w:val="bottom"/>
            <w:hideMark/>
          </w:tcPr>
          <w:p w:rsidR="007347E1" w:rsidRPr="0020265E" w:rsidRDefault="007347E1" w:rsidP="007347E1">
            <w:pPr>
              <w:suppressAutoHyphens w:val="0"/>
              <w:rPr>
                <w:i/>
                <w:color w:val="000000"/>
                <w:sz w:val="16"/>
                <w:szCs w:val="16"/>
                <w:lang w:eastAsia="fr-FR"/>
              </w:rPr>
            </w:pPr>
            <w:r w:rsidRPr="0020265E">
              <w:rPr>
                <w:i/>
                <w:color w:val="000000"/>
                <w:sz w:val="16"/>
                <w:szCs w:val="16"/>
                <w:lang w:eastAsia="fr-FR"/>
              </w:rPr>
              <w:t>Ouest-France</w:t>
            </w:r>
          </w:p>
        </w:tc>
        <w:tc>
          <w:tcPr>
            <w:tcW w:w="849" w:type="dxa"/>
            <w:shd w:val="clear" w:color="auto" w:fill="auto"/>
            <w:noWrap/>
            <w:vAlign w:val="bottom"/>
            <w:hideMark/>
          </w:tcPr>
          <w:p w:rsidR="007347E1" w:rsidRPr="0020265E" w:rsidRDefault="00E768F4" w:rsidP="007347E1">
            <w:pPr>
              <w:suppressAutoHyphens w:val="0"/>
              <w:rPr>
                <w:color w:val="000000"/>
                <w:sz w:val="16"/>
                <w:szCs w:val="16"/>
                <w:lang w:eastAsia="fr-FR"/>
              </w:rPr>
            </w:pPr>
            <w:r w:rsidRPr="0020265E">
              <w:rPr>
                <w:color w:val="000000"/>
                <w:sz w:val="16"/>
                <w:szCs w:val="16"/>
                <w:lang w:eastAsia="fr-FR"/>
              </w:rPr>
              <w:t>R-</w:t>
            </w:r>
            <w:proofErr w:type="spellStart"/>
            <w:r w:rsidR="007347E1" w:rsidRPr="0020265E">
              <w:rPr>
                <w:color w:val="000000"/>
                <w:sz w:val="16"/>
                <w:szCs w:val="16"/>
                <w:lang w:eastAsia="fr-FR"/>
              </w:rPr>
              <w:t>Harlequin</w:t>
            </w:r>
            <w:proofErr w:type="spellEnd"/>
          </w:p>
        </w:tc>
        <w:tc>
          <w:tcPr>
            <w:tcW w:w="761" w:type="dxa"/>
            <w:shd w:val="clear" w:color="auto" w:fill="auto"/>
            <w:noWrap/>
            <w:vAlign w:val="bottom"/>
            <w:hideMark/>
          </w:tcPr>
          <w:p w:rsidR="007347E1" w:rsidRPr="0020265E" w:rsidRDefault="007347E1" w:rsidP="00E768F4">
            <w:pPr>
              <w:suppressAutoHyphens w:val="0"/>
              <w:rPr>
                <w:color w:val="000000"/>
                <w:sz w:val="16"/>
                <w:szCs w:val="16"/>
                <w:lang w:eastAsia="fr-FR"/>
              </w:rPr>
            </w:pPr>
            <w:r w:rsidRPr="0020265E">
              <w:rPr>
                <w:color w:val="000000"/>
                <w:sz w:val="16"/>
                <w:szCs w:val="16"/>
                <w:lang w:eastAsia="fr-FR"/>
              </w:rPr>
              <w:t>R</w:t>
            </w:r>
            <w:r w:rsidR="00E768F4" w:rsidRPr="0020265E">
              <w:rPr>
                <w:color w:val="000000"/>
                <w:sz w:val="16"/>
                <w:szCs w:val="16"/>
                <w:lang w:eastAsia="fr-FR"/>
              </w:rPr>
              <w:t>-</w:t>
            </w:r>
            <w:r w:rsidR="00BD1C43" w:rsidRPr="0020265E">
              <w:rPr>
                <w:color w:val="000000"/>
                <w:sz w:val="16"/>
                <w:szCs w:val="16"/>
                <w:lang w:eastAsia="fr-FR"/>
              </w:rPr>
              <w:t xml:space="preserve"> </w:t>
            </w:r>
            <w:r w:rsidRPr="0020265E">
              <w:rPr>
                <w:color w:val="000000"/>
                <w:sz w:val="16"/>
                <w:szCs w:val="16"/>
                <w:lang w:eastAsia="fr-FR"/>
              </w:rPr>
              <w:t>Policiers</w:t>
            </w:r>
          </w:p>
        </w:tc>
        <w:tc>
          <w:tcPr>
            <w:tcW w:w="757" w:type="dxa"/>
            <w:shd w:val="clear" w:color="auto" w:fill="auto"/>
            <w:noWrap/>
            <w:vAlign w:val="bottom"/>
            <w:hideMark/>
          </w:tcPr>
          <w:p w:rsidR="007347E1" w:rsidRPr="0020265E" w:rsidRDefault="007347E1" w:rsidP="00E768F4">
            <w:pPr>
              <w:suppressAutoHyphens w:val="0"/>
              <w:rPr>
                <w:color w:val="000000"/>
                <w:sz w:val="16"/>
                <w:szCs w:val="16"/>
                <w:lang w:eastAsia="fr-FR"/>
              </w:rPr>
            </w:pPr>
            <w:r w:rsidRPr="0020265E">
              <w:rPr>
                <w:color w:val="000000"/>
                <w:sz w:val="16"/>
                <w:szCs w:val="16"/>
                <w:lang w:eastAsia="fr-FR"/>
              </w:rPr>
              <w:t>R</w:t>
            </w:r>
            <w:r w:rsidR="00BD1539">
              <w:rPr>
                <w:color w:val="000000"/>
                <w:sz w:val="16"/>
                <w:szCs w:val="16"/>
                <w:lang w:eastAsia="fr-FR"/>
              </w:rPr>
              <w:t>-</w:t>
            </w:r>
            <w:r w:rsidR="00BD1C43" w:rsidRPr="0020265E">
              <w:rPr>
                <w:color w:val="000000"/>
                <w:sz w:val="16"/>
                <w:szCs w:val="16"/>
                <w:lang w:eastAsia="fr-FR"/>
              </w:rPr>
              <w:t>s</w:t>
            </w:r>
            <w:r w:rsidRPr="0020265E">
              <w:rPr>
                <w:color w:val="000000"/>
                <w:sz w:val="16"/>
                <w:szCs w:val="16"/>
                <w:lang w:eastAsia="fr-FR"/>
              </w:rPr>
              <w:t>érieux</w:t>
            </w:r>
          </w:p>
        </w:tc>
        <w:tc>
          <w:tcPr>
            <w:tcW w:w="757" w:type="dxa"/>
            <w:shd w:val="clear" w:color="auto" w:fill="auto"/>
            <w:noWrap/>
            <w:vAlign w:val="bottom"/>
            <w:hideMark/>
          </w:tcPr>
          <w:p w:rsidR="007347E1" w:rsidRPr="0020265E" w:rsidRDefault="007347E1" w:rsidP="007347E1">
            <w:pPr>
              <w:suppressAutoHyphens w:val="0"/>
              <w:rPr>
                <w:color w:val="000000"/>
                <w:sz w:val="16"/>
                <w:szCs w:val="16"/>
                <w:lang w:eastAsia="fr-FR"/>
              </w:rPr>
            </w:pPr>
            <w:r w:rsidRPr="0020265E">
              <w:rPr>
                <w:color w:val="000000"/>
                <w:sz w:val="16"/>
                <w:szCs w:val="16"/>
                <w:lang w:eastAsia="fr-FR"/>
              </w:rPr>
              <w:t>Total</w:t>
            </w:r>
          </w:p>
        </w:tc>
      </w:tr>
      <w:tr w:rsidR="00BD1539" w:rsidRPr="00E768F4" w:rsidTr="006D0521">
        <w:trPr>
          <w:trHeight w:val="336"/>
        </w:trPr>
        <w:tc>
          <w:tcPr>
            <w:tcW w:w="703" w:type="dxa"/>
            <w:shd w:val="clear" w:color="auto" w:fill="auto"/>
            <w:noWrap/>
            <w:vAlign w:val="bottom"/>
            <w:hideMark/>
          </w:tcPr>
          <w:p w:rsidR="007347E1" w:rsidRPr="00E768F4" w:rsidRDefault="007347E1" w:rsidP="007347E1">
            <w:pPr>
              <w:suppressAutoHyphens w:val="0"/>
              <w:rPr>
                <w:color w:val="000000"/>
                <w:sz w:val="20"/>
                <w:szCs w:val="20"/>
                <w:lang w:eastAsia="fr-FR"/>
              </w:rPr>
            </w:pPr>
            <w:r w:rsidRPr="00E768F4">
              <w:rPr>
                <w:color w:val="000000"/>
                <w:sz w:val="20"/>
                <w:szCs w:val="20"/>
                <w:lang w:eastAsia="fr-FR"/>
              </w:rPr>
              <w:t>à</w:t>
            </w:r>
          </w:p>
        </w:tc>
        <w:tc>
          <w:tcPr>
            <w:tcW w:w="851"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47,03%</w:t>
            </w:r>
          </w:p>
        </w:tc>
        <w:tc>
          <w:tcPr>
            <w:tcW w:w="994"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47,14%</w:t>
            </w:r>
          </w:p>
        </w:tc>
        <w:tc>
          <w:tcPr>
            <w:tcW w:w="996"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38,63%</w:t>
            </w:r>
          </w:p>
        </w:tc>
        <w:tc>
          <w:tcPr>
            <w:tcW w:w="890"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35,86%</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35,72%</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39,45%</w:t>
            </w:r>
          </w:p>
        </w:tc>
        <w:tc>
          <w:tcPr>
            <w:tcW w:w="849"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46,75%</w:t>
            </w:r>
          </w:p>
        </w:tc>
        <w:tc>
          <w:tcPr>
            <w:tcW w:w="761"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47,68%</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50,37%</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44,44%</w:t>
            </w:r>
          </w:p>
        </w:tc>
      </w:tr>
      <w:tr w:rsidR="00BD1539" w:rsidRPr="00E768F4" w:rsidTr="006D0521">
        <w:trPr>
          <w:trHeight w:val="336"/>
        </w:trPr>
        <w:tc>
          <w:tcPr>
            <w:tcW w:w="703" w:type="dxa"/>
            <w:shd w:val="clear" w:color="auto" w:fill="auto"/>
            <w:noWrap/>
            <w:vAlign w:val="bottom"/>
            <w:hideMark/>
          </w:tcPr>
          <w:p w:rsidR="007347E1" w:rsidRPr="00E768F4" w:rsidRDefault="007347E1" w:rsidP="007347E1">
            <w:pPr>
              <w:suppressAutoHyphens w:val="0"/>
              <w:rPr>
                <w:color w:val="000000"/>
                <w:sz w:val="20"/>
                <w:szCs w:val="20"/>
                <w:lang w:eastAsia="fr-FR"/>
              </w:rPr>
            </w:pPr>
            <w:r w:rsidRPr="00E768F4">
              <w:rPr>
                <w:color w:val="000000"/>
                <w:sz w:val="20"/>
                <w:szCs w:val="20"/>
                <w:lang w:eastAsia="fr-FR"/>
              </w:rPr>
              <w:t>après</w:t>
            </w:r>
          </w:p>
        </w:tc>
        <w:tc>
          <w:tcPr>
            <w:tcW w:w="851"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2,45%</w:t>
            </w:r>
          </w:p>
        </w:tc>
        <w:tc>
          <w:tcPr>
            <w:tcW w:w="994"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1,77%</w:t>
            </w:r>
          </w:p>
        </w:tc>
        <w:tc>
          <w:tcPr>
            <w:tcW w:w="996"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2,94%</w:t>
            </w:r>
          </w:p>
        </w:tc>
        <w:tc>
          <w:tcPr>
            <w:tcW w:w="890"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2,27%</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2,10%</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2,38%</w:t>
            </w:r>
          </w:p>
        </w:tc>
        <w:tc>
          <w:tcPr>
            <w:tcW w:w="849"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2,24%</w:t>
            </w:r>
          </w:p>
        </w:tc>
        <w:tc>
          <w:tcPr>
            <w:tcW w:w="761"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1,93%</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1,89%</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2,16%</w:t>
            </w:r>
          </w:p>
        </w:tc>
      </w:tr>
      <w:tr w:rsidR="00BD1539" w:rsidRPr="00E768F4" w:rsidTr="006D0521">
        <w:trPr>
          <w:trHeight w:val="336"/>
        </w:trPr>
        <w:tc>
          <w:tcPr>
            <w:tcW w:w="703" w:type="dxa"/>
            <w:shd w:val="clear" w:color="auto" w:fill="auto"/>
            <w:noWrap/>
            <w:vAlign w:val="bottom"/>
            <w:hideMark/>
          </w:tcPr>
          <w:p w:rsidR="007347E1" w:rsidRPr="00E768F4" w:rsidRDefault="007347E1" w:rsidP="007347E1">
            <w:pPr>
              <w:suppressAutoHyphens w:val="0"/>
              <w:rPr>
                <w:color w:val="000000"/>
                <w:sz w:val="20"/>
                <w:szCs w:val="20"/>
                <w:lang w:eastAsia="fr-FR"/>
              </w:rPr>
            </w:pPr>
            <w:r w:rsidRPr="00E768F4">
              <w:rPr>
                <w:color w:val="000000"/>
                <w:sz w:val="20"/>
                <w:szCs w:val="20"/>
                <w:lang w:eastAsia="fr-FR"/>
              </w:rPr>
              <w:t>contre</w:t>
            </w:r>
          </w:p>
        </w:tc>
        <w:tc>
          <w:tcPr>
            <w:tcW w:w="851"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1,18%</w:t>
            </w:r>
          </w:p>
        </w:tc>
        <w:tc>
          <w:tcPr>
            <w:tcW w:w="994"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0,80%</w:t>
            </w:r>
          </w:p>
        </w:tc>
        <w:tc>
          <w:tcPr>
            <w:tcW w:w="996"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2,07%</w:t>
            </w:r>
          </w:p>
        </w:tc>
        <w:tc>
          <w:tcPr>
            <w:tcW w:w="890"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1,52%</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1,56%</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1,38%</w:t>
            </w:r>
          </w:p>
        </w:tc>
        <w:tc>
          <w:tcPr>
            <w:tcW w:w="849"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1,49%</w:t>
            </w:r>
          </w:p>
        </w:tc>
        <w:tc>
          <w:tcPr>
            <w:tcW w:w="761"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1,08%</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1,04%</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1,30%</w:t>
            </w:r>
          </w:p>
        </w:tc>
      </w:tr>
      <w:tr w:rsidR="00BD1539" w:rsidRPr="00E768F4" w:rsidTr="006D0521">
        <w:trPr>
          <w:trHeight w:val="336"/>
        </w:trPr>
        <w:tc>
          <w:tcPr>
            <w:tcW w:w="703" w:type="dxa"/>
            <w:shd w:val="clear" w:color="auto" w:fill="auto"/>
            <w:noWrap/>
            <w:vAlign w:val="bottom"/>
            <w:hideMark/>
          </w:tcPr>
          <w:p w:rsidR="007347E1" w:rsidRPr="00E768F4" w:rsidRDefault="007347E1" w:rsidP="007347E1">
            <w:pPr>
              <w:suppressAutoHyphens w:val="0"/>
              <w:rPr>
                <w:color w:val="000000"/>
                <w:sz w:val="20"/>
                <w:szCs w:val="20"/>
                <w:lang w:eastAsia="fr-FR"/>
              </w:rPr>
            </w:pPr>
            <w:r w:rsidRPr="00E768F4">
              <w:rPr>
                <w:color w:val="000000"/>
                <w:sz w:val="20"/>
                <w:szCs w:val="20"/>
                <w:lang w:eastAsia="fr-FR"/>
              </w:rPr>
              <w:t>en</w:t>
            </w:r>
          </w:p>
        </w:tc>
        <w:tc>
          <w:tcPr>
            <w:tcW w:w="851"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24,91%</w:t>
            </w:r>
          </w:p>
        </w:tc>
        <w:tc>
          <w:tcPr>
            <w:tcW w:w="994"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18,09%</w:t>
            </w:r>
          </w:p>
        </w:tc>
        <w:tc>
          <w:tcPr>
            <w:tcW w:w="996"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25,38%</w:t>
            </w:r>
          </w:p>
        </w:tc>
        <w:tc>
          <w:tcPr>
            <w:tcW w:w="890"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24,11%</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24,62%</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21,96%</w:t>
            </w:r>
          </w:p>
        </w:tc>
        <w:tc>
          <w:tcPr>
            <w:tcW w:w="849"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18,49%</w:t>
            </w:r>
          </w:p>
        </w:tc>
        <w:tc>
          <w:tcPr>
            <w:tcW w:w="761"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18,38%</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17,59%</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20,61%</w:t>
            </w:r>
          </w:p>
        </w:tc>
      </w:tr>
      <w:tr w:rsidR="00BD1539" w:rsidRPr="00E768F4" w:rsidTr="006D0521">
        <w:trPr>
          <w:trHeight w:val="336"/>
        </w:trPr>
        <w:tc>
          <w:tcPr>
            <w:tcW w:w="703" w:type="dxa"/>
            <w:shd w:val="clear" w:color="auto" w:fill="auto"/>
            <w:noWrap/>
            <w:vAlign w:val="bottom"/>
            <w:hideMark/>
          </w:tcPr>
          <w:p w:rsidR="007347E1" w:rsidRPr="00E768F4" w:rsidRDefault="007347E1" w:rsidP="007347E1">
            <w:pPr>
              <w:suppressAutoHyphens w:val="0"/>
              <w:rPr>
                <w:color w:val="000000"/>
                <w:sz w:val="20"/>
                <w:szCs w:val="20"/>
                <w:lang w:eastAsia="fr-FR"/>
              </w:rPr>
            </w:pPr>
            <w:r w:rsidRPr="00E768F4">
              <w:rPr>
                <w:color w:val="000000"/>
                <w:sz w:val="20"/>
                <w:szCs w:val="20"/>
                <w:lang w:eastAsia="fr-FR"/>
              </w:rPr>
              <w:t>par</w:t>
            </w:r>
          </w:p>
        </w:tc>
        <w:tc>
          <w:tcPr>
            <w:tcW w:w="851"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10,97%</w:t>
            </w:r>
          </w:p>
        </w:tc>
        <w:tc>
          <w:tcPr>
            <w:tcW w:w="994"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8,91%</w:t>
            </w:r>
          </w:p>
        </w:tc>
        <w:tc>
          <w:tcPr>
            <w:tcW w:w="996"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10,89%</w:t>
            </w:r>
          </w:p>
        </w:tc>
        <w:tc>
          <w:tcPr>
            <w:tcW w:w="890"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10,43%</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11,35%</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9,62%</w:t>
            </w:r>
          </w:p>
        </w:tc>
        <w:tc>
          <w:tcPr>
            <w:tcW w:w="849"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4,98%</w:t>
            </w:r>
          </w:p>
        </w:tc>
        <w:tc>
          <w:tcPr>
            <w:tcW w:w="761"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6,06%</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6,31%</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8,08%</w:t>
            </w:r>
          </w:p>
        </w:tc>
      </w:tr>
      <w:tr w:rsidR="00BD1539" w:rsidRPr="00E768F4" w:rsidTr="006D0521">
        <w:trPr>
          <w:trHeight w:val="336"/>
        </w:trPr>
        <w:tc>
          <w:tcPr>
            <w:tcW w:w="703" w:type="dxa"/>
            <w:shd w:val="clear" w:color="auto" w:fill="auto"/>
            <w:noWrap/>
            <w:vAlign w:val="bottom"/>
            <w:hideMark/>
          </w:tcPr>
          <w:p w:rsidR="007347E1" w:rsidRPr="00E768F4" w:rsidRDefault="007347E1" w:rsidP="007347E1">
            <w:pPr>
              <w:suppressAutoHyphens w:val="0"/>
              <w:rPr>
                <w:color w:val="000000"/>
                <w:sz w:val="20"/>
                <w:szCs w:val="20"/>
                <w:lang w:eastAsia="fr-FR"/>
              </w:rPr>
            </w:pPr>
            <w:r w:rsidRPr="00E768F4">
              <w:rPr>
                <w:color w:val="000000"/>
                <w:sz w:val="20"/>
                <w:szCs w:val="20"/>
                <w:lang w:eastAsia="fr-FR"/>
              </w:rPr>
              <w:t>pour</w:t>
            </w:r>
          </w:p>
        </w:tc>
        <w:tc>
          <w:tcPr>
            <w:tcW w:w="851"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1,89%</w:t>
            </w:r>
          </w:p>
        </w:tc>
        <w:tc>
          <w:tcPr>
            <w:tcW w:w="994"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15,04%</w:t>
            </w:r>
          </w:p>
        </w:tc>
        <w:tc>
          <w:tcPr>
            <w:tcW w:w="996"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16,33%</w:t>
            </w:r>
          </w:p>
        </w:tc>
        <w:tc>
          <w:tcPr>
            <w:tcW w:w="890"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15,13%</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14,30%</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15,05%</w:t>
            </w:r>
          </w:p>
        </w:tc>
        <w:tc>
          <w:tcPr>
            <w:tcW w:w="849"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15,63%</w:t>
            </w:r>
          </w:p>
        </w:tc>
        <w:tc>
          <w:tcPr>
            <w:tcW w:w="761"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12,92%</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12,60%</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13,41%</w:t>
            </w:r>
          </w:p>
        </w:tc>
      </w:tr>
      <w:tr w:rsidR="00BD1539" w:rsidRPr="00E768F4" w:rsidTr="006D0521">
        <w:trPr>
          <w:trHeight w:val="336"/>
        </w:trPr>
        <w:tc>
          <w:tcPr>
            <w:tcW w:w="703" w:type="dxa"/>
            <w:shd w:val="clear" w:color="auto" w:fill="auto"/>
            <w:noWrap/>
            <w:vAlign w:val="bottom"/>
            <w:hideMark/>
          </w:tcPr>
          <w:p w:rsidR="007347E1" w:rsidRPr="00E768F4" w:rsidRDefault="007347E1" w:rsidP="007347E1">
            <w:pPr>
              <w:suppressAutoHyphens w:val="0"/>
              <w:rPr>
                <w:color w:val="000000"/>
                <w:sz w:val="20"/>
                <w:szCs w:val="20"/>
                <w:lang w:eastAsia="fr-FR"/>
              </w:rPr>
            </w:pPr>
            <w:r w:rsidRPr="00E768F4">
              <w:rPr>
                <w:color w:val="000000"/>
                <w:sz w:val="20"/>
                <w:szCs w:val="20"/>
                <w:lang w:eastAsia="fr-FR"/>
              </w:rPr>
              <w:t>sur</w:t>
            </w:r>
          </w:p>
        </w:tc>
        <w:tc>
          <w:tcPr>
            <w:tcW w:w="851"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11,58%</w:t>
            </w:r>
          </w:p>
        </w:tc>
        <w:tc>
          <w:tcPr>
            <w:tcW w:w="994"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8,25%</w:t>
            </w:r>
          </w:p>
        </w:tc>
        <w:tc>
          <w:tcPr>
            <w:tcW w:w="996"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3,76%</w:t>
            </w:r>
          </w:p>
        </w:tc>
        <w:tc>
          <w:tcPr>
            <w:tcW w:w="890"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10,67%</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10,35%</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10,16%</w:t>
            </w:r>
          </w:p>
        </w:tc>
        <w:tc>
          <w:tcPr>
            <w:tcW w:w="849"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10,41%</w:t>
            </w:r>
          </w:p>
        </w:tc>
        <w:tc>
          <w:tcPr>
            <w:tcW w:w="761"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11,96%</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10,21%</w:t>
            </w:r>
          </w:p>
        </w:tc>
        <w:tc>
          <w:tcPr>
            <w:tcW w:w="757" w:type="dxa"/>
            <w:shd w:val="clear" w:color="auto" w:fill="auto"/>
            <w:noWrap/>
            <w:vAlign w:val="bottom"/>
            <w:hideMark/>
          </w:tcPr>
          <w:p w:rsidR="007347E1" w:rsidRPr="00E768F4" w:rsidRDefault="007347E1" w:rsidP="007347E1">
            <w:pPr>
              <w:suppressAutoHyphens w:val="0"/>
              <w:jc w:val="right"/>
              <w:rPr>
                <w:color w:val="000000"/>
                <w:sz w:val="20"/>
                <w:szCs w:val="20"/>
                <w:lang w:eastAsia="fr-FR"/>
              </w:rPr>
            </w:pPr>
            <w:r w:rsidRPr="00E768F4">
              <w:rPr>
                <w:color w:val="000000"/>
                <w:sz w:val="20"/>
                <w:szCs w:val="20"/>
                <w:lang w:eastAsia="fr-FR"/>
              </w:rPr>
              <w:t>10,00%</w:t>
            </w:r>
          </w:p>
        </w:tc>
      </w:tr>
    </w:tbl>
    <w:p w:rsidR="009F12F4" w:rsidRPr="00C136BB" w:rsidRDefault="00484763" w:rsidP="00484763">
      <w:pPr>
        <w:spacing w:after="120"/>
        <w:jc w:val="both"/>
        <w:rPr>
          <w:rFonts w:eastAsiaTheme="majorEastAsia"/>
          <w:i/>
          <w:sz w:val="22"/>
          <w:szCs w:val="22"/>
          <w:lang w:val="fr-BE"/>
        </w:rPr>
      </w:pPr>
      <w:r w:rsidRPr="00635232">
        <w:rPr>
          <w:rFonts w:eastAsiaTheme="majorEastAsia"/>
          <w:i/>
          <w:sz w:val="22"/>
          <w:szCs w:val="22"/>
          <w:lang w:val="fr-BE"/>
        </w:rPr>
        <w:t>Figure 6</w:t>
      </w:r>
      <w:r w:rsidR="00E1443F" w:rsidRPr="00635232">
        <w:rPr>
          <w:rFonts w:eastAsiaTheme="majorEastAsia"/>
          <w:i/>
          <w:sz w:val="22"/>
          <w:szCs w:val="22"/>
          <w:lang w:val="fr-BE"/>
        </w:rPr>
        <w:t>-</w:t>
      </w:r>
      <w:r w:rsidR="002A1DC9" w:rsidRPr="00635232">
        <w:rPr>
          <w:rFonts w:eastAsiaTheme="majorEastAsia"/>
          <w:i/>
          <w:sz w:val="22"/>
          <w:szCs w:val="22"/>
          <w:lang w:val="fr-BE"/>
        </w:rPr>
        <w:t>La proportion de chaque prépos</w:t>
      </w:r>
      <w:r w:rsidR="009F606F" w:rsidRPr="00635232">
        <w:rPr>
          <w:rFonts w:eastAsiaTheme="majorEastAsia"/>
          <w:i/>
          <w:sz w:val="22"/>
          <w:szCs w:val="22"/>
          <w:lang w:val="fr-BE"/>
        </w:rPr>
        <w:t>i</w:t>
      </w:r>
      <w:r w:rsidR="002A1DC9" w:rsidRPr="00635232">
        <w:rPr>
          <w:rFonts w:eastAsiaTheme="majorEastAsia"/>
          <w:i/>
          <w:sz w:val="22"/>
          <w:szCs w:val="22"/>
          <w:lang w:val="fr-BE"/>
        </w:rPr>
        <w:t>tion</w:t>
      </w:r>
    </w:p>
    <w:p w:rsidR="009F12F4" w:rsidRDefault="009F12F4" w:rsidP="009D5E30">
      <w:pPr>
        <w:spacing w:after="240"/>
        <w:jc w:val="both"/>
        <w:rPr>
          <w:lang w:val="fr-BE"/>
        </w:rPr>
      </w:pPr>
      <w:r>
        <w:rPr>
          <w:lang w:val="fr-BE"/>
        </w:rPr>
        <w:t>« </w:t>
      </w:r>
      <w:r w:rsidR="00484763">
        <w:rPr>
          <w:lang w:val="fr-BE"/>
        </w:rPr>
        <w:t>À</w:t>
      </w:r>
      <w:r>
        <w:rPr>
          <w:lang w:val="fr-BE"/>
        </w:rPr>
        <w:t xml:space="preserve"> » est la préposition la plus représentée parmi toutes les prépositions et cela quel que soit le sous-corpus observé. </w:t>
      </w:r>
      <w:r w:rsidR="00CF2D1A">
        <w:rPr>
          <w:lang w:val="fr-BE"/>
        </w:rPr>
        <w:t>Une harmonie dans l</w:t>
      </w:r>
      <w:r w:rsidR="00B9706C">
        <w:rPr>
          <w:lang w:val="fr-BE"/>
        </w:rPr>
        <w:t>’</w:t>
      </w:r>
      <w:r w:rsidR="00CF2D1A">
        <w:rPr>
          <w:lang w:val="fr-BE"/>
        </w:rPr>
        <w:t>emploi des prépositions se dégage</w:t>
      </w:r>
      <w:r w:rsidR="001F36BA" w:rsidRPr="001F36BA">
        <w:rPr>
          <w:lang w:val="fr-BE"/>
        </w:rPr>
        <w:t xml:space="preserve">, </w:t>
      </w:r>
      <w:r w:rsidR="00CF2D1A">
        <w:rPr>
          <w:lang w:val="fr-BE"/>
        </w:rPr>
        <w:t xml:space="preserve">quel que soit le sous-corpus. </w:t>
      </w:r>
      <w:r w:rsidR="00AF3B5E">
        <w:rPr>
          <w:lang w:val="fr-BE"/>
        </w:rPr>
        <w:t>L</w:t>
      </w:r>
      <w:r w:rsidR="00B9706C">
        <w:rPr>
          <w:lang w:val="fr-BE"/>
        </w:rPr>
        <w:t>’</w:t>
      </w:r>
      <w:r w:rsidR="00AF3B5E">
        <w:rPr>
          <w:lang w:val="fr-BE"/>
        </w:rPr>
        <w:t>ordre décroissant de l</w:t>
      </w:r>
      <w:r w:rsidR="00B9706C">
        <w:rPr>
          <w:lang w:val="fr-BE"/>
        </w:rPr>
        <w:t>’</w:t>
      </w:r>
      <w:r w:rsidR="00AF3B5E">
        <w:rPr>
          <w:lang w:val="fr-BE"/>
        </w:rPr>
        <w:t xml:space="preserve">emploi des prépositions majoritaire est régulièrement constaté : </w:t>
      </w:r>
      <w:r w:rsidR="000C23A1">
        <w:rPr>
          <w:lang w:val="fr-BE"/>
        </w:rPr>
        <w:t>« </w:t>
      </w:r>
      <w:r w:rsidR="00AF3B5E">
        <w:rPr>
          <w:lang w:val="fr-BE"/>
        </w:rPr>
        <w:t>à</w:t>
      </w:r>
      <w:r w:rsidR="00BD1C43">
        <w:rPr>
          <w:lang w:val="fr-BE"/>
        </w:rPr>
        <w:t> »</w:t>
      </w:r>
      <w:r w:rsidR="001F36BA" w:rsidRPr="001F36BA">
        <w:rPr>
          <w:lang w:val="fr-BE"/>
        </w:rPr>
        <w:t xml:space="preserve">, </w:t>
      </w:r>
      <w:r w:rsidR="00BD1C43">
        <w:rPr>
          <w:lang w:val="fr-BE"/>
        </w:rPr>
        <w:t>« </w:t>
      </w:r>
      <w:r w:rsidR="00AF3B5E">
        <w:rPr>
          <w:lang w:val="fr-BE"/>
        </w:rPr>
        <w:t>en</w:t>
      </w:r>
      <w:r w:rsidR="00BD1C43">
        <w:rPr>
          <w:lang w:val="fr-BE"/>
        </w:rPr>
        <w:t> »</w:t>
      </w:r>
      <w:r w:rsidR="001F36BA" w:rsidRPr="001F36BA">
        <w:rPr>
          <w:lang w:val="fr-BE"/>
        </w:rPr>
        <w:t xml:space="preserve">, </w:t>
      </w:r>
      <w:r w:rsidR="00BD1C43">
        <w:rPr>
          <w:lang w:val="fr-BE"/>
        </w:rPr>
        <w:t>« </w:t>
      </w:r>
      <w:r w:rsidR="00AF3B5E">
        <w:rPr>
          <w:lang w:val="fr-BE"/>
        </w:rPr>
        <w:t>pour</w:t>
      </w:r>
      <w:r w:rsidR="00BD1C43">
        <w:rPr>
          <w:lang w:val="fr-BE"/>
        </w:rPr>
        <w:t> »</w:t>
      </w:r>
      <w:r w:rsidR="001F36BA" w:rsidRPr="001F36BA">
        <w:rPr>
          <w:lang w:val="fr-BE"/>
        </w:rPr>
        <w:t xml:space="preserve">, </w:t>
      </w:r>
      <w:r w:rsidR="00BD1C43">
        <w:rPr>
          <w:lang w:val="fr-BE"/>
        </w:rPr>
        <w:t>« </w:t>
      </w:r>
      <w:r w:rsidR="00AF3B5E">
        <w:rPr>
          <w:lang w:val="fr-BE"/>
        </w:rPr>
        <w:t>sur</w:t>
      </w:r>
      <w:r w:rsidR="00BD1C43">
        <w:rPr>
          <w:lang w:val="fr-BE"/>
        </w:rPr>
        <w:t> »</w:t>
      </w:r>
      <w:r w:rsidR="001F36BA" w:rsidRPr="001F36BA">
        <w:rPr>
          <w:lang w:val="fr-BE"/>
        </w:rPr>
        <w:t xml:space="preserve">, </w:t>
      </w:r>
      <w:r w:rsidR="00BD1C43">
        <w:rPr>
          <w:lang w:val="fr-BE"/>
        </w:rPr>
        <w:t>« </w:t>
      </w:r>
      <w:r w:rsidR="00AF3B5E">
        <w:rPr>
          <w:lang w:val="fr-BE"/>
        </w:rPr>
        <w:t>par</w:t>
      </w:r>
      <w:r w:rsidR="00BD1C43">
        <w:rPr>
          <w:lang w:val="fr-BE"/>
        </w:rPr>
        <w:t> »</w:t>
      </w:r>
      <w:r w:rsidR="001F36BA" w:rsidRPr="001F36BA">
        <w:rPr>
          <w:lang w:val="fr-BE"/>
        </w:rPr>
        <w:t xml:space="preserve">, </w:t>
      </w:r>
      <w:r w:rsidR="00BD1C43">
        <w:rPr>
          <w:lang w:val="fr-BE"/>
        </w:rPr>
        <w:t>« </w:t>
      </w:r>
      <w:r w:rsidR="00AF3B5E">
        <w:rPr>
          <w:lang w:val="fr-BE"/>
        </w:rPr>
        <w:t>après</w:t>
      </w:r>
      <w:r w:rsidR="00BD1C43">
        <w:rPr>
          <w:lang w:val="fr-BE"/>
        </w:rPr>
        <w:t> »</w:t>
      </w:r>
      <w:r w:rsidR="001F36BA" w:rsidRPr="001F36BA">
        <w:rPr>
          <w:lang w:val="fr-BE"/>
        </w:rPr>
        <w:t xml:space="preserve">, </w:t>
      </w:r>
      <w:r w:rsidR="00BD1C43">
        <w:rPr>
          <w:lang w:val="fr-BE"/>
        </w:rPr>
        <w:t>« </w:t>
      </w:r>
      <w:r w:rsidR="00AF3B5E">
        <w:rPr>
          <w:lang w:val="fr-BE"/>
        </w:rPr>
        <w:t>contre</w:t>
      </w:r>
      <w:r w:rsidR="000C23A1">
        <w:rPr>
          <w:lang w:val="fr-BE"/>
        </w:rPr>
        <w:t> »</w:t>
      </w:r>
      <w:r w:rsidR="00AF3B5E">
        <w:rPr>
          <w:lang w:val="fr-BE"/>
        </w:rPr>
        <w:t xml:space="preserve">. Seuls </w:t>
      </w:r>
      <w:r w:rsidR="00AF3B5E" w:rsidRPr="00AF3B5E">
        <w:rPr>
          <w:i/>
          <w:lang w:val="fr-BE"/>
        </w:rPr>
        <w:t>Sud-Ouest</w:t>
      </w:r>
      <w:r w:rsidR="001F36BA" w:rsidRPr="001F36BA">
        <w:rPr>
          <w:lang w:val="fr-BE"/>
        </w:rPr>
        <w:t xml:space="preserve">, </w:t>
      </w:r>
      <w:r w:rsidR="00AF3B5E" w:rsidRPr="00AF3B5E">
        <w:rPr>
          <w:i/>
          <w:lang w:val="fr-BE"/>
        </w:rPr>
        <w:t>l</w:t>
      </w:r>
      <w:r w:rsidR="00B9706C">
        <w:rPr>
          <w:i/>
          <w:lang w:val="fr-BE"/>
        </w:rPr>
        <w:t>’</w:t>
      </w:r>
      <w:r w:rsidR="00AF3B5E" w:rsidRPr="00AF3B5E">
        <w:rPr>
          <w:i/>
          <w:lang w:val="fr-BE"/>
        </w:rPr>
        <w:t xml:space="preserve">Est Républicain </w:t>
      </w:r>
      <w:r w:rsidR="00AF3B5E">
        <w:rPr>
          <w:lang w:val="fr-BE"/>
        </w:rPr>
        <w:t xml:space="preserve">et </w:t>
      </w:r>
      <w:r w:rsidR="00AF3B5E" w:rsidRPr="00AF3B5E">
        <w:rPr>
          <w:i/>
          <w:lang w:val="fr-BE"/>
        </w:rPr>
        <w:t>Le Figaro</w:t>
      </w:r>
      <w:r w:rsidR="00AF3B5E">
        <w:rPr>
          <w:lang w:val="fr-BE"/>
        </w:rPr>
        <w:t xml:space="preserve"> </w:t>
      </w:r>
      <w:r w:rsidR="002D4912">
        <w:rPr>
          <w:lang w:val="fr-BE"/>
        </w:rPr>
        <w:t>introduisent de légères va</w:t>
      </w:r>
      <w:r w:rsidR="00BA3F1F">
        <w:rPr>
          <w:lang w:val="fr-BE"/>
        </w:rPr>
        <w:t>riations</w:t>
      </w:r>
      <w:r w:rsidR="001F36BA" w:rsidRPr="001F36BA">
        <w:rPr>
          <w:lang w:val="fr-BE"/>
        </w:rPr>
        <w:t xml:space="preserve">, </w:t>
      </w:r>
      <w:r w:rsidR="00BA3F1F">
        <w:rPr>
          <w:lang w:val="fr-BE"/>
        </w:rPr>
        <w:t xml:space="preserve">tout en conservant toujours en tête de liste « à » et « en » et en queue de liste la préposition « contre ». </w:t>
      </w:r>
    </w:p>
    <w:tbl>
      <w:tblPr>
        <w:tblW w:w="8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0"/>
        <w:gridCol w:w="757"/>
        <w:gridCol w:w="1107"/>
        <w:gridCol w:w="757"/>
        <w:gridCol w:w="974"/>
        <w:gridCol w:w="757"/>
        <w:gridCol w:w="757"/>
        <w:gridCol w:w="940"/>
        <w:gridCol w:w="840"/>
        <w:gridCol w:w="757"/>
      </w:tblGrid>
      <w:tr w:rsidR="0083559A" w:rsidRPr="00794144" w:rsidTr="006D0521">
        <w:trPr>
          <w:gridAfter w:val="4"/>
          <w:wAfter w:w="2936" w:type="dxa"/>
          <w:trHeight w:val="276"/>
        </w:trPr>
        <w:tc>
          <w:tcPr>
            <w:tcW w:w="5079" w:type="dxa"/>
            <w:gridSpan w:val="6"/>
            <w:shd w:val="clear" w:color="auto" w:fill="auto"/>
            <w:noWrap/>
            <w:vAlign w:val="bottom"/>
            <w:hideMark/>
          </w:tcPr>
          <w:p w:rsidR="0083559A" w:rsidRPr="00794144" w:rsidRDefault="0083559A" w:rsidP="0083559A">
            <w:pPr>
              <w:suppressAutoHyphens w:val="0"/>
              <w:rPr>
                <w:sz w:val="22"/>
                <w:szCs w:val="22"/>
                <w:lang w:eastAsia="fr-FR"/>
              </w:rPr>
            </w:pPr>
            <w:r w:rsidRPr="00794144">
              <w:rPr>
                <w:b/>
                <w:bCs/>
                <w:color w:val="000000"/>
                <w:sz w:val="22"/>
                <w:szCs w:val="22"/>
                <w:lang w:eastAsia="fr-FR"/>
              </w:rPr>
              <w:t>Pourcentages sur le nombre d</w:t>
            </w:r>
            <w:r w:rsidR="00B9706C" w:rsidRPr="00794144">
              <w:rPr>
                <w:b/>
                <w:bCs/>
                <w:color w:val="000000"/>
                <w:sz w:val="22"/>
                <w:szCs w:val="22"/>
                <w:lang w:eastAsia="fr-FR"/>
              </w:rPr>
              <w:t>’</w:t>
            </w:r>
            <w:r w:rsidRPr="00794144">
              <w:rPr>
                <w:b/>
                <w:bCs/>
                <w:color w:val="000000"/>
                <w:sz w:val="22"/>
                <w:szCs w:val="22"/>
                <w:lang w:eastAsia="fr-FR"/>
              </w:rPr>
              <w:t>expressions différentes</w:t>
            </w:r>
          </w:p>
        </w:tc>
      </w:tr>
      <w:tr w:rsidR="00794144" w:rsidRPr="00794144" w:rsidTr="006D0521">
        <w:trPr>
          <w:trHeight w:val="276"/>
        </w:trPr>
        <w:tc>
          <w:tcPr>
            <w:tcW w:w="1210" w:type="dxa"/>
            <w:shd w:val="clear" w:color="auto" w:fill="auto"/>
            <w:noWrap/>
            <w:vAlign w:val="bottom"/>
            <w:hideMark/>
          </w:tcPr>
          <w:p w:rsidR="0083559A" w:rsidRPr="00794144" w:rsidRDefault="0083559A" w:rsidP="0083559A">
            <w:pPr>
              <w:suppressAutoHyphens w:val="0"/>
              <w:rPr>
                <w:color w:val="000000"/>
                <w:sz w:val="20"/>
                <w:szCs w:val="20"/>
                <w:lang w:eastAsia="fr-FR"/>
              </w:rPr>
            </w:pPr>
            <w:r w:rsidRPr="00794144">
              <w:rPr>
                <w:color w:val="000000"/>
                <w:sz w:val="20"/>
                <w:szCs w:val="20"/>
                <w:lang w:eastAsia="fr-FR"/>
              </w:rPr>
              <w:t>Structure</w:t>
            </w:r>
          </w:p>
        </w:tc>
        <w:tc>
          <w:tcPr>
            <w:tcW w:w="683" w:type="dxa"/>
            <w:shd w:val="clear" w:color="auto" w:fill="auto"/>
            <w:noWrap/>
            <w:vAlign w:val="bottom"/>
            <w:hideMark/>
          </w:tcPr>
          <w:p w:rsidR="0083559A" w:rsidRPr="00794144" w:rsidRDefault="0083559A" w:rsidP="0083559A">
            <w:pPr>
              <w:suppressAutoHyphens w:val="0"/>
              <w:rPr>
                <w:color w:val="000000"/>
                <w:sz w:val="20"/>
                <w:szCs w:val="20"/>
                <w:lang w:eastAsia="fr-FR"/>
              </w:rPr>
            </w:pPr>
            <w:r w:rsidRPr="00794144">
              <w:rPr>
                <w:color w:val="000000"/>
                <w:sz w:val="20"/>
                <w:szCs w:val="20"/>
                <w:lang w:eastAsia="fr-FR"/>
              </w:rPr>
              <w:t>Sud-Ouest</w:t>
            </w:r>
          </w:p>
        </w:tc>
        <w:tc>
          <w:tcPr>
            <w:tcW w:w="977" w:type="dxa"/>
            <w:shd w:val="clear" w:color="auto" w:fill="auto"/>
            <w:noWrap/>
            <w:vAlign w:val="bottom"/>
            <w:hideMark/>
          </w:tcPr>
          <w:p w:rsidR="0083559A" w:rsidRPr="00794144" w:rsidRDefault="00E708C4" w:rsidP="0083559A">
            <w:pPr>
              <w:suppressAutoHyphens w:val="0"/>
              <w:rPr>
                <w:color w:val="000000"/>
                <w:sz w:val="20"/>
                <w:szCs w:val="20"/>
                <w:lang w:eastAsia="fr-FR"/>
              </w:rPr>
            </w:pPr>
            <w:r w:rsidRPr="00794144">
              <w:rPr>
                <w:color w:val="000000"/>
                <w:sz w:val="20"/>
                <w:szCs w:val="20"/>
                <w:lang w:eastAsia="fr-FR"/>
              </w:rPr>
              <w:t xml:space="preserve">L’Est </w:t>
            </w:r>
            <w:r w:rsidR="0083559A" w:rsidRPr="00794144">
              <w:rPr>
                <w:color w:val="000000"/>
                <w:sz w:val="20"/>
                <w:szCs w:val="20"/>
                <w:lang w:eastAsia="fr-FR"/>
              </w:rPr>
              <w:t>Républicain</w:t>
            </w:r>
          </w:p>
        </w:tc>
        <w:tc>
          <w:tcPr>
            <w:tcW w:w="683" w:type="dxa"/>
            <w:shd w:val="clear" w:color="auto" w:fill="auto"/>
            <w:noWrap/>
            <w:vAlign w:val="bottom"/>
            <w:hideMark/>
          </w:tcPr>
          <w:p w:rsidR="0083559A" w:rsidRPr="00794144" w:rsidRDefault="0083559A" w:rsidP="0083559A">
            <w:pPr>
              <w:suppressAutoHyphens w:val="0"/>
              <w:rPr>
                <w:color w:val="000000"/>
                <w:sz w:val="20"/>
                <w:szCs w:val="20"/>
                <w:lang w:eastAsia="fr-FR"/>
              </w:rPr>
            </w:pPr>
            <w:r w:rsidRPr="00794144">
              <w:rPr>
                <w:color w:val="000000"/>
                <w:sz w:val="20"/>
                <w:szCs w:val="20"/>
                <w:lang w:eastAsia="fr-FR"/>
              </w:rPr>
              <w:t>Figaro</w:t>
            </w:r>
          </w:p>
        </w:tc>
        <w:tc>
          <w:tcPr>
            <w:tcW w:w="843" w:type="dxa"/>
            <w:shd w:val="clear" w:color="auto" w:fill="auto"/>
            <w:noWrap/>
            <w:vAlign w:val="bottom"/>
            <w:hideMark/>
          </w:tcPr>
          <w:p w:rsidR="0083559A" w:rsidRPr="00794144" w:rsidRDefault="0083559A" w:rsidP="0083559A">
            <w:pPr>
              <w:suppressAutoHyphens w:val="0"/>
              <w:rPr>
                <w:color w:val="000000"/>
                <w:sz w:val="20"/>
                <w:szCs w:val="20"/>
                <w:lang w:eastAsia="fr-FR"/>
              </w:rPr>
            </w:pPr>
            <w:r w:rsidRPr="00794144">
              <w:rPr>
                <w:color w:val="000000"/>
                <w:sz w:val="20"/>
                <w:szCs w:val="20"/>
                <w:lang w:eastAsia="fr-FR"/>
              </w:rPr>
              <w:t>Libération</w:t>
            </w:r>
          </w:p>
        </w:tc>
        <w:tc>
          <w:tcPr>
            <w:tcW w:w="683" w:type="dxa"/>
            <w:shd w:val="clear" w:color="auto" w:fill="auto"/>
            <w:noWrap/>
            <w:vAlign w:val="bottom"/>
            <w:hideMark/>
          </w:tcPr>
          <w:p w:rsidR="0083559A" w:rsidRPr="00794144" w:rsidRDefault="0083559A" w:rsidP="0083559A">
            <w:pPr>
              <w:suppressAutoHyphens w:val="0"/>
              <w:rPr>
                <w:color w:val="000000"/>
                <w:sz w:val="20"/>
                <w:szCs w:val="20"/>
                <w:lang w:eastAsia="fr-FR"/>
              </w:rPr>
            </w:pPr>
            <w:r w:rsidRPr="00794144">
              <w:rPr>
                <w:color w:val="000000"/>
                <w:sz w:val="20"/>
                <w:szCs w:val="20"/>
                <w:lang w:eastAsia="fr-FR"/>
              </w:rPr>
              <w:t>Monde</w:t>
            </w:r>
          </w:p>
        </w:tc>
        <w:tc>
          <w:tcPr>
            <w:tcW w:w="683" w:type="dxa"/>
            <w:shd w:val="clear" w:color="auto" w:fill="auto"/>
            <w:noWrap/>
            <w:vAlign w:val="bottom"/>
            <w:hideMark/>
          </w:tcPr>
          <w:p w:rsidR="0083559A" w:rsidRPr="00794144" w:rsidRDefault="0083559A" w:rsidP="0083559A">
            <w:pPr>
              <w:suppressAutoHyphens w:val="0"/>
              <w:rPr>
                <w:color w:val="000000"/>
                <w:sz w:val="20"/>
                <w:szCs w:val="20"/>
                <w:lang w:eastAsia="fr-FR"/>
              </w:rPr>
            </w:pPr>
            <w:r w:rsidRPr="00794144">
              <w:rPr>
                <w:color w:val="000000"/>
                <w:sz w:val="20"/>
                <w:szCs w:val="20"/>
                <w:lang w:eastAsia="fr-FR"/>
              </w:rPr>
              <w:t>Ouest-France</w:t>
            </w:r>
          </w:p>
        </w:tc>
        <w:tc>
          <w:tcPr>
            <w:tcW w:w="825" w:type="dxa"/>
            <w:shd w:val="clear" w:color="auto" w:fill="auto"/>
            <w:noWrap/>
            <w:vAlign w:val="bottom"/>
            <w:hideMark/>
          </w:tcPr>
          <w:p w:rsidR="0083559A" w:rsidRPr="00794144" w:rsidRDefault="0083559A" w:rsidP="0083559A">
            <w:pPr>
              <w:suppressAutoHyphens w:val="0"/>
              <w:rPr>
                <w:color w:val="000000"/>
                <w:sz w:val="20"/>
                <w:szCs w:val="20"/>
                <w:lang w:eastAsia="fr-FR"/>
              </w:rPr>
            </w:pPr>
            <w:r w:rsidRPr="00794144">
              <w:rPr>
                <w:color w:val="000000"/>
                <w:sz w:val="20"/>
                <w:szCs w:val="20"/>
                <w:lang w:eastAsia="fr-FR"/>
              </w:rPr>
              <w:t>R-</w:t>
            </w:r>
            <w:proofErr w:type="spellStart"/>
            <w:r w:rsidRPr="00794144">
              <w:rPr>
                <w:color w:val="000000"/>
                <w:sz w:val="20"/>
                <w:szCs w:val="20"/>
                <w:lang w:eastAsia="fr-FR"/>
              </w:rPr>
              <w:t>Harlequin</w:t>
            </w:r>
            <w:proofErr w:type="spellEnd"/>
          </w:p>
        </w:tc>
        <w:tc>
          <w:tcPr>
            <w:tcW w:w="745" w:type="dxa"/>
            <w:shd w:val="clear" w:color="auto" w:fill="auto"/>
            <w:noWrap/>
            <w:vAlign w:val="bottom"/>
            <w:hideMark/>
          </w:tcPr>
          <w:p w:rsidR="0083559A" w:rsidRPr="00794144" w:rsidRDefault="0083559A" w:rsidP="0083559A">
            <w:pPr>
              <w:suppressAutoHyphens w:val="0"/>
              <w:rPr>
                <w:color w:val="000000"/>
                <w:sz w:val="20"/>
                <w:szCs w:val="20"/>
                <w:lang w:eastAsia="fr-FR"/>
              </w:rPr>
            </w:pPr>
            <w:r w:rsidRPr="00794144">
              <w:rPr>
                <w:color w:val="000000"/>
                <w:sz w:val="20"/>
                <w:szCs w:val="20"/>
                <w:lang w:eastAsia="fr-FR"/>
              </w:rPr>
              <w:t>R-Policiers</w:t>
            </w:r>
          </w:p>
        </w:tc>
        <w:tc>
          <w:tcPr>
            <w:tcW w:w="683" w:type="dxa"/>
            <w:shd w:val="clear" w:color="auto" w:fill="auto"/>
            <w:noWrap/>
            <w:vAlign w:val="bottom"/>
            <w:hideMark/>
          </w:tcPr>
          <w:p w:rsidR="0083559A" w:rsidRPr="00794144" w:rsidRDefault="0083559A" w:rsidP="0083559A">
            <w:pPr>
              <w:suppressAutoHyphens w:val="0"/>
              <w:rPr>
                <w:color w:val="000000"/>
                <w:sz w:val="20"/>
                <w:szCs w:val="20"/>
                <w:lang w:eastAsia="fr-FR"/>
              </w:rPr>
            </w:pPr>
            <w:r w:rsidRPr="00794144">
              <w:rPr>
                <w:color w:val="000000"/>
                <w:sz w:val="20"/>
                <w:szCs w:val="20"/>
                <w:lang w:eastAsia="fr-FR"/>
              </w:rPr>
              <w:t>R-Sérieux</w:t>
            </w:r>
          </w:p>
        </w:tc>
      </w:tr>
      <w:tr w:rsidR="00794144" w:rsidRPr="00794144" w:rsidTr="006D0521">
        <w:trPr>
          <w:trHeight w:val="276"/>
        </w:trPr>
        <w:tc>
          <w:tcPr>
            <w:tcW w:w="1210" w:type="dxa"/>
            <w:shd w:val="clear" w:color="auto" w:fill="auto"/>
            <w:noWrap/>
            <w:vAlign w:val="bottom"/>
            <w:hideMark/>
          </w:tcPr>
          <w:p w:rsidR="0083559A" w:rsidRPr="00794144" w:rsidRDefault="0083559A" w:rsidP="0083559A">
            <w:pPr>
              <w:suppressAutoHyphens w:val="0"/>
              <w:rPr>
                <w:color w:val="000000"/>
                <w:sz w:val="20"/>
                <w:szCs w:val="20"/>
                <w:lang w:eastAsia="fr-FR"/>
              </w:rPr>
            </w:pPr>
            <w:r w:rsidRPr="00794144">
              <w:rPr>
                <w:color w:val="000000"/>
                <w:sz w:val="20"/>
                <w:szCs w:val="20"/>
                <w:lang w:eastAsia="fr-FR"/>
              </w:rPr>
              <w:t>à</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31,25%</w:t>
            </w:r>
          </w:p>
        </w:tc>
        <w:tc>
          <w:tcPr>
            <w:tcW w:w="977"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50,00%</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31,11%</w:t>
            </w:r>
          </w:p>
        </w:tc>
        <w:tc>
          <w:tcPr>
            <w:tcW w:w="84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39,13%</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31,34%</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27,03%</w:t>
            </w:r>
          </w:p>
        </w:tc>
        <w:tc>
          <w:tcPr>
            <w:tcW w:w="825"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26,67%</w:t>
            </w:r>
          </w:p>
        </w:tc>
        <w:tc>
          <w:tcPr>
            <w:tcW w:w="745"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20,54%</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17,16%</w:t>
            </w:r>
          </w:p>
        </w:tc>
      </w:tr>
      <w:tr w:rsidR="00794144" w:rsidRPr="00794144" w:rsidTr="006D0521">
        <w:trPr>
          <w:trHeight w:val="276"/>
        </w:trPr>
        <w:tc>
          <w:tcPr>
            <w:tcW w:w="1210" w:type="dxa"/>
            <w:shd w:val="clear" w:color="auto" w:fill="auto"/>
            <w:noWrap/>
            <w:vAlign w:val="bottom"/>
            <w:hideMark/>
          </w:tcPr>
          <w:p w:rsidR="0083559A" w:rsidRPr="00794144" w:rsidRDefault="0083559A" w:rsidP="0083559A">
            <w:pPr>
              <w:suppressAutoHyphens w:val="0"/>
              <w:rPr>
                <w:color w:val="000000"/>
                <w:sz w:val="20"/>
                <w:szCs w:val="20"/>
                <w:lang w:eastAsia="fr-FR"/>
              </w:rPr>
            </w:pPr>
            <w:r w:rsidRPr="00794144">
              <w:rPr>
                <w:color w:val="000000"/>
                <w:sz w:val="20"/>
                <w:szCs w:val="20"/>
                <w:lang w:eastAsia="fr-FR"/>
              </w:rPr>
              <w:t>après</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4,69%</w:t>
            </w:r>
          </w:p>
        </w:tc>
        <w:tc>
          <w:tcPr>
            <w:tcW w:w="977"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0,00%</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8,89%</w:t>
            </w:r>
          </w:p>
        </w:tc>
        <w:tc>
          <w:tcPr>
            <w:tcW w:w="84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7,25%</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4,48%</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4,05%</w:t>
            </w:r>
          </w:p>
        </w:tc>
        <w:tc>
          <w:tcPr>
            <w:tcW w:w="825"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11,11%</w:t>
            </w:r>
          </w:p>
        </w:tc>
        <w:tc>
          <w:tcPr>
            <w:tcW w:w="745"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6,25%</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15,67%</w:t>
            </w:r>
          </w:p>
        </w:tc>
      </w:tr>
      <w:tr w:rsidR="00794144" w:rsidRPr="00794144" w:rsidTr="006D0521">
        <w:trPr>
          <w:trHeight w:val="276"/>
        </w:trPr>
        <w:tc>
          <w:tcPr>
            <w:tcW w:w="1210" w:type="dxa"/>
            <w:shd w:val="clear" w:color="auto" w:fill="auto"/>
            <w:noWrap/>
            <w:vAlign w:val="bottom"/>
            <w:hideMark/>
          </w:tcPr>
          <w:p w:rsidR="0083559A" w:rsidRPr="00794144" w:rsidRDefault="0083559A" w:rsidP="0083559A">
            <w:pPr>
              <w:suppressAutoHyphens w:val="0"/>
              <w:rPr>
                <w:color w:val="000000"/>
                <w:sz w:val="20"/>
                <w:szCs w:val="20"/>
                <w:lang w:eastAsia="fr-FR"/>
              </w:rPr>
            </w:pPr>
            <w:r w:rsidRPr="00794144">
              <w:rPr>
                <w:color w:val="000000"/>
                <w:sz w:val="20"/>
                <w:szCs w:val="20"/>
                <w:lang w:eastAsia="fr-FR"/>
              </w:rPr>
              <w:t>contre</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0,00%</w:t>
            </w:r>
          </w:p>
        </w:tc>
        <w:tc>
          <w:tcPr>
            <w:tcW w:w="977"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0,00%</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6,67%</w:t>
            </w:r>
          </w:p>
        </w:tc>
        <w:tc>
          <w:tcPr>
            <w:tcW w:w="84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2,90%</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1,49%</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1,35%</w:t>
            </w:r>
          </w:p>
        </w:tc>
        <w:tc>
          <w:tcPr>
            <w:tcW w:w="825"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4,44%</w:t>
            </w:r>
          </w:p>
        </w:tc>
        <w:tc>
          <w:tcPr>
            <w:tcW w:w="745"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1,79%</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0,75%</w:t>
            </w:r>
          </w:p>
        </w:tc>
      </w:tr>
      <w:tr w:rsidR="00794144" w:rsidRPr="00794144" w:rsidTr="006D0521">
        <w:trPr>
          <w:trHeight w:val="276"/>
        </w:trPr>
        <w:tc>
          <w:tcPr>
            <w:tcW w:w="1210" w:type="dxa"/>
            <w:shd w:val="clear" w:color="auto" w:fill="auto"/>
            <w:noWrap/>
            <w:vAlign w:val="bottom"/>
            <w:hideMark/>
          </w:tcPr>
          <w:p w:rsidR="0083559A" w:rsidRPr="00794144" w:rsidRDefault="0083559A" w:rsidP="0083559A">
            <w:pPr>
              <w:suppressAutoHyphens w:val="0"/>
              <w:rPr>
                <w:color w:val="000000"/>
                <w:sz w:val="20"/>
                <w:szCs w:val="20"/>
                <w:lang w:eastAsia="fr-FR"/>
              </w:rPr>
            </w:pPr>
            <w:r w:rsidRPr="00794144">
              <w:rPr>
                <w:color w:val="000000"/>
                <w:sz w:val="20"/>
                <w:szCs w:val="20"/>
                <w:lang w:eastAsia="fr-FR"/>
              </w:rPr>
              <w:t>de … en</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39,06%</w:t>
            </w:r>
          </w:p>
        </w:tc>
        <w:tc>
          <w:tcPr>
            <w:tcW w:w="977"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33,33%</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11,11%</w:t>
            </w:r>
          </w:p>
        </w:tc>
        <w:tc>
          <w:tcPr>
            <w:tcW w:w="84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21,74%</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32,84%</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25,68%</w:t>
            </w:r>
          </w:p>
        </w:tc>
        <w:tc>
          <w:tcPr>
            <w:tcW w:w="825"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26,67%</w:t>
            </w:r>
          </w:p>
        </w:tc>
        <w:tc>
          <w:tcPr>
            <w:tcW w:w="745"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48,21%</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43,28%</w:t>
            </w:r>
          </w:p>
        </w:tc>
      </w:tr>
      <w:tr w:rsidR="00794144" w:rsidRPr="00794144" w:rsidTr="006D0521">
        <w:trPr>
          <w:trHeight w:val="276"/>
        </w:trPr>
        <w:tc>
          <w:tcPr>
            <w:tcW w:w="1210" w:type="dxa"/>
            <w:shd w:val="clear" w:color="auto" w:fill="auto"/>
            <w:noWrap/>
            <w:vAlign w:val="bottom"/>
            <w:hideMark/>
          </w:tcPr>
          <w:p w:rsidR="0083559A" w:rsidRPr="00794144" w:rsidRDefault="0083559A" w:rsidP="0083559A">
            <w:pPr>
              <w:suppressAutoHyphens w:val="0"/>
              <w:rPr>
                <w:color w:val="000000"/>
                <w:sz w:val="20"/>
                <w:szCs w:val="20"/>
                <w:lang w:eastAsia="fr-FR"/>
              </w:rPr>
            </w:pPr>
            <w:r w:rsidRPr="00794144">
              <w:rPr>
                <w:color w:val="000000"/>
                <w:sz w:val="20"/>
                <w:szCs w:val="20"/>
                <w:lang w:eastAsia="fr-FR"/>
              </w:rPr>
              <w:t>par</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10,94%</w:t>
            </w:r>
          </w:p>
        </w:tc>
        <w:tc>
          <w:tcPr>
            <w:tcW w:w="977"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4,17%</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26,67%</w:t>
            </w:r>
          </w:p>
        </w:tc>
        <w:tc>
          <w:tcPr>
            <w:tcW w:w="84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15,94%</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13,43%</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18,92%</w:t>
            </w:r>
          </w:p>
        </w:tc>
        <w:tc>
          <w:tcPr>
            <w:tcW w:w="825"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8,89%</w:t>
            </w:r>
          </w:p>
        </w:tc>
        <w:tc>
          <w:tcPr>
            <w:tcW w:w="745"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11,61%</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8,96%</w:t>
            </w:r>
          </w:p>
        </w:tc>
      </w:tr>
      <w:tr w:rsidR="00794144" w:rsidRPr="00794144" w:rsidTr="006D0521">
        <w:trPr>
          <w:trHeight w:val="276"/>
        </w:trPr>
        <w:tc>
          <w:tcPr>
            <w:tcW w:w="1210" w:type="dxa"/>
            <w:shd w:val="clear" w:color="auto" w:fill="auto"/>
            <w:noWrap/>
            <w:vAlign w:val="bottom"/>
            <w:hideMark/>
          </w:tcPr>
          <w:p w:rsidR="0083559A" w:rsidRPr="00794144" w:rsidRDefault="0083559A" w:rsidP="0083559A">
            <w:pPr>
              <w:suppressAutoHyphens w:val="0"/>
              <w:rPr>
                <w:color w:val="000000"/>
                <w:sz w:val="20"/>
                <w:szCs w:val="20"/>
                <w:lang w:eastAsia="fr-FR"/>
              </w:rPr>
            </w:pPr>
            <w:r w:rsidRPr="00794144">
              <w:rPr>
                <w:color w:val="000000"/>
                <w:sz w:val="20"/>
                <w:szCs w:val="20"/>
                <w:lang w:eastAsia="fr-FR"/>
              </w:rPr>
              <w:t>pour</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7,81%</w:t>
            </w:r>
          </w:p>
        </w:tc>
        <w:tc>
          <w:tcPr>
            <w:tcW w:w="977"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6,25%</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8,89%</w:t>
            </w:r>
          </w:p>
        </w:tc>
        <w:tc>
          <w:tcPr>
            <w:tcW w:w="84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4,35%</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8,96%</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9,46%</w:t>
            </w:r>
          </w:p>
        </w:tc>
        <w:tc>
          <w:tcPr>
            <w:tcW w:w="825"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13,33%</w:t>
            </w:r>
          </w:p>
        </w:tc>
        <w:tc>
          <w:tcPr>
            <w:tcW w:w="745"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3,57%</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4,48%</w:t>
            </w:r>
          </w:p>
        </w:tc>
      </w:tr>
      <w:tr w:rsidR="00794144" w:rsidRPr="00794144" w:rsidTr="006D0521">
        <w:trPr>
          <w:trHeight w:val="276"/>
        </w:trPr>
        <w:tc>
          <w:tcPr>
            <w:tcW w:w="1210" w:type="dxa"/>
            <w:shd w:val="clear" w:color="auto" w:fill="auto"/>
            <w:noWrap/>
            <w:vAlign w:val="bottom"/>
            <w:hideMark/>
          </w:tcPr>
          <w:p w:rsidR="0083559A" w:rsidRPr="00794144" w:rsidRDefault="0083559A" w:rsidP="0083559A">
            <w:pPr>
              <w:suppressAutoHyphens w:val="0"/>
              <w:rPr>
                <w:color w:val="000000"/>
                <w:sz w:val="20"/>
                <w:szCs w:val="20"/>
                <w:lang w:eastAsia="fr-FR"/>
              </w:rPr>
            </w:pPr>
            <w:r w:rsidRPr="00794144">
              <w:rPr>
                <w:color w:val="000000"/>
                <w:sz w:val="20"/>
                <w:szCs w:val="20"/>
                <w:lang w:eastAsia="fr-FR"/>
              </w:rPr>
              <w:t>sur</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6,25%</w:t>
            </w:r>
          </w:p>
        </w:tc>
        <w:tc>
          <w:tcPr>
            <w:tcW w:w="977"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6,25%</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6,67%</w:t>
            </w:r>
          </w:p>
        </w:tc>
        <w:tc>
          <w:tcPr>
            <w:tcW w:w="84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8,70%</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7,46%</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13,51%</w:t>
            </w:r>
          </w:p>
        </w:tc>
        <w:tc>
          <w:tcPr>
            <w:tcW w:w="825"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8,89%</w:t>
            </w:r>
          </w:p>
        </w:tc>
        <w:tc>
          <w:tcPr>
            <w:tcW w:w="745"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8,04%</w:t>
            </w:r>
          </w:p>
        </w:tc>
        <w:tc>
          <w:tcPr>
            <w:tcW w:w="683" w:type="dxa"/>
            <w:shd w:val="clear" w:color="auto" w:fill="auto"/>
            <w:noWrap/>
            <w:vAlign w:val="bottom"/>
            <w:hideMark/>
          </w:tcPr>
          <w:p w:rsidR="0083559A" w:rsidRPr="00794144" w:rsidRDefault="0083559A" w:rsidP="0083559A">
            <w:pPr>
              <w:suppressAutoHyphens w:val="0"/>
              <w:jc w:val="right"/>
              <w:rPr>
                <w:color w:val="000000"/>
                <w:sz w:val="20"/>
                <w:szCs w:val="20"/>
                <w:lang w:eastAsia="fr-FR"/>
              </w:rPr>
            </w:pPr>
            <w:r w:rsidRPr="00794144">
              <w:rPr>
                <w:color w:val="000000"/>
                <w:sz w:val="20"/>
                <w:szCs w:val="20"/>
                <w:lang w:eastAsia="fr-FR"/>
              </w:rPr>
              <w:t>9,70%</w:t>
            </w:r>
          </w:p>
        </w:tc>
      </w:tr>
    </w:tbl>
    <w:p w:rsidR="00CF09AA" w:rsidRDefault="001B0CFF" w:rsidP="001B0CFF">
      <w:pPr>
        <w:spacing w:after="120"/>
        <w:jc w:val="both"/>
        <w:rPr>
          <w:rFonts w:eastAsiaTheme="majorEastAsia"/>
          <w:i/>
          <w:sz w:val="22"/>
          <w:szCs w:val="22"/>
          <w:lang w:val="fr-BE"/>
        </w:rPr>
      </w:pPr>
      <w:r w:rsidRPr="00635232">
        <w:rPr>
          <w:rFonts w:eastAsiaTheme="majorEastAsia"/>
          <w:i/>
          <w:sz w:val="22"/>
          <w:szCs w:val="22"/>
          <w:lang w:val="fr-BE"/>
        </w:rPr>
        <w:t>Figure 7</w:t>
      </w:r>
      <w:r w:rsidR="002A1DC9" w:rsidRPr="00635232">
        <w:rPr>
          <w:rFonts w:eastAsiaTheme="majorEastAsia"/>
          <w:i/>
          <w:sz w:val="22"/>
          <w:szCs w:val="22"/>
          <w:lang w:val="fr-BE"/>
        </w:rPr>
        <w:t>-La productivité des structures selon les sous-genres</w:t>
      </w:r>
    </w:p>
    <w:p w:rsidR="00635232" w:rsidRPr="00E07B30" w:rsidRDefault="00635232" w:rsidP="001B0CFF">
      <w:pPr>
        <w:spacing w:after="120"/>
        <w:jc w:val="both"/>
        <w:rPr>
          <w:rFonts w:eastAsiaTheme="majorEastAsia"/>
          <w:i/>
          <w:sz w:val="22"/>
          <w:szCs w:val="22"/>
          <w:lang w:val="fr-BE"/>
        </w:rPr>
      </w:pPr>
    </w:p>
    <w:tbl>
      <w:tblPr>
        <w:tblW w:w="4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0"/>
        <w:gridCol w:w="1369"/>
        <w:gridCol w:w="1340"/>
      </w:tblGrid>
      <w:tr w:rsidR="00E53155" w:rsidRPr="00794144" w:rsidTr="006D0521">
        <w:trPr>
          <w:trHeight w:val="276"/>
        </w:trPr>
        <w:tc>
          <w:tcPr>
            <w:tcW w:w="1340" w:type="dxa"/>
            <w:shd w:val="clear" w:color="auto" w:fill="auto"/>
            <w:noWrap/>
            <w:vAlign w:val="bottom"/>
            <w:hideMark/>
          </w:tcPr>
          <w:p w:rsidR="00E53155" w:rsidRPr="00794144" w:rsidRDefault="00E53155" w:rsidP="00E53155">
            <w:pPr>
              <w:suppressAutoHyphens w:val="0"/>
              <w:rPr>
                <w:color w:val="000000"/>
                <w:sz w:val="20"/>
                <w:szCs w:val="20"/>
                <w:lang w:eastAsia="fr-FR"/>
              </w:rPr>
            </w:pPr>
            <w:r w:rsidRPr="00794144">
              <w:rPr>
                <w:color w:val="000000"/>
                <w:sz w:val="20"/>
                <w:szCs w:val="20"/>
                <w:lang w:eastAsia="fr-FR"/>
              </w:rPr>
              <w:lastRenderedPageBreak/>
              <w:t>Structure</w:t>
            </w:r>
          </w:p>
        </w:tc>
        <w:tc>
          <w:tcPr>
            <w:tcW w:w="1369" w:type="dxa"/>
            <w:shd w:val="clear" w:color="auto" w:fill="auto"/>
            <w:noWrap/>
            <w:vAlign w:val="bottom"/>
            <w:hideMark/>
          </w:tcPr>
          <w:p w:rsidR="00E53155" w:rsidRPr="00794144" w:rsidRDefault="00E53155" w:rsidP="00E53155">
            <w:pPr>
              <w:suppressAutoHyphens w:val="0"/>
              <w:rPr>
                <w:color w:val="000000"/>
                <w:sz w:val="20"/>
                <w:szCs w:val="20"/>
                <w:lang w:eastAsia="fr-FR"/>
              </w:rPr>
            </w:pPr>
            <w:r w:rsidRPr="00794144">
              <w:rPr>
                <w:color w:val="000000"/>
                <w:sz w:val="20"/>
                <w:szCs w:val="20"/>
                <w:lang w:eastAsia="fr-FR"/>
              </w:rPr>
              <w:t>Nombre d</w:t>
            </w:r>
            <w:r w:rsidR="00B9706C" w:rsidRPr="00794144">
              <w:rPr>
                <w:color w:val="000000"/>
                <w:sz w:val="20"/>
                <w:szCs w:val="20"/>
                <w:lang w:eastAsia="fr-FR"/>
              </w:rPr>
              <w:t>’</w:t>
            </w:r>
            <w:r w:rsidRPr="00794144">
              <w:rPr>
                <w:color w:val="000000"/>
                <w:sz w:val="20"/>
                <w:szCs w:val="20"/>
                <w:lang w:eastAsia="fr-FR"/>
              </w:rPr>
              <w:t>expressions</w:t>
            </w:r>
          </w:p>
        </w:tc>
        <w:tc>
          <w:tcPr>
            <w:tcW w:w="1340" w:type="dxa"/>
            <w:shd w:val="clear" w:color="auto" w:fill="auto"/>
            <w:noWrap/>
            <w:vAlign w:val="bottom"/>
            <w:hideMark/>
          </w:tcPr>
          <w:p w:rsidR="00E53155" w:rsidRPr="00794144" w:rsidRDefault="00E53155" w:rsidP="00E53155">
            <w:pPr>
              <w:suppressAutoHyphens w:val="0"/>
              <w:rPr>
                <w:color w:val="000000"/>
                <w:sz w:val="20"/>
                <w:szCs w:val="20"/>
                <w:lang w:eastAsia="fr-FR"/>
              </w:rPr>
            </w:pPr>
            <w:r w:rsidRPr="00794144">
              <w:rPr>
                <w:color w:val="000000"/>
                <w:sz w:val="20"/>
                <w:szCs w:val="20"/>
                <w:lang w:eastAsia="fr-FR"/>
              </w:rPr>
              <w:t>%</w:t>
            </w:r>
          </w:p>
        </w:tc>
      </w:tr>
      <w:tr w:rsidR="00E53155" w:rsidRPr="00794144" w:rsidTr="006D0521">
        <w:trPr>
          <w:trHeight w:val="276"/>
        </w:trPr>
        <w:tc>
          <w:tcPr>
            <w:tcW w:w="1340" w:type="dxa"/>
            <w:shd w:val="clear" w:color="auto" w:fill="auto"/>
            <w:noWrap/>
            <w:vAlign w:val="bottom"/>
            <w:hideMark/>
          </w:tcPr>
          <w:p w:rsidR="00E53155" w:rsidRPr="00794144" w:rsidRDefault="00E53155" w:rsidP="00E53155">
            <w:pPr>
              <w:suppressAutoHyphens w:val="0"/>
              <w:rPr>
                <w:color w:val="000000"/>
                <w:sz w:val="20"/>
                <w:szCs w:val="20"/>
                <w:lang w:eastAsia="fr-FR"/>
              </w:rPr>
            </w:pPr>
            <w:r w:rsidRPr="00794144">
              <w:rPr>
                <w:color w:val="000000"/>
                <w:sz w:val="20"/>
                <w:szCs w:val="20"/>
                <w:lang w:eastAsia="fr-FR"/>
              </w:rPr>
              <w:t>à/de … à</w:t>
            </w:r>
          </w:p>
        </w:tc>
        <w:tc>
          <w:tcPr>
            <w:tcW w:w="1369" w:type="dxa"/>
            <w:shd w:val="clear" w:color="auto" w:fill="auto"/>
            <w:noWrap/>
            <w:vAlign w:val="bottom"/>
            <w:hideMark/>
          </w:tcPr>
          <w:p w:rsidR="00E53155" w:rsidRPr="00794144" w:rsidRDefault="00E53155" w:rsidP="00E53155">
            <w:pPr>
              <w:suppressAutoHyphens w:val="0"/>
              <w:jc w:val="right"/>
              <w:rPr>
                <w:color w:val="000000"/>
                <w:sz w:val="20"/>
                <w:szCs w:val="20"/>
                <w:lang w:eastAsia="fr-FR"/>
              </w:rPr>
            </w:pPr>
            <w:r w:rsidRPr="00794144">
              <w:rPr>
                <w:color w:val="000000"/>
                <w:sz w:val="20"/>
                <w:szCs w:val="20"/>
                <w:lang w:eastAsia="fr-FR"/>
              </w:rPr>
              <w:t>69</w:t>
            </w:r>
          </w:p>
        </w:tc>
        <w:tc>
          <w:tcPr>
            <w:tcW w:w="1340" w:type="dxa"/>
            <w:shd w:val="clear" w:color="auto" w:fill="auto"/>
            <w:noWrap/>
            <w:vAlign w:val="bottom"/>
            <w:hideMark/>
          </w:tcPr>
          <w:p w:rsidR="00E53155" w:rsidRPr="00794144" w:rsidRDefault="00E53155" w:rsidP="00E53155">
            <w:pPr>
              <w:suppressAutoHyphens w:val="0"/>
              <w:jc w:val="right"/>
              <w:rPr>
                <w:color w:val="000000"/>
                <w:sz w:val="20"/>
                <w:szCs w:val="20"/>
                <w:lang w:eastAsia="fr-FR"/>
              </w:rPr>
            </w:pPr>
            <w:r w:rsidRPr="00794144">
              <w:rPr>
                <w:color w:val="000000"/>
                <w:sz w:val="20"/>
                <w:szCs w:val="20"/>
                <w:lang w:eastAsia="fr-FR"/>
              </w:rPr>
              <w:t>19,77%</w:t>
            </w:r>
          </w:p>
        </w:tc>
      </w:tr>
      <w:tr w:rsidR="00E53155" w:rsidRPr="00794144" w:rsidTr="006D0521">
        <w:trPr>
          <w:trHeight w:val="276"/>
        </w:trPr>
        <w:tc>
          <w:tcPr>
            <w:tcW w:w="1340" w:type="dxa"/>
            <w:shd w:val="clear" w:color="auto" w:fill="auto"/>
            <w:noWrap/>
            <w:vAlign w:val="bottom"/>
            <w:hideMark/>
          </w:tcPr>
          <w:p w:rsidR="00E53155" w:rsidRPr="00794144" w:rsidRDefault="00E53155" w:rsidP="00E53155">
            <w:pPr>
              <w:suppressAutoHyphens w:val="0"/>
              <w:rPr>
                <w:color w:val="000000"/>
                <w:sz w:val="20"/>
                <w:szCs w:val="20"/>
                <w:lang w:eastAsia="fr-FR"/>
              </w:rPr>
            </w:pPr>
            <w:r w:rsidRPr="00794144">
              <w:rPr>
                <w:color w:val="000000"/>
                <w:sz w:val="20"/>
                <w:szCs w:val="20"/>
                <w:lang w:eastAsia="fr-FR"/>
              </w:rPr>
              <w:t>après</w:t>
            </w:r>
          </w:p>
        </w:tc>
        <w:tc>
          <w:tcPr>
            <w:tcW w:w="1369" w:type="dxa"/>
            <w:shd w:val="clear" w:color="auto" w:fill="auto"/>
            <w:noWrap/>
            <w:vAlign w:val="bottom"/>
            <w:hideMark/>
          </w:tcPr>
          <w:p w:rsidR="00E53155" w:rsidRPr="00794144" w:rsidRDefault="00E53155" w:rsidP="00E53155">
            <w:pPr>
              <w:suppressAutoHyphens w:val="0"/>
              <w:jc w:val="right"/>
              <w:rPr>
                <w:color w:val="000000"/>
                <w:sz w:val="20"/>
                <w:szCs w:val="20"/>
                <w:lang w:eastAsia="fr-FR"/>
              </w:rPr>
            </w:pPr>
            <w:r w:rsidRPr="00794144">
              <w:rPr>
                <w:color w:val="000000"/>
                <w:sz w:val="20"/>
                <w:szCs w:val="20"/>
                <w:lang w:eastAsia="fr-FR"/>
              </w:rPr>
              <w:t>33</w:t>
            </w:r>
          </w:p>
        </w:tc>
        <w:tc>
          <w:tcPr>
            <w:tcW w:w="1340" w:type="dxa"/>
            <w:shd w:val="clear" w:color="auto" w:fill="auto"/>
            <w:noWrap/>
            <w:vAlign w:val="bottom"/>
            <w:hideMark/>
          </w:tcPr>
          <w:p w:rsidR="00E53155" w:rsidRPr="00794144" w:rsidRDefault="00E53155" w:rsidP="00E53155">
            <w:pPr>
              <w:suppressAutoHyphens w:val="0"/>
              <w:jc w:val="right"/>
              <w:rPr>
                <w:color w:val="000000"/>
                <w:sz w:val="20"/>
                <w:szCs w:val="20"/>
                <w:lang w:eastAsia="fr-FR"/>
              </w:rPr>
            </w:pPr>
            <w:r w:rsidRPr="00794144">
              <w:rPr>
                <w:color w:val="000000"/>
                <w:sz w:val="20"/>
                <w:szCs w:val="20"/>
                <w:lang w:eastAsia="fr-FR"/>
              </w:rPr>
              <w:t>9,46%</w:t>
            </w:r>
          </w:p>
        </w:tc>
      </w:tr>
      <w:tr w:rsidR="00E53155" w:rsidRPr="00794144" w:rsidTr="006D0521">
        <w:trPr>
          <w:trHeight w:val="276"/>
        </w:trPr>
        <w:tc>
          <w:tcPr>
            <w:tcW w:w="1340" w:type="dxa"/>
            <w:shd w:val="clear" w:color="auto" w:fill="auto"/>
            <w:noWrap/>
            <w:vAlign w:val="bottom"/>
            <w:hideMark/>
          </w:tcPr>
          <w:p w:rsidR="00E53155" w:rsidRPr="00794144" w:rsidRDefault="00E53155" w:rsidP="00E53155">
            <w:pPr>
              <w:suppressAutoHyphens w:val="0"/>
              <w:rPr>
                <w:color w:val="000000"/>
                <w:sz w:val="20"/>
                <w:szCs w:val="20"/>
                <w:lang w:eastAsia="fr-FR"/>
              </w:rPr>
            </w:pPr>
            <w:r w:rsidRPr="00794144">
              <w:rPr>
                <w:color w:val="000000"/>
                <w:sz w:val="20"/>
                <w:szCs w:val="20"/>
                <w:lang w:eastAsia="fr-FR"/>
              </w:rPr>
              <w:t>contre</w:t>
            </w:r>
          </w:p>
        </w:tc>
        <w:tc>
          <w:tcPr>
            <w:tcW w:w="1369" w:type="dxa"/>
            <w:shd w:val="clear" w:color="auto" w:fill="auto"/>
            <w:noWrap/>
            <w:vAlign w:val="bottom"/>
            <w:hideMark/>
          </w:tcPr>
          <w:p w:rsidR="00E53155" w:rsidRPr="00794144" w:rsidRDefault="00E53155" w:rsidP="00E53155">
            <w:pPr>
              <w:suppressAutoHyphens w:val="0"/>
              <w:jc w:val="right"/>
              <w:rPr>
                <w:color w:val="000000"/>
                <w:sz w:val="20"/>
                <w:szCs w:val="20"/>
                <w:lang w:eastAsia="fr-FR"/>
              </w:rPr>
            </w:pPr>
            <w:r w:rsidRPr="00794144">
              <w:rPr>
                <w:color w:val="000000"/>
                <w:sz w:val="20"/>
                <w:szCs w:val="20"/>
                <w:lang w:eastAsia="fr-FR"/>
              </w:rPr>
              <w:t>10</w:t>
            </w:r>
          </w:p>
        </w:tc>
        <w:tc>
          <w:tcPr>
            <w:tcW w:w="1340" w:type="dxa"/>
            <w:shd w:val="clear" w:color="auto" w:fill="auto"/>
            <w:noWrap/>
            <w:vAlign w:val="bottom"/>
            <w:hideMark/>
          </w:tcPr>
          <w:p w:rsidR="00E53155" w:rsidRPr="00794144" w:rsidRDefault="00E53155" w:rsidP="00E53155">
            <w:pPr>
              <w:suppressAutoHyphens w:val="0"/>
              <w:jc w:val="right"/>
              <w:rPr>
                <w:color w:val="000000"/>
                <w:sz w:val="20"/>
                <w:szCs w:val="20"/>
                <w:lang w:eastAsia="fr-FR"/>
              </w:rPr>
            </w:pPr>
            <w:r w:rsidRPr="00794144">
              <w:rPr>
                <w:color w:val="000000"/>
                <w:sz w:val="20"/>
                <w:szCs w:val="20"/>
                <w:lang w:eastAsia="fr-FR"/>
              </w:rPr>
              <w:t>2,87%</w:t>
            </w:r>
          </w:p>
        </w:tc>
      </w:tr>
      <w:tr w:rsidR="00E53155" w:rsidRPr="00794144" w:rsidTr="006D0521">
        <w:trPr>
          <w:trHeight w:val="276"/>
        </w:trPr>
        <w:tc>
          <w:tcPr>
            <w:tcW w:w="1340" w:type="dxa"/>
            <w:shd w:val="clear" w:color="auto" w:fill="auto"/>
            <w:noWrap/>
            <w:vAlign w:val="bottom"/>
            <w:hideMark/>
          </w:tcPr>
          <w:p w:rsidR="00E53155" w:rsidRPr="00794144" w:rsidRDefault="00E53155" w:rsidP="00E53155">
            <w:pPr>
              <w:suppressAutoHyphens w:val="0"/>
              <w:rPr>
                <w:color w:val="000000"/>
                <w:sz w:val="20"/>
                <w:szCs w:val="20"/>
                <w:lang w:eastAsia="fr-FR"/>
              </w:rPr>
            </w:pPr>
            <w:r w:rsidRPr="00794144">
              <w:rPr>
                <w:color w:val="000000"/>
                <w:sz w:val="20"/>
                <w:szCs w:val="20"/>
                <w:lang w:eastAsia="fr-FR"/>
              </w:rPr>
              <w:t>de … en</w:t>
            </w:r>
          </w:p>
        </w:tc>
        <w:tc>
          <w:tcPr>
            <w:tcW w:w="1369" w:type="dxa"/>
            <w:shd w:val="clear" w:color="auto" w:fill="auto"/>
            <w:noWrap/>
            <w:vAlign w:val="bottom"/>
            <w:hideMark/>
          </w:tcPr>
          <w:p w:rsidR="00E53155" w:rsidRPr="00794144" w:rsidRDefault="00E53155" w:rsidP="00E53155">
            <w:pPr>
              <w:suppressAutoHyphens w:val="0"/>
              <w:jc w:val="right"/>
              <w:rPr>
                <w:color w:val="000000"/>
                <w:sz w:val="20"/>
                <w:szCs w:val="20"/>
                <w:lang w:eastAsia="fr-FR"/>
              </w:rPr>
            </w:pPr>
            <w:r w:rsidRPr="00794144">
              <w:rPr>
                <w:color w:val="000000"/>
                <w:sz w:val="20"/>
                <w:szCs w:val="20"/>
                <w:lang w:eastAsia="fr-FR"/>
              </w:rPr>
              <w:t>135</w:t>
            </w:r>
          </w:p>
        </w:tc>
        <w:tc>
          <w:tcPr>
            <w:tcW w:w="1340" w:type="dxa"/>
            <w:shd w:val="clear" w:color="auto" w:fill="auto"/>
            <w:noWrap/>
            <w:vAlign w:val="bottom"/>
            <w:hideMark/>
          </w:tcPr>
          <w:p w:rsidR="00E53155" w:rsidRPr="00794144" w:rsidRDefault="00E53155" w:rsidP="00E53155">
            <w:pPr>
              <w:suppressAutoHyphens w:val="0"/>
              <w:jc w:val="right"/>
              <w:rPr>
                <w:color w:val="000000"/>
                <w:sz w:val="20"/>
                <w:szCs w:val="20"/>
                <w:lang w:eastAsia="fr-FR"/>
              </w:rPr>
            </w:pPr>
            <w:r w:rsidRPr="00794144">
              <w:rPr>
                <w:color w:val="000000"/>
                <w:sz w:val="20"/>
                <w:szCs w:val="20"/>
                <w:lang w:eastAsia="fr-FR"/>
              </w:rPr>
              <w:t>38,68%</w:t>
            </w:r>
          </w:p>
        </w:tc>
      </w:tr>
      <w:tr w:rsidR="00E53155" w:rsidRPr="00794144" w:rsidTr="006D0521">
        <w:trPr>
          <w:trHeight w:val="276"/>
        </w:trPr>
        <w:tc>
          <w:tcPr>
            <w:tcW w:w="1340" w:type="dxa"/>
            <w:shd w:val="clear" w:color="auto" w:fill="auto"/>
            <w:noWrap/>
            <w:vAlign w:val="bottom"/>
            <w:hideMark/>
          </w:tcPr>
          <w:p w:rsidR="00E53155" w:rsidRPr="00794144" w:rsidRDefault="00E53155" w:rsidP="00E53155">
            <w:pPr>
              <w:suppressAutoHyphens w:val="0"/>
              <w:rPr>
                <w:color w:val="000000"/>
                <w:sz w:val="20"/>
                <w:szCs w:val="20"/>
                <w:lang w:eastAsia="fr-FR"/>
              </w:rPr>
            </w:pPr>
            <w:r w:rsidRPr="00794144">
              <w:rPr>
                <w:color w:val="000000"/>
                <w:sz w:val="20"/>
                <w:szCs w:val="20"/>
                <w:lang w:eastAsia="fr-FR"/>
              </w:rPr>
              <w:t>par</w:t>
            </w:r>
          </w:p>
        </w:tc>
        <w:tc>
          <w:tcPr>
            <w:tcW w:w="1369" w:type="dxa"/>
            <w:shd w:val="clear" w:color="auto" w:fill="auto"/>
            <w:noWrap/>
            <w:vAlign w:val="bottom"/>
            <w:hideMark/>
          </w:tcPr>
          <w:p w:rsidR="00E53155" w:rsidRPr="00794144" w:rsidRDefault="00E53155" w:rsidP="00E53155">
            <w:pPr>
              <w:suppressAutoHyphens w:val="0"/>
              <w:jc w:val="right"/>
              <w:rPr>
                <w:color w:val="000000"/>
                <w:sz w:val="20"/>
                <w:szCs w:val="20"/>
                <w:lang w:eastAsia="fr-FR"/>
              </w:rPr>
            </w:pPr>
            <w:r w:rsidRPr="00794144">
              <w:rPr>
                <w:color w:val="000000"/>
                <w:sz w:val="20"/>
                <w:szCs w:val="20"/>
                <w:lang w:eastAsia="fr-FR"/>
              </w:rPr>
              <w:t>47</w:t>
            </w:r>
          </w:p>
        </w:tc>
        <w:tc>
          <w:tcPr>
            <w:tcW w:w="1340" w:type="dxa"/>
            <w:shd w:val="clear" w:color="auto" w:fill="auto"/>
            <w:noWrap/>
            <w:vAlign w:val="bottom"/>
            <w:hideMark/>
          </w:tcPr>
          <w:p w:rsidR="00E53155" w:rsidRPr="00794144" w:rsidRDefault="00E53155" w:rsidP="00E53155">
            <w:pPr>
              <w:suppressAutoHyphens w:val="0"/>
              <w:jc w:val="right"/>
              <w:rPr>
                <w:color w:val="000000"/>
                <w:sz w:val="20"/>
                <w:szCs w:val="20"/>
                <w:lang w:eastAsia="fr-FR"/>
              </w:rPr>
            </w:pPr>
            <w:r w:rsidRPr="00794144">
              <w:rPr>
                <w:color w:val="000000"/>
                <w:sz w:val="20"/>
                <w:szCs w:val="20"/>
                <w:lang w:eastAsia="fr-FR"/>
              </w:rPr>
              <w:t>13,47%</w:t>
            </w:r>
          </w:p>
        </w:tc>
      </w:tr>
      <w:tr w:rsidR="00E53155" w:rsidRPr="00794144" w:rsidTr="006D0521">
        <w:trPr>
          <w:trHeight w:val="276"/>
        </w:trPr>
        <w:tc>
          <w:tcPr>
            <w:tcW w:w="1340" w:type="dxa"/>
            <w:shd w:val="clear" w:color="auto" w:fill="auto"/>
            <w:noWrap/>
            <w:vAlign w:val="bottom"/>
            <w:hideMark/>
          </w:tcPr>
          <w:p w:rsidR="00E53155" w:rsidRPr="00794144" w:rsidRDefault="00E53155" w:rsidP="00E53155">
            <w:pPr>
              <w:suppressAutoHyphens w:val="0"/>
              <w:rPr>
                <w:color w:val="000000"/>
                <w:sz w:val="20"/>
                <w:szCs w:val="20"/>
                <w:lang w:eastAsia="fr-FR"/>
              </w:rPr>
            </w:pPr>
            <w:r w:rsidRPr="00794144">
              <w:rPr>
                <w:color w:val="000000"/>
                <w:sz w:val="20"/>
                <w:szCs w:val="20"/>
                <w:lang w:eastAsia="fr-FR"/>
              </w:rPr>
              <w:t>pour</w:t>
            </w:r>
          </w:p>
        </w:tc>
        <w:tc>
          <w:tcPr>
            <w:tcW w:w="1369" w:type="dxa"/>
            <w:shd w:val="clear" w:color="auto" w:fill="auto"/>
            <w:noWrap/>
            <w:vAlign w:val="bottom"/>
            <w:hideMark/>
          </w:tcPr>
          <w:p w:rsidR="00E53155" w:rsidRPr="00794144" w:rsidRDefault="00E53155" w:rsidP="00E53155">
            <w:pPr>
              <w:suppressAutoHyphens w:val="0"/>
              <w:jc w:val="right"/>
              <w:rPr>
                <w:color w:val="000000"/>
                <w:sz w:val="20"/>
                <w:szCs w:val="20"/>
                <w:lang w:eastAsia="fr-FR"/>
              </w:rPr>
            </w:pPr>
            <w:r w:rsidRPr="00794144">
              <w:rPr>
                <w:color w:val="000000"/>
                <w:sz w:val="20"/>
                <w:szCs w:val="20"/>
                <w:lang w:eastAsia="fr-FR"/>
              </w:rPr>
              <w:t>17</w:t>
            </w:r>
          </w:p>
        </w:tc>
        <w:tc>
          <w:tcPr>
            <w:tcW w:w="1340" w:type="dxa"/>
            <w:shd w:val="clear" w:color="auto" w:fill="auto"/>
            <w:noWrap/>
            <w:vAlign w:val="bottom"/>
            <w:hideMark/>
          </w:tcPr>
          <w:p w:rsidR="00E53155" w:rsidRPr="00794144" w:rsidRDefault="00E53155" w:rsidP="00E53155">
            <w:pPr>
              <w:suppressAutoHyphens w:val="0"/>
              <w:jc w:val="right"/>
              <w:rPr>
                <w:color w:val="000000"/>
                <w:sz w:val="20"/>
                <w:szCs w:val="20"/>
                <w:lang w:eastAsia="fr-FR"/>
              </w:rPr>
            </w:pPr>
            <w:r w:rsidRPr="00794144">
              <w:rPr>
                <w:color w:val="000000"/>
                <w:sz w:val="20"/>
                <w:szCs w:val="20"/>
                <w:lang w:eastAsia="fr-FR"/>
              </w:rPr>
              <w:t>4,87%</w:t>
            </w:r>
          </w:p>
        </w:tc>
      </w:tr>
      <w:tr w:rsidR="00E53155" w:rsidRPr="00794144" w:rsidTr="006D0521">
        <w:trPr>
          <w:trHeight w:val="276"/>
        </w:trPr>
        <w:tc>
          <w:tcPr>
            <w:tcW w:w="1340" w:type="dxa"/>
            <w:shd w:val="clear" w:color="auto" w:fill="auto"/>
            <w:noWrap/>
            <w:vAlign w:val="bottom"/>
            <w:hideMark/>
          </w:tcPr>
          <w:p w:rsidR="00E53155" w:rsidRPr="00794144" w:rsidRDefault="00E53155" w:rsidP="00E53155">
            <w:pPr>
              <w:suppressAutoHyphens w:val="0"/>
              <w:rPr>
                <w:color w:val="000000"/>
                <w:sz w:val="20"/>
                <w:szCs w:val="20"/>
                <w:lang w:eastAsia="fr-FR"/>
              </w:rPr>
            </w:pPr>
            <w:r w:rsidRPr="00794144">
              <w:rPr>
                <w:color w:val="000000"/>
                <w:sz w:val="20"/>
                <w:szCs w:val="20"/>
                <w:lang w:eastAsia="fr-FR"/>
              </w:rPr>
              <w:t>sur</w:t>
            </w:r>
          </w:p>
        </w:tc>
        <w:tc>
          <w:tcPr>
            <w:tcW w:w="1369" w:type="dxa"/>
            <w:shd w:val="clear" w:color="auto" w:fill="auto"/>
            <w:noWrap/>
            <w:vAlign w:val="bottom"/>
            <w:hideMark/>
          </w:tcPr>
          <w:p w:rsidR="00E53155" w:rsidRPr="00794144" w:rsidRDefault="00E53155" w:rsidP="00E53155">
            <w:pPr>
              <w:suppressAutoHyphens w:val="0"/>
              <w:jc w:val="right"/>
              <w:rPr>
                <w:color w:val="000000"/>
                <w:sz w:val="20"/>
                <w:szCs w:val="20"/>
                <w:lang w:eastAsia="fr-FR"/>
              </w:rPr>
            </w:pPr>
            <w:r w:rsidRPr="00794144">
              <w:rPr>
                <w:color w:val="000000"/>
                <w:sz w:val="20"/>
                <w:szCs w:val="20"/>
                <w:lang w:eastAsia="fr-FR"/>
              </w:rPr>
              <w:t>38</w:t>
            </w:r>
          </w:p>
        </w:tc>
        <w:tc>
          <w:tcPr>
            <w:tcW w:w="1340" w:type="dxa"/>
            <w:shd w:val="clear" w:color="auto" w:fill="auto"/>
            <w:noWrap/>
            <w:vAlign w:val="bottom"/>
            <w:hideMark/>
          </w:tcPr>
          <w:p w:rsidR="00E53155" w:rsidRPr="00794144" w:rsidRDefault="00E53155" w:rsidP="00E53155">
            <w:pPr>
              <w:suppressAutoHyphens w:val="0"/>
              <w:jc w:val="right"/>
              <w:rPr>
                <w:color w:val="000000"/>
                <w:sz w:val="20"/>
                <w:szCs w:val="20"/>
                <w:lang w:eastAsia="fr-FR"/>
              </w:rPr>
            </w:pPr>
            <w:r w:rsidRPr="00794144">
              <w:rPr>
                <w:color w:val="000000"/>
                <w:sz w:val="20"/>
                <w:szCs w:val="20"/>
                <w:lang w:eastAsia="fr-FR"/>
              </w:rPr>
              <w:t>10,89%</w:t>
            </w:r>
          </w:p>
        </w:tc>
      </w:tr>
      <w:tr w:rsidR="00E53155" w:rsidRPr="00794144" w:rsidTr="006D0521">
        <w:trPr>
          <w:trHeight w:val="276"/>
        </w:trPr>
        <w:tc>
          <w:tcPr>
            <w:tcW w:w="1340" w:type="dxa"/>
            <w:shd w:val="clear" w:color="auto" w:fill="auto"/>
            <w:noWrap/>
            <w:vAlign w:val="bottom"/>
            <w:hideMark/>
          </w:tcPr>
          <w:p w:rsidR="00E53155" w:rsidRPr="00794144" w:rsidRDefault="00E53155" w:rsidP="00E53155">
            <w:pPr>
              <w:suppressAutoHyphens w:val="0"/>
              <w:rPr>
                <w:color w:val="000000"/>
                <w:sz w:val="20"/>
                <w:szCs w:val="20"/>
                <w:lang w:eastAsia="fr-FR"/>
              </w:rPr>
            </w:pPr>
            <w:r w:rsidRPr="00794144">
              <w:rPr>
                <w:color w:val="000000"/>
                <w:sz w:val="20"/>
                <w:szCs w:val="20"/>
                <w:lang w:eastAsia="fr-FR"/>
              </w:rPr>
              <w:t>Total général</w:t>
            </w:r>
          </w:p>
        </w:tc>
        <w:tc>
          <w:tcPr>
            <w:tcW w:w="1369" w:type="dxa"/>
            <w:shd w:val="clear" w:color="auto" w:fill="auto"/>
            <w:noWrap/>
            <w:vAlign w:val="bottom"/>
            <w:hideMark/>
          </w:tcPr>
          <w:p w:rsidR="00E53155" w:rsidRPr="00794144" w:rsidRDefault="00E53155" w:rsidP="00E53155">
            <w:pPr>
              <w:suppressAutoHyphens w:val="0"/>
              <w:jc w:val="right"/>
              <w:rPr>
                <w:color w:val="000000"/>
                <w:sz w:val="20"/>
                <w:szCs w:val="20"/>
                <w:lang w:eastAsia="fr-FR"/>
              </w:rPr>
            </w:pPr>
            <w:r w:rsidRPr="00794144">
              <w:rPr>
                <w:color w:val="000000"/>
                <w:sz w:val="20"/>
                <w:szCs w:val="20"/>
                <w:lang w:eastAsia="fr-FR"/>
              </w:rPr>
              <w:t>349</w:t>
            </w:r>
          </w:p>
        </w:tc>
        <w:tc>
          <w:tcPr>
            <w:tcW w:w="1340" w:type="dxa"/>
            <w:shd w:val="clear" w:color="auto" w:fill="auto"/>
            <w:noWrap/>
            <w:vAlign w:val="bottom"/>
            <w:hideMark/>
          </w:tcPr>
          <w:p w:rsidR="00E53155" w:rsidRPr="00794144" w:rsidRDefault="00E53155" w:rsidP="00E53155">
            <w:pPr>
              <w:suppressAutoHyphens w:val="0"/>
              <w:jc w:val="right"/>
              <w:rPr>
                <w:color w:val="000000"/>
                <w:sz w:val="20"/>
                <w:szCs w:val="20"/>
                <w:lang w:eastAsia="fr-FR"/>
              </w:rPr>
            </w:pPr>
          </w:p>
        </w:tc>
      </w:tr>
    </w:tbl>
    <w:p w:rsidR="009F12F4" w:rsidRPr="00E07B30" w:rsidRDefault="001B0CFF" w:rsidP="001B0CFF">
      <w:pPr>
        <w:spacing w:after="120"/>
        <w:jc w:val="both"/>
        <w:rPr>
          <w:rFonts w:eastAsiaTheme="majorEastAsia"/>
          <w:i/>
          <w:sz w:val="22"/>
          <w:szCs w:val="22"/>
          <w:lang w:val="fr-BE"/>
        </w:rPr>
      </w:pPr>
      <w:r w:rsidRPr="00635232">
        <w:rPr>
          <w:rFonts w:eastAsiaTheme="majorEastAsia"/>
          <w:i/>
          <w:sz w:val="22"/>
          <w:szCs w:val="22"/>
          <w:lang w:val="fr-BE"/>
        </w:rPr>
        <w:t>Figure 8</w:t>
      </w:r>
      <w:r w:rsidR="002A1DC9" w:rsidRPr="00635232">
        <w:rPr>
          <w:rFonts w:eastAsiaTheme="majorEastAsia"/>
          <w:i/>
          <w:sz w:val="22"/>
          <w:szCs w:val="22"/>
          <w:lang w:val="fr-BE"/>
        </w:rPr>
        <w:t>- La productivité des structures dans le corpus</w:t>
      </w:r>
    </w:p>
    <w:p w:rsidR="007347E1" w:rsidRDefault="00CF09AA" w:rsidP="00882635">
      <w:pPr>
        <w:spacing w:before="120"/>
        <w:jc w:val="both"/>
        <w:rPr>
          <w:lang w:val="fr-BE"/>
        </w:rPr>
      </w:pPr>
      <w:r>
        <w:rPr>
          <w:lang w:val="fr-BE"/>
        </w:rPr>
        <w:t>« De</w:t>
      </w:r>
      <w:r w:rsidR="00BD1C43">
        <w:rPr>
          <w:lang w:val="fr-BE"/>
        </w:rPr>
        <w:t xml:space="preserve"> </w:t>
      </w:r>
      <w:r>
        <w:rPr>
          <w:lang w:val="fr-BE"/>
        </w:rPr>
        <w:t>…</w:t>
      </w:r>
      <w:r w:rsidR="00BD1C43">
        <w:rPr>
          <w:lang w:val="fr-BE"/>
        </w:rPr>
        <w:t xml:space="preserve"> </w:t>
      </w:r>
      <w:r>
        <w:rPr>
          <w:lang w:val="fr-BE"/>
        </w:rPr>
        <w:t>en » entre dans le plus grand nombre d</w:t>
      </w:r>
      <w:r w:rsidR="00B9706C">
        <w:rPr>
          <w:lang w:val="fr-BE"/>
        </w:rPr>
        <w:t>’</w:t>
      </w:r>
      <w:r>
        <w:rPr>
          <w:lang w:val="fr-BE"/>
        </w:rPr>
        <w:t>expressions différe</w:t>
      </w:r>
      <w:r w:rsidR="00EC605D">
        <w:rPr>
          <w:lang w:val="fr-BE"/>
        </w:rPr>
        <w:t>ntes</w:t>
      </w:r>
      <w:r w:rsidR="001F36BA" w:rsidRPr="001F36BA">
        <w:rPr>
          <w:lang w:val="fr-BE"/>
        </w:rPr>
        <w:t xml:space="preserve">, </w:t>
      </w:r>
      <w:r w:rsidR="00EC605D">
        <w:rPr>
          <w:lang w:val="fr-BE"/>
        </w:rPr>
        <w:t>tandis que « contre » ne sert qu</w:t>
      </w:r>
      <w:r w:rsidR="00B9706C">
        <w:rPr>
          <w:lang w:val="fr-BE"/>
        </w:rPr>
        <w:t>’</w:t>
      </w:r>
      <w:r w:rsidR="00EC605D">
        <w:rPr>
          <w:lang w:val="fr-BE"/>
        </w:rPr>
        <w:t xml:space="preserve">à la construction de 10 expressions différentes. </w:t>
      </w:r>
      <w:r w:rsidR="00D7354E">
        <w:rPr>
          <w:lang w:val="fr-BE"/>
        </w:rPr>
        <w:t>Il avait été constaté des résultats similaires dans l</w:t>
      </w:r>
      <w:r w:rsidR="00B9706C">
        <w:rPr>
          <w:lang w:val="fr-BE"/>
        </w:rPr>
        <w:t>’</w:t>
      </w:r>
      <w:r w:rsidR="00D7354E">
        <w:rPr>
          <w:lang w:val="fr-BE"/>
        </w:rPr>
        <w:t>étude précédente sur l</w:t>
      </w:r>
      <w:r w:rsidR="00B9706C">
        <w:rPr>
          <w:lang w:val="fr-BE"/>
        </w:rPr>
        <w:t>’</w:t>
      </w:r>
      <w:r w:rsidR="00D7354E">
        <w:rPr>
          <w:lang w:val="fr-BE"/>
        </w:rPr>
        <w:t xml:space="preserve">extrait de </w:t>
      </w:r>
      <w:proofErr w:type="spellStart"/>
      <w:r w:rsidR="00D7354E" w:rsidRPr="003D51C0">
        <w:rPr>
          <w:i/>
          <w:lang w:val="fr-BE"/>
        </w:rPr>
        <w:t>Frantext</w:t>
      </w:r>
      <w:proofErr w:type="spellEnd"/>
      <w:r w:rsidR="00D7354E">
        <w:rPr>
          <w:lang w:val="fr-BE"/>
        </w:rPr>
        <w:t> : on avait en effet observé que « à » et « en » étaient les prépositions les plus fréquentes mais que leur productivité était inverse car « à » génère moins d</w:t>
      </w:r>
      <w:r w:rsidR="00B9706C">
        <w:rPr>
          <w:lang w:val="fr-BE"/>
        </w:rPr>
        <w:t>’</w:t>
      </w:r>
      <w:r w:rsidR="00D7354E">
        <w:rPr>
          <w:lang w:val="fr-BE"/>
        </w:rPr>
        <w:t>expressions différentes que « en » dans la structure « de</w:t>
      </w:r>
      <w:r w:rsidR="001071C9">
        <w:rPr>
          <w:lang w:val="fr-BE"/>
        </w:rPr>
        <w:t xml:space="preserve"> </w:t>
      </w:r>
      <w:r w:rsidR="00D7354E">
        <w:rPr>
          <w:lang w:val="fr-BE"/>
        </w:rPr>
        <w:t>…</w:t>
      </w:r>
      <w:r w:rsidR="001071C9">
        <w:rPr>
          <w:lang w:val="fr-BE"/>
        </w:rPr>
        <w:t xml:space="preserve"> </w:t>
      </w:r>
      <w:r w:rsidR="00D7354E">
        <w:rPr>
          <w:lang w:val="fr-BE"/>
        </w:rPr>
        <w:t>en »</w:t>
      </w:r>
      <w:r w:rsidR="0082704B">
        <w:rPr>
          <w:lang w:val="fr-BE"/>
        </w:rPr>
        <w:t>. Une variété moindre des structures témoigne d</w:t>
      </w:r>
      <w:r w:rsidR="00B9706C">
        <w:rPr>
          <w:lang w:val="fr-BE"/>
        </w:rPr>
        <w:t>’</w:t>
      </w:r>
      <w:r w:rsidR="0082704B">
        <w:rPr>
          <w:lang w:val="fr-BE"/>
        </w:rPr>
        <w:t>une spécialisation partielle des structures qui peut confiner à la lexicalisation ou à la productivité : par exemple</w:t>
      </w:r>
      <w:r w:rsidR="001F36BA" w:rsidRPr="001F36BA">
        <w:rPr>
          <w:lang w:val="fr-BE"/>
        </w:rPr>
        <w:t xml:space="preserve">, </w:t>
      </w:r>
      <w:r w:rsidR="0082704B">
        <w:rPr>
          <w:lang w:val="fr-BE"/>
        </w:rPr>
        <w:t>la préposition « après » qui se trouve reléguée en fin de liste dans l</w:t>
      </w:r>
      <w:r w:rsidR="00B9706C">
        <w:rPr>
          <w:lang w:val="fr-BE"/>
        </w:rPr>
        <w:t>’</w:t>
      </w:r>
      <w:r w:rsidR="0082704B">
        <w:rPr>
          <w:lang w:val="fr-BE"/>
        </w:rPr>
        <w:t>ensemble des prépositions remonte juste après « de</w:t>
      </w:r>
      <w:r w:rsidR="001071C9">
        <w:rPr>
          <w:lang w:val="fr-BE"/>
        </w:rPr>
        <w:t xml:space="preserve"> </w:t>
      </w:r>
      <w:r w:rsidR="0082704B">
        <w:rPr>
          <w:lang w:val="fr-BE"/>
        </w:rPr>
        <w:t>…</w:t>
      </w:r>
      <w:r w:rsidR="001071C9">
        <w:rPr>
          <w:lang w:val="fr-BE"/>
        </w:rPr>
        <w:t xml:space="preserve"> </w:t>
      </w:r>
      <w:r w:rsidR="0082704B">
        <w:rPr>
          <w:lang w:val="fr-BE"/>
        </w:rPr>
        <w:t>en » et « à » dans l</w:t>
      </w:r>
      <w:r w:rsidR="00B9706C">
        <w:rPr>
          <w:lang w:val="fr-BE"/>
        </w:rPr>
        <w:t>’</w:t>
      </w:r>
      <w:r w:rsidR="0082704B">
        <w:rPr>
          <w:lang w:val="fr-BE"/>
        </w:rPr>
        <w:t xml:space="preserve">ensemble des structures générées par les prépositions. </w:t>
      </w:r>
      <w:r w:rsidR="00464ED9">
        <w:rPr>
          <w:lang w:val="fr-BE"/>
        </w:rPr>
        <w:t>« Après » est une préposition productive. C</w:t>
      </w:r>
      <w:r w:rsidR="00B9706C">
        <w:rPr>
          <w:lang w:val="fr-BE"/>
        </w:rPr>
        <w:t>’</w:t>
      </w:r>
      <w:r w:rsidR="00464ED9">
        <w:rPr>
          <w:lang w:val="fr-BE"/>
        </w:rPr>
        <w:t>est le même constat qui avait été fait lors de la précédente recherche</w:t>
      </w:r>
      <w:r w:rsidR="001F36BA" w:rsidRPr="001F36BA">
        <w:rPr>
          <w:lang w:val="fr-BE"/>
        </w:rPr>
        <w:t xml:space="preserve">, </w:t>
      </w:r>
      <w:r w:rsidR="00464ED9">
        <w:rPr>
          <w:lang w:val="fr-BE"/>
        </w:rPr>
        <w:t>ce qui paraît bien confirmer un phénomène de langue</w:t>
      </w:r>
      <w:r w:rsidR="00BB27BD">
        <w:rPr>
          <w:lang w:val="fr-BE"/>
        </w:rPr>
        <w:t xml:space="preserve"> : la productivité de la préposition « après » dans les structures </w:t>
      </w:r>
      <w:proofErr w:type="spellStart"/>
      <w:r w:rsidR="00BB27BD">
        <w:rPr>
          <w:lang w:val="fr-BE"/>
        </w:rPr>
        <w:t>Np</w:t>
      </w:r>
      <w:r w:rsidR="0013585C">
        <w:rPr>
          <w:lang w:val="fr-BE"/>
        </w:rPr>
        <w:t>N</w:t>
      </w:r>
      <w:proofErr w:type="spellEnd"/>
      <w:r w:rsidR="0013585C">
        <w:rPr>
          <w:lang w:val="fr-BE"/>
        </w:rPr>
        <w:t>. Liée essentiellement au sémantisme de la succession et</w:t>
      </w:r>
      <w:r w:rsidR="001F36BA" w:rsidRPr="001F36BA">
        <w:rPr>
          <w:lang w:val="fr-BE"/>
        </w:rPr>
        <w:t xml:space="preserve">, </w:t>
      </w:r>
      <w:r w:rsidR="0013585C">
        <w:rPr>
          <w:lang w:val="fr-BE"/>
        </w:rPr>
        <w:t>dans une moindre mesure</w:t>
      </w:r>
      <w:r w:rsidR="001F36BA" w:rsidRPr="001F36BA">
        <w:rPr>
          <w:lang w:val="fr-BE"/>
        </w:rPr>
        <w:t xml:space="preserve">, </w:t>
      </w:r>
      <w:r w:rsidR="0013585C">
        <w:rPr>
          <w:lang w:val="fr-BE"/>
        </w:rPr>
        <w:t>à celui de l</w:t>
      </w:r>
      <w:r w:rsidR="00B9706C">
        <w:rPr>
          <w:lang w:val="fr-BE"/>
        </w:rPr>
        <w:t>’</w:t>
      </w:r>
      <w:r w:rsidR="0013585C">
        <w:rPr>
          <w:lang w:val="fr-BE"/>
        </w:rPr>
        <w:t>accumulation</w:t>
      </w:r>
      <w:r w:rsidR="001F36BA" w:rsidRPr="001F36BA">
        <w:rPr>
          <w:lang w:val="fr-BE"/>
        </w:rPr>
        <w:t xml:space="preserve">, </w:t>
      </w:r>
      <w:r w:rsidR="0013585C">
        <w:rPr>
          <w:lang w:val="fr-BE"/>
        </w:rPr>
        <w:t>« après » s</w:t>
      </w:r>
      <w:r w:rsidR="00B9706C">
        <w:rPr>
          <w:lang w:val="fr-BE"/>
        </w:rPr>
        <w:t>’</w:t>
      </w:r>
      <w:r w:rsidR="0013585C">
        <w:rPr>
          <w:lang w:val="fr-BE"/>
        </w:rPr>
        <w:t>accommode de divers substantifs</w:t>
      </w:r>
      <w:r w:rsidR="001F36BA" w:rsidRPr="001F36BA">
        <w:rPr>
          <w:lang w:val="fr-BE"/>
        </w:rPr>
        <w:t xml:space="preserve">, </w:t>
      </w:r>
      <w:r w:rsidR="0013585C">
        <w:rPr>
          <w:lang w:val="fr-BE"/>
        </w:rPr>
        <w:t>notant la succession chronologique stricte (</w:t>
      </w:r>
      <w:r w:rsidR="0013585C" w:rsidRPr="001071C9">
        <w:rPr>
          <w:i/>
          <w:lang w:val="fr-BE"/>
        </w:rPr>
        <w:t>année</w:t>
      </w:r>
      <w:r w:rsidR="001F36BA" w:rsidRPr="001F36BA">
        <w:rPr>
          <w:lang w:val="fr-BE"/>
        </w:rPr>
        <w:t xml:space="preserve">, </w:t>
      </w:r>
      <w:r w:rsidR="0013585C" w:rsidRPr="001071C9">
        <w:rPr>
          <w:i/>
          <w:lang w:val="fr-BE"/>
        </w:rPr>
        <w:t>mois</w:t>
      </w:r>
      <w:r w:rsidR="001F36BA" w:rsidRPr="001F36BA">
        <w:rPr>
          <w:lang w:val="fr-BE"/>
        </w:rPr>
        <w:t xml:space="preserve">, </w:t>
      </w:r>
      <w:r w:rsidR="0013585C" w:rsidRPr="001071C9">
        <w:rPr>
          <w:i/>
          <w:lang w:val="fr-BE"/>
        </w:rPr>
        <w:t>semaine</w:t>
      </w:r>
      <w:r w:rsidR="001F36BA" w:rsidRPr="001F36BA">
        <w:rPr>
          <w:lang w:val="fr-BE"/>
        </w:rPr>
        <w:t xml:space="preserve">, </w:t>
      </w:r>
      <w:r w:rsidR="0013585C" w:rsidRPr="001071C9">
        <w:rPr>
          <w:i/>
          <w:lang w:val="fr-BE"/>
        </w:rPr>
        <w:t>jour</w:t>
      </w:r>
      <w:r w:rsidR="001F36BA" w:rsidRPr="001F36BA">
        <w:rPr>
          <w:lang w:val="fr-BE"/>
        </w:rPr>
        <w:t xml:space="preserve">, </w:t>
      </w:r>
      <w:r w:rsidR="0005164D" w:rsidRPr="001071C9">
        <w:rPr>
          <w:i/>
          <w:lang w:val="fr-BE"/>
        </w:rPr>
        <w:t>matin</w:t>
      </w:r>
      <w:r w:rsidR="001F36BA" w:rsidRPr="001F36BA">
        <w:rPr>
          <w:lang w:val="fr-BE"/>
        </w:rPr>
        <w:t xml:space="preserve">, </w:t>
      </w:r>
      <w:r w:rsidR="0013585C" w:rsidRPr="001071C9">
        <w:rPr>
          <w:i/>
          <w:lang w:val="fr-BE"/>
        </w:rPr>
        <w:t>minute</w:t>
      </w:r>
      <w:r w:rsidR="0013585C">
        <w:rPr>
          <w:lang w:val="fr-BE"/>
        </w:rPr>
        <w:t>)</w:t>
      </w:r>
      <w:r w:rsidR="001F36BA" w:rsidRPr="001F36BA">
        <w:rPr>
          <w:lang w:val="fr-BE"/>
        </w:rPr>
        <w:t xml:space="preserve">, </w:t>
      </w:r>
      <w:r w:rsidR="0013585C">
        <w:rPr>
          <w:lang w:val="fr-BE"/>
        </w:rPr>
        <w:t xml:space="preserve">la succession </w:t>
      </w:r>
      <w:r w:rsidR="0005164D">
        <w:rPr>
          <w:lang w:val="fr-BE"/>
        </w:rPr>
        <w:t>dans l</w:t>
      </w:r>
      <w:r w:rsidR="00B9706C">
        <w:rPr>
          <w:lang w:val="fr-BE"/>
        </w:rPr>
        <w:t>’</w:t>
      </w:r>
      <w:r w:rsidR="0005164D">
        <w:rPr>
          <w:lang w:val="fr-BE"/>
        </w:rPr>
        <w:t xml:space="preserve">espace </w:t>
      </w:r>
      <w:r w:rsidR="0013585C">
        <w:rPr>
          <w:lang w:val="fr-BE"/>
        </w:rPr>
        <w:t>(</w:t>
      </w:r>
      <w:r w:rsidR="0013585C" w:rsidRPr="001071C9">
        <w:rPr>
          <w:i/>
          <w:lang w:val="fr-BE"/>
        </w:rPr>
        <w:t>millimètre</w:t>
      </w:r>
      <w:r w:rsidR="0013585C">
        <w:rPr>
          <w:lang w:val="fr-BE"/>
        </w:rPr>
        <w:t>)</w:t>
      </w:r>
      <w:r w:rsidR="001F36BA" w:rsidRPr="001F36BA">
        <w:rPr>
          <w:lang w:val="fr-BE"/>
        </w:rPr>
        <w:t xml:space="preserve">, </w:t>
      </w:r>
      <w:r w:rsidR="0013585C">
        <w:rPr>
          <w:lang w:val="fr-BE"/>
        </w:rPr>
        <w:t>ou événementielle (</w:t>
      </w:r>
      <w:r w:rsidR="0013585C" w:rsidRPr="001071C9">
        <w:rPr>
          <w:i/>
          <w:lang w:val="fr-BE"/>
        </w:rPr>
        <w:t>match</w:t>
      </w:r>
      <w:r w:rsidR="001F36BA" w:rsidRPr="001F36BA">
        <w:rPr>
          <w:lang w:val="fr-BE"/>
        </w:rPr>
        <w:t xml:space="preserve">, </w:t>
      </w:r>
      <w:r w:rsidR="0013585C" w:rsidRPr="001071C9">
        <w:rPr>
          <w:i/>
          <w:lang w:val="fr-BE"/>
        </w:rPr>
        <w:t>solstice</w:t>
      </w:r>
      <w:r w:rsidR="001F36BA" w:rsidRPr="001F36BA">
        <w:rPr>
          <w:lang w:val="fr-BE"/>
        </w:rPr>
        <w:t xml:space="preserve">, </w:t>
      </w:r>
      <w:r w:rsidR="0005164D" w:rsidRPr="001071C9">
        <w:rPr>
          <w:i/>
          <w:lang w:val="fr-BE"/>
        </w:rPr>
        <w:t>photo</w:t>
      </w:r>
      <w:r w:rsidR="0013585C">
        <w:rPr>
          <w:lang w:val="fr-BE"/>
        </w:rPr>
        <w:t>)</w:t>
      </w:r>
      <w:r w:rsidR="0005164D">
        <w:rPr>
          <w:lang w:val="fr-BE"/>
        </w:rPr>
        <w:t>. C</w:t>
      </w:r>
      <w:r w:rsidR="00B9706C">
        <w:rPr>
          <w:lang w:val="fr-BE"/>
        </w:rPr>
        <w:t>’</w:t>
      </w:r>
      <w:r w:rsidR="00BB7FF1">
        <w:rPr>
          <w:lang w:val="fr-BE"/>
        </w:rPr>
        <w:t xml:space="preserve">est le </w:t>
      </w:r>
      <w:r w:rsidR="00BB7FF1" w:rsidRPr="006F20D6">
        <w:rPr>
          <w:i/>
          <w:lang w:val="fr-BE"/>
        </w:rPr>
        <w:t>R</w:t>
      </w:r>
      <w:r w:rsidR="0005164D" w:rsidRPr="006F20D6">
        <w:rPr>
          <w:i/>
          <w:lang w:val="fr-BE"/>
        </w:rPr>
        <w:t>oman sérieux</w:t>
      </w:r>
      <w:r w:rsidR="0005164D">
        <w:rPr>
          <w:lang w:val="fr-BE"/>
        </w:rPr>
        <w:t xml:space="preserve"> qui présente la panoplie la plus large </w:t>
      </w:r>
      <w:r w:rsidR="00A045DB">
        <w:rPr>
          <w:lang w:val="fr-BE"/>
        </w:rPr>
        <w:t xml:space="preserve">de structures avec « après ». Outre les </w:t>
      </w:r>
      <w:r w:rsidR="00A045DB" w:rsidRPr="00635232">
        <w:rPr>
          <w:lang w:val="fr-BE"/>
        </w:rPr>
        <w:t>indications chronologiques</w:t>
      </w:r>
      <w:r w:rsidR="001F36BA" w:rsidRPr="00635232">
        <w:rPr>
          <w:lang w:val="fr-BE"/>
        </w:rPr>
        <w:t xml:space="preserve">, </w:t>
      </w:r>
      <w:r w:rsidR="00A045DB" w:rsidRPr="00635232">
        <w:rPr>
          <w:lang w:val="fr-BE"/>
        </w:rPr>
        <w:t xml:space="preserve">on trouve des noms plus insolites comme </w:t>
      </w:r>
      <w:r w:rsidR="00A045DB" w:rsidRPr="00635232">
        <w:rPr>
          <w:i/>
          <w:lang w:val="fr-BE"/>
        </w:rPr>
        <w:t>barreau</w:t>
      </w:r>
      <w:r w:rsidR="001F36BA" w:rsidRPr="00635232">
        <w:rPr>
          <w:lang w:val="fr-BE"/>
        </w:rPr>
        <w:t xml:space="preserve">, </w:t>
      </w:r>
      <w:r w:rsidR="00A045DB" w:rsidRPr="00635232">
        <w:rPr>
          <w:i/>
          <w:lang w:val="fr-BE"/>
        </w:rPr>
        <w:t>grain</w:t>
      </w:r>
      <w:r w:rsidR="001F36BA" w:rsidRPr="00635232">
        <w:rPr>
          <w:lang w:val="fr-BE"/>
        </w:rPr>
        <w:t xml:space="preserve">, </w:t>
      </w:r>
      <w:r w:rsidR="00A045DB" w:rsidRPr="00635232">
        <w:rPr>
          <w:i/>
          <w:lang w:val="fr-BE"/>
        </w:rPr>
        <w:t>maille</w:t>
      </w:r>
      <w:r w:rsidR="001F36BA" w:rsidRPr="00635232">
        <w:rPr>
          <w:lang w:val="fr-BE"/>
        </w:rPr>
        <w:t xml:space="preserve">, </w:t>
      </w:r>
      <w:r w:rsidR="00A045DB" w:rsidRPr="00635232">
        <w:rPr>
          <w:i/>
          <w:lang w:val="fr-BE"/>
        </w:rPr>
        <w:t>pavé</w:t>
      </w:r>
      <w:r w:rsidR="001F36BA" w:rsidRPr="00635232">
        <w:rPr>
          <w:lang w:val="fr-BE"/>
        </w:rPr>
        <w:t xml:space="preserve">, </w:t>
      </w:r>
      <w:r w:rsidR="00A045DB" w:rsidRPr="00635232">
        <w:rPr>
          <w:i/>
          <w:lang w:val="fr-BE"/>
        </w:rPr>
        <w:t>vitrine</w:t>
      </w:r>
      <w:r w:rsidR="00A045DB" w:rsidRPr="00635232">
        <w:rPr>
          <w:lang w:val="fr-BE"/>
        </w:rPr>
        <w:t xml:space="preserve">. </w:t>
      </w:r>
      <w:r w:rsidR="002F1D46" w:rsidRPr="00635232">
        <w:rPr>
          <w:lang w:val="fr-BE"/>
        </w:rPr>
        <w:t>On a vu plus haut que la spécificité et l’isolement des romans sérieux était liés aux deux structures « après » et « de … en », dont la productivité vient ici confirmer leur plus grande littérarité.</w:t>
      </w:r>
    </w:p>
    <w:p w:rsidR="00433E5E" w:rsidRDefault="0032369E" w:rsidP="00B8222F">
      <w:pPr>
        <w:pStyle w:val="Paragraphedeliste"/>
        <w:numPr>
          <w:ilvl w:val="0"/>
          <w:numId w:val="1"/>
        </w:numPr>
        <w:spacing w:before="240" w:after="80"/>
        <w:ind w:left="0" w:firstLine="0"/>
        <w:jc w:val="both"/>
        <w:rPr>
          <w:b/>
          <w:sz w:val="28"/>
          <w:szCs w:val="28"/>
          <w:lang w:val="fr-BE"/>
        </w:rPr>
      </w:pPr>
      <w:r w:rsidRPr="00B8222F">
        <w:rPr>
          <w:b/>
          <w:sz w:val="28"/>
          <w:szCs w:val="28"/>
          <w:lang w:val="fr-BE"/>
        </w:rPr>
        <w:t>Le partage générique ?</w:t>
      </w:r>
    </w:p>
    <w:p w:rsidR="001A035C" w:rsidRDefault="001A035C" w:rsidP="001A035C">
      <w:pPr>
        <w:pStyle w:val="Paragraphedeliste"/>
        <w:spacing w:before="240" w:after="80"/>
        <w:ind w:left="0"/>
        <w:jc w:val="both"/>
        <w:rPr>
          <w:b/>
          <w:sz w:val="28"/>
          <w:szCs w:val="28"/>
          <w:lang w:val="fr-BE"/>
        </w:rPr>
      </w:pPr>
    </w:p>
    <w:p w:rsidR="00FC23A2" w:rsidRDefault="009A5E54" w:rsidP="00A01122">
      <w:pPr>
        <w:pStyle w:val="Paragraphedeliste"/>
        <w:numPr>
          <w:ilvl w:val="1"/>
          <w:numId w:val="1"/>
        </w:numPr>
        <w:spacing w:before="180" w:after="60"/>
        <w:ind w:left="360"/>
        <w:jc w:val="both"/>
        <w:rPr>
          <w:b/>
          <w:i/>
          <w:lang w:val="fr-BE"/>
        </w:rPr>
      </w:pPr>
      <w:r>
        <w:rPr>
          <w:b/>
          <w:i/>
          <w:lang w:val="fr-BE"/>
        </w:rPr>
        <w:t xml:space="preserve"> </w:t>
      </w:r>
      <w:r w:rsidR="00FC23A2" w:rsidRPr="00882635">
        <w:rPr>
          <w:b/>
          <w:i/>
          <w:lang w:val="fr-BE"/>
        </w:rPr>
        <w:t>Les sous-corpus</w:t>
      </w:r>
    </w:p>
    <w:p w:rsidR="00A01122" w:rsidRDefault="00A01122" w:rsidP="009A5E54">
      <w:pPr>
        <w:pStyle w:val="Paragraphedeliste"/>
        <w:spacing w:before="180" w:after="60"/>
        <w:ind w:left="360"/>
        <w:jc w:val="both"/>
        <w:rPr>
          <w:b/>
          <w:i/>
          <w:lang w:val="fr-BE"/>
        </w:rPr>
      </w:pPr>
    </w:p>
    <w:p w:rsidR="00477F33" w:rsidRPr="00477F33" w:rsidRDefault="00477F33" w:rsidP="00477F33">
      <w:pPr>
        <w:jc w:val="both"/>
        <w:rPr>
          <w:sz w:val="22"/>
          <w:szCs w:val="22"/>
          <w:lang w:val="fr-BE"/>
        </w:rPr>
      </w:pPr>
      <w:r w:rsidRPr="00477F33">
        <w:rPr>
          <w:sz w:val="22"/>
          <w:szCs w:val="22"/>
          <w:lang w:val="fr-BE"/>
        </w:rPr>
        <w:t>A : pourcentages de chaque préposition sur toutes les prépositions</w:t>
      </w:r>
    </w:p>
    <w:p w:rsidR="00477F33" w:rsidRDefault="00477F33" w:rsidP="00477F33">
      <w:pPr>
        <w:jc w:val="both"/>
        <w:rPr>
          <w:sz w:val="22"/>
          <w:szCs w:val="22"/>
          <w:lang w:val="fr-BE"/>
        </w:rPr>
      </w:pPr>
      <w:r w:rsidRPr="00477F33">
        <w:rPr>
          <w:sz w:val="22"/>
          <w:szCs w:val="22"/>
          <w:lang w:val="fr-BE"/>
        </w:rPr>
        <w:t>B : pourcentages des structures sur le nombre d’expressions différentes</w:t>
      </w:r>
    </w:p>
    <w:p w:rsidR="009C354D" w:rsidRDefault="009C354D" w:rsidP="00477F33">
      <w:pPr>
        <w:jc w:val="both"/>
        <w:rPr>
          <w:sz w:val="22"/>
          <w:szCs w:val="22"/>
          <w:lang w:val="fr-BE"/>
        </w:rPr>
        <w:sectPr w:rsidR="009C354D" w:rsidSect="00D46A3B">
          <w:headerReference w:type="even" r:id="rId11"/>
          <w:headerReference w:type="default" r:id="rId12"/>
          <w:footerReference w:type="default" r:id="rId13"/>
          <w:headerReference w:type="first" r:id="rId14"/>
          <w:footerReference w:type="first" r:id="rId15"/>
          <w:type w:val="continuous"/>
          <w:pgSz w:w="11906" w:h="16838"/>
          <w:pgMar w:top="1417" w:right="1417" w:bottom="1417" w:left="1417" w:header="708" w:footer="708" w:gutter="0"/>
          <w:cols w:space="708"/>
          <w:titlePg/>
          <w:docGrid w:linePitch="360"/>
        </w:sectPr>
      </w:pPr>
    </w:p>
    <w:p w:rsidR="00CE19CF" w:rsidRPr="00477F33" w:rsidRDefault="00CE19CF" w:rsidP="00477F33">
      <w:pPr>
        <w:jc w:val="both"/>
        <w:rPr>
          <w:sz w:val="22"/>
          <w:szCs w:val="22"/>
          <w:lang w:val="fr-BE"/>
        </w:rPr>
      </w:pPr>
    </w:p>
    <w:p w:rsidR="00EA7C26" w:rsidRDefault="00EA7C26" w:rsidP="009D5E30">
      <w:pPr>
        <w:spacing w:after="240"/>
        <w:jc w:val="both"/>
        <w:rPr>
          <w:lang w:val="fr-BE"/>
        </w:rPr>
      </w:pPr>
      <w:r>
        <w:rPr>
          <w:noProof/>
          <w:lang w:eastAsia="fr-FR"/>
        </w:rPr>
        <w:drawing>
          <wp:inline distT="0" distB="0" distL="0" distR="0" wp14:anchorId="4443730B" wp14:editId="6AA15837">
            <wp:extent cx="2714625" cy="1676400"/>
            <wp:effectExtent l="0" t="0" r="9525"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75BCF" w:rsidRDefault="00F75BCF" w:rsidP="009D5E30">
      <w:pPr>
        <w:spacing w:after="240"/>
        <w:jc w:val="both"/>
        <w:rPr>
          <w:sz w:val="16"/>
          <w:szCs w:val="16"/>
          <w:lang w:val="fr-BE"/>
        </w:rPr>
      </w:pPr>
    </w:p>
    <w:p w:rsidR="00F75BCF" w:rsidRPr="00F75BCF" w:rsidRDefault="00F75BCF" w:rsidP="009D5E30">
      <w:pPr>
        <w:spacing w:after="240"/>
        <w:jc w:val="both"/>
        <w:rPr>
          <w:sz w:val="4"/>
          <w:szCs w:val="4"/>
          <w:lang w:val="fr-BE"/>
        </w:rPr>
      </w:pPr>
    </w:p>
    <w:p w:rsidR="007347E1" w:rsidRDefault="00EA7C26" w:rsidP="009D5E30">
      <w:pPr>
        <w:spacing w:after="240"/>
        <w:jc w:val="both"/>
        <w:rPr>
          <w:lang w:val="fr-BE"/>
        </w:rPr>
      </w:pPr>
      <w:r>
        <w:rPr>
          <w:noProof/>
          <w:lang w:eastAsia="fr-FR"/>
        </w:rPr>
        <w:drawing>
          <wp:inline distT="0" distB="0" distL="0" distR="0" wp14:anchorId="4AC23369" wp14:editId="173B1F89">
            <wp:extent cx="2657475" cy="1657350"/>
            <wp:effectExtent l="0" t="0" r="9525"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347E1" w:rsidRDefault="00023027" w:rsidP="009D5E30">
      <w:pPr>
        <w:spacing w:after="240"/>
        <w:jc w:val="both"/>
        <w:rPr>
          <w:lang w:val="fr-BE"/>
        </w:rPr>
      </w:pPr>
      <w:r>
        <w:rPr>
          <w:noProof/>
          <w:lang w:eastAsia="fr-FR"/>
        </w:rPr>
        <w:lastRenderedPageBreak/>
        <w:drawing>
          <wp:inline distT="0" distB="0" distL="0" distR="0" wp14:anchorId="52357CD2" wp14:editId="69026B03">
            <wp:extent cx="2800350" cy="1552575"/>
            <wp:effectExtent l="0" t="0" r="0" b="9525"/>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06A57" w:rsidRDefault="00C20141" w:rsidP="009D5E30">
      <w:pPr>
        <w:spacing w:after="240"/>
        <w:jc w:val="both"/>
        <w:rPr>
          <w:lang w:val="fr-BE"/>
        </w:rPr>
      </w:pPr>
      <w:r>
        <w:rPr>
          <w:noProof/>
          <w:lang w:eastAsia="fr-FR"/>
        </w:rPr>
        <w:drawing>
          <wp:inline distT="0" distB="0" distL="0" distR="0" wp14:anchorId="1CD0536B" wp14:editId="7F1CF6F9">
            <wp:extent cx="2800350" cy="1522095"/>
            <wp:effectExtent l="0" t="0" r="0" b="1905"/>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06A57" w:rsidRDefault="00D06A57" w:rsidP="009D5E30">
      <w:pPr>
        <w:spacing w:after="240"/>
        <w:jc w:val="both"/>
        <w:rPr>
          <w:lang w:val="fr-BE"/>
        </w:rPr>
      </w:pPr>
      <w:r>
        <w:rPr>
          <w:noProof/>
          <w:lang w:eastAsia="fr-FR"/>
        </w:rPr>
        <w:drawing>
          <wp:inline distT="0" distB="0" distL="0" distR="0" wp14:anchorId="153BBD20" wp14:editId="2FD3221C">
            <wp:extent cx="2800350" cy="1828800"/>
            <wp:effectExtent l="0" t="0" r="0" b="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06A57" w:rsidRDefault="00D06A57" w:rsidP="009D5E30">
      <w:pPr>
        <w:spacing w:after="240"/>
        <w:jc w:val="both"/>
        <w:rPr>
          <w:lang w:val="fr-BE"/>
        </w:rPr>
      </w:pPr>
      <w:r>
        <w:rPr>
          <w:noProof/>
          <w:lang w:eastAsia="fr-FR"/>
        </w:rPr>
        <w:drawing>
          <wp:inline distT="0" distB="0" distL="0" distR="0" wp14:anchorId="51D04976" wp14:editId="3E9F2409">
            <wp:extent cx="2800350" cy="1790700"/>
            <wp:effectExtent l="0" t="0" r="0" b="0"/>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921DE" w:rsidRDefault="009921DE" w:rsidP="009D5E30">
      <w:pPr>
        <w:spacing w:after="240"/>
        <w:jc w:val="both"/>
        <w:rPr>
          <w:lang w:val="fr-BE"/>
        </w:rPr>
      </w:pPr>
      <w:r>
        <w:rPr>
          <w:noProof/>
          <w:lang w:eastAsia="fr-FR"/>
        </w:rPr>
        <w:drawing>
          <wp:inline distT="0" distB="0" distL="0" distR="0" wp14:anchorId="7A3643E2" wp14:editId="0ED73468">
            <wp:extent cx="2847975" cy="1552575"/>
            <wp:effectExtent l="0" t="0" r="9525" b="9525"/>
            <wp:docPr id="14"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921DE" w:rsidRDefault="001713E9" w:rsidP="009D5E30">
      <w:pPr>
        <w:spacing w:after="240"/>
        <w:jc w:val="both"/>
        <w:rPr>
          <w:lang w:val="fr-BE"/>
        </w:rPr>
      </w:pPr>
      <w:r>
        <w:rPr>
          <w:noProof/>
          <w:lang w:eastAsia="fr-FR"/>
        </w:rPr>
        <w:drawing>
          <wp:inline distT="0" distB="0" distL="0" distR="0" wp14:anchorId="710244A2" wp14:editId="7F0FE64C">
            <wp:extent cx="2847975" cy="1522095"/>
            <wp:effectExtent l="0" t="0" r="9525" b="1905"/>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C354D" w:rsidRDefault="001713E9" w:rsidP="009D5E30">
      <w:pPr>
        <w:spacing w:after="240"/>
        <w:jc w:val="both"/>
        <w:rPr>
          <w:lang w:val="fr-BE"/>
        </w:rPr>
        <w:sectPr w:rsidR="009C354D" w:rsidSect="000B6578">
          <w:type w:val="continuous"/>
          <w:pgSz w:w="11906" w:h="16838"/>
          <w:pgMar w:top="1417" w:right="1417" w:bottom="1417" w:left="1417" w:header="708" w:footer="708" w:gutter="0"/>
          <w:cols w:num="2" w:space="708"/>
          <w:titlePg/>
          <w:docGrid w:linePitch="360"/>
        </w:sectPr>
      </w:pPr>
      <w:r>
        <w:rPr>
          <w:noProof/>
          <w:lang w:eastAsia="fr-FR"/>
        </w:rPr>
        <w:drawing>
          <wp:inline distT="0" distB="0" distL="0" distR="0" wp14:anchorId="2002DD95" wp14:editId="28FB6D3B">
            <wp:extent cx="2847975" cy="1828800"/>
            <wp:effectExtent l="0" t="0" r="9525" b="0"/>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20C88" w:rsidRPr="002D3F00" w:rsidRDefault="00620C88" w:rsidP="00620C88">
      <w:pPr>
        <w:spacing w:after="120"/>
        <w:jc w:val="both"/>
        <w:rPr>
          <w:rFonts w:eastAsiaTheme="majorEastAsia"/>
          <w:i/>
          <w:sz w:val="22"/>
          <w:szCs w:val="22"/>
          <w:lang w:val="fr-BE"/>
        </w:rPr>
      </w:pPr>
      <w:r w:rsidRPr="002D3F00">
        <w:rPr>
          <w:rFonts w:eastAsiaTheme="majorEastAsia"/>
          <w:i/>
          <w:sz w:val="22"/>
          <w:szCs w:val="22"/>
          <w:lang w:val="fr-BE"/>
        </w:rPr>
        <w:t>Figure 7</w:t>
      </w:r>
      <w:r w:rsidR="00D45EE7">
        <w:rPr>
          <w:rFonts w:eastAsiaTheme="majorEastAsia"/>
          <w:i/>
          <w:sz w:val="22"/>
          <w:szCs w:val="22"/>
          <w:lang w:val="fr-BE"/>
        </w:rPr>
        <w:t>- Histogrammes</w:t>
      </w:r>
      <w:r w:rsidR="00E37BD1">
        <w:rPr>
          <w:rFonts w:eastAsiaTheme="majorEastAsia"/>
          <w:i/>
          <w:sz w:val="22"/>
          <w:szCs w:val="22"/>
          <w:lang w:val="fr-BE"/>
        </w:rPr>
        <w:t xml:space="preserve"> contrastifs</w:t>
      </w:r>
      <w:r w:rsidR="00D45EE7">
        <w:rPr>
          <w:rFonts w:eastAsiaTheme="majorEastAsia"/>
          <w:i/>
          <w:sz w:val="22"/>
          <w:szCs w:val="22"/>
          <w:lang w:val="fr-BE"/>
        </w:rPr>
        <w:t xml:space="preserve"> par sous-genres : </w:t>
      </w:r>
      <w:r w:rsidR="00E37BD1">
        <w:rPr>
          <w:rFonts w:eastAsiaTheme="majorEastAsia"/>
          <w:i/>
          <w:sz w:val="22"/>
          <w:szCs w:val="22"/>
          <w:lang w:val="fr-BE"/>
        </w:rPr>
        <w:t>la place des prépositions et des structures</w:t>
      </w:r>
    </w:p>
    <w:p w:rsidR="00EF6F9F" w:rsidRDefault="00D27C9F" w:rsidP="00DB4CF9">
      <w:pPr>
        <w:spacing w:before="120"/>
        <w:jc w:val="both"/>
        <w:rPr>
          <w:lang w:val="fr-BE"/>
        </w:rPr>
      </w:pPr>
      <w:r>
        <w:rPr>
          <w:lang w:val="fr-BE"/>
        </w:rPr>
        <w:t>Ces histogrammes affectés à chaque sous-corpus permettent de visualiser à la fois la part de chaque préposition sur l</w:t>
      </w:r>
      <w:r w:rsidR="00B9706C">
        <w:rPr>
          <w:lang w:val="fr-BE"/>
        </w:rPr>
        <w:t>’</w:t>
      </w:r>
      <w:r>
        <w:rPr>
          <w:lang w:val="fr-BE"/>
        </w:rPr>
        <w:t>ensemble des prépositions et la part des structures composées avec telle préposition sur l</w:t>
      </w:r>
      <w:r w:rsidR="00B9706C">
        <w:rPr>
          <w:lang w:val="fr-BE"/>
        </w:rPr>
        <w:t>’</w:t>
      </w:r>
      <w:r>
        <w:rPr>
          <w:lang w:val="fr-BE"/>
        </w:rPr>
        <w:t>ensemble des structures différentes. Des tendances majoritaires se dessinent et des particularités se dégagent :</w:t>
      </w:r>
    </w:p>
    <w:p w:rsidR="00172840" w:rsidRDefault="005E4A00" w:rsidP="00DB4CF9">
      <w:pPr>
        <w:spacing w:before="120"/>
        <w:jc w:val="both"/>
        <w:rPr>
          <w:lang w:val="fr-BE"/>
        </w:rPr>
      </w:pPr>
      <w:r>
        <w:rPr>
          <w:lang w:val="fr-BE"/>
        </w:rPr>
        <w:t>On observe</w:t>
      </w:r>
      <w:r w:rsidR="001F36BA" w:rsidRPr="001F36BA">
        <w:rPr>
          <w:lang w:val="fr-BE"/>
        </w:rPr>
        <w:t xml:space="preserve">, </w:t>
      </w:r>
      <w:r>
        <w:rPr>
          <w:lang w:val="fr-BE"/>
        </w:rPr>
        <w:t>pour la préposition</w:t>
      </w:r>
      <w:r w:rsidR="00DD1E5A">
        <w:rPr>
          <w:lang w:val="fr-BE"/>
        </w:rPr>
        <w:t xml:space="preserve"> « à »</w:t>
      </w:r>
      <w:r w:rsidR="001F36BA" w:rsidRPr="001F36BA">
        <w:rPr>
          <w:lang w:val="fr-BE"/>
        </w:rPr>
        <w:t xml:space="preserve">, </w:t>
      </w:r>
      <w:r>
        <w:rPr>
          <w:lang w:val="fr-BE"/>
        </w:rPr>
        <w:t>la faiblesse du renouvellement des structures pour to</w:t>
      </w:r>
      <w:r w:rsidR="003149F3">
        <w:rPr>
          <w:lang w:val="fr-BE"/>
        </w:rPr>
        <w:t>us les sous-corpus sauf pour deux journaux</w:t>
      </w:r>
      <w:r w:rsidR="001F36BA" w:rsidRPr="001F36BA">
        <w:rPr>
          <w:lang w:val="fr-BE"/>
        </w:rPr>
        <w:t xml:space="preserve">, </w:t>
      </w:r>
      <w:r w:rsidR="00DE52A1" w:rsidRPr="00DE52A1">
        <w:rPr>
          <w:i/>
          <w:lang w:val="fr-BE"/>
        </w:rPr>
        <w:t>L</w:t>
      </w:r>
      <w:r w:rsidR="00B9706C">
        <w:rPr>
          <w:lang w:val="fr-BE"/>
        </w:rPr>
        <w:t>’</w:t>
      </w:r>
      <w:r w:rsidR="003149F3" w:rsidRPr="003149F3">
        <w:rPr>
          <w:i/>
          <w:lang w:val="fr-BE"/>
        </w:rPr>
        <w:t xml:space="preserve">Est Républicain </w:t>
      </w:r>
      <w:r w:rsidR="003149F3">
        <w:rPr>
          <w:lang w:val="fr-BE"/>
        </w:rPr>
        <w:t xml:space="preserve">et </w:t>
      </w:r>
      <w:r w:rsidR="003149F3" w:rsidRPr="003149F3">
        <w:rPr>
          <w:i/>
          <w:lang w:val="fr-BE"/>
        </w:rPr>
        <w:t>Libération</w:t>
      </w:r>
      <w:r w:rsidR="003149F3">
        <w:rPr>
          <w:lang w:val="fr-BE"/>
        </w:rPr>
        <w:t xml:space="preserve">. </w:t>
      </w:r>
      <w:r w:rsidR="009859E8">
        <w:rPr>
          <w:lang w:val="fr-BE"/>
        </w:rPr>
        <w:t xml:space="preserve">Le déséquilibre est même accentué pour les textes fictionnels entre le pourcentage des prépositions et le </w:t>
      </w:r>
      <w:r w:rsidR="009859E8">
        <w:rPr>
          <w:lang w:val="fr-BE"/>
        </w:rPr>
        <w:lastRenderedPageBreak/>
        <w:t xml:space="preserve">pourcentage des structures. </w:t>
      </w:r>
      <w:r w:rsidR="00A21DA0">
        <w:rPr>
          <w:lang w:val="fr-BE"/>
        </w:rPr>
        <w:t xml:space="preserve">Il semble bien que </w:t>
      </w:r>
      <w:r w:rsidR="003F7C80">
        <w:rPr>
          <w:lang w:val="fr-BE"/>
        </w:rPr>
        <w:t>ce n</w:t>
      </w:r>
      <w:r w:rsidR="00B9706C">
        <w:rPr>
          <w:lang w:val="fr-BE"/>
        </w:rPr>
        <w:t>’</w:t>
      </w:r>
      <w:r w:rsidR="003F7C80">
        <w:rPr>
          <w:lang w:val="fr-BE"/>
        </w:rPr>
        <w:t>est pas dans les structures avec « à » qu</w:t>
      </w:r>
      <w:r w:rsidR="00B9706C">
        <w:rPr>
          <w:lang w:val="fr-BE"/>
        </w:rPr>
        <w:t>’</w:t>
      </w:r>
      <w:r w:rsidR="003F7C80">
        <w:rPr>
          <w:lang w:val="fr-BE"/>
        </w:rPr>
        <w:t xml:space="preserve">un quelconque indice de littérarité puisse être trouvé. </w:t>
      </w:r>
      <w:r w:rsidR="002F1D46" w:rsidRPr="00004225">
        <w:rPr>
          <w:lang w:val="fr-BE"/>
        </w:rPr>
        <w:t>Son affinité avec la collection</w:t>
      </w:r>
      <w:r w:rsidR="002F1D46" w:rsidRPr="00004225">
        <w:rPr>
          <w:i/>
          <w:lang w:val="fr-BE"/>
        </w:rPr>
        <w:t xml:space="preserve"> </w:t>
      </w:r>
      <w:proofErr w:type="spellStart"/>
      <w:r w:rsidR="002F1D46" w:rsidRPr="00004225">
        <w:rPr>
          <w:i/>
          <w:lang w:val="fr-BE"/>
        </w:rPr>
        <w:t>Harlequin</w:t>
      </w:r>
      <w:proofErr w:type="spellEnd"/>
      <w:r w:rsidR="002F1D46" w:rsidRPr="00004225">
        <w:rPr>
          <w:i/>
          <w:lang w:val="fr-BE"/>
        </w:rPr>
        <w:t xml:space="preserve"> </w:t>
      </w:r>
      <w:r w:rsidR="002F1D46" w:rsidRPr="00004225">
        <w:rPr>
          <w:lang w:val="fr-BE"/>
        </w:rPr>
        <w:t>constitue un indice de figement stylistique propre à caractériser l’écriture mis</w:t>
      </w:r>
      <w:r w:rsidR="00004225" w:rsidRPr="00004225">
        <w:rPr>
          <w:lang w:val="fr-BE"/>
        </w:rPr>
        <w:t>e</w:t>
      </w:r>
      <w:r w:rsidR="002F1D46" w:rsidRPr="00004225">
        <w:rPr>
          <w:lang w:val="fr-BE"/>
        </w:rPr>
        <w:t xml:space="preserve"> en jeu dans ce genre romanesque.</w:t>
      </w:r>
    </w:p>
    <w:p w:rsidR="00690EF9" w:rsidRDefault="00172840" w:rsidP="009D5E30">
      <w:pPr>
        <w:spacing w:after="240"/>
        <w:jc w:val="both"/>
        <w:rPr>
          <w:lang w:val="fr-BE"/>
        </w:rPr>
      </w:pPr>
      <w:r>
        <w:rPr>
          <w:lang w:val="fr-BE"/>
        </w:rPr>
        <w:t>En revanche</w:t>
      </w:r>
      <w:r w:rsidR="001F36BA" w:rsidRPr="001F36BA">
        <w:rPr>
          <w:lang w:val="fr-BE"/>
        </w:rPr>
        <w:t xml:space="preserve">, </w:t>
      </w:r>
      <w:r>
        <w:rPr>
          <w:lang w:val="fr-BE"/>
        </w:rPr>
        <w:t xml:space="preserve">la préposition « après » propose la configuration inverse : une faible représentation parmi les prépositions et une variété plus grande dans les structures </w:t>
      </w:r>
      <w:proofErr w:type="spellStart"/>
      <w:r>
        <w:rPr>
          <w:lang w:val="fr-BE"/>
        </w:rPr>
        <w:t>NpN</w:t>
      </w:r>
      <w:proofErr w:type="spellEnd"/>
      <w:r w:rsidR="001F36BA" w:rsidRPr="001F36BA">
        <w:rPr>
          <w:lang w:val="fr-BE"/>
        </w:rPr>
        <w:t xml:space="preserve">, </w:t>
      </w:r>
      <w:r>
        <w:rPr>
          <w:lang w:val="fr-BE"/>
        </w:rPr>
        <w:t xml:space="preserve">avec une légère accentuation dans les textes fictionnels. </w:t>
      </w:r>
      <w:r w:rsidR="003D3056">
        <w:rPr>
          <w:lang w:val="fr-BE"/>
        </w:rPr>
        <w:t>C</w:t>
      </w:r>
      <w:r w:rsidR="00B9706C">
        <w:rPr>
          <w:lang w:val="fr-BE"/>
        </w:rPr>
        <w:t>’</w:t>
      </w:r>
      <w:r w:rsidR="003D3056">
        <w:rPr>
          <w:lang w:val="fr-BE"/>
        </w:rPr>
        <w:t>est la même tendance à la variété des structures qui peut être constatée pour la préposition « en »</w:t>
      </w:r>
      <w:r w:rsidR="001F36BA" w:rsidRPr="001F36BA">
        <w:rPr>
          <w:lang w:val="fr-BE"/>
        </w:rPr>
        <w:t xml:space="preserve">, </w:t>
      </w:r>
      <w:r w:rsidR="003D3056">
        <w:rPr>
          <w:lang w:val="fr-BE"/>
        </w:rPr>
        <w:t xml:space="preserve">sauf pour </w:t>
      </w:r>
      <w:r w:rsidR="003D3056" w:rsidRPr="003D3056">
        <w:rPr>
          <w:i/>
          <w:lang w:val="fr-BE"/>
        </w:rPr>
        <w:t>Libération</w:t>
      </w:r>
      <w:r w:rsidR="003D3056">
        <w:rPr>
          <w:lang w:val="fr-BE"/>
        </w:rPr>
        <w:t xml:space="preserve"> et </w:t>
      </w:r>
      <w:r w:rsidR="003D3056" w:rsidRPr="003D3056">
        <w:rPr>
          <w:i/>
          <w:lang w:val="fr-BE"/>
        </w:rPr>
        <w:t>Le Figaro</w:t>
      </w:r>
      <w:r w:rsidR="003D3056">
        <w:rPr>
          <w:lang w:val="fr-BE"/>
        </w:rPr>
        <w:t xml:space="preserve">. </w:t>
      </w:r>
      <w:r w:rsidR="00556872">
        <w:rPr>
          <w:lang w:val="fr-BE"/>
        </w:rPr>
        <w:t xml:space="preserve">La tendance à la lexicalisation est esquissée pour la préposition « pour » sauf pour le </w:t>
      </w:r>
      <w:r w:rsidR="00556872" w:rsidRPr="00556872">
        <w:rPr>
          <w:i/>
          <w:lang w:val="fr-BE"/>
        </w:rPr>
        <w:t>Sud-Ouest.</w:t>
      </w:r>
      <w:r w:rsidR="000B5862">
        <w:rPr>
          <w:lang w:val="fr-BE"/>
        </w:rPr>
        <w:t xml:space="preserve"> Enfin</w:t>
      </w:r>
      <w:r w:rsidR="001F36BA" w:rsidRPr="001F36BA">
        <w:rPr>
          <w:lang w:val="fr-BE"/>
        </w:rPr>
        <w:t xml:space="preserve">, </w:t>
      </w:r>
      <w:r w:rsidR="000B5862">
        <w:rPr>
          <w:lang w:val="fr-BE"/>
        </w:rPr>
        <w:t xml:space="preserve">« sur » ne présente une variété dans ses structures que pour </w:t>
      </w:r>
      <w:r w:rsidR="000B5862" w:rsidRPr="000B5862">
        <w:rPr>
          <w:i/>
          <w:lang w:val="fr-BE"/>
        </w:rPr>
        <w:t>Ouest-France</w:t>
      </w:r>
      <w:r w:rsidR="000B5862">
        <w:rPr>
          <w:lang w:val="fr-BE"/>
        </w:rPr>
        <w:t xml:space="preserve"> et </w:t>
      </w:r>
      <w:r w:rsidR="000B5862">
        <w:rPr>
          <w:i/>
          <w:lang w:val="fr-BE"/>
        </w:rPr>
        <w:t>L</w:t>
      </w:r>
      <w:r w:rsidR="000B5862" w:rsidRPr="000B5862">
        <w:rPr>
          <w:i/>
          <w:lang w:val="fr-BE"/>
        </w:rPr>
        <w:t>e Figaro</w:t>
      </w:r>
      <w:r w:rsidR="000B5862">
        <w:rPr>
          <w:lang w:val="fr-BE"/>
        </w:rPr>
        <w:t xml:space="preserve">. </w:t>
      </w:r>
      <w:r w:rsidR="00690EF9">
        <w:rPr>
          <w:lang w:val="fr-BE"/>
        </w:rPr>
        <w:t xml:space="preserve">La préposition « contre » ne paraît intéressante que pour deux sous-corpus : </w:t>
      </w:r>
      <w:r w:rsidR="00690EF9" w:rsidRPr="00690EF9">
        <w:rPr>
          <w:i/>
          <w:lang w:val="fr-BE"/>
        </w:rPr>
        <w:t>Le Figaro</w:t>
      </w:r>
      <w:r w:rsidR="00690EF9">
        <w:rPr>
          <w:lang w:val="fr-BE"/>
        </w:rPr>
        <w:t xml:space="preserve"> et </w:t>
      </w:r>
      <w:proofErr w:type="spellStart"/>
      <w:r w:rsidR="00690EF9" w:rsidRPr="00690EF9">
        <w:rPr>
          <w:i/>
          <w:lang w:val="fr-BE"/>
        </w:rPr>
        <w:t>Harlequin</w:t>
      </w:r>
      <w:proofErr w:type="spellEnd"/>
      <w:r w:rsidR="00690EF9">
        <w:rPr>
          <w:lang w:val="fr-BE"/>
        </w:rPr>
        <w:t>.</w:t>
      </w:r>
      <w:r w:rsidR="00413F55">
        <w:rPr>
          <w:lang w:val="fr-BE"/>
        </w:rPr>
        <w:t xml:space="preserve"> On y trouve les occurrences « bloc contre bloc</w:t>
      </w:r>
      <w:r w:rsidR="001F36BA" w:rsidRPr="001F36BA">
        <w:rPr>
          <w:lang w:val="fr-BE"/>
        </w:rPr>
        <w:t xml:space="preserve">, </w:t>
      </w:r>
      <w:r w:rsidR="00413F55">
        <w:rPr>
          <w:lang w:val="fr-BE"/>
        </w:rPr>
        <w:t>gel contre gel</w:t>
      </w:r>
      <w:r w:rsidR="001F36BA" w:rsidRPr="001F36BA">
        <w:rPr>
          <w:lang w:val="fr-BE"/>
        </w:rPr>
        <w:t xml:space="preserve">, </w:t>
      </w:r>
      <w:r w:rsidR="00413F55">
        <w:rPr>
          <w:lang w:val="fr-BE"/>
        </w:rPr>
        <w:t xml:space="preserve">projet </w:t>
      </w:r>
      <w:proofErr w:type="spellStart"/>
      <w:r w:rsidR="00413F55">
        <w:rPr>
          <w:lang w:val="fr-BE"/>
        </w:rPr>
        <w:t>contre projet</w:t>
      </w:r>
      <w:proofErr w:type="spellEnd"/>
      <w:r w:rsidR="00413F55">
        <w:rPr>
          <w:lang w:val="fr-BE"/>
        </w:rPr>
        <w:t xml:space="preserve"> » pour le journal et des expressions plus sensuelles pour </w:t>
      </w:r>
      <w:proofErr w:type="spellStart"/>
      <w:r w:rsidR="00413F55" w:rsidRPr="00D64D5E">
        <w:rPr>
          <w:i/>
          <w:lang w:val="fr-BE"/>
        </w:rPr>
        <w:t>Harlequin</w:t>
      </w:r>
      <w:proofErr w:type="spellEnd"/>
      <w:r w:rsidR="00413F55">
        <w:rPr>
          <w:lang w:val="fr-BE"/>
        </w:rPr>
        <w:t xml:space="preserve"> « peau contre peau</w:t>
      </w:r>
      <w:r w:rsidR="001F36BA" w:rsidRPr="001F36BA">
        <w:rPr>
          <w:lang w:val="fr-BE"/>
        </w:rPr>
        <w:t xml:space="preserve">, </w:t>
      </w:r>
      <w:r w:rsidR="00413F55">
        <w:rPr>
          <w:lang w:val="fr-BE"/>
        </w:rPr>
        <w:t xml:space="preserve">poitrine contre poitrine ». </w:t>
      </w:r>
    </w:p>
    <w:p w:rsidR="00877E08" w:rsidRPr="001A035C" w:rsidRDefault="006B5BD2" w:rsidP="001A035C">
      <w:pPr>
        <w:pStyle w:val="Paragraphedeliste"/>
        <w:numPr>
          <w:ilvl w:val="1"/>
          <w:numId w:val="1"/>
        </w:numPr>
        <w:spacing w:before="180" w:after="60"/>
        <w:ind w:left="0" w:firstLine="0"/>
        <w:jc w:val="both"/>
        <w:rPr>
          <w:b/>
          <w:i/>
          <w:lang w:val="fr-BE"/>
        </w:rPr>
      </w:pPr>
      <w:r w:rsidRPr="001A035C">
        <w:rPr>
          <w:b/>
          <w:i/>
          <w:lang w:val="fr-BE"/>
        </w:rPr>
        <w:t>Les e</w:t>
      </w:r>
      <w:r w:rsidR="00FC23A2" w:rsidRPr="001A035C">
        <w:rPr>
          <w:b/>
          <w:i/>
          <w:lang w:val="fr-BE"/>
        </w:rPr>
        <w:t>xpressions les plus fréquentes</w:t>
      </w:r>
    </w:p>
    <w:p w:rsidR="006B5BD2" w:rsidRDefault="007644D2" w:rsidP="001A035C">
      <w:pPr>
        <w:spacing w:before="120"/>
        <w:jc w:val="both"/>
        <w:rPr>
          <w:lang w:val="fr-BE"/>
        </w:rPr>
      </w:pPr>
      <w:r>
        <w:rPr>
          <w:lang w:val="fr-BE"/>
        </w:rPr>
        <w:t>C</w:t>
      </w:r>
      <w:r w:rsidR="00B9706C">
        <w:rPr>
          <w:lang w:val="fr-BE"/>
        </w:rPr>
        <w:t>’</w:t>
      </w:r>
      <w:r>
        <w:rPr>
          <w:lang w:val="fr-BE"/>
        </w:rPr>
        <w:t>est quand on observe le détail des structures réalisées en contexte q</w:t>
      </w:r>
      <w:r w:rsidR="001573E5">
        <w:rPr>
          <w:lang w:val="fr-BE"/>
        </w:rPr>
        <w:t>ue des spécificités génériques s</w:t>
      </w:r>
      <w:r w:rsidR="00B9706C">
        <w:rPr>
          <w:lang w:val="fr-BE"/>
        </w:rPr>
        <w:t>’</w:t>
      </w:r>
      <w:r w:rsidR="001573E5">
        <w:rPr>
          <w:lang w:val="fr-BE"/>
        </w:rPr>
        <w:t xml:space="preserve">affirment plus clairement. </w:t>
      </w:r>
      <w:r w:rsidR="001B1F38">
        <w:rPr>
          <w:lang w:val="fr-BE"/>
        </w:rPr>
        <w:t>On constate en effet que deux expressions ont la faveur des sous-corpus médiatiques : « tour à tour » et « cas par cas »</w:t>
      </w:r>
      <w:r w:rsidR="001F36BA" w:rsidRPr="001F36BA">
        <w:rPr>
          <w:lang w:val="fr-BE"/>
        </w:rPr>
        <w:t xml:space="preserve">, </w:t>
      </w:r>
      <w:r w:rsidR="001B1F38">
        <w:rPr>
          <w:lang w:val="fr-BE"/>
        </w:rPr>
        <w:t xml:space="preserve">la première pour </w:t>
      </w:r>
      <w:r w:rsidR="001B1F38" w:rsidRPr="001B1F38">
        <w:rPr>
          <w:i/>
          <w:lang w:val="fr-BE"/>
        </w:rPr>
        <w:t>L</w:t>
      </w:r>
      <w:r w:rsidR="00B9706C">
        <w:rPr>
          <w:i/>
          <w:lang w:val="fr-BE"/>
        </w:rPr>
        <w:t>’</w:t>
      </w:r>
      <w:r w:rsidR="001B1F38" w:rsidRPr="001B1F38">
        <w:rPr>
          <w:i/>
          <w:lang w:val="fr-BE"/>
        </w:rPr>
        <w:t>Est Républicain</w:t>
      </w:r>
      <w:r w:rsidR="001F36BA" w:rsidRPr="001F36BA">
        <w:rPr>
          <w:lang w:val="fr-BE"/>
        </w:rPr>
        <w:t xml:space="preserve">, </w:t>
      </w:r>
      <w:r w:rsidR="001B1F38" w:rsidRPr="001B1F38">
        <w:rPr>
          <w:i/>
          <w:lang w:val="fr-BE"/>
        </w:rPr>
        <w:t>Libération</w:t>
      </w:r>
      <w:r w:rsidR="001F36BA" w:rsidRPr="001F36BA">
        <w:rPr>
          <w:lang w:val="fr-BE"/>
        </w:rPr>
        <w:t xml:space="preserve">, </w:t>
      </w:r>
      <w:r w:rsidR="001B1F38" w:rsidRPr="001B1F38">
        <w:rPr>
          <w:i/>
          <w:lang w:val="fr-BE"/>
        </w:rPr>
        <w:t>Sud-Ouest</w:t>
      </w:r>
      <w:r w:rsidR="001F36BA" w:rsidRPr="001F36BA">
        <w:rPr>
          <w:lang w:val="fr-BE"/>
        </w:rPr>
        <w:t xml:space="preserve">, </w:t>
      </w:r>
      <w:r w:rsidR="001B1F38">
        <w:rPr>
          <w:lang w:val="fr-BE"/>
        </w:rPr>
        <w:t xml:space="preserve">la seconde pour </w:t>
      </w:r>
      <w:r w:rsidR="001B1F38" w:rsidRPr="001B1F38">
        <w:rPr>
          <w:i/>
          <w:lang w:val="fr-BE"/>
        </w:rPr>
        <w:t>Le Figaro</w:t>
      </w:r>
      <w:r w:rsidR="001F36BA" w:rsidRPr="001F36BA">
        <w:rPr>
          <w:lang w:val="fr-BE"/>
        </w:rPr>
        <w:t xml:space="preserve">, </w:t>
      </w:r>
      <w:r w:rsidR="001B1F38" w:rsidRPr="001B1F38">
        <w:rPr>
          <w:i/>
          <w:lang w:val="fr-BE"/>
        </w:rPr>
        <w:t>Le Monde</w:t>
      </w:r>
      <w:r w:rsidR="001F36BA" w:rsidRPr="001F36BA">
        <w:rPr>
          <w:lang w:val="fr-BE"/>
        </w:rPr>
        <w:t xml:space="preserve">, </w:t>
      </w:r>
      <w:r w:rsidR="001B1F38" w:rsidRPr="001B1F38">
        <w:rPr>
          <w:i/>
          <w:lang w:val="fr-BE"/>
        </w:rPr>
        <w:t>Ouest-France</w:t>
      </w:r>
      <w:r w:rsidR="001B1F38">
        <w:rPr>
          <w:lang w:val="fr-BE"/>
        </w:rPr>
        <w:t xml:space="preserve">. </w:t>
      </w:r>
      <w:r w:rsidR="00433C1E">
        <w:rPr>
          <w:lang w:val="fr-BE"/>
        </w:rPr>
        <w:t xml:space="preserve">On retrouve « tout à tour » en tête de liste pour le </w:t>
      </w:r>
      <w:r w:rsidR="00433C1E" w:rsidRPr="006F20D6">
        <w:rPr>
          <w:i/>
          <w:lang w:val="fr-BE"/>
        </w:rPr>
        <w:t>Roman policier</w:t>
      </w:r>
      <w:r w:rsidR="00433C1E">
        <w:rPr>
          <w:lang w:val="fr-BE"/>
        </w:rPr>
        <w:t xml:space="preserve"> tandis que </w:t>
      </w:r>
      <w:proofErr w:type="spellStart"/>
      <w:r w:rsidR="00433C1E" w:rsidRPr="00497CBB">
        <w:rPr>
          <w:i/>
          <w:lang w:val="fr-BE"/>
        </w:rPr>
        <w:t>Harlequin</w:t>
      </w:r>
      <w:proofErr w:type="spellEnd"/>
      <w:r w:rsidR="00433C1E" w:rsidRPr="00497CBB">
        <w:rPr>
          <w:i/>
          <w:lang w:val="fr-BE"/>
        </w:rPr>
        <w:t xml:space="preserve"> </w:t>
      </w:r>
      <w:r w:rsidR="00433C1E">
        <w:rPr>
          <w:lang w:val="fr-BE"/>
        </w:rPr>
        <w:t>préfère l</w:t>
      </w:r>
      <w:r w:rsidR="00B9706C">
        <w:rPr>
          <w:lang w:val="fr-BE"/>
        </w:rPr>
        <w:t>’</w:t>
      </w:r>
      <w:r w:rsidR="00433C1E">
        <w:rPr>
          <w:lang w:val="fr-BE"/>
        </w:rPr>
        <w:t xml:space="preserve">expression « tête à tête » et le </w:t>
      </w:r>
      <w:r w:rsidR="00433C1E" w:rsidRPr="00A62F1D">
        <w:rPr>
          <w:i/>
          <w:lang w:val="fr-BE"/>
        </w:rPr>
        <w:t>Roman sérieux</w:t>
      </w:r>
      <w:r w:rsidR="001F36BA" w:rsidRPr="001F36BA">
        <w:rPr>
          <w:lang w:val="fr-BE"/>
        </w:rPr>
        <w:t xml:space="preserve">, </w:t>
      </w:r>
      <w:r w:rsidR="00433C1E">
        <w:rPr>
          <w:lang w:val="fr-BE"/>
        </w:rPr>
        <w:t>de façon plus neutre</w:t>
      </w:r>
      <w:r w:rsidR="001F36BA" w:rsidRPr="001F36BA">
        <w:rPr>
          <w:lang w:val="fr-BE"/>
        </w:rPr>
        <w:t xml:space="preserve">, </w:t>
      </w:r>
      <w:r w:rsidR="00433C1E">
        <w:rPr>
          <w:lang w:val="fr-BE"/>
        </w:rPr>
        <w:t xml:space="preserve">« de temps en temps ». </w:t>
      </w:r>
    </w:p>
    <w:p w:rsidR="009556BC" w:rsidRDefault="00964228" w:rsidP="001A035C">
      <w:pPr>
        <w:spacing w:before="120"/>
        <w:jc w:val="both"/>
      </w:pPr>
      <w:r>
        <w:rPr>
          <w:lang w:val="fr-BE"/>
        </w:rPr>
        <w:t>Il avait été constaté</w:t>
      </w:r>
      <w:r w:rsidR="001F36BA" w:rsidRPr="001F36BA">
        <w:rPr>
          <w:lang w:val="fr-BE"/>
        </w:rPr>
        <w:t xml:space="preserve">, </w:t>
      </w:r>
      <w:r>
        <w:rPr>
          <w:lang w:val="fr-BE"/>
        </w:rPr>
        <w:t>lors de notre précédente étude</w:t>
      </w:r>
      <w:r w:rsidR="001F36BA" w:rsidRPr="001F36BA">
        <w:rPr>
          <w:lang w:val="fr-BE"/>
        </w:rPr>
        <w:t xml:space="preserve">, </w:t>
      </w:r>
      <w:r>
        <w:rPr>
          <w:lang w:val="fr-BE"/>
        </w:rPr>
        <w:t xml:space="preserve">que </w:t>
      </w:r>
      <w:r>
        <w:t>les prépositions sont</w:t>
      </w:r>
      <w:r w:rsidR="001F36BA" w:rsidRPr="001F36BA">
        <w:t xml:space="preserve">, </w:t>
      </w:r>
      <w:r>
        <w:t>pour la plupart</w:t>
      </w:r>
      <w:r w:rsidR="001F36BA" w:rsidRPr="001F36BA">
        <w:t xml:space="preserve">, </w:t>
      </w:r>
      <w:r>
        <w:t>polyvalentes et polysémiques. C</w:t>
      </w:r>
      <w:r w:rsidR="00B9706C">
        <w:t>’</w:t>
      </w:r>
      <w:r>
        <w:t>est le sens des substantifs environnants qui détermine le sens de la relation sémantique instaurée entre les noms et</w:t>
      </w:r>
      <w:r w:rsidR="001F36BA" w:rsidRPr="001F36BA">
        <w:t xml:space="preserve">, </w:t>
      </w:r>
      <w:r>
        <w:t>par conséquent</w:t>
      </w:r>
      <w:r w:rsidR="001F36BA" w:rsidRPr="001F36BA">
        <w:t xml:space="preserve">, </w:t>
      </w:r>
      <w:r>
        <w:t>le sens de l</w:t>
      </w:r>
      <w:r w:rsidR="00B9706C">
        <w:t>’</w:t>
      </w:r>
      <w:r>
        <w:t>expression.</w:t>
      </w:r>
      <w:r w:rsidR="009556BC">
        <w:t xml:space="preserve"> </w:t>
      </w:r>
    </w:p>
    <w:p w:rsidR="009556BC" w:rsidRDefault="009556BC" w:rsidP="00912710">
      <w:pPr>
        <w:spacing w:before="120"/>
        <w:jc w:val="both"/>
      </w:pPr>
      <w:r>
        <w:t>Une structure qui combine une même préposition avec des noms différents peut se charger de sens différents</w:t>
      </w:r>
      <w:r w:rsidR="001F36BA" w:rsidRPr="001F36BA">
        <w:t xml:space="preserve">, </w:t>
      </w:r>
      <w:r>
        <w:t>preuve que la préposition n</w:t>
      </w:r>
      <w:r w:rsidR="00B9706C">
        <w:t>’</w:t>
      </w:r>
      <w:r>
        <w:t>a pas un sens absolu mais toujours dépendant des combinaisons où elle entre. Son sens se module en interaction avec le substantif répété de part et d</w:t>
      </w:r>
      <w:r w:rsidR="00B9706C">
        <w:t>’</w:t>
      </w:r>
      <w:r>
        <w:t xml:space="preserve">autre. </w:t>
      </w:r>
    </w:p>
    <w:p w:rsidR="00EF6F9F" w:rsidRDefault="009556BC" w:rsidP="00912710">
      <w:pPr>
        <w:jc w:val="both"/>
      </w:pPr>
      <w:r>
        <w:t>De manière symétrique</w:t>
      </w:r>
      <w:r w:rsidR="001F36BA" w:rsidRPr="001F36BA">
        <w:t xml:space="preserve">, </w:t>
      </w:r>
      <w:r>
        <w:t xml:space="preserve">des substantifs identiques reliés par des prépositions différentes peuvent constituer une structure de même sens. Un même sémantisme est réalisé par plusieurs structures. </w:t>
      </w:r>
    </w:p>
    <w:p w:rsidR="00EF6F9F" w:rsidRDefault="00EF6F9F" w:rsidP="00912710">
      <w:pPr>
        <w:jc w:val="both"/>
      </w:pPr>
    </w:p>
    <w:p w:rsidR="00F4422B" w:rsidRDefault="00F4422B" w:rsidP="009556BC">
      <w:pPr>
        <w:ind w:firstLine="360"/>
        <w:jc w:val="both"/>
      </w:pPr>
      <w:r>
        <w:rPr>
          <w:noProof/>
          <w:lang w:eastAsia="fr-FR"/>
        </w:rPr>
        <w:drawing>
          <wp:inline distT="0" distB="0" distL="0" distR="0" wp14:anchorId="6C2CD076" wp14:editId="0E4638EE">
            <wp:extent cx="3561500" cy="2371090"/>
            <wp:effectExtent l="0" t="0" r="127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03501" cy="2465628"/>
                    </a:xfrm>
                    <a:prstGeom prst="rect">
                      <a:avLst/>
                    </a:prstGeom>
                    <a:noFill/>
                    <a:ln>
                      <a:noFill/>
                    </a:ln>
                  </pic:spPr>
                </pic:pic>
              </a:graphicData>
            </a:graphic>
          </wp:inline>
        </w:drawing>
      </w:r>
    </w:p>
    <w:p w:rsidR="005B39BC" w:rsidRDefault="005B39BC" w:rsidP="009556BC">
      <w:pPr>
        <w:ind w:firstLine="360"/>
        <w:jc w:val="both"/>
      </w:pPr>
    </w:p>
    <w:p w:rsidR="005B39BC" w:rsidRPr="00A014E2" w:rsidRDefault="005B39BC" w:rsidP="009556BC">
      <w:pPr>
        <w:ind w:firstLine="360"/>
        <w:jc w:val="both"/>
        <w:rPr>
          <w:i/>
          <w:sz w:val="20"/>
          <w:szCs w:val="20"/>
        </w:rPr>
      </w:pPr>
      <w:r w:rsidRPr="00A014E2">
        <w:rPr>
          <w:i/>
          <w:sz w:val="20"/>
          <w:szCs w:val="20"/>
        </w:rPr>
        <w:t>Figure 8</w:t>
      </w:r>
      <w:r w:rsidR="00E37BD1" w:rsidRPr="00A014E2">
        <w:rPr>
          <w:i/>
          <w:sz w:val="20"/>
          <w:szCs w:val="20"/>
        </w:rPr>
        <w:t>- La distribution des structures les plus fréquentes</w:t>
      </w:r>
    </w:p>
    <w:p w:rsidR="005E2EE0" w:rsidRPr="00A25632" w:rsidRDefault="005E2EE0" w:rsidP="001A035C">
      <w:pPr>
        <w:jc w:val="both"/>
      </w:pPr>
      <w:r w:rsidRPr="00A25632">
        <w:lastRenderedPageBreak/>
        <w:t>Cette analyse arborée permet d’obtenir une classification des sous-corpus selon l’emploi qu’ils font des 39 structures l</w:t>
      </w:r>
      <w:r w:rsidR="007C4362" w:rsidRPr="00A25632">
        <w:t>es plus fréquentes, celles dont</w:t>
      </w:r>
      <w:r w:rsidRPr="00A25632">
        <w:t xml:space="preserve"> la fréquence absolue dépasse 7. </w:t>
      </w:r>
      <w:r w:rsidR="007C4362" w:rsidRPr="00A25632">
        <w:t xml:space="preserve">Ce graphique a l’avantage de permettre le regroupement </w:t>
      </w:r>
      <w:r w:rsidR="00A25632">
        <w:t>des trois corpus de romans mais les traits bleus sont longs et la distance du nœud à la racine est courte, ce qui veut dire que les proximité</w:t>
      </w:r>
      <w:r w:rsidR="003D3328">
        <w:t>s</w:t>
      </w:r>
      <w:r w:rsidR="00A25632">
        <w:t xml:space="preserve"> des individus regroupés </w:t>
      </w:r>
      <w:r w:rsidR="00482BF9">
        <w:t>son</w:t>
      </w:r>
      <w:r w:rsidR="00A25632">
        <w:t>t assez faible</w:t>
      </w:r>
      <w:r w:rsidR="00482BF9">
        <w:t>s</w:t>
      </w:r>
      <w:r w:rsidR="00A25632">
        <w:t xml:space="preserve">. </w:t>
      </w:r>
    </w:p>
    <w:p w:rsidR="00A25632" w:rsidRPr="00A25632" w:rsidRDefault="00A25632" w:rsidP="009556BC">
      <w:pPr>
        <w:ind w:firstLine="360"/>
        <w:jc w:val="both"/>
      </w:pPr>
    </w:p>
    <w:p w:rsidR="00FC23A2" w:rsidRDefault="003B2D67" w:rsidP="009556BC">
      <w:pPr>
        <w:ind w:firstLine="360"/>
        <w:jc w:val="both"/>
      </w:pPr>
      <w:r>
        <w:rPr>
          <w:noProof/>
          <w:lang w:eastAsia="fr-FR"/>
        </w:rPr>
        <w:drawing>
          <wp:inline distT="0" distB="0" distL="0" distR="0">
            <wp:extent cx="5757545" cy="38862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7545" cy="3886200"/>
                    </a:xfrm>
                    <a:prstGeom prst="rect">
                      <a:avLst/>
                    </a:prstGeom>
                    <a:noFill/>
                    <a:ln>
                      <a:noFill/>
                    </a:ln>
                  </pic:spPr>
                </pic:pic>
              </a:graphicData>
            </a:graphic>
          </wp:inline>
        </w:drawing>
      </w:r>
    </w:p>
    <w:p w:rsidR="00A35DC6" w:rsidRPr="00FC23A2" w:rsidRDefault="00FC23A2" w:rsidP="009556BC">
      <w:pPr>
        <w:ind w:firstLine="360"/>
        <w:jc w:val="both"/>
        <w:rPr>
          <w:i/>
        </w:rPr>
      </w:pPr>
      <w:r w:rsidRPr="00680882">
        <w:rPr>
          <w:i/>
        </w:rPr>
        <w:t>Figure 8</w:t>
      </w:r>
      <w:r w:rsidR="00216724" w:rsidRPr="00680882">
        <w:rPr>
          <w:i/>
        </w:rPr>
        <w:t>- La distribution des structures les plus fréquentes explicitées</w:t>
      </w:r>
      <w:r w:rsidR="00310D75">
        <w:rPr>
          <w:i/>
        </w:rPr>
        <w:t xml:space="preserve"> </w:t>
      </w:r>
    </w:p>
    <w:p w:rsidR="00A35DC6" w:rsidRDefault="00A35DC6" w:rsidP="009556BC">
      <w:pPr>
        <w:ind w:firstLine="360"/>
        <w:jc w:val="both"/>
      </w:pPr>
    </w:p>
    <w:p w:rsidR="00A25632" w:rsidRDefault="00B76B37" w:rsidP="00A25632">
      <w:pPr>
        <w:suppressAutoHyphens w:val="0"/>
        <w:jc w:val="both"/>
      </w:pPr>
      <w:r>
        <w:t xml:space="preserve">Cette AFC propose la visualisation des 39 structures les plus fréquentes et leur proximité avec les sous-corpus. </w:t>
      </w:r>
      <w:r w:rsidR="00981489">
        <w:t>La dist</w:t>
      </w:r>
      <w:r w:rsidR="00BB7FF1">
        <w:t xml:space="preserve">ribution est assez claire : le </w:t>
      </w:r>
      <w:r w:rsidR="00BB7FF1" w:rsidRPr="00A014E2">
        <w:rPr>
          <w:i/>
        </w:rPr>
        <w:t>R</w:t>
      </w:r>
      <w:r w:rsidR="00981489" w:rsidRPr="00A014E2">
        <w:rPr>
          <w:i/>
        </w:rPr>
        <w:t>oman sérieux</w:t>
      </w:r>
      <w:r w:rsidR="00981489">
        <w:t xml:space="preserve"> se trouve isolé et proche d’expressions comme « de temps en temps » ou « cigarette sur cigarette », tandis que la collection </w:t>
      </w:r>
      <w:proofErr w:type="spellStart"/>
      <w:r w:rsidR="00981489" w:rsidRPr="006447FF">
        <w:rPr>
          <w:i/>
        </w:rPr>
        <w:t>Harlequin</w:t>
      </w:r>
      <w:proofErr w:type="spellEnd"/>
      <w:r w:rsidR="00981489">
        <w:t xml:space="preserve"> est projetée aux antipodes, dans le quadrant nord-est, proche de «</w:t>
      </w:r>
      <w:r w:rsidR="00A25632">
        <w:t> de</w:t>
      </w:r>
      <w:r w:rsidR="00BB7FF1">
        <w:t xml:space="preserve"> pièce en pièce ». Le </w:t>
      </w:r>
      <w:r w:rsidR="00BB7FF1" w:rsidRPr="00A014E2">
        <w:rPr>
          <w:i/>
        </w:rPr>
        <w:t>R</w:t>
      </w:r>
      <w:r w:rsidR="00981489" w:rsidRPr="00A014E2">
        <w:rPr>
          <w:i/>
        </w:rPr>
        <w:t>oman policier</w:t>
      </w:r>
      <w:r w:rsidR="00981489">
        <w:t xml:space="preserve"> assure, quant à lui, la transition entre ce type de roman sentimental et l’ensemble médiatique, concentré dans le quadrant sud-est.</w:t>
      </w:r>
      <w:r w:rsidR="00145623">
        <w:t xml:space="preserve"> Ces corpus de presse partagent donc bien des points communs, tandis que les romans divergent </w:t>
      </w:r>
      <w:r w:rsidR="00482BF9">
        <w:t xml:space="preserve">et </w:t>
      </w:r>
      <w:r w:rsidR="00145623">
        <w:t>se liguent contre la presse.</w:t>
      </w:r>
      <w:r w:rsidR="00981489">
        <w:t xml:space="preserve"> </w:t>
      </w:r>
      <w:r w:rsidR="00131E4C">
        <w:t>Ce sont des distinctions qui sera</w:t>
      </w:r>
      <w:r w:rsidR="002603A5">
        <w:t>ient à affiner qui concernent le contenu lexical des expressions.</w:t>
      </w:r>
      <w:r w:rsidR="00A25632">
        <w:t xml:space="preserve"> </w:t>
      </w:r>
    </w:p>
    <w:p w:rsidR="00C52FE0" w:rsidRPr="00C0146B" w:rsidRDefault="00C52FE0" w:rsidP="0030742C">
      <w:pPr>
        <w:spacing w:before="240" w:after="80"/>
        <w:jc w:val="both"/>
        <w:rPr>
          <w:b/>
          <w:sz w:val="28"/>
          <w:szCs w:val="28"/>
          <w:lang w:val="fr-BE"/>
        </w:rPr>
      </w:pPr>
      <w:r w:rsidRPr="00C0146B">
        <w:rPr>
          <w:b/>
          <w:sz w:val="28"/>
          <w:szCs w:val="28"/>
          <w:lang w:val="fr-BE"/>
        </w:rPr>
        <w:t>Conclusion</w:t>
      </w:r>
    </w:p>
    <w:p w:rsidR="00C52FE0" w:rsidRDefault="00C52FE0" w:rsidP="001A035C">
      <w:pPr>
        <w:jc w:val="both"/>
        <w:rPr>
          <w:lang w:val="fr-BE"/>
        </w:rPr>
      </w:pPr>
      <w:r>
        <w:rPr>
          <w:lang w:val="fr-BE"/>
        </w:rPr>
        <w:t>Des conclusions peuvent être tirées de l</w:t>
      </w:r>
      <w:r w:rsidR="00B9706C">
        <w:rPr>
          <w:lang w:val="fr-BE"/>
        </w:rPr>
        <w:t>’</w:t>
      </w:r>
      <w:r>
        <w:rPr>
          <w:lang w:val="fr-BE"/>
        </w:rPr>
        <w:t>observation des résultats statistiques. Des tendances en langue se dégagent assez nettement sur l</w:t>
      </w:r>
      <w:r w:rsidR="00B9706C">
        <w:rPr>
          <w:lang w:val="fr-BE"/>
        </w:rPr>
        <w:t>’</w:t>
      </w:r>
      <w:r>
        <w:rPr>
          <w:lang w:val="fr-BE"/>
        </w:rPr>
        <w:t xml:space="preserve">emploi des prépositions dans les structures </w:t>
      </w:r>
      <w:proofErr w:type="spellStart"/>
      <w:r>
        <w:rPr>
          <w:lang w:val="fr-BE"/>
        </w:rPr>
        <w:t>NpN</w:t>
      </w:r>
      <w:proofErr w:type="spellEnd"/>
      <w:r>
        <w:rPr>
          <w:lang w:val="fr-BE"/>
        </w:rPr>
        <w:t xml:space="preserve">. </w:t>
      </w:r>
    </w:p>
    <w:p w:rsidR="007E7BAB" w:rsidRDefault="00B3691B" w:rsidP="001A035C">
      <w:pPr>
        <w:spacing w:before="120"/>
        <w:jc w:val="both"/>
        <w:rPr>
          <w:lang w:val="fr-BE"/>
        </w:rPr>
      </w:pPr>
      <w:r>
        <w:rPr>
          <w:lang w:val="fr-BE"/>
        </w:rPr>
        <w:t>Les observations portent d</w:t>
      </w:r>
      <w:r w:rsidR="00B9706C">
        <w:rPr>
          <w:lang w:val="fr-BE"/>
        </w:rPr>
        <w:t>’</w:t>
      </w:r>
      <w:r>
        <w:rPr>
          <w:lang w:val="fr-BE"/>
        </w:rPr>
        <w:t>abord sur</w:t>
      </w:r>
      <w:r w:rsidR="007E7BAB">
        <w:rPr>
          <w:lang w:val="fr-BE"/>
        </w:rPr>
        <w:t xml:space="preserve"> la fréquence des prépositions dans ce</w:t>
      </w:r>
      <w:r w:rsidR="00F97997">
        <w:rPr>
          <w:lang w:val="fr-BE"/>
        </w:rPr>
        <w:t>s</w:t>
      </w:r>
      <w:r w:rsidR="006447FF">
        <w:rPr>
          <w:lang w:val="fr-BE"/>
        </w:rPr>
        <w:t xml:space="preserve"> structures : u</w:t>
      </w:r>
      <w:r w:rsidR="007E7BAB">
        <w:rPr>
          <w:lang w:val="fr-BE"/>
        </w:rPr>
        <w:t>ne hiérarchie se dessine qui donne la primauté à la préposition « à » et l</w:t>
      </w:r>
      <w:r w:rsidR="00B9706C">
        <w:rPr>
          <w:lang w:val="fr-BE"/>
        </w:rPr>
        <w:t>’</w:t>
      </w:r>
      <w:r w:rsidR="007E7BAB">
        <w:rPr>
          <w:lang w:val="fr-BE"/>
        </w:rPr>
        <w:t>emploi le plus faible à la préposition « contre »</w:t>
      </w:r>
      <w:r w:rsidR="001F36BA" w:rsidRPr="001F36BA">
        <w:rPr>
          <w:lang w:val="fr-BE"/>
        </w:rPr>
        <w:t xml:space="preserve">, </w:t>
      </w:r>
      <w:r w:rsidR="006F40EB">
        <w:rPr>
          <w:lang w:val="fr-BE"/>
        </w:rPr>
        <w:t>en échelonnant entre ces deux pôles l</w:t>
      </w:r>
      <w:r w:rsidR="00B9706C">
        <w:rPr>
          <w:lang w:val="fr-BE"/>
        </w:rPr>
        <w:t>’</w:t>
      </w:r>
      <w:r w:rsidR="006F40EB">
        <w:rPr>
          <w:lang w:val="fr-BE"/>
        </w:rPr>
        <w:t>emploi de « en</w:t>
      </w:r>
      <w:r w:rsidR="001F36BA" w:rsidRPr="001F36BA">
        <w:rPr>
          <w:lang w:val="fr-BE"/>
        </w:rPr>
        <w:t xml:space="preserve">, </w:t>
      </w:r>
      <w:r w:rsidR="006F40EB">
        <w:rPr>
          <w:lang w:val="fr-BE"/>
        </w:rPr>
        <w:t>pour</w:t>
      </w:r>
      <w:r w:rsidR="001F36BA" w:rsidRPr="001F36BA">
        <w:rPr>
          <w:lang w:val="fr-BE"/>
        </w:rPr>
        <w:t xml:space="preserve">, </w:t>
      </w:r>
      <w:r w:rsidR="006F40EB">
        <w:rPr>
          <w:lang w:val="fr-BE"/>
        </w:rPr>
        <w:t>sur</w:t>
      </w:r>
      <w:r w:rsidR="001F36BA" w:rsidRPr="001F36BA">
        <w:rPr>
          <w:lang w:val="fr-BE"/>
        </w:rPr>
        <w:t xml:space="preserve">, </w:t>
      </w:r>
      <w:r w:rsidR="006F40EB">
        <w:rPr>
          <w:lang w:val="fr-BE"/>
        </w:rPr>
        <w:t>par</w:t>
      </w:r>
      <w:r w:rsidR="001F36BA" w:rsidRPr="001F36BA">
        <w:rPr>
          <w:lang w:val="fr-BE"/>
        </w:rPr>
        <w:t xml:space="preserve">, </w:t>
      </w:r>
      <w:r w:rsidR="006F40EB">
        <w:rPr>
          <w:lang w:val="fr-BE"/>
        </w:rPr>
        <w:t>après ». Lors de la précédente étude</w:t>
      </w:r>
      <w:r w:rsidR="001F36BA" w:rsidRPr="001F36BA">
        <w:rPr>
          <w:lang w:val="fr-BE"/>
        </w:rPr>
        <w:t xml:space="preserve">, </w:t>
      </w:r>
      <w:r w:rsidR="006F40EB">
        <w:rPr>
          <w:lang w:val="fr-BE"/>
        </w:rPr>
        <w:t>c</w:t>
      </w:r>
      <w:r w:rsidR="00B9706C">
        <w:rPr>
          <w:lang w:val="fr-BE"/>
        </w:rPr>
        <w:t>’</w:t>
      </w:r>
      <w:r w:rsidR="006F40EB">
        <w:rPr>
          <w:lang w:val="fr-BE"/>
        </w:rPr>
        <w:t xml:space="preserve">est le même constat </w:t>
      </w:r>
      <w:r w:rsidR="00957033">
        <w:rPr>
          <w:lang w:val="fr-BE"/>
        </w:rPr>
        <w:t>du privilège quantitatif attribué à la préposition « à »</w:t>
      </w:r>
      <w:r w:rsidR="00070337">
        <w:rPr>
          <w:lang w:val="fr-BE"/>
        </w:rPr>
        <w:t xml:space="preserve"> qui avait été constaté de même qu</w:t>
      </w:r>
      <w:r w:rsidR="00482BF9">
        <w:rPr>
          <w:lang w:val="fr-BE"/>
        </w:rPr>
        <w:t>’</w:t>
      </w:r>
      <w:r w:rsidR="00070337">
        <w:rPr>
          <w:lang w:val="fr-BE"/>
        </w:rPr>
        <w:t>exactement la même échelle ordonnée des prépositions qui avait été observée.</w:t>
      </w:r>
    </w:p>
    <w:p w:rsidR="00B3691B" w:rsidRDefault="00BA375B" w:rsidP="001A035C">
      <w:pPr>
        <w:spacing w:before="120"/>
        <w:jc w:val="both"/>
        <w:rPr>
          <w:lang w:val="fr-BE"/>
        </w:rPr>
      </w:pPr>
      <w:r>
        <w:rPr>
          <w:lang w:val="fr-BE"/>
        </w:rPr>
        <w:lastRenderedPageBreak/>
        <w:t>C</w:t>
      </w:r>
      <w:r w:rsidR="00B9706C">
        <w:rPr>
          <w:lang w:val="fr-BE"/>
        </w:rPr>
        <w:t>’</w:t>
      </w:r>
      <w:r>
        <w:rPr>
          <w:lang w:val="fr-BE"/>
        </w:rPr>
        <w:t>est aussi la productivité des structures qui peut être commentée : cette productivité est inverse de la fréquence de la préposition dans ces structures. Les résultats obtenus à partir de l</w:t>
      </w:r>
      <w:r w:rsidR="00B9706C">
        <w:rPr>
          <w:lang w:val="fr-BE"/>
        </w:rPr>
        <w:t>’</w:t>
      </w:r>
      <w:r>
        <w:rPr>
          <w:lang w:val="fr-BE"/>
        </w:rPr>
        <w:t>extrait de</w:t>
      </w:r>
      <w:r w:rsidR="00AE29D9">
        <w:rPr>
          <w:lang w:val="fr-BE"/>
        </w:rPr>
        <w:t xml:space="preserve"> </w:t>
      </w:r>
      <w:proofErr w:type="spellStart"/>
      <w:r w:rsidRPr="000E314A">
        <w:rPr>
          <w:i/>
          <w:lang w:val="fr-BE"/>
        </w:rPr>
        <w:t>Frantext</w:t>
      </w:r>
      <w:proofErr w:type="spellEnd"/>
      <w:r w:rsidRPr="000E314A">
        <w:rPr>
          <w:i/>
          <w:lang w:val="fr-BE"/>
        </w:rPr>
        <w:t xml:space="preserve"> </w:t>
      </w:r>
      <w:r>
        <w:rPr>
          <w:lang w:val="fr-BE"/>
        </w:rPr>
        <w:t>concordent avec les résul</w:t>
      </w:r>
      <w:r w:rsidR="001E5D53">
        <w:rPr>
          <w:lang w:val="fr-BE"/>
        </w:rPr>
        <w:t>tats de la présente étude et</w:t>
      </w:r>
      <w:r>
        <w:rPr>
          <w:lang w:val="fr-BE"/>
        </w:rPr>
        <w:t xml:space="preserve"> </w:t>
      </w:r>
      <w:r w:rsidR="00433263">
        <w:rPr>
          <w:lang w:val="fr-BE"/>
        </w:rPr>
        <w:t xml:space="preserve">en </w:t>
      </w:r>
      <w:r>
        <w:rPr>
          <w:lang w:val="fr-BE"/>
        </w:rPr>
        <w:t>confortent par conséquent</w:t>
      </w:r>
      <w:r w:rsidR="001E5D53">
        <w:rPr>
          <w:lang w:val="fr-BE"/>
        </w:rPr>
        <w:t xml:space="preserve"> les conclusions linguistiques</w:t>
      </w:r>
      <w:r>
        <w:rPr>
          <w:lang w:val="fr-BE"/>
        </w:rPr>
        <w:t>.</w:t>
      </w:r>
      <w:r w:rsidR="00433263">
        <w:rPr>
          <w:lang w:val="fr-BE"/>
        </w:rPr>
        <w:t xml:space="preserve"> </w:t>
      </w:r>
      <w:r w:rsidR="00215E9B">
        <w:rPr>
          <w:lang w:val="fr-BE"/>
        </w:rPr>
        <w:t>« Après » et « en » dans l</w:t>
      </w:r>
      <w:r w:rsidR="00B9706C">
        <w:rPr>
          <w:lang w:val="fr-BE"/>
        </w:rPr>
        <w:t>’</w:t>
      </w:r>
      <w:r w:rsidR="00215E9B">
        <w:rPr>
          <w:lang w:val="fr-BE"/>
        </w:rPr>
        <w:t>expression « de…en » sont deux prépositions qui présentent un degré de lexicalisation moindre appuyé par un éventail large de substantifs de part et d</w:t>
      </w:r>
      <w:r w:rsidR="00B9706C">
        <w:rPr>
          <w:lang w:val="fr-BE"/>
        </w:rPr>
        <w:t>’</w:t>
      </w:r>
      <w:r w:rsidR="00215E9B">
        <w:rPr>
          <w:lang w:val="fr-BE"/>
        </w:rPr>
        <w:t>autre de la préposition. En revanche</w:t>
      </w:r>
      <w:r w:rsidR="001F36BA" w:rsidRPr="001F36BA">
        <w:rPr>
          <w:lang w:val="fr-BE"/>
        </w:rPr>
        <w:t xml:space="preserve">, </w:t>
      </w:r>
      <w:r w:rsidR="00215E9B">
        <w:rPr>
          <w:lang w:val="fr-BE"/>
        </w:rPr>
        <w:t>« contre » s</w:t>
      </w:r>
      <w:r w:rsidR="00B9706C">
        <w:rPr>
          <w:lang w:val="fr-BE"/>
        </w:rPr>
        <w:t>’</w:t>
      </w:r>
      <w:r w:rsidR="00215E9B">
        <w:rPr>
          <w:lang w:val="fr-BE"/>
        </w:rPr>
        <w:t xml:space="preserve">était révélée une préposition également productive dans le corpus littéraire extrait de </w:t>
      </w:r>
      <w:proofErr w:type="spellStart"/>
      <w:r w:rsidR="00215E9B" w:rsidRPr="00215E9B">
        <w:rPr>
          <w:i/>
          <w:lang w:val="fr-BE"/>
        </w:rPr>
        <w:t>Frantext</w:t>
      </w:r>
      <w:proofErr w:type="spellEnd"/>
      <w:r w:rsidR="00215E9B">
        <w:rPr>
          <w:lang w:val="fr-BE"/>
        </w:rPr>
        <w:t> ; cela n</w:t>
      </w:r>
      <w:r w:rsidR="00B9706C">
        <w:rPr>
          <w:lang w:val="fr-BE"/>
        </w:rPr>
        <w:t>’</w:t>
      </w:r>
      <w:r w:rsidR="00215E9B">
        <w:rPr>
          <w:lang w:val="fr-BE"/>
        </w:rPr>
        <w:t xml:space="preserve">est confirmé que par la collection </w:t>
      </w:r>
      <w:proofErr w:type="spellStart"/>
      <w:r w:rsidR="00215E9B" w:rsidRPr="00215E9B">
        <w:rPr>
          <w:i/>
          <w:lang w:val="fr-BE"/>
        </w:rPr>
        <w:t>Harlequin</w:t>
      </w:r>
      <w:proofErr w:type="spellEnd"/>
      <w:r w:rsidR="00215E9B">
        <w:rPr>
          <w:lang w:val="fr-BE"/>
        </w:rPr>
        <w:t xml:space="preserve"> dans le corpus actuel. </w:t>
      </w:r>
      <w:r w:rsidR="00EC0867">
        <w:rPr>
          <w:lang w:val="fr-BE"/>
        </w:rPr>
        <w:t>La tendance à la lexicalisation est manifeste pour les prépositions « pour » (avec l</w:t>
      </w:r>
      <w:r w:rsidR="00B9706C">
        <w:rPr>
          <w:lang w:val="fr-BE"/>
        </w:rPr>
        <w:t>’</w:t>
      </w:r>
      <w:r w:rsidR="00EC0867">
        <w:rPr>
          <w:lang w:val="fr-BE"/>
        </w:rPr>
        <w:t xml:space="preserve">exception du </w:t>
      </w:r>
      <w:r w:rsidR="00EC0867" w:rsidRPr="00EC0867">
        <w:rPr>
          <w:i/>
          <w:lang w:val="fr-BE"/>
        </w:rPr>
        <w:t>Sud-Ouest</w:t>
      </w:r>
      <w:r w:rsidR="00EC0867">
        <w:rPr>
          <w:lang w:val="fr-BE"/>
        </w:rPr>
        <w:t>)</w:t>
      </w:r>
      <w:r w:rsidR="001F36BA" w:rsidRPr="001F36BA">
        <w:rPr>
          <w:lang w:val="fr-BE"/>
        </w:rPr>
        <w:t xml:space="preserve">, </w:t>
      </w:r>
      <w:r w:rsidR="00EC0867">
        <w:rPr>
          <w:lang w:val="fr-BE"/>
        </w:rPr>
        <w:t xml:space="preserve">« sur » (sauf </w:t>
      </w:r>
      <w:r w:rsidR="00EC0867" w:rsidRPr="00EC0867">
        <w:rPr>
          <w:i/>
          <w:lang w:val="fr-BE"/>
        </w:rPr>
        <w:t>Ouest-France</w:t>
      </w:r>
      <w:r w:rsidR="00EC0867">
        <w:rPr>
          <w:lang w:val="fr-BE"/>
        </w:rPr>
        <w:t xml:space="preserve"> et </w:t>
      </w:r>
      <w:r w:rsidR="00EC0867" w:rsidRPr="00EC0867">
        <w:rPr>
          <w:i/>
          <w:lang w:val="fr-BE"/>
        </w:rPr>
        <w:t>Le Figaro</w:t>
      </w:r>
      <w:r w:rsidR="00EC0867">
        <w:rPr>
          <w:lang w:val="fr-BE"/>
        </w:rPr>
        <w:t>)</w:t>
      </w:r>
      <w:r w:rsidR="001F36BA" w:rsidRPr="001F36BA">
        <w:rPr>
          <w:lang w:val="fr-BE"/>
        </w:rPr>
        <w:t xml:space="preserve">, </w:t>
      </w:r>
      <w:r w:rsidR="00EC0867">
        <w:rPr>
          <w:lang w:val="fr-BE"/>
        </w:rPr>
        <w:t xml:space="preserve">« contre » (sauf </w:t>
      </w:r>
      <w:r w:rsidR="00EC0867">
        <w:rPr>
          <w:i/>
          <w:lang w:val="fr-BE"/>
        </w:rPr>
        <w:t>L</w:t>
      </w:r>
      <w:r w:rsidR="00EC0867" w:rsidRPr="00EC0867">
        <w:rPr>
          <w:i/>
          <w:lang w:val="fr-BE"/>
        </w:rPr>
        <w:t>e Figaro</w:t>
      </w:r>
      <w:r w:rsidR="00EC0867">
        <w:rPr>
          <w:lang w:val="fr-BE"/>
        </w:rPr>
        <w:t xml:space="preserve"> et </w:t>
      </w:r>
      <w:proofErr w:type="spellStart"/>
      <w:r w:rsidR="00EC0867" w:rsidRPr="00EC0867">
        <w:rPr>
          <w:i/>
          <w:lang w:val="fr-BE"/>
        </w:rPr>
        <w:t>Harlequin</w:t>
      </w:r>
      <w:proofErr w:type="spellEnd"/>
      <w:r w:rsidR="00EC0867" w:rsidRPr="00EC0867">
        <w:rPr>
          <w:i/>
          <w:lang w:val="fr-BE"/>
        </w:rPr>
        <w:t>).</w:t>
      </w:r>
      <w:r w:rsidR="00EC0867">
        <w:rPr>
          <w:lang w:val="fr-BE"/>
        </w:rPr>
        <w:t xml:space="preserve"> </w:t>
      </w:r>
    </w:p>
    <w:p w:rsidR="00F97997" w:rsidRDefault="00C62A6F" w:rsidP="00FD1B9F">
      <w:pPr>
        <w:jc w:val="both"/>
        <w:rPr>
          <w:lang w:val="fr-BE"/>
        </w:rPr>
      </w:pPr>
      <w:r>
        <w:rPr>
          <w:lang w:val="fr-BE"/>
        </w:rPr>
        <w:t>Les tendances génériques qu</w:t>
      </w:r>
      <w:r w:rsidR="00B9706C">
        <w:rPr>
          <w:lang w:val="fr-BE"/>
        </w:rPr>
        <w:t>’</w:t>
      </w:r>
      <w:r>
        <w:rPr>
          <w:lang w:val="fr-BE"/>
        </w:rPr>
        <w:t>on aurait aimé voir se dessiner avec plus de netteté ne sont pas clairement marquées</w:t>
      </w:r>
      <w:r w:rsidR="00F169F1">
        <w:rPr>
          <w:lang w:val="fr-BE"/>
        </w:rPr>
        <w:t xml:space="preserve"> sur le plan linguistique</w:t>
      </w:r>
      <w:r>
        <w:rPr>
          <w:lang w:val="fr-BE"/>
        </w:rPr>
        <w:t xml:space="preserve">. On constate en particulier un </w:t>
      </w:r>
      <w:proofErr w:type="spellStart"/>
      <w:r>
        <w:rPr>
          <w:lang w:val="fr-BE"/>
        </w:rPr>
        <w:t>sur-emploi</w:t>
      </w:r>
      <w:proofErr w:type="spellEnd"/>
      <w:r>
        <w:rPr>
          <w:lang w:val="fr-BE"/>
        </w:rPr>
        <w:t xml:space="preserve"> dans le corpus médiatique de « de…à »</w:t>
      </w:r>
      <w:r w:rsidR="00DE52A1">
        <w:rPr>
          <w:lang w:val="fr-BE"/>
        </w:rPr>
        <w:t xml:space="preserve"> (surtout dans </w:t>
      </w:r>
      <w:r w:rsidR="00DE52A1" w:rsidRPr="00B830A7">
        <w:rPr>
          <w:i/>
          <w:lang w:val="fr-BE"/>
        </w:rPr>
        <w:t>L</w:t>
      </w:r>
      <w:r w:rsidR="00B9706C" w:rsidRPr="00B830A7">
        <w:rPr>
          <w:i/>
          <w:lang w:val="fr-BE"/>
        </w:rPr>
        <w:t>’</w:t>
      </w:r>
      <w:r w:rsidR="00D52757" w:rsidRPr="00B830A7">
        <w:rPr>
          <w:i/>
          <w:lang w:val="fr-BE"/>
        </w:rPr>
        <w:t>E</w:t>
      </w:r>
      <w:r w:rsidR="00D52757" w:rsidRPr="00D52757">
        <w:rPr>
          <w:i/>
          <w:lang w:val="fr-BE"/>
        </w:rPr>
        <w:t>st Républicain</w:t>
      </w:r>
      <w:r w:rsidR="001F36BA" w:rsidRPr="001F36BA">
        <w:rPr>
          <w:lang w:val="fr-BE"/>
        </w:rPr>
        <w:t xml:space="preserve">, </w:t>
      </w:r>
      <w:r w:rsidR="00D52757" w:rsidRPr="00D52757">
        <w:rPr>
          <w:i/>
          <w:lang w:val="fr-BE"/>
        </w:rPr>
        <w:t>Libération</w:t>
      </w:r>
      <w:r w:rsidR="00D52757">
        <w:rPr>
          <w:lang w:val="fr-BE"/>
        </w:rPr>
        <w:t xml:space="preserve"> et </w:t>
      </w:r>
      <w:r w:rsidR="00D52757" w:rsidRPr="00D52757">
        <w:rPr>
          <w:i/>
          <w:lang w:val="fr-BE"/>
        </w:rPr>
        <w:t>Le Monde</w:t>
      </w:r>
      <w:r w:rsidR="00D52757">
        <w:rPr>
          <w:lang w:val="fr-BE"/>
        </w:rPr>
        <w:t>)</w:t>
      </w:r>
      <w:r w:rsidR="001F36BA" w:rsidRPr="001F36BA">
        <w:rPr>
          <w:lang w:val="fr-BE"/>
        </w:rPr>
        <w:t xml:space="preserve">, </w:t>
      </w:r>
      <w:r>
        <w:rPr>
          <w:lang w:val="fr-BE"/>
        </w:rPr>
        <w:t>« par »</w:t>
      </w:r>
      <w:r w:rsidR="001F36BA" w:rsidRPr="001F36BA">
        <w:rPr>
          <w:lang w:val="fr-BE"/>
        </w:rPr>
        <w:t xml:space="preserve">, </w:t>
      </w:r>
      <w:r>
        <w:rPr>
          <w:lang w:val="fr-BE"/>
        </w:rPr>
        <w:t>« sur » et dans l</w:t>
      </w:r>
      <w:r w:rsidR="00B9706C">
        <w:rPr>
          <w:lang w:val="fr-BE"/>
        </w:rPr>
        <w:t>’</w:t>
      </w:r>
      <w:r>
        <w:rPr>
          <w:lang w:val="fr-BE"/>
        </w:rPr>
        <w:t>ensemble fiction de « de…en »</w:t>
      </w:r>
      <w:r w:rsidR="001F36BA" w:rsidRPr="001F36BA">
        <w:rPr>
          <w:lang w:val="fr-BE"/>
        </w:rPr>
        <w:t xml:space="preserve">, </w:t>
      </w:r>
      <w:r>
        <w:rPr>
          <w:lang w:val="fr-BE"/>
        </w:rPr>
        <w:t xml:space="preserve">surtout dans le Roman dit sérieux. </w:t>
      </w:r>
    </w:p>
    <w:p w:rsidR="009E0091" w:rsidRDefault="00F169F1" w:rsidP="000E314A">
      <w:pPr>
        <w:jc w:val="both"/>
        <w:rPr>
          <w:lang w:val="fr-BE"/>
        </w:rPr>
      </w:pPr>
      <w:r w:rsidRPr="00FC5E2F">
        <w:rPr>
          <w:lang w:val="fr-BE"/>
        </w:rPr>
        <w:t>C</w:t>
      </w:r>
      <w:r w:rsidR="00B9706C" w:rsidRPr="00FC5E2F">
        <w:rPr>
          <w:lang w:val="fr-BE"/>
        </w:rPr>
        <w:t>’</w:t>
      </w:r>
      <w:r w:rsidRPr="00FC5E2F">
        <w:rPr>
          <w:lang w:val="fr-BE"/>
        </w:rPr>
        <w:t>est dans le choix des substantifs de part et d</w:t>
      </w:r>
      <w:r w:rsidR="00B9706C" w:rsidRPr="00FC5E2F">
        <w:rPr>
          <w:lang w:val="fr-BE"/>
        </w:rPr>
        <w:t>’</w:t>
      </w:r>
      <w:r w:rsidRPr="00FC5E2F">
        <w:rPr>
          <w:lang w:val="fr-BE"/>
        </w:rPr>
        <w:t xml:space="preserve">autre </w:t>
      </w:r>
      <w:r w:rsidR="00FB4310" w:rsidRPr="00FC5E2F">
        <w:rPr>
          <w:lang w:val="fr-BE"/>
        </w:rPr>
        <w:t xml:space="preserve">de la préposition </w:t>
      </w:r>
      <w:r w:rsidR="00824A3A" w:rsidRPr="00FC5E2F">
        <w:rPr>
          <w:lang w:val="fr-BE"/>
        </w:rPr>
        <w:t>que se marquent davantage les particularit</w:t>
      </w:r>
      <w:r w:rsidR="008454B7">
        <w:rPr>
          <w:lang w:val="fr-BE"/>
        </w:rPr>
        <w:t>és</w:t>
      </w:r>
      <w:r w:rsidR="0090327C">
        <w:rPr>
          <w:lang w:val="fr-BE"/>
        </w:rPr>
        <w:t xml:space="preserve"> génériques, comme l’a montré le dernier</w:t>
      </w:r>
      <w:r w:rsidR="008454B7">
        <w:rPr>
          <w:lang w:val="fr-BE"/>
        </w:rPr>
        <w:t xml:space="preserve"> graphique avec une distribution claire dans les quadrants de l’AFC. </w:t>
      </w:r>
      <w:r w:rsidR="000439E3">
        <w:rPr>
          <w:lang w:val="fr-BE"/>
        </w:rPr>
        <w:t xml:space="preserve">Les particularités génériques sont davantage à chercher du côté du lexical et du sémantique que du côté syntaxique. </w:t>
      </w:r>
      <w:r w:rsidR="00526F12">
        <w:rPr>
          <w:lang w:val="fr-BE"/>
        </w:rPr>
        <w:t xml:space="preserve"> </w:t>
      </w:r>
    </w:p>
    <w:p w:rsidR="00CD4FCA" w:rsidRDefault="00CD4FCA" w:rsidP="000E314A">
      <w:pPr>
        <w:jc w:val="both"/>
        <w:rPr>
          <w:lang w:val="fr-BE"/>
        </w:rPr>
      </w:pPr>
      <w:r>
        <w:rPr>
          <w:lang w:val="fr-BE"/>
        </w:rPr>
        <w:t>Cette étude</w:t>
      </w:r>
      <w:r w:rsidR="00553CCD">
        <w:rPr>
          <w:lang w:val="fr-BE"/>
        </w:rPr>
        <w:t xml:space="preserve"> qui avait pour enjeu de faire émerger le statut de marqueur générique pour les structures </w:t>
      </w:r>
      <w:proofErr w:type="spellStart"/>
      <w:r w:rsidR="00553CCD">
        <w:rPr>
          <w:lang w:val="fr-BE"/>
        </w:rPr>
        <w:t>NpN</w:t>
      </w:r>
      <w:proofErr w:type="spellEnd"/>
      <w:r w:rsidR="00553CCD">
        <w:rPr>
          <w:lang w:val="fr-BE"/>
        </w:rPr>
        <w:t xml:space="preserve"> n’a pas clairement démontré le rôle de ces dernières dans la différenciation de genres aussi éloignés </w:t>
      </w:r>
      <w:r w:rsidR="00553CCD" w:rsidRPr="00553CCD">
        <w:rPr>
          <w:i/>
          <w:lang w:val="fr-BE"/>
        </w:rPr>
        <w:t>a priori</w:t>
      </w:r>
      <w:r w:rsidR="00553CCD">
        <w:rPr>
          <w:lang w:val="fr-BE"/>
        </w:rPr>
        <w:t xml:space="preserve"> que le corpus médiatique et le corpus littéraire</w:t>
      </w:r>
      <w:r w:rsidR="00BF63CA">
        <w:rPr>
          <w:lang w:val="fr-BE"/>
        </w:rPr>
        <w:t xml:space="preserve">. En revanche, elle a fait apparaître une opposition forte entre les sous-genres littéraires, entre le </w:t>
      </w:r>
      <w:r w:rsidR="00BF63CA" w:rsidRPr="00A014E2">
        <w:rPr>
          <w:i/>
          <w:lang w:val="fr-BE"/>
        </w:rPr>
        <w:t>Roman sérieux</w:t>
      </w:r>
      <w:r w:rsidR="00BF63CA">
        <w:rPr>
          <w:lang w:val="fr-BE"/>
        </w:rPr>
        <w:t xml:space="preserve"> et la collection </w:t>
      </w:r>
      <w:proofErr w:type="spellStart"/>
      <w:r w:rsidR="00BF63CA" w:rsidRPr="00BF63CA">
        <w:rPr>
          <w:i/>
          <w:lang w:val="fr-BE"/>
        </w:rPr>
        <w:t>Harlequin</w:t>
      </w:r>
      <w:proofErr w:type="spellEnd"/>
      <w:r w:rsidR="005B5DB2">
        <w:rPr>
          <w:lang w:val="fr-BE"/>
        </w:rPr>
        <w:t xml:space="preserve"> qui pourrait être affinée par l’examen pr</w:t>
      </w:r>
      <w:r w:rsidR="0001158F">
        <w:rPr>
          <w:lang w:val="fr-BE"/>
        </w:rPr>
        <w:t xml:space="preserve">écis des différentes structures et en particulier des hapax, réputés créations et non pas figements. </w:t>
      </w:r>
    </w:p>
    <w:p w:rsidR="00553CCD" w:rsidRDefault="00553CCD" w:rsidP="000E314A">
      <w:pPr>
        <w:jc w:val="both"/>
        <w:rPr>
          <w:lang w:val="fr-BE"/>
        </w:rPr>
      </w:pPr>
    </w:p>
    <w:p w:rsidR="009E0091" w:rsidRPr="0010562C" w:rsidRDefault="007A1794" w:rsidP="0010562C">
      <w:pPr>
        <w:suppressAutoHyphens w:val="0"/>
        <w:spacing w:before="240" w:after="80" w:line="280" w:lineRule="exact"/>
        <w:outlineLvl w:val="1"/>
        <w:rPr>
          <w:b/>
          <w:snapToGrid w:val="0"/>
          <w:sz w:val="28"/>
          <w:szCs w:val="20"/>
          <w:lang w:val="en-US" w:eastAsia="fr-FR"/>
        </w:rPr>
      </w:pPr>
      <w:proofErr w:type="spellStart"/>
      <w:r>
        <w:rPr>
          <w:b/>
          <w:snapToGrid w:val="0"/>
          <w:sz w:val="28"/>
          <w:szCs w:val="20"/>
          <w:lang w:val="en-US" w:eastAsia="fr-FR"/>
        </w:rPr>
        <w:t>Réfé</w:t>
      </w:r>
      <w:r w:rsidR="004B1475">
        <w:rPr>
          <w:b/>
          <w:snapToGrid w:val="0"/>
          <w:sz w:val="28"/>
          <w:szCs w:val="20"/>
          <w:lang w:val="en-US" w:eastAsia="fr-FR"/>
        </w:rPr>
        <w:t>rences</w:t>
      </w:r>
      <w:proofErr w:type="spellEnd"/>
    </w:p>
    <w:p w:rsidR="0004105C" w:rsidRPr="00984E9B" w:rsidRDefault="0004105C" w:rsidP="004B1475">
      <w:pPr>
        <w:ind w:left="284" w:hanging="284"/>
        <w:jc w:val="both"/>
        <w:rPr>
          <w:sz w:val="22"/>
          <w:szCs w:val="22"/>
        </w:rPr>
      </w:pPr>
      <w:proofErr w:type="spellStart"/>
      <w:r w:rsidRPr="00984E9B">
        <w:rPr>
          <w:sz w:val="22"/>
          <w:szCs w:val="22"/>
          <w:lang w:val="en-US"/>
        </w:rPr>
        <w:t>Jackendoff</w:t>
      </w:r>
      <w:proofErr w:type="spellEnd"/>
      <w:r w:rsidRPr="00984E9B">
        <w:rPr>
          <w:sz w:val="22"/>
          <w:szCs w:val="22"/>
          <w:lang w:val="en-US"/>
        </w:rPr>
        <w:t xml:space="preserve"> R. (2008). </w:t>
      </w:r>
      <w:r w:rsidR="00A733C8" w:rsidRPr="00984E9B">
        <w:rPr>
          <w:sz w:val="22"/>
          <w:szCs w:val="22"/>
          <w:lang w:val="fr-BE"/>
        </w:rPr>
        <w:t>« </w:t>
      </w:r>
      <w:r w:rsidRPr="00984E9B">
        <w:rPr>
          <w:sz w:val="22"/>
          <w:szCs w:val="22"/>
          <w:lang w:val="en-US"/>
        </w:rPr>
        <w:t xml:space="preserve">Construction after construction and its </w:t>
      </w:r>
      <w:proofErr w:type="spellStart"/>
      <w:r w:rsidRPr="00984E9B">
        <w:rPr>
          <w:sz w:val="22"/>
          <w:szCs w:val="22"/>
          <w:lang w:val="en-US"/>
        </w:rPr>
        <w:t>theorical</w:t>
      </w:r>
      <w:proofErr w:type="spellEnd"/>
      <w:r w:rsidRPr="00984E9B">
        <w:rPr>
          <w:sz w:val="22"/>
          <w:szCs w:val="22"/>
          <w:lang w:val="en-US"/>
        </w:rPr>
        <w:t xml:space="preserve"> challenges</w:t>
      </w:r>
      <w:r w:rsidR="00A733C8" w:rsidRPr="00984E9B">
        <w:rPr>
          <w:sz w:val="22"/>
          <w:szCs w:val="22"/>
          <w:lang w:val="fr-BE"/>
        </w:rPr>
        <w:t> »</w:t>
      </w:r>
      <w:r w:rsidRPr="00984E9B">
        <w:rPr>
          <w:sz w:val="22"/>
          <w:szCs w:val="22"/>
          <w:lang w:val="en-US"/>
        </w:rPr>
        <w:t xml:space="preserve">. </w:t>
      </w:r>
      <w:proofErr w:type="spellStart"/>
      <w:r w:rsidRPr="00984E9B">
        <w:rPr>
          <w:i/>
          <w:sz w:val="22"/>
          <w:szCs w:val="22"/>
        </w:rPr>
        <w:t>Language</w:t>
      </w:r>
      <w:proofErr w:type="spellEnd"/>
      <w:r w:rsidRPr="00984E9B">
        <w:rPr>
          <w:sz w:val="22"/>
          <w:szCs w:val="22"/>
        </w:rPr>
        <w:t>, vol. 84</w:t>
      </w:r>
      <w:r w:rsidR="004B1475" w:rsidRPr="00984E9B">
        <w:rPr>
          <w:sz w:val="22"/>
          <w:szCs w:val="22"/>
        </w:rPr>
        <w:t xml:space="preserve"> (1) : </w:t>
      </w:r>
      <w:r w:rsidR="007E508C" w:rsidRPr="00984E9B">
        <w:rPr>
          <w:sz w:val="22"/>
          <w:szCs w:val="22"/>
        </w:rPr>
        <w:t>8-28</w:t>
      </w:r>
    </w:p>
    <w:p w:rsidR="00525C21" w:rsidRPr="0010562C" w:rsidRDefault="00464B1E" w:rsidP="0010562C">
      <w:pPr>
        <w:spacing w:before="120"/>
        <w:ind w:left="284" w:hanging="284"/>
        <w:jc w:val="both"/>
        <w:rPr>
          <w:i/>
          <w:sz w:val="22"/>
          <w:szCs w:val="22"/>
          <w:lang w:val="fr-BE"/>
        </w:rPr>
      </w:pPr>
      <w:proofErr w:type="spellStart"/>
      <w:r w:rsidRPr="00984E9B">
        <w:rPr>
          <w:sz w:val="22"/>
          <w:szCs w:val="22"/>
        </w:rPr>
        <w:t>Legallois</w:t>
      </w:r>
      <w:proofErr w:type="spellEnd"/>
      <w:r w:rsidRPr="00984E9B">
        <w:rPr>
          <w:sz w:val="22"/>
          <w:szCs w:val="22"/>
        </w:rPr>
        <w:t xml:space="preserve"> D, </w:t>
      </w:r>
      <w:proofErr w:type="spellStart"/>
      <w:r w:rsidRPr="00984E9B">
        <w:rPr>
          <w:sz w:val="22"/>
          <w:szCs w:val="22"/>
        </w:rPr>
        <w:t>Charnois</w:t>
      </w:r>
      <w:proofErr w:type="spellEnd"/>
      <w:r w:rsidRPr="00984E9B">
        <w:rPr>
          <w:sz w:val="22"/>
          <w:szCs w:val="22"/>
        </w:rPr>
        <w:t xml:space="preserve"> Th. &amp;</w:t>
      </w:r>
      <w:r w:rsidR="00525C21" w:rsidRPr="00984E9B">
        <w:rPr>
          <w:sz w:val="22"/>
          <w:szCs w:val="22"/>
        </w:rPr>
        <w:t xml:space="preserve"> </w:t>
      </w:r>
      <w:proofErr w:type="spellStart"/>
      <w:r w:rsidR="00525C21" w:rsidRPr="00984E9B">
        <w:rPr>
          <w:sz w:val="22"/>
          <w:szCs w:val="22"/>
        </w:rPr>
        <w:t>Poibeau</w:t>
      </w:r>
      <w:proofErr w:type="spellEnd"/>
      <w:r w:rsidR="00525C21" w:rsidRPr="00984E9B">
        <w:rPr>
          <w:sz w:val="22"/>
          <w:szCs w:val="22"/>
        </w:rPr>
        <w:t xml:space="preserve"> Th. </w:t>
      </w:r>
      <w:r w:rsidR="00525C21" w:rsidRPr="00984E9B">
        <w:rPr>
          <w:sz w:val="22"/>
          <w:szCs w:val="22"/>
          <w:lang w:val="fr-BE"/>
        </w:rPr>
        <w:t xml:space="preserve">(à </w:t>
      </w:r>
      <w:proofErr w:type="spellStart"/>
      <w:r w:rsidR="00525C21" w:rsidRPr="00984E9B">
        <w:rPr>
          <w:sz w:val="22"/>
          <w:szCs w:val="22"/>
          <w:lang w:val="fr-BE"/>
        </w:rPr>
        <w:t>par</w:t>
      </w:r>
      <w:proofErr w:type="spellEnd"/>
      <w:r w:rsidR="00525C21" w:rsidRPr="00984E9B">
        <w:rPr>
          <w:sz w:val="22"/>
          <w:szCs w:val="22"/>
          <w:lang w:val="fr-BE"/>
        </w:rPr>
        <w:t xml:space="preserve">.). </w:t>
      </w:r>
      <w:r w:rsidR="00A733C8" w:rsidRPr="00984E9B">
        <w:rPr>
          <w:sz w:val="22"/>
          <w:szCs w:val="22"/>
          <w:lang w:val="fr-BE"/>
        </w:rPr>
        <w:t>« </w:t>
      </w:r>
      <w:r w:rsidR="00525C21" w:rsidRPr="00984E9B">
        <w:rPr>
          <w:sz w:val="22"/>
          <w:szCs w:val="22"/>
          <w:lang w:val="fr-BE"/>
        </w:rPr>
        <w:t>Sans un mot, Nicole se lova contre Franck et ne bougea plus : la méthode des « motifs » pour repérer les clichés dans les romans sentimentaux.</w:t>
      </w:r>
      <w:r w:rsidR="00A733C8" w:rsidRPr="00984E9B">
        <w:rPr>
          <w:sz w:val="22"/>
          <w:szCs w:val="22"/>
          <w:lang w:val="fr-BE"/>
        </w:rPr>
        <w:t>»</w:t>
      </w:r>
      <w:r w:rsidR="00A733C8">
        <w:rPr>
          <w:sz w:val="22"/>
          <w:szCs w:val="22"/>
          <w:lang w:val="fr-BE"/>
        </w:rPr>
        <w:t>.</w:t>
      </w:r>
      <w:r w:rsidR="00A733C8" w:rsidRPr="00984E9B">
        <w:rPr>
          <w:sz w:val="22"/>
          <w:szCs w:val="22"/>
          <w:lang w:val="fr-BE"/>
        </w:rPr>
        <w:t xml:space="preserve"> </w:t>
      </w:r>
      <w:r w:rsidR="00525C21" w:rsidRPr="00984E9B">
        <w:rPr>
          <w:sz w:val="22"/>
          <w:szCs w:val="22"/>
          <w:lang w:val="fr-BE"/>
        </w:rPr>
        <w:t xml:space="preserve"> </w:t>
      </w:r>
      <w:proofErr w:type="spellStart"/>
      <w:r w:rsidR="00525C21" w:rsidRPr="00984E9B">
        <w:rPr>
          <w:i/>
          <w:sz w:val="22"/>
          <w:szCs w:val="22"/>
          <w:lang w:val="fr-BE"/>
        </w:rPr>
        <w:t>Lidil</w:t>
      </w:r>
      <w:proofErr w:type="spellEnd"/>
      <w:r w:rsidR="00525C21" w:rsidRPr="00984E9B">
        <w:rPr>
          <w:i/>
          <w:sz w:val="22"/>
          <w:szCs w:val="22"/>
          <w:lang w:val="fr-BE"/>
        </w:rPr>
        <w:t xml:space="preserve"> </w:t>
      </w:r>
    </w:p>
    <w:p w:rsidR="009E0091" w:rsidRPr="00984E9B" w:rsidRDefault="004B1475" w:rsidP="0010562C">
      <w:pPr>
        <w:spacing w:before="120"/>
        <w:ind w:left="284" w:hanging="284"/>
        <w:jc w:val="both"/>
        <w:rPr>
          <w:sz w:val="22"/>
          <w:szCs w:val="22"/>
          <w:lang w:val="fr-BE"/>
        </w:rPr>
      </w:pPr>
      <w:proofErr w:type="spellStart"/>
      <w:r w:rsidRPr="00984E9B">
        <w:rPr>
          <w:sz w:val="22"/>
          <w:szCs w:val="22"/>
          <w:lang w:val="fr-BE"/>
        </w:rPr>
        <w:t>Longrée</w:t>
      </w:r>
      <w:proofErr w:type="spellEnd"/>
      <w:r w:rsidRPr="00984E9B">
        <w:rPr>
          <w:sz w:val="22"/>
          <w:szCs w:val="22"/>
          <w:lang w:val="fr-BE"/>
        </w:rPr>
        <w:t xml:space="preserve"> D &amp;</w:t>
      </w:r>
      <w:r w:rsidR="009E0091" w:rsidRPr="00984E9B">
        <w:rPr>
          <w:sz w:val="22"/>
          <w:szCs w:val="22"/>
          <w:lang w:val="fr-BE"/>
        </w:rPr>
        <w:t xml:space="preserve"> </w:t>
      </w:r>
      <w:proofErr w:type="spellStart"/>
      <w:r w:rsidR="009E0091" w:rsidRPr="00984E9B">
        <w:rPr>
          <w:sz w:val="22"/>
          <w:szCs w:val="22"/>
          <w:lang w:val="fr-BE"/>
        </w:rPr>
        <w:t>Mellet</w:t>
      </w:r>
      <w:proofErr w:type="spellEnd"/>
      <w:r w:rsidR="009E0091" w:rsidRPr="00984E9B">
        <w:rPr>
          <w:sz w:val="22"/>
          <w:szCs w:val="22"/>
          <w:lang w:val="fr-BE"/>
        </w:rPr>
        <w:t xml:space="preserve"> </w:t>
      </w:r>
      <w:r w:rsidR="00CC017D" w:rsidRPr="00984E9B">
        <w:rPr>
          <w:sz w:val="22"/>
          <w:szCs w:val="22"/>
          <w:lang w:val="fr-BE"/>
        </w:rPr>
        <w:t xml:space="preserve">S. (2013). </w:t>
      </w:r>
      <w:r w:rsidR="00A733C8" w:rsidRPr="00984E9B">
        <w:rPr>
          <w:sz w:val="22"/>
          <w:szCs w:val="22"/>
          <w:lang w:val="fr-BE"/>
        </w:rPr>
        <w:t>« </w:t>
      </w:r>
      <w:r w:rsidR="00CC017D" w:rsidRPr="00984E9B">
        <w:rPr>
          <w:sz w:val="22"/>
          <w:szCs w:val="22"/>
          <w:lang w:val="fr-BE"/>
        </w:rPr>
        <w:t>Le motif : une unité phraséologique englobante ? Etendre le champ de la phrasé</w:t>
      </w:r>
      <w:r w:rsidR="00A733C8">
        <w:rPr>
          <w:sz w:val="22"/>
          <w:szCs w:val="22"/>
          <w:lang w:val="fr-BE"/>
        </w:rPr>
        <w:t xml:space="preserve">ologie de la langue au discours </w:t>
      </w:r>
      <w:r w:rsidR="00A733C8" w:rsidRPr="00984E9B">
        <w:rPr>
          <w:sz w:val="22"/>
          <w:szCs w:val="22"/>
          <w:lang w:val="fr-BE"/>
        </w:rPr>
        <w:t>»</w:t>
      </w:r>
      <w:r w:rsidR="00A733C8">
        <w:rPr>
          <w:sz w:val="22"/>
          <w:szCs w:val="22"/>
          <w:lang w:val="fr-BE"/>
        </w:rPr>
        <w:t>.</w:t>
      </w:r>
      <w:r w:rsidR="00A733C8" w:rsidRPr="00984E9B">
        <w:rPr>
          <w:sz w:val="22"/>
          <w:szCs w:val="22"/>
          <w:lang w:val="fr-BE"/>
        </w:rPr>
        <w:t xml:space="preserve"> </w:t>
      </w:r>
      <w:r w:rsidR="00CC017D" w:rsidRPr="00984E9B">
        <w:rPr>
          <w:sz w:val="22"/>
          <w:szCs w:val="22"/>
          <w:lang w:val="fr-BE"/>
        </w:rPr>
        <w:t xml:space="preserve"> </w:t>
      </w:r>
      <w:r w:rsidR="00CC017D" w:rsidRPr="00984E9B">
        <w:rPr>
          <w:i/>
          <w:sz w:val="22"/>
          <w:szCs w:val="22"/>
          <w:lang w:val="fr-BE"/>
        </w:rPr>
        <w:t xml:space="preserve">Langages </w:t>
      </w:r>
      <w:r w:rsidRPr="00984E9B">
        <w:rPr>
          <w:sz w:val="22"/>
          <w:szCs w:val="22"/>
          <w:lang w:val="fr-BE"/>
        </w:rPr>
        <w:t>(</w:t>
      </w:r>
      <w:r w:rsidR="00CC017D" w:rsidRPr="00984E9B">
        <w:rPr>
          <w:sz w:val="22"/>
          <w:szCs w:val="22"/>
          <w:lang w:val="fr-BE"/>
        </w:rPr>
        <w:t>189</w:t>
      </w:r>
      <w:r w:rsidRPr="00984E9B">
        <w:rPr>
          <w:sz w:val="22"/>
          <w:szCs w:val="22"/>
          <w:lang w:val="fr-BE"/>
        </w:rPr>
        <w:t xml:space="preserve">) : </w:t>
      </w:r>
      <w:r w:rsidR="00CC017D" w:rsidRPr="00984E9B">
        <w:rPr>
          <w:sz w:val="22"/>
          <w:szCs w:val="22"/>
          <w:lang w:val="fr-BE"/>
        </w:rPr>
        <w:t>68-80</w:t>
      </w:r>
      <w:r w:rsidR="009B173D" w:rsidRPr="00984E9B">
        <w:rPr>
          <w:sz w:val="22"/>
          <w:szCs w:val="22"/>
          <w:lang w:val="fr-BE"/>
        </w:rPr>
        <w:t>.</w:t>
      </w:r>
    </w:p>
    <w:p w:rsidR="009E0091" w:rsidRPr="0010562C" w:rsidRDefault="00B9015E" w:rsidP="0010562C">
      <w:pPr>
        <w:spacing w:before="120"/>
        <w:ind w:left="284" w:hanging="284"/>
        <w:jc w:val="both"/>
        <w:rPr>
          <w:snapToGrid w:val="0"/>
          <w:sz w:val="22"/>
          <w:szCs w:val="22"/>
          <w:lang w:val="fr-BE" w:eastAsia="fr-FR"/>
        </w:rPr>
      </w:pPr>
      <w:proofErr w:type="spellStart"/>
      <w:r w:rsidRPr="00984E9B">
        <w:rPr>
          <w:sz w:val="22"/>
          <w:szCs w:val="22"/>
          <w:lang w:val="fr-BE"/>
        </w:rPr>
        <w:t>Longrée</w:t>
      </w:r>
      <w:proofErr w:type="spellEnd"/>
      <w:r w:rsidRPr="00984E9B">
        <w:rPr>
          <w:sz w:val="22"/>
          <w:szCs w:val="22"/>
          <w:lang w:val="fr-BE"/>
        </w:rPr>
        <w:t xml:space="preserve"> D</w:t>
      </w:r>
      <w:r w:rsidRPr="00984E9B">
        <w:rPr>
          <w:sz w:val="22"/>
          <w:szCs w:val="22"/>
        </w:rPr>
        <w:t xml:space="preserve">. Luong X </w:t>
      </w:r>
      <w:r w:rsidR="009E0091" w:rsidRPr="00984E9B">
        <w:rPr>
          <w:sz w:val="22"/>
          <w:szCs w:val="22"/>
          <w:lang w:val="fr-BE"/>
        </w:rPr>
        <w:t xml:space="preserve">et </w:t>
      </w:r>
      <w:proofErr w:type="spellStart"/>
      <w:r w:rsidR="009E0091" w:rsidRPr="00984E9B">
        <w:rPr>
          <w:sz w:val="22"/>
          <w:szCs w:val="22"/>
          <w:lang w:val="fr-BE"/>
        </w:rPr>
        <w:t>Mellet</w:t>
      </w:r>
      <w:proofErr w:type="spellEnd"/>
      <w:r w:rsidR="009E0091" w:rsidRPr="00984E9B">
        <w:rPr>
          <w:sz w:val="22"/>
          <w:szCs w:val="22"/>
          <w:lang w:val="fr-BE"/>
        </w:rPr>
        <w:t xml:space="preserve"> (2008). </w:t>
      </w:r>
      <w:r w:rsidR="00A733C8" w:rsidRPr="00984E9B">
        <w:rPr>
          <w:sz w:val="22"/>
          <w:szCs w:val="22"/>
          <w:lang w:val="fr-BE"/>
        </w:rPr>
        <w:t>« </w:t>
      </w:r>
      <w:r w:rsidR="009E0091" w:rsidRPr="00984E9B">
        <w:rPr>
          <w:snapToGrid w:val="0"/>
          <w:sz w:val="22"/>
          <w:szCs w:val="22"/>
          <w:lang w:eastAsia="fr-FR"/>
        </w:rPr>
        <w:t xml:space="preserve">Les motifs : un outil pour la caractérisation topologique des textes », </w:t>
      </w:r>
      <w:r w:rsidR="009E0091" w:rsidRPr="00984E9B">
        <w:rPr>
          <w:i/>
          <w:snapToGrid w:val="0"/>
          <w:sz w:val="22"/>
          <w:szCs w:val="22"/>
          <w:lang w:eastAsia="fr-FR"/>
        </w:rPr>
        <w:t>JADT</w:t>
      </w:r>
      <w:r w:rsidR="008D4C03" w:rsidRPr="00984E9B">
        <w:rPr>
          <w:snapToGrid w:val="0"/>
          <w:sz w:val="22"/>
          <w:szCs w:val="22"/>
          <w:lang w:eastAsia="fr-FR"/>
        </w:rPr>
        <w:t xml:space="preserve">, Lyon : </w:t>
      </w:r>
      <w:r w:rsidR="009E0091" w:rsidRPr="00984E9B">
        <w:rPr>
          <w:snapToGrid w:val="0"/>
          <w:sz w:val="22"/>
          <w:szCs w:val="22"/>
          <w:lang w:eastAsia="fr-FR"/>
        </w:rPr>
        <w:t>733-744.</w:t>
      </w:r>
    </w:p>
    <w:p w:rsidR="009E0091" w:rsidRPr="00984E9B" w:rsidRDefault="00464B1E" w:rsidP="0010562C">
      <w:pPr>
        <w:spacing w:before="120"/>
        <w:ind w:left="284" w:hanging="284"/>
        <w:jc w:val="both"/>
        <w:rPr>
          <w:sz w:val="22"/>
          <w:szCs w:val="22"/>
          <w:lang w:val="fr-BE"/>
        </w:rPr>
      </w:pPr>
      <w:proofErr w:type="spellStart"/>
      <w:r w:rsidRPr="00984E9B">
        <w:rPr>
          <w:sz w:val="22"/>
          <w:szCs w:val="22"/>
          <w:lang w:val="fr-BE"/>
        </w:rPr>
        <w:t>Magri</w:t>
      </w:r>
      <w:proofErr w:type="spellEnd"/>
      <w:r w:rsidRPr="00984E9B">
        <w:rPr>
          <w:sz w:val="22"/>
          <w:szCs w:val="22"/>
          <w:lang w:val="fr-BE"/>
        </w:rPr>
        <w:t xml:space="preserve"> V. &amp;</w:t>
      </w:r>
      <w:r w:rsidR="009E0091" w:rsidRPr="00984E9B">
        <w:rPr>
          <w:sz w:val="22"/>
          <w:szCs w:val="22"/>
          <w:lang w:val="fr-BE"/>
        </w:rPr>
        <w:t xml:space="preserve"> </w:t>
      </w:r>
      <w:proofErr w:type="spellStart"/>
      <w:r w:rsidR="009E0091" w:rsidRPr="00984E9B">
        <w:rPr>
          <w:sz w:val="22"/>
          <w:szCs w:val="22"/>
          <w:lang w:val="fr-BE"/>
        </w:rPr>
        <w:t>Purnelle</w:t>
      </w:r>
      <w:proofErr w:type="spellEnd"/>
      <w:r w:rsidR="009E0091" w:rsidRPr="00984E9B">
        <w:rPr>
          <w:sz w:val="22"/>
          <w:szCs w:val="22"/>
          <w:lang w:val="fr-BE"/>
        </w:rPr>
        <w:t xml:space="preserve"> G. (2012). </w:t>
      </w:r>
      <w:r w:rsidRPr="00984E9B">
        <w:rPr>
          <w:sz w:val="22"/>
          <w:szCs w:val="22"/>
          <w:lang w:val="fr-BE"/>
        </w:rPr>
        <w:t>« </w:t>
      </w:r>
      <w:r w:rsidR="009E0091" w:rsidRPr="00984E9B">
        <w:rPr>
          <w:sz w:val="22"/>
          <w:szCs w:val="22"/>
          <w:lang w:val="fr-BE"/>
        </w:rPr>
        <w:t>Mot à mot, brin par brin : les suites [Nom préposition Nom] comme motifs</w:t>
      </w:r>
      <w:r w:rsidRPr="00984E9B">
        <w:rPr>
          <w:sz w:val="22"/>
          <w:szCs w:val="22"/>
          <w:lang w:val="fr-BE"/>
        </w:rPr>
        <w:t> »</w:t>
      </w:r>
      <w:r w:rsidR="008D4C03" w:rsidRPr="00984E9B">
        <w:rPr>
          <w:sz w:val="22"/>
          <w:szCs w:val="22"/>
          <w:lang w:val="fr-BE"/>
        </w:rPr>
        <w:t>, JADT, Liège.</w:t>
      </w:r>
    </w:p>
    <w:p w:rsidR="00DB3F00" w:rsidRDefault="0004105C" w:rsidP="004469CE">
      <w:pPr>
        <w:spacing w:before="120"/>
        <w:ind w:left="284" w:hanging="284"/>
        <w:jc w:val="both"/>
        <w:rPr>
          <w:sz w:val="22"/>
          <w:szCs w:val="22"/>
          <w:lang w:val="en-US"/>
        </w:rPr>
      </w:pPr>
      <w:proofErr w:type="spellStart"/>
      <w:r w:rsidRPr="00984E9B">
        <w:rPr>
          <w:sz w:val="22"/>
          <w:szCs w:val="22"/>
          <w:lang w:eastAsia="fr-FR" w:bidi="fr-FR"/>
        </w:rPr>
        <w:t>Quiniou</w:t>
      </w:r>
      <w:proofErr w:type="spellEnd"/>
      <w:r w:rsidRPr="00984E9B">
        <w:rPr>
          <w:sz w:val="22"/>
          <w:szCs w:val="22"/>
          <w:lang w:eastAsia="fr-FR" w:bidi="fr-FR"/>
        </w:rPr>
        <w:t xml:space="preserve"> S., Cellier P.,</w:t>
      </w:r>
      <w:r w:rsidR="00BB4D08" w:rsidRPr="00984E9B">
        <w:rPr>
          <w:sz w:val="22"/>
          <w:szCs w:val="22"/>
          <w:lang w:eastAsia="fr-FR" w:bidi="fr-FR"/>
        </w:rPr>
        <w:t xml:space="preserve"> </w:t>
      </w:r>
      <w:proofErr w:type="spellStart"/>
      <w:r w:rsidR="00BB4D08" w:rsidRPr="00984E9B">
        <w:rPr>
          <w:sz w:val="22"/>
          <w:szCs w:val="22"/>
          <w:lang w:eastAsia="fr-FR" w:bidi="fr-FR"/>
        </w:rPr>
        <w:t>Charno</w:t>
      </w:r>
      <w:r w:rsidR="00464B1E" w:rsidRPr="00984E9B">
        <w:rPr>
          <w:sz w:val="22"/>
          <w:szCs w:val="22"/>
          <w:lang w:eastAsia="fr-FR" w:bidi="fr-FR"/>
        </w:rPr>
        <w:t>is</w:t>
      </w:r>
      <w:proofErr w:type="spellEnd"/>
      <w:r w:rsidR="00464B1E" w:rsidRPr="00984E9B">
        <w:rPr>
          <w:sz w:val="22"/>
          <w:szCs w:val="22"/>
          <w:lang w:eastAsia="fr-FR" w:bidi="fr-FR"/>
        </w:rPr>
        <w:t xml:space="preserve"> Th. &amp;</w:t>
      </w:r>
      <w:r w:rsidR="00E768F4" w:rsidRPr="00984E9B">
        <w:rPr>
          <w:sz w:val="22"/>
          <w:szCs w:val="22"/>
          <w:lang w:eastAsia="fr-FR" w:bidi="fr-FR"/>
        </w:rPr>
        <w:t xml:space="preserve"> </w:t>
      </w:r>
      <w:proofErr w:type="spellStart"/>
      <w:r w:rsidR="00E768F4" w:rsidRPr="00984E9B">
        <w:rPr>
          <w:sz w:val="22"/>
          <w:szCs w:val="22"/>
          <w:lang w:eastAsia="fr-FR" w:bidi="fr-FR"/>
        </w:rPr>
        <w:t>Legallois</w:t>
      </w:r>
      <w:proofErr w:type="spellEnd"/>
      <w:r w:rsidR="00E768F4" w:rsidRPr="00984E9B">
        <w:rPr>
          <w:sz w:val="22"/>
          <w:szCs w:val="22"/>
          <w:lang w:eastAsia="fr-FR" w:bidi="fr-FR"/>
        </w:rPr>
        <w:t xml:space="preserve"> D. (2012). </w:t>
      </w:r>
      <w:r w:rsidR="00BB4D08" w:rsidRPr="00984E9B">
        <w:rPr>
          <w:sz w:val="22"/>
          <w:szCs w:val="22"/>
          <w:lang w:val="en-US" w:eastAsia="fr-FR" w:bidi="fr-FR"/>
        </w:rPr>
        <w:t xml:space="preserve">What About Sequential Data Mining Techniques to Identify Linguistic Patterns for </w:t>
      </w:r>
      <w:proofErr w:type="gramStart"/>
      <w:r w:rsidR="00BB4D08" w:rsidRPr="00984E9B">
        <w:rPr>
          <w:sz w:val="22"/>
          <w:szCs w:val="22"/>
          <w:lang w:val="en-US" w:eastAsia="fr-FR" w:bidi="fr-FR"/>
        </w:rPr>
        <w:t>Stylistics ? </w:t>
      </w:r>
      <w:proofErr w:type="gramEnd"/>
      <w:r w:rsidR="00BB4D08" w:rsidRPr="00984E9B">
        <w:rPr>
          <w:sz w:val="22"/>
          <w:szCs w:val="22"/>
          <w:lang w:val="en-US" w:eastAsia="fr-FR" w:bidi="fr-FR"/>
        </w:rPr>
        <w:t xml:space="preserve">» in Lecture Notes in Computer Science, Springer </w:t>
      </w:r>
      <w:bookmarkStart w:id="1" w:name="book-volume"/>
      <w:bookmarkEnd w:id="1"/>
      <w:r w:rsidR="00BB4D08" w:rsidRPr="00984E9B">
        <w:rPr>
          <w:sz w:val="22"/>
          <w:szCs w:val="22"/>
          <w:lang w:val="en-US"/>
        </w:rPr>
        <w:t xml:space="preserve">Vol. </w:t>
      </w:r>
      <w:proofErr w:type="gramStart"/>
      <w:r w:rsidR="00BB4D08" w:rsidRPr="00984E9B">
        <w:rPr>
          <w:sz w:val="22"/>
          <w:szCs w:val="22"/>
          <w:lang w:val="en-US"/>
        </w:rPr>
        <w:t>7181</w:t>
      </w:r>
      <w:bookmarkStart w:id="2" w:name="page-range"/>
      <w:bookmarkEnd w:id="2"/>
      <w:r w:rsidR="008D4C03" w:rsidRPr="00984E9B">
        <w:rPr>
          <w:sz w:val="22"/>
          <w:szCs w:val="22"/>
          <w:lang w:val="en-US"/>
        </w:rPr>
        <w:t xml:space="preserve"> :</w:t>
      </w:r>
      <w:proofErr w:type="gramEnd"/>
      <w:r w:rsidR="008D4C03" w:rsidRPr="00984E9B">
        <w:rPr>
          <w:sz w:val="22"/>
          <w:szCs w:val="22"/>
          <w:lang w:val="en-US"/>
        </w:rPr>
        <w:t xml:space="preserve"> 166-177.</w:t>
      </w:r>
    </w:p>
    <w:p w:rsidR="00D80655" w:rsidRPr="00D15175" w:rsidRDefault="000F6CEF" w:rsidP="009C0498">
      <w:pPr>
        <w:spacing w:before="240" w:after="80"/>
        <w:rPr>
          <w:b/>
          <w:lang w:val="fr-BE"/>
        </w:rPr>
      </w:pPr>
      <w:proofErr w:type="gramStart"/>
      <w:r w:rsidRPr="000F6CEF">
        <w:rPr>
          <w:b/>
          <w:lang w:val="fr-BE"/>
        </w:rPr>
        <w:t>Annexe</w:t>
      </w:r>
      <w:r w:rsidR="001C6536">
        <w:rPr>
          <w:b/>
          <w:lang w:val="fr-BE"/>
        </w:rPr>
        <w:t xml:space="preserve"> -</w:t>
      </w:r>
      <w:proofErr w:type="gramEnd"/>
      <w:r w:rsidR="001C6536">
        <w:rPr>
          <w:b/>
          <w:lang w:val="fr-BE"/>
        </w:rPr>
        <w:t xml:space="preserve"> </w:t>
      </w:r>
      <w:r w:rsidR="00D80655" w:rsidRPr="00D15175">
        <w:rPr>
          <w:b/>
          <w:lang w:val="fr-BE"/>
        </w:rPr>
        <w:t>Le corpus</w:t>
      </w:r>
    </w:p>
    <w:p w:rsidR="000F6CEF" w:rsidRPr="00237AD9" w:rsidRDefault="000F6CEF" w:rsidP="00D52757">
      <w:pPr>
        <w:rPr>
          <w:b/>
          <w:sz w:val="20"/>
          <w:szCs w:val="20"/>
          <w:lang w:val="fr-BE"/>
        </w:rPr>
      </w:pPr>
    </w:p>
    <w:tbl>
      <w:tblPr>
        <w:tblStyle w:val="Grilledutableau"/>
        <w:tblW w:w="0" w:type="auto"/>
        <w:tblLook w:val="04A0" w:firstRow="1" w:lastRow="0" w:firstColumn="1" w:lastColumn="0" w:noHBand="0" w:noVBand="1"/>
      </w:tblPr>
      <w:tblGrid>
        <w:gridCol w:w="1696"/>
        <w:gridCol w:w="1843"/>
        <w:gridCol w:w="1843"/>
        <w:gridCol w:w="1843"/>
      </w:tblGrid>
      <w:tr w:rsidR="00CA506F" w:rsidRPr="003C7DDF" w:rsidTr="00582B3F">
        <w:tc>
          <w:tcPr>
            <w:tcW w:w="1696" w:type="dxa"/>
          </w:tcPr>
          <w:p w:rsidR="00CA506F" w:rsidRPr="00854EB7" w:rsidRDefault="00CA506F" w:rsidP="00CA506F">
            <w:pPr>
              <w:suppressAutoHyphens w:val="0"/>
              <w:rPr>
                <w:b/>
                <w:color w:val="000000"/>
                <w:sz w:val="18"/>
                <w:szCs w:val="18"/>
                <w:lang w:eastAsia="fr-FR"/>
              </w:rPr>
            </w:pPr>
            <w:r w:rsidRPr="00854EB7">
              <w:rPr>
                <w:b/>
                <w:color w:val="000000"/>
                <w:sz w:val="18"/>
                <w:szCs w:val="18"/>
              </w:rPr>
              <w:t>Sous-corpus</w:t>
            </w:r>
          </w:p>
        </w:tc>
        <w:tc>
          <w:tcPr>
            <w:tcW w:w="1843" w:type="dxa"/>
          </w:tcPr>
          <w:p w:rsidR="00CA506F" w:rsidRPr="00854EB7" w:rsidRDefault="00CA506F" w:rsidP="00CA506F">
            <w:pPr>
              <w:jc w:val="right"/>
              <w:rPr>
                <w:b/>
                <w:color w:val="000000"/>
                <w:sz w:val="18"/>
                <w:szCs w:val="18"/>
              </w:rPr>
            </w:pPr>
            <w:r w:rsidRPr="00854EB7">
              <w:rPr>
                <w:b/>
                <w:color w:val="000000"/>
                <w:sz w:val="18"/>
                <w:szCs w:val="18"/>
              </w:rPr>
              <w:t>Nombre de formes</w:t>
            </w:r>
          </w:p>
        </w:tc>
        <w:tc>
          <w:tcPr>
            <w:tcW w:w="1843" w:type="dxa"/>
          </w:tcPr>
          <w:p w:rsidR="00CA506F" w:rsidRPr="00854EB7" w:rsidRDefault="00CA506F" w:rsidP="00CA506F">
            <w:pPr>
              <w:suppressAutoHyphens w:val="0"/>
              <w:rPr>
                <w:b/>
                <w:color w:val="000000"/>
                <w:sz w:val="18"/>
                <w:szCs w:val="18"/>
                <w:lang w:eastAsia="fr-FR"/>
              </w:rPr>
            </w:pPr>
            <w:r w:rsidRPr="00854EB7">
              <w:rPr>
                <w:b/>
                <w:color w:val="000000"/>
                <w:sz w:val="18"/>
                <w:szCs w:val="18"/>
              </w:rPr>
              <w:t>Sous-corpus</w:t>
            </w:r>
          </w:p>
        </w:tc>
        <w:tc>
          <w:tcPr>
            <w:tcW w:w="1843" w:type="dxa"/>
          </w:tcPr>
          <w:p w:rsidR="00CA506F" w:rsidRPr="00854EB7" w:rsidRDefault="00CA506F" w:rsidP="00CA506F">
            <w:pPr>
              <w:jc w:val="right"/>
              <w:rPr>
                <w:b/>
                <w:color w:val="000000"/>
                <w:sz w:val="18"/>
                <w:szCs w:val="18"/>
              </w:rPr>
            </w:pPr>
            <w:r w:rsidRPr="00854EB7">
              <w:rPr>
                <w:b/>
                <w:color w:val="000000"/>
                <w:sz w:val="18"/>
                <w:szCs w:val="18"/>
              </w:rPr>
              <w:t>Nombre de formes</w:t>
            </w:r>
          </w:p>
        </w:tc>
      </w:tr>
      <w:tr w:rsidR="00CA506F" w:rsidRPr="003C7DDF" w:rsidTr="006D5635">
        <w:tc>
          <w:tcPr>
            <w:tcW w:w="1696" w:type="dxa"/>
            <w:vAlign w:val="bottom"/>
          </w:tcPr>
          <w:p w:rsidR="00CA506F" w:rsidRPr="00216EB7" w:rsidRDefault="00CA506F" w:rsidP="00CA506F">
            <w:pPr>
              <w:suppressAutoHyphens w:val="0"/>
              <w:rPr>
                <w:i/>
                <w:color w:val="000000"/>
                <w:sz w:val="18"/>
                <w:szCs w:val="18"/>
                <w:lang w:eastAsia="fr-FR"/>
              </w:rPr>
            </w:pPr>
            <w:r w:rsidRPr="00216EB7">
              <w:rPr>
                <w:i/>
                <w:color w:val="000000"/>
                <w:sz w:val="18"/>
                <w:szCs w:val="18"/>
              </w:rPr>
              <w:t>Le Figaro</w:t>
            </w:r>
          </w:p>
        </w:tc>
        <w:tc>
          <w:tcPr>
            <w:tcW w:w="1843" w:type="dxa"/>
            <w:vAlign w:val="bottom"/>
          </w:tcPr>
          <w:p w:rsidR="00CA506F" w:rsidRPr="00854EB7" w:rsidRDefault="00CA506F" w:rsidP="00CA506F">
            <w:pPr>
              <w:jc w:val="right"/>
              <w:rPr>
                <w:color w:val="000000"/>
                <w:sz w:val="18"/>
                <w:szCs w:val="18"/>
              </w:rPr>
            </w:pPr>
            <w:r w:rsidRPr="00854EB7">
              <w:rPr>
                <w:color w:val="000000"/>
                <w:sz w:val="18"/>
                <w:szCs w:val="18"/>
              </w:rPr>
              <w:t>1552842</w:t>
            </w:r>
          </w:p>
        </w:tc>
        <w:tc>
          <w:tcPr>
            <w:tcW w:w="1843" w:type="dxa"/>
            <w:vAlign w:val="bottom"/>
          </w:tcPr>
          <w:p w:rsidR="00CA506F" w:rsidRPr="00216EB7" w:rsidRDefault="00CA506F" w:rsidP="00CA506F">
            <w:pPr>
              <w:rPr>
                <w:i/>
                <w:color w:val="000000"/>
                <w:sz w:val="18"/>
                <w:szCs w:val="18"/>
              </w:rPr>
            </w:pPr>
            <w:r w:rsidRPr="00216EB7">
              <w:rPr>
                <w:i/>
                <w:color w:val="000000"/>
                <w:sz w:val="18"/>
                <w:szCs w:val="18"/>
              </w:rPr>
              <w:t>L’Est Républicain</w:t>
            </w:r>
          </w:p>
        </w:tc>
        <w:tc>
          <w:tcPr>
            <w:tcW w:w="1843" w:type="dxa"/>
            <w:vAlign w:val="bottom"/>
          </w:tcPr>
          <w:p w:rsidR="00CA506F" w:rsidRPr="00854EB7" w:rsidRDefault="00CA506F" w:rsidP="00CA506F">
            <w:pPr>
              <w:jc w:val="right"/>
              <w:rPr>
                <w:color w:val="000000"/>
                <w:sz w:val="18"/>
                <w:szCs w:val="18"/>
              </w:rPr>
            </w:pPr>
            <w:r w:rsidRPr="00854EB7">
              <w:rPr>
                <w:color w:val="000000"/>
                <w:sz w:val="18"/>
                <w:szCs w:val="18"/>
              </w:rPr>
              <w:t>1743122</w:t>
            </w:r>
          </w:p>
        </w:tc>
      </w:tr>
      <w:tr w:rsidR="00CA506F" w:rsidRPr="003C7DDF" w:rsidTr="006D5635">
        <w:tc>
          <w:tcPr>
            <w:tcW w:w="1696" w:type="dxa"/>
            <w:vAlign w:val="bottom"/>
          </w:tcPr>
          <w:p w:rsidR="00CA506F" w:rsidRPr="00216EB7" w:rsidRDefault="00CA506F" w:rsidP="00CA506F">
            <w:pPr>
              <w:rPr>
                <w:i/>
                <w:color w:val="000000"/>
                <w:sz w:val="18"/>
                <w:szCs w:val="18"/>
              </w:rPr>
            </w:pPr>
            <w:r w:rsidRPr="00216EB7">
              <w:rPr>
                <w:i/>
                <w:color w:val="000000"/>
                <w:sz w:val="18"/>
                <w:szCs w:val="18"/>
              </w:rPr>
              <w:t>Libération</w:t>
            </w:r>
          </w:p>
        </w:tc>
        <w:tc>
          <w:tcPr>
            <w:tcW w:w="1843" w:type="dxa"/>
            <w:vAlign w:val="bottom"/>
          </w:tcPr>
          <w:p w:rsidR="00CA506F" w:rsidRPr="00854EB7" w:rsidRDefault="00CA506F" w:rsidP="00CA506F">
            <w:pPr>
              <w:jc w:val="right"/>
              <w:rPr>
                <w:color w:val="000000"/>
                <w:sz w:val="18"/>
                <w:szCs w:val="18"/>
              </w:rPr>
            </w:pPr>
            <w:r w:rsidRPr="00854EB7">
              <w:rPr>
                <w:color w:val="000000"/>
                <w:sz w:val="18"/>
                <w:szCs w:val="18"/>
              </w:rPr>
              <w:t>1695772</w:t>
            </w:r>
          </w:p>
        </w:tc>
        <w:tc>
          <w:tcPr>
            <w:tcW w:w="1843" w:type="dxa"/>
            <w:vAlign w:val="bottom"/>
          </w:tcPr>
          <w:p w:rsidR="00CA506F" w:rsidRPr="00216EB7" w:rsidRDefault="00CA506F" w:rsidP="00CA506F">
            <w:pPr>
              <w:suppressAutoHyphens w:val="0"/>
              <w:rPr>
                <w:i/>
                <w:color w:val="000000"/>
                <w:sz w:val="18"/>
                <w:szCs w:val="18"/>
                <w:lang w:eastAsia="fr-FR"/>
              </w:rPr>
            </w:pPr>
            <w:r w:rsidRPr="00216EB7">
              <w:rPr>
                <w:i/>
                <w:color w:val="000000"/>
                <w:sz w:val="18"/>
                <w:szCs w:val="18"/>
              </w:rPr>
              <w:t>Roman Policier</w:t>
            </w:r>
          </w:p>
        </w:tc>
        <w:tc>
          <w:tcPr>
            <w:tcW w:w="1843" w:type="dxa"/>
            <w:vAlign w:val="bottom"/>
          </w:tcPr>
          <w:p w:rsidR="00CA506F" w:rsidRPr="00854EB7" w:rsidRDefault="00CA506F" w:rsidP="00CA506F">
            <w:pPr>
              <w:jc w:val="right"/>
              <w:rPr>
                <w:color w:val="000000"/>
                <w:sz w:val="18"/>
                <w:szCs w:val="18"/>
              </w:rPr>
            </w:pPr>
            <w:r w:rsidRPr="00854EB7">
              <w:rPr>
                <w:color w:val="000000"/>
                <w:sz w:val="18"/>
                <w:szCs w:val="18"/>
              </w:rPr>
              <w:t>3449740</w:t>
            </w:r>
          </w:p>
        </w:tc>
      </w:tr>
      <w:tr w:rsidR="00CA506F" w:rsidRPr="003C7DDF" w:rsidTr="006D5635">
        <w:tc>
          <w:tcPr>
            <w:tcW w:w="1696" w:type="dxa"/>
            <w:vAlign w:val="bottom"/>
          </w:tcPr>
          <w:p w:rsidR="00CA506F" w:rsidRPr="00216EB7" w:rsidRDefault="00CA506F" w:rsidP="00CA506F">
            <w:pPr>
              <w:rPr>
                <w:i/>
                <w:color w:val="000000"/>
                <w:sz w:val="18"/>
                <w:szCs w:val="18"/>
              </w:rPr>
            </w:pPr>
            <w:r w:rsidRPr="00216EB7">
              <w:rPr>
                <w:i/>
                <w:color w:val="000000"/>
                <w:sz w:val="18"/>
                <w:szCs w:val="18"/>
              </w:rPr>
              <w:t>Le Monde</w:t>
            </w:r>
          </w:p>
        </w:tc>
        <w:tc>
          <w:tcPr>
            <w:tcW w:w="1843" w:type="dxa"/>
            <w:vAlign w:val="bottom"/>
          </w:tcPr>
          <w:p w:rsidR="00CA506F" w:rsidRPr="00854EB7" w:rsidRDefault="00CA506F" w:rsidP="00CA506F">
            <w:pPr>
              <w:jc w:val="right"/>
              <w:rPr>
                <w:color w:val="000000"/>
                <w:sz w:val="18"/>
                <w:szCs w:val="18"/>
              </w:rPr>
            </w:pPr>
            <w:r w:rsidRPr="00854EB7">
              <w:rPr>
                <w:color w:val="000000"/>
                <w:sz w:val="18"/>
                <w:szCs w:val="18"/>
              </w:rPr>
              <w:t>1620852</w:t>
            </w:r>
          </w:p>
        </w:tc>
        <w:tc>
          <w:tcPr>
            <w:tcW w:w="1843" w:type="dxa"/>
            <w:vAlign w:val="bottom"/>
          </w:tcPr>
          <w:p w:rsidR="00CA506F" w:rsidRPr="00216EB7" w:rsidRDefault="00CA506F" w:rsidP="00CA506F">
            <w:pPr>
              <w:rPr>
                <w:i/>
                <w:color w:val="000000"/>
                <w:sz w:val="18"/>
                <w:szCs w:val="18"/>
              </w:rPr>
            </w:pPr>
            <w:r w:rsidRPr="00216EB7">
              <w:rPr>
                <w:i/>
                <w:color w:val="000000"/>
                <w:sz w:val="18"/>
                <w:szCs w:val="18"/>
              </w:rPr>
              <w:t>Roman Sérieux</w:t>
            </w:r>
          </w:p>
        </w:tc>
        <w:tc>
          <w:tcPr>
            <w:tcW w:w="1843" w:type="dxa"/>
            <w:vAlign w:val="bottom"/>
          </w:tcPr>
          <w:p w:rsidR="00CA506F" w:rsidRPr="00854EB7" w:rsidRDefault="00CA506F" w:rsidP="00CA506F">
            <w:pPr>
              <w:jc w:val="right"/>
              <w:rPr>
                <w:color w:val="000000"/>
                <w:sz w:val="18"/>
                <w:szCs w:val="18"/>
              </w:rPr>
            </w:pPr>
            <w:r w:rsidRPr="00854EB7">
              <w:rPr>
                <w:color w:val="000000"/>
                <w:sz w:val="18"/>
                <w:szCs w:val="18"/>
              </w:rPr>
              <w:t>3125014</w:t>
            </w:r>
          </w:p>
        </w:tc>
      </w:tr>
      <w:tr w:rsidR="00CA506F" w:rsidRPr="003C7DDF" w:rsidTr="006D5635">
        <w:tc>
          <w:tcPr>
            <w:tcW w:w="1696" w:type="dxa"/>
            <w:vAlign w:val="bottom"/>
          </w:tcPr>
          <w:p w:rsidR="00CA506F" w:rsidRPr="00216EB7" w:rsidRDefault="00CA506F" w:rsidP="00CA506F">
            <w:pPr>
              <w:rPr>
                <w:i/>
                <w:color w:val="000000"/>
                <w:sz w:val="18"/>
                <w:szCs w:val="18"/>
              </w:rPr>
            </w:pPr>
            <w:r w:rsidRPr="00216EB7">
              <w:rPr>
                <w:i/>
                <w:color w:val="000000"/>
                <w:sz w:val="18"/>
                <w:szCs w:val="18"/>
              </w:rPr>
              <w:t>Ouest-France</w:t>
            </w:r>
          </w:p>
        </w:tc>
        <w:tc>
          <w:tcPr>
            <w:tcW w:w="1843" w:type="dxa"/>
            <w:vAlign w:val="bottom"/>
          </w:tcPr>
          <w:p w:rsidR="00CA506F" w:rsidRPr="00854EB7" w:rsidRDefault="00CA506F" w:rsidP="00CA506F">
            <w:pPr>
              <w:jc w:val="right"/>
              <w:rPr>
                <w:color w:val="000000"/>
                <w:sz w:val="18"/>
                <w:szCs w:val="18"/>
              </w:rPr>
            </w:pPr>
            <w:r w:rsidRPr="00854EB7">
              <w:rPr>
                <w:color w:val="000000"/>
                <w:sz w:val="18"/>
                <w:szCs w:val="18"/>
              </w:rPr>
              <w:t>1581703</w:t>
            </w:r>
          </w:p>
        </w:tc>
        <w:tc>
          <w:tcPr>
            <w:tcW w:w="1843" w:type="dxa"/>
            <w:vAlign w:val="bottom"/>
          </w:tcPr>
          <w:p w:rsidR="00CA506F" w:rsidRPr="00216EB7" w:rsidRDefault="00CA506F" w:rsidP="00CA506F">
            <w:pPr>
              <w:rPr>
                <w:i/>
                <w:color w:val="000000"/>
                <w:sz w:val="18"/>
                <w:szCs w:val="18"/>
              </w:rPr>
            </w:pPr>
            <w:proofErr w:type="spellStart"/>
            <w:r w:rsidRPr="00216EB7">
              <w:rPr>
                <w:i/>
                <w:color w:val="000000"/>
                <w:sz w:val="18"/>
                <w:szCs w:val="18"/>
              </w:rPr>
              <w:t>Harlequin</w:t>
            </w:r>
            <w:proofErr w:type="spellEnd"/>
          </w:p>
        </w:tc>
        <w:tc>
          <w:tcPr>
            <w:tcW w:w="1843" w:type="dxa"/>
            <w:vAlign w:val="bottom"/>
          </w:tcPr>
          <w:p w:rsidR="00CA506F" w:rsidRPr="00854EB7" w:rsidRDefault="00CA506F" w:rsidP="00CA506F">
            <w:pPr>
              <w:jc w:val="right"/>
              <w:rPr>
                <w:color w:val="000000"/>
                <w:sz w:val="18"/>
                <w:szCs w:val="18"/>
              </w:rPr>
            </w:pPr>
            <w:r w:rsidRPr="00854EB7">
              <w:rPr>
                <w:color w:val="000000"/>
                <w:sz w:val="18"/>
                <w:szCs w:val="18"/>
              </w:rPr>
              <w:t>3523252</w:t>
            </w:r>
          </w:p>
        </w:tc>
      </w:tr>
      <w:tr w:rsidR="00CA506F" w:rsidRPr="003C7DDF" w:rsidTr="00CA506F">
        <w:trPr>
          <w:gridAfter w:val="2"/>
          <w:wAfter w:w="3686" w:type="dxa"/>
        </w:trPr>
        <w:tc>
          <w:tcPr>
            <w:tcW w:w="1696" w:type="dxa"/>
            <w:vAlign w:val="bottom"/>
          </w:tcPr>
          <w:p w:rsidR="00CA506F" w:rsidRPr="00216EB7" w:rsidRDefault="00CA506F" w:rsidP="00CA506F">
            <w:pPr>
              <w:rPr>
                <w:i/>
                <w:color w:val="000000"/>
                <w:sz w:val="18"/>
                <w:szCs w:val="18"/>
              </w:rPr>
            </w:pPr>
            <w:r w:rsidRPr="00216EB7">
              <w:rPr>
                <w:i/>
                <w:color w:val="000000"/>
                <w:sz w:val="18"/>
                <w:szCs w:val="18"/>
              </w:rPr>
              <w:t>Sud-Ouest</w:t>
            </w:r>
          </w:p>
        </w:tc>
        <w:tc>
          <w:tcPr>
            <w:tcW w:w="1843" w:type="dxa"/>
            <w:vAlign w:val="bottom"/>
          </w:tcPr>
          <w:p w:rsidR="00CA506F" w:rsidRPr="00854EB7" w:rsidRDefault="00CA506F" w:rsidP="00CA506F">
            <w:pPr>
              <w:jc w:val="right"/>
              <w:rPr>
                <w:color w:val="000000"/>
                <w:sz w:val="18"/>
                <w:szCs w:val="18"/>
              </w:rPr>
            </w:pPr>
            <w:r w:rsidRPr="00854EB7">
              <w:rPr>
                <w:color w:val="000000"/>
                <w:sz w:val="18"/>
                <w:szCs w:val="18"/>
              </w:rPr>
              <w:t>1705856</w:t>
            </w:r>
          </w:p>
        </w:tc>
      </w:tr>
    </w:tbl>
    <w:p w:rsidR="0022558E" w:rsidRDefault="0022558E" w:rsidP="00FB028C">
      <w:pPr>
        <w:spacing w:before="120"/>
        <w:rPr>
          <w:lang w:val="fr-BE"/>
        </w:rPr>
      </w:pPr>
    </w:p>
    <w:sectPr w:rsidR="0022558E" w:rsidSect="00D46A3B">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630" w:rsidRDefault="00D22630" w:rsidP="00ED748C">
      <w:r>
        <w:separator/>
      </w:r>
    </w:p>
  </w:endnote>
  <w:endnote w:type="continuationSeparator" w:id="0">
    <w:p w:rsidR="00D22630" w:rsidRDefault="00D22630" w:rsidP="00ED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4D5" w:rsidRDefault="00DC04D5">
    <w:pPr>
      <w:pStyle w:val="Pieddepage"/>
      <w:jc w:val="right"/>
    </w:pPr>
  </w:p>
  <w:p w:rsidR="00DC04D5" w:rsidRDefault="00DC04D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4D5" w:rsidRDefault="00DC04D5" w:rsidP="00EC1583">
    <w:pPr>
      <w:pStyle w:val="Pieddepage"/>
      <w:pBdr>
        <w:top w:val="single" w:sz="4" w:space="1" w:color="auto"/>
      </w:pBdr>
      <w:jc w:val="center"/>
    </w:pPr>
    <w:r>
      <w:rPr>
        <w:sz w:val="22"/>
      </w:rPr>
      <w:t>JADT 2016 : 13ème Journées internationales d’Analyse statistique des Données Textuelles</w:t>
    </w:r>
  </w:p>
  <w:p w:rsidR="00DC04D5" w:rsidRDefault="00DC04D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630" w:rsidRDefault="00D22630" w:rsidP="00ED748C">
      <w:r>
        <w:separator/>
      </w:r>
    </w:p>
  </w:footnote>
  <w:footnote w:type="continuationSeparator" w:id="0">
    <w:p w:rsidR="00D22630" w:rsidRDefault="00D22630" w:rsidP="00ED748C">
      <w:r>
        <w:continuationSeparator/>
      </w:r>
    </w:p>
  </w:footnote>
  <w:footnote w:id="1">
    <w:p w:rsidR="00DC04D5" w:rsidRDefault="00DC04D5" w:rsidP="005A1591">
      <w:pPr>
        <w:pStyle w:val="Notedebasdepage"/>
        <w:jc w:val="both"/>
      </w:pPr>
      <w:r>
        <w:rPr>
          <w:rStyle w:val="Appelnotedebasdep"/>
        </w:rPr>
        <w:footnoteRef/>
      </w:r>
      <w:r>
        <w:t xml:space="preserve"> Voir </w:t>
      </w:r>
      <w:proofErr w:type="spellStart"/>
      <w:r>
        <w:rPr>
          <w:lang w:val="fr-BE"/>
        </w:rPr>
        <w:t>Longrée</w:t>
      </w:r>
      <w:proofErr w:type="spellEnd"/>
      <w:r>
        <w:rPr>
          <w:lang w:val="fr-BE"/>
        </w:rPr>
        <w:t xml:space="preserve">, </w:t>
      </w:r>
      <w:r>
        <w:t xml:space="preserve">Luong </w:t>
      </w:r>
      <w:r>
        <w:rPr>
          <w:lang w:val="fr-BE"/>
        </w:rPr>
        <w:t xml:space="preserve">&amp; </w:t>
      </w:r>
      <w:proofErr w:type="spellStart"/>
      <w:r>
        <w:rPr>
          <w:lang w:val="fr-BE"/>
        </w:rPr>
        <w:t>Mellet</w:t>
      </w:r>
      <w:proofErr w:type="spellEnd"/>
      <w:r>
        <w:rPr>
          <w:lang w:val="fr-BE"/>
        </w:rPr>
        <w:t xml:space="preserve"> (2008). Voir également</w:t>
      </w:r>
      <w:r>
        <w:t xml:space="preserve">, </w:t>
      </w:r>
      <w:proofErr w:type="spellStart"/>
      <w:r>
        <w:t>Quiniou</w:t>
      </w:r>
      <w:proofErr w:type="spellEnd"/>
      <w:r>
        <w:t>, Cellier</w:t>
      </w:r>
      <w:r w:rsidRPr="00B9015E">
        <w:t xml:space="preserve">, </w:t>
      </w:r>
      <w:proofErr w:type="spellStart"/>
      <w:r w:rsidRPr="00B9015E">
        <w:t>Charno</w:t>
      </w:r>
      <w:r>
        <w:t>is</w:t>
      </w:r>
      <w:proofErr w:type="spellEnd"/>
      <w:r>
        <w:t xml:space="preserve"> &amp; </w:t>
      </w:r>
      <w:proofErr w:type="spellStart"/>
      <w:r>
        <w:t>Legallois</w:t>
      </w:r>
      <w:proofErr w:type="spellEnd"/>
      <w:r>
        <w:t xml:space="preserve"> (2012), </w:t>
      </w:r>
      <w:proofErr w:type="spellStart"/>
      <w:r>
        <w:t>Legallois</w:t>
      </w:r>
      <w:proofErr w:type="spellEnd"/>
      <w:r>
        <w:t xml:space="preserve">, </w:t>
      </w:r>
      <w:proofErr w:type="spellStart"/>
      <w:r>
        <w:t>Charnois</w:t>
      </w:r>
      <w:proofErr w:type="spellEnd"/>
      <w:r>
        <w:t xml:space="preserve"> &amp;</w:t>
      </w:r>
      <w:r w:rsidRPr="009A643A">
        <w:t xml:space="preserve"> </w:t>
      </w:r>
      <w:proofErr w:type="spellStart"/>
      <w:r>
        <w:t>Poibeau</w:t>
      </w:r>
      <w:proofErr w:type="spellEnd"/>
      <w:r w:rsidRPr="009A643A">
        <w:t xml:space="preserve">. </w:t>
      </w:r>
      <w:r>
        <w:rPr>
          <w:lang w:val="fr-BE"/>
        </w:rPr>
        <w:t>(</w:t>
      </w:r>
      <w:proofErr w:type="gramStart"/>
      <w:r>
        <w:rPr>
          <w:lang w:val="fr-BE"/>
        </w:rPr>
        <w:t>à</w:t>
      </w:r>
      <w:proofErr w:type="gramEnd"/>
      <w:r>
        <w:rPr>
          <w:lang w:val="fr-BE"/>
        </w:rPr>
        <w:t xml:space="preserve"> </w:t>
      </w:r>
      <w:proofErr w:type="spellStart"/>
      <w:r>
        <w:rPr>
          <w:lang w:val="fr-BE"/>
        </w:rPr>
        <w:t>par</w:t>
      </w:r>
      <w:proofErr w:type="spellEnd"/>
      <w:r>
        <w:rPr>
          <w:lang w:val="fr-BE"/>
        </w:rPr>
        <w:t xml:space="preserve">.) </w:t>
      </w:r>
      <w:proofErr w:type="gramStart"/>
      <w:r>
        <w:rPr>
          <w:lang w:val="fr-BE"/>
        </w:rPr>
        <w:t>pour</w:t>
      </w:r>
      <w:proofErr w:type="gramEnd"/>
      <w:r>
        <w:rPr>
          <w:lang w:val="fr-BE"/>
        </w:rPr>
        <w:t xml:space="preserve"> des approches sensiblement différentes.</w:t>
      </w:r>
    </w:p>
  </w:footnote>
  <w:footnote w:id="2">
    <w:p w:rsidR="00DC04D5" w:rsidRDefault="00DC04D5">
      <w:pPr>
        <w:pStyle w:val="Notedebasdepage"/>
      </w:pPr>
      <w:r>
        <w:rPr>
          <w:rStyle w:val="Appelnotedebasdep"/>
        </w:rPr>
        <w:footnoteRef/>
      </w:r>
      <w:r>
        <w:t xml:space="preserve"> Les journaux ont été publiés entre 2010 et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4D5" w:rsidRPr="00634787" w:rsidRDefault="00DC04D5" w:rsidP="00634787">
    <w:pPr>
      <w:pStyle w:val="En-tte"/>
      <w:jc w:val="center"/>
      <w:rPr>
        <w:smallCaps/>
        <w:sz w:val="22"/>
        <w:szCs w:val="22"/>
      </w:rPr>
    </w:pPr>
    <w:proofErr w:type="spellStart"/>
    <w:r w:rsidRPr="00634787">
      <w:rPr>
        <w:smallCaps/>
        <w:sz w:val="22"/>
        <w:szCs w:val="22"/>
      </w:rPr>
      <w:t>Veronique</w:t>
    </w:r>
    <w:proofErr w:type="spellEnd"/>
    <w:r w:rsidRPr="00634787">
      <w:rPr>
        <w:smallCaps/>
        <w:sz w:val="22"/>
        <w:szCs w:val="22"/>
      </w:rPr>
      <w:t xml:space="preserve"> </w:t>
    </w:r>
    <w:proofErr w:type="spellStart"/>
    <w:r w:rsidRPr="00634787">
      <w:rPr>
        <w:smallCaps/>
        <w:sz w:val="22"/>
        <w:szCs w:val="22"/>
      </w:rPr>
      <w:t>magri</w:t>
    </w:r>
    <w:proofErr w:type="spellEnd"/>
    <w:r w:rsidRPr="00634787">
      <w:rPr>
        <w:smallCaps/>
        <w:sz w:val="22"/>
        <w:szCs w:val="22"/>
      </w:rPr>
      <w:t xml:space="preserve">, </w:t>
    </w:r>
    <w:proofErr w:type="spellStart"/>
    <w:r w:rsidRPr="00634787">
      <w:rPr>
        <w:smallCaps/>
        <w:sz w:val="22"/>
        <w:szCs w:val="22"/>
      </w:rPr>
      <w:t>gérald</w:t>
    </w:r>
    <w:proofErr w:type="spellEnd"/>
    <w:r w:rsidRPr="00634787">
      <w:rPr>
        <w:smallCaps/>
        <w:sz w:val="22"/>
        <w:szCs w:val="22"/>
      </w:rPr>
      <w:t xml:space="preserve"> </w:t>
    </w:r>
    <w:proofErr w:type="spellStart"/>
    <w:r w:rsidRPr="00634787">
      <w:rPr>
        <w:smallCaps/>
        <w:sz w:val="22"/>
        <w:szCs w:val="22"/>
      </w:rPr>
      <w:t>purnelle</w:t>
    </w:r>
    <w:proofErr w:type="spellEnd"/>
    <w:r w:rsidRPr="00634787">
      <w:rPr>
        <w:smallCaps/>
        <w:sz w:val="22"/>
        <w:szCs w:val="22"/>
      </w:rPr>
      <w:t xml:space="preserve">, Dominique </w:t>
    </w:r>
    <w:proofErr w:type="spellStart"/>
    <w:r w:rsidRPr="00634787">
      <w:rPr>
        <w:smallCaps/>
        <w:sz w:val="22"/>
        <w:szCs w:val="22"/>
      </w:rPr>
      <w:t>legallois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4D5" w:rsidRPr="00477715" w:rsidRDefault="00DC04D5" w:rsidP="00477715">
    <w:pPr>
      <w:pStyle w:val="Title1"/>
      <w:spacing w:before="0" w:after="0"/>
      <w:rPr>
        <w:b w:val="0"/>
        <w:smallCaps/>
        <w:kern w:val="28"/>
        <w:sz w:val="22"/>
        <w:szCs w:val="22"/>
      </w:rPr>
    </w:pPr>
    <w:r w:rsidRPr="00477715">
      <w:rPr>
        <w:b w:val="0"/>
        <w:smallCaps/>
        <w:kern w:val="28"/>
        <w:sz w:val="22"/>
        <w:szCs w:val="22"/>
      </w:rPr>
      <w:t>les suites [Nom préposition Nom] comme indices de littérarité ?</w:t>
    </w:r>
  </w:p>
  <w:p w:rsidR="00DC04D5" w:rsidRDefault="00DC04D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4D5" w:rsidRDefault="00DC04D5" w:rsidP="009139B0">
    <w:pPr>
      <w:pStyle w:val="En-tte"/>
    </w:pPr>
  </w:p>
  <w:p w:rsidR="00DC04D5" w:rsidRDefault="00DC04D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13378"/>
    <w:multiLevelType w:val="hybridMultilevel"/>
    <w:tmpl w:val="BFD03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2614C3"/>
    <w:multiLevelType w:val="multilevel"/>
    <w:tmpl w:val="889E97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C16"/>
    <w:rsid w:val="00004225"/>
    <w:rsid w:val="0001158F"/>
    <w:rsid w:val="00013AEB"/>
    <w:rsid w:val="00014B54"/>
    <w:rsid w:val="0002130D"/>
    <w:rsid w:val="00021FC7"/>
    <w:rsid w:val="00023027"/>
    <w:rsid w:val="0004105C"/>
    <w:rsid w:val="000439E3"/>
    <w:rsid w:val="0004717C"/>
    <w:rsid w:val="000515AE"/>
    <w:rsid w:val="0005164D"/>
    <w:rsid w:val="0005566B"/>
    <w:rsid w:val="000611ED"/>
    <w:rsid w:val="00064FC3"/>
    <w:rsid w:val="00070337"/>
    <w:rsid w:val="00072132"/>
    <w:rsid w:val="0007224B"/>
    <w:rsid w:val="0009083E"/>
    <w:rsid w:val="0009499E"/>
    <w:rsid w:val="00097C13"/>
    <w:rsid w:val="000B53CB"/>
    <w:rsid w:val="000B5862"/>
    <w:rsid w:val="000B6578"/>
    <w:rsid w:val="000C02B5"/>
    <w:rsid w:val="000C10A1"/>
    <w:rsid w:val="000C23A1"/>
    <w:rsid w:val="000E0940"/>
    <w:rsid w:val="000E314A"/>
    <w:rsid w:val="000F6CEF"/>
    <w:rsid w:val="0010562C"/>
    <w:rsid w:val="001071C9"/>
    <w:rsid w:val="00122019"/>
    <w:rsid w:val="00127535"/>
    <w:rsid w:val="00131E38"/>
    <w:rsid w:val="00131E4C"/>
    <w:rsid w:val="0013585C"/>
    <w:rsid w:val="00144171"/>
    <w:rsid w:val="00145623"/>
    <w:rsid w:val="00155661"/>
    <w:rsid w:val="001573E5"/>
    <w:rsid w:val="00162ACB"/>
    <w:rsid w:val="00164C76"/>
    <w:rsid w:val="00165D9D"/>
    <w:rsid w:val="001713E9"/>
    <w:rsid w:val="00172840"/>
    <w:rsid w:val="001779E9"/>
    <w:rsid w:val="0018072E"/>
    <w:rsid w:val="0018195F"/>
    <w:rsid w:val="001927BD"/>
    <w:rsid w:val="001A035C"/>
    <w:rsid w:val="001A25FF"/>
    <w:rsid w:val="001A45FB"/>
    <w:rsid w:val="001A6A97"/>
    <w:rsid w:val="001B0CFF"/>
    <w:rsid w:val="001B1F38"/>
    <w:rsid w:val="001C593B"/>
    <w:rsid w:val="001C6536"/>
    <w:rsid w:val="001D7C3A"/>
    <w:rsid w:val="001E5D53"/>
    <w:rsid w:val="001F1F6F"/>
    <w:rsid w:val="001F36BA"/>
    <w:rsid w:val="001F4B46"/>
    <w:rsid w:val="00202355"/>
    <w:rsid w:val="0020247A"/>
    <w:rsid w:val="0020265E"/>
    <w:rsid w:val="00205FB0"/>
    <w:rsid w:val="00215441"/>
    <w:rsid w:val="0021547B"/>
    <w:rsid w:val="00215E9B"/>
    <w:rsid w:val="00216724"/>
    <w:rsid w:val="00216EB7"/>
    <w:rsid w:val="0022558E"/>
    <w:rsid w:val="00235E9D"/>
    <w:rsid w:val="00237AD9"/>
    <w:rsid w:val="00243D01"/>
    <w:rsid w:val="002603A5"/>
    <w:rsid w:val="00261C73"/>
    <w:rsid w:val="00276981"/>
    <w:rsid w:val="0028178A"/>
    <w:rsid w:val="002959A6"/>
    <w:rsid w:val="00295D20"/>
    <w:rsid w:val="002A174E"/>
    <w:rsid w:val="002A1DC9"/>
    <w:rsid w:val="002A5CC9"/>
    <w:rsid w:val="002B330C"/>
    <w:rsid w:val="002B7312"/>
    <w:rsid w:val="002D3F00"/>
    <w:rsid w:val="002D4912"/>
    <w:rsid w:val="002E4C6C"/>
    <w:rsid w:val="002E603C"/>
    <w:rsid w:val="002E7702"/>
    <w:rsid w:val="002F1D46"/>
    <w:rsid w:val="002F460D"/>
    <w:rsid w:val="002F4A2B"/>
    <w:rsid w:val="0030742C"/>
    <w:rsid w:val="00310D75"/>
    <w:rsid w:val="003122E2"/>
    <w:rsid w:val="003149F3"/>
    <w:rsid w:val="0032178D"/>
    <w:rsid w:val="0032369E"/>
    <w:rsid w:val="00333897"/>
    <w:rsid w:val="00336B96"/>
    <w:rsid w:val="00341C21"/>
    <w:rsid w:val="00377450"/>
    <w:rsid w:val="003A2F0D"/>
    <w:rsid w:val="003B2D67"/>
    <w:rsid w:val="003B479A"/>
    <w:rsid w:val="003B65CD"/>
    <w:rsid w:val="003C3522"/>
    <w:rsid w:val="003C75D1"/>
    <w:rsid w:val="003C7DDF"/>
    <w:rsid w:val="003D0333"/>
    <w:rsid w:val="003D3056"/>
    <w:rsid w:val="003D3328"/>
    <w:rsid w:val="003D48FE"/>
    <w:rsid w:val="003D51C0"/>
    <w:rsid w:val="003E26F5"/>
    <w:rsid w:val="003F789D"/>
    <w:rsid w:val="003F7C80"/>
    <w:rsid w:val="00413F55"/>
    <w:rsid w:val="00415C2B"/>
    <w:rsid w:val="0042655B"/>
    <w:rsid w:val="004268DA"/>
    <w:rsid w:val="00433263"/>
    <w:rsid w:val="00433C1E"/>
    <w:rsid w:val="00433E5E"/>
    <w:rsid w:val="00437FA9"/>
    <w:rsid w:val="004415C7"/>
    <w:rsid w:val="004469CE"/>
    <w:rsid w:val="00464B1E"/>
    <w:rsid w:val="00464ED9"/>
    <w:rsid w:val="00465079"/>
    <w:rsid w:val="00477715"/>
    <w:rsid w:val="00477F33"/>
    <w:rsid w:val="00482BF9"/>
    <w:rsid w:val="00483123"/>
    <w:rsid w:val="00484763"/>
    <w:rsid w:val="00493D40"/>
    <w:rsid w:val="00497CBB"/>
    <w:rsid w:val="004A11DD"/>
    <w:rsid w:val="004A1365"/>
    <w:rsid w:val="004A306D"/>
    <w:rsid w:val="004B04EE"/>
    <w:rsid w:val="004B1475"/>
    <w:rsid w:val="004B4416"/>
    <w:rsid w:val="004B4E0E"/>
    <w:rsid w:val="004B5F4E"/>
    <w:rsid w:val="004D5416"/>
    <w:rsid w:val="004E27ED"/>
    <w:rsid w:val="004E3F05"/>
    <w:rsid w:val="004F53C8"/>
    <w:rsid w:val="005010DA"/>
    <w:rsid w:val="00505E25"/>
    <w:rsid w:val="0051400A"/>
    <w:rsid w:val="00525C21"/>
    <w:rsid w:val="00526F12"/>
    <w:rsid w:val="00530851"/>
    <w:rsid w:val="0053739C"/>
    <w:rsid w:val="0054667E"/>
    <w:rsid w:val="00552140"/>
    <w:rsid w:val="00553CCD"/>
    <w:rsid w:val="00556872"/>
    <w:rsid w:val="00560DC6"/>
    <w:rsid w:val="005648CA"/>
    <w:rsid w:val="005A1591"/>
    <w:rsid w:val="005B39BC"/>
    <w:rsid w:val="005B5DB2"/>
    <w:rsid w:val="005B6FBC"/>
    <w:rsid w:val="005C5EE3"/>
    <w:rsid w:val="005D4754"/>
    <w:rsid w:val="005D559E"/>
    <w:rsid w:val="005D6A12"/>
    <w:rsid w:val="005E1897"/>
    <w:rsid w:val="005E2EE0"/>
    <w:rsid w:val="005E4A00"/>
    <w:rsid w:val="005E61CC"/>
    <w:rsid w:val="005E6D54"/>
    <w:rsid w:val="005F6ACF"/>
    <w:rsid w:val="00606D60"/>
    <w:rsid w:val="0061139F"/>
    <w:rsid w:val="00620C88"/>
    <w:rsid w:val="00624C16"/>
    <w:rsid w:val="00625D7E"/>
    <w:rsid w:val="00633726"/>
    <w:rsid w:val="00634787"/>
    <w:rsid w:val="00635232"/>
    <w:rsid w:val="006431DD"/>
    <w:rsid w:val="006447FF"/>
    <w:rsid w:val="00645C76"/>
    <w:rsid w:val="00660CD9"/>
    <w:rsid w:val="00663DE9"/>
    <w:rsid w:val="00667E87"/>
    <w:rsid w:val="00680882"/>
    <w:rsid w:val="00690EF9"/>
    <w:rsid w:val="0069428E"/>
    <w:rsid w:val="006956C9"/>
    <w:rsid w:val="0069625B"/>
    <w:rsid w:val="006A2324"/>
    <w:rsid w:val="006B2D38"/>
    <w:rsid w:val="006B5BD2"/>
    <w:rsid w:val="006D0521"/>
    <w:rsid w:val="006D13D1"/>
    <w:rsid w:val="006D69EC"/>
    <w:rsid w:val="006E3A38"/>
    <w:rsid w:val="006E569C"/>
    <w:rsid w:val="006F20D6"/>
    <w:rsid w:val="006F40EB"/>
    <w:rsid w:val="0070082F"/>
    <w:rsid w:val="0071107A"/>
    <w:rsid w:val="0071228D"/>
    <w:rsid w:val="00715B40"/>
    <w:rsid w:val="007261E1"/>
    <w:rsid w:val="00727C27"/>
    <w:rsid w:val="0073009B"/>
    <w:rsid w:val="00730AA0"/>
    <w:rsid w:val="007347E1"/>
    <w:rsid w:val="0074055E"/>
    <w:rsid w:val="0074122D"/>
    <w:rsid w:val="00741A02"/>
    <w:rsid w:val="00756CB4"/>
    <w:rsid w:val="0076172F"/>
    <w:rsid w:val="007644D2"/>
    <w:rsid w:val="0078192B"/>
    <w:rsid w:val="00792584"/>
    <w:rsid w:val="00794144"/>
    <w:rsid w:val="007A1794"/>
    <w:rsid w:val="007A3A60"/>
    <w:rsid w:val="007C4362"/>
    <w:rsid w:val="007E1660"/>
    <w:rsid w:val="007E508C"/>
    <w:rsid w:val="007E5DCF"/>
    <w:rsid w:val="007E7BAB"/>
    <w:rsid w:val="007F430F"/>
    <w:rsid w:val="00806CAF"/>
    <w:rsid w:val="00824A3A"/>
    <w:rsid w:val="0082704B"/>
    <w:rsid w:val="00834CFB"/>
    <w:rsid w:val="0083559A"/>
    <w:rsid w:val="00836F68"/>
    <w:rsid w:val="0084026F"/>
    <w:rsid w:val="008454B7"/>
    <w:rsid w:val="008472CF"/>
    <w:rsid w:val="00854EB7"/>
    <w:rsid w:val="00855E82"/>
    <w:rsid w:val="00860DB6"/>
    <w:rsid w:val="00873E98"/>
    <w:rsid w:val="00877514"/>
    <w:rsid w:val="00877E08"/>
    <w:rsid w:val="00882635"/>
    <w:rsid w:val="008976B3"/>
    <w:rsid w:val="008A26A7"/>
    <w:rsid w:val="008B32BC"/>
    <w:rsid w:val="008B3C44"/>
    <w:rsid w:val="008B58A1"/>
    <w:rsid w:val="008C74FC"/>
    <w:rsid w:val="008D0A9B"/>
    <w:rsid w:val="008D151A"/>
    <w:rsid w:val="008D4C03"/>
    <w:rsid w:val="008D53EC"/>
    <w:rsid w:val="008F511B"/>
    <w:rsid w:val="008F5EDA"/>
    <w:rsid w:val="0090327C"/>
    <w:rsid w:val="00910864"/>
    <w:rsid w:val="00912710"/>
    <w:rsid w:val="009139B0"/>
    <w:rsid w:val="00914BA1"/>
    <w:rsid w:val="00936392"/>
    <w:rsid w:val="009429CB"/>
    <w:rsid w:val="009454DF"/>
    <w:rsid w:val="00945C4E"/>
    <w:rsid w:val="009525EF"/>
    <w:rsid w:val="00953CCB"/>
    <w:rsid w:val="009556BC"/>
    <w:rsid w:val="00957033"/>
    <w:rsid w:val="009637D0"/>
    <w:rsid w:val="00964228"/>
    <w:rsid w:val="00970B06"/>
    <w:rsid w:val="00981489"/>
    <w:rsid w:val="00984E9B"/>
    <w:rsid w:val="009859E8"/>
    <w:rsid w:val="009921DE"/>
    <w:rsid w:val="009A50C6"/>
    <w:rsid w:val="009A5E54"/>
    <w:rsid w:val="009A643A"/>
    <w:rsid w:val="009B173D"/>
    <w:rsid w:val="009B715C"/>
    <w:rsid w:val="009C0498"/>
    <w:rsid w:val="009C354D"/>
    <w:rsid w:val="009C3F30"/>
    <w:rsid w:val="009C637C"/>
    <w:rsid w:val="009D5E30"/>
    <w:rsid w:val="009E0091"/>
    <w:rsid w:val="009F12F4"/>
    <w:rsid w:val="009F606F"/>
    <w:rsid w:val="00A01122"/>
    <w:rsid w:val="00A014E2"/>
    <w:rsid w:val="00A045DB"/>
    <w:rsid w:val="00A06DF2"/>
    <w:rsid w:val="00A21DA0"/>
    <w:rsid w:val="00A24C2F"/>
    <w:rsid w:val="00A25632"/>
    <w:rsid w:val="00A35DC6"/>
    <w:rsid w:val="00A362F7"/>
    <w:rsid w:val="00A42636"/>
    <w:rsid w:val="00A43742"/>
    <w:rsid w:val="00A50427"/>
    <w:rsid w:val="00A568BF"/>
    <w:rsid w:val="00A60F65"/>
    <w:rsid w:val="00A62F1D"/>
    <w:rsid w:val="00A7014D"/>
    <w:rsid w:val="00A733C8"/>
    <w:rsid w:val="00A77B29"/>
    <w:rsid w:val="00A809B2"/>
    <w:rsid w:val="00A84DB7"/>
    <w:rsid w:val="00AA550C"/>
    <w:rsid w:val="00AB3AE0"/>
    <w:rsid w:val="00AB7609"/>
    <w:rsid w:val="00AD464C"/>
    <w:rsid w:val="00AE1333"/>
    <w:rsid w:val="00AE1E45"/>
    <w:rsid w:val="00AE29D9"/>
    <w:rsid w:val="00AE4870"/>
    <w:rsid w:val="00AF3B5E"/>
    <w:rsid w:val="00B02022"/>
    <w:rsid w:val="00B10171"/>
    <w:rsid w:val="00B16D87"/>
    <w:rsid w:val="00B179CB"/>
    <w:rsid w:val="00B27E58"/>
    <w:rsid w:val="00B36390"/>
    <w:rsid w:val="00B3691B"/>
    <w:rsid w:val="00B36CA7"/>
    <w:rsid w:val="00B449B7"/>
    <w:rsid w:val="00B53064"/>
    <w:rsid w:val="00B76B37"/>
    <w:rsid w:val="00B8222F"/>
    <w:rsid w:val="00B830A7"/>
    <w:rsid w:val="00B87FED"/>
    <w:rsid w:val="00B9015E"/>
    <w:rsid w:val="00B9706C"/>
    <w:rsid w:val="00BA375B"/>
    <w:rsid w:val="00BA3F1F"/>
    <w:rsid w:val="00BB27BD"/>
    <w:rsid w:val="00BB4D08"/>
    <w:rsid w:val="00BB544D"/>
    <w:rsid w:val="00BB5847"/>
    <w:rsid w:val="00BB7FF1"/>
    <w:rsid w:val="00BC1772"/>
    <w:rsid w:val="00BD04B4"/>
    <w:rsid w:val="00BD1539"/>
    <w:rsid w:val="00BD1C43"/>
    <w:rsid w:val="00BD2304"/>
    <w:rsid w:val="00BF0CD5"/>
    <w:rsid w:val="00BF5A19"/>
    <w:rsid w:val="00BF63CA"/>
    <w:rsid w:val="00C0146B"/>
    <w:rsid w:val="00C0580E"/>
    <w:rsid w:val="00C136BB"/>
    <w:rsid w:val="00C15B2A"/>
    <w:rsid w:val="00C15F29"/>
    <w:rsid w:val="00C20141"/>
    <w:rsid w:val="00C20B1A"/>
    <w:rsid w:val="00C32D9B"/>
    <w:rsid w:val="00C36781"/>
    <w:rsid w:val="00C413BD"/>
    <w:rsid w:val="00C442C4"/>
    <w:rsid w:val="00C52FE0"/>
    <w:rsid w:val="00C62A6F"/>
    <w:rsid w:val="00C67304"/>
    <w:rsid w:val="00C73EAB"/>
    <w:rsid w:val="00C80613"/>
    <w:rsid w:val="00C824C7"/>
    <w:rsid w:val="00C84B60"/>
    <w:rsid w:val="00C907D7"/>
    <w:rsid w:val="00C91195"/>
    <w:rsid w:val="00C93322"/>
    <w:rsid w:val="00C939A1"/>
    <w:rsid w:val="00C94C47"/>
    <w:rsid w:val="00CA39BF"/>
    <w:rsid w:val="00CA506F"/>
    <w:rsid w:val="00CC017D"/>
    <w:rsid w:val="00CC0194"/>
    <w:rsid w:val="00CC542D"/>
    <w:rsid w:val="00CD1F4E"/>
    <w:rsid w:val="00CD4FCA"/>
    <w:rsid w:val="00CD6376"/>
    <w:rsid w:val="00CE19CF"/>
    <w:rsid w:val="00CE4A62"/>
    <w:rsid w:val="00CF09AA"/>
    <w:rsid w:val="00CF2D1A"/>
    <w:rsid w:val="00D01745"/>
    <w:rsid w:val="00D02E34"/>
    <w:rsid w:val="00D06A57"/>
    <w:rsid w:val="00D070E0"/>
    <w:rsid w:val="00D15175"/>
    <w:rsid w:val="00D21C62"/>
    <w:rsid w:val="00D22630"/>
    <w:rsid w:val="00D27C9F"/>
    <w:rsid w:val="00D45EE7"/>
    <w:rsid w:val="00D46A3B"/>
    <w:rsid w:val="00D52757"/>
    <w:rsid w:val="00D61667"/>
    <w:rsid w:val="00D63705"/>
    <w:rsid w:val="00D63C51"/>
    <w:rsid w:val="00D64D5E"/>
    <w:rsid w:val="00D7354E"/>
    <w:rsid w:val="00D80655"/>
    <w:rsid w:val="00D96A1F"/>
    <w:rsid w:val="00DA2BF2"/>
    <w:rsid w:val="00DA2CE6"/>
    <w:rsid w:val="00DB1EAA"/>
    <w:rsid w:val="00DB3570"/>
    <w:rsid w:val="00DB358C"/>
    <w:rsid w:val="00DB3F00"/>
    <w:rsid w:val="00DB4CF9"/>
    <w:rsid w:val="00DB7FDB"/>
    <w:rsid w:val="00DC04D5"/>
    <w:rsid w:val="00DD1E5A"/>
    <w:rsid w:val="00DD2811"/>
    <w:rsid w:val="00DD3510"/>
    <w:rsid w:val="00DD437B"/>
    <w:rsid w:val="00DD7558"/>
    <w:rsid w:val="00DE52A1"/>
    <w:rsid w:val="00E07B30"/>
    <w:rsid w:val="00E1443F"/>
    <w:rsid w:val="00E151F5"/>
    <w:rsid w:val="00E37BD1"/>
    <w:rsid w:val="00E41C42"/>
    <w:rsid w:val="00E41C4C"/>
    <w:rsid w:val="00E41DD1"/>
    <w:rsid w:val="00E43ADB"/>
    <w:rsid w:val="00E44E58"/>
    <w:rsid w:val="00E45FFC"/>
    <w:rsid w:val="00E53155"/>
    <w:rsid w:val="00E708C4"/>
    <w:rsid w:val="00E768F4"/>
    <w:rsid w:val="00E82FC8"/>
    <w:rsid w:val="00E9008C"/>
    <w:rsid w:val="00E92743"/>
    <w:rsid w:val="00EA7C26"/>
    <w:rsid w:val="00EA7D71"/>
    <w:rsid w:val="00EB0382"/>
    <w:rsid w:val="00EB72DD"/>
    <w:rsid w:val="00EC042F"/>
    <w:rsid w:val="00EC0867"/>
    <w:rsid w:val="00EC1583"/>
    <w:rsid w:val="00EC605D"/>
    <w:rsid w:val="00ED748C"/>
    <w:rsid w:val="00EF08B7"/>
    <w:rsid w:val="00EF6F9F"/>
    <w:rsid w:val="00F01683"/>
    <w:rsid w:val="00F074AE"/>
    <w:rsid w:val="00F103F5"/>
    <w:rsid w:val="00F14F78"/>
    <w:rsid w:val="00F1661B"/>
    <w:rsid w:val="00F169F1"/>
    <w:rsid w:val="00F31F1B"/>
    <w:rsid w:val="00F4422B"/>
    <w:rsid w:val="00F4615C"/>
    <w:rsid w:val="00F65E0A"/>
    <w:rsid w:val="00F75BCF"/>
    <w:rsid w:val="00F775FC"/>
    <w:rsid w:val="00F80658"/>
    <w:rsid w:val="00F858F8"/>
    <w:rsid w:val="00F97997"/>
    <w:rsid w:val="00FA23D0"/>
    <w:rsid w:val="00FA720E"/>
    <w:rsid w:val="00FB028C"/>
    <w:rsid w:val="00FB4310"/>
    <w:rsid w:val="00FC23A2"/>
    <w:rsid w:val="00FC5E2F"/>
    <w:rsid w:val="00FD1B9F"/>
    <w:rsid w:val="00FE6506"/>
    <w:rsid w:val="00FF1E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1D4B0B-03CF-4A51-B492-7D290A81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C16"/>
    <w:pPr>
      <w:suppressAutoHyphens/>
      <w:spacing w:after="0" w:line="240" w:lineRule="auto"/>
    </w:pPr>
    <w:rPr>
      <w:rFonts w:ascii="Times New Roman" w:eastAsia="Times New Roman" w:hAnsi="Times New Roman" w:cs="Times New Roman"/>
      <w:sz w:val="24"/>
      <w:szCs w:val="24"/>
      <w:lang w:eastAsia="zh-CN"/>
    </w:rPr>
  </w:style>
  <w:style w:type="paragraph" w:styleId="Titre1">
    <w:name w:val="heading 1"/>
    <w:basedOn w:val="Normal"/>
    <w:next w:val="Normal"/>
    <w:link w:val="Titre1Car"/>
    <w:uiPriority w:val="9"/>
    <w:qFormat/>
    <w:rsid w:val="00624C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131E3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131E38"/>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le1">
    <w:name w:val="Title1"/>
    <w:basedOn w:val="Titre1"/>
    <w:rsid w:val="00624C16"/>
    <w:pPr>
      <w:keepNext w:val="0"/>
      <w:keepLines w:val="0"/>
      <w:spacing w:before="615" w:after="120"/>
      <w:jc w:val="center"/>
      <w:outlineLvl w:val="9"/>
    </w:pPr>
    <w:rPr>
      <w:rFonts w:ascii="Times New Roman" w:eastAsia="Times New Roman" w:hAnsi="Times New Roman" w:cs="Times New Roman"/>
      <w:b/>
      <w:color w:val="auto"/>
      <w:kern w:val="1"/>
      <w:sz w:val="36"/>
      <w:szCs w:val="20"/>
    </w:rPr>
  </w:style>
  <w:style w:type="character" w:customStyle="1" w:styleId="Titre1Car">
    <w:name w:val="Titre 1 Car"/>
    <w:basedOn w:val="Policepardfaut"/>
    <w:link w:val="Titre1"/>
    <w:uiPriority w:val="9"/>
    <w:rsid w:val="00624C16"/>
    <w:rPr>
      <w:rFonts w:asciiTheme="majorHAnsi" w:eastAsiaTheme="majorEastAsia" w:hAnsiTheme="majorHAnsi" w:cstheme="majorBidi"/>
      <w:color w:val="2E74B5" w:themeColor="accent1" w:themeShade="BF"/>
      <w:sz w:val="32"/>
      <w:szCs w:val="32"/>
      <w:lang w:eastAsia="zh-CN"/>
    </w:rPr>
  </w:style>
  <w:style w:type="paragraph" w:styleId="Notedebasdepage">
    <w:name w:val="footnote text"/>
    <w:basedOn w:val="Normal"/>
    <w:link w:val="NotedebasdepageCar"/>
    <w:semiHidden/>
    <w:rsid w:val="00ED748C"/>
    <w:pPr>
      <w:suppressAutoHyphens w:val="0"/>
    </w:pPr>
    <w:rPr>
      <w:sz w:val="20"/>
      <w:szCs w:val="20"/>
      <w:lang w:eastAsia="fr-FR"/>
    </w:rPr>
  </w:style>
  <w:style w:type="character" w:customStyle="1" w:styleId="NotedebasdepageCar">
    <w:name w:val="Note de bas de page Car"/>
    <w:basedOn w:val="Policepardfaut"/>
    <w:link w:val="Notedebasdepage"/>
    <w:semiHidden/>
    <w:rsid w:val="00ED748C"/>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ED748C"/>
    <w:rPr>
      <w:vertAlign w:val="superscript"/>
    </w:rPr>
  </w:style>
  <w:style w:type="character" w:customStyle="1" w:styleId="Titre2Car">
    <w:name w:val="Titre 2 Car"/>
    <w:basedOn w:val="Policepardfaut"/>
    <w:link w:val="Titre2"/>
    <w:uiPriority w:val="9"/>
    <w:semiHidden/>
    <w:rsid w:val="00131E38"/>
    <w:rPr>
      <w:rFonts w:asciiTheme="majorHAnsi" w:eastAsiaTheme="majorEastAsia" w:hAnsiTheme="majorHAnsi" w:cstheme="majorBidi"/>
      <w:color w:val="2E74B5" w:themeColor="accent1" w:themeShade="BF"/>
      <w:sz w:val="26"/>
      <w:szCs w:val="26"/>
      <w:lang w:eastAsia="zh-CN"/>
    </w:rPr>
  </w:style>
  <w:style w:type="character" w:customStyle="1" w:styleId="Titre3Car">
    <w:name w:val="Titre 3 Car"/>
    <w:basedOn w:val="Policepardfaut"/>
    <w:link w:val="Titre3"/>
    <w:uiPriority w:val="9"/>
    <w:semiHidden/>
    <w:rsid w:val="00131E38"/>
    <w:rPr>
      <w:rFonts w:asciiTheme="majorHAnsi" w:eastAsiaTheme="majorEastAsia" w:hAnsiTheme="majorHAnsi" w:cstheme="majorBidi"/>
      <w:color w:val="1F4D78" w:themeColor="accent1" w:themeShade="7F"/>
      <w:sz w:val="24"/>
      <w:szCs w:val="24"/>
      <w:lang w:eastAsia="zh-CN"/>
    </w:rPr>
  </w:style>
  <w:style w:type="paragraph" w:styleId="Lgende">
    <w:name w:val="caption"/>
    <w:basedOn w:val="Normal"/>
    <w:next w:val="Normal"/>
    <w:qFormat/>
    <w:rsid w:val="00741A02"/>
    <w:pPr>
      <w:suppressAutoHyphens w:val="0"/>
      <w:spacing w:before="120"/>
      <w:jc w:val="center"/>
    </w:pPr>
    <w:rPr>
      <w:bCs/>
      <w:i/>
      <w:snapToGrid w:val="0"/>
      <w:sz w:val="22"/>
      <w:szCs w:val="20"/>
      <w:lang w:eastAsia="fr-FR"/>
    </w:rPr>
  </w:style>
  <w:style w:type="paragraph" w:styleId="Paragraphedeliste">
    <w:name w:val="List Paragraph"/>
    <w:basedOn w:val="Normal"/>
    <w:uiPriority w:val="34"/>
    <w:qFormat/>
    <w:rsid w:val="007F430F"/>
    <w:pPr>
      <w:ind w:left="720"/>
      <w:contextualSpacing/>
    </w:pPr>
  </w:style>
  <w:style w:type="paragraph" w:styleId="Textedebulles">
    <w:name w:val="Balloon Text"/>
    <w:basedOn w:val="Normal"/>
    <w:link w:val="TextedebullesCar"/>
    <w:uiPriority w:val="99"/>
    <w:semiHidden/>
    <w:unhideWhenUsed/>
    <w:rsid w:val="00AE29D9"/>
    <w:rPr>
      <w:rFonts w:ascii="Tahoma" w:hAnsi="Tahoma" w:cs="Tahoma"/>
      <w:sz w:val="16"/>
      <w:szCs w:val="16"/>
    </w:rPr>
  </w:style>
  <w:style w:type="character" w:customStyle="1" w:styleId="TextedebullesCar">
    <w:name w:val="Texte de bulles Car"/>
    <w:basedOn w:val="Policepardfaut"/>
    <w:link w:val="Textedebulles"/>
    <w:uiPriority w:val="99"/>
    <w:semiHidden/>
    <w:rsid w:val="00AE29D9"/>
    <w:rPr>
      <w:rFonts w:ascii="Tahoma" w:eastAsia="Times New Roman" w:hAnsi="Tahoma" w:cs="Tahoma"/>
      <w:sz w:val="16"/>
      <w:szCs w:val="16"/>
      <w:lang w:eastAsia="zh-CN"/>
    </w:rPr>
  </w:style>
  <w:style w:type="paragraph" w:styleId="En-tte">
    <w:name w:val="header"/>
    <w:basedOn w:val="Normal"/>
    <w:link w:val="En-tteCar"/>
    <w:uiPriority w:val="99"/>
    <w:unhideWhenUsed/>
    <w:rsid w:val="00C91195"/>
    <w:pPr>
      <w:tabs>
        <w:tab w:val="center" w:pos="4536"/>
        <w:tab w:val="right" w:pos="9072"/>
      </w:tabs>
    </w:pPr>
  </w:style>
  <w:style w:type="character" w:customStyle="1" w:styleId="En-tteCar">
    <w:name w:val="En-tête Car"/>
    <w:basedOn w:val="Policepardfaut"/>
    <w:link w:val="En-tte"/>
    <w:uiPriority w:val="99"/>
    <w:rsid w:val="00C91195"/>
    <w:rPr>
      <w:rFonts w:ascii="Times New Roman" w:eastAsia="Times New Roman" w:hAnsi="Times New Roman" w:cs="Times New Roman"/>
      <w:sz w:val="24"/>
      <w:szCs w:val="24"/>
      <w:lang w:eastAsia="zh-CN"/>
    </w:rPr>
  </w:style>
  <w:style w:type="paragraph" w:styleId="Pieddepage">
    <w:name w:val="footer"/>
    <w:basedOn w:val="Normal"/>
    <w:link w:val="PieddepageCar"/>
    <w:unhideWhenUsed/>
    <w:rsid w:val="00C91195"/>
    <w:pPr>
      <w:tabs>
        <w:tab w:val="center" w:pos="4536"/>
        <w:tab w:val="right" w:pos="9072"/>
      </w:tabs>
    </w:pPr>
  </w:style>
  <w:style w:type="character" w:customStyle="1" w:styleId="PieddepageCar">
    <w:name w:val="Pied de page Car"/>
    <w:basedOn w:val="Policepardfaut"/>
    <w:link w:val="Pieddepage"/>
    <w:uiPriority w:val="99"/>
    <w:rsid w:val="00C91195"/>
    <w:rPr>
      <w:rFonts w:ascii="Times New Roman" w:eastAsia="Times New Roman" w:hAnsi="Times New Roman" w:cs="Times New Roman"/>
      <w:sz w:val="24"/>
      <w:szCs w:val="24"/>
      <w:lang w:eastAsia="zh-CN"/>
    </w:rPr>
  </w:style>
  <w:style w:type="paragraph" w:styleId="PrformatHTML">
    <w:name w:val="HTML Preformatted"/>
    <w:basedOn w:val="Normal"/>
    <w:link w:val="PrformatHTMLCar"/>
    <w:uiPriority w:val="99"/>
    <w:semiHidden/>
    <w:unhideWhenUsed/>
    <w:rsid w:val="00D80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semiHidden/>
    <w:rsid w:val="00D80655"/>
    <w:rPr>
      <w:rFonts w:ascii="Courier New" w:eastAsia="Times New Roman" w:hAnsi="Courier New" w:cs="Courier New"/>
      <w:sz w:val="20"/>
      <w:szCs w:val="20"/>
      <w:lang w:eastAsia="fr-FR"/>
    </w:rPr>
  </w:style>
  <w:style w:type="table" w:styleId="Grilledutableau">
    <w:name w:val="Table Grid"/>
    <w:basedOn w:val="TableauNormal"/>
    <w:uiPriority w:val="39"/>
    <w:rsid w:val="000F6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D6376"/>
    <w:rPr>
      <w:strike w:val="0"/>
      <w:dstrike w:val="0"/>
      <w:color w:val="0066C0"/>
      <w:u w:val="none"/>
      <w:effect w:val="none"/>
    </w:rPr>
  </w:style>
  <w:style w:type="character" w:customStyle="1" w:styleId="author">
    <w:name w:val="author"/>
    <w:basedOn w:val="Policepardfaut"/>
    <w:rsid w:val="00CD6376"/>
  </w:style>
  <w:style w:type="paragraph" w:styleId="Notedefin">
    <w:name w:val="endnote text"/>
    <w:basedOn w:val="Normal"/>
    <w:link w:val="NotedefinCar"/>
    <w:uiPriority w:val="99"/>
    <w:semiHidden/>
    <w:unhideWhenUsed/>
    <w:rsid w:val="001927BD"/>
    <w:rPr>
      <w:sz w:val="20"/>
      <w:szCs w:val="20"/>
    </w:rPr>
  </w:style>
  <w:style w:type="character" w:customStyle="1" w:styleId="NotedefinCar">
    <w:name w:val="Note de fin Car"/>
    <w:basedOn w:val="Policepardfaut"/>
    <w:link w:val="Notedefin"/>
    <w:uiPriority w:val="99"/>
    <w:semiHidden/>
    <w:rsid w:val="001927BD"/>
    <w:rPr>
      <w:rFonts w:ascii="Times New Roman" w:eastAsia="Times New Roman" w:hAnsi="Times New Roman" w:cs="Times New Roman"/>
      <w:sz w:val="20"/>
      <w:szCs w:val="20"/>
      <w:lang w:eastAsia="zh-CN"/>
    </w:rPr>
  </w:style>
  <w:style w:type="character" w:styleId="Appeldenotedefin">
    <w:name w:val="endnote reference"/>
    <w:basedOn w:val="Policepardfaut"/>
    <w:uiPriority w:val="99"/>
    <w:semiHidden/>
    <w:unhideWhenUsed/>
    <w:rsid w:val="001927BD"/>
    <w:rPr>
      <w:vertAlign w:val="superscript"/>
    </w:rPr>
  </w:style>
  <w:style w:type="paragraph" w:customStyle="1" w:styleId="Address">
    <w:name w:val="Address"/>
    <w:basedOn w:val="Normal"/>
    <w:rsid w:val="001927BD"/>
    <w:pPr>
      <w:suppressAutoHyphens w:val="0"/>
      <w:spacing w:line="280" w:lineRule="exact"/>
      <w:jc w:val="center"/>
    </w:pPr>
    <w:rPr>
      <w:snapToGrid w:val="0"/>
      <w:szCs w:val="20"/>
      <w:lang w:eastAsia="fr-FR"/>
    </w:rPr>
  </w:style>
  <w:style w:type="paragraph" w:customStyle="1" w:styleId="Keywords">
    <w:name w:val="Keywords"/>
    <w:basedOn w:val="Normal"/>
    <w:rsid w:val="00836F68"/>
    <w:pPr>
      <w:suppressAutoHyphens w:val="0"/>
      <w:spacing w:before="240" w:line="280" w:lineRule="exact"/>
      <w:jc w:val="both"/>
    </w:pPr>
    <w:rPr>
      <w:snapToGrid w:val="0"/>
      <w:sz w:val="20"/>
      <w:szCs w:val="20"/>
      <w:lang w:eastAsia="fr-FR"/>
    </w:rPr>
  </w:style>
  <w:style w:type="character" w:styleId="Textedelespacerserv">
    <w:name w:val="Placeholder Text"/>
    <w:basedOn w:val="Policepardfaut"/>
    <w:uiPriority w:val="99"/>
    <w:semiHidden/>
    <w:rsid w:val="007A17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44217">
      <w:bodyDiv w:val="1"/>
      <w:marLeft w:val="0"/>
      <w:marRight w:val="0"/>
      <w:marTop w:val="0"/>
      <w:marBottom w:val="0"/>
      <w:divBdr>
        <w:top w:val="none" w:sz="0" w:space="0" w:color="auto"/>
        <w:left w:val="none" w:sz="0" w:space="0" w:color="auto"/>
        <w:bottom w:val="none" w:sz="0" w:space="0" w:color="auto"/>
        <w:right w:val="none" w:sz="0" w:space="0" w:color="auto"/>
      </w:divBdr>
    </w:div>
    <w:div w:id="152449770">
      <w:bodyDiv w:val="1"/>
      <w:marLeft w:val="0"/>
      <w:marRight w:val="0"/>
      <w:marTop w:val="0"/>
      <w:marBottom w:val="0"/>
      <w:divBdr>
        <w:top w:val="none" w:sz="0" w:space="0" w:color="auto"/>
        <w:left w:val="none" w:sz="0" w:space="0" w:color="auto"/>
        <w:bottom w:val="none" w:sz="0" w:space="0" w:color="auto"/>
        <w:right w:val="none" w:sz="0" w:space="0" w:color="auto"/>
      </w:divBdr>
    </w:div>
    <w:div w:id="452987888">
      <w:bodyDiv w:val="1"/>
      <w:marLeft w:val="0"/>
      <w:marRight w:val="0"/>
      <w:marTop w:val="0"/>
      <w:marBottom w:val="0"/>
      <w:divBdr>
        <w:top w:val="none" w:sz="0" w:space="0" w:color="auto"/>
        <w:left w:val="none" w:sz="0" w:space="0" w:color="auto"/>
        <w:bottom w:val="none" w:sz="0" w:space="0" w:color="auto"/>
        <w:right w:val="none" w:sz="0" w:space="0" w:color="auto"/>
      </w:divBdr>
    </w:div>
    <w:div w:id="740445027">
      <w:bodyDiv w:val="1"/>
      <w:marLeft w:val="0"/>
      <w:marRight w:val="0"/>
      <w:marTop w:val="0"/>
      <w:marBottom w:val="0"/>
      <w:divBdr>
        <w:top w:val="none" w:sz="0" w:space="0" w:color="auto"/>
        <w:left w:val="none" w:sz="0" w:space="0" w:color="auto"/>
        <w:bottom w:val="none" w:sz="0" w:space="0" w:color="auto"/>
        <w:right w:val="none" w:sz="0" w:space="0" w:color="auto"/>
      </w:divBdr>
    </w:div>
    <w:div w:id="745105956">
      <w:bodyDiv w:val="1"/>
      <w:marLeft w:val="0"/>
      <w:marRight w:val="0"/>
      <w:marTop w:val="0"/>
      <w:marBottom w:val="0"/>
      <w:divBdr>
        <w:top w:val="none" w:sz="0" w:space="0" w:color="auto"/>
        <w:left w:val="none" w:sz="0" w:space="0" w:color="auto"/>
        <w:bottom w:val="none" w:sz="0" w:space="0" w:color="auto"/>
        <w:right w:val="none" w:sz="0" w:space="0" w:color="auto"/>
      </w:divBdr>
    </w:div>
    <w:div w:id="1087076942">
      <w:bodyDiv w:val="1"/>
      <w:marLeft w:val="0"/>
      <w:marRight w:val="0"/>
      <w:marTop w:val="0"/>
      <w:marBottom w:val="0"/>
      <w:divBdr>
        <w:top w:val="none" w:sz="0" w:space="0" w:color="auto"/>
        <w:left w:val="none" w:sz="0" w:space="0" w:color="auto"/>
        <w:bottom w:val="none" w:sz="0" w:space="0" w:color="auto"/>
        <w:right w:val="none" w:sz="0" w:space="0" w:color="auto"/>
      </w:divBdr>
    </w:div>
    <w:div w:id="1210334876">
      <w:bodyDiv w:val="1"/>
      <w:marLeft w:val="0"/>
      <w:marRight w:val="0"/>
      <w:marTop w:val="0"/>
      <w:marBottom w:val="0"/>
      <w:divBdr>
        <w:top w:val="none" w:sz="0" w:space="0" w:color="auto"/>
        <w:left w:val="none" w:sz="0" w:space="0" w:color="auto"/>
        <w:bottom w:val="none" w:sz="0" w:space="0" w:color="auto"/>
        <w:right w:val="none" w:sz="0" w:space="0" w:color="auto"/>
      </w:divBdr>
    </w:div>
    <w:div w:id="1223567715">
      <w:bodyDiv w:val="1"/>
      <w:marLeft w:val="0"/>
      <w:marRight w:val="0"/>
      <w:marTop w:val="0"/>
      <w:marBottom w:val="0"/>
      <w:divBdr>
        <w:top w:val="none" w:sz="0" w:space="0" w:color="auto"/>
        <w:left w:val="none" w:sz="0" w:space="0" w:color="auto"/>
        <w:bottom w:val="none" w:sz="0" w:space="0" w:color="auto"/>
        <w:right w:val="none" w:sz="0" w:space="0" w:color="auto"/>
      </w:divBdr>
      <w:divsChild>
        <w:div w:id="1553346362">
          <w:marLeft w:val="0"/>
          <w:marRight w:val="0"/>
          <w:marTop w:val="0"/>
          <w:marBottom w:val="0"/>
          <w:divBdr>
            <w:top w:val="none" w:sz="0" w:space="0" w:color="auto"/>
            <w:left w:val="none" w:sz="0" w:space="0" w:color="auto"/>
            <w:bottom w:val="none" w:sz="0" w:space="0" w:color="auto"/>
            <w:right w:val="none" w:sz="0" w:space="0" w:color="auto"/>
          </w:divBdr>
        </w:div>
        <w:div w:id="1230077614">
          <w:marLeft w:val="0"/>
          <w:marRight w:val="0"/>
          <w:marTop w:val="0"/>
          <w:marBottom w:val="0"/>
          <w:divBdr>
            <w:top w:val="none" w:sz="0" w:space="0" w:color="auto"/>
            <w:left w:val="none" w:sz="0" w:space="0" w:color="auto"/>
            <w:bottom w:val="none" w:sz="0" w:space="0" w:color="auto"/>
            <w:right w:val="none" w:sz="0" w:space="0" w:color="auto"/>
          </w:divBdr>
        </w:div>
        <w:div w:id="176388250">
          <w:marLeft w:val="0"/>
          <w:marRight w:val="0"/>
          <w:marTop w:val="0"/>
          <w:marBottom w:val="0"/>
          <w:divBdr>
            <w:top w:val="none" w:sz="0" w:space="0" w:color="auto"/>
            <w:left w:val="none" w:sz="0" w:space="0" w:color="auto"/>
            <w:bottom w:val="none" w:sz="0" w:space="0" w:color="auto"/>
            <w:right w:val="none" w:sz="0" w:space="0" w:color="auto"/>
          </w:divBdr>
        </w:div>
      </w:divsChild>
    </w:div>
    <w:div w:id="1492210849">
      <w:bodyDiv w:val="1"/>
      <w:marLeft w:val="0"/>
      <w:marRight w:val="0"/>
      <w:marTop w:val="0"/>
      <w:marBottom w:val="0"/>
      <w:divBdr>
        <w:top w:val="none" w:sz="0" w:space="0" w:color="auto"/>
        <w:left w:val="none" w:sz="0" w:space="0" w:color="auto"/>
        <w:bottom w:val="none" w:sz="0" w:space="0" w:color="auto"/>
        <w:right w:val="none" w:sz="0" w:space="0" w:color="auto"/>
      </w:divBdr>
    </w:div>
    <w:div w:id="1598095678">
      <w:bodyDiv w:val="1"/>
      <w:marLeft w:val="0"/>
      <w:marRight w:val="0"/>
      <w:marTop w:val="0"/>
      <w:marBottom w:val="0"/>
      <w:divBdr>
        <w:top w:val="none" w:sz="0" w:space="0" w:color="auto"/>
        <w:left w:val="none" w:sz="0" w:space="0" w:color="auto"/>
        <w:bottom w:val="none" w:sz="0" w:space="0" w:color="auto"/>
        <w:right w:val="none" w:sz="0" w:space="0" w:color="auto"/>
      </w:divBdr>
    </w:div>
    <w:div w:id="1642689098">
      <w:bodyDiv w:val="1"/>
      <w:marLeft w:val="0"/>
      <w:marRight w:val="0"/>
      <w:marTop w:val="0"/>
      <w:marBottom w:val="0"/>
      <w:divBdr>
        <w:top w:val="none" w:sz="0" w:space="0" w:color="auto"/>
        <w:left w:val="none" w:sz="0" w:space="0" w:color="auto"/>
        <w:bottom w:val="none" w:sz="0" w:space="0" w:color="auto"/>
        <w:right w:val="none" w:sz="0" w:space="0" w:color="auto"/>
      </w:divBdr>
    </w:div>
    <w:div w:id="1668632660">
      <w:bodyDiv w:val="1"/>
      <w:marLeft w:val="0"/>
      <w:marRight w:val="0"/>
      <w:marTop w:val="0"/>
      <w:marBottom w:val="0"/>
      <w:divBdr>
        <w:top w:val="none" w:sz="0" w:space="0" w:color="auto"/>
        <w:left w:val="none" w:sz="0" w:space="0" w:color="auto"/>
        <w:bottom w:val="none" w:sz="0" w:space="0" w:color="auto"/>
        <w:right w:val="none" w:sz="0" w:space="0" w:color="auto"/>
      </w:divBdr>
    </w:div>
    <w:div w:id="1719472371">
      <w:bodyDiv w:val="1"/>
      <w:marLeft w:val="0"/>
      <w:marRight w:val="0"/>
      <w:marTop w:val="0"/>
      <w:marBottom w:val="0"/>
      <w:divBdr>
        <w:top w:val="none" w:sz="0" w:space="0" w:color="auto"/>
        <w:left w:val="none" w:sz="0" w:space="0" w:color="auto"/>
        <w:bottom w:val="none" w:sz="0" w:space="0" w:color="auto"/>
        <w:right w:val="none" w:sz="0" w:space="0" w:color="auto"/>
      </w:divBdr>
    </w:div>
    <w:div w:id="1770812339">
      <w:bodyDiv w:val="1"/>
      <w:marLeft w:val="0"/>
      <w:marRight w:val="0"/>
      <w:marTop w:val="0"/>
      <w:marBottom w:val="0"/>
      <w:divBdr>
        <w:top w:val="none" w:sz="0" w:space="0" w:color="auto"/>
        <w:left w:val="none" w:sz="0" w:space="0" w:color="auto"/>
        <w:bottom w:val="none" w:sz="0" w:space="0" w:color="auto"/>
        <w:right w:val="none" w:sz="0" w:space="0" w:color="auto"/>
      </w:divBdr>
    </w:div>
    <w:div w:id="1799294460">
      <w:bodyDiv w:val="1"/>
      <w:marLeft w:val="0"/>
      <w:marRight w:val="0"/>
      <w:marTop w:val="0"/>
      <w:marBottom w:val="0"/>
      <w:divBdr>
        <w:top w:val="none" w:sz="0" w:space="0" w:color="auto"/>
        <w:left w:val="none" w:sz="0" w:space="0" w:color="auto"/>
        <w:bottom w:val="none" w:sz="0" w:space="0" w:color="auto"/>
        <w:right w:val="none" w:sz="0" w:space="0" w:color="auto"/>
      </w:divBdr>
    </w:div>
    <w:div w:id="1835336359">
      <w:bodyDiv w:val="1"/>
      <w:marLeft w:val="0"/>
      <w:marRight w:val="0"/>
      <w:marTop w:val="0"/>
      <w:marBottom w:val="0"/>
      <w:divBdr>
        <w:top w:val="none" w:sz="0" w:space="0" w:color="auto"/>
        <w:left w:val="none" w:sz="0" w:space="0" w:color="auto"/>
        <w:bottom w:val="none" w:sz="0" w:space="0" w:color="auto"/>
        <w:right w:val="none" w:sz="0" w:space="0" w:color="auto"/>
      </w:divBdr>
    </w:div>
    <w:div w:id="186189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ald.purnelle@ulg.ac.be" TargetMode="External"/><Relationship Id="rId13" Type="http://schemas.openxmlformats.org/officeDocument/2006/relationships/footer" Target="footer1.xml"/><Relationship Id="rId18" Type="http://schemas.openxmlformats.org/officeDocument/2006/relationships/chart" Target="charts/chart3.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2.xm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8.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chart" Target="charts/chart7.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Mes%20donn&#233;es\Mes%20documents\NPN%20science\Copie%20de%20NPN%20corpu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Mes%20donn&#233;es\Mes%20documents\NPN%20science\Copie%20de%20NPN%20corpu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Mes%20donn&#233;es\Mes%20documents\NPN%20science\Copie%20de%20NPN%20corpu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Mes%20donn&#233;es\Mes%20documents\NPN%20science\Copie%20de%20NPN%20corpu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Mes%20donn&#233;es\Mes%20documents\NPN%20science\Copie%20de%20NPN%20corpu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Mes%20donn&#233;es\Mes%20documents\NPN%20science\Copie%20de%20NPN%20corpu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Mes%20donn&#233;es\Mes%20documents\NPN%20science\Copie%20de%20NPN%20corpu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Mes%20donn&#233;es\Mes%20documents\NPN%20science\Copie%20de%20NPN%20corpu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Mes%20donn&#233;es\Mes%20documents\NPN%20science\Copie%20de%20NPN%20corp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BE"/>
              <a:t>Est-Républicain</a:t>
            </a:r>
          </a:p>
          <a:p>
            <a:pPr>
              <a:defRPr/>
            </a:pPr>
            <a:endParaRPr lang="fr-BE"/>
          </a:p>
        </c:rich>
      </c:tx>
      <c:overlay val="1"/>
    </c:title>
    <c:autoTitleDeleted val="0"/>
    <c:plotArea>
      <c:layout/>
      <c:barChart>
        <c:barDir val="col"/>
        <c:grouping val="clustered"/>
        <c:varyColors val="0"/>
        <c:ser>
          <c:idx val="0"/>
          <c:order val="0"/>
          <c:tx>
            <c:strRef>
              <c:f>'Prépositions 2'!$B$13</c:f>
              <c:strCache>
                <c:ptCount val="1"/>
                <c:pt idx="0">
                  <c:v>A-prépositions</c:v>
                </c:pt>
              </c:strCache>
            </c:strRef>
          </c:tx>
          <c:invertIfNegative val="0"/>
          <c:cat>
            <c:strRef>
              <c:f>'Prépositions 2'!$A$14:$A$20</c:f>
              <c:strCache>
                <c:ptCount val="7"/>
                <c:pt idx="0">
                  <c:v>à</c:v>
                </c:pt>
                <c:pt idx="1">
                  <c:v>après</c:v>
                </c:pt>
                <c:pt idx="2">
                  <c:v>contre</c:v>
                </c:pt>
                <c:pt idx="3">
                  <c:v>en</c:v>
                </c:pt>
                <c:pt idx="4">
                  <c:v>par</c:v>
                </c:pt>
                <c:pt idx="5">
                  <c:v>pour</c:v>
                </c:pt>
                <c:pt idx="6">
                  <c:v>sur</c:v>
                </c:pt>
              </c:strCache>
            </c:strRef>
          </c:cat>
          <c:val>
            <c:numRef>
              <c:f>'Prépositions 2'!$B$14:$B$20</c:f>
              <c:numCache>
                <c:formatCode>0.00%</c:formatCode>
                <c:ptCount val="7"/>
                <c:pt idx="0">
                  <c:v>0.47135342486564502</c:v>
                </c:pt>
                <c:pt idx="1">
                  <c:v>1.7708273989251601E-2</c:v>
                </c:pt>
                <c:pt idx="2">
                  <c:v>8.0423099565126565E-3</c:v>
                </c:pt>
                <c:pt idx="3">
                  <c:v>0.18089975122960938</c:v>
                </c:pt>
                <c:pt idx="4">
                  <c:v>8.9063597865512073E-2</c:v>
                </c:pt>
                <c:pt idx="5">
                  <c:v>0.15039214569209441</c:v>
                </c:pt>
                <c:pt idx="6">
                  <c:v>8.2540496401374883E-2</c:v>
                </c:pt>
              </c:numCache>
            </c:numRef>
          </c:val>
        </c:ser>
        <c:ser>
          <c:idx val="1"/>
          <c:order val="1"/>
          <c:tx>
            <c:strRef>
              <c:f>'Prépositions 2'!$C$13</c:f>
              <c:strCache>
                <c:ptCount val="1"/>
                <c:pt idx="0">
                  <c:v>B-structures</c:v>
                </c:pt>
              </c:strCache>
            </c:strRef>
          </c:tx>
          <c:invertIfNegative val="0"/>
          <c:cat>
            <c:strRef>
              <c:f>'Prépositions 2'!$A$14:$A$20</c:f>
              <c:strCache>
                <c:ptCount val="7"/>
                <c:pt idx="0">
                  <c:v>à</c:v>
                </c:pt>
                <c:pt idx="1">
                  <c:v>après</c:v>
                </c:pt>
                <c:pt idx="2">
                  <c:v>contre</c:v>
                </c:pt>
                <c:pt idx="3">
                  <c:v>en</c:v>
                </c:pt>
                <c:pt idx="4">
                  <c:v>par</c:v>
                </c:pt>
                <c:pt idx="5">
                  <c:v>pour</c:v>
                </c:pt>
                <c:pt idx="6">
                  <c:v>sur</c:v>
                </c:pt>
              </c:strCache>
            </c:strRef>
          </c:cat>
          <c:val>
            <c:numRef>
              <c:f>'Prépositions 2'!$C$14:$C$20</c:f>
              <c:numCache>
                <c:formatCode>0.00%</c:formatCode>
                <c:ptCount val="7"/>
                <c:pt idx="0">
                  <c:v>0.5</c:v>
                </c:pt>
                <c:pt idx="1">
                  <c:v>0</c:v>
                </c:pt>
                <c:pt idx="2">
                  <c:v>0</c:v>
                </c:pt>
                <c:pt idx="3">
                  <c:v>0.33333333333333331</c:v>
                </c:pt>
                <c:pt idx="4">
                  <c:v>4.1666666666666664E-2</c:v>
                </c:pt>
                <c:pt idx="5">
                  <c:v>6.25E-2</c:v>
                </c:pt>
                <c:pt idx="6">
                  <c:v>6.25E-2</c:v>
                </c:pt>
              </c:numCache>
            </c:numRef>
          </c:val>
        </c:ser>
        <c:dLbls>
          <c:showLegendKey val="0"/>
          <c:showVal val="0"/>
          <c:showCatName val="0"/>
          <c:showSerName val="0"/>
          <c:showPercent val="0"/>
          <c:showBubbleSize val="0"/>
        </c:dLbls>
        <c:gapWidth val="150"/>
        <c:axId val="304889280"/>
        <c:axId val="304888104"/>
      </c:barChart>
      <c:catAx>
        <c:axId val="304889280"/>
        <c:scaling>
          <c:orientation val="minMax"/>
        </c:scaling>
        <c:delete val="0"/>
        <c:axPos val="b"/>
        <c:numFmt formatCode="General" sourceLinked="0"/>
        <c:majorTickMark val="out"/>
        <c:minorTickMark val="none"/>
        <c:tickLblPos val="nextTo"/>
        <c:crossAx val="304888104"/>
        <c:crosses val="autoZero"/>
        <c:auto val="1"/>
        <c:lblAlgn val="ctr"/>
        <c:lblOffset val="100"/>
        <c:noMultiLvlLbl val="0"/>
      </c:catAx>
      <c:valAx>
        <c:axId val="304888104"/>
        <c:scaling>
          <c:orientation val="minMax"/>
        </c:scaling>
        <c:delete val="0"/>
        <c:axPos val="l"/>
        <c:majorGridlines/>
        <c:numFmt formatCode="0.00%" sourceLinked="1"/>
        <c:majorTickMark val="out"/>
        <c:minorTickMark val="none"/>
        <c:tickLblPos val="nextTo"/>
        <c:crossAx val="30488928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Sud-Ouest</a:t>
            </a:r>
          </a:p>
          <a:p>
            <a:pPr>
              <a:defRPr/>
            </a:pPr>
            <a:endParaRPr lang="en-US"/>
          </a:p>
        </c:rich>
      </c:tx>
      <c:layout>
        <c:manualLayout>
          <c:xMode val="edge"/>
          <c:yMode val="edge"/>
          <c:x val="0.34837505526862905"/>
          <c:y val="0.1532567049808429"/>
        </c:manualLayout>
      </c:layout>
      <c:overlay val="0"/>
    </c:title>
    <c:autoTitleDeleted val="0"/>
    <c:plotArea>
      <c:layout/>
      <c:barChart>
        <c:barDir val="col"/>
        <c:grouping val="clustered"/>
        <c:varyColors val="0"/>
        <c:ser>
          <c:idx val="0"/>
          <c:order val="0"/>
          <c:tx>
            <c:strRef>
              <c:f>'Prépositions 2'!$B$4</c:f>
              <c:strCache>
                <c:ptCount val="1"/>
                <c:pt idx="0">
                  <c:v>A-prépositions</c:v>
                </c:pt>
              </c:strCache>
            </c:strRef>
          </c:tx>
          <c:invertIfNegative val="0"/>
          <c:cat>
            <c:strRef>
              <c:f>'Prépositions 2'!$A$5:$A$11</c:f>
              <c:strCache>
                <c:ptCount val="7"/>
                <c:pt idx="0">
                  <c:v>à</c:v>
                </c:pt>
                <c:pt idx="1">
                  <c:v>après</c:v>
                </c:pt>
                <c:pt idx="2">
                  <c:v>contre</c:v>
                </c:pt>
                <c:pt idx="3">
                  <c:v>en</c:v>
                </c:pt>
                <c:pt idx="4">
                  <c:v>par</c:v>
                </c:pt>
                <c:pt idx="5">
                  <c:v>pour</c:v>
                </c:pt>
                <c:pt idx="6">
                  <c:v>sur</c:v>
                </c:pt>
              </c:strCache>
            </c:strRef>
          </c:cat>
          <c:val>
            <c:numRef>
              <c:f>'Prépositions 2'!$B$5:$B$11</c:f>
              <c:numCache>
                <c:formatCode>0.00%</c:formatCode>
                <c:ptCount val="7"/>
                <c:pt idx="0">
                  <c:v>0.47029637549706266</c:v>
                </c:pt>
                <c:pt idx="1">
                  <c:v>2.4471701966626222E-2</c:v>
                </c:pt>
                <c:pt idx="2">
                  <c:v>1.1797354605413328E-2</c:v>
                </c:pt>
                <c:pt idx="3">
                  <c:v>0.24905392904768198</c:v>
                </c:pt>
                <c:pt idx="4">
                  <c:v>0.10973221686949627</c:v>
                </c:pt>
                <c:pt idx="5">
                  <c:v>1.8861351049387905E-2</c:v>
                </c:pt>
                <c:pt idx="6">
                  <c:v>0.11578707096433162</c:v>
                </c:pt>
              </c:numCache>
            </c:numRef>
          </c:val>
        </c:ser>
        <c:ser>
          <c:idx val="1"/>
          <c:order val="1"/>
          <c:tx>
            <c:strRef>
              <c:f>'Prépositions 2'!$C$4</c:f>
              <c:strCache>
                <c:ptCount val="1"/>
                <c:pt idx="0">
                  <c:v>B-structures</c:v>
                </c:pt>
              </c:strCache>
            </c:strRef>
          </c:tx>
          <c:invertIfNegative val="0"/>
          <c:cat>
            <c:strRef>
              <c:f>'Prépositions 2'!$A$5:$A$11</c:f>
              <c:strCache>
                <c:ptCount val="7"/>
                <c:pt idx="0">
                  <c:v>à</c:v>
                </c:pt>
                <c:pt idx="1">
                  <c:v>après</c:v>
                </c:pt>
                <c:pt idx="2">
                  <c:v>contre</c:v>
                </c:pt>
                <c:pt idx="3">
                  <c:v>en</c:v>
                </c:pt>
                <c:pt idx="4">
                  <c:v>par</c:v>
                </c:pt>
                <c:pt idx="5">
                  <c:v>pour</c:v>
                </c:pt>
                <c:pt idx="6">
                  <c:v>sur</c:v>
                </c:pt>
              </c:strCache>
            </c:strRef>
          </c:cat>
          <c:val>
            <c:numRef>
              <c:f>'Prépositions 2'!$C$5:$C$11</c:f>
              <c:numCache>
                <c:formatCode>0.00%</c:formatCode>
                <c:ptCount val="7"/>
                <c:pt idx="0">
                  <c:v>0.3125</c:v>
                </c:pt>
                <c:pt idx="1">
                  <c:v>4.6875E-2</c:v>
                </c:pt>
                <c:pt idx="2">
                  <c:v>0</c:v>
                </c:pt>
                <c:pt idx="3">
                  <c:v>0.390625</c:v>
                </c:pt>
                <c:pt idx="4">
                  <c:v>0.109375</c:v>
                </c:pt>
                <c:pt idx="5">
                  <c:v>7.8125E-2</c:v>
                </c:pt>
                <c:pt idx="6">
                  <c:v>6.25E-2</c:v>
                </c:pt>
              </c:numCache>
            </c:numRef>
          </c:val>
        </c:ser>
        <c:dLbls>
          <c:showLegendKey val="0"/>
          <c:showVal val="0"/>
          <c:showCatName val="0"/>
          <c:showSerName val="0"/>
          <c:showPercent val="0"/>
          <c:showBubbleSize val="0"/>
        </c:dLbls>
        <c:gapWidth val="150"/>
        <c:axId val="304888496"/>
        <c:axId val="521414088"/>
      </c:barChart>
      <c:catAx>
        <c:axId val="304888496"/>
        <c:scaling>
          <c:orientation val="minMax"/>
        </c:scaling>
        <c:delete val="0"/>
        <c:axPos val="b"/>
        <c:numFmt formatCode="General" sourceLinked="0"/>
        <c:majorTickMark val="out"/>
        <c:minorTickMark val="none"/>
        <c:tickLblPos val="nextTo"/>
        <c:crossAx val="521414088"/>
        <c:crosses val="autoZero"/>
        <c:auto val="1"/>
        <c:lblAlgn val="ctr"/>
        <c:lblOffset val="100"/>
        <c:noMultiLvlLbl val="0"/>
      </c:catAx>
      <c:valAx>
        <c:axId val="521414088"/>
        <c:scaling>
          <c:orientation val="minMax"/>
        </c:scaling>
        <c:delete val="0"/>
        <c:axPos val="l"/>
        <c:majorGridlines/>
        <c:numFmt formatCode="0.00%" sourceLinked="1"/>
        <c:majorTickMark val="out"/>
        <c:minorTickMark val="none"/>
        <c:tickLblPos val="nextTo"/>
        <c:crossAx val="30488849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Libération</a:t>
            </a:r>
          </a:p>
        </c:rich>
      </c:tx>
      <c:overlay val="1"/>
    </c:title>
    <c:autoTitleDeleted val="0"/>
    <c:plotArea>
      <c:layout/>
      <c:barChart>
        <c:barDir val="col"/>
        <c:grouping val="clustered"/>
        <c:varyColors val="0"/>
        <c:ser>
          <c:idx val="0"/>
          <c:order val="0"/>
          <c:tx>
            <c:strRef>
              <c:f>'Prépositions 2'!$B$31</c:f>
              <c:strCache>
                <c:ptCount val="1"/>
                <c:pt idx="0">
                  <c:v>A-prépositions</c:v>
                </c:pt>
              </c:strCache>
            </c:strRef>
          </c:tx>
          <c:invertIfNegative val="0"/>
          <c:cat>
            <c:strRef>
              <c:f>'Prépositions 2'!$A$32:$A$38</c:f>
              <c:strCache>
                <c:ptCount val="7"/>
                <c:pt idx="0">
                  <c:v>à</c:v>
                </c:pt>
                <c:pt idx="1">
                  <c:v>après</c:v>
                </c:pt>
                <c:pt idx="2">
                  <c:v>contre</c:v>
                </c:pt>
                <c:pt idx="3">
                  <c:v>en</c:v>
                </c:pt>
                <c:pt idx="4">
                  <c:v>par</c:v>
                </c:pt>
                <c:pt idx="5">
                  <c:v>pour</c:v>
                </c:pt>
                <c:pt idx="6">
                  <c:v>sur</c:v>
                </c:pt>
              </c:strCache>
            </c:strRef>
          </c:cat>
          <c:val>
            <c:numRef>
              <c:f>'Prépositions 2'!$B$32:$B$38</c:f>
              <c:numCache>
                <c:formatCode>0.00%</c:formatCode>
                <c:ptCount val="7"/>
                <c:pt idx="0">
                  <c:v>0.35861409528094945</c:v>
                </c:pt>
                <c:pt idx="1">
                  <c:v>2.2734686990269419E-2</c:v>
                </c:pt>
                <c:pt idx="2">
                  <c:v>1.5242702064233084E-2</c:v>
                </c:pt>
                <c:pt idx="3">
                  <c:v>0.24111592328027448</c:v>
                </c:pt>
                <c:pt idx="4">
                  <c:v>0.10425783227403115</c:v>
                </c:pt>
                <c:pt idx="5">
                  <c:v>0.1513470948872265</c:v>
                </c:pt>
                <c:pt idx="6">
                  <c:v>0.10668766522301591</c:v>
                </c:pt>
              </c:numCache>
            </c:numRef>
          </c:val>
        </c:ser>
        <c:ser>
          <c:idx val="1"/>
          <c:order val="1"/>
          <c:tx>
            <c:strRef>
              <c:f>'Prépositions 2'!$C$31</c:f>
              <c:strCache>
                <c:ptCount val="1"/>
                <c:pt idx="0">
                  <c:v>B-structures</c:v>
                </c:pt>
              </c:strCache>
            </c:strRef>
          </c:tx>
          <c:invertIfNegative val="0"/>
          <c:cat>
            <c:strRef>
              <c:f>'Prépositions 2'!$A$32:$A$38</c:f>
              <c:strCache>
                <c:ptCount val="7"/>
                <c:pt idx="0">
                  <c:v>à</c:v>
                </c:pt>
                <c:pt idx="1">
                  <c:v>après</c:v>
                </c:pt>
                <c:pt idx="2">
                  <c:v>contre</c:v>
                </c:pt>
                <c:pt idx="3">
                  <c:v>en</c:v>
                </c:pt>
                <c:pt idx="4">
                  <c:v>par</c:v>
                </c:pt>
                <c:pt idx="5">
                  <c:v>pour</c:v>
                </c:pt>
                <c:pt idx="6">
                  <c:v>sur</c:v>
                </c:pt>
              </c:strCache>
            </c:strRef>
          </c:cat>
          <c:val>
            <c:numRef>
              <c:f>'Prépositions 2'!$C$32:$C$38</c:f>
              <c:numCache>
                <c:formatCode>0.00%</c:formatCode>
                <c:ptCount val="7"/>
                <c:pt idx="0">
                  <c:v>0.39130434782608697</c:v>
                </c:pt>
                <c:pt idx="1">
                  <c:v>7.2463768115942032E-2</c:v>
                </c:pt>
                <c:pt idx="2">
                  <c:v>2.8985507246376812E-2</c:v>
                </c:pt>
                <c:pt idx="3">
                  <c:v>0.21739130434782608</c:v>
                </c:pt>
                <c:pt idx="4">
                  <c:v>0.15942028985507245</c:v>
                </c:pt>
                <c:pt idx="5">
                  <c:v>4.3478260869565216E-2</c:v>
                </c:pt>
                <c:pt idx="6">
                  <c:v>8.6956521739130432E-2</c:v>
                </c:pt>
              </c:numCache>
            </c:numRef>
          </c:val>
        </c:ser>
        <c:dLbls>
          <c:showLegendKey val="0"/>
          <c:showVal val="0"/>
          <c:showCatName val="0"/>
          <c:showSerName val="0"/>
          <c:showPercent val="0"/>
          <c:showBubbleSize val="0"/>
        </c:dLbls>
        <c:gapWidth val="150"/>
        <c:axId val="521414480"/>
        <c:axId val="521413696"/>
      </c:barChart>
      <c:catAx>
        <c:axId val="521414480"/>
        <c:scaling>
          <c:orientation val="minMax"/>
        </c:scaling>
        <c:delete val="0"/>
        <c:axPos val="b"/>
        <c:numFmt formatCode="General" sourceLinked="0"/>
        <c:majorTickMark val="out"/>
        <c:minorTickMark val="none"/>
        <c:tickLblPos val="nextTo"/>
        <c:crossAx val="521413696"/>
        <c:crosses val="autoZero"/>
        <c:auto val="1"/>
        <c:lblAlgn val="ctr"/>
        <c:lblOffset val="100"/>
        <c:noMultiLvlLbl val="0"/>
      </c:catAx>
      <c:valAx>
        <c:axId val="521413696"/>
        <c:scaling>
          <c:orientation val="minMax"/>
        </c:scaling>
        <c:delete val="0"/>
        <c:axPos val="l"/>
        <c:majorGridlines/>
        <c:numFmt formatCode="0.00%" sourceLinked="1"/>
        <c:majorTickMark val="out"/>
        <c:minorTickMark val="none"/>
        <c:tickLblPos val="nextTo"/>
        <c:crossAx val="52141448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Ouest-France</a:t>
            </a:r>
          </a:p>
        </c:rich>
      </c:tx>
      <c:overlay val="1"/>
    </c:title>
    <c:autoTitleDeleted val="0"/>
    <c:plotArea>
      <c:layout/>
      <c:barChart>
        <c:barDir val="col"/>
        <c:grouping val="clustered"/>
        <c:varyColors val="0"/>
        <c:ser>
          <c:idx val="0"/>
          <c:order val="0"/>
          <c:tx>
            <c:strRef>
              <c:f>'Prépositions 2'!$B$49</c:f>
              <c:strCache>
                <c:ptCount val="1"/>
                <c:pt idx="0">
                  <c:v>A-prépositions</c:v>
                </c:pt>
              </c:strCache>
            </c:strRef>
          </c:tx>
          <c:invertIfNegative val="0"/>
          <c:cat>
            <c:strRef>
              <c:f>'Prépositions 2'!$A$50:$A$56</c:f>
              <c:strCache>
                <c:ptCount val="7"/>
                <c:pt idx="0">
                  <c:v>à</c:v>
                </c:pt>
                <c:pt idx="1">
                  <c:v>après</c:v>
                </c:pt>
                <c:pt idx="2">
                  <c:v>contre</c:v>
                </c:pt>
                <c:pt idx="3">
                  <c:v>en</c:v>
                </c:pt>
                <c:pt idx="4">
                  <c:v>par</c:v>
                </c:pt>
                <c:pt idx="5">
                  <c:v>pour</c:v>
                </c:pt>
                <c:pt idx="6">
                  <c:v>sur</c:v>
                </c:pt>
              </c:strCache>
            </c:strRef>
          </c:cat>
          <c:val>
            <c:numRef>
              <c:f>'Prépositions 2'!$B$50:$B$56</c:f>
              <c:numCache>
                <c:formatCode>0.00%</c:formatCode>
                <c:ptCount val="7"/>
                <c:pt idx="0">
                  <c:v>0.39452490600458295</c:v>
                </c:pt>
                <c:pt idx="1">
                  <c:v>2.3815880219804669E-2</c:v>
                </c:pt>
                <c:pt idx="2">
                  <c:v>1.376003915548733E-2</c:v>
                </c:pt>
                <c:pt idx="3">
                  <c:v>0.21963781174219671</c:v>
                </c:pt>
                <c:pt idx="4">
                  <c:v>9.6153418318538783E-2</c:v>
                </c:pt>
                <c:pt idx="5">
                  <c:v>0.15048165698903201</c:v>
                </c:pt>
                <c:pt idx="6">
                  <c:v>0.10162628757035752</c:v>
                </c:pt>
              </c:numCache>
            </c:numRef>
          </c:val>
        </c:ser>
        <c:ser>
          <c:idx val="1"/>
          <c:order val="1"/>
          <c:tx>
            <c:strRef>
              <c:f>'Prépositions 2'!$C$49</c:f>
              <c:strCache>
                <c:ptCount val="1"/>
                <c:pt idx="0">
                  <c:v>B-structures</c:v>
                </c:pt>
              </c:strCache>
            </c:strRef>
          </c:tx>
          <c:invertIfNegative val="0"/>
          <c:cat>
            <c:strRef>
              <c:f>'Prépositions 2'!$A$50:$A$56</c:f>
              <c:strCache>
                <c:ptCount val="7"/>
                <c:pt idx="0">
                  <c:v>à</c:v>
                </c:pt>
                <c:pt idx="1">
                  <c:v>après</c:v>
                </c:pt>
                <c:pt idx="2">
                  <c:v>contre</c:v>
                </c:pt>
                <c:pt idx="3">
                  <c:v>en</c:v>
                </c:pt>
                <c:pt idx="4">
                  <c:v>par</c:v>
                </c:pt>
                <c:pt idx="5">
                  <c:v>pour</c:v>
                </c:pt>
                <c:pt idx="6">
                  <c:v>sur</c:v>
                </c:pt>
              </c:strCache>
            </c:strRef>
          </c:cat>
          <c:val>
            <c:numRef>
              <c:f>'Prépositions 2'!$C$50:$C$56</c:f>
              <c:numCache>
                <c:formatCode>0.00%</c:formatCode>
                <c:ptCount val="7"/>
                <c:pt idx="0">
                  <c:v>0.27027027027027029</c:v>
                </c:pt>
                <c:pt idx="1">
                  <c:v>4.0540540540540543E-2</c:v>
                </c:pt>
                <c:pt idx="2">
                  <c:v>1.3513513513513514E-2</c:v>
                </c:pt>
                <c:pt idx="3">
                  <c:v>0.25675675675675674</c:v>
                </c:pt>
                <c:pt idx="4">
                  <c:v>0.1891891891891892</c:v>
                </c:pt>
                <c:pt idx="5">
                  <c:v>9.45945945945946E-2</c:v>
                </c:pt>
                <c:pt idx="6">
                  <c:v>0.13513513513513514</c:v>
                </c:pt>
              </c:numCache>
            </c:numRef>
          </c:val>
        </c:ser>
        <c:dLbls>
          <c:showLegendKey val="0"/>
          <c:showVal val="0"/>
          <c:showCatName val="0"/>
          <c:showSerName val="0"/>
          <c:showPercent val="0"/>
          <c:showBubbleSize val="0"/>
        </c:dLbls>
        <c:gapWidth val="150"/>
        <c:axId val="302393120"/>
        <c:axId val="302393512"/>
      </c:barChart>
      <c:catAx>
        <c:axId val="302393120"/>
        <c:scaling>
          <c:orientation val="minMax"/>
        </c:scaling>
        <c:delete val="0"/>
        <c:axPos val="b"/>
        <c:numFmt formatCode="General" sourceLinked="0"/>
        <c:majorTickMark val="out"/>
        <c:minorTickMark val="none"/>
        <c:tickLblPos val="nextTo"/>
        <c:crossAx val="302393512"/>
        <c:crosses val="autoZero"/>
        <c:auto val="1"/>
        <c:lblAlgn val="ctr"/>
        <c:lblOffset val="100"/>
        <c:noMultiLvlLbl val="0"/>
      </c:catAx>
      <c:valAx>
        <c:axId val="302393512"/>
        <c:scaling>
          <c:orientation val="minMax"/>
        </c:scaling>
        <c:delete val="0"/>
        <c:axPos val="l"/>
        <c:majorGridlines/>
        <c:numFmt formatCode="0.00%" sourceLinked="1"/>
        <c:majorTickMark val="out"/>
        <c:minorTickMark val="none"/>
        <c:tickLblPos val="nextTo"/>
        <c:crossAx val="30239312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Figaro</a:t>
            </a:r>
          </a:p>
        </c:rich>
      </c:tx>
      <c:overlay val="1"/>
    </c:title>
    <c:autoTitleDeleted val="0"/>
    <c:plotArea>
      <c:layout/>
      <c:barChart>
        <c:barDir val="col"/>
        <c:grouping val="clustered"/>
        <c:varyColors val="0"/>
        <c:ser>
          <c:idx val="0"/>
          <c:order val="0"/>
          <c:tx>
            <c:strRef>
              <c:f>'Prépositions 2'!$B$22</c:f>
              <c:strCache>
                <c:ptCount val="1"/>
                <c:pt idx="0">
                  <c:v>A-prépositions</c:v>
                </c:pt>
              </c:strCache>
            </c:strRef>
          </c:tx>
          <c:invertIfNegative val="0"/>
          <c:cat>
            <c:strRef>
              <c:f>'Prépositions 2'!$A$23:$A$29</c:f>
              <c:strCache>
                <c:ptCount val="7"/>
                <c:pt idx="0">
                  <c:v>à</c:v>
                </c:pt>
                <c:pt idx="1">
                  <c:v>après</c:v>
                </c:pt>
                <c:pt idx="2">
                  <c:v>contre</c:v>
                </c:pt>
                <c:pt idx="3">
                  <c:v>en</c:v>
                </c:pt>
                <c:pt idx="4">
                  <c:v>par</c:v>
                </c:pt>
                <c:pt idx="5">
                  <c:v>pour</c:v>
                </c:pt>
                <c:pt idx="6">
                  <c:v>sur</c:v>
                </c:pt>
              </c:strCache>
            </c:strRef>
          </c:cat>
          <c:val>
            <c:numRef>
              <c:f>'Prépositions 2'!$B$23:$B$29</c:f>
              <c:numCache>
                <c:formatCode>0.00%</c:formatCode>
                <c:ptCount val="7"/>
                <c:pt idx="0">
                  <c:v>0.38628378462264268</c:v>
                </c:pt>
                <c:pt idx="1">
                  <c:v>2.9411399555539001E-2</c:v>
                </c:pt>
                <c:pt idx="2">
                  <c:v>2.0683576048766559E-2</c:v>
                </c:pt>
                <c:pt idx="3">
                  <c:v>0.25381454306181483</c:v>
                </c:pt>
                <c:pt idx="4">
                  <c:v>0.10894260493873142</c:v>
                </c:pt>
                <c:pt idx="5">
                  <c:v>0.1632959638471948</c:v>
                </c:pt>
                <c:pt idx="6">
                  <c:v>3.7568127925310689E-2</c:v>
                </c:pt>
              </c:numCache>
            </c:numRef>
          </c:val>
        </c:ser>
        <c:ser>
          <c:idx val="1"/>
          <c:order val="1"/>
          <c:tx>
            <c:strRef>
              <c:f>'Prépositions 2'!$C$22</c:f>
              <c:strCache>
                <c:ptCount val="1"/>
                <c:pt idx="0">
                  <c:v>B-structures</c:v>
                </c:pt>
              </c:strCache>
            </c:strRef>
          </c:tx>
          <c:invertIfNegative val="0"/>
          <c:cat>
            <c:strRef>
              <c:f>'Prépositions 2'!$A$23:$A$29</c:f>
              <c:strCache>
                <c:ptCount val="7"/>
                <c:pt idx="0">
                  <c:v>à</c:v>
                </c:pt>
                <c:pt idx="1">
                  <c:v>après</c:v>
                </c:pt>
                <c:pt idx="2">
                  <c:v>contre</c:v>
                </c:pt>
                <c:pt idx="3">
                  <c:v>en</c:v>
                </c:pt>
                <c:pt idx="4">
                  <c:v>par</c:v>
                </c:pt>
                <c:pt idx="5">
                  <c:v>pour</c:v>
                </c:pt>
                <c:pt idx="6">
                  <c:v>sur</c:v>
                </c:pt>
              </c:strCache>
            </c:strRef>
          </c:cat>
          <c:val>
            <c:numRef>
              <c:f>'Prépositions 2'!$C$23:$C$29</c:f>
              <c:numCache>
                <c:formatCode>0.00%</c:formatCode>
                <c:ptCount val="7"/>
                <c:pt idx="0">
                  <c:v>0.31111111111111112</c:v>
                </c:pt>
                <c:pt idx="1">
                  <c:v>8.8888888888888892E-2</c:v>
                </c:pt>
                <c:pt idx="2">
                  <c:v>6.6666666666666666E-2</c:v>
                </c:pt>
                <c:pt idx="3">
                  <c:v>0.1111111111111111</c:v>
                </c:pt>
                <c:pt idx="4">
                  <c:v>0.26666666666666666</c:v>
                </c:pt>
                <c:pt idx="5">
                  <c:v>8.8888888888888892E-2</c:v>
                </c:pt>
                <c:pt idx="6">
                  <c:v>6.6666666666666666E-2</c:v>
                </c:pt>
              </c:numCache>
            </c:numRef>
          </c:val>
        </c:ser>
        <c:dLbls>
          <c:showLegendKey val="0"/>
          <c:showVal val="0"/>
          <c:showCatName val="0"/>
          <c:showSerName val="0"/>
          <c:showPercent val="0"/>
          <c:showBubbleSize val="0"/>
        </c:dLbls>
        <c:gapWidth val="150"/>
        <c:axId val="302394688"/>
        <c:axId val="302394296"/>
      </c:barChart>
      <c:catAx>
        <c:axId val="302394688"/>
        <c:scaling>
          <c:orientation val="minMax"/>
        </c:scaling>
        <c:delete val="0"/>
        <c:axPos val="b"/>
        <c:numFmt formatCode="General" sourceLinked="0"/>
        <c:majorTickMark val="out"/>
        <c:minorTickMark val="none"/>
        <c:tickLblPos val="nextTo"/>
        <c:crossAx val="302394296"/>
        <c:crosses val="autoZero"/>
        <c:auto val="1"/>
        <c:lblAlgn val="ctr"/>
        <c:lblOffset val="100"/>
        <c:noMultiLvlLbl val="0"/>
      </c:catAx>
      <c:valAx>
        <c:axId val="302394296"/>
        <c:scaling>
          <c:orientation val="minMax"/>
        </c:scaling>
        <c:delete val="0"/>
        <c:axPos val="l"/>
        <c:majorGridlines/>
        <c:numFmt formatCode="0.00%" sourceLinked="1"/>
        <c:majorTickMark val="out"/>
        <c:minorTickMark val="none"/>
        <c:tickLblPos val="nextTo"/>
        <c:crossAx val="30239468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BE"/>
              <a:t>Le Monde</a:t>
            </a:r>
          </a:p>
          <a:p>
            <a:pPr>
              <a:defRPr/>
            </a:pPr>
            <a:endParaRPr lang="fr-BE"/>
          </a:p>
        </c:rich>
      </c:tx>
      <c:overlay val="1"/>
    </c:title>
    <c:autoTitleDeleted val="0"/>
    <c:plotArea>
      <c:layout/>
      <c:barChart>
        <c:barDir val="col"/>
        <c:grouping val="clustered"/>
        <c:varyColors val="0"/>
        <c:ser>
          <c:idx val="0"/>
          <c:order val="0"/>
          <c:tx>
            <c:strRef>
              <c:f>'Prépositions 2'!$B$40</c:f>
              <c:strCache>
                <c:ptCount val="1"/>
                <c:pt idx="0">
                  <c:v>A-prépositions</c:v>
                </c:pt>
              </c:strCache>
            </c:strRef>
          </c:tx>
          <c:invertIfNegative val="0"/>
          <c:cat>
            <c:strRef>
              <c:f>'Prépositions 2'!$A$41:$A$47</c:f>
              <c:strCache>
                <c:ptCount val="7"/>
                <c:pt idx="0">
                  <c:v>à</c:v>
                </c:pt>
                <c:pt idx="1">
                  <c:v>après</c:v>
                </c:pt>
                <c:pt idx="2">
                  <c:v>contre</c:v>
                </c:pt>
                <c:pt idx="3">
                  <c:v>en</c:v>
                </c:pt>
                <c:pt idx="4">
                  <c:v>par</c:v>
                </c:pt>
                <c:pt idx="5">
                  <c:v>pour</c:v>
                </c:pt>
                <c:pt idx="6">
                  <c:v>sur</c:v>
                </c:pt>
              </c:strCache>
            </c:strRef>
          </c:cat>
          <c:val>
            <c:numRef>
              <c:f>'Prépositions 2'!$B$41:$B$47</c:f>
              <c:numCache>
                <c:formatCode>0.00%</c:formatCode>
                <c:ptCount val="7"/>
                <c:pt idx="0">
                  <c:v>0.35715096996956069</c:v>
                </c:pt>
                <c:pt idx="1">
                  <c:v>2.0955431375221479E-2</c:v>
                </c:pt>
                <c:pt idx="2">
                  <c:v>1.5617191404297851E-2</c:v>
                </c:pt>
                <c:pt idx="3">
                  <c:v>0.24621780019081368</c:v>
                </c:pt>
                <c:pt idx="4">
                  <c:v>0.1135227840625142</c:v>
                </c:pt>
                <c:pt idx="5">
                  <c:v>0.1430193993912135</c:v>
                </c:pt>
                <c:pt idx="6">
                  <c:v>0.10351642360637862</c:v>
                </c:pt>
              </c:numCache>
            </c:numRef>
          </c:val>
        </c:ser>
        <c:ser>
          <c:idx val="1"/>
          <c:order val="1"/>
          <c:tx>
            <c:strRef>
              <c:f>'Prépositions 2'!$C$40</c:f>
              <c:strCache>
                <c:ptCount val="1"/>
                <c:pt idx="0">
                  <c:v>B-structures</c:v>
                </c:pt>
              </c:strCache>
            </c:strRef>
          </c:tx>
          <c:invertIfNegative val="0"/>
          <c:cat>
            <c:strRef>
              <c:f>'Prépositions 2'!$A$41:$A$47</c:f>
              <c:strCache>
                <c:ptCount val="7"/>
                <c:pt idx="0">
                  <c:v>à</c:v>
                </c:pt>
                <c:pt idx="1">
                  <c:v>après</c:v>
                </c:pt>
                <c:pt idx="2">
                  <c:v>contre</c:v>
                </c:pt>
                <c:pt idx="3">
                  <c:v>en</c:v>
                </c:pt>
                <c:pt idx="4">
                  <c:v>par</c:v>
                </c:pt>
                <c:pt idx="5">
                  <c:v>pour</c:v>
                </c:pt>
                <c:pt idx="6">
                  <c:v>sur</c:v>
                </c:pt>
              </c:strCache>
            </c:strRef>
          </c:cat>
          <c:val>
            <c:numRef>
              <c:f>'Prépositions 2'!$C$41:$C$47</c:f>
              <c:numCache>
                <c:formatCode>0.00%</c:formatCode>
                <c:ptCount val="7"/>
                <c:pt idx="0">
                  <c:v>0.31343283582089554</c:v>
                </c:pt>
                <c:pt idx="1">
                  <c:v>4.4776119402985072E-2</c:v>
                </c:pt>
                <c:pt idx="2">
                  <c:v>1.4925373134328358E-2</c:v>
                </c:pt>
                <c:pt idx="3">
                  <c:v>0.32835820895522388</c:v>
                </c:pt>
                <c:pt idx="4">
                  <c:v>0.13432835820895522</c:v>
                </c:pt>
                <c:pt idx="5">
                  <c:v>8.9552238805970144E-2</c:v>
                </c:pt>
                <c:pt idx="6">
                  <c:v>7.4626865671641784E-2</c:v>
                </c:pt>
              </c:numCache>
            </c:numRef>
          </c:val>
        </c:ser>
        <c:dLbls>
          <c:showLegendKey val="0"/>
          <c:showVal val="0"/>
          <c:showCatName val="0"/>
          <c:showSerName val="0"/>
          <c:showPercent val="0"/>
          <c:showBubbleSize val="0"/>
        </c:dLbls>
        <c:gapWidth val="150"/>
        <c:axId val="394388672"/>
        <c:axId val="394387888"/>
      </c:barChart>
      <c:catAx>
        <c:axId val="394388672"/>
        <c:scaling>
          <c:orientation val="minMax"/>
        </c:scaling>
        <c:delete val="0"/>
        <c:axPos val="b"/>
        <c:numFmt formatCode="General" sourceLinked="0"/>
        <c:majorTickMark val="out"/>
        <c:minorTickMark val="none"/>
        <c:tickLblPos val="nextTo"/>
        <c:crossAx val="394387888"/>
        <c:crosses val="autoZero"/>
        <c:auto val="1"/>
        <c:lblAlgn val="ctr"/>
        <c:lblOffset val="100"/>
        <c:noMultiLvlLbl val="0"/>
      </c:catAx>
      <c:valAx>
        <c:axId val="394387888"/>
        <c:scaling>
          <c:orientation val="minMax"/>
        </c:scaling>
        <c:delete val="0"/>
        <c:axPos val="l"/>
        <c:majorGridlines/>
        <c:numFmt formatCode="0.00%" sourceLinked="1"/>
        <c:majorTickMark val="out"/>
        <c:minorTickMark val="none"/>
        <c:tickLblPos val="nextTo"/>
        <c:crossAx val="394388672"/>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Romans Harlequin</a:t>
            </a:r>
          </a:p>
        </c:rich>
      </c:tx>
      <c:overlay val="1"/>
    </c:title>
    <c:autoTitleDeleted val="0"/>
    <c:plotArea>
      <c:layout/>
      <c:barChart>
        <c:barDir val="col"/>
        <c:grouping val="clustered"/>
        <c:varyColors val="0"/>
        <c:ser>
          <c:idx val="0"/>
          <c:order val="0"/>
          <c:tx>
            <c:strRef>
              <c:f>'Prépositions 2'!$B$58</c:f>
              <c:strCache>
                <c:ptCount val="1"/>
                <c:pt idx="0">
                  <c:v>A-prépositions</c:v>
                </c:pt>
              </c:strCache>
            </c:strRef>
          </c:tx>
          <c:invertIfNegative val="0"/>
          <c:cat>
            <c:strRef>
              <c:f>'Prépositions 2'!$A$59:$A$65</c:f>
              <c:strCache>
                <c:ptCount val="7"/>
                <c:pt idx="0">
                  <c:v>à</c:v>
                </c:pt>
                <c:pt idx="1">
                  <c:v>après</c:v>
                </c:pt>
                <c:pt idx="2">
                  <c:v>contre</c:v>
                </c:pt>
                <c:pt idx="3">
                  <c:v>en</c:v>
                </c:pt>
                <c:pt idx="4">
                  <c:v>par</c:v>
                </c:pt>
                <c:pt idx="5">
                  <c:v>pour</c:v>
                </c:pt>
                <c:pt idx="6">
                  <c:v>sur</c:v>
                </c:pt>
              </c:strCache>
            </c:strRef>
          </c:cat>
          <c:val>
            <c:numRef>
              <c:f>'Prépositions 2'!$B$59:$B$65</c:f>
              <c:numCache>
                <c:formatCode>0.00%</c:formatCode>
                <c:ptCount val="7"/>
                <c:pt idx="0">
                  <c:v>0.46746597795907663</c:v>
                </c:pt>
                <c:pt idx="1">
                  <c:v>2.241720400681866E-2</c:v>
                </c:pt>
                <c:pt idx="2">
                  <c:v>1.4925798598639689E-2</c:v>
                </c:pt>
                <c:pt idx="3">
                  <c:v>0.18491912816916664</c:v>
                </c:pt>
                <c:pt idx="4">
                  <c:v>4.9800172176897507E-2</c:v>
                </c:pt>
                <c:pt idx="5">
                  <c:v>0.15634460464877623</c:v>
                </c:pt>
                <c:pt idx="6">
                  <c:v>0.10412711444062463</c:v>
                </c:pt>
              </c:numCache>
            </c:numRef>
          </c:val>
        </c:ser>
        <c:ser>
          <c:idx val="1"/>
          <c:order val="1"/>
          <c:tx>
            <c:strRef>
              <c:f>'Prépositions 2'!$C$58</c:f>
              <c:strCache>
                <c:ptCount val="1"/>
                <c:pt idx="0">
                  <c:v>B-structures</c:v>
                </c:pt>
              </c:strCache>
            </c:strRef>
          </c:tx>
          <c:invertIfNegative val="0"/>
          <c:cat>
            <c:strRef>
              <c:f>'Prépositions 2'!$A$59:$A$65</c:f>
              <c:strCache>
                <c:ptCount val="7"/>
                <c:pt idx="0">
                  <c:v>à</c:v>
                </c:pt>
                <c:pt idx="1">
                  <c:v>après</c:v>
                </c:pt>
                <c:pt idx="2">
                  <c:v>contre</c:v>
                </c:pt>
                <c:pt idx="3">
                  <c:v>en</c:v>
                </c:pt>
                <c:pt idx="4">
                  <c:v>par</c:v>
                </c:pt>
                <c:pt idx="5">
                  <c:v>pour</c:v>
                </c:pt>
                <c:pt idx="6">
                  <c:v>sur</c:v>
                </c:pt>
              </c:strCache>
            </c:strRef>
          </c:cat>
          <c:val>
            <c:numRef>
              <c:f>'Prépositions 2'!$C$59:$C$65</c:f>
              <c:numCache>
                <c:formatCode>0.00%</c:formatCode>
                <c:ptCount val="7"/>
                <c:pt idx="0">
                  <c:v>0.26666666666666666</c:v>
                </c:pt>
                <c:pt idx="1">
                  <c:v>0.1111111111111111</c:v>
                </c:pt>
                <c:pt idx="2">
                  <c:v>4.4444444444444446E-2</c:v>
                </c:pt>
                <c:pt idx="3">
                  <c:v>0.26666666666666666</c:v>
                </c:pt>
                <c:pt idx="4">
                  <c:v>8.8888888888888892E-2</c:v>
                </c:pt>
                <c:pt idx="5">
                  <c:v>0.13333333333333333</c:v>
                </c:pt>
                <c:pt idx="6">
                  <c:v>8.8888888888888892E-2</c:v>
                </c:pt>
              </c:numCache>
            </c:numRef>
          </c:val>
        </c:ser>
        <c:dLbls>
          <c:showLegendKey val="0"/>
          <c:showVal val="0"/>
          <c:showCatName val="0"/>
          <c:showSerName val="0"/>
          <c:showPercent val="0"/>
          <c:showBubbleSize val="0"/>
        </c:dLbls>
        <c:gapWidth val="150"/>
        <c:axId val="394389456"/>
        <c:axId val="389606280"/>
      </c:barChart>
      <c:catAx>
        <c:axId val="394389456"/>
        <c:scaling>
          <c:orientation val="minMax"/>
        </c:scaling>
        <c:delete val="0"/>
        <c:axPos val="b"/>
        <c:numFmt formatCode="General" sourceLinked="0"/>
        <c:majorTickMark val="out"/>
        <c:minorTickMark val="none"/>
        <c:tickLblPos val="nextTo"/>
        <c:crossAx val="389606280"/>
        <c:crosses val="autoZero"/>
        <c:auto val="1"/>
        <c:lblAlgn val="ctr"/>
        <c:lblOffset val="100"/>
        <c:noMultiLvlLbl val="0"/>
      </c:catAx>
      <c:valAx>
        <c:axId val="389606280"/>
        <c:scaling>
          <c:orientation val="minMax"/>
        </c:scaling>
        <c:delete val="0"/>
        <c:axPos val="l"/>
        <c:majorGridlines/>
        <c:numFmt formatCode="0.00%" sourceLinked="1"/>
        <c:majorTickMark val="out"/>
        <c:minorTickMark val="none"/>
        <c:tickLblPos val="nextTo"/>
        <c:crossAx val="394389456"/>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Romans sérieux</a:t>
            </a:r>
          </a:p>
        </c:rich>
      </c:tx>
      <c:layout>
        <c:manualLayout>
          <c:xMode val="edge"/>
          <c:yMode val="edge"/>
          <c:x val="0.43823901003105814"/>
          <c:y val="0"/>
        </c:manualLayout>
      </c:layout>
      <c:overlay val="1"/>
    </c:title>
    <c:autoTitleDeleted val="0"/>
    <c:plotArea>
      <c:layout>
        <c:manualLayout>
          <c:layoutTarget val="inner"/>
          <c:xMode val="edge"/>
          <c:yMode val="edge"/>
          <c:x val="0.37772567032062171"/>
          <c:y val="3.3942746404011327E-2"/>
          <c:w val="0.62128064261575144"/>
          <c:h val="0.82722019962558446"/>
        </c:manualLayout>
      </c:layout>
      <c:barChart>
        <c:barDir val="col"/>
        <c:grouping val="clustered"/>
        <c:varyColors val="0"/>
        <c:ser>
          <c:idx val="0"/>
          <c:order val="0"/>
          <c:tx>
            <c:strRef>
              <c:f>'Prépositions 2'!$B$76</c:f>
              <c:strCache>
                <c:ptCount val="1"/>
                <c:pt idx="0">
                  <c:v>A-prépositions</c:v>
                </c:pt>
              </c:strCache>
            </c:strRef>
          </c:tx>
          <c:invertIfNegative val="0"/>
          <c:cat>
            <c:strRef>
              <c:f>'Prépositions 2'!$A$77:$A$83</c:f>
              <c:strCache>
                <c:ptCount val="7"/>
                <c:pt idx="0">
                  <c:v>à</c:v>
                </c:pt>
                <c:pt idx="1">
                  <c:v>après</c:v>
                </c:pt>
                <c:pt idx="2">
                  <c:v>contre</c:v>
                </c:pt>
                <c:pt idx="3">
                  <c:v>en</c:v>
                </c:pt>
                <c:pt idx="4">
                  <c:v>par</c:v>
                </c:pt>
                <c:pt idx="5">
                  <c:v>pour</c:v>
                </c:pt>
                <c:pt idx="6">
                  <c:v>sur</c:v>
                </c:pt>
              </c:strCache>
            </c:strRef>
          </c:cat>
          <c:val>
            <c:numRef>
              <c:f>'Prépositions 2'!$B$77:$B$83</c:f>
              <c:numCache>
                <c:formatCode>0.00%</c:formatCode>
                <c:ptCount val="7"/>
                <c:pt idx="0">
                  <c:v>0.5036856848002359</c:v>
                </c:pt>
                <c:pt idx="1">
                  <c:v>1.8864563369207332E-2</c:v>
                </c:pt>
                <c:pt idx="2">
                  <c:v>1.0356774288662834E-2</c:v>
                </c:pt>
                <c:pt idx="3">
                  <c:v>0.17588087866725638</c:v>
                </c:pt>
                <c:pt idx="4">
                  <c:v>6.3135780628040691E-2</c:v>
                </c:pt>
                <c:pt idx="5">
                  <c:v>0.12595827804806134</c:v>
                </c:pt>
                <c:pt idx="6">
                  <c:v>0.10211804019853556</c:v>
                </c:pt>
              </c:numCache>
            </c:numRef>
          </c:val>
        </c:ser>
        <c:ser>
          <c:idx val="1"/>
          <c:order val="1"/>
          <c:tx>
            <c:strRef>
              <c:f>'Prépositions 2'!$C$76</c:f>
              <c:strCache>
                <c:ptCount val="1"/>
                <c:pt idx="0">
                  <c:v>B-structures</c:v>
                </c:pt>
              </c:strCache>
            </c:strRef>
          </c:tx>
          <c:invertIfNegative val="0"/>
          <c:cat>
            <c:strRef>
              <c:f>'Prépositions 2'!$A$77:$A$83</c:f>
              <c:strCache>
                <c:ptCount val="7"/>
                <c:pt idx="0">
                  <c:v>à</c:v>
                </c:pt>
                <c:pt idx="1">
                  <c:v>après</c:v>
                </c:pt>
                <c:pt idx="2">
                  <c:v>contre</c:v>
                </c:pt>
                <c:pt idx="3">
                  <c:v>en</c:v>
                </c:pt>
                <c:pt idx="4">
                  <c:v>par</c:v>
                </c:pt>
                <c:pt idx="5">
                  <c:v>pour</c:v>
                </c:pt>
                <c:pt idx="6">
                  <c:v>sur</c:v>
                </c:pt>
              </c:strCache>
            </c:strRef>
          </c:cat>
          <c:val>
            <c:numRef>
              <c:f>'Prépositions 2'!$C$77:$C$83</c:f>
              <c:numCache>
                <c:formatCode>0.00%</c:formatCode>
                <c:ptCount val="7"/>
                <c:pt idx="0">
                  <c:v>0.17164179104477612</c:v>
                </c:pt>
                <c:pt idx="1">
                  <c:v>0.15671641791044777</c:v>
                </c:pt>
                <c:pt idx="2">
                  <c:v>7.462686567164179E-3</c:v>
                </c:pt>
                <c:pt idx="3">
                  <c:v>0.43283582089552236</c:v>
                </c:pt>
                <c:pt idx="4">
                  <c:v>8.9552238805970144E-2</c:v>
                </c:pt>
                <c:pt idx="5">
                  <c:v>4.4776119402985072E-2</c:v>
                </c:pt>
                <c:pt idx="6">
                  <c:v>9.7014925373134331E-2</c:v>
                </c:pt>
              </c:numCache>
            </c:numRef>
          </c:val>
        </c:ser>
        <c:dLbls>
          <c:showLegendKey val="0"/>
          <c:showVal val="0"/>
          <c:showCatName val="0"/>
          <c:showSerName val="0"/>
          <c:showPercent val="0"/>
          <c:showBubbleSize val="0"/>
        </c:dLbls>
        <c:gapWidth val="150"/>
        <c:axId val="389605888"/>
        <c:axId val="389607064"/>
      </c:barChart>
      <c:catAx>
        <c:axId val="389605888"/>
        <c:scaling>
          <c:orientation val="minMax"/>
        </c:scaling>
        <c:delete val="0"/>
        <c:axPos val="b"/>
        <c:numFmt formatCode="General" sourceLinked="0"/>
        <c:majorTickMark val="out"/>
        <c:minorTickMark val="none"/>
        <c:tickLblPos val="nextTo"/>
        <c:crossAx val="389607064"/>
        <c:crosses val="autoZero"/>
        <c:auto val="1"/>
        <c:lblAlgn val="ctr"/>
        <c:lblOffset val="100"/>
        <c:noMultiLvlLbl val="0"/>
      </c:catAx>
      <c:valAx>
        <c:axId val="389607064"/>
        <c:scaling>
          <c:orientation val="minMax"/>
        </c:scaling>
        <c:delete val="0"/>
        <c:axPos val="l"/>
        <c:majorGridlines/>
        <c:numFmt formatCode="0.00%" sourceLinked="1"/>
        <c:majorTickMark val="out"/>
        <c:minorTickMark val="none"/>
        <c:tickLblPos val="nextTo"/>
        <c:crossAx val="38960588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Romans policiers</a:t>
            </a:r>
          </a:p>
        </c:rich>
      </c:tx>
      <c:overlay val="1"/>
    </c:title>
    <c:autoTitleDeleted val="0"/>
    <c:plotArea>
      <c:layout/>
      <c:barChart>
        <c:barDir val="col"/>
        <c:grouping val="clustered"/>
        <c:varyColors val="0"/>
        <c:ser>
          <c:idx val="0"/>
          <c:order val="0"/>
          <c:tx>
            <c:strRef>
              <c:f>'Prépositions 2'!$B$67</c:f>
              <c:strCache>
                <c:ptCount val="1"/>
                <c:pt idx="0">
                  <c:v>A-prépositions</c:v>
                </c:pt>
              </c:strCache>
            </c:strRef>
          </c:tx>
          <c:invertIfNegative val="0"/>
          <c:cat>
            <c:strRef>
              <c:f>'Prépositions 2'!$A$68:$A$74</c:f>
              <c:strCache>
                <c:ptCount val="7"/>
                <c:pt idx="0">
                  <c:v>à</c:v>
                </c:pt>
                <c:pt idx="1">
                  <c:v>après</c:v>
                </c:pt>
                <c:pt idx="2">
                  <c:v>contre</c:v>
                </c:pt>
                <c:pt idx="3">
                  <c:v>en</c:v>
                </c:pt>
                <c:pt idx="4">
                  <c:v>par</c:v>
                </c:pt>
                <c:pt idx="5">
                  <c:v>pour</c:v>
                </c:pt>
                <c:pt idx="6">
                  <c:v>sur</c:v>
                </c:pt>
              </c:strCache>
            </c:strRef>
          </c:cat>
          <c:val>
            <c:numRef>
              <c:f>'Prépositions 2'!$B$68:$B$74</c:f>
              <c:numCache>
                <c:formatCode>0.00%</c:formatCode>
                <c:ptCount val="7"/>
                <c:pt idx="0">
                  <c:v>0.47678222532530784</c:v>
                </c:pt>
                <c:pt idx="1">
                  <c:v>1.925101773075602E-2</c:v>
                </c:pt>
                <c:pt idx="2">
                  <c:v>1.0793858142690639E-2</c:v>
                </c:pt>
                <c:pt idx="3">
                  <c:v>0.18376022657530081</c:v>
                </c:pt>
                <c:pt idx="4">
                  <c:v>6.0585244452452405E-2</c:v>
                </c:pt>
                <c:pt idx="5">
                  <c:v>0.12924476776594726</c:v>
                </c:pt>
                <c:pt idx="6">
                  <c:v>0.119582660007545</c:v>
                </c:pt>
              </c:numCache>
            </c:numRef>
          </c:val>
        </c:ser>
        <c:ser>
          <c:idx val="1"/>
          <c:order val="1"/>
          <c:tx>
            <c:strRef>
              <c:f>'Prépositions 2'!$C$67</c:f>
              <c:strCache>
                <c:ptCount val="1"/>
                <c:pt idx="0">
                  <c:v>B-structures</c:v>
                </c:pt>
              </c:strCache>
            </c:strRef>
          </c:tx>
          <c:invertIfNegative val="0"/>
          <c:cat>
            <c:strRef>
              <c:f>'Prépositions 2'!$A$68:$A$74</c:f>
              <c:strCache>
                <c:ptCount val="7"/>
                <c:pt idx="0">
                  <c:v>à</c:v>
                </c:pt>
                <c:pt idx="1">
                  <c:v>après</c:v>
                </c:pt>
                <c:pt idx="2">
                  <c:v>contre</c:v>
                </c:pt>
                <c:pt idx="3">
                  <c:v>en</c:v>
                </c:pt>
                <c:pt idx="4">
                  <c:v>par</c:v>
                </c:pt>
                <c:pt idx="5">
                  <c:v>pour</c:v>
                </c:pt>
                <c:pt idx="6">
                  <c:v>sur</c:v>
                </c:pt>
              </c:strCache>
            </c:strRef>
          </c:cat>
          <c:val>
            <c:numRef>
              <c:f>'Prépositions 2'!$C$68:$C$74</c:f>
              <c:numCache>
                <c:formatCode>0.00%</c:formatCode>
                <c:ptCount val="7"/>
                <c:pt idx="0">
                  <c:v>0.20535714285714285</c:v>
                </c:pt>
                <c:pt idx="1">
                  <c:v>6.25E-2</c:v>
                </c:pt>
                <c:pt idx="2">
                  <c:v>1.7857142857142856E-2</c:v>
                </c:pt>
                <c:pt idx="3">
                  <c:v>0.48214285714285715</c:v>
                </c:pt>
                <c:pt idx="4">
                  <c:v>0.11607142857142858</c:v>
                </c:pt>
                <c:pt idx="5">
                  <c:v>3.5714285714285712E-2</c:v>
                </c:pt>
                <c:pt idx="6">
                  <c:v>8.0357142857142863E-2</c:v>
                </c:pt>
              </c:numCache>
            </c:numRef>
          </c:val>
        </c:ser>
        <c:dLbls>
          <c:showLegendKey val="0"/>
          <c:showVal val="0"/>
          <c:showCatName val="0"/>
          <c:showSerName val="0"/>
          <c:showPercent val="0"/>
          <c:showBubbleSize val="0"/>
        </c:dLbls>
        <c:gapWidth val="150"/>
        <c:axId val="446277896"/>
        <c:axId val="446279464"/>
      </c:barChart>
      <c:catAx>
        <c:axId val="446277896"/>
        <c:scaling>
          <c:orientation val="minMax"/>
        </c:scaling>
        <c:delete val="0"/>
        <c:axPos val="b"/>
        <c:numFmt formatCode="General" sourceLinked="0"/>
        <c:majorTickMark val="out"/>
        <c:minorTickMark val="none"/>
        <c:tickLblPos val="nextTo"/>
        <c:crossAx val="446279464"/>
        <c:crosses val="autoZero"/>
        <c:auto val="1"/>
        <c:lblAlgn val="ctr"/>
        <c:lblOffset val="100"/>
        <c:noMultiLvlLbl val="0"/>
      </c:catAx>
      <c:valAx>
        <c:axId val="446279464"/>
        <c:scaling>
          <c:orientation val="minMax"/>
        </c:scaling>
        <c:delete val="0"/>
        <c:axPos val="l"/>
        <c:majorGridlines/>
        <c:numFmt formatCode="0.00%" sourceLinked="1"/>
        <c:majorTickMark val="out"/>
        <c:minorTickMark val="none"/>
        <c:tickLblPos val="nextTo"/>
        <c:crossAx val="44627789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650BE-6735-41BB-B2C9-63C375F22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13</Pages>
  <Words>4786</Words>
  <Characters>26324</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58</cp:revision>
  <cp:lastPrinted>2016-05-02T11:05:00Z</cp:lastPrinted>
  <dcterms:created xsi:type="dcterms:W3CDTF">2016-03-31T15:29:00Z</dcterms:created>
  <dcterms:modified xsi:type="dcterms:W3CDTF">2016-05-02T18:20:00Z</dcterms:modified>
</cp:coreProperties>
</file>