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CFB86" w14:textId="2921720F" w:rsidR="003D474A" w:rsidRPr="0028531E" w:rsidRDefault="00C72336" w:rsidP="00E34A73">
      <w:pPr>
        <w:pStyle w:val="Heading1"/>
        <w:jc w:val="center"/>
        <w:rPr>
          <w:lang w:val="en-US"/>
        </w:rPr>
      </w:pPr>
      <w:r>
        <w:rPr>
          <w:lang w:val="en-US"/>
        </w:rPr>
        <w:t>Old-age employment and hours of work trends: empirical analysis for four European countries</w:t>
      </w:r>
    </w:p>
    <w:p w14:paraId="36D734D6" w14:textId="77777777" w:rsidR="00DD3C19" w:rsidRPr="0028531E" w:rsidRDefault="00DD3C19" w:rsidP="00E34A73">
      <w:pPr>
        <w:jc w:val="center"/>
        <w:rPr>
          <w:lang w:val="en-US"/>
        </w:rPr>
      </w:pPr>
    </w:p>
    <w:p w14:paraId="7F44D5D6" w14:textId="65C9BD46" w:rsidR="00DD3C19" w:rsidRPr="0028531E" w:rsidRDefault="003D474A" w:rsidP="00E34A73">
      <w:pPr>
        <w:jc w:val="center"/>
        <w:rPr>
          <w:lang w:val="en-US"/>
        </w:rPr>
      </w:pPr>
      <w:r w:rsidRPr="0028531E">
        <w:rPr>
          <w:lang w:val="en-US"/>
        </w:rPr>
        <w:t>Arjeta Aliaj</w:t>
      </w:r>
      <w:r w:rsidR="000434BD" w:rsidRPr="0028531E">
        <w:rPr>
          <w:lang w:val="en-US"/>
        </w:rPr>
        <w:t xml:space="preserve">, </w:t>
      </w:r>
      <w:r w:rsidRPr="0028531E">
        <w:rPr>
          <w:lang w:val="en-US"/>
        </w:rPr>
        <w:t>Xavier Flawinne</w:t>
      </w:r>
      <w:r w:rsidR="000434BD" w:rsidRPr="0028531E">
        <w:rPr>
          <w:lang w:val="en-US"/>
        </w:rPr>
        <w:t>,</w:t>
      </w:r>
      <w:r w:rsidR="00D64DB8" w:rsidRPr="0028531E">
        <w:rPr>
          <w:lang w:val="en-US"/>
        </w:rPr>
        <w:t xml:space="preserve"> Alain Jousten</w:t>
      </w:r>
      <w:r w:rsidR="00C52325" w:rsidRPr="0028531E">
        <w:rPr>
          <w:lang w:val="en-US"/>
        </w:rPr>
        <w:t>,</w:t>
      </w:r>
      <w:r w:rsidR="00D64DB8" w:rsidRPr="0028531E">
        <w:rPr>
          <w:lang w:val="en-US"/>
        </w:rPr>
        <w:t xml:space="preserve"> Sergio Perelman</w:t>
      </w:r>
      <w:r w:rsidR="00C52325" w:rsidRPr="0028531E">
        <w:rPr>
          <w:lang w:val="en-US"/>
        </w:rPr>
        <w:t xml:space="preserve"> and Lin Shi</w:t>
      </w:r>
      <w:r w:rsidR="000069FB" w:rsidRPr="0028531E">
        <w:rPr>
          <w:lang w:val="en-US"/>
        </w:rPr>
        <w:t>*</w:t>
      </w:r>
    </w:p>
    <w:p w14:paraId="1561A6D4" w14:textId="17670223" w:rsidR="00DD3C19" w:rsidRPr="0028531E" w:rsidRDefault="00130625" w:rsidP="00E34A73">
      <w:pPr>
        <w:jc w:val="center"/>
        <w:rPr>
          <w:lang w:val="en-US"/>
        </w:rPr>
      </w:pPr>
      <w:r w:rsidRPr="0028531E">
        <w:rPr>
          <w:lang w:val="en-US"/>
        </w:rPr>
        <w:t>University of Li</w:t>
      </w:r>
      <w:r w:rsidR="000069FB" w:rsidRPr="0028531E">
        <w:rPr>
          <w:lang w:val="en-US"/>
        </w:rPr>
        <w:t>e</w:t>
      </w:r>
      <w:r w:rsidRPr="0028531E">
        <w:rPr>
          <w:lang w:val="en-US"/>
        </w:rPr>
        <w:t>ge</w:t>
      </w:r>
    </w:p>
    <w:p w14:paraId="7912BFD8" w14:textId="77777777" w:rsidR="00DD3C19" w:rsidRPr="0028531E" w:rsidRDefault="00DD3C19" w:rsidP="00E34A73">
      <w:pPr>
        <w:jc w:val="center"/>
        <w:rPr>
          <w:lang w:val="en-US"/>
        </w:rPr>
      </w:pPr>
    </w:p>
    <w:p w14:paraId="68C6751D" w14:textId="70147EC1" w:rsidR="00580CCA" w:rsidRPr="0028531E" w:rsidRDefault="004B6827" w:rsidP="00E34A73">
      <w:pPr>
        <w:jc w:val="center"/>
        <w:rPr>
          <w:lang w:val="en-US"/>
        </w:rPr>
      </w:pPr>
      <w:r>
        <w:rPr>
          <w:lang w:val="en-US"/>
        </w:rPr>
        <w:fldChar w:fldCharType="begin"/>
      </w:r>
      <w:r>
        <w:rPr>
          <w:lang w:val="en-GB"/>
        </w:rPr>
        <w:instrText xml:space="preserve"> DATE \@ "dd/MM/yyyy" </w:instrText>
      </w:r>
      <w:r>
        <w:rPr>
          <w:lang w:val="en-US"/>
        </w:rPr>
        <w:fldChar w:fldCharType="separate"/>
      </w:r>
      <w:r w:rsidR="005F5A14">
        <w:rPr>
          <w:noProof/>
          <w:lang w:val="en-GB"/>
        </w:rPr>
        <w:t>19/08/2016</w:t>
      </w:r>
      <w:r>
        <w:rPr>
          <w:lang w:val="en-US"/>
        </w:rPr>
        <w:fldChar w:fldCharType="end"/>
      </w:r>
    </w:p>
    <w:p w14:paraId="4FAF7D2D" w14:textId="77777777" w:rsidR="00DD3C19" w:rsidRPr="0028531E" w:rsidRDefault="00DD3C19" w:rsidP="000525D7">
      <w:pPr>
        <w:rPr>
          <w:lang w:val="en-US"/>
        </w:rPr>
      </w:pPr>
    </w:p>
    <w:p w14:paraId="1879D6C1" w14:textId="77777777" w:rsidR="00AA3925" w:rsidRDefault="00AA3925" w:rsidP="000525D7">
      <w:pPr>
        <w:rPr>
          <w:lang w:val="en-US"/>
        </w:rPr>
      </w:pPr>
    </w:p>
    <w:p w14:paraId="153065AF" w14:textId="77777777" w:rsidR="00AA3925" w:rsidRPr="0028531E" w:rsidRDefault="00AA3925" w:rsidP="000525D7">
      <w:pPr>
        <w:rPr>
          <w:lang w:val="en-US"/>
        </w:rPr>
      </w:pPr>
    </w:p>
    <w:p w14:paraId="4F640EDA" w14:textId="77777777" w:rsidR="00DD3C19" w:rsidRDefault="00DD3C19" w:rsidP="000525D7">
      <w:pPr>
        <w:rPr>
          <w:lang w:val="en-US"/>
        </w:rPr>
      </w:pPr>
    </w:p>
    <w:p w14:paraId="26D8E8CE" w14:textId="77777777" w:rsidR="00E34A73" w:rsidRDefault="00E34A73" w:rsidP="000525D7">
      <w:pPr>
        <w:rPr>
          <w:lang w:val="en-US"/>
        </w:rPr>
      </w:pPr>
    </w:p>
    <w:p w14:paraId="6A67FCB4" w14:textId="77777777" w:rsidR="00E34A73" w:rsidRDefault="00E34A73" w:rsidP="000525D7">
      <w:pPr>
        <w:rPr>
          <w:lang w:val="en-US"/>
        </w:rPr>
      </w:pPr>
    </w:p>
    <w:p w14:paraId="32566560" w14:textId="77777777" w:rsidR="00E34A73" w:rsidRDefault="00E34A73" w:rsidP="000525D7">
      <w:pPr>
        <w:rPr>
          <w:lang w:val="en-US"/>
        </w:rPr>
      </w:pPr>
    </w:p>
    <w:p w14:paraId="377BE180" w14:textId="77777777" w:rsidR="00E34A73" w:rsidRDefault="00E34A73" w:rsidP="000525D7">
      <w:pPr>
        <w:rPr>
          <w:lang w:val="en-US"/>
        </w:rPr>
      </w:pPr>
    </w:p>
    <w:p w14:paraId="2686CC3C" w14:textId="77777777" w:rsidR="00E34A73" w:rsidRDefault="00E34A73" w:rsidP="000525D7">
      <w:pPr>
        <w:rPr>
          <w:lang w:val="en-US"/>
        </w:rPr>
      </w:pPr>
    </w:p>
    <w:p w14:paraId="1C55E062" w14:textId="77777777" w:rsidR="00E34A73" w:rsidRDefault="00E34A73" w:rsidP="000525D7">
      <w:pPr>
        <w:rPr>
          <w:lang w:val="en-US"/>
        </w:rPr>
      </w:pPr>
    </w:p>
    <w:p w14:paraId="258DC720" w14:textId="77777777" w:rsidR="00E34A73" w:rsidRPr="0028531E" w:rsidRDefault="00E34A73" w:rsidP="000525D7">
      <w:pPr>
        <w:rPr>
          <w:lang w:val="en-US"/>
        </w:rPr>
      </w:pPr>
    </w:p>
    <w:p w14:paraId="237D805D" w14:textId="1B54950D" w:rsidR="000069FB" w:rsidRPr="0028531E" w:rsidRDefault="000069FB" w:rsidP="000525D7">
      <w:pPr>
        <w:rPr>
          <w:lang w:val="en-US"/>
        </w:rPr>
      </w:pPr>
      <w:r w:rsidRPr="0028531E">
        <w:rPr>
          <w:lang w:val="en-US"/>
        </w:rPr>
        <w:t>*   Aliaj (HEC-ULg), Flawinne (HEC-ULg), Jousten (</w:t>
      </w:r>
      <w:r w:rsidR="009F46D3" w:rsidRPr="0028531E">
        <w:rPr>
          <w:lang w:val="en-US"/>
        </w:rPr>
        <w:t>Law Faculty</w:t>
      </w:r>
      <w:r w:rsidRPr="0028531E">
        <w:rPr>
          <w:lang w:val="en-US"/>
        </w:rPr>
        <w:t xml:space="preserve">, Tax Institute, HEC-ULg), Perelman (HEC-ULg), Shi (HEC-ULg) </w:t>
      </w:r>
    </w:p>
    <w:p w14:paraId="121BC403" w14:textId="3F2AFA64" w:rsidR="00FD629A" w:rsidRDefault="00D64DB8" w:rsidP="000525D7">
      <w:pPr>
        <w:rPr>
          <w:lang w:val="en-US"/>
        </w:rPr>
      </w:pPr>
      <w:r w:rsidRPr="0028531E">
        <w:rPr>
          <w:lang w:val="en-US"/>
        </w:rPr>
        <w:t xml:space="preserve">Acknowledgments: </w:t>
      </w:r>
      <w:r w:rsidR="007C372E" w:rsidRPr="0028531E">
        <w:rPr>
          <w:lang w:val="en-US"/>
        </w:rPr>
        <w:t>We are grateful to Eric Bonsang</w:t>
      </w:r>
      <w:r w:rsidR="005B3EC3">
        <w:rPr>
          <w:lang w:val="en-US"/>
        </w:rPr>
        <w:t xml:space="preserve">, </w:t>
      </w:r>
      <w:r w:rsidR="00322355" w:rsidRPr="0028531E">
        <w:rPr>
          <w:lang w:val="en-US"/>
        </w:rPr>
        <w:t>seminar participants at IAB (Nürnberg) and Belspo</w:t>
      </w:r>
      <w:r w:rsidR="005B3EC3">
        <w:rPr>
          <w:lang w:val="en-US"/>
        </w:rPr>
        <w:t xml:space="preserve"> and an anonymous referee</w:t>
      </w:r>
      <w:r w:rsidR="00322355" w:rsidRPr="0028531E">
        <w:rPr>
          <w:lang w:val="en-US"/>
        </w:rPr>
        <w:t xml:space="preserve"> for their helpful comments and </w:t>
      </w:r>
      <w:r w:rsidR="00977099" w:rsidRPr="0028531E">
        <w:rPr>
          <w:lang w:val="en-US"/>
        </w:rPr>
        <w:t>suggestions.</w:t>
      </w:r>
      <w:r w:rsidR="007C372E" w:rsidRPr="0028531E">
        <w:rPr>
          <w:lang w:val="en-US"/>
        </w:rPr>
        <w:t xml:space="preserve"> </w:t>
      </w:r>
      <w:r w:rsidR="00322355" w:rsidRPr="0028531E">
        <w:rPr>
          <w:lang w:val="en-US"/>
        </w:rPr>
        <w:t xml:space="preserve">The authors acknowledge financial support from the Belspo project EMPOV (TA/00/45). This paper uses data from the European Union Labour Force Survey (Eurostat, European Union). Eurostat has no responsibility for the results and conclusions which are the authors’ only. Comments welcome at </w:t>
      </w:r>
      <w:hyperlink r:id="rId9" w:history="1">
        <w:r w:rsidR="009F46D3" w:rsidRPr="0028531E">
          <w:rPr>
            <w:rStyle w:val="Hyperlink"/>
            <w:lang w:val="en-US"/>
          </w:rPr>
          <w:t>ajousten@ulg.ac.be</w:t>
        </w:r>
      </w:hyperlink>
      <w:r w:rsidR="009F46D3" w:rsidRPr="0028531E">
        <w:rPr>
          <w:lang w:val="en-US"/>
        </w:rPr>
        <w:t xml:space="preserve"> </w:t>
      </w:r>
      <w:r w:rsidRPr="0028531E">
        <w:rPr>
          <w:lang w:val="en-US"/>
        </w:rPr>
        <w:t>.</w:t>
      </w:r>
    </w:p>
    <w:p w14:paraId="01A7A8A0" w14:textId="77777777" w:rsidR="00FE3B23" w:rsidRDefault="00FD629A" w:rsidP="000525D7">
      <w:pPr>
        <w:rPr>
          <w:lang w:val="en-US"/>
        </w:rPr>
      </w:pPr>
      <w:r>
        <w:rPr>
          <w:lang w:val="en-US"/>
        </w:rPr>
        <w:t>None of the authors have any competing interests in the manuscript.</w:t>
      </w:r>
    </w:p>
    <w:p w14:paraId="76134DA3" w14:textId="4B1CE0F4" w:rsidR="00E34A73" w:rsidRDefault="00E34A73">
      <w:pPr>
        <w:rPr>
          <w:lang w:val="en-US"/>
        </w:rPr>
      </w:pPr>
      <w:r>
        <w:rPr>
          <w:lang w:val="en-US"/>
        </w:rPr>
        <w:br w:type="page"/>
      </w:r>
    </w:p>
    <w:p w14:paraId="5A758A22" w14:textId="5650D54A" w:rsidR="00AA3925" w:rsidRPr="0028531E" w:rsidRDefault="00FE3B23" w:rsidP="00E34A73">
      <w:pPr>
        <w:pStyle w:val="Heading1"/>
        <w:jc w:val="center"/>
        <w:rPr>
          <w:lang w:val="en-US"/>
        </w:rPr>
      </w:pPr>
      <w:r>
        <w:rPr>
          <w:lang w:val="en-US"/>
        </w:rPr>
        <w:lastRenderedPageBreak/>
        <w:t>A</w:t>
      </w:r>
      <w:r w:rsidR="00AA3925" w:rsidRPr="0028531E">
        <w:rPr>
          <w:lang w:val="en-US"/>
        </w:rPr>
        <w:t>bstract</w:t>
      </w:r>
    </w:p>
    <w:p w14:paraId="6A41196F" w14:textId="643D3C81" w:rsidR="00AA3925" w:rsidRDefault="00AA3925" w:rsidP="000525D7">
      <w:pPr>
        <w:rPr>
          <w:lang w:val="en-US"/>
        </w:rPr>
      </w:pPr>
      <w:r w:rsidRPr="0028531E">
        <w:rPr>
          <w:lang w:val="en-US"/>
        </w:rPr>
        <w:t xml:space="preserve">For the last two decades, the increase of employment among individuals aged 50+ has been a policy objective on the European employment agenda. The present paper </w:t>
      </w:r>
      <w:r>
        <w:rPr>
          <w:lang w:val="en-US"/>
        </w:rPr>
        <w:t xml:space="preserve">focuses on the case of Belgium, France, Germany and </w:t>
      </w:r>
      <w:r w:rsidR="00E23AED">
        <w:rPr>
          <w:lang w:val="en-US"/>
        </w:rPr>
        <w:t>T</w:t>
      </w:r>
      <w:r>
        <w:rPr>
          <w:lang w:val="en-US"/>
        </w:rPr>
        <w:t xml:space="preserve">he Netherlands over the period </w:t>
      </w:r>
      <w:r w:rsidRPr="0028531E">
        <w:rPr>
          <w:lang w:val="en-US"/>
        </w:rPr>
        <w:t xml:space="preserve">1997—2011. First, we provide </w:t>
      </w:r>
      <w:r>
        <w:rPr>
          <w:lang w:val="en-US"/>
        </w:rPr>
        <w:t xml:space="preserve">descriptive analysis of </w:t>
      </w:r>
      <w:r w:rsidRPr="0028531E">
        <w:rPr>
          <w:lang w:val="en-US"/>
        </w:rPr>
        <w:t xml:space="preserve">older workers’ employment using </w:t>
      </w:r>
      <w:r>
        <w:rPr>
          <w:lang w:val="en-US"/>
        </w:rPr>
        <w:t xml:space="preserve">data from the </w:t>
      </w:r>
      <w:r w:rsidRPr="0028531E">
        <w:rPr>
          <w:lang w:val="en-US"/>
        </w:rPr>
        <w:t>E</w:t>
      </w:r>
      <w:r>
        <w:rPr>
          <w:lang w:val="en-US"/>
        </w:rPr>
        <w:t xml:space="preserve">uropean </w:t>
      </w:r>
      <w:r w:rsidRPr="0028531E">
        <w:rPr>
          <w:lang w:val="en-US"/>
        </w:rPr>
        <w:t>U</w:t>
      </w:r>
      <w:r>
        <w:rPr>
          <w:lang w:val="en-US"/>
        </w:rPr>
        <w:t>nion</w:t>
      </w:r>
      <w:r w:rsidRPr="0028531E">
        <w:rPr>
          <w:lang w:val="en-US"/>
        </w:rPr>
        <w:t xml:space="preserve"> Labour Force Survey. Second, we </w:t>
      </w:r>
      <w:r>
        <w:rPr>
          <w:lang w:val="en-US"/>
        </w:rPr>
        <w:t xml:space="preserve">use econometric techniques to explain </w:t>
      </w:r>
      <w:r w:rsidRPr="0028531E">
        <w:rPr>
          <w:lang w:val="en-US"/>
        </w:rPr>
        <w:t xml:space="preserve">the different employment and hours of work patterns for </w:t>
      </w:r>
      <w:r>
        <w:rPr>
          <w:lang w:val="en-US"/>
        </w:rPr>
        <w:t xml:space="preserve">various </w:t>
      </w:r>
      <w:r w:rsidRPr="0028531E">
        <w:rPr>
          <w:lang w:val="en-US"/>
        </w:rPr>
        <w:t xml:space="preserve">sub-groups </w:t>
      </w:r>
      <w:r>
        <w:rPr>
          <w:lang w:val="en-US"/>
        </w:rPr>
        <w:t>of older workers over time</w:t>
      </w:r>
      <w:r w:rsidRPr="0028531E">
        <w:rPr>
          <w:lang w:val="en-US"/>
        </w:rPr>
        <w:t xml:space="preserve">. </w:t>
      </w:r>
      <w:r>
        <w:rPr>
          <w:lang w:val="en-US"/>
        </w:rPr>
        <w:t xml:space="preserve">We find evidence of catching up of older generation’s employment rates – </w:t>
      </w:r>
      <w:r w:rsidR="001058D4">
        <w:rPr>
          <w:lang w:val="en-US"/>
        </w:rPr>
        <w:t xml:space="preserve">with no rupture at </w:t>
      </w:r>
      <w:r>
        <w:rPr>
          <w:lang w:val="en-US"/>
        </w:rPr>
        <w:t xml:space="preserve">the financial crisis in 2007. Third, we use microsimulation techniques to decompose the effects of structural changes, as well as extensive and intensive labor supply changes. </w:t>
      </w:r>
    </w:p>
    <w:p w14:paraId="4C124CCA" w14:textId="77777777" w:rsidR="00AA3925" w:rsidRDefault="00AA3925" w:rsidP="000525D7">
      <w:pPr>
        <w:rPr>
          <w:lang w:val="en-US"/>
        </w:rPr>
      </w:pPr>
    </w:p>
    <w:p w14:paraId="7518B766" w14:textId="77777777" w:rsidR="00AA3925" w:rsidRDefault="00AA3925" w:rsidP="000525D7">
      <w:pPr>
        <w:rPr>
          <w:lang w:val="en-US"/>
        </w:rPr>
      </w:pPr>
    </w:p>
    <w:p w14:paraId="29CF57C3" w14:textId="77777777" w:rsidR="00300E53" w:rsidRDefault="00300E53" w:rsidP="000525D7">
      <w:pPr>
        <w:rPr>
          <w:lang w:val="en-US"/>
        </w:rPr>
      </w:pPr>
    </w:p>
    <w:p w14:paraId="12669568" w14:textId="77777777" w:rsidR="00300E53" w:rsidRDefault="00300E53" w:rsidP="000525D7">
      <w:pPr>
        <w:rPr>
          <w:lang w:val="en-US"/>
        </w:rPr>
      </w:pPr>
    </w:p>
    <w:p w14:paraId="7926F4B3" w14:textId="77777777" w:rsidR="00AA3925" w:rsidRPr="0028531E" w:rsidRDefault="00AA3925" w:rsidP="000525D7">
      <w:pPr>
        <w:rPr>
          <w:lang w:val="en-US"/>
        </w:rPr>
      </w:pPr>
      <w:r>
        <w:rPr>
          <w:lang w:val="en-US"/>
        </w:rPr>
        <w:t>Keywords: Retirement, employment, hours of work</w:t>
      </w:r>
    </w:p>
    <w:p w14:paraId="66865FB3" w14:textId="77777777" w:rsidR="00AA3925" w:rsidRPr="0028531E" w:rsidRDefault="00AA3925" w:rsidP="000525D7">
      <w:pPr>
        <w:rPr>
          <w:lang w:val="en-US"/>
        </w:rPr>
      </w:pPr>
      <w:r w:rsidRPr="0028531E">
        <w:rPr>
          <w:lang w:val="en-US"/>
        </w:rPr>
        <w:t>JEL codes: J08, J21, J26</w:t>
      </w:r>
    </w:p>
    <w:p w14:paraId="32D38F23" w14:textId="77777777" w:rsidR="00AA3925" w:rsidRDefault="00AA3925" w:rsidP="000525D7">
      <w:pPr>
        <w:rPr>
          <w:lang w:val="en-US"/>
        </w:rPr>
      </w:pPr>
    </w:p>
    <w:p w14:paraId="047E67CA" w14:textId="77777777" w:rsidR="00300E53" w:rsidRDefault="00300E53" w:rsidP="000525D7">
      <w:pPr>
        <w:rPr>
          <w:lang w:val="en-US"/>
        </w:rPr>
      </w:pPr>
    </w:p>
    <w:p w14:paraId="00605BEC" w14:textId="77777777" w:rsidR="00300E53" w:rsidRDefault="00300E53" w:rsidP="000525D7">
      <w:pPr>
        <w:rPr>
          <w:lang w:val="en-US"/>
        </w:rPr>
      </w:pPr>
    </w:p>
    <w:p w14:paraId="0BB30E4E" w14:textId="77777777" w:rsidR="00300E53" w:rsidRDefault="00300E53" w:rsidP="000525D7">
      <w:pPr>
        <w:rPr>
          <w:lang w:val="en-US"/>
        </w:rPr>
      </w:pPr>
    </w:p>
    <w:p w14:paraId="44EFDD8A" w14:textId="77777777" w:rsidR="00E34A73" w:rsidRDefault="00E34A73">
      <w:pPr>
        <w:rPr>
          <w:lang w:val="en-US"/>
        </w:rPr>
      </w:pPr>
      <w:r>
        <w:rPr>
          <w:lang w:val="en-US"/>
        </w:rPr>
        <w:br w:type="page"/>
      </w:r>
    </w:p>
    <w:p w14:paraId="6B3CB786" w14:textId="38A9105F" w:rsidR="000C1A24" w:rsidRPr="0028531E" w:rsidRDefault="00A76920" w:rsidP="00E34A73">
      <w:pPr>
        <w:pStyle w:val="Heading1"/>
        <w:numPr>
          <w:ilvl w:val="0"/>
          <w:numId w:val="37"/>
        </w:numPr>
        <w:rPr>
          <w:lang w:val="en-US"/>
        </w:rPr>
      </w:pPr>
      <w:r w:rsidRPr="0028531E">
        <w:rPr>
          <w:lang w:val="en-US"/>
        </w:rPr>
        <w:lastRenderedPageBreak/>
        <w:t>Introduction</w:t>
      </w:r>
    </w:p>
    <w:p w14:paraId="7662852F" w14:textId="769544DC" w:rsidR="0012391D" w:rsidRPr="0028531E" w:rsidRDefault="000A72A4" w:rsidP="000525D7">
      <w:pPr>
        <w:rPr>
          <w:lang w:val="en-US"/>
        </w:rPr>
      </w:pPr>
      <w:r w:rsidRPr="0028531E">
        <w:rPr>
          <w:lang w:val="en-US"/>
        </w:rPr>
        <w:t xml:space="preserve">Most European Union </w:t>
      </w:r>
      <w:r w:rsidR="00DC3104">
        <w:rPr>
          <w:lang w:val="en-US"/>
        </w:rPr>
        <w:t xml:space="preserve">(EU) </w:t>
      </w:r>
      <w:r w:rsidRPr="0028531E">
        <w:rPr>
          <w:lang w:val="en-US"/>
        </w:rPr>
        <w:t xml:space="preserve">countries face the challenge of </w:t>
      </w:r>
      <w:r w:rsidR="00130625" w:rsidRPr="0028531E">
        <w:rPr>
          <w:lang w:val="en-US"/>
        </w:rPr>
        <w:t xml:space="preserve">an aging </w:t>
      </w:r>
      <w:r w:rsidRPr="0028531E">
        <w:rPr>
          <w:lang w:val="en-US"/>
        </w:rPr>
        <w:t>population</w:t>
      </w:r>
      <w:r w:rsidR="00B5422D" w:rsidRPr="0028531E">
        <w:rPr>
          <w:lang w:val="en-US"/>
        </w:rPr>
        <w:t xml:space="preserve"> and </w:t>
      </w:r>
      <w:r w:rsidR="00130625" w:rsidRPr="0028531E">
        <w:rPr>
          <w:lang w:val="en-US"/>
        </w:rPr>
        <w:t xml:space="preserve">the associated issue of </w:t>
      </w:r>
      <w:r w:rsidR="000069FB" w:rsidRPr="0028531E">
        <w:rPr>
          <w:lang w:val="en-US"/>
        </w:rPr>
        <w:t xml:space="preserve">short and </w:t>
      </w:r>
      <w:r w:rsidR="00B5422D" w:rsidRPr="0028531E">
        <w:rPr>
          <w:lang w:val="en-US"/>
        </w:rPr>
        <w:t>long-term sustainability of pay-as-you-go public pension schemes</w:t>
      </w:r>
      <w:r w:rsidR="00002F1D">
        <w:rPr>
          <w:lang w:val="en-US"/>
        </w:rPr>
        <w:t xml:space="preserve">. </w:t>
      </w:r>
      <w:r w:rsidRPr="0028531E">
        <w:rPr>
          <w:lang w:val="en-US"/>
        </w:rPr>
        <w:t xml:space="preserve">Several factors are at </w:t>
      </w:r>
      <w:r w:rsidR="00552FF0" w:rsidRPr="0028531E">
        <w:rPr>
          <w:lang w:val="en-US"/>
        </w:rPr>
        <w:t>stake</w:t>
      </w:r>
      <w:r w:rsidRPr="0028531E">
        <w:rPr>
          <w:lang w:val="en-US"/>
        </w:rPr>
        <w:t xml:space="preserve">. </w:t>
      </w:r>
      <w:r w:rsidR="00744CB5" w:rsidRPr="0028531E">
        <w:rPr>
          <w:lang w:val="en-US"/>
        </w:rPr>
        <w:t>Some are demographic</w:t>
      </w:r>
      <w:r w:rsidR="0070607C" w:rsidRPr="0028531E">
        <w:rPr>
          <w:lang w:val="en-US"/>
        </w:rPr>
        <w:t>:</w:t>
      </w:r>
      <w:r w:rsidR="00C96D90" w:rsidRPr="0028531E">
        <w:rPr>
          <w:lang w:val="en-US"/>
        </w:rPr>
        <w:t xml:space="preserve"> i</w:t>
      </w:r>
      <w:r w:rsidR="00744CB5" w:rsidRPr="0028531E">
        <w:rPr>
          <w:lang w:val="en-US"/>
        </w:rPr>
        <w:t>n 2010 the first baby-boom</w:t>
      </w:r>
      <w:r w:rsidR="00301D0C" w:rsidRPr="0028531E">
        <w:rPr>
          <w:lang w:val="en-US"/>
        </w:rPr>
        <w:t>ers</w:t>
      </w:r>
      <w:r w:rsidR="00744CB5" w:rsidRPr="0028531E">
        <w:rPr>
          <w:lang w:val="en-US"/>
        </w:rPr>
        <w:t xml:space="preserve"> reached the age of retirement</w:t>
      </w:r>
      <w:r w:rsidR="008D48AB" w:rsidRPr="0028531E">
        <w:rPr>
          <w:lang w:val="en-US"/>
        </w:rPr>
        <w:t>,</w:t>
      </w:r>
      <w:r w:rsidR="006F36E9" w:rsidRPr="0028531E">
        <w:rPr>
          <w:lang w:val="en-US"/>
        </w:rPr>
        <w:t xml:space="preserve"> </w:t>
      </w:r>
      <w:r w:rsidR="0070607C" w:rsidRPr="0028531E">
        <w:rPr>
          <w:lang w:val="en-US"/>
        </w:rPr>
        <w:t xml:space="preserve">with an average life expectancy 10 years higher than </w:t>
      </w:r>
      <w:r w:rsidR="00C96D90" w:rsidRPr="0028531E">
        <w:rPr>
          <w:lang w:val="en-US"/>
        </w:rPr>
        <w:t xml:space="preserve">workers </w:t>
      </w:r>
      <w:r w:rsidR="006F36E9" w:rsidRPr="0028531E">
        <w:rPr>
          <w:lang w:val="en-US"/>
        </w:rPr>
        <w:t>who</w:t>
      </w:r>
      <w:r w:rsidR="00301D0C" w:rsidRPr="0028531E">
        <w:rPr>
          <w:lang w:val="en-US"/>
        </w:rPr>
        <w:t xml:space="preserve"> retired in 1980</w:t>
      </w:r>
      <w:r w:rsidR="0070607C" w:rsidRPr="0028531E">
        <w:rPr>
          <w:lang w:val="en-US"/>
        </w:rPr>
        <w:t>;</w:t>
      </w:r>
      <w:r w:rsidR="00C96D90" w:rsidRPr="0028531E">
        <w:rPr>
          <w:lang w:val="en-US"/>
        </w:rPr>
        <w:t xml:space="preserve"> </w:t>
      </w:r>
      <w:r w:rsidR="0070607C" w:rsidRPr="0028531E">
        <w:rPr>
          <w:lang w:val="en-US"/>
        </w:rPr>
        <w:t xml:space="preserve">the baby-boomers cohort is </w:t>
      </w:r>
      <w:r w:rsidR="00E05AFA" w:rsidRPr="0028531E">
        <w:rPr>
          <w:lang w:val="en-US"/>
        </w:rPr>
        <w:t>repl</w:t>
      </w:r>
      <w:r w:rsidR="00390AB8" w:rsidRPr="0028531E">
        <w:rPr>
          <w:lang w:val="en-US"/>
        </w:rPr>
        <w:t xml:space="preserve">aced in the labor market by </w:t>
      </w:r>
      <w:r w:rsidR="006F36E9" w:rsidRPr="0028531E">
        <w:rPr>
          <w:lang w:val="en-US"/>
        </w:rPr>
        <w:t xml:space="preserve">a </w:t>
      </w:r>
      <w:r w:rsidR="0070607C" w:rsidRPr="0028531E">
        <w:rPr>
          <w:lang w:val="en-US"/>
        </w:rPr>
        <w:t xml:space="preserve">substantially </w:t>
      </w:r>
      <w:r w:rsidR="00E05AFA" w:rsidRPr="0028531E">
        <w:rPr>
          <w:lang w:val="en-US"/>
        </w:rPr>
        <w:t>smaller</w:t>
      </w:r>
      <w:r w:rsidR="0070607C" w:rsidRPr="0028531E">
        <w:rPr>
          <w:lang w:val="en-US"/>
        </w:rPr>
        <w:t xml:space="preserve"> baby-bu</w:t>
      </w:r>
      <w:r w:rsidR="00301D0C" w:rsidRPr="0028531E">
        <w:rPr>
          <w:lang w:val="en-US"/>
        </w:rPr>
        <w:t xml:space="preserve">st cohort born </w:t>
      </w:r>
      <w:r w:rsidR="006F36E9" w:rsidRPr="0028531E">
        <w:rPr>
          <w:lang w:val="en-US"/>
        </w:rPr>
        <w:t xml:space="preserve">in the </w:t>
      </w:r>
      <w:r w:rsidR="00C96D90" w:rsidRPr="0028531E">
        <w:rPr>
          <w:lang w:val="en-US"/>
        </w:rPr>
        <w:t xml:space="preserve">early </w:t>
      </w:r>
      <w:r w:rsidR="007036A4" w:rsidRPr="0028531E">
        <w:rPr>
          <w:lang w:val="en-US"/>
        </w:rPr>
        <w:t>90’s</w:t>
      </w:r>
      <w:r w:rsidR="00E05AFA" w:rsidRPr="0028531E">
        <w:rPr>
          <w:lang w:val="en-US"/>
        </w:rPr>
        <w:t>.</w:t>
      </w:r>
      <w:r w:rsidR="00301D0C" w:rsidRPr="0028531E">
        <w:rPr>
          <w:lang w:val="en-US"/>
        </w:rPr>
        <w:t xml:space="preserve"> Some other</w:t>
      </w:r>
      <w:r w:rsidR="006F36E9" w:rsidRPr="0028531E">
        <w:rPr>
          <w:lang w:val="en-US"/>
        </w:rPr>
        <w:t>s</w:t>
      </w:r>
      <w:r w:rsidR="000069FB" w:rsidRPr="0028531E">
        <w:rPr>
          <w:lang w:val="en-US"/>
        </w:rPr>
        <w:t xml:space="preserve"> are often associated with </w:t>
      </w:r>
      <w:r w:rsidR="006F36E9" w:rsidRPr="0028531E">
        <w:rPr>
          <w:lang w:val="en-US"/>
        </w:rPr>
        <w:t>social norms</w:t>
      </w:r>
      <w:r w:rsidR="00390AB8" w:rsidRPr="0028531E">
        <w:rPr>
          <w:lang w:val="en-US"/>
        </w:rPr>
        <w:t xml:space="preserve"> </w:t>
      </w:r>
      <w:r w:rsidR="006F36E9" w:rsidRPr="0028531E">
        <w:rPr>
          <w:lang w:val="en-US"/>
        </w:rPr>
        <w:t xml:space="preserve">and </w:t>
      </w:r>
      <w:r w:rsidR="00552FF0" w:rsidRPr="0028531E">
        <w:rPr>
          <w:lang w:val="en-US"/>
        </w:rPr>
        <w:t>regulations</w:t>
      </w:r>
      <w:r w:rsidR="000069FB" w:rsidRPr="0028531E">
        <w:rPr>
          <w:lang w:val="en-US"/>
        </w:rPr>
        <w:t xml:space="preserve"> – though demography also plays its role</w:t>
      </w:r>
      <w:r w:rsidR="0070607C" w:rsidRPr="0028531E">
        <w:rPr>
          <w:lang w:val="en-US"/>
        </w:rPr>
        <w:t>:</w:t>
      </w:r>
      <w:r w:rsidR="00552FF0" w:rsidRPr="0028531E">
        <w:rPr>
          <w:lang w:val="en-US"/>
        </w:rPr>
        <w:t xml:space="preserve"> e.g. </w:t>
      </w:r>
      <w:r w:rsidR="000069FB" w:rsidRPr="0028531E">
        <w:rPr>
          <w:lang w:val="en-US"/>
        </w:rPr>
        <w:t xml:space="preserve">an increased reliance on part-time work before (and after) the full </w:t>
      </w:r>
      <w:r w:rsidR="0070607C" w:rsidRPr="0028531E">
        <w:rPr>
          <w:lang w:val="en-US"/>
        </w:rPr>
        <w:t>retirement</w:t>
      </w:r>
      <w:r w:rsidR="000069FB" w:rsidRPr="0028531E">
        <w:rPr>
          <w:lang w:val="en-US"/>
        </w:rPr>
        <w:t xml:space="preserve"> age</w:t>
      </w:r>
      <w:r w:rsidR="00CB0F92">
        <w:rPr>
          <w:lang w:val="en-US"/>
        </w:rPr>
        <w:t>, or</w:t>
      </w:r>
      <w:r w:rsidR="00CB0F92" w:rsidRPr="0028531E">
        <w:rPr>
          <w:lang w:val="en-US"/>
        </w:rPr>
        <w:t xml:space="preserve"> </w:t>
      </w:r>
      <w:r w:rsidR="00283932" w:rsidRPr="0028531E">
        <w:rPr>
          <w:lang w:val="en-US"/>
        </w:rPr>
        <w:t xml:space="preserve">the long-run </w:t>
      </w:r>
      <w:r w:rsidR="00C9360A" w:rsidRPr="0028531E">
        <w:rPr>
          <w:lang w:val="en-US"/>
        </w:rPr>
        <w:t>increase</w:t>
      </w:r>
      <w:r w:rsidR="002045A4" w:rsidRPr="0028531E">
        <w:rPr>
          <w:lang w:val="en-US"/>
        </w:rPr>
        <w:t xml:space="preserve"> in female labor force participation</w:t>
      </w:r>
      <w:r w:rsidR="00CB0F92">
        <w:rPr>
          <w:lang w:val="en-US"/>
        </w:rPr>
        <w:t xml:space="preserve"> among all age groups.</w:t>
      </w:r>
    </w:p>
    <w:p w14:paraId="6F7485CD" w14:textId="76BF9F0D" w:rsidR="00D715DB" w:rsidRDefault="009834E9" w:rsidP="000525D7">
      <w:pPr>
        <w:rPr>
          <w:lang w:val="en-US"/>
        </w:rPr>
      </w:pPr>
      <w:r w:rsidRPr="0028531E">
        <w:rPr>
          <w:lang w:val="en-US"/>
        </w:rPr>
        <w:t xml:space="preserve">The age group 50+ has benefited from a special attention on behalf of </w:t>
      </w:r>
      <w:r w:rsidR="00D715DB">
        <w:rPr>
          <w:lang w:val="en-US"/>
        </w:rPr>
        <w:t xml:space="preserve">researchers </w:t>
      </w:r>
      <w:r w:rsidR="00DC3104">
        <w:rPr>
          <w:lang w:val="en-US"/>
        </w:rPr>
        <w:t>and policy-makers alike –</w:t>
      </w:r>
      <w:r w:rsidRPr="0028531E">
        <w:rPr>
          <w:lang w:val="en-US"/>
        </w:rPr>
        <w:t xml:space="preserve"> </w:t>
      </w:r>
      <w:r w:rsidR="00DC3104">
        <w:rPr>
          <w:lang w:val="en-US"/>
        </w:rPr>
        <w:t xml:space="preserve">likely also </w:t>
      </w:r>
      <w:r w:rsidRPr="0028531E">
        <w:rPr>
          <w:lang w:val="en-US"/>
        </w:rPr>
        <w:t>motivated by the low observed employment rates</w:t>
      </w:r>
      <w:r w:rsidR="00965BE7">
        <w:rPr>
          <w:lang w:val="en-US"/>
        </w:rPr>
        <w:t xml:space="preserve"> (ER)</w:t>
      </w:r>
      <w:r w:rsidRPr="0028531E">
        <w:rPr>
          <w:lang w:val="en-US"/>
        </w:rPr>
        <w:t xml:space="preserve"> in numerous </w:t>
      </w:r>
      <w:r w:rsidR="00DC3104">
        <w:rPr>
          <w:lang w:val="en-US"/>
        </w:rPr>
        <w:t xml:space="preserve">countries </w:t>
      </w:r>
      <w:r w:rsidR="00002F1D">
        <w:rPr>
          <w:lang w:val="en-US"/>
        </w:rPr>
        <w:t xml:space="preserve">during the early </w:t>
      </w:r>
      <w:r w:rsidR="007B5CB4">
        <w:rPr>
          <w:lang w:val="en-US"/>
        </w:rPr>
        <w:t xml:space="preserve">1980’s up </w:t>
      </w:r>
      <w:r w:rsidR="00002F1D">
        <w:rPr>
          <w:lang w:val="en-US"/>
        </w:rPr>
        <w:t xml:space="preserve">to </w:t>
      </w:r>
      <w:r w:rsidR="007B5CB4">
        <w:rPr>
          <w:lang w:val="en-US"/>
        </w:rPr>
        <w:t xml:space="preserve">the </w:t>
      </w:r>
      <w:r w:rsidR="00002F1D">
        <w:rPr>
          <w:lang w:val="en-US"/>
        </w:rPr>
        <w:t>mid-1990’s</w:t>
      </w:r>
      <w:r w:rsidRPr="0028531E">
        <w:rPr>
          <w:lang w:val="en-US"/>
        </w:rPr>
        <w:t xml:space="preserve">. </w:t>
      </w:r>
      <w:r w:rsidR="00D715DB" w:rsidRPr="0028531E">
        <w:rPr>
          <w:lang w:val="en-US"/>
        </w:rPr>
        <w:t>Gruber and Wise (2004</w:t>
      </w:r>
      <w:r w:rsidR="00D715DB">
        <w:rPr>
          <w:lang w:val="en-US"/>
        </w:rPr>
        <w:t>) and Wise (</w:t>
      </w:r>
      <w:r w:rsidR="00D715DB" w:rsidRPr="0028531E">
        <w:rPr>
          <w:lang w:val="en-US"/>
        </w:rPr>
        <w:t xml:space="preserve">2016) </w:t>
      </w:r>
      <w:r w:rsidR="00DC3104">
        <w:rPr>
          <w:lang w:val="en-US"/>
        </w:rPr>
        <w:t xml:space="preserve">illustrated the powerful role of incentives towards early retirement built into many pension and early pension systems. </w:t>
      </w:r>
      <w:r w:rsidR="00DC3104" w:rsidRPr="0028531E">
        <w:rPr>
          <w:lang w:val="en-US"/>
        </w:rPr>
        <w:t>Increased employment</w:t>
      </w:r>
      <w:r w:rsidR="00DC3104">
        <w:rPr>
          <w:lang w:val="en-US"/>
        </w:rPr>
        <w:t xml:space="preserve">, on the other hand, is </w:t>
      </w:r>
      <w:r w:rsidR="00DC3104" w:rsidRPr="0028531E">
        <w:rPr>
          <w:lang w:val="en-US"/>
        </w:rPr>
        <w:t xml:space="preserve">associated with a triple benefit: </w:t>
      </w:r>
      <w:r w:rsidR="00DC3104">
        <w:rPr>
          <w:lang w:val="en-US"/>
        </w:rPr>
        <w:t xml:space="preserve">First, improve pension system finances by </w:t>
      </w:r>
      <w:r w:rsidR="00DC3104" w:rsidRPr="0028531E">
        <w:rPr>
          <w:lang w:val="en-US"/>
        </w:rPr>
        <w:t xml:space="preserve">keeping older workers paying social security contributions and less people collecting retirement benefits. Second, </w:t>
      </w:r>
      <w:r w:rsidR="00DC3104">
        <w:rPr>
          <w:lang w:val="en-US"/>
        </w:rPr>
        <w:t xml:space="preserve">improve health outcomes through </w:t>
      </w:r>
      <w:r w:rsidR="00DC3104" w:rsidRPr="0028531E">
        <w:rPr>
          <w:lang w:val="en-US"/>
        </w:rPr>
        <w:t xml:space="preserve">active ageing </w:t>
      </w:r>
      <w:r w:rsidR="00DC3104">
        <w:rPr>
          <w:lang w:val="en-US"/>
        </w:rPr>
        <w:t xml:space="preserve">such as recommended by </w:t>
      </w:r>
      <w:r w:rsidR="00DC3104" w:rsidRPr="0028531E">
        <w:rPr>
          <w:lang w:val="en-US"/>
        </w:rPr>
        <w:t>WHO (2002) and European Commission (2012).</w:t>
      </w:r>
      <w:r w:rsidR="00DC3104" w:rsidRPr="00FA0436">
        <w:rPr>
          <w:rStyle w:val="FootnoteReference"/>
          <w:rFonts w:ascii="Times New Roman" w:hAnsi="Times New Roman" w:cs="Times New Roman"/>
          <w:lang w:val="en-US"/>
        </w:rPr>
        <w:t xml:space="preserve"> </w:t>
      </w:r>
      <w:r w:rsidR="00DC3104" w:rsidRPr="0028531E">
        <w:rPr>
          <w:rStyle w:val="FootnoteReference"/>
          <w:rFonts w:ascii="Times New Roman" w:hAnsi="Times New Roman" w:cs="Times New Roman"/>
          <w:lang w:val="en-US"/>
        </w:rPr>
        <w:footnoteReference w:id="1"/>
      </w:r>
      <w:r w:rsidR="00DC3104" w:rsidRPr="0028531E">
        <w:rPr>
          <w:lang w:val="en-US"/>
        </w:rPr>
        <w:t xml:space="preserve"> </w:t>
      </w:r>
      <w:r w:rsidR="00DC3104">
        <w:rPr>
          <w:lang w:val="en-US"/>
        </w:rPr>
        <w:t>Third</w:t>
      </w:r>
      <w:r w:rsidR="00DC3104" w:rsidRPr="0028531E">
        <w:rPr>
          <w:lang w:val="en-US"/>
        </w:rPr>
        <w:t xml:space="preserve">, </w:t>
      </w:r>
      <w:r w:rsidR="00DC3104">
        <w:rPr>
          <w:lang w:val="en-US"/>
        </w:rPr>
        <w:t xml:space="preserve">prevent female old-age poverty by completing otherwise </w:t>
      </w:r>
      <w:r w:rsidR="00DC3104" w:rsidRPr="0028531E">
        <w:rPr>
          <w:lang w:val="en-US"/>
        </w:rPr>
        <w:t xml:space="preserve">shorter and </w:t>
      </w:r>
      <w:r w:rsidR="00DC3104">
        <w:rPr>
          <w:lang w:val="en-US"/>
        </w:rPr>
        <w:t xml:space="preserve">more </w:t>
      </w:r>
      <w:r w:rsidR="00DC3104" w:rsidRPr="0028531E">
        <w:rPr>
          <w:lang w:val="en-US"/>
        </w:rPr>
        <w:t xml:space="preserve">interrupted </w:t>
      </w:r>
      <w:r w:rsidR="00DC3104">
        <w:rPr>
          <w:lang w:val="en-US"/>
        </w:rPr>
        <w:t>careers</w:t>
      </w:r>
      <w:r w:rsidR="00DC3104" w:rsidRPr="0028531E">
        <w:rPr>
          <w:lang w:val="en-US"/>
        </w:rPr>
        <w:t>.</w:t>
      </w:r>
    </w:p>
    <w:p w14:paraId="2E2C51A2" w14:textId="3B8D662A" w:rsidR="00962DFA" w:rsidRDefault="00DC3104" w:rsidP="000525D7">
      <w:pPr>
        <w:rPr>
          <w:lang w:val="en-US"/>
        </w:rPr>
      </w:pPr>
      <w:r>
        <w:rPr>
          <w:lang w:val="en-US"/>
        </w:rPr>
        <w:t xml:space="preserve">For the purpose of the analysis of employment patterns in Europe, two key moments can be identified in the recent two decades. </w:t>
      </w:r>
      <w:r w:rsidR="00AC2C49">
        <w:rPr>
          <w:lang w:val="en-US"/>
        </w:rPr>
        <w:t xml:space="preserve">The first one corresponds to </w:t>
      </w:r>
      <w:r w:rsidR="00D715DB">
        <w:rPr>
          <w:lang w:val="en-US"/>
        </w:rPr>
        <w:t>t</w:t>
      </w:r>
      <w:r w:rsidR="00D715DB" w:rsidRPr="0028531E">
        <w:rPr>
          <w:lang w:val="en-US"/>
        </w:rPr>
        <w:t xml:space="preserve">he </w:t>
      </w:r>
      <w:r w:rsidR="00962DFA">
        <w:rPr>
          <w:lang w:val="en-US"/>
        </w:rPr>
        <w:t xml:space="preserve">arrival of the </w:t>
      </w:r>
      <w:r w:rsidR="00D715DB" w:rsidRPr="0028531E">
        <w:rPr>
          <w:lang w:val="en-US"/>
        </w:rPr>
        <w:t xml:space="preserve">Open Method of Coordination (OMC) </w:t>
      </w:r>
      <w:r w:rsidR="00962DFA">
        <w:rPr>
          <w:lang w:val="en-US"/>
        </w:rPr>
        <w:t>on the European policy agenda in 2000</w:t>
      </w:r>
      <w:r w:rsidR="00AC2C49">
        <w:rPr>
          <w:lang w:val="en-US"/>
        </w:rPr>
        <w:t xml:space="preserve">. </w:t>
      </w:r>
      <w:r w:rsidR="00962DFA" w:rsidRPr="0028531E">
        <w:rPr>
          <w:lang w:val="en-US"/>
        </w:rPr>
        <w:t xml:space="preserve">Higher </w:t>
      </w:r>
      <w:r w:rsidR="00962DFA">
        <w:rPr>
          <w:lang w:val="en-US"/>
        </w:rPr>
        <w:t>ER</w:t>
      </w:r>
      <w:r w:rsidR="00962DFA" w:rsidRPr="0028531E">
        <w:rPr>
          <w:lang w:val="en-US"/>
        </w:rPr>
        <w:t>s among older workers became a new explicit and central target of public policy, among others to keep pension schemes sustainable and to avoid labor supply shortages.</w:t>
      </w:r>
      <w:r w:rsidR="00962DFA">
        <w:rPr>
          <w:lang w:val="en-US"/>
        </w:rPr>
        <w:t xml:space="preserve"> </w:t>
      </w:r>
      <w:r w:rsidR="00AC2C49">
        <w:rPr>
          <w:lang w:val="en-US"/>
        </w:rPr>
        <w:t xml:space="preserve">Though </w:t>
      </w:r>
      <w:r w:rsidR="00190F82">
        <w:rPr>
          <w:lang w:val="en-US"/>
        </w:rPr>
        <w:t>the OMC and its successors have</w:t>
      </w:r>
      <w:r w:rsidR="00AC2C49">
        <w:rPr>
          <w:lang w:val="en-US"/>
        </w:rPr>
        <w:t xml:space="preserve"> remained non-prescriptive in the means to </w:t>
      </w:r>
      <w:r w:rsidR="00190F82">
        <w:rPr>
          <w:lang w:val="en-US"/>
        </w:rPr>
        <w:t>reach the targets</w:t>
      </w:r>
      <w:r w:rsidR="00AC2C49">
        <w:rPr>
          <w:lang w:val="en-US"/>
        </w:rPr>
        <w:t>, it can be associated with a paradigm shift on the policy level.</w:t>
      </w:r>
      <w:r w:rsidR="00AC2C49">
        <w:rPr>
          <w:rStyle w:val="FootnoteReference"/>
          <w:lang w:val="en-US"/>
        </w:rPr>
        <w:footnoteReference w:id="2"/>
      </w:r>
      <w:r w:rsidR="00AC2C49">
        <w:rPr>
          <w:lang w:val="en-US"/>
        </w:rPr>
        <w:t xml:space="preserve"> I</w:t>
      </w:r>
      <w:r w:rsidR="00962DFA">
        <w:rPr>
          <w:lang w:val="en-US"/>
        </w:rPr>
        <w:t xml:space="preserve">t is </w:t>
      </w:r>
      <w:r w:rsidR="00190F82">
        <w:rPr>
          <w:lang w:val="en-US"/>
        </w:rPr>
        <w:t xml:space="preserve">even </w:t>
      </w:r>
      <w:r w:rsidR="00962DFA">
        <w:rPr>
          <w:lang w:val="en-US"/>
        </w:rPr>
        <w:t xml:space="preserve">irrelevant whether </w:t>
      </w:r>
      <w:r w:rsidR="00190F82">
        <w:rPr>
          <w:lang w:val="en-US"/>
        </w:rPr>
        <w:t xml:space="preserve">the OMC </w:t>
      </w:r>
      <w:r w:rsidR="00962DFA">
        <w:rPr>
          <w:lang w:val="en-US"/>
        </w:rPr>
        <w:t xml:space="preserve">caused </w:t>
      </w:r>
      <w:r w:rsidR="00AC2C49">
        <w:rPr>
          <w:lang w:val="en-US"/>
        </w:rPr>
        <w:t xml:space="preserve">different policies or whether </w:t>
      </w:r>
      <w:r w:rsidR="00190F82">
        <w:rPr>
          <w:lang w:val="en-US"/>
        </w:rPr>
        <w:t xml:space="preserve">it </w:t>
      </w:r>
      <w:r w:rsidR="00962DFA">
        <w:rPr>
          <w:lang w:val="en-US"/>
        </w:rPr>
        <w:t xml:space="preserve">merely coincided with </w:t>
      </w:r>
      <w:r w:rsidR="00AC2C49">
        <w:rPr>
          <w:lang w:val="en-US"/>
        </w:rPr>
        <w:t>an array of national policies in this field. T</w:t>
      </w:r>
      <w:r w:rsidR="00962DFA">
        <w:rPr>
          <w:lang w:val="en-US"/>
        </w:rPr>
        <w:t xml:space="preserve">he key </w:t>
      </w:r>
      <w:r w:rsidR="00AC2C49">
        <w:rPr>
          <w:lang w:val="en-US"/>
        </w:rPr>
        <w:t xml:space="preserve">element </w:t>
      </w:r>
      <w:r w:rsidR="00962DFA">
        <w:rPr>
          <w:lang w:val="en-US"/>
        </w:rPr>
        <w:t xml:space="preserve">is </w:t>
      </w:r>
      <w:r w:rsidR="00AC2C49">
        <w:rPr>
          <w:lang w:val="en-US"/>
        </w:rPr>
        <w:t xml:space="preserve">that the early 2000’s correspond to a </w:t>
      </w:r>
      <w:r w:rsidR="00962DFA">
        <w:rPr>
          <w:lang w:val="en-US"/>
        </w:rPr>
        <w:t>changeover from a period of policies aimed at retiring people from the labor market to free up space for younger workers towards an approach of increased employment targets for older workers.</w:t>
      </w:r>
      <w:r w:rsidR="00962DFA" w:rsidRPr="0028531E">
        <w:rPr>
          <w:rStyle w:val="FootnoteReference"/>
          <w:rFonts w:ascii="Times New Roman" w:hAnsi="Times New Roman" w:cs="Times New Roman"/>
          <w:lang w:val="en-US"/>
        </w:rPr>
        <w:footnoteReference w:id="3"/>
      </w:r>
      <w:r w:rsidR="00962DFA" w:rsidRPr="0028531E">
        <w:rPr>
          <w:lang w:val="en-US"/>
        </w:rPr>
        <w:t xml:space="preserve"> </w:t>
      </w:r>
    </w:p>
    <w:p w14:paraId="479FFC1F" w14:textId="00A86503" w:rsidR="00395FCD" w:rsidRDefault="00AC2C49" w:rsidP="000525D7">
      <w:pPr>
        <w:rPr>
          <w:lang w:val="en-US"/>
        </w:rPr>
      </w:pPr>
      <w:r>
        <w:rPr>
          <w:lang w:val="en-US"/>
        </w:rPr>
        <w:t>The second defining moment is no doubt the financial crisis that erupted in 2007</w:t>
      </w:r>
      <w:r w:rsidR="00190F82">
        <w:rPr>
          <w:lang w:val="en-US"/>
        </w:rPr>
        <w:t>.</w:t>
      </w:r>
      <w:r>
        <w:rPr>
          <w:lang w:val="en-US"/>
        </w:rPr>
        <w:t xml:space="preserve"> </w:t>
      </w:r>
      <w:r w:rsidR="005B3EC3">
        <w:rPr>
          <w:lang w:val="en-US"/>
        </w:rPr>
        <w:t>While t</w:t>
      </w:r>
      <w:r w:rsidR="00190F82">
        <w:rPr>
          <w:lang w:val="en-US"/>
        </w:rPr>
        <w:t>he nature and the depth of its effects have been felt differently across the EU, it represents a breaking point in the working of European economies</w:t>
      </w:r>
      <w:r w:rsidR="005B3EC3">
        <w:rPr>
          <w:lang w:val="en-US"/>
        </w:rPr>
        <w:t>, and hence exerts a major shock to the labor market</w:t>
      </w:r>
      <w:r w:rsidR="00190F82">
        <w:rPr>
          <w:lang w:val="en-US"/>
        </w:rPr>
        <w:t xml:space="preserve">. </w:t>
      </w:r>
      <w:r w:rsidR="005B3EC3">
        <w:rPr>
          <w:lang w:val="en-US"/>
        </w:rPr>
        <w:t xml:space="preserve">For example in the United States, Hoynes et al (2012) showed that older workers have suffered smaller decreases in employment than younger ones after the onset of the financial crisis. </w:t>
      </w:r>
    </w:p>
    <w:p w14:paraId="6F3D3190" w14:textId="6931C1B4" w:rsidR="00190F82" w:rsidRDefault="00E63319" w:rsidP="000525D7">
      <w:pPr>
        <w:rPr>
          <w:lang w:val="en-US"/>
        </w:rPr>
      </w:pPr>
      <w:r>
        <w:rPr>
          <w:lang w:val="en-US"/>
        </w:rPr>
        <w:lastRenderedPageBreak/>
        <w:t>T</w:t>
      </w:r>
      <w:r w:rsidR="00D715DB">
        <w:rPr>
          <w:lang w:val="en-US"/>
        </w:rPr>
        <w:t xml:space="preserve">he four countries we investigate in this paper (Belgium, France, Germany and The Netherlands) </w:t>
      </w:r>
      <w:r>
        <w:rPr>
          <w:lang w:val="en-US"/>
        </w:rPr>
        <w:t>provide particularly interesting insights</w:t>
      </w:r>
      <w:r w:rsidR="00D715DB">
        <w:rPr>
          <w:lang w:val="en-US"/>
        </w:rPr>
        <w:t xml:space="preserve">. </w:t>
      </w:r>
      <w:r>
        <w:rPr>
          <w:lang w:val="en-US"/>
        </w:rPr>
        <w:t>On the one hand, they a</w:t>
      </w:r>
      <w:r w:rsidR="00D715DB">
        <w:rPr>
          <w:lang w:val="en-US"/>
        </w:rPr>
        <w:t>ll have comparable levels of economic development</w:t>
      </w:r>
      <w:r w:rsidR="008650A4">
        <w:rPr>
          <w:lang w:val="en-US"/>
        </w:rPr>
        <w:t xml:space="preserve">, with </w:t>
      </w:r>
      <w:r w:rsidR="00D715DB">
        <w:rPr>
          <w:lang w:val="en-US"/>
        </w:rPr>
        <w:t xml:space="preserve">mostly Bismarckian social protection systems. </w:t>
      </w:r>
      <w:r>
        <w:rPr>
          <w:lang w:val="en-US"/>
        </w:rPr>
        <w:t xml:space="preserve">On the other hand, they differ markedly on </w:t>
      </w:r>
      <w:r w:rsidR="008650A4">
        <w:rPr>
          <w:lang w:val="en-US"/>
        </w:rPr>
        <w:t xml:space="preserve">labor market outcomes and policy-making. </w:t>
      </w:r>
      <w:r>
        <w:rPr>
          <w:lang w:val="en-US"/>
        </w:rPr>
        <w:t>Also, w</w:t>
      </w:r>
      <w:r w:rsidR="0024388C">
        <w:rPr>
          <w:lang w:val="en-US"/>
        </w:rPr>
        <w:t xml:space="preserve">hile they all face demographic aging, </w:t>
      </w:r>
      <w:r w:rsidR="00D715DB">
        <w:rPr>
          <w:lang w:val="en-US"/>
        </w:rPr>
        <w:t xml:space="preserve">the timing and the severity of the process are somewhat different with Germany aging the fastest. </w:t>
      </w:r>
      <w:r>
        <w:rPr>
          <w:lang w:val="en-US"/>
        </w:rPr>
        <w:t>Finally</w:t>
      </w:r>
      <w:r w:rsidR="00190F82">
        <w:rPr>
          <w:lang w:val="en-US"/>
        </w:rPr>
        <w:t xml:space="preserve">, the macro-fiscal consequences of the financial crisis have hit these countries in different (and sometimes opposing) ways – </w:t>
      </w:r>
      <w:r w:rsidR="008650A4">
        <w:rPr>
          <w:lang w:val="en-US"/>
        </w:rPr>
        <w:t xml:space="preserve">in turn </w:t>
      </w:r>
      <w:r w:rsidR="00190F82">
        <w:rPr>
          <w:lang w:val="en-US"/>
        </w:rPr>
        <w:t>with German government bond rates solidly in negative territory for usual maturities.</w:t>
      </w:r>
    </w:p>
    <w:p w14:paraId="4DAF5A53" w14:textId="7029E39B" w:rsidR="00A45A62" w:rsidRDefault="00A45A62" w:rsidP="000525D7">
      <w:pPr>
        <w:rPr>
          <w:lang w:val="en-US"/>
        </w:rPr>
      </w:pPr>
      <w:r w:rsidRPr="0028531E">
        <w:rPr>
          <w:lang w:val="en-US"/>
        </w:rPr>
        <w:t xml:space="preserve">Figure 1 shows the evolution of </w:t>
      </w:r>
      <w:r>
        <w:rPr>
          <w:lang w:val="en-US"/>
        </w:rPr>
        <w:t>ERs</w:t>
      </w:r>
      <w:r w:rsidRPr="0028531E">
        <w:rPr>
          <w:lang w:val="en-US"/>
        </w:rPr>
        <w:t xml:space="preserve"> separately for </w:t>
      </w:r>
      <w:r w:rsidR="00815592">
        <w:rPr>
          <w:lang w:val="en-US"/>
        </w:rPr>
        <w:t xml:space="preserve">women and men </w:t>
      </w:r>
      <w:r w:rsidRPr="0028531E">
        <w:rPr>
          <w:lang w:val="en-US"/>
        </w:rPr>
        <w:t xml:space="preserve">in the </w:t>
      </w:r>
      <w:r>
        <w:rPr>
          <w:lang w:val="en-US"/>
        </w:rPr>
        <w:t xml:space="preserve">age group </w:t>
      </w:r>
      <w:r w:rsidRPr="0028531E">
        <w:rPr>
          <w:lang w:val="en-US"/>
        </w:rPr>
        <w:t>5</w:t>
      </w:r>
      <w:r>
        <w:rPr>
          <w:lang w:val="en-US"/>
        </w:rPr>
        <w:t>0-</w:t>
      </w:r>
      <w:r w:rsidRPr="0028531E">
        <w:rPr>
          <w:lang w:val="en-US"/>
        </w:rPr>
        <w:t>64.</w:t>
      </w:r>
      <w:r>
        <w:rPr>
          <w:rStyle w:val="FootnoteReference"/>
          <w:lang w:val="en-US"/>
        </w:rPr>
        <w:footnoteReference w:id="4"/>
      </w:r>
      <w:r>
        <w:rPr>
          <w:lang w:val="en-US"/>
        </w:rPr>
        <w:t xml:space="preserve"> ERs</w:t>
      </w:r>
      <w:r w:rsidRPr="0028531E">
        <w:rPr>
          <w:lang w:val="en-US"/>
        </w:rPr>
        <w:t xml:space="preserve"> followed </w:t>
      </w:r>
      <w:r>
        <w:rPr>
          <w:lang w:val="en-US"/>
        </w:rPr>
        <w:t xml:space="preserve">a </w:t>
      </w:r>
      <w:r w:rsidRPr="0028531E">
        <w:rPr>
          <w:lang w:val="en-US"/>
        </w:rPr>
        <w:t xml:space="preserve">rather similar </w:t>
      </w:r>
      <w:r>
        <w:rPr>
          <w:lang w:val="en-US"/>
        </w:rPr>
        <w:t xml:space="preserve">time-pattern </w:t>
      </w:r>
      <w:r w:rsidRPr="0028531E">
        <w:rPr>
          <w:lang w:val="en-US"/>
        </w:rPr>
        <w:t xml:space="preserve">across these countries: </w:t>
      </w:r>
      <w:r>
        <w:rPr>
          <w:lang w:val="en-US"/>
        </w:rPr>
        <w:t>u</w:t>
      </w:r>
      <w:r w:rsidRPr="0028531E">
        <w:rPr>
          <w:lang w:val="en-US"/>
        </w:rPr>
        <w:t xml:space="preserve">p to the middle of the 1990s, a relatively stable or slightly increasing path </w:t>
      </w:r>
      <w:r>
        <w:rPr>
          <w:lang w:val="en-US"/>
        </w:rPr>
        <w:t xml:space="preserve">is observable for </w:t>
      </w:r>
      <w:r w:rsidRPr="0028531E">
        <w:rPr>
          <w:lang w:val="en-US"/>
        </w:rPr>
        <w:t xml:space="preserve">women (e.g. </w:t>
      </w:r>
      <w:r w:rsidR="00E23AED">
        <w:rPr>
          <w:lang w:val="en-US"/>
        </w:rPr>
        <w:t>T</w:t>
      </w:r>
      <w:r w:rsidRPr="0028531E">
        <w:rPr>
          <w:lang w:val="en-US"/>
        </w:rPr>
        <w:t xml:space="preserve">he Netherlands), and a decreasing one </w:t>
      </w:r>
      <w:r>
        <w:rPr>
          <w:lang w:val="en-US"/>
        </w:rPr>
        <w:t xml:space="preserve">for </w:t>
      </w:r>
      <w:r w:rsidRPr="0028531E">
        <w:rPr>
          <w:lang w:val="en-US"/>
        </w:rPr>
        <w:t xml:space="preserve">men. From the mid-1990s on, </w:t>
      </w:r>
      <w:r>
        <w:rPr>
          <w:lang w:val="en-US"/>
        </w:rPr>
        <w:t xml:space="preserve">an upward trend can be observed for both sexes – in line with experience in other advanced economies as documented by Coile (2015). </w:t>
      </w:r>
    </w:p>
    <w:p w14:paraId="5B28F386" w14:textId="77777777" w:rsidR="00A45A62" w:rsidRPr="0028531E" w:rsidRDefault="00A45A62" w:rsidP="000525D7">
      <w:pPr>
        <w:rPr>
          <w:lang w:val="en-US"/>
        </w:rPr>
      </w:pPr>
      <w:r>
        <w:rPr>
          <w:lang w:val="en-US"/>
        </w:rPr>
        <w:t>Figure 1 also provides evidence that labor market outcomes still remain heterogeneous –</w:t>
      </w:r>
      <w:r w:rsidRPr="0028531E">
        <w:rPr>
          <w:lang w:val="en-US"/>
        </w:rPr>
        <w:t xml:space="preserve">with Belgium being the country with the lowest overall </w:t>
      </w:r>
      <w:r>
        <w:rPr>
          <w:lang w:val="en-US"/>
        </w:rPr>
        <w:t>ER</w:t>
      </w:r>
      <w:r w:rsidRPr="0028531E">
        <w:rPr>
          <w:lang w:val="en-US"/>
        </w:rPr>
        <w:t xml:space="preserve"> in the sample of countries.</w:t>
      </w:r>
      <w:r>
        <w:rPr>
          <w:lang w:val="en-US"/>
        </w:rPr>
        <w:t xml:space="preserve"> While some degree of catching up of women’ s ER to men’s ER has occurred, substantial differences sometimes subsist like in Belgium where female employment remains distinctly lower. </w:t>
      </w:r>
    </w:p>
    <w:p w14:paraId="4D133F8F" w14:textId="77777777" w:rsidR="00A45A62" w:rsidRDefault="00A45A62" w:rsidP="000525D7">
      <w:pPr>
        <w:rPr>
          <w:rStyle w:val="Strong"/>
          <w:lang w:val="en-US"/>
        </w:rPr>
      </w:pPr>
      <w:r w:rsidRPr="0028531E">
        <w:rPr>
          <w:rStyle w:val="Strong"/>
          <w:lang w:val="en-US"/>
        </w:rPr>
        <w:t>INSERT FIGURE 1</w:t>
      </w:r>
    </w:p>
    <w:p w14:paraId="345E96ED" w14:textId="2EF5E7A7" w:rsidR="00A45A62" w:rsidRPr="0028531E" w:rsidRDefault="00A45A62" w:rsidP="000525D7">
      <w:pPr>
        <w:rPr>
          <w:lang w:val="en-US"/>
        </w:rPr>
      </w:pPr>
      <w:r w:rsidRPr="0028531E">
        <w:rPr>
          <w:lang w:val="en-US"/>
        </w:rPr>
        <w:t xml:space="preserve">Figure 2 illustrates the evolution of the average hours of work among women </w:t>
      </w:r>
      <w:r w:rsidR="00815592">
        <w:rPr>
          <w:lang w:val="en-US"/>
        </w:rPr>
        <w:t xml:space="preserve">and men </w:t>
      </w:r>
      <w:r w:rsidRPr="0028531E">
        <w:rPr>
          <w:lang w:val="en-US"/>
        </w:rPr>
        <w:t>aged 5</w:t>
      </w:r>
      <w:r>
        <w:rPr>
          <w:lang w:val="en-US"/>
        </w:rPr>
        <w:t>0</w:t>
      </w:r>
      <w:r w:rsidRPr="0028531E">
        <w:rPr>
          <w:lang w:val="en-US"/>
        </w:rPr>
        <w:t xml:space="preserve"> to 64 years old. As expected, women work less hours per week than men in the four countries</w:t>
      </w:r>
      <w:r>
        <w:rPr>
          <w:lang w:val="en-US"/>
        </w:rPr>
        <w:t xml:space="preserve"> and </w:t>
      </w:r>
      <w:r w:rsidRPr="0028531E">
        <w:rPr>
          <w:lang w:val="en-US"/>
        </w:rPr>
        <w:t xml:space="preserve">the gap is particularly large in the case of </w:t>
      </w:r>
      <w:r w:rsidR="00E23AED">
        <w:rPr>
          <w:lang w:val="en-US"/>
        </w:rPr>
        <w:t>T</w:t>
      </w:r>
      <w:r w:rsidRPr="0028531E">
        <w:rPr>
          <w:lang w:val="en-US"/>
        </w:rPr>
        <w:t>he Netherlands</w:t>
      </w:r>
      <w:r>
        <w:rPr>
          <w:lang w:val="en-US"/>
        </w:rPr>
        <w:t xml:space="preserve"> – a country with a long-standing tradition of part-time work –</w:t>
      </w:r>
      <w:r w:rsidRPr="0028531E">
        <w:rPr>
          <w:lang w:val="en-US"/>
        </w:rPr>
        <w:t xml:space="preserve"> where women on average work less than 25 hours/week. </w:t>
      </w:r>
      <w:r w:rsidR="00815592">
        <w:rPr>
          <w:lang w:val="en-US"/>
        </w:rPr>
        <w:t>In Belgium, hours of work for both women and men are declining over the whole period in line with the popularization of specific old-age part time arrangements.</w:t>
      </w:r>
    </w:p>
    <w:p w14:paraId="2BD0DA24" w14:textId="77777777" w:rsidR="00A45A62" w:rsidRDefault="00A45A62" w:rsidP="000525D7">
      <w:pPr>
        <w:rPr>
          <w:rStyle w:val="Strong"/>
          <w:lang w:val="en-US"/>
        </w:rPr>
      </w:pPr>
      <w:r w:rsidRPr="0028531E">
        <w:rPr>
          <w:rStyle w:val="Strong"/>
          <w:lang w:val="en-US"/>
        </w:rPr>
        <w:t>INSERT FIGURE 2</w:t>
      </w:r>
    </w:p>
    <w:p w14:paraId="6F0285A3" w14:textId="77777777" w:rsidR="00815592" w:rsidRDefault="00A2166D" w:rsidP="000525D7">
      <w:pPr>
        <w:rPr>
          <w:lang w:val="en-US"/>
        </w:rPr>
      </w:pPr>
      <w:r>
        <w:rPr>
          <w:lang w:val="en-US"/>
        </w:rPr>
        <w:t xml:space="preserve">The above policy and economic settings also influence </w:t>
      </w:r>
      <w:r w:rsidR="0024388C">
        <w:rPr>
          <w:lang w:val="en-US"/>
        </w:rPr>
        <w:t xml:space="preserve">our </w:t>
      </w:r>
      <w:r w:rsidR="0024388C" w:rsidRPr="0028531E">
        <w:rPr>
          <w:lang w:val="en-US"/>
        </w:rPr>
        <w:t>general approach in this paper</w:t>
      </w:r>
      <w:r w:rsidR="0024388C">
        <w:rPr>
          <w:lang w:val="en-US"/>
        </w:rPr>
        <w:t xml:space="preserve">. </w:t>
      </w:r>
      <w:r w:rsidR="00FC4BF8" w:rsidRPr="0028531E">
        <w:rPr>
          <w:lang w:val="en-US"/>
        </w:rPr>
        <w:t>W</w:t>
      </w:r>
      <w:r w:rsidR="004450C7" w:rsidRPr="0028531E">
        <w:rPr>
          <w:lang w:val="en-US"/>
        </w:rPr>
        <w:t>e take</w:t>
      </w:r>
      <w:r w:rsidR="00FC4BF8" w:rsidRPr="0028531E">
        <w:rPr>
          <w:lang w:val="en-US"/>
        </w:rPr>
        <w:t xml:space="preserve"> </w:t>
      </w:r>
      <w:r w:rsidR="0024388C">
        <w:rPr>
          <w:lang w:val="en-US"/>
        </w:rPr>
        <w:t>a three-</w:t>
      </w:r>
      <w:r w:rsidR="006D2B47">
        <w:rPr>
          <w:lang w:val="en-US"/>
        </w:rPr>
        <w:t>stepped</w:t>
      </w:r>
      <w:r w:rsidR="0024388C">
        <w:rPr>
          <w:lang w:val="en-US"/>
        </w:rPr>
        <w:t xml:space="preserve"> approach based on </w:t>
      </w:r>
      <w:r w:rsidR="00FC4BF8" w:rsidRPr="0028531E">
        <w:rPr>
          <w:lang w:val="en-US"/>
        </w:rPr>
        <w:t>aggregate indicators of labo</w:t>
      </w:r>
      <w:r w:rsidR="004450C7" w:rsidRPr="0028531E">
        <w:rPr>
          <w:lang w:val="en-US"/>
        </w:rPr>
        <w:t xml:space="preserve">r market outcomes </w:t>
      </w:r>
      <w:r w:rsidR="00FC4BF8" w:rsidRPr="0028531E">
        <w:rPr>
          <w:lang w:val="en-US"/>
        </w:rPr>
        <w:t xml:space="preserve">over time and across countries </w:t>
      </w:r>
      <w:r w:rsidR="004450C7" w:rsidRPr="0028531E">
        <w:rPr>
          <w:lang w:val="en-US"/>
        </w:rPr>
        <w:t xml:space="preserve">using </w:t>
      </w:r>
      <w:r w:rsidR="00815592">
        <w:rPr>
          <w:lang w:val="en-US"/>
        </w:rPr>
        <w:t>micro</w:t>
      </w:r>
      <w:r w:rsidR="004450C7" w:rsidRPr="0028531E">
        <w:rPr>
          <w:lang w:val="en-US"/>
        </w:rPr>
        <w:t xml:space="preserve">data from the EU Labour Force Survey (EU-LFS). </w:t>
      </w:r>
    </w:p>
    <w:p w14:paraId="4AB9A9B9" w14:textId="4ECDC144" w:rsidR="00E43388" w:rsidRPr="0028531E" w:rsidRDefault="00A2166D" w:rsidP="000525D7">
      <w:pPr>
        <w:rPr>
          <w:lang w:val="en-US"/>
        </w:rPr>
      </w:pPr>
      <w:r>
        <w:rPr>
          <w:lang w:val="en-US"/>
        </w:rPr>
        <w:t>First, w</w:t>
      </w:r>
      <w:r w:rsidR="004450C7" w:rsidRPr="0028531E">
        <w:rPr>
          <w:lang w:val="en-US"/>
        </w:rPr>
        <w:t xml:space="preserve">e </w:t>
      </w:r>
      <w:r w:rsidR="00E43388" w:rsidRPr="0028531E">
        <w:rPr>
          <w:lang w:val="en-US"/>
        </w:rPr>
        <w:t xml:space="preserve">comprehensively </w:t>
      </w:r>
      <w:r w:rsidR="00FC4BF8" w:rsidRPr="0028531E">
        <w:rPr>
          <w:lang w:val="en-US"/>
        </w:rPr>
        <w:t xml:space="preserve">assess </w:t>
      </w:r>
      <w:r w:rsidR="00E43388" w:rsidRPr="0028531E">
        <w:rPr>
          <w:lang w:val="en-US"/>
        </w:rPr>
        <w:t xml:space="preserve">the </w:t>
      </w:r>
      <w:r w:rsidR="00FC4BF8" w:rsidRPr="0028531E">
        <w:rPr>
          <w:lang w:val="en-US"/>
        </w:rPr>
        <w:t xml:space="preserve">trends in </w:t>
      </w:r>
      <w:r w:rsidR="00300E53">
        <w:rPr>
          <w:lang w:val="en-US"/>
        </w:rPr>
        <w:t xml:space="preserve">aggregate </w:t>
      </w:r>
      <w:r w:rsidR="0024388C">
        <w:rPr>
          <w:lang w:val="en-US"/>
        </w:rPr>
        <w:t>employment (ER) and unemployment</w:t>
      </w:r>
      <w:r w:rsidR="006D5294">
        <w:rPr>
          <w:lang w:val="en-US"/>
        </w:rPr>
        <w:t xml:space="preserve"> </w:t>
      </w:r>
      <w:r w:rsidR="0024388C">
        <w:rPr>
          <w:lang w:val="en-US"/>
        </w:rPr>
        <w:t>rates</w:t>
      </w:r>
      <w:r w:rsidR="001A220A">
        <w:rPr>
          <w:lang w:val="en-US"/>
        </w:rPr>
        <w:t xml:space="preserve"> for the </w:t>
      </w:r>
      <w:r w:rsidR="00A45A62">
        <w:rPr>
          <w:lang w:val="en-US"/>
        </w:rPr>
        <w:t xml:space="preserve">people aged </w:t>
      </w:r>
      <w:r w:rsidR="001A220A">
        <w:rPr>
          <w:lang w:val="en-US"/>
        </w:rPr>
        <w:t>50</w:t>
      </w:r>
      <w:r w:rsidR="00A45A62">
        <w:rPr>
          <w:lang w:val="en-US"/>
        </w:rPr>
        <w:t xml:space="preserve"> to </w:t>
      </w:r>
      <w:r w:rsidR="001A220A">
        <w:rPr>
          <w:lang w:val="en-US"/>
        </w:rPr>
        <w:t>64</w:t>
      </w:r>
      <w:r w:rsidR="00300E53">
        <w:rPr>
          <w:lang w:val="en-US"/>
        </w:rPr>
        <w:t>.</w:t>
      </w:r>
    </w:p>
    <w:p w14:paraId="0E5B1FD0" w14:textId="1BA46095" w:rsidR="00F51373" w:rsidRDefault="00A2166D" w:rsidP="000525D7">
      <w:pPr>
        <w:rPr>
          <w:lang w:val="en-US"/>
        </w:rPr>
      </w:pPr>
      <w:r>
        <w:rPr>
          <w:lang w:val="en-US"/>
        </w:rPr>
        <w:t xml:space="preserve">Second, we provide econometric analysis of employment and hours of work </w:t>
      </w:r>
      <w:r w:rsidR="00C434A8">
        <w:rPr>
          <w:lang w:val="en-US"/>
        </w:rPr>
        <w:t xml:space="preserve">data </w:t>
      </w:r>
      <w:r>
        <w:rPr>
          <w:lang w:val="en-US"/>
        </w:rPr>
        <w:t xml:space="preserve">over the time-period 1997-2011 to identify underlying drivers for these variables. </w:t>
      </w:r>
      <w:r w:rsidR="00F51373">
        <w:rPr>
          <w:lang w:val="en-US"/>
        </w:rPr>
        <w:t xml:space="preserve">While ER surveillance is by now part of the usual policy-making process </w:t>
      </w:r>
      <w:r w:rsidR="00F51373" w:rsidRPr="0028531E">
        <w:rPr>
          <w:lang w:val="en-US"/>
        </w:rPr>
        <w:t xml:space="preserve">– </w:t>
      </w:r>
      <w:r w:rsidR="00F51373">
        <w:rPr>
          <w:lang w:val="en-US"/>
        </w:rPr>
        <w:t>the same does not hold true for hours of work indicators that are often missing in policy debates</w:t>
      </w:r>
      <w:r w:rsidR="00F51373" w:rsidRPr="0028531E">
        <w:rPr>
          <w:lang w:val="en-US"/>
        </w:rPr>
        <w:t xml:space="preserve">. </w:t>
      </w:r>
      <w:r w:rsidR="00F51373">
        <w:rPr>
          <w:lang w:val="en-US"/>
        </w:rPr>
        <w:t xml:space="preserve">Hours of work effects are however important when </w:t>
      </w:r>
      <w:r w:rsidR="00F51373" w:rsidRPr="00C434A8">
        <w:rPr>
          <w:lang w:val="en-US"/>
        </w:rPr>
        <w:t>considering questions such as: is part-time employment the</w:t>
      </w:r>
      <w:r w:rsidR="001A220A">
        <w:rPr>
          <w:lang w:val="en-US"/>
        </w:rPr>
        <w:t xml:space="preserve"> price paid to reach higher ERs</w:t>
      </w:r>
      <w:r w:rsidR="00F51373" w:rsidRPr="00C434A8">
        <w:rPr>
          <w:lang w:val="en-US"/>
        </w:rPr>
        <w:t>; did the</w:t>
      </w:r>
      <w:r w:rsidR="00F51373" w:rsidRPr="0028531E">
        <w:rPr>
          <w:lang w:val="en-US"/>
        </w:rPr>
        <w:t xml:space="preserve"> financial crisis affect hours of work differently than employment among older workers?; did some socio-economic groups react differently in employment and in hours of work than others? </w:t>
      </w:r>
    </w:p>
    <w:p w14:paraId="21E42F86" w14:textId="7FDF225D" w:rsidR="00C434A8" w:rsidRDefault="00F51373" w:rsidP="000525D7">
      <w:pPr>
        <w:rPr>
          <w:lang w:val="en-US"/>
        </w:rPr>
      </w:pPr>
      <w:r>
        <w:rPr>
          <w:lang w:val="en-US"/>
        </w:rPr>
        <w:lastRenderedPageBreak/>
        <w:t>More specifically, w</w:t>
      </w:r>
      <w:r w:rsidR="00C434A8">
        <w:rPr>
          <w:lang w:val="en-US"/>
        </w:rPr>
        <w:t xml:space="preserve">e estimate probit models of employment determinants and Heckman (1979) selection models </w:t>
      </w:r>
      <w:r w:rsidR="00C434A8" w:rsidRPr="0028531E">
        <w:rPr>
          <w:lang w:val="en-US"/>
        </w:rPr>
        <w:t xml:space="preserve">in which the dependent variable is the usual hours of work and among the explanatory variables, other than age, education and country of </w:t>
      </w:r>
      <w:r w:rsidR="00C434A8" w:rsidRPr="004004B0">
        <w:rPr>
          <w:lang w:val="en-US"/>
        </w:rPr>
        <w:t>birth, the years of job tenure on</w:t>
      </w:r>
      <w:r w:rsidR="00C434A8">
        <w:rPr>
          <w:lang w:val="en-US"/>
        </w:rPr>
        <w:t xml:space="preserve"> the current job</w:t>
      </w:r>
      <w:r w:rsidR="00C434A8" w:rsidRPr="0028531E">
        <w:rPr>
          <w:lang w:val="en-US"/>
        </w:rPr>
        <w:t xml:space="preserve">. </w:t>
      </w:r>
      <w:r w:rsidR="00C434A8">
        <w:rPr>
          <w:lang w:val="en-US"/>
        </w:rPr>
        <w:t>In both types of models and for each country and gender</w:t>
      </w:r>
      <w:r w:rsidR="00C434A8" w:rsidRPr="0028531E">
        <w:rPr>
          <w:lang w:val="en-US"/>
        </w:rPr>
        <w:t xml:space="preserve">, we econometrically test the differences </w:t>
      </w:r>
      <w:r w:rsidR="00C434A8">
        <w:rPr>
          <w:lang w:val="en-US"/>
        </w:rPr>
        <w:t xml:space="preserve">in ER and hours of work </w:t>
      </w:r>
      <w:r w:rsidR="00C434A8" w:rsidRPr="0028531E">
        <w:rPr>
          <w:lang w:val="en-US"/>
        </w:rPr>
        <w:t>across periods.</w:t>
      </w:r>
    </w:p>
    <w:p w14:paraId="6C5D83A5" w14:textId="6CB02137" w:rsidR="00C434A8" w:rsidRPr="0028531E" w:rsidRDefault="00C434A8" w:rsidP="000525D7">
      <w:pPr>
        <w:rPr>
          <w:lang w:val="en-US"/>
        </w:rPr>
      </w:pPr>
      <w:r w:rsidRPr="00F51373">
        <w:rPr>
          <w:lang w:val="en-US"/>
        </w:rPr>
        <w:t xml:space="preserve">Third, we provide micro-simulations regarding the </w:t>
      </w:r>
      <w:r w:rsidR="00F51373" w:rsidRPr="00F51373">
        <w:rPr>
          <w:lang w:val="en-US"/>
        </w:rPr>
        <w:t>combined effect of changes in ER and hours of</w:t>
      </w:r>
      <w:r w:rsidR="00F51373">
        <w:rPr>
          <w:lang w:val="en-US"/>
        </w:rPr>
        <w:t xml:space="preserve"> work on total work hours. We adopt the methodology suggested by Blundell et al. (2013) for the computation of structural and behavioral changes in hours of work, this way carefully distinguishing behavioral from purely </w:t>
      </w:r>
      <w:r w:rsidR="001170A2">
        <w:rPr>
          <w:lang w:val="en-US"/>
        </w:rPr>
        <w:t>structural</w:t>
      </w:r>
      <w:r w:rsidR="00F51373">
        <w:rPr>
          <w:lang w:val="en-US"/>
        </w:rPr>
        <w:t xml:space="preserve"> effects. </w:t>
      </w:r>
    </w:p>
    <w:p w14:paraId="755E9D37" w14:textId="38580BF9" w:rsidR="004003D0" w:rsidRDefault="003247A0" w:rsidP="000525D7">
      <w:pPr>
        <w:rPr>
          <w:lang w:val="en-US"/>
        </w:rPr>
      </w:pPr>
      <w:r w:rsidRPr="0028531E">
        <w:rPr>
          <w:lang w:val="en-US"/>
        </w:rPr>
        <w:t xml:space="preserve">The paper is organized </w:t>
      </w:r>
      <w:r w:rsidR="00F51373">
        <w:rPr>
          <w:lang w:val="en-US"/>
        </w:rPr>
        <w:t>as follows</w:t>
      </w:r>
      <w:r w:rsidRPr="0028531E">
        <w:rPr>
          <w:lang w:val="en-US"/>
        </w:rPr>
        <w:t xml:space="preserve">. In </w:t>
      </w:r>
      <w:r w:rsidR="00E63D89">
        <w:rPr>
          <w:lang w:val="en-US"/>
        </w:rPr>
        <w:t>s</w:t>
      </w:r>
      <w:r w:rsidRPr="0028531E">
        <w:rPr>
          <w:lang w:val="en-US"/>
        </w:rPr>
        <w:t xml:space="preserve">ection </w:t>
      </w:r>
      <w:r w:rsidR="00E61FC3" w:rsidRPr="0028531E">
        <w:rPr>
          <w:lang w:val="en-US"/>
        </w:rPr>
        <w:t>2</w:t>
      </w:r>
      <w:r w:rsidRPr="0028531E">
        <w:rPr>
          <w:lang w:val="en-US"/>
        </w:rPr>
        <w:t xml:space="preserve"> we </w:t>
      </w:r>
      <w:r w:rsidR="000B57C8" w:rsidRPr="0028531E">
        <w:rPr>
          <w:lang w:val="en-US"/>
        </w:rPr>
        <w:t xml:space="preserve">provide some brief background statistics on </w:t>
      </w:r>
      <w:r w:rsidR="009F46D3" w:rsidRPr="0028531E">
        <w:rPr>
          <w:lang w:val="en-US"/>
        </w:rPr>
        <w:t>labo</w:t>
      </w:r>
      <w:r w:rsidR="004450C7" w:rsidRPr="0028531E">
        <w:rPr>
          <w:lang w:val="en-US"/>
        </w:rPr>
        <w:t xml:space="preserve">r market </w:t>
      </w:r>
      <w:r w:rsidR="00DA3E1D" w:rsidRPr="0028531E">
        <w:rPr>
          <w:lang w:val="en-US"/>
        </w:rPr>
        <w:t xml:space="preserve">trends </w:t>
      </w:r>
      <w:r w:rsidR="007836B0" w:rsidRPr="0028531E">
        <w:rPr>
          <w:lang w:val="en-US"/>
        </w:rPr>
        <w:t>for the elderly</w:t>
      </w:r>
      <w:r w:rsidR="000B57C8" w:rsidRPr="0028531E">
        <w:rPr>
          <w:lang w:val="en-US"/>
        </w:rPr>
        <w:t xml:space="preserve">. Section 3 describes our empirical approach and presents </w:t>
      </w:r>
      <w:r w:rsidRPr="0028531E">
        <w:rPr>
          <w:lang w:val="en-US"/>
        </w:rPr>
        <w:t>the detailed resu</w:t>
      </w:r>
      <w:r w:rsidR="0028531E" w:rsidRPr="0028531E">
        <w:rPr>
          <w:lang w:val="en-US"/>
        </w:rPr>
        <w:t>lts of probit model estimations</w:t>
      </w:r>
      <w:r w:rsidRPr="0028531E">
        <w:rPr>
          <w:lang w:val="en-US"/>
        </w:rPr>
        <w:t xml:space="preserve"> with employment as the dependent variable</w:t>
      </w:r>
      <w:r w:rsidR="007836B0" w:rsidRPr="0028531E">
        <w:rPr>
          <w:lang w:val="en-US"/>
        </w:rPr>
        <w:t>. Section</w:t>
      </w:r>
      <w:r w:rsidR="00A14F43">
        <w:rPr>
          <w:lang w:val="en-US"/>
        </w:rPr>
        <w:t xml:space="preserve"> 4</w:t>
      </w:r>
      <w:r w:rsidR="007836B0" w:rsidRPr="0028531E">
        <w:rPr>
          <w:lang w:val="en-US"/>
        </w:rPr>
        <w:t xml:space="preserve"> extends the reflection beyond </w:t>
      </w:r>
      <w:r w:rsidR="00965BE7">
        <w:rPr>
          <w:lang w:val="en-US"/>
        </w:rPr>
        <w:t>ERs</w:t>
      </w:r>
      <w:r w:rsidR="007836B0" w:rsidRPr="0028531E">
        <w:rPr>
          <w:lang w:val="en-US"/>
        </w:rPr>
        <w:t xml:space="preserve"> by focusing on the effects of </w:t>
      </w:r>
      <w:r w:rsidR="00567524" w:rsidRPr="0028531E">
        <w:rPr>
          <w:lang w:val="en-US"/>
        </w:rPr>
        <w:t xml:space="preserve">socio-economic factors </w:t>
      </w:r>
      <w:r w:rsidR="007836B0" w:rsidRPr="0028531E">
        <w:rPr>
          <w:lang w:val="en-US"/>
        </w:rPr>
        <w:t>on hours of work</w:t>
      </w:r>
      <w:r w:rsidR="00471D03" w:rsidRPr="0028531E">
        <w:rPr>
          <w:lang w:val="en-US"/>
        </w:rPr>
        <w:t>.</w:t>
      </w:r>
      <w:r w:rsidR="00A14F43">
        <w:rPr>
          <w:lang w:val="en-US"/>
        </w:rPr>
        <w:t xml:space="preserve"> </w:t>
      </w:r>
      <w:r w:rsidR="00F2364A">
        <w:rPr>
          <w:lang w:val="en-US"/>
        </w:rPr>
        <w:t>In section 5 we</w:t>
      </w:r>
      <w:r w:rsidR="00A14F43">
        <w:rPr>
          <w:lang w:val="en-US"/>
        </w:rPr>
        <w:t xml:space="preserve"> provide micro-simulation results regarding the combined effect of </w:t>
      </w:r>
      <w:r w:rsidR="00965BE7">
        <w:rPr>
          <w:lang w:val="en-US"/>
        </w:rPr>
        <w:t>ER</w:t>
      </w:r>
      <w:r w:rsidR="00A14F43">
        <w:rPr>
          <w:lang w:val="en-US"/>
        </w:rPr>
        <w:t xml:space="preserve"> and hours of work changes on total work hours</w:t>
      </w:r>
      <w:r w:rsidR="00F51373">
        <w:rPr>
          <w:lang w:val="en-US"/>
        </w:rPr>
        <w:t>.</w:t>
      </w:r>
      <w:r w:rsidR="00F2364A">
        <w:rPr>
          <w:lang w:val="en-US"/>
        </w:rPr>
        <w:t xml:space="preserve"> </w:t>
      </w:r>
      <w:r w:rsidR="00A14F43">
        <w:rPr>
          <w:lang w:val="en-US"/>
        </w:rPr>
        <w:t xml:space="preserve">Section </w:t>
      </w:r>
      <w:r w:rsidR="00F2364A">
        <w:rPr>
          <w:lang w:val="en-US"/>
        </w:rPr>
        <w:t>6</w:t>
      </w:r>
      <w:r w:rsidR="00F2364A" w:rsidRPr="00A14F43">
        <w:rPr>
          <w:lang w:val="en-US"/>
        </w:rPr>
        <w:t xml:space="preserve"> </w:t>
      </w:r>
      <w:r w:rsidR="004F7100" w:rsidRPr="00A14F43">
        <w:rPr>
          <w:lang w:val="en-US"/>
        </w:rPr>
        <w:t xml:space="preserve">contains </w:t>
      </w:r>
      <w:r w:rsidR="00662332" w:rsidRPr="00A14F43">
        <w:rPr>
          <w:lang w:val="en-US"/>
        </w:rPr>
        <w:t xml:space="preserve">the </w:t>
      </w:r>
      <w:r w:rsidR="00E61FC3" w:rsidRPr="00A14F43">
        <w:rPr>
          <w:lang w:val="en-US"/>
        </w:rPr>
        <w:t xml:space="preserve">main </w:t>
      </w:r>
      <w:r w:rsidR="00662332" w:rsidRPr="00A14F43">
        <w:rPr>
          <w:lang w:val="en-US"/>
        </w:rPr>
        <w:t xml:space="preserve">conclusions of this </w:t>
      </w:r>
      <w:r w:rsidR="00A14F43">
        <w:rPr>
          <w:lang w:val="en-US"/>
        </w:rPr>
        <w:t>paper</w:t>
      </w:r>
      <w:r w:rsidR="00662332" w:rsidRPr="00A14F43">
        <w:rPr>
          <w:lang w:val="en-US"/>
        </w:rPr>
        <w:t>.</w:t>
      </w:r>
    </w:p>
    <w:p w14:paraId="08582930" w14:textId="42B4AF54" w:rsidR="00A45A62" w:rsidRDefault="00E34A73" w:rsidP="00E34A73">
      <w:pPr>
        <w:pStyle w:val="Heading1"/>
        <w:numPr>
          <w:ilvl w:val="0"/>
          <w:numId w:val="37"/>
        </w:numPr>
        <w:rPr>
          <w:lang w:val="en-US"/>
        </w:rPr>
      </w:pPr>
      <w:r>
        <w:rPr>
          <w:lang w:val="en-US"/>
        </w:rPr>
        <w:t>L</w:t>
      </w:r>
      <w:r w:rsidR="00DA3E1D" w:rsidRPr="0028531E">
        <w:rPr>
          <w:lang w:val="en-US"/>
        </w:rPr>
        <w:t>abor market</w:t>
      </w:r>
      <w:r w:rsidR="006A61BF" w:rsidRPr="0028531E">
        <w:rPr>
          <w:lang w:val="en-US"/>
        </w:rPr>
        <w:t xml:space="preserve"> </w:t>
      </w:r>
      <w:r w:rsidR="00A45A62">
        <w:rPr>
          <w:lang w:val="en-US"/>
        </w:rPr>
        <w:t>outcomes</w:t>
      </w:r>
    </w:p>
    <w:p w14:paraId="561ECECE" w14:textId="3DC24682" w:rsidR="000525D7" w:rsidRDefault="000525D7" w:rsidP="000525D7">
      <w:pPr>
        <w:rPr>
          <w:lang w:val="en-US"/>
        </w:rPr>
      </w:pPr>
      <w:r>
        <w:rPr>
          <w:lang w:val="en-US"/>
        </w:rPr>
        <w:t>To provide a descriptive analysis of the labor market outcomes in the four countries, we split the population aged 50-64 into 3 successive sub-groups (50-54, 55-59 and 60-64).</w:t>
      </w:r>
      <w:r w:rsidRPr="000525D7">
        <w:rPr>
          <w:rStyle w:val="FootnoteReference"/>
          <w:rFonts w:ascii="Times New Roman" w:hAnsi="Times New Roman" w:cs="Times New Roman"/>
          <w:lang w:val="en-US"/>
        </w:rPr>
        <w:t xml:space="preserve"> </w:t>
      </w:r>
      <w:r w:rsidRPr="0028531E">
        <w:rPr>
          <w:rStyle w:val="FootnoteReference"/>
          <w:rFonts w:ascii="Times New Roman" w:hAnsi="Times New Roman" w:cs="Times New Roman"/>
          <w:lang w:val="en-US"/>
        </w:rPr>
        <w:footnoteReference w:id="5"/>
      </w:r>
      <w:r>
        <w:rPr>
          <w:lang w:val="en-US"/>
        </w:rPr>
        <w:t xml:space="preserve"> Furthermore, we focus our attention on the time period 1997-2011 where we also </w:t>
      </w:r>
      <w:r w:rsidRPr="0028531E">
        <w:rPr>
          <w:lang w:val="en-US"/>
        </w:rPr>
        <w:t xml:space="preserve">distinguish three 5-year </w:t>
      </w:r>
      <w:r>
        <w:rPr>
          <w:lang w:val="en-US"/>
        </w:rPr>
        <w:t>sub-</w:t>
      </w:r>
      <w:r w:rsidRPr="0028531E">
        <w:rPr>
          <w:lang w:val="en-US"/>
        </w:rPr>
        <w:t>periods: 1997-2001, 2002-2006 and 2007-2011.</w:t>
      </w:r>
      <w:r>
        <w:rPr>
          <w:rStyle w:val="FootnoteReference"/>
          <w:lang w:val="en-US"/>
        </w:rPr>
        <w:footnoteReference w:id="6"/>
      </w:r>
      <w:r w:rsidRPr="0028531E">
        <w:rPr>
          <w:lang w:val="en-US"/>
        </w:rPr>
        <w:t xml:space="preserve"> All three correspond to distinct events in the overall policy and economic environment. 2002-2006 versus </w:t>
      </w:r>
      <w:r>
        <w:rPr>
          <w:lang w:val="en-US"/>
        </w:rPr>
        <w:t>1997-2001</w:t>
      </w:r>
      <w:r w:rsidRPr="0028531E">
        <w:rPr>
          <w:lang w:val="en-US"/>
        </w:rPr>
        <w:t xml:space="preserve"> corresponds to a comparison of the aftermath and the period immediately leading towards the “paradigm shift” around the </w:t>
      </w:r>
      <w:r>
        <w:rPr>
          <w:lang w:val="en-US"/>
        </w:rPr>
        <w:t>OMC</w:t>
      </w:r>
      <w:r w:rsidRPr="0028531E">
        <w:rPr>
          <w:lang w:val="en-US"/>
        </w:rPr>
        <w:t xml:space="preserve">. 2007-2011 corresponds to a period right after the onset of the worldwide financial crisis, hence representing a potentially large shock to the labor markets. </w:t>
      </w:r>
      <w:r>
        <w:rPr>
          <w:lang w:val="en-US"/>
        </w:rPr>
        <w:t xml:space="preserve">Proceeding this way, we try to identify different labor market responses </w:t>
      </w:r>
      <w:r w:rsidRPr="0028531E">
        <w:rPr>
          <w:lang w:val="en-US"/>
        </w:rPr>
        <w:t>across periods for the four countries.</w:t>
      </w:r>
    </w:p>
    <w:p w14:paraId="3C8F451C" w14:textId="61AB0FC0" w:rsidR="000525D7" w:rsidRDefault="000525D7" w:rsidP="000525D7">
      <w:pPr>
        <w:rPr>
          <w:lang w:val="en-US"/>
        </w:rPr>
      </w:pPr>
      <w:r>
        <w:rPr>
          <w:lang w:val="en-US"/>
        </w:rPr>
        <w:t>We propose two broad types of comparisons</w:t>
      </w:r>
      <w:r w:rsidR="00E03AB9" w:rsidRPr="00A45A62">
        <w:rPr>
          <w:lang w:val="en-US"/>
        </w:rPr>
        <w:t xml:space="preserve"> with counter-factual situations: on the one hand, with the evolution of </w:t>
      </w:r>
      <w:r w:rsidR="00965BE7" w:rsidRPr="00A45A62">
        <w:rPr>
          <w:lang w:val="en-US"/>
        </w:rPr>
        <w:t>ERs</w:t>
      </w:r>
      <w:r w:rsidR="00E03AB9" w:rsidRPr="00A45A62">
        <w:rPr>
          <w:lang w:val="en-US"/>
        </w:rPr>
        <w:t xml:space="preserve"> among </w:t>
      </w:r>
      <w:r w:rsidR="006D5294">
        <w:rPr>
          <w:lang w:val="en-US"/>
        </w:rPr>
        <w:t xml:space="preserve">the prime-agers </w:t>
      </w:r>
      <w:r w:rsidR="00BE0E3E" w:rsidRPr="00A45A62">
        <w:rPr>
          <w:lang w:val="en-US"/>
        </w:rPr>
        <w:t>25</w:t>
      </w:r>
      <w:r w:rsidR="006D5294">
        <w:rPr>
          <w:lang w:val="en-US"/>
        </w:rPr>
        <w:t>-49</w:t>
      </w:r>
      <w:r w:rsidR="00E03AB9" w:rsidRPr="00A45A62">
        <w:rPr>
          <w:lang w:val="en-US"/>
        </w:rPr>
        <w:t xml:space="preserve">; on the other hand, with the evolution of </w:t>
      </w:r>
      <w:r w:rsidR="00965BE7" w:rsidRPr="00A45A62">
        <w:rPr>
          <w:lang w:val="en-US"/>
        </w:rPr>
        <w:t>ERs</w:t>
      </w:r>
      <w:r w:rsidR="00E03AB9" w:rsidRPr="00A45A62">
        <w:rPr>
          <w:lang w:val="en-US"/>
        </w:rPr>
        <w:t xml:space="preserve"> observed for women and men in the same age </w:t>
      </w:r>
      <w:r w:rsidR="001170A2">
        <w:rPr>
          <w:lang w:val="en-US"/>
        </w:rPr>
        <w:t xml:space="preserve">groups </w:t>
      </w:r>
      <w:r w:rsidR="00E03AB9" w:rsidRPr="00A45A62">
        <w:rPr>
          <w:lang w:val="en-US"/>
        </w:rPr>
        <w:t>but living in neighboring countries.</w:t>
      </w:r>
    </w:p>
    <w:p w14:paraId="207FDAA4" w14:textId="19A0E318" w:rsidR="00E03AB9" w:rsidRPr="00A45A62" w:rsidRDefault="00E03AB9" w:rsidP="000525D7">
      <w:pPr>
        <w:rPr>
          <w:lang w:val="en-US"/>
        </w:rPr>
      </w:pPr>
      <w:r w:rsidRPr="00A45A62">
        <w:rPr>
          <w:lang w:val="en-US"/>
        </w:rPr>
        <w:t xml:space="preserve">Figure 3 illustrates the evolution of </w:t>
      </w:r>
      <w:r w:rsidR="00965BE7" w:rsidRPr="00A45A62">
        <w:rPr>
          <w:lang w:val="en-US"/>
        </w:rPr>
        <w:t>ERs</w:t>
      </w:r>
      <w:r w:rsidRPr="00A45A62">
        <w:rPr>
          <w:lang w:val="en-US"/>
        </w:rPr>
        <w:t xml:space="preserve">, for four age categories – </w:t>
      </w:r>
      <w:r w:rsidR="00BE0E3E" w:rsidRPr="00A45A62">
        <w:rPr>
          <w:lang w:val="en-US"/>
        </w:rPr>
        <w:t>25</w:t>
      </w:r>
      <w:r w:rsidRPr="00A45A62">
        <w:rPr>
          <w:lang w:val="en-US"/>
        </w:rPr>
        <w:t>-49, 50-54, 55-59 and 60-64 years old – over the period 1997-2011 – with vertical lines marking the three sub-periods of study 1997-2001, 2002-2006 and 2007-2011.</w:t>
      </w:r>
      <w:r w:rsidRPr="00A45A62">
        <w:rPr>
          <w:rStyle w:val="FootnoteReference"/>
          <w:rFonts w:ascii="Times New Roman" w:hAnsi="Times New Roman" w:cs="Times New Roman"/>
          <w:lang w:val="en-US"/>
        </w:rPr>
        <w:t xml:space="preserve"> </w:t>
      </w:r>
      <w:r w:rsidRPr="00A45A62">
        <w:rPr>
          <w:lang w:val="en-US"/>
        </w:rPr>
        <w:t xml:space="preserve">First of all, we observe that even if in all cases ER grew without discontinuity after 2001 among the 55-59 and the 60-64 years old, at the end of the period important gaps subsist with respect to younger </w:t>
      </w:r>
      <w:r w:rsidR="001170A2">
        <w:rPr>
          <w:lang w:val="en-US"/>
        </w:rPr>
        <w:t>individuals</w:t>
      </w:r>
      <w:r w:rsidRPr="00A45A62">
        <w:rPr>
          <w:lang w:val="en-US"/>
        </w:rPr>
        <w:t xml:space="preserve">. Second, in most cases the gap between the 50-54 and the </w:t>
      </w:r>
      <w:r w:rsidR="00BE0E3E" w:rsidRPr="00A45A62">
        <w:rPr>
          <w:lang w:val="en-US"/>
        </w:rPr>
        <w:t>25</w:t>
      </w:r>
      <w:r w:rsidRPr="00A45A62">
        <w:rPr>
          <w:lang w:val="en-US"/>
        </w:rPr>
        <w:t>-49 years old is small</w:t>
      </w:r>
      <w:r w:rsidR="006D5294">
        <w:rPr>
          <w:lang w:val="en-US"/>
        </w:rPr>
        <w:t xml:space="preserve"> indicating that the 50-54 year-old are often still an integral part of the prime-age working population, except for </w:t>
      </w:r>
      <w:r w:rsidRPr="00A45A62">
        <w:rPr>
          <w:lang w:val="en-US"/>
        </w:rPr>
        <w:t xml:space="preserve">women in Belgium and in </w:t>
      </w:r>
      <w:r w:rsidR="00E23AED">
        <w:rPr>
          <w:lang w:val="en-US"/>
        </w:rPr>
        <w:t>T</w:t>
      </w:r>
      <w:r w:rsidRPr="00A45A62">
        <w:rPr>
          <w:lang w:val="en-US"/>
        </w:rPr>
        <w:t>he Netherlands</w:t>
      </w:r>
      <w:r w:rsidR="006D5294">
        <w:rPr>
          <w:lang w:val="en-US"/>
        </w:rPr>
        <w:t xml:space="preserve">. </w:t>
      </w:r>
      <w:r w:rsidRPr="00A45A62">
        <w:rPr>
          <w:lang w:val="en-US"/>
        </w:rPr>
        <w:t xml:space="preserve">Third, ER </w:t>
      </w:r>
      <w:r w:rsidRPr="00A45A62">
        <w:rPr>
          <w:lang w:val="en-US"/>
        </w:rPr>
        <w:lastRenderedPageBreak/>
        <w:t xml:space="preserve">increases much stronger among the 60-64 years old of both sexes in Germany and </w:t>
      </w:r>
      <w:r w:rsidR="00E23AED">
        <w:rPr>
          <w:lang w:val="en-US"/>
        </w:rPr>
        <w:t>T</w:t>
      </w:r>
      <w:r w:rsidRPr="00A45A62">
        <w:rPr>
          <w:lang w:val="en-US"/>
        </w:rPr>
        <w:t>he Netherlands than in Belgium and France.</w:t>
      </w:r>
      <w:r w:rsidRPr="0028531E">
        <w:rPr>
          <w:rStyle w:val="FootnoteReference"/>
          <w:rFonts w:ascii="Times New Roman" w:hAnsi="Times New Roman" w:cs="Times New Roman"/>
          <w:lang w:val="en-US"/>
        </w:rPr>
        <w:footnoteReference w:id="7"/>
      </w:r>
    </w:p>
    <w:p w14:paraId="587BCD4D" w14:textId="649736E3" w:rsidR="004003D0" w:rsidRDefault="00E03AB9" w:rsidP="000525D7">
      <w:pPr>
        <w:rPr>
          <w:rStyle w:val="Strong"/>
          <w:lang w:val="en-US"/>
        </w:rPr>
      </w:pPr>
      <w:r w:rsidRPr="0028531E">
        <w:rPr>
          <w:rStyle w:val="Strong"/>
          <w:lang w:val="en-US"/>
        </w:rPr>
        <w:t>INSERT FIGURE 3</w:t>
      </w:r>
    </w:p>
    <w:p w14:paraId="5018C7E2" w14:textId="223FA59B" w:rsidR="00F647D2" w:rsidRPr="006D5294" w:rsidRDefault="00815592" w:rsidP="006D5294">
      <w:pPr>
        <w:rPr>
          <w:rFonts w:cs="Times New Roman"/>
          <w:lang w:val="en-GB"/>
        </w:rPr>
      </w:pPr>
      <w:r>
        <w:rPr>
          <w:rStyle w:val="Strong"/>
          <w:b w:val="0"/>
          <w:lang w:val="en-US"/>
        </w:rPr>
        <w:t>T</w:t>
      </w:r>
      <w:r w:rsidR="006D5294">
        <w:rPr>
          <w:rStyle w:val="Strong"/>
          <w:b w:val="0"/>
          <w:lang w:val="en-US"/>
        </w:rPr>
        <w:t xml:space="preserve">o </w:t>
      </w:r>
      <w:r w:rsidR="004E3826">
        <w:rPr>
          <w:rStyle w:val="Strong"/>
          <w:b w:val="0"/>
          <w:lang w:val="en-US"/>
        </w:rPr>
        <w:t xml:space="preserve">further </w:t>
      </w:r>
      <w:r w:rsidR="006D5294">
        <w:rPr>
          <w:rStyle w:val="Strong"/>
          <w:b w:val="0"/>
          <w:lang w:val="en-US"/>
        </w:rPr>
        <w:t xml:space="preserve">investigate </w:t>
      </w:r>
      <w:r w:rsidR="004E3826">
        <w:rPr>
          <w:rStyle w:val="Strong"/>
          <w:b w:val="0"/>
          <w:lang w:val="en-US"/>
        </w:rPr>
        <w:t xml:space="preserve">the characteristics of the </w:t>
      </w:r>
      <w:r w:rsidR="006D5294">
        <w:rPr>
          <w:rStyle w:val="Strong"/>
          <w:b w:val="0"/>
          <w:lang w:val="en-US"/>
        </w:rPr>
        <w:t>above growth in ER</w:t>
      </w:r>
      <w:r w:rsidR="004E3826">
        <w:rPr>
          <w:rStyle w:val="Strong"/>
          <w:b w:val="0"/>
          <w:lang w:val="en-US"/>
        </w:rPr>
        <w:t xml:space="preserve">, we provide the analysis of Table 1. It </w:t>
      </w:r>
      <w:r w:rsidR="00CF7680" w:rsidRPr="006D5294">
        <w:rPr>
          <w:rStyle w:val="Strong"/>
          <w:b w:val="0"/>
          <w:lang w:val="en-US"/>
        </w:rPr>
        <w:t>reports the observed changes in ER and in UR (unemployment rate with respect to total populat</w:t>
      </w:r>
      <w:r w:rsidR="00050132" w:rsidRPr="006D5294">
        <w:rPr>
          <w:rStyle w:val="Strong"/>
          <w:b w:val="0"/>
          <w:lang w:val="en-US"/>
        </w:rPr>
        <w:t>ion) across the three sub</w:t>
      </w:r>
      <w:r w:rsidR="006D5294" w:rsidRPr="006D5294">
        <w:rPr>
          <w:rStyle w:val="Strong"/>
          <w:b w:val="0"/>
          <w:lang w:val="en-US"/>
        </w:rPr>
        <w:t>-</w:t>
      </w:r>
      <w:r w:rsidR="00050132" w:rsidRPr="006D5294">
        <w:rPr>
          <w:rStyle w:val="Strong"/>
          <w:b w:val="0"/>
          <w:lang w:val="en-US"/>
        </w:rPr>
        <w:t>periods and</w:t>
      </w:r>
      <w:r w:rsidR="00050132" w:rsidRPr="006D5294">
        <w:rPr>
          <w:rFonts w:cs="Times New Roman"/>
          <w:lang w:val="en-GB"/>
        </w:rPr>
        <w:t xml:space="preserve"> age categories, by country and </w:t>
      </w:r>
      <w:r w:rsidR="006D5294" w:rsidRPr="006D5294">
        <w:rPr>
          <w:rFonts w:cs="Times New Roman"/>
          <w:lang w:val="en-GB"/>
        </w:rPr>
        <w:t>by sex</w:t>
      </w:r>
      <w:r w:rsidR="00050132" w:rsidRPr="006D5294">
        <w:rPr>
          <w:rFonts w:cs="Times New Roman"/>
          <w:lang w:val="en-GB"/>
        </w:rPr>
        <w:t xml:space="preserve">. </w:t>
      </w:r>
      <w:r w:rsidR="004E3826">
        <w:rPr>
          <w:rFonts w:cs="Times New Roman"/>
          <w:lang w:val="en-GB"/>
        </w:rPr>
        <w:t>First, i</w:t>
      </w:r>
      <w:r w:rsidR="00050132" w:rsidRPr="006D5294">
        <w:rPr>
          <w:rFonts w:cs="Times New Roman"/>
          <w:lang w:val="en-GB"/>
        </w:rPr>
        <w:t>t shows that among the 50 to 64 years old ER changes were positive in all cases and</w:t>
      </w:r>
      <w:r w:rsidR="00CA14B6" w:rsidRPr="006D5294">
        <w:rPr>
          <w:rFonts w:cs="Times New Roman"/>
          <w:lang w:val="en-GB"/>
        </w:rPr>
        <w:t>,</w:t>
      </w:r>
      <w:r w:rsidR="00050132" w:rsidRPr="006D5294">
        <w:rPr>
          <w:rFonts w:cs="Times New Roman"/>
          <w:lang w:val="en-GB"/>
        </w:rPr>
        <w:t xml:space="preserve"> with only a few exceptions for the 60-64 years old, higher than among the 25-49</w:t>
      </w:r>
      <w:r w:rsidR="004E3826">
        <w:rPr>
          <w:rFonts w:cs="Times New Roman"/>
          <w:lang w:val="en-GB"/>
        </w:rPr>
        <w:t xml:space="preserve"> year-old</w:t>
      </w:r>
      <w:r w:rsidR="00050132" w:rsidRPr="006D5294">
        <w:rPr>
          <w:rFonts w:cs="Times New Roman"/>
          <w:lang w:val="en-GB"/>
        </w:rPr>
        <w:t xml:space="preserve">. </w:t>
      </w:r>
      <w:r w:rsidR="004E3826">
        <w:rPr>
          <w:rFonts w:cs="Times New Roman"/>
          <w:lang w:val="en-GB"/>
        </w:rPr>
        <w:t>Second, it also illustrates that in the large majority of cases, the increase in ER found its strongest counterpart in lower inactivity rates rather than in a mere decrease of the unemployment rate. More specifically, e</w:t>
      </w:r>
      <w:r w:rsidR="007766F5" w:rsidRPr="006D5294">
        <w:rPr>
          <w:rFonts w:cs="Times New Roman"/>
          <w:lang w:val="en-GB"/>
        </w:rPr>
        <w:t xml:space="preserve">ven if changes in UR were negative </w:t>
      </w:r>
      <w:r w:rsidR="004E3826">
        <w:rPr>
          <w:rFonts w:cs="Times New Roman"/>
          <w:lang w:val="en-GB"/>
        </w:rPr>
        <w:t xml:space="preserve">for several subgroups, </w:t>
      </w:r>
      <w:r w:rsidR="007766F5" w:rsidRPr="006D5294">
        <w:rPr>
          <w:rFonts w:cs="Times New Roman"/>
          <w:lang w:val="en-GB"/>
        </w:rPr>
        <w:t xml:space="preserve">there were in general very low compared with positive changes in ER, the only exception </w:t>
      </w:r>
      <w:r w:rsidR="004E3826">
        <w:rPr>
          <w:rFonts w:cs="Times New Roman"/>
          <w:lang w:val="en-GB"/>
        </w:rPr>
        <w:t xml:space="preserve">being the 55 </w:t>
      </w:r>
      <w:r w:rsidR="007766F5" w:rsidRPr="006D5294">
        <w:rPr>
          <w:rFonts w:cs="Times New Roman"/>
          <w:lang w:val="en-GB"/>
        </w:rPr>
        <w:t xml:space="preserve">to 59 years old </w:t>
      </w:r>
      <w:r w:rsidR="004E3826">
        <w:rPr>
          <w:rFonts w:cs="Times New Roman"/>
          <w:lang w:val="en-GB"/>
        </w:rPr>
        <w:t xml:space="preserve">in Germany </w:t>
      </w:r>
      <w:r w:rsidR="007766F5" w:rsidRPr="006D5294">
        <w:rPr>
          <w:rFonts w:cs="Times New Roman"/>
          <w:lang w:val="en-GB"/>
        </w:rPr>
        <w:t xml:space="preserve">with UR </w:t>
      </w:r>
      <w:r w:rsidR="004E3826">
        <w:rPr>
          <w:rFonts w:cs="Times New Roman"/>
          <w:lang w:val="en-GB"/>
        </w:rPr>
        <w:t xml:space="preserve">decreases close to </w:t>
      </w:r>
      <w:r w:rsidR="007766F5" w:rsidRPr="006D5294">
        <w:rPr>
          <w:rFonts w:cs="Times New Roman"/>
          <w:lang w:val="en-GB"/>
        </w:rPr>
        <w:t xml:space="preserve">3% points. </w:t>
      </w:r>
    </w:p>
    <w:p w14:paraId="3F238E57" w14:textId="77777777" w:rsidR="00F647D2" w:rsidRDefault="00F647D2" w:rsidP="000525D7">
      <w:pPr>
        <w:rPr>
          <w:rStyle w:val="Strong"/>
          <w:lang w:val="en-US"/>
        </w:rPr>
      </w:pPr>
      <w:r w:rsidRPr="00EB17B8">
        <w:rPr>
          <w:rStyle w:val="Strong"/>
          <w:lang w:val="en-US"/>
        </w:rPr>
        <w:t>INSERT TABLE 1</w:t>
      </w:r>
    </w:p>
    <w:p w14:paraId="5FC4E70F" w14:textId="3B190530" w:rsidR="004E3826" w:rsidRPr="00430602" w:rsidRDefault="00815592" w:rsidP="004E3826">
      <w:pPr>
        <w:rPr>
          <w:lang w:val="en-US"/>
        </w:rPr>
      </w:pPr>
      <w:r>
        <w:rPr>
          <w:lang w:val="en-US"/>
        </w:rPr>
        <w:t xml:space="preserve">Additional </w:t>
      </w:r>
      <w:r w:rsidR="004E3826" w:rsidRPr="0028531E">
        <w:rPr>
          <w:lang w:val="en-US"/>
        </w:rPr>
        <w:t xml:space="preserve">dimensions are </w:t>
      </w:r>
      <w:r w:rsidR="004E3826" w:rsidRPr="00430602">
        <w:rPr>
          <w:lang w:val="en-US"/>
        </w:rPr>
        <w:t>included in the analysis</w:t>
      </w:r>
      <w:r>
        <w:rPr>
          <w:lang w:val="en-US"/>
        </w:rPr>
        <w:t xml:space="preserve"> i</w:t>
      </w:r>
      <w:r w:rsidRPr="0028531E">
        <w:rPr>
          <w:lang w:val="en-US"/>
        </w:rPr>
        <w:t xml:space="preserve">n order to </w:t>
      </w:r>
      <w:r>
        <w:rPr>
          <w:lang w:val="en-US"/>
        </w:rPr>
        <w:t>account for the role of other individual characteristics</w:t>
      </w:r>
      <w:r w:rsidR="004E3826" w:rsidRPr="00430602">
        <w:rPr>
          <w:lang w:val="en-US"/>
        </w:rPr>
        <w:t xml:space="preserve">: educational attainment, country of birth and </w:t>
      </w:r>
      <w:r w:rsidR="00E34A73" w:rsidRPr="00430602">
        <w:rPr>
          <w:lang w:val="en-US"/>
        </w:rPr>
        <w:t xml:space="preserve">later in the econometric analysis also </w:t>
      </w:r>
      <w:r w:rsidR="004E3826" w:rsidRPr="00430602">
        <w:rPr>
          <w:lang w:val="en-US"/>
        </w:rPr>
        <w:t xml:space="preserve">marital status. </w:t>
      </w:r>
      <w:r w:rsidR="00E34A73" w:rsidRPr="00430602">
        <w:rPr>
          <w:lang w:val="en-US"/>
        </w:rPr>
        <w:t xml:space="preserve">This allows us to </w:t>
      </w:r>
      <w:r w:rsidR="004E3826" w:rsidRPr="00430602">
        <w:rPr>
          <w:lang w:val="en-US"/>
        </w:rPr>
        <w:t xml:space="preserve">identify to what extent the observed labor market patterns were favorable to particular categories of workers, like the low skilled and foreigners. Tables 2 and 3 present ER for two of these </w:t>
      </w:r>
      <w:r w:rsidR="00E34A73" w:rsidRPr="00430602">
        <w:rPr>
          <w:lang w:val="en-US"/>
        </w:rPr>
        <w:t xml:space="preserve">three </w:t>
      </w:r>
      <w:r w:rsidR="004E3826" w:rsidRPr="00430602">
        <w:rPr>
          <w:lang w:val="en-US"/>
        </w:rPr>
        <w:t xml:space="preserve">dimensions, education and country of birth, over the analyzed period for the population aged 50-64. </w:t>
      </w:r>
    </w:p>
    <w:p w14:paraId="1FE125B5" w14:textId="23CE91AF" w:rsidR="004E3826" w:rsidRPr="00430602" w:rsidRDefault="004E3826" w:rsidP="004E3826">
      <w:pPr>
        <w:rPr>
          <w:lang w:val="en-US"/>
        </w:rPr>
      </w:pPr>
      <w:r w:rsidRPr="00430602">
        <w:rPr>
          <w:lang w:val="en-US"/>
        </w:rPr>
        <w:t xml:space="preserve">In both tables and for most categories, the ER follows over time the general trend observed in previous figures, particularly among women. However, looking in details at the numbers reported in Table 2, it is interesting to note that among high educated men and women ER differences are relatively small, not higher than 15.0 percentage points (74.1% vs. 59.2% for Belgium in 2007-2011), while the gender gap for people with low education varies substantially, from 25.0 percentage points for </w:t>
      </w:r>
      <w:r w:rsidR="00E23AED">
        <w:rPr>
          <w:lang w:val="en-US"/>
        </w:rPr>
        <w:t>T</w:t>
      </w:r>
      <w:r w:rsidRPr="00430602">
        <w:rPr>
          <w:lang w:val="en-US"/>
        </w:rPr>
        <w:t>he Netherlands (64.8% vs. 39.2%) to less than 10.0 percentage points for France (48.1% vs.</w:t>
      </w:r>
      <w:r w:rsidR="00E80446">
        <w:rPr>
          <w:lang w:val="en-US"/>
        </w:rPr>
        <w:t xml:space="preserve"> </w:t>
      </w:r>
      <w:r w:rsidRPr="00430602">
        <w:rPr>
          <w:lang w:val="en-US"/>
        </w:rPr>
        <w:t xml:space="preserve">41.3%) in 2007-2011. </w:t>
      </w:r>
    </w:p>
    <w:p w14:paraId="1B7062E1" w14:textId="23E9758D" w:rsidR="004E3826" w:rsidRPr="00430602" w:rsidRDefault="004E3826" w:rsidP="004E3826">
      <w:pPr>
        <w:rPr>
          <w:rStyle w:val="Strong"/>
          <w:lang w:val="en-US"/>
        </w:rPr>
      </w:pPr>
      <w:r w:rsidRPr="00430602">
        <w:rPr>
          <w:rStyle w:val="Strong"/>
          <w:lang w:val="en-US"/>
        </w:rPr>
        <w:t>INSERT TABLE 2</w:t>
      </w:r>
    </w:p>
    <w:p w14:paraId="418E0836" w14:textId="7FAB3DE6" w:rsidR="004E3826" w:rsidRPr="00430602" w:rsidRDefault="004E3826" w:rsidP="004E3826">
      <w:pPr>
        <w:rPr>
          <w:lang w:val="en-US"/>
        </w:rPr>
      </w:pPr>
      <w:r w:rsidRPr="00430602">
        <w:rPr>
          <w:lang w:val="en-US"/>
        </w:rPr>
        <w:t xml:space="preserve">In Table 3, as expected, ER are lower among people born abroad but the gap varies from near 0 to 15.0 percentage points when comparing men’s ER in France in 2007-2011 (57.1% vs. 57.0%), with 1997-2001 in </w:t>
      </w:r>
      <w:r w:rsidR="00E23AED">
        <w:rPr>
          <w:lang w:val="en-US"/>
        </w:rPr>
        <w:t>T</w:t>
      </w:r>
      <w:r w:rsidRPr="00430602">
        <w:rPr>
          <w:lang w:val="en-US"/>
        </w:rPr>
        <w:t xml:space="preserve">he Netherlands (65.7% vs. </w:t>
      </w:r>
      <w:r w:rsidR="00815592">
        <w:rPr>
          <w:lang w:val="en-US"/>
        </w:rPr>
        <w:t>5</w:t>
      </w:r>
      <w:r w:rsidRPr="00430602">
        <w:rPr>
          <w:lang w:val="en-US"/>
        </w:rPr>
        <w:t xml:space="preserve">0.9%). Moreover, there is not a clear common pattern in the evolution of ER by country of birth. In some cases, specifically in Belgium and </w:t>
      </w:r>
      <w:r w:rsidR="00E23AED">
        <w:rPr>
          <w:lang w:val="en-US"/>
        </w:rPr>
        <w:t>T</w:t>
      </w:r>
      <w:r w:rsidRPr="00430602">
        <w:rPr>
          <w:lang w:val="en-US"/>
        </w:rPr>
        <w:t xml:space="preserve">he Netherlands, the gap is slightly increasing between women born abroad and born in the country, while decreasing in others, e.g. ER among men in France and in </w:t>
      </w:r>
      <w:r w:rsidR="00E23AED">
        <w:rPr>
          <w:lang w:val="en-US"/>
        </w:rPr>
        <w:t>T</w:t>
      </w:r>
      <w:r w:rsidRPr="00430602">
        <w:rPr>
          <w:lang w:val="en-US"/>
        </w:rPr>
        <w:t>he Netherlands.</w:t>
      </w:r>
    </w:p>
    <w:p w14:paraId="00DDDB7C" w14:textId="0FB7E51A" w:rsidR="004E3826" w:rsidRPr="00EB17B8" w:rsidRDefault="004E3826" w:rsidP="004E3826">
      <w:pPr>
        <w:rPr>
          <w:rStyle w:val="Strong"/>
          <w:lang w:val="en-US"/>
        </w:rPr>
      </w:pPr>
      <w:r w:rsidRPr="00430602">
        <w:rPr>
          <w:rStyle w:val="Strong"/>
          <w:lang w:val="en-US"/>
        </w:rPr>
        <w:t>INSERT TABLE 3</w:t>
      </w:r>
    </w:p>
    <w:p w14:paraId="16F49D8A" w14:textId="5F07127C" w:rsidR="00E34A73" w:rsidRPr="00E34A73" w:rsidRDefault="00B568A5" w:rsidP="00E34A73">
      <w:pPr>
        <w:pStyle w:val="Heading1"/>
        <w:numPr>
          <w:ilvl w:val="0"/>
          <w:numId w:val="37"/>
        </w:numPr>
        <w:rPr>
          <w:lang w:val="en-US"/>
        </w:rPr>
      </w:pPr>
      <w:r>
        <w:rPr>
          <w:rStyle w:val="SubtleEmphasis"/>
          <w:i w:val="0"/>
          <w:iCs w:val="0"/>
          <w:lang w:val="en-US"/>
        </w:rPr>
        <w:t>E</w:t>
      </w:r>
      <w:r w:rsidR="0028531E" w:rsidRPr="0028531E">
        <w:rPr>
          <w:rStyle w:val="SubtleEmphasis"/>
          <w:i w:val="0"/>
          <w:iCs w:val="0"/>
          <w:lang w:val="en-US"/>
        </w:rPr>
        <w:t xml:space="preserve">mployment </w:t>
      </w:r>
      <w:r w:rsidR="00E03AB9">
        <w:rPr>
          <w:rStyle w:val="SubtleEmphasis"/>
          <w:i w:val="0"/>
          <w:iCs w:val="0"/>
          <w:lang w:val="en-US"/>
        </w:rPr>
        <w:t>estimations</w:t>
      </w:r>
    </w:p>
    <w:p w14:paraId="0DBB5890" w14:textId="38EF18BF" w:rsidR="0012391D" w:rsidRPr="0028531E" w:rsidRDefault="00E34A73" w:rsidP="000525D7">
      <w:pPr>
        <w:rPr>
          <w:lang w:val="en-US"/>
        </w:rPr>
      </w:pPr>
      <w:r>
        <w:rPr>
          <w:lang w:val="en-US"/>
        </w:rPr>
        <w:lastRenderedPageBreak/>
        <w:t>W</w:t>
      </w:r>
      <w:r w:rsidR="0012391D" w:rsidRPr="0028531E">
        <w:rPr>
          <w:lang w:val="en-US"/>
        </w:rPr>
        <w:t xml:space="preserve">e are interested in identifying differences in employment controlling at the same time for differences across age categories, educational attainment, country of birth and marital status. For this purpose, we use the </w:t>
      </w:r>
      <w:r w:rsidR="004004B0">
        <w:rPr>
          <w:lang w:val="en-US"/>
        </w:rPr>
        <w:t xml:space="preserve">representative </w:t>
      </w:r>
      <w:r w:rsidR="0012391D" w:rsidRPr="0028531E">
        <w:rPr>
          <w:lang w:val="en-US"/>
        </w:rPr>
        <w:t>EU-LFS micro-data</w:t>
      </w:r>
      <w:r w:rsidR="004004B0">
        <w:rPr>
          <w:lang w:val="en-US"/>
        </w:rPr>
        <w:t xml:space="preserve"> </w:t>
      </w:r>
      <w:r w:rsidR="0012391D" w:rsidRPr="0028531E">
        <w:rPr>
          <w:lang w:val="en-US"/>
        </w:rPr>
        <w:t xml:space="preserve">to estimate probabilistic models in which the dependent variable is to be employed or not, and as explanatory variables binary variables representing age </w:t>
      </w:r>
      <w:r w:rsidR="001170A2">
        <w:rPr>
          <w:lang w:val="en-US"/>
        </w:rPr>
        <w:t>groups</w:t>
      </w:r>
      <w:r w:rsidR="0012391D" w:rsidRPr="0028531E">
        <w:rPr>
          <w:lang w:val="en-US"/>
        </w:rPr>
        <w:t>, educational attainment, country of birth</w:t>
      </w:r>
      <w:r w:rsidR="00476B7A">
        <w:rPr>
          <w:lang w:val="en-US"/>
        </w:rPr>
        <w:t xml:space="preserve"> and marital status</w:t>
      </w:r>
      <w:r w:rsidR="0012391D" w:rsidRPr="0028531E">
        <w:rPr>
          <w:lang w:val="en-US"/>
        </w:rPr>
        <w:t xml:space="preserve">. </w:t>
      </w:r>
    </w:p>
    <w:p w14:paraId="2EB9370E" w14:textId="763DAF2F" w:rsidR="001C3989" w:rsidRPr="0028531E" w:rsidRDefault="00540FB8" w:rsidP="000525D7">
      <w:pPr>
        <w:rPr>
          <w:lang w:val="en-US"/>
        </w:rPr>
      </w:pPr>
      <w:r w:rsidRPr="0028531E">
        <w:rPr>
          <w:lang w:val="en-US"/>
        </w:rPr>
        <w:t>E</w:t>
      </w:r>
      <w:r w:rsidR="00E45EA1" w:rsidRPr="0028531E">
        <w:rPr>
          <w:lang w:val="en-US"/>
        </w:rPr>
        <w:t>U-</w:t>
      </w:r>
      <w:r w:rsidRPr="0028531E">
        <w:rPr>
          <w:lang w:val="en-US"/>
        </w:rPr>
        <w:t xml:space="preserve">LFS micro-data contains detailed individuals’ information on labor market participation for a representative sample of the population on a yearly basis. </w:t>
      </w:r>
      <w:r w:rsidR="00B4102B" w:rsidRPr="0028531E">
        <w:rPr>
          <w:lang w:val="en-US"/>
        </w:rPr>
        <w:t xml:space="preserve">We rely on the EU-LFS micro-data and econometric tools to identify potential changes in </w:t>
      </w:r>
      <w:r w:rsidR="00965BE7">
        <w:rPr>
          <w:lang w:val="en-US"/>
        </w:rPr>
        <w:t>ER</w:t>
      </w:r>
      <w:r w:rsidR="00B4102B" w:rsidRPr="0028531E">
        <w:rPr>
          <w:lang w:val="en-US"/>
        </w:rPr>
        <w:t>s across periods</w:t>
      </w:r>
      <w:r w:rsidR="00796733" w:rsidRPr="0028531E">
        <w:rPr>
          <w:lang w:val="en-US"/>
        </w:rPr>
        <w:t>,</w:t>
      </w:r>
      <w:r w:rsidR="00B4102B" w:rsidRPr="0028531E">
        <w:rPr>
          <w:lang w:val="en-US"/>
        </w:rPr>
        <w:t xml:space="preserve"> paying attention to differences between the targeted age</w:t>
      </w:r>
      <w:r w:rsidR="001170A2">
        <w:rPr>
          <w:lang w:val="en-US"/>
        </w:rPr>
        <w:t xml:space="preserve"> group</w:t>
      </w:r>
      <w:r w:rsidR="00B4102B" w:rsidRPr="0028531E">
        <w:rPr>
          <w:lang w:val="en-US"/>
        </w:rPr>
        <w:t xml:space="preserve">s </w:t>
      </w:r>
      <w:r w:rsidR="009A6C50" w:rsidRPr="0028531E">
        <w:rPr>
          <w:lang w:val="en-US"/>
        </w:rPr>
        <w:t>(</w:t>
      </w:r>
      <w:r w:rsidR="006924E1" w:rsidRPr="0028531E">
        <w:rPr>
          <w:lang w:val="en-US"/>
        </w:rPr>
        <w:t>50-54,</w:t>
      </w:r>
      <w:r w:rsidR="009A6C50" w:rsidRPr="0028531E">
        <w:rPr>
          <w:lang w:val="en-US"/>
        </w:rPr>
        <w:t>)</w:t>
      </w:r>
      <w:r w:rsidR="006924E1" w:rsidRPr="0028531E">
        <w:rPr>
          <w:lang w:val="en-US"/>
        </w:rPr>
        <w:t xml:space="preserve"> </w:t>
      </w:r>
      <w:r w:rsidR="00B4102B" w:rsidRPr="0028531E">
        <w:rPr>
          <w:lang w:val="en-US"/>
        </w:rPr>
        <w:t>55</w:t>
      </w:r>
      <w:r w:rsidR="006924E1" w:rsidRPr="0028531E">
        <w:rPr>
          <w:lang w:val="en-US"/>
        </w:rPr>
        <w:t>-</w:t>
      </w:r>
      <w:r w:rsidR="00B4102B" w:rsidRPr="0028531E">
        <w:rPr>
          <w:lang w:val="en-US"/>
        </w:rPr>
        <w:t>59 and 60</w:t>
      </w:r>
      <w:r w:rsidR="006924E1" w:rsidRPr="0028531E">
        <w:rPr>
          <w:lang w:val="en-US"/>
        </w:rPr>
        <w:t>-</w:t>
      </w:r>
      <w:r w:rsidR="00B4102B" w:rsidRPr="0028531E">
        <w:rPr>
          <w:lang w:val="en-US"/>
        </w:rPr>
        <w:t xml:space="preserve">64 compared with the </w:t>
      </w:r>
      <w:r w:rsidR="001C3989" w:rsidRPr="0028531E">
        <w:rPr>
          <w:lang w:val="en-US"/>
        </w:rPr>
        <w:t xml:space="preserve">benchmark </w:t>
      </w:r>
      <w:r w:rsidR="001170A2">
        <w:rPr>
          <w:lang w:val="en-US"/>
        </w:rPr>
        <w:t xml:space="preserve">group </w:t>
      </w:r>
      <w:r w:rsidR="001C3989" w:rsidRPr="0028531E">
        <w:rPr>
          <w:lang w:val="en-US"/>
        </w:rPr>
        <w:t xml:space="preserve">aged </w:t>
      </w:r>
      <w:r w:rsidR="0044567C">
        <w:rPr>
          <w:lang w:val="en-US"/>
        </w:rPr>
        <w:t>25</w:t>
      </w:r>
      <w:r w:rsidR="006924E1" w:rsidRPr="0028531E">
        <w:rPr>
          <w:lang w:val="en-US"/>
        </w:rPr>
        <w:t>-</w:t>
      </w:r>
      <w:r w:rsidR="00B4102B" w:rsidRPr="0028531E">
        <w:rPr>
          <w:lang w:val="en-US"/>
        </w:rPr>
        <w:t>49.</w:t>
      </w:r>
      <w:r w:rsidR="00E34A73">
        <w:rPr>
          <w:rStyle w:val="FootnoteReference"/>
          <w:lang w:val="en-US"/>
        </w:rPr>
        <w:footnoteReference w:id="8"/>
      </w:r>
      <w:r w:rsidR="00B4102B" w:rsidRPr="0028531E">
        <w:rPr>
          <w:lang w:val="en-US"/>
        </w:rPr>
        <w:t xml:space="preserve"> </w:t>
      </w:r>
    </w:p>
    <w:p w14:paraId="71C59AE5" w14:textId="361A7FD9" w:rsidR="00071157" w:rsidRPr="0028531E" w:rsidRDefault="00B4102B" w:rsidP="000525D7">
      <w:pPr>
        <w:rPr>
          <w:lang w:val="en-US"/>
        </w:rPr>
      </w:pPr>
      <w:r w:rsidRPr="0028531E">
        <w:rPr>
          <w:lang w:val="en-US"/>
        </w:rPr>
        <w:t>W</w:t>
      </w:r>
      <w:r w:rsidR="001C3989" w:rsidRPr="0028531E">
        <w:rPr>
          <w:lang w:val="en-US"/>
        </w:rPr>
        <w:t xml:space="preserve">e </w:t>
      </w:r>
      <w:r w:rsidRPr="0028531E">
        <w:rPr>
          <w:lang w:val="en-US"/>
        </w:rPr>
        <w:t xml:space="preserve">test econometrically </w:t>
      </w:r>
      <w:r w:rsidR="001C3989" w:rsidRPr="0028531E">
        <w:rPr>
          <w:lang w:val="en-US"/>
        </w:rPr>
        <w:t xml:space="preserve">to which degree </w:t>
      </w:r>
      <w:r w:rsidRPr="0028531E">
        <w:rPr>
          <w:lang w:val="en-US"/>
        </w:rPr>
        <w:t xml:space="preserve">differences in ER levels between </w:t>
      </w:r>
      <w:r w:rsidR="001170A2">
        <w:rPr>
          <w:lang w:val="en-US"/>
        </w:rPr>
        <w:t xml:space="preserve">age groups </w:t>
      </w:r>
      <w:r w:rsidRPr="0028531E">
        <w:rPr>
          <w:lang w:val="en-US"/>
        </w:rPr>
        <w:t xml:space="preserve">are significant across periods. </w:t>
      </w:r>
      <w:r w:rsidR="001C3989" w:rsidRPr="0028531E">
        <w:rPr>
          <w:lang w:val="en-US"/>
        </w:rPr>
        <w:t xml:space="preserve">Considering </w:t>
      </w:r>
      <w:r w:rsidR="001170A2">
        <w:rPr>
          <w:lang w:val="en-US"/>
        </w:rPr>
        <w:t xml:space="preserve">those </w:t>
      </w:r>
      <w:r w:rsidR="001C3989" w:rsidRPr="0028531E">
        <w:rPr>
          <w:lang w:val="en-US"/>
        </w:rPr>
        <w:t xml:space="preserve">aged </w:t>
      </w:r>
      <w:r w:rsidR="0044567C">
        <w:rPr>
          <w:lang w:val="en-US"/>
        </w:rPr>
        <w:t>25</w:t>
      </w:r>
      <w:r w:rsidR="0044567C" w:rsidRPr="0028531E">
        <w:rPr>
          <w:lang w:val="en-US"/>
        </w:rPr>
        <w:t xml:space="preserve"> </w:t>
      </w:r>
      <w:r w:rsidRPr="0028531E">
        <w:rPr>
          <w:lang w:val="en-US"/>
        </w:rPr>
        <w:t xml:space="preserve">to 49 </w:t>
      </w:r>
      <w:r w:rsidR="001C3989" w:rsidRPr="0028531E">
        <w:rPr>
          <w:lang w:val="en-US"/>
        </w:rPr>
        <w:t xml:space="preserve">as </w:t>
      </w:r>
      <w:r w:rsidRPr="0028531E">
        <w:rPr>
          <w:lang w:val="en-US"/>
        </w:rPr>
        <w:t>the counterfactual, we interpret that estimated marginal changes in ER, with respect to the counterfactual</w:t>
      </w:r>
      <w:r w:rsidR="001C3989" w:rsidRPr="0028531E">
        <w:rPr>
          <w:lang w:val="en-US"/>
        </w:rPr>
        <w:t xml:space="preserve"> as</w:t>
      </w:r>
      <w:r w:rsidRPr="0028531E">
        <w:rPr>
          <w:lang w:val="en-US"/>
        </w:rPr>
        <w:t xml:space="preserve"> the consequence of reforms undertaken</w:t>
      </w:r>
      <w:r w:rsidR="001C3989" w:rsidRPr="0028531E">
        <w:rPr>
          <w:lang w:val="en-US"/>
        </w:rPr>
        <w:t xml:space="preserve">. </w:t>
      </w:r>
      <w:r w:rsidR="00F81DCF" w:rsidRPr="0028531E">
        <w:rPr>
          <w:lang w:val="en-US"/>
        </w:rPr>
        <w:t xml:space="preserve">Equation (1) depicts the </w:t>
      </w:r>
      <w:r w:rsidR="00796733" w:rsidRPr="0028531E">
        <w:rPr>
          <w:lang w:val="en-US"/>
        </w:rPr>
        <w:t xml:space="preserve">general </w:t>
      </w:r>
      <w:r w:rsidR="00F81DCF" w:rsidRPr="0028531E">
        <w:rPr>
          <w:lang w:val="en-US"/>
        </w:rPr>
        <w:t xml:space="preserve">relation we </w:t>
      </w:r>
      <w:r w:rsidR="001C3989" w:rsidRPr="0028531E">
        <w:rPr>
          <w:lang w:val="en-US"/>
        </w:rPr>
        <w:t>estimate</w:t>
      </w:r>
      <w:r w:rsidR="00F81DCF" w:rsidRPr="0028531E">
        <w:rPr>
          <w:lang w:val="en-US"/>
        </w:rPr>
        <w:t xml:space="preserve">. It assumes that the probability of individual </w:t>
      </w:r>
      <w:r w:rsidR="00F81DCF" w:rsidRPr="0028531E">
        <w:rPr>
          <w:i/>
          <w:lang w:val="en-US"/>
        </w:rPr>
        <w:t>i</w:t>
      </w:r>
      <w:r w:rsidR="00F81DCF" w:rsidRPr="0028531E">
        <w:rPr>
          <w:lang w:val="en-US"/>
        </w:rPr>
        <w:t xml:space="preserve"> to be in employment in year </w:t>
      </w:r>
      <w:r w:rsidR="00F81DCF" w:rsidRPr="0028531E">
        <w:rPr>
          <w:i/>
          <w:lang w:val="en-US"/>
        </w:rPr>
        <w:t>t</w:t>
      </w:r>
      <w:r w:rsidR="00F81DCF" w:rsidRPr="0028531E">
        <w:rPr>
          <w:lang w:val="en-US"/>
        </w:rPr>
        <w:t xml:space="preserve"> is the expectation of </w:t>
      </w:r>
      <w:r w:rsidR="00F81DCF" w:rsidRPr="0028531E">
        <w:rPr>
          <w:position w:val="-12"/>
          <w:lang w:val="en-US"/>
        </w:rPr>
        <w:object w:dxaOrig="960" w:dyaOrig="360" w14:anchorId="53227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7.25pt" o:ole="">
            <v:imagedata r:id="rId10" o:title=""/>
          </v:shape>
          <o:OLEObject Type="Embed" ProgID="Equation.3" ShapeID="_x0000_i1025" DrawAspect="Content" ObjectID="_1533125573" r:id="rId11"/>
        </w:object>
      </w:r>
      <w:r w:rsidR="00F81DCF" w:rsidRPr="0028531E">
        <w:rPr>
          <w:lang w:val="en-US"/>
        </w:rPr>
        <w:t xml:space="preserve"> conditional </w:t>
      </w:r>
      <w:proofErr w:type="gramStart"/>
      <w:r w:rsidR="00F81DCF" w:rsidRPr="0028531E">
        <w:rPr>
          <w:lang w:val="en-US"/>
        </w:rPr>
        <w:t xml:space="preserve">on </w:t>
      </w:r>
      <w:proofErr w:type="gramEnd"/>
      <w:r w:rsidR="00F81DCF" w:rsidRPr="0028531E">
        <w:rPr>
          <w:position w:val="-12"/>
          <w:lang w:val="en-US"/>
        </w:rPr>
        <w:object w:dxaOrig="360" w:dyaOrig="360" w14:anchorId="6B6B1C4A">
          <v:shape id="_x0000_i1026" type="#_x0000_t75" style="width:17.25pt;height:17.25pt" o:ole="">
            <v:imagedata r:id="rId12" o:title=""/>
          </v:shape>
          <o:OLEObject Type="Embed" ProgID="Equation.3" ShapeID="_x0000_i1026" DrawAspect="Content" ObjectID="_1533125574" r:id="rId13"/>
        </w:object>
      </w:r>
      <w:r w:rsidR="00F81DCF" w:rsidRPr="0028531E">
        <w:rPr>
          <w:lang w:val="en-US"/>
        </w:rPr>
        <w:t xml:space="preserve">, a transformation of a set of explanatory variables. In this case, </w:t>
      </w:r>
      <w:r w:rsidR="001C3989" w:rsidRPr="0028531E">
        <w:rPr>
          <w:lang w:val="en-US"/>
        </w:rPr>
        <w:t xml:space="preserve">we use a probit model: </w:t>
      </w:r>
      <w:r w:rsidR="00F81DCF" w:rsidRPr="0028531E">
        <w:rPr>
          <w:lang w:val="en-US"/>
        </w:rPr>
        <w:t xml:space="preserve">the transformation function </w:t>
      </w:r>
      <w:r w:rsidR="001D1156" w:rsidRPr="0028531E">
        <w:rPr>
          <w:position w:val="-12"/>
          <w:lang w:val="en-US"/>
        </w:rPr>
        <w:object w:dxaOrig="360" w:dyaOrig="360" w14:anchorId="639747DE">
          <v:shape id="_x0000_i1027" type="#_x0000_t75" style="width:17.25pt;height:17.25pt" o:ole="">
            <v:imagedata r:id="rId12" o:title=""/>
          </v:shape>
          <o:OLEObject Type="Embed" ProgID="Equation.3" ShapeID="_x0000_i1027" DrawAspect="Content" ObjectID="_1533125575" r:id="rId14"/>
        </w:object>
      </w:r>
      <w:r w:rsidR="00F81DCF" w:rsidRPr="0028531E">
        <w:rPr>
          <w:lang w:val="en-US"/>
        </w:rPr>
        <w:t xml:space="preserve">is assumed to be the cumulative standard normal distribution </w:t>
      </w:r>
      <w:r w:rsidR="001C3989" w:rsidRPr="0028531E">
        <w:rPr>
          <w:lang w:val="en-US"/>
        </w:rPr>
        <w:t>function</w:t>
      </w:r>
      <w:r w:rsidR="00F81DCF" w:rsidRPr="0028531E">
        <w:rPr>
          <w:position w:val="-10"/>
          <w:lang w:val="en-US"/>
        </w:rPr>
        <w:object w:dxaOrig="420" w:dyaOrig="340" w14:anchorId="07293C92">
          <v:shape id="_x0000_i1028" type="#_x0000_t75" style="width:22.4pt;height:16.8pt" o:ole="">
            <v:imagedata r:id="rId15" o:title=""/>
          </v:shape>
          <o:OLEObject Type="Embed" ProgID="Equation.3" ShapeID="_x0000_i1028" DrawAspect="Content" ObjectID="_1533125576" r:id="rId16"/>
        </w:object>
      </w:r>
      <w:r w:rsidR="00F81DCF" w:rsidRPr="0028531E">
        <w:rPr>
          <w:lang w:val="en-US"/>
        </w:rPr>
        <w:t xml:space="preserve"> and the explanatory variable</w:t>
      </w:r>
      <w:r w:rsidR="001D1156" w:rsidRPr="0028531E">
        <w:rPr>
          <w:lang w:val="en-US"/>
        </w:rPr>
        <w:t>s</w:t>
      </w:r>
      <w:r w:rsidR="00F81DCF" w:rsidRPr="0028531E">
        <w:rPr>
          <w:lang w:val="en-US"/>
        </w:rPr>
        <w:t xml:space="preserve"> individuals’ characteristics</w:t>
      </w:r>
      <w:r w:rsidR="00DD448E" w:rsidRPr="0028531E">
        <w:rPr>
          <w:lang w:val="en-US"/>
        </w:rPr>
        <w:t>, age, education</w:t>
      </w:r>
      <w:r w:rsidR="00192880">
        <w:rPr>
          <w:lang w:val="en-US"/>
        </w:rPr>
        <w:t>,</w:t>
      </w:r>
      <w:r w:rsidR="00DD448E" w:rsidRPr="0028531E">
        <w:rPr>
          <w:lang w:val="en-US"/>
        </w:rPr>
        <w:t xml:space="preserve"> country of birth</w:t>
      </w:r>
      <w:r w:rsidR="00AB418F" w:rsidRPr="0028531E">
        <w:rPr>
          <w:lang w:val="en-US"/>
        </w:rPr>
        <w:t xml:space="preserve"> and marital status</w:t>
      </w:r>
      <w:r w:rsidR="00DD448E" w:rsidRPr="0028531E">
        <w:rPr>
          <w:lang w:val="en-US"/>
        </w:rPr>
        <w:t>, represented by dummy variables:</w:t>
      </w:r>
      <w:r w:rsidR="00955E65" w:rsidRPr="0028531E">
        <w:rPr>
          <w:rStyle w:val="FootnoteReference"/>
          <w:rFonts w:ascii="Times New Roman" w:hAnsi="Times New Roman" w:cs="Times New Roman"/>
          <w:lang w:val="en-US"/>
        </w:rPr>
        <w:footnoteReference w:id="9"/>
      </w:r>
      <w:r w:rsidR="00A14674" w:rsidRPr="0028531E">
        <w:rPr>
          <w:lang w:val="en-US"/>
        </w:rPr>
        <w:t xml:space="preserve"> </w:t>
      </w:r>
    </w:p>
    <w:p w14:paraId="363C4D20" w14:textId="332B702A" w:rsidR="00E9016C" w:rsidRPr="0028531E" w:rsidRDefault="006932E0" w:rsidP="000525D7">
      <w:pPr>
        <w:rPr>
          <w:lang w:val="en-US"/>
        </w:rPr>
      </w:pPr>
      <w:r w:rsidRPr="0028531E">
        <w:rPr>
          <w:position w:val="-32"/>
          <w:lang w:val="en-US"/>
        </w:rPr>
        <w:object w:dxaOrig="7600" w:dyaOrig="760" w14:anchorId="10014FBE">
          <v:shape id="_x0000_i1029" type="#_x0000_t75" style="width:381.15pt;height:37.95pt" o:ole="">
            <v:imagedata r:id="rId17" o:title=""/>
          </v:shape>
          <o:OLEObject Type="Embed" ProgID="Equation.DSMT4" ShapeID="_x0000_i1029" DrawAspect="Content" ObjectID="_1533125577" r:id="rId18"/>
        </w:object>
      </w:r>
      <w:r w:rsidR="00DD448E" w:rsidRPr="0028531E">
        <w:rPr>
          <w:lang w:val="en-US"/>
        </w:rPr>
        <w:t>,</w:t>
      </w:r>
      <w:r w:rsidR="00C950D7" w:rsidRPr="0028531E">
        <w:rPr>
          <w:lang w:val="en-US"/>
        </w:rPr>
        <w:tab/>
        <w:t>(1)</w:t>
      </w:r>
    </w:p>
    <w:p w14:paraId="6480D42F" w14:textId="344E9BA2" w:rsidR="009A6C50" w:rsidRPr="0028531E" w:rsidRDefault="00DD448E" w:rsidP="000525D7">
      <w:pPr>
        <w:rPr>
          <w:lang w:val="en-US"/>
        </w:rPr>
      </w:pPr>
      <w:r w:rsidRPr="0028531E">
        <w:rPr>
          <w:lang w:val="en-US"/>
        </w:rPr>
        <w:t xml:space="preserve">where </w:t>
      </w:r>
      <w:r w:rsidR="006932E0" w:rsidRPr="0028531E">
        <w:rPr>
          <w:position w:val="-14"/>
          <w:lang w:val="en-US"/>
        </w:rPr>
        <w:object w:dxaOrig="499" w:dyaOrig="380" w14:anchorId="7DD20FF5">
          <v:shape id="_x0000_i1030" type="#_x0000_t75" style="width:25.45pt;height:18.95pt" o:ole="">
            <v:imagedata r:id="rId19" o:title=""/>
          </v:shape>
          <o:OLEObject Type="Embed" ProgID="Equation.DSMT4" ShapeID="_x0000_i1030" DrawAspect="Content" ObjectID="_1533125578" r:id="rId20"/>
        </w:object>
      </w:r>
      <w:r w:rsidR="001D1156" w:rsidRPr="0028531E">
        <w:rPr>
          <w:lang w:val="en-US"/>
        </w:rPr>
        <w:t xml:space="preserve"> indicates the age </w:t>
      </w:r>
      <w:r w:rsidR="006932E0" w:rsidRPr="0028531E">
        <w:rPr>
          <w:lang w:val="en-US"/>
        </w:rPr>
        <w:t>category</w:t>
      </w:r>
      <w:r w:rsidR="00F81DCF" w:rsidRPr="0028531E">
        <w:rPr>
          <w:lang w:val="en-US"/>
        </w:rPr>
        <w:t xml:space="preserve">, with </w:t>
      </w:r>
      <w:r w:rsidR="00F81DCF" w:rsidRPr="0028531E">
        <w:rPr>
          <w:position w:val="-10"/>
          <w:lang w:val="en-US"/>
        </w:rPr>
        <w:object w:dxaOrig="1200" w:dyaOrig="320" w14:anchorId="7EBB2389">
          <v:shape id="_x0000_i1031" type="#_x0000_t75" style="width:60.8pt;height:16.8pt" o:ole="">
            <v:imagedata r:id="rId21" o:title=""/>
          </v:shape>
          <o:OLEObject Type="Embed" ProgID="Equation.3" ShapeID="_x0000_i1031" DrawAspect="Content" ObjectID="_1533125579" r:id="rId22"/>
        </w:object>
      </w:r>
      <w:r w:rsidR="00F81DCF" w:rsidRPr="0028531E">
        <w:rPr>
          <w:lang w:val="en-US"/>
        </w:rPr>
        <w:t xml:space="preserve"> corresponding to </w:t>
      </w:r>
      <w:r w:rsidR="001170A2">
        <w:rPr>
          <w:lang w:val="en-US"/>
        </w:rPr>
        <w:t>the successive group</w:t>
      </w:r>
      <w:r w:rsidR="001C3989" w:rsidRPr="0028531E">
        <w:rPr>
          <w:lang w:val="en-US"/>
        </w:rPr>
        <w:t xml:space="preserve">s </w:t>
      </w:r>
      <w:r w:rsidR="00440D2A">
        <w:rPr>
          <w:lang w:val="en-US"/>
        </w:rPr>
        <w:t>2</w:t>
      </w:r>
      <w:r w:rsidR="00440D2A" w:rsidRPr="0028531E">
        <w:rPr>
          <w:lang w:val="en-US"/>
        </w:rPr>
        <w:t>5</w:t>
      </w:r>
      <w:r w:rsidR="00F81DCF" w:rsidRPr="0028531E">
        <w:rPr>
          <w:lang w:val="en-US"/>
        </w:rPr>
        <w:t xml:space="preserve">-49, 50-54, 55-59 and 60-64, respectively; </w:t>
      </w:r>
      <w:r w:rsidR="006932E0" w:rsidRPr="0028531E">
        <w:rPr>
          <w:position w:val="-12"/>
          <w:lang w:val="en-US"/>
        </w:rPr>
        <w:object w:dxaOrig="499" w:dyaOrig="360" w14:anchorId="6C4F3095">
          <v:shape id="_x0000_i1032" type="#_x0000_t75" style="width:25.45pt;height:17.25pt" o:ole="">
            <v:imagedata r:id="rId23" o:title=""/>
          </v:shape>
          <o:OLEObject Type="Embed" ProgID="Equation.DSMT4" ShapeID="_x0000_i1032" DrawAspect="Content" ObjectID="_1533125580" r:id="rId24"/>
        </w:object>
      </w:r>
      <w:r w:rsidR="001D1156" w:rsidRPr="0028531E">
        <w:rPr>
          <w:lang w:val="en-US"/>
        </w:rPr>
        <w:t xml:space="preserve"> the</w:t>
      </w:r>
      <w:r w:rsidR="00F81DCF" w:rsidRPr="0028531E">
        <w:rPr>
          <w:lang w:val="en-US"/>
        </w:rPr>
        <w:t xml:space="preserve"> </w:t>
      </w:r>
      <w:r w:rsidRPr="0028531E">
        <w:rPr>
          <w:lang w:val="en-US"/>
        </w:rPr>
        <w:t>individual educational attainment</w:t>
      </w:r>
      <w:r w:rsidR="001C3989" w:rsidRPr="0028531E">
        <w:rPr>
          <w:lang w:val="en-US"/>
        </w:rPr>
        <w:t xml:space="preserve"> dummies</w:t>
      </w:r>
      <w:r w:rsidRPr="0028531E">
        <w:rPr>
          <w:lang w:val="en-US"/>
        </w:rPr>
        <w:t xml:space="preserve">, </w:t>
      </w:r>
      <w:r w:rsidR="00F81DCF" w:rsidRPr="0028531E">
        <w:rPr>
          <w:lang w:val="en-US"/>
        </w:rPr>
        <w:t xml:space="preserve">with  </w:t>
      </w:r>
      <w:r w:rsidR="00F81DCF" w:rsidRPr="0028531E">
        <w:rPr>
          <w:position w:val="-10"/>
          <w:lang w:val="en-US"/>
        </w:rPr>
        <w:object w:dxaOrig="960" w:dyaOrig="320" w14:anchorId="3507C109">
          <v:shape id="_x0000_i1033" type="#_x0000_t75" style="width:47.85pt;height:16.8pt" o:ole="">
            <v:imagedata r:id="rId25" o:title=""/>
          </v:shape>
          <o:OLEObject Type="Embed" ProgID="Equation.3" ShapeID="_x0000_i1033" DrawAspect="Content" ObjectID="_1533125581" r:id="rId26"/>
        </w:object>
      </w:r>
      <w:r w:rsidR="00F81DCF" w:rsidRPr="0028531E">
        <w:rPr>
          <w:lang w:val="en-US"/>
        </w:rPr>
        <w:t xml:space="preserve"> corresponding to </w:t>
      </w:r>
      <w:r w:rsidR="00235809" w:rsidRPr="0028531E">
        <w:rPr>
          <w:lang w:val="en-US"/>
        </w:rPr>
        <w:t>high (higher than secondary school)</w:t>
      </w:r>
      <w:r w:rsidR="00F81DCF" w:rsidRPr="0028531E">
        <w:rPr>
          <w:lang w:val="en-US"/>
        </w:rPr>
        <w:t xml:space="preserve">, medium (secondary school) and </w:t>
      </w:r>
      <w:r w:rsidR="00235809" w:rsidRPr="0028531E">
        <w:rPr>
          <w:lang w:val="en-US"/>
        </w:rPr>
        <w:t>low (primary school)</w:t>
      </w:r>
      <w:r w:rsidR="00192880">
        <w:rPr>
          <w:lang w:val="en-US"/>
        </w:rPr>
        <w:t xml:space="preserve"> </w:t>
      </w:r>
      <w:r w:rsidR="00F81DCF" w:rsidRPr="0028531E">
        <w:rPr>
          <w:lang w:val="en-US"/>
        </w:rPr>
        <w:t>levels</w:t>
      </w:r>
      <w:r w:rsidRPr="0028531E">
        <w:rPr>
          <w:lang w:val="en-US"/>
        </w:rPr>
        <w:t xml:space="preserve">, respectively; </w:t>
      </w:r>
      <w:r w:rsidR="006932E0" w:rsidRPr="0028531E">
        <w:rPr>
          <w:position w:val="-12"/>
          <w:lang w:val="en-US"/>
        </w:rPr>
        <w:object w:dxaOrig="580" w:dyaOrig="360" w14:anchorId="05854852">
          <v:shape id="_x0000_i1034" type="#_x0000_t75" style="width:28pt;height:17.25pt" o:ole="">
            <v:imagedata r:id="rId27" o:title=""/>
          </v:shape>
          <o:OLEObject Type="Embed" ProgID="Equation.DSMT4" ShapeID="_x0000_i1034" DrawAspect="Content" ObjectID="_1533125582" r:id="rId28"/>
        </w:object>
      </w:r>
      <w:r w:rsidR="00F81DCF" w:rsidRPr="0028531E">
        <w:rPr>
          <w:lang w:val="en-US"/>
        </w:rPr>
        <w:t xml:space="preserve"> the country of birth, with </w:t>
      </w:r>
      <w:r w:rsidR="00F81DCF" w:rsidRPr="0028531E">
        <w:rPr>
          <w:position w:val="-10"/>
          <w:lang w:val="en-US"/>
        </w:rPr>
        <w:object w:dxaOrig="700" w:dyaOrig="320" w14:anchorId="6534214B">
          <v:shape id="_x0000_i1035" type="#_x0000_t75" style="width:34.5pt;height:16.8pt" o:ole="">
            <v:imagedata r:id="rId29" o:title=""/>
          </v:shape>
          <o:OLEObject Type="Embed" ProgID="Equation.3" ShapeID="_x0000_i1035" DrawAspect="Content" ObjectID="_1533125583" r:id="rId30"/>
        </w:object>
      </w:r>
      <w:r w:rsidR="00F81DCF" w:rsidRPr="0028531E">
        <w:rPr>
          <w:lang w:val="en-US"/>
        </w:rPr>
        <w:t xml:space="preserve">indicating if the individual </w:t>
      </w:r>
      <w:r w:rsidRPr="0028531E">
        <w:rPr>
          <w:lang w:val="en-US"/>
        </w:rPr>
        <w:t xml:space="preserve">was born </w:t>
      </w:r>
      <w:r w:rsidR="00F81DCF" w:rsidRPr="0028531E">
        <w:rPr>
          <w:lang w:val="en-US"/>
        </w:rPr>
        <w:t xml:space="preserve">in the country </w:t>
      </w:r>
      <w:r w:rsidRPr="0028531E">
        <w:rPr>
          <w:lang w:val="en-US"/>
        </w:rPr>
        <w:t>she/he</w:t>
      </w:r>
      <w:r w:rsidR="00192880">
        <w:rPr>
          <w:lang w:val="en-US"/>
        </w:rPr>
        <w:t xml:space="preserve"> currently</w:t>
      </w:r>
      <w:r w:rsidRPr="0028531E">
        <w:rPr>
          <w:lang w:val="en-US"/>
        </w:rPr>
        <w:t xml:space="preserve"> lives</w:t>
      </w:r>
      <w:r w:rsidR="00192880">
        <w:rPr>
          <w:lang w:val="en-US"/>
        </w:rPr>
        <w:t xml:space="preserve"> in</w:t>
      </w:r>
      <w:r w:rsidR="00F81DCF" w:rsidRPr="0028531E">
        <w:rPr>
          <w:lang w:val="en-US"/>
        </w:rPr>
        <w:t xml:space="preserve"> (Belgium, France, Germany or </w:t>
      </w:r>
      <w:r w:rsidR="00E23AED">
        <w:rPr>
          <w:lang w:val="en-US"/>
        </w:rPr>
        <w:t>T</w:t>
      </w:r>
      <w:r w:rsidR="00F81DCF" w:rsidRPr="0028531E">
        <w:rPr>
          <w:lang w:val="en-US"/>
        </w:rPr>
        <w:t>he Netherlands) or was born abroad, respectively</w:t>
      </w:r>
      <w:r w:rsidR="00F81DCF" w:rsidRPr="0028531E">
        <w:rPr>
          <w:rStyle w:val="FootnoteReference"/>
          <w:rFonts w:ascii="Times New Roman" w:hAnsi="Times New Roman" w:cs="Times New Roman"/>
          <w:lang w:val="en-US"/>
        </w:rPr>
        <w:footnoteReference w:id="10"/>
      </w:r>
      <w:r w:rsidR="00D85168" w:rsidRPr="0028531E">
        <w:rPr>
          <w:lang w:val="en-US"/>
        </w:rPr>
        <w:t xml:space="preserve">; and </w:t>
      </w:r>
      <w:r w:rsidR="006932E0" w:rsidRPr="0028531E">
        <w:rPr>
          <w:position w:val="-12"/>
          <w:lang w:val="en-US"/>
        </w:rPr>
        <w:object w:dxaOrig="540" w:dyaOrig="360" w14:anchorId="36B93890">
          <v:shape id="_x0000_i1036" type="#_x0000_t75" style="width:27.15pt;height:17.25pt" o:ole="">
            <v:imagedata r:id="rId31" o:title=""/>
          </v:shape>
          <o:OLEObject Type="Embed" ProgID="Equation.DSMT4" ShapeID="_x0000_i1036" DrawAspect="Content" ObjectID="_1533125584" r:id="rId32"/>
        </w:object>
      </w:r>
      <w:r w:rsidR="00D85168" w:rsidRPr="0028531E">
        <w:rPr>
          <w:lang w:val="en-US"/>
        </w:rPr>
        <w:t>the marital status</w:t>
      </w:r>
      <w:r w:rsidR="006924E1" w:rsidRPr="0028531E">
        <w:rPr>
          <w:lang w:val="en-US"/>
        </w:rPr>
        <w:t xml:space="preserve"> dummies</w:t>
      </w:r>
      <w:r w:rsidR="00D85168" w:rsidRPr="0028531E">
        <w:rPr>
          <w:lang w:val="en-US"/>
        </w:rPr>
        <w:t xml:space="preserve">, with </w:t>
      </w:r>
      <w:r w:rsidR="00D85168" w:rsidRPr="0028531E">
        <w:rPr>
          <w:position w:val="-10"/>
          <w:lang w:val="en-US"/>
        </w:rPr>
        <w:object w:dxaOrig="1020" w:dyaOrig="320" w14:anchorId="56F240E6">
          <v:shape id="_x0000_i1037" type="#_x0000_t75" style="width:52.6pt;height:16.8pt" o:ole="">
            <v:imagedata r:id="rId33" o:title=""/>
          </v:shape>
          <o:OLEObject Type="Embed" ProgID="Equation.DSMT4" ShapeID="_x0000_i1037" DrawAspect="Content" ObjectID="_1533125585" r:id="rId34"/>
        </w:object>
      </w:r>
      <w:r w:rsidR="00D85168" w:rsidRPr="0028531E">
        <w:rPr>
          <w:lang w:val="en-US"/>
        </w:rPr>
        <w:t xml:space="preserve">indicating </w:t>
      </w:r>
      <w:r w:rsidR="00A26AA0" w:rsidRPr="0028531E">
        <w:rPr>
          <w:lang w:val="en-US"/>
        </w:rPr>
        <w:t>unmarried, married or widowed, respectively</w:t>
      </w:r>
      <w:r w:rsidR="001D1156" w:rsidRPr="0028531E">
        <w:rPr>
          <w:lang w:val="en-US"/>
        </w:rPr>
        <w:t>.</w:t>
      </w:r>
      <w:r w:rsidR="00E80446">
        <w:rPr>
          <w:rStyle w:val="FootnoteReference"/>
          <w:lang w:val="en-US"/>
        </w:rPr>
        <w:footnoteReference w:id="11"/>
      </w:r>
      <w:r w:rsidR="001D1156" w:rsidRPr="0028531E">
        <w:rPr>
          <w:lang w:val="en-US"/>
        </w:rPr>
        <w:t xml:space="preserve"> Finally,</w:t>
      </w:r>
      <w:r w:rsidR="00F81DCF" w:rsidRPr="0028531E">
        <w:rPr>
          <w:position w:val="-14"/>
          <w:lang w:val="en-US"/>
        </w:rPr>
        <w:object w:dxaOrig="820" w:dyaOrig="380" w14:anchorId="1BEE1A3B">
          <v:shape id="_x0000_i1038" type="#_x0000_t75" style="width:41.4pt;height:18.95pt" o:ole="">
            <v:imagedata r:id="rId35" o:title=""/>
          </v:shape>
          <o:OLEObject Type="Embed" ProgID="Equation.3" ShapeID="_x0000_i1038" DrawAspect="Content" ObjectID="_1533125586" r:id="rId36"/>
        </w:object>
      </w:r>
      <w:proofErr w:type="gramStart"/>
      <w:r w:rsidR="00AB418F" w:rsidRPr="0028531E">
        <w:rPr>
          <w:lang w:val="en-US"/>
        </w:rPr>
        <w:t>,</w:t>
      </w:r>
      <w:proofErr w:type="gramEnd"/>
      <w:r w:rsidR="00F81DCF" w:rsidRPr="0028531E">
        <w:rPr>
          <w:position w:val="-12"/>
          <w:lang w:val="en-US"/>
        </w:rPr>
        <w:object w:dxaOrig="220" w:dyaOrig="360" w14:anchorId="18711710">
          <v:shape id="_x0000_i1039" type="#_x0000_t75" style="width:11.2pt;height:17.25pt" o:ole="">
            <v:imagedata r:id="rId37" o:title=""/>
          </v:shape>
          <o:OLEObject Type="Embed" ProgID="Equation.3" ShapeID="_x0000_i1039" DrawAspect="Content" ObjectID="_1533125587" r:id="rId38"/>
        </w:object>
      </w:r>
      <w:r w:rsidR="00A26AA0" w:rsidRPr="0028531E">
        <w:rPr>
          <w:lang w:val="en-US"/>
        </w:rPr>
        <w:t xml:space="preserve"> </w:t>
      </w:r>
      <w:r w:rsidR="00D85168" w:rsidRPr="0028531E">
        <w:rPr>
          <w:lang w:val="en-US"/>
        </w:rPr>
        <w:t xml:space="preserve">and </w:t>
      </w:r>
      <w:r w:rsidR="00AB418F" w:rsidRPr="0028531E">
        <w:rPr>
          <w:position w:val="-12"/>
          <w:lang w:val="en-US"/>
        </w:rPr>
        <w:object w:dxaOrig="300" w:dyaOrig="360" w14:anchorId="4DF4D4C3">
          <v:shape id="_x0000_i1040" type="#_x0000_t75" style="width:16.8pt;height:17.25pt" o:ole="">
            <v:imagedata r:id="rId39" o:title=""/>
          </v:shape>
          <o:OLEObject Type="Embed" ProgID="Equation.DSMT4" ShapeID="_x0000_i1040" DrawAspect="Content" ObjectID="_1533125588" r:id="rId40"/>
        </w:object>
      </w:r>
      <w:r w:rsidR="00D85168" w:rsidRPr="0028531E">
        <w:rPr>
          <w:lang w:val="en-US"/>
        </w:rPr>
        <w:t xml:space="preserve"> </w:t>
      </w:r>
      <w:r w:rsidR="00F81DCF" w:rsidRPr="0028531E">
        <w:rPr>
          <w:lang w:val="en-US"/>
        </w:rPr>
        <w:t xml:space="preserve">are the parameters </w:t>
      </w:r>
      <w:r w:rsidRPr="0028531E">
        <w:rPr>
          <w:lang w:val="en-US"/>
        </w:rPr>
        <w:t>to be estimated</w:t>
      </w:r>
      <w:r w:rsidR="00257694" w:rsidRPr="0028531E">
        <w:rPr>
          <w:lang w:val="en-US"/>
        </w:rPr>
        <w:t xml:space="preserve"> for </w:t>
      </w:r>
      <w:r w:rsidR="00257694" w:rsidRPr="0028531E">
        <w:rPr>
          <w:i/>
          <w:lang w:val="en-US"/>
        </w:rPr>
        <w:t>j,k,l,m&gt;1</w:t>
      </w:r>
      <w:r w:rsidRPr="0028531E">
        <w:rPr>
          <w:lang w:val="en-US"/>
        </w:rPr>
        <w:t>.</w:t>
      </w:r>
    </w:p>
    <w:p w14:paraId="1810E1C0" w14:textId="5F9071AA" w:rsidR="0057177F" w:rsidRDefault="009A6C50" w:rsidP="000525D7">
      <w:pPr>
        <w:rPr>
          <w:lang w:val="en-US"/>
        </w:rPr>
      </w:pPr>
      <w:r w:rsidRPr="0028531E">
        <w:rPr>
          <w:lang w:val="en-US"/>
        </w:rPr>
        <w:t xml:space="preserve">Beyond these purely static estimates, our interest is also on </w:t>
      </w:r>
      <w:r w:rsidR="00997C73" w:rsidRPr="0028531E">
        <w:rPr>
          <w:lang w:val="en-US"/>
        </w:rPr>
        <w:t xml:space="preserve">how </w:t>
      </w:r>
      <w:r w:rsidRPr="0028531E">
        <w:rPr>
          <w:lang w:val="en-US"/>
        </w:rPr>
        <w:t xml:space="preserve">the </w:t>
      </w:r>
      <w:r w:rsidR="00997C73" w:rsidRPr="0028531E">
        <w:rPr>
          <w:lang w:val="en-US"/>
        </w:rPr>
        <w:t xml:space="preserve">ER </w:t>
      </w:r>
      <w:r w:rsidR="00052830" w:rsidRPr="0028531E">
        <w:rPr>
          <w:lang w:val="en-US"/>
        </w:rPr>
        <w:t xml:space="preserve">among </w:t>
      </w:r>
      <w:r w:rsidR="00C950D7" w:rsidRPr="0028531E">
        <w:rPr>
          <w:lang w:val="en-US"/>
        </w:rPr>
        <w:t>th</w:t>
      </w:r>
      <w:r w:rsidRPr="0028531E">
        <w:rPr>
          <w:lang w:val="en-US"/>
        </w:rPr>
        <w:t>ose</w:t>
      </w:r>
      <w:r w:rsidR="00C950D7" w:rsidRPr="0028531E">
        <w:rPr>
          <w:lang w:val="en-US"/>
        </w:rPr>
        <w:t xml:space="preserve"> </w:t>
      </w:r>
      <w:r w:rsidR="00431610" w:rsidRPr="0028531E">
        <w:rPr>
          <w:lang w:val="en-US"/>
        </w:rPr>
        <w:t>50</w:t>
      </w:r>
      <w:r w:rsidR="006924E1" w:rsidRPr="0028531E">
        <w:rPr>
          <w:lang w:val="en-US"/>
        </w:rPr>
        <w:t>-</w:t>
      </w:r>
      <w:r w:rsidR="00431610" w:rsidRPr="0028531E">
        <w:rPr>
          <w:lang w:val="en-US"/>
        </w:rPr>
        <w:t xml:space="preserve">54, </w:t>
      </w:r>
      <w:r w:rsidR="006924E1" w:rsidRPr="0028531E">
        <w:rPr>
          <w:lang w:val="en-US"/>
        </w:rPr>
        <w:t>55-59</w:t>
      </w:r>
      <w:r w:rsidR="00570F1F" w:rsidRPr="0028531E">
        <w:rPr>
          <w:lang w:val="en-US"/>
        </w:rPr>
        <w:t xml:space="preserve">, </w:t>
      </w:r>
      <w:r w:rsidR="00431610" w:rsidRPr="0028531E">
        <w:rPr>
          <w:lang w:val="en-US"/>
        </w:rPr>
        <w:t>and</w:t>
      </w:r>
      <w:r w:rsidR="00570F1F" w:rsidRPr="0028531E">
        <w:rPr>
          <w:lang w:val="en-US"/>
        </w:rPr>
        <w:t xml:space="preserve"> </w:t>
      </w:r>
      <w:r w:rsidR="006924E1" w:rsidRPr="0028531E">
        <w:rPr>
          <w:lang w:val="en-US"/>
        </w:rPr>
        <w:t>60-64</w:t>
      </w:r>
      <w:r w:rsidR="00997C73" w:rsidRPr="0028531E">
        <w:rPr>
          <w:lang w:val="en-US"/>
        </w:rPr>
        <w:t xml:space="preserve"> </w:t>
      </w:r>
      <w:r w:rsidR="00C950D7" w:rsidRPr="0028531E">
        <w:rPr>
          <w:lang w:val="en-US"/>
        </w:rPr>
        <w:t>evol</w:t>
      </w:r>
      <w:r w:rsidR="00BC51FC" w:rsidRPr="0028531E">
        <w:rPr>
          <w:lang w:val="en-US"/>
        </w:rPr>
        <w:t>v</w:t>
      </w:r>
      <w:r w:rsidR="00C950D7" w:rsidRPr="0028531E">
        <w:rPr>
          <w:lang w:val="en-US"/>
        </w:rPr>
        <w:t>e</w:t>
      </w:r>
      <w:r w:rsidR="00BC51FC" w:rsidRPr="0028531E">
        <w:rPr>
          <w:lang w:val="en-US"/>
        </w:rPr>
        <w:t>d</w:t>
      </w:r>
      <w:r w:rsidR="00997C73" w:rsidRPr="0028531E">
        <w:rPr>
          <w:lang w:val="en-US"/>
        </w:rPr>
        <w:t xml:space="preserve"> after 2001, compared with </w:t>
      </w:r>
      <w:r w:rsidRPr="0028531E">
        <w:rPr>
          <w:lang w:val="en-US"/>
        </w:rPr>
        <w:t xml:space="preserve">changes for the group </w:t>
      </w:r>
      <w:r w:rsidR="0044567C">
        <w:rPr>
          <w:lang w:val="en-US"/>
        </w:rPr>
        <w:t>25</w:t>
      </w:r>
      <w:r w:rsidRPr="0028531E">
        <w:rPr>
          <w:lang w:val="en-US"/>
        </w:rPr>
        <w:t>-49</w:t>
      </w:r>
      <w:r w:rsidR="00997C73" w:rsidRPr="0028531E">
        <w:rPr>
          <w:lang w:val="en-US"/>
        </w:rPr>
        <w:t>, our control group.</w:t>
      </w:r>
      <w:r w:rsidR="00796733" w:rsidRPr="0028531E">
        <w:rPr>
          <w:lang w:val="en-US"/>
        </w:rPr>
        <w:t xml:space="preserve"> </w:t>
      </w:r>
      <w:r w:rsidR="00BC51FC" w:rsidRPr="0028531E">
        <w:rPr>
          <w:lang w:val="en-US"/>
        </w:rPr>
        <w:t xml:space="preserve">For </w:t>
      </w:r>
      <w:r w:rsidR="00BC51FC" w:rsidRPr="0028531E">
        <w:rPr>
          <w:lang w:val="en-US"/>
        </w:rPr>
        <w:lastRenderedPageBreak/>
        <w:t xml:space="preserve">this purpose, </w:t>
      </w:r>
      <w:r w:rsidR="00BC1F4D" w:rsidRPr="0028531E">
        <w:rPr>
          <w:lang w:val="en-US"/>
        </w:rPr>
        <w:t>we estimate</w:t>
      </w:r>
      <w:r w:rsidR="00BC51FC" w:rsidRPr="0028531E">
        <w:rPr>
          <w:lang w:val="en-US"/>
        </w:rPr>
        <w:t xml:space="preserve"> for each country</w:t>
      </w:r>
      <w:r w:rsidR="001D1156" w:rsidRPr="0028531E">
        <w:rPr>
          <w:lang w:val="en-US"/>
        </w:rPr>
        <w:t>,</w:t>
      </w:r>
      <w:r w:rsidR="00BC51FC" w:rsidRPr="0028531E">
        <w:rPr>
          <w:lang w:val="en-US"/>
        </w:rPr>
        <w:t xml:space="preserve"> and</w:t>
      </w:r>
      <w:r w:rsidR="00BC1F4D" w:rsidRPr="0028531E">
        <w:rPr>
          <w:lang w:val="en-US"/>
        </w:rPr>
        <w:t xml:space="preserve"> for female and male separately</w:t>
      </w:r>
      <w:r w:rsidR="001D1156" w:rsidRPr="0028531E">
        <w:rPr>
          <w:lang w:val="en-US"/>
        </w:rPr>
        <w:t>,</w:t>
      </w:r>
      <w:r w:rsidR="00BC51FC" w:rsidRPr="0028531E">
        <w:rPr>
          <w:lang w:val="en-US"/>
        </w:rPr>
        <w:t xml:space="preserve"> a </w:t>
      </w:r>
      <w:r w:rsidR="00037ED7" w:rsidRPr="0028531E">
        <w:rPr>
          <w:lang w:val="en-US"/>
        </w:rPr>
        <w:t>single p</w:t>
      </w:r>
      <w:r w:rsidR="00BC51FC" w:rsidRPr="0028531E">
        <w:rPr>
          <w:lang w:val="en-US"/>
        </w:rPr>
        <w:t>robit model</w:t>
      </w:r>
      <w:r w:rsidR="00281D99" w:rsidRPr="0028531E">
        <w:rPr>
          <w:lang w:val="en-US"/>
        </w:rPr>
        <w:t xml:space="preserve"> allowing all the coefficients in equation (1) to vary over the three sub</w:t>
      </w:r>
      <w:r w:rsidR="00824C82" w:rsidRPr="0028531E">
        <w:rPr>
          <w:lang w:val="en-US"/>
        </w:rPr>
        <w:t>-</w:t>
      </w:r>
      <w:r w:rsidR="00281D99" w:rsidRPr="0028531E">
        <w:rPr>
          <w:lang w:val="en-US"/>
        </w:rPr>
        <w:t xml:space="preserve">periods in which we divided the whole period. </w:t>
      </w:r>
      <w:r w:rsidR="001D1156" w:rsidRPr="0028531E">
        <w:rPr>
          <w:lang w:val="en-US"/>
        </w:rPr>
        <w:t>However</w:t>
      </w:r>
      <w:r w:rsidR="00281D99" w:rsidRPr="0028531E">
        <w:rPr>
          <w:lang w:val="en-US"/>
        </w:rPr>
        <w:t>, in order to identify the impact of changes from period to period, and for presentation purposes, we proceed in two steps. I</w:t>
      </w:r>
      <w:r w:rsidR="00431610" w:rsidRPr="0028531E">
        <w:rPr>
          <w:lang w:val="en-US"/>
        </w:rPr>
        <w:t>n a first step</w:t>
      </w:r>
      <w:r w:rsidR="00281D99" w:rsidRPr="0028531E">
        <w:rPr>
          <w:lang w:val="en-US"/>
        </w:rPr>
        <w:t>, we estimated equation (</w:t>
      </w:r>
      <w:r w:rsidR="00673880" w:rsidRPr="0028531E">
        <w:rPr>
          <w:lang w:val="en-US"/>
        </w:rPr>
        <w:t>2</w:t>
      </w:r>
      <w:r w:rsidR="00281D99" w:rsidRPr="0028531E">
        <w:rPr>
          <w:lang w:val="en-US"/>
        </w:rPr>
        <w:t>)</w:t>
      </w:r>
      <w:r w:rsidR="00BC51FC" w:rsidRPr="0028531E">
        <w:rPr>
          <w:lang w:val="en-US"/>
        </w:rPr>
        <w:t xml:space="preserve"> for the period 1997 to 2006 making the distinction between </w:t>
      </w:r>
      <w:r w:rsidR="001D1156" w:rsidRPr="0028531E">
        <w:rPr>
          <w:lang w:val="en-US"/>
        </w:rPr>
        <w:t xml:space="preserve">the </w:t>
      </w:r>
      <w:r w:rsidR="00BC51FC" w:rsidRPr="0028531E">
        <w:rPr>
          <w:lang w:val="en-US"/>
        </w:rPr>
        <w:t>two sub p</w:t>
      </w:r>
      <w:r w:rsidR="001D1156" w:rsidRPr="0028531E">
        <w:rPr>
          <w:lang w:val="en-US"/>
        </w:rPr>
        <w:t>eriods</w:t>
      </w:r>
      <w:r w:rsidR="007D6712" w:rsidRPr="0028531E">
        <w:rPr>
          <w:lang w:val="en-US"/>
        </w:rPr>
        <w:t xml:space="preserve"> 1997-2001 and 2002-2006</w:t>
      </w:r>
      <w:r w:rsidR="00431610" w:rsidRPr="0028531E">
        <w:rPr>
          <w:lang w:val="en-US"/>
        </w:rPr>
        <w:t xml:space="preserve"> </w:t>
      </w:r>
      <w:r w:rsidR="001D1156" w:rsidRPr="0028531E">
        <w:rPr>
          <w:lang w:val="en-US"/>
        </w:rPr>
        <w:t xml:space="preserve">periods </w:t>
      </w:r>
      <w:r w:rsidR="00431610" w:rsidRPr="0028531E">
        <w:rPr>
          <w:lang w:val="en-US"/>
        </w:rPr>
        <w:t xml:space="preserve">and, in a second step </w:t>
      </w:r>
      <w:r w:rsidR="00281D99" w:rsidRPr="0028531E">
        <w:rPr>
          <w:lang w:val="en-US"/>
        </w:rPr>
        <w:t>we estimate equation (</w:t>
      </w:r>
      <w:r w:rsidR="00673880" w:rsidRPr="0028531E">
        <w:rPr>
          <w:lang w:val="en-US"/>
        </w:rPr>
        <w:t>3</w:t>
      </w:r>
      <w:r w:rsidR="00281D99" w:rsidRPr="0028531E">
        <w:rPr>
          <w:lang w:val="en-US"/>
        </w:rPr>
        <w:t>)</w:t>
      </w:r>
      <w:r w:rsidR="001D1156" w:rsidRPr="0028531E">
        <w:rPr>
          <w:lang w:val="en-US"/>
        </w:rPr>
        <w:t xml:space="preserve"> for the period 2002 to 2011</w:t>
      </w:r>
      <w:r w:rsidR="00281D99" w:rsidRPr="0028531E">
        <w:rPr>
          <w:lang w:val="en-US"/>
        </w:rPr>
        <w:t xml:space="preserve"> </w:t>
      </w:r>
      <w:r w:rsidR="001D1156" w:rsidRPr="0028531E">
        <w:rPr>
          <w:lang w:val="en-US"/>
        </w:rPr>
        <w:t xml:space="preserve">making the distinction </w:t>
      </w:r>
      <w:r w:rsidR="00431610" w:rsidRPr="0028531E">
        <w:rPr>
          <w:lang w:val="en-US"/>
        </w:rPr>
        <w:t>between</w:t>
      </w:r>
      <w:r w:rsidR="001C4663">
        <w:rPr>
          <w:lang w:val="en-US"/>
        </w:rPr>
        <w:t xml:space="preserve"> the</w:t>
      </w:r>
      <w:r w:rsidR="00431610" w:rsidRPr="0028531E">
        <w:rPr>
          <w:lang w:val="en-US"/>
        </w:rPr>
        <w:t xml:space="preserve"> 2002-2006 and 2007-2011 </w:t>
      </w:r>
      <w:r w:rsidR="001C4663">
        <w:rPr>
          <w:lang w:val="en-US"/>
        </w:rPr>
        <w:t>sub-</w:t>
      </w:r>
      <w:r w:rsidR="00431610" w:rsidRPr="0028531E">
        <w:rPr>
          <w:lang w:val="en-US"/>
        </w:rPr>
        <w:t>periods</w:t>
      </w:r>
      <w:r w:rsidR="00281D99" w:rsidRPr="0028531E">
        <w:rPr>
          <w:lang w:val="en-US"/>
        </w:rPr>
        <w:t>.</w:t>
      </w:r>
    </w:p>
    <w:p w14:paraId="4D64A506" w14:textId="5AB15180" w:rsidR="00734705" w:rsidRPr="0028531E" w:rsidRDefault="00281D99" w:rsidP="000525D7">
      <w:pPr>
        <w:rPr>
          <w:lang w:val="en-US"/>
        </w:rPr>
      </w:pPr>
      <w:r w:rsidRPr="0028531E">
        <w:rPr>
          <w:lang w:val="en-US"/>
        </w:rPr>
        <w:t>In equation</w:t>
      </w:r>
      <w:r w:rsidR="005F4796" w:rsidRPr="0028531E">
        <w:rPr>
          <w:lang w:val="en-US"/>
        </w:rPr>
        <w:t xml:space="preserve"> (2)</w:t>
      </w:r>
      <w:r w:rsidRPr="0028531E">
        <w:rPr>
          <w:lang w:val="en-US"/>
        </w:rPr>
        <w:t>,</w:t>
      </w:r>
      <w:r w:rsidR="005F4796" w:rsidRPr="0028531E">
        <w:rPr>
          <w:lang w:val="en-US"/>
        </w:rPr>
        <w:t xml:space="preserve"> </w:t>
      </w:r>
      <w:r w:rsidR="005F4796" w:rsidRPr="0028531E">
        <w:rPr>
          <w:position w:val="-10"/>
          <w:lang w:val="en-US"/>
        </w:rPr>
        <w:object w:dxaOrig="820" w:dyaOrig="340" w14:anchorId="40F88751">
          <v:shape id="_x0000_i1041" type="#_x0000_t75" style="width:41.4pt;height:16.8pt" o:ole="">
            <v:imagedata r:id="rId41" o:title=""/>
          </v:shape>
          <o:OLEObject Type="Embed" ProgID="Equation.3" ShapeID="_x0000_i1041" DrawAspect="Content" ObjectID="_1533125589" r:id="rId42"/>
        </w:object>
      </w:r>
      <w:r w:rsidR="005F4796" w:rsidRPr="0028531E">
        <w:rPr>
          <w:lang w:val="en-US"/>
        </w:rPr>
        <w:t xml:space="preserve"> for </w:t>
      </w:r>
      <w:r w:rsidR="000F2A8B" w:rsidRPr="0028531E">
        <w:rPr>
          <w:lang w:val="en-US"/>
        </w:rPr>
        <w:t>years</w:t>
      </w:r>
      <w:r w:rsidR="005F4796" w:rsidRPr="0028531E">
        <w:rPr>
          <w:lang w:val="en-US"/>
        </w:rPr>
        <w:t xml:space="preserve"> 2002-2006, and </w:t>
      </w:r>
      <w:r w:rsidR="005F4796" w:rsidRPr="0028531E">
        <w:rPr>
          <w:position w:val="-10"/>
          <w:lang w:val="en-US"/>
        </w:rPr>
        <w:object w:dxaOrig="859" w:dyaOrig="340" w14:anchorId="196BFA7B">
          <v:shape id="_x0000_i1042" type="#_x0000_t75" style="width:44pt;height:16.8pt" o:ole="">
            <v:imagedata r:id="rId43" o:title=""/>
          </v:shape>
          <o:OLEObject Type="Embed" ProgID="Equation.3" ShapeID="_x0000_i1042" DrawAspect="Content" ObjectID="_1533125590" r:id="rId44"/>
        </w:object>
      </w:r>
      <w:r w:rsidR="00673880" w:rsidRPr="0028531E">
        <w:rPr>
          <w:lang w:val="en-US"/>
        </w:rPr>
        <w:t xml:space="preserve"> for </w:t>
      </w:r>
      <w:r w:rsidR="0021668C" w:rsidRPr="0028531E">
        <w:rPr>
          <w:lang w:val="en-US"/>
        </w:rPr>
        <w:t>years</w:t>
      </w:r>
      <w:r w:rsidR="00673880" w:rsidRPr="0028531E">
        <w:rPr>
          <w:lang w:val="en-US"/>
        </w:rPr>
        <w:t xml:space="preserve"> 1997-2001</w:t>
      </w:r>
      <w:r w:rsidR="005F4796" w:rsidRPr="0028531E">
        <w:rPr>
          <w:lang w:val="en-US"/>
        </w:rPr>
        <w:t>:</w:t>
      </w:r>
    </w:p>
    <w:p w14:paraId="79D1062F" w14:textId="77777777" w:rsidR="00673880" w:rsidRPr="0028531E" w:rsidRDefault="000C6A8D" w:rsidP="000525D7">
      <w:pPr>
        <w:rPr>
          <w:lang w:val="en-US"/>
        </w:rPr>
      </w:pPr>
      <w:r w:rsidRPr="0028531E">
        <w:rPr>
          <w:position w:val="-32"/>
          <w:lang w:val="en-US"/>
        </w:rPr>
        <w:object w:dxaOrig="7980" w:dyaOrig="760" w14:anchorId="19DF5E5A">
          <v:shape id="_x0000_i1043" type="#_x0000_t75" style="width:401.4pt;height:37.95pt" o:ole="">
            <v:imagedata r:id="rId45" o:title=""/>
          </v:shape>
          <o:OLEObject Type="Embed" ProgID="Equation.DSMT4" ShapeID="_x0000_i1043" DrawAspect="Content" ObjectID="_1533125591" r:id="rId46"/>
        </w:object>
      </w:r>
    </w:p>
    <w:p w14:paraId="5C49A817" w14:textId="11083532" w:rsidR="008F1318" w:rsidRPr="0028531E" w:rsidRDefault="003854CB" w:rsidP="000525D7">
      <w:pPr>
        <w:rPr>
          <w:lang w:val="en-US"/>
        </w:rPr>
      </w:pPr>
      <w:r>
        <w:rPr>
          <w:lang w:val="en-US"/>
        </w:rPr>
        <w:t>+</w:t>
      </w:r>
      <w:r w:rsidR="000C6A8D" w:rsidRPr="0028531E">
        <w:rPr>
          <w:position w:val="-32"/>
          <w:lang w:val="en-US"/>
        </w:rPr>
        <w:object w:dxaOrig="8340" w:dyaOrig="760" w14:anchorId="57E6F4A5">
          <v:shape id="_x0000_i1044" type="#_x0000_t75" style="width:418.65pt;height:37.95pt" o:ole="">
            <v:imagedata r:id="rId47" o:title=""/>
          </v:shape>
          <o:OLEObject Type="Embed" ProgID="Equation.DSMT4" ShapeID="_x0000_i1044" DrawAspect="Content" ObjectID="_1533125592" r:id="rId48"/>
        </w:object>
      </w:r>
      <w:r w:rsidR="00673880" w:rsidRPr="0028531E">
        <w:rPr>
          <w:lang w:val="en-US"/>
        </w:rPr>
        <w:t xml:space="preserve">, </w:t>
      </w:r>
      <w:r w:rsidR="006932E0" w:rsidRPr="0028531E">
        <w:rPr>
          <w:lang w:val="en-US"/>
        </w:rPr>
        <w:t>(</w:t>
      </w:r>
      <w:r w:rsidR="00BE6DA5" w:rsidRPr="0028531E">
        <w:rPr>
          <w:lang w:val="en-US"/>
        </w:rPr>
        <w:t>2)</w:t>
      </w:r>
    </w:p>
    <w:p w14:paraId="0FE6D0D5" w14:textId="02ED8992" w:rsidR="00B70969" w:rsidRPr="0028531E" w:rsidRDefault="00DC3CCF" w:rsidP="000525D7">
      <w:pPr>
        <w:rPr>
          <w:lang w:val="en-US"/>
        </w:rPr>
      </w:pPr>
      <w:r w:rsidRPr="0028531E">
        <w:rPr>
          <w:lang w:val="en-US"/>
        </w:rPr>
        <w:t>w</w:t>
      </w:r>
      <w:r w:rsidR="00B70969" w:rsidRPr="0028531E">
        <w:rPr>
          <w:lang w:val="en-US"/>
        </w:rPr>
        <w:t>here</w:t>
      </w:r>
      <w:r w:rsidRPr="0028531E">
        <w:rPr>
          <w:lang w:val="en-US"/>
        </w:rPr>
        <w:t xml:space="preserve"> coefficients </w:t>
      </w:r>
      <w:r w:rsidRPr="0028531E">
        <w:rPr>
          <w:position w:val="-10"/>
          <w:lang w:val="en-US"/>
        </w:rPr>
        <w:object w:dxaOrig="279" w:dyaOrig="340" w14:anchorId="7B9D3090">
          <v:shape id="_x0000_i1045" type="#_x0000_t75" style="width:14.65pt;height:16.8pt" o:ole="">
            <v:imagedata r:id="rId49" o:title=""/>
          </v:shape>
          <o:OLEObject Type="Embed" ProgID="Equation.3" ShapeID="_x0000_i1045" DrawAspect="Content" ObjectID="_1533125593" r:id="rId50"/>
        </w:object>
      </w:r>
      <w:r w:rsidRPr="0028531E">
        <w:rPr>
          <w:lang w:val="en-US"/>
        </w:rPr>
        <w:t>,</w:t>
      </w:r>
      <w:r w:rsidRPr="0028531E">
        <w:rPr>
          <w:position w:val="-14"/>
          <w:lang w:val="en-US"/>
        </w:rPr>
        <w:object w:dxaOrig="400" w:dyaOrig="420" w14:anchorId="4A57FB52">
          <v:shape id="_x0000_i1046" type="#_x0000_t75" style="width:21.55pt;height:22.4pt" o:ole="">
            <v:imagedata r:id="rId51" o:title=""/>
          </v:shape>
          <o:OLEObject Type="Embed" ProgID="Equation.3" ShapeID="_x0000_i1046" DrawAspect="Content" ObjectID="_1533125594" r:id="rId52"/>
        </w:object>
      </w:r>
      <w:r w:rsidRPr="0028531E">
        <w:rPr>
          <w:lang w:val="en-US"/>
        </w:rPr>
        <w:t xml:space="preserve">, </w:t>
      </w:r>
      <w:r w:rsidRPr="0028531E">
        <w:rPr>
          <w:position w:val="-14"/>
          <w:lang w:val="en-US"/>
        </w:rPr>
        <w:object w:dxaOrig="360" w:dyaOrig="380" w14:anchorId="2C5148AA">
          <v:shape id="_x0000_i1047" type="#_x0000_t75" style="width:17.25pt;height:18.95pt" o:ole="">
            <v:imagedata r:id="rId53" o:title=""/>
          </v:shape>
          <o:OLEObject Type="Embed" ProgID="Equation.3" ShapeID="_x0000_i1047" DrawAspect="Content" ObjectID="_1533125595" r:id="rId54"/>
        </w:object>
      </w:r>
      <w:r w:rsidR="00673880" w:rsidRPr="0028531E">
        <w:rPr>
          <w:lang w:val="en-US"/>
        </w:rPr>
        <w:t>,</w:t>
      </w:r>
      <w:r w:rsidRPr="0028531E">
        <w:rPr>
          <w:lang w:val="en-US"/>
        </w:rPr>
        <w:t xml:space="preserve"> </w:t>
      </w:r>
      <w:r w:rsidRPr="0028531E">
        <w:rPr>
          <w:position w:val="-14"/>
          <w:lang w:val="en-US"/>
        </w:rPr>
        <w:object w:dxaOrig="340" w:dyaOrig="420" w14:anchorId="455D6D5C">
          <v:shape id="_x0000_i1048" type="#_x0000_t75" style="width:16.8pt;height:22.4pt" o:ole="">
            <v:imagedata r:id="rId55" o:title=""/>
          </v:shape>
          <o:OLEObject Type="Embed" ProgID="Equation.3" ShapeID="_x0000_i1048" DrawAspect="Content" ObjectID="_1533125596" r:id="rId56"/>
        </w:object>
      </w:r>
      <w:r w:rsidR="00673880" w:rsidRPr="0028531E">
        <w:rPr>
          <w:lang w:val="en-US"/>
        </w:rPr>
        <w:t xml:space="preserve"> and </w:t>
      </w:r>
      <w:r w:rsidR="006324B0" w:rsidRPr="0028531E">
        <w:rPr>
          <w:position w:val="-14"/>
          <w:lang w:val="en-US"/>
        </w:rPr>
        <w:object w:dxaOrig="420" w:dyaOrig="380" w14:anchorId="5E582F24">
          <v:shape id="_x0000_i1049" type="#_x0000_t75" style="width:22.4pt;height:19.4pt" o:ole="">
            <v:imagedata r:id="rId57" o:title=""/>
          </v:shape>
          <o:OLEObject Type="Embed" ProgID="Equation.DSMT4" ShapeID="_x0000_i1049" DrawAspect="Content" ObjectID="_1533125597" r:id="rId58"/>
        </w:object>
      </w:r>
      <w:r w:rsidRPr="0028531E">
        <w:rPr>
          <w:lang w:val="en-US"/>
        </w:rPr>
        <w:t xml:space="preserve">are, by construction, </w:t>
      </w:r>
      <w:r w:rsidR="002A677E" w:rsidRPr="0028531E">
        <w:rPr>
          <w:lang w:val="en-US"/>
        </w:rPr>
        <w:t>equivalent</w:t>
      </w:r>
      <w:r w:rsidRPr="0028531E">
        <w:rPr>
          <w:lang w:val="en-US"/>
        </w:rPr>
        <w:t xml:space="preserve"> to </w:t>
      </w:r>
      <w:r w:rsidR="002A677E" w:rsidRPr="0028531E">
        <w:rPr>
          <w:lang w:val="en-US"/>
        </w:rPr>
        <w:t>differences</w:t>
      </w:r>
      <w:r w:rsidRPr="0028531E">
        <w:rPr>
          <w:lang w:val="en-US"/>
        </w:rPr>
        <w:t xml:space="preserve"> in variable effects between the second and first sub</w:t>
      </w:r>
      <w:r w:rsidR="001C4663">
        <w:rPr>
          <w:lang w:val="en-US"/>
        </w:rPr>
        <w:t>-</w:t>
      </w:r>
      <w:r w:rsidRPr="0028531E">
        <w:rPr>
          <w:lang w:val="en-US"/>
        </w:rPr>
        <w:t xml:space="preserve">period: </w:t>
      </w:r>
      <w:r w:rsidR="00B70969" w:rsidRPr="0028531E">
        <w:rPr>
          <w:lang w:val="en-US"/>
        </w:rPr>
        <w:t xml:space="preserve"> </w:t>
      </w:r>
      <w:r w:rsidR="00796733" w:rsidRPr="0028531E">
        <w:rPr>
          <w:position w:val="-10"/>
          <w:lang w:val="en-US"/>
        </w:rPr>
        <w:object w:dxaOrig="1200" w:dyaOrig="340" w14:anchorId="17C624BB">
          <v:shape id="_x0000_i1050" type="#_x0000_t75" style="width:60.8pt;height:16.8pt" o:ole="">
            <v:imagedata r:id="rId59" o:title=""/>
          </v:shape>
          <o:OLEObject Type="Embed" ProgID="Equation.3" ShapeID="_x0000_i1050" DrawAspect="Content" ObjectID="_1533125598" r:id="rId60"/>
        </w:object>
      </w:r>
      <w:r w:rsidR="00B70969" w:rsidRPr="0028531E">
        <w:rPr>
          <w:lang w:val="en-US"/>
        </w:rPr>
        <w:t xml:space="preserve">, </w:t>
      </w:r>
      <w:r w:rsidR="00B70969" w:rsidRPr="0028531E">
        <w:rPr>
          <w:position w:val="-14"/>
          <w:lang w:val="en-US"/>
        </w:rPr>
        <w:object w:dxaOrig="1540" w:dyaOrig="420" w14:anchorId="2F45A3BF">
          <v:shape id="_x0000_i1051" type="#_x0000_t75" style="width:77.15pt;height:22.4pt" o:ole="">
            <v:imagedata r:id="rId61" o:title=""/>
          </v:shape>
          <o:OLEObject Type="Embed" ProgID="Equation.3" ShapeID="_x0000_i1051" DrawAspect="Content" ObjectID="_1533125599" r:id="rId62"/>
        </w:object>
      </w:r>
      <w:r w:rsidR="00B70969" w:rsidRPr="0028531E">
        <w:rPr>
          <w:lang w:val="en-US"/>
        </w:rPr>
        <w:t xml:space="preserve">, </w:t>
      </w:r>
      <w:r w:rsidR="00B70969" w:rsidRPr="0028531E">
        <w:rPr>
          <w:position w:val="-14"/>
          <w:lang w:val="en-US"/>
        </w:rPr>
        <w:object w:dxaOrig="1420" w:dyaOrig="380" w14:anchorId="1DA7A810">
          <v:shape id="_x0000_i1052" type="#_x0000_t75" style="width:71.15pt;height:18.95pt" o:ole="">
            <v:imagedata r:id="rId63" o:title=""/>
          </v:shape>
          <o:OLEObject Type="Embed" ProgID="Equation.3" ShapeID="_x0000_i1052" DrawAspect="Content" ObjectID="_1533125600" r:id="rId64"/>
        </w:object>
      </w:r>
      <w:r w:rsidR="006324B0" w:rsidRPr="0028531E">
        <w:rPr>
          <w:lang w:val="en-US"/>
        </w:rPr>
        <w:t xml:space="preserve">, </w:t>
      </w:r>
      <w:r w:rsidR="00B70969" w:rsidRPr="0028531E">
        <w:rPr>
          <w:position w:val="-14"/>
          <w:lang w:val="en-US"/>
        </w:rPr>
        <w:object w:dxaOrig="1359" w:dyaOrig="420" w14:anchorId="43E720D7">
          <v:shape id="_x0000_i1053" type="#_x0000_t75" style="width:69pt;height:22.4pt" o:ole="">
            <v:imagedata r:id="rId65" o:title=""/>
          </v:shape>
          <o:OLEObject Type="Embed" ProgID="Equation.3" ShapeID="_x0000_i1053" DrawAspect="Content" ObjectID="_1533125601" r:id="rId66"/>
        </w:object>
      </w:r>
      <w:r w:rsidR="006324B0" w:rsidRPr="0028531E">
        <w:rPr>
          <w:lang w:val="en-US"/>
        </w:rPr>
        <w:t xml:space="preserve"> and </w:t>
      </w:r>
      <w:r w:rsidR="006324B0" w:rsidRPr="0028531E">
        <w:rPr>
          <w:position w:val="-14"/>
          <w:lang w:val="en-US"/>
        </w:rPr>
        <w:object w:dxaOrig="1600" w:dyaOrig="380" w14:anchorId="0C9DB16E">
          <v:shape id="_x0000_i1054" type="#_x0000_t75" style="width:80.6pt;height:19.4pt" o:ole="">
            <v:imagedata r:id="rId67" o:title=""/>
          </v:shape>
          <o:OLEObject Type="Embed" ProgID="Equation.DSMT4" ShapeID="_x0000_i1054" DrawAspect="Content" ObjectID="_1533125602" r:id="rId68"/>
        </w:object>
      </w:r>
      <w:r w:rsidR="006324B0" w:rsidRPr="0028531E">
        <w:rPr>
          <w:lang w:val="en-US"/>
        </w:rPr>
        <w:t>,</w:t>
      </w:r>
      <w:r w:rsidRPr="0028531E">
        <w:rPr>
          <w:lang w:val="en-US"/>
        </w:rPr>
        <w:t xml:space="preserve"> respectively</w:t>
      </w:r>
      <w:r w:rsidR="00B70969" w:rsidRPr="0028531E">
        <w:rPr>
          <w:lang w:val="en-US"/>
        </w:rPr>
        <w:t>.</w:t>
      </w:r>
    </w:p>
    <w:p w14:paraId="003FA83A" w14:textId="3A6DC0C2" w:rsidR="00A810CE" w:rsidRPr="0028531E" w:rsidRDefault="000B47B1" w:rsidP="000525D7">
      <w:pPr>
        <w:rPr>
          <w:lang w:val="en-US"/>
        </w:rPr>
      </w:pPr>
      <w:r w:rsidRPr="0028531E">
        <w:rPr>
          <w:lang w:val="en-US"/>
        </w:rPr>
        <w:t>Our</w:t>
      </w:r>
      <w:r w:rsidR="002B6A76" w:rsidRPr="0028531E">
        <w:rPr>
          <w:lang w:val="en-US"/>
        </w:rPr>
        <w:t xml:space="preserve"> attention </w:t>
      </w:r>
      <w:r w:rsidR="006A70C9" w:rsidRPr="0028531E">
        <w:rPr>
          <w:lang w:val="en-US"/>
        </w:rPr>
        <w:t xml:space="preserve">focuses </w:t>
      </w:r>
      <w:r w:rsidR="002B6A76" w:rsidRPr="0028531E">
        <w:rPr>
          <w:lang w:val="en-US"/>
        </w:rPr>
        <w:t xml:space="preserve">on the sign and the statistical significance of </w:t>
      </w:r>
      <w:r w:rsidR="00C130C5" w:rsidRPr="0028531E">
        <w:rPr>
          <w:lang w:val="en-US"/>
        </w:rPr>
        <w:t>coefficients</w:t>
      </w:r>
      <w:r w:rsidR="00C130C5" w:rsidRPr="0028531E">
        <w:rPr>
          <w:position w:val="-14"/>
          <w:lang w:val="en-US"/>
        </w:rPr>
        <w:object w:dxaOrig="400" w:dyaOrig="420" w14:anchorId="3230BFD2">
          <v:shape id="_x0000_i1055" type="#_x0000_t75" style="width:21.55pt;height:22.4pt" o:ole="">
            <v:imagedata r:id="rId51" o:title=""/>
          </v:shape>
          <o:OLEObject Type="Embed" ProgID="Equation.3" ShapeID="_x0000_i1055" DrawAspect="Content" ObjectID="_1533125603" r:id="rId69"/>
        </w:object>
      </w:r>
      <w:r w:rsidR="00C130C5" w:rsidRPr="0028531E">
        <w:rPr>
          <w:lang w:val="en-US"/>
        </w:rPr>
        <w:t xml:space="preserve">. They </w:t>
      </w:r>
      <w:r w:rsidR="00150A7B" w:rsidRPr="0028531E">
        <w:rPr>
          <w:lang w:val="en-US"/>
        </w:rPr>
        <w:t xml:space="preserve">allow </w:t>
      </w:r>
      <w:r w:rsidR="00C130C5" w:rsidRPr="0028531E">
        <w:rPr>
          <w:lang w:val="en-US"/>
        </w:rPr>
        <w:t xml:space="preserve">us </w:t>
      </w:r>
      <w:r w:rsidR="006A70C9" w:rsidRPr="0028531E">
        <w:rPr>
          <w:lang w:val="en-US"/>
        </w:rPr>
        <w:t xml:space="preserve">to identify </w:t>
      </w:r>
      <w:r w:rsidR="00150A7B" w:rsidRPr="0028531E">
        <w:rPr>
          <w:lang w:val="en-US"/>
        </w:rPr>
        <w:t>changes</w:t>
      </w:r>
      <w:r w:rsidR="009B6BBC" w:rsidRPr="0028531E">
        <w:rPr>
          <w:lang w:val="en-US"/>
        </w:rPr>
        <w:t>,</w:t>
      </w:r>
      <w:r w:rsidR="00150A7B" w:rsidRPr="0028531E">
        <w:rPr>
          <w:lang w:val="en-US"/>
        </w:rPr>
        <w:t xml:space="preserve"> from </w:t>
      </w:r>
      <w:r w:rsidR="00C130C5" w:rsidRPr="0028531E">
        <w:rPr>
          <w:lang w:val="en-US"/>
        </w:rPr>
        <w:t>1997-2001 to 2002-2006,</w:t>
      </w:r>
      <w:r w:rsidR="00150A7B" w:rsidRPr="0028531E">
        <w:rPr>
          <w:lang w:val="en-US"/>
        </w:rPr>
        <w:t xml:space="preserve"> </w:t>
      </w:r>
      <w:r w:rsidR="009B6BBC" w:rsidRPr="0028531E">
        <w:rPr>
          <w:lang w:val="en-US"/>
        </w:rPr>
        <w:t>in estimated employment probabilities among older workers</w:t>
      </w:r>
      <w:r w:rsidR="00BA34C6" w:rsidRPr="0028531E">
        <w:rPr>
          <w:lang w:val="en-US"/>
        </w:rPr>
        <w:t>,</w:t>
      </w:r>
      <w:r w:rsidR="009B6BBC" w:rsidRPr="0028531E">
        <w:rPr>
          <w:lang w:val="en-US"/>
        </w:rPr>
        <w:t xml:space="preserve"> </w:t>
      </w:r>
      <w:r w:rsidR="00150A7B" w:rsidRPr="0028531E">
        <w:rPr>
          <w:lang w:val="en-US"/>
        </w:rPr>
        <w:t xml:space="preserve">not explained by </w:t>
      </w:r>
      <w:r w:rsidR="00B70969" w:rsidRPr="0028531E">
        <w:rPr>
          <w:lang w:val="en-US"/>
        </w:rPr>
        <w:t>inter-period general changes</w:t>
      </w:r>
      <w:r w:rsidR="009B6BBC" w:rsidRPr="0028531E">
        <w:rPr>
          <w:lang w:val="en-US"/>
        </w:rPr>
        <w:t>, driven mainly by the economic environment and</w:t>
      </w:r>
      <w:r w:rsidR="00B70969" w:rsidRPr="0028531E">
        <w:rPr>
          <w:lang w:val="en-US"/>
        </w:rPr>
        <w:t xml:space="preserve"> caught by </w:t>
      </w:r>
      <w:r w:rsidR="002C114F" w:rsidRPr="0028531E">
        <w:rPr>
          <w:position w:val="-10"/>
          <w:lang w:val="en-US"/>
        </w:rPr>
        <w:object w:dxaOrig="279" w:dyaOrig="340" w14:anchorId="1EF10AF3">
          <v:shape id="_x0000_i1056" type="#_x0000_t75" style="width:14.65pt;height:16.8pt" o:ole="">
            <v:imagedata r:id="rId70" o:title=""/>
          </v:shape>
          <o:OLEObject Type="Embed" ProgID="Equation.3" ShapeID="_x0000_i1056" DrawAspect="Content" ObjectID="_1533125604" r:id="rId71"/>
        </w:object>
      </w:r>
      <w:r w:rsidR="00B70969" w:rsidRPr="0028531E">
        <w:rPr>
          <w:lang w:val="en-US"/>
        </w:rPr>
        <w:t xml:space="preserve">, nor by changes </w:t>
      </w:r>
      <w:r w:rsidR="00150A7B" w:rsidRPr="0028531E">
        <w:rPr>
          <w:lang w:val="en-US"/>
        </w:rPr>
        <w:t xml:space="preserve">in </w:t>
      </w:r>
      <w:r w:rsidR="00BA34C6" w:rsidRPr="0028531E">
        <w:rPr>
          <w:lang w:val="en-US"/>
        </w:rPr>
        <w:t>employment probabilities explained by education</w:t>
      </w:r>
      <w:r w:rsidR="006324B0" w:rsidRPr="0028531E">
        <w:rPr>
          <w:lang w:val="en-US"/>
        </w:rPr>
        <w:t>,</w:t>
      </w:r>
      <w:r w:rsidR="00BA34C6" w:rsidRPr="0028531E">
        <w:rPr>
          <w:lang w:val="en-US"/>
        </w:rPr>
        <w:t xml:space="preserve"> </w:t>
      </w:r>
      <w:r w:rsidR="002A677E" w:rsidRPr="0028531E">
        <w:rPr>
          <w:lang w:val="en-US"/>
        </w:rPr>
        <w:t xml:space="preserve">country of </w:t>
      </w:r>
      <w:r w:rsidR="00150A7B" w:rsidRPr="0028531E">
        <w:rPr>
          <w:lang w:val="en-US"/>
        </w:rPr>
        <w:t>birth</w:t>
      </w:r>
      <w:r w:rsidR="006324B0" w:rsidRPr="0028531E">
        <w:rPr>
          <w:lang w:val="en-US"/>
        </w:rPr>
        <w:t xml:space="preserve"> and marital status</w:t>
      </w:r>
      <w:r w:rsidR="00194372" w:rsidRPr="0028531E">
        <w:rPr>
          <w:lang w:val="en-US"/>
        </w:rPr>
        <w:t>,</w:t>
      </w:r>
      <w:r w:rsidR="009B6BBC" w:rsidRPr="0028531E">
        <w:rPr>
          <w:lang w:val="en-US"/>
        </w:rPr>
        <w:t xml:space="preserve"> caught by </w:t>
      </w:r>
      <w:r w:rsidR="00BA34C6" w:rsidRPr="0028531E">
        <w:rPr>
          <w:position w:val="-14"/>
          <w:lang w:val="en-US"/>
        </w:rPr>
        <w:object w:dxaOrig="360" w:dyaOrig="380" w14:anchorId="39A14BA3">
          <v:shape id="_x0000_i1057" type="#_x0000_t75" style="width:19.4pt;height:18.95pt" o:ole="">
            <v:imagedata r:id="rId72" o:title=""/>
          </v:shape>
          <o:OLEObject Type="Embed" ProgID="Equation.3" ShapeID="_x0000_i1057" DrawAspect="Content" ObjectID="_1533125605" r:id="rId73"/>
        </w:object>
      </w:r>
      <w:r w:rsidR="006324B0" w:rsidRPr="0028531E">
        <w:rPr>
          <w:lang w:val="en-US"/>
        </w:rPr>
        <w:t>,</w:t>
      </w:r>
      <w:r w:rsidR="00BA34C6" w:rsidRPr="0028531E">
        <w:rPr>
          <w:position w:val="-14"/>
          <w:lang w:val="en-US"/>
        </w:rPr>
        <w:object w:dxaOrig="340" w:dyaOrig="420" w14:anchorId="71B20AD2">
          <v:shape id="_x0000_i1058" type="#_x0000_t75" style="width:16.8pt;height:22.4pt" o:ole="">
            <v:imagedata r:id="rId74" o:title=""/>
          </v:shape>
          <o:OLEObject Type="Embed" ProgID="Equation.3" ShapeID="_x0000_i1058" DrawAspect="Content" ObjectID="_1533125606" r:id="rId75"/>
        </w:object>
      </w:r>
      <w:r w:rsidR="006324B0" w:rsidRPr="0028531E">
        <w:rPr>
          <w:lang w:val="en-US"/>
        </w:rPr>
        <w:t xml:space="preserve"> and </w:t>
      </w:r>
      <w:r w:rsidR="006324B0" w:rsidRPr="0028531E">
        <w:rPr>
          <w:position w:val="-14"/>
          <w:lang w:val="en-US"/>
        </w:rPr>
        <w:object w:dxaOrig="420" w:dyaOrig="380" w14:anchorId="3AEB80E0">
          <v:shape id="_x0000_i1059" type="#_x0000_t75" style="width:22.4pt;height:19.4pt" o:ole="">
            <v:imagedata r:id="rId76" o:title=""/>
          </v:shape>
          <o:OLEObject Type="Embed" ProgID="Equation.DSMT4" ShapeID="_x0000_i1059" DrawAspect="Content" ObjectID="_1533125607" r:id="rId77"/>
        </w:object>
      </w:r>
      <w:r w:rsidR="00BA34C6" w:rsidRPr="0028531E">
        <w:rPr>
          <w:lang w:val="en-US"/>
        </w:rPr>
        <w:t xml:space="preserve"> respectively. </w:t>
      </w:r>
      <w:r w:rsidR="002A677E" w:rsidRPr="0028531E">
        <w:rPr>
          <w:lang w:val="en-US"/>
        </w:rPr>
        <w:t>W</w:t>
      </w:r>
      <w:r w:rsidR="007A31A1" w:rsidRPr="0028531E">
        <w:rPr>
          <w:lang w:val="en-US"/>
        </w:rPr>
        <w:t xml:space="preserve">e are interested </w:t>
      </w:r>
      <w:r w:rsidR="003C753B">
        <w:rPr>
          <w:lang w:val="en-US"/>
        </w:rPr>
        <w:t>in</w:t>
      </w:r>
      <w:r w:rsidR="003C753B" w:rsidRPr="0028531E">
        <w:rPr>
          <w:lang w:val="en-US"/>
        </w:rPr>
        <w:t xml:space="preserve"> </w:t>
      </w:r>
      <w:r w:rsidR="007A31A1" w:rsidRPr="0028531E">
        <w:rPr>
          <w:lang w:val="en-US"/>
        </w:rPr>
        <w:t xml:space="preserve">the sign and the significance of estimated marginal effects on </w:t>
      </w:r>
      <w:r w:rsidR="002A677E" w:rsidRPr="0028531E">
        <w:rPr>
          <w:lang w:val="en-US"/>
        </w:rPr>
        <w:t>employment</w:t>
      </w:r>
      <w:r w:rsidR="007A31A1" w:rsidRPr="0028531E">
        <w:rPr>
          <w:lang w:val="en-US"/>
        </w:rPr>
        <w:t xml:space="preserve"> probabilities of older </w:t>
      </w:r>
      <w:r w:rsidR="001170A2">
        <w:rPr>
          <w:lang w:val="en-US"/>
        </w:rPr>
        <w:t>group</w:t>
      </w:r>
      <w:r w:rsidR="007A31A1" w:rsidRPr="0028531E">
        <w:rPr>
          <w:lang w:val="en-US"/>
        </w:rPr>
        <w:t>s compared with th</w:t>
      </w:r>
      <w:r w:rsidR="001170A2">
        <w:rPr>
          <w:lang w:val="en-US"/>
        </w:rPr>
        <w:t>ose</w:t>
      </w:r>
      <w:r w:rsidR="007A31A1" w:rsidRPr="0028531E">
        <w:rPr>
          <w:lang w:val="en-US"/>
        </w:rPr>
        <w:t xml:space="preserve"> </w:t>
      </w:r>
      <w:r w:rsidR="00440D2A">
        <w:rPr>
          <w:lang w:val="en-US"/>
        </w:rPr>
        <w:t>25</w:t>
      </w:r>
      <w:r w:rsidR="007A31A1" w:rsidRPr="0028531E">
        <w:rPr>
          <w:lang w:val="en-US"/>
        </w:rPr>
        <w:t>-49</w:t>
      </w:r>
      <w:r w:rsidR="001170A2">
        <w:rPr>
          <w:lang w:val="en-US"/>
        </w:rPr>
        <w:t xml:space="preserve"> </w:t>
      </w:r>
      <w:r w:rsidR="00CA59D5">
        <w:rPr>
          <w:lang w:val="en-US"/>
        </w:rPr>
        <w:t>– hinting at any employment effects as a result of the “paradigm” shift in employment policies towards the elderly.</w:t>
      </w:r>
      <w:r w:rsidR="00333240">
        <w:rPr>
          <w:lang w:val="en-US"/>
        </w:rPr>
        <w:t xml:space="preserve"> Because of the above-mentioned data limitations of the EU-LFS, we only perform this analysis for Belgium, France and </w:t>
      </w:r>
      <w:r w:rsidR="00E23AED">
        <w:rPr>
          <w:lang w:val="en-US"/>
        </w:rPr>
        <w:t>T</w:t>
      </w:r>
      <w:r w:rsidR="00333240">
        <w:rPr>
          <w:lang w:val="en-US"/>
        </w:rPr>
        <w:t>he Netherlands.</w:t>
      </w:r>
    </w:p>
    <w:p w14:paraId="5CCB243A" w14:textId="68D3AC21" w:rsidR="004F7B8D" w:rsidRPr="0028531E" w:rsidRDefault="004F7B8D" w:rsidP="000525D7">
      <w:pPr>
        <w:rPr>
          <w:lang w:val="en-US"/>
        </w:rPr>
      </w:pPr>
      <w:r w:rsidRPr="0028531E">
        <w:rPr>
          <w:lang w:val="en-US"/>
        </w:rPr>
        <w:t xml:space="preserve">In a second step, we proceed in the same way for the period </w:t>
      </w:r>
      <w:r w:rsidR="00440D2A">
        <w:rPr>
          <w:lang w:val="en-US"/>
        </w:rPr>
        <w:t>2002</w:t>
      </w:r>
      <w:r w:rsidR="00440D2A" w:rsidRPr="0028531E">
        <w:rPr>
          <w:lang w:val="en-US"/>
        </w:rPr>
        <w:t xml:space="preserve"> </w:t>
      </w:r>
      <w:r w:rsidRPr="0028531E">
        <w:rPr>
          <w:lang w:val="en-US"/>
        </w:rPr>
        <w:t xml:space="preserve">to </w:t>
      </w:r>
      <w:r w:rsidR="00440D2A">
        <w:rPr>
          <w:lang w:val="en-US"/>
        </w:rPr>
        <w:t>2011</w:t>
      </w:r>
      <w:r w:rsidRPr="0028531E">
        <w:rPr>
          <w:lang w:val="en-US"/>
        </w:rPr>
        <w:t xml:space="preserve">, making the distinction between the 2002-2006 and 2007-2011 </w:t>
      </w:r>
      <w:r w:rsidR="003A693B" w:rsidRPr="0028531E">
        <w:rPr>
          <w:lang w:val="en-US"/>
        </w:rPr>
        <w:t>sub-</w:t>
      </w:r>
      <w:r w:rsidRPr="0028531E">
        <w:rPr>
          <w:lang w:val="en-US"/>
        </w:rPr>
        <w:t xml:space="preserve">periods. In this case, </w:t>
      </w:r>
      <w:r w:rsidRPr="0028531E">
        <w:rPr>
          <w:position w:val="-12"/>
          <w:lang w:val="en-US"/>
        </w:rPr>
        <w:object w:dxaOrig="800" w:dyaOrig="360" w14:anchorId="20DF2ADA">
          <v:shape id="_x0000_i1060" type="#_x0000_t75" style="width:40.95pt;height:17.25pt" o:ole="">
            <v:imagedata r:id="rId78" o:title=""/>
          </v:shape>
          <o:OLEObject Type="Embed" ProgID="Equation.3" ShapeID="_x0000_i1060" DrawAspect="Content" ObjectID="_1533125608" r:id="rId79"/>
        </w:object>
      </w:r>
      <w:r w:rsidRPr="0028531E">
        <w:rPr>
          <w:lang w:val="en-US"/>
        </w:rPr>
        <w:t xml:space="preserve"> for period 2007-2011, and </w:t>
      </w:r>
      <w:r w:rsidRPr="0028531E">
        <w:rPr>
          <w:position w:val="-12"/>
          <w:lang w:val="en-US"/>
        </w:rPr>
        <w:object w:dxaOrig="840" w:dyaOrig="360" w14:anchorId="2C7BB773">
          <v:shape id="_x0000_i1061" type="#_x0000_t75" style="width:41.8pt;height:17.25pt" o:ole="">
            <v:imagedata r:id="rId80" o:title=""/>
          </v:shape>
          <o:OLEObject Type="Embed" ProgID="Equation.3" ShapeID="_x0000_i1061" DrawAspect="Content" ObjectID="_1533125609" r:id="rId81"/>
        </w:object>
      </w:r>
      <w:r w:rsidRPr="0028531E">
        <w:rPr>
          <w:lang w:val="en-US"/>
        </w:rPr>
        <w:t xml:space="preserve"> otherwise:</w:t>
      </w:r>
    </w:p>
    <w:p w14:paraId="07A0E89F" w14:textId="7EBE19DA" w:rsidR="00BE6DA5" w:rsidRPr="0028531E" w:rsidRDefault="000C6A8D" w:rsidP="000525D7">
      <w:pPr>
        <w:rPr>
          <w:lang w:val="en-US"/>
        </w:rPr>
      </w:pPr>
      <w:r w:rsidRPr="0028531E">
        <w:rPr>
          <w:position w:val="-32"/>
          <w:lang w:val="en-US"/>
        </w:rPr>
        <w:object w:dxaOrig="8040" w:dyaOrig="760" w14:anchorId="40AF69E1">
          <v:shape id="_x0000_i1062" type="#_x0000_t75" style="width:402.7pt;height:37.95pt" o:ole="">
            <v:imagedata r:id="rId82" o:title=""/>
          </v:shape>
          <o:OLEObject Type="Embed" ProgID="Equation.DSMT4" ShapeID="_x0000_i1062" DrawAspect="Content" ObjectID="_1533125610" r:id="rId83"/>
        </w:object>
      </w:r>
    </w:p>
    <w:p w14:paraId="7AEE5023" w14:textId="22C44B58" w:rsidR="00BE6DA5" w:rsidRPr="0028531E" w:rsidRDefault="003854CB" w:rsidP="000525D7">
      <w:pPr>
        <w:rPr>
          <w:lang w:val="en-US"/>
        </w:rPr>
      </w:pPr>
      <w:r>
        <w:rPr>
          <w:lang w:val="en-US"/>
        </w:rPr>
        <w:t>+</w:t>
      </w:r>
      <w:r w:rsidR="000C6A8D" w:rsidRPr="0028531E">
        <w:rPr>
          <w:position w:val="-32"/>
          <w:lang w:val="en-US"/>
        </w:rPr>
        <w:object w:dxaOrig="8160" w:dyaOrig="760" w14:anchorId="247DC2A5">
          <v:shape id="_x0000_i1063" type="#_x0000_t75" style="width:409.6pt;height:37.95pt" o:ole="">
            <v:imagedata r:id="rId84" o:title=""/>
          </v:shape>
          <o:OLEObject Type="Embed" ProgID="Equation.DSMT4" ShapeID="_x0000_i1063" DrawAspect="Content" ObjectID="_1533125611" r:id="rId85"/>
        </w:object>
      </w:r>
      <w:r w:rsidR="00D04B13" w:rsidRPr="0028531E">
        <w:rPr>
          <w:lang w:val="en-US"/>
        </w:rPr>
        <w:t xml:space="preserve"> </w:t>
      </w:r>
      <w:r w:rsidR="009A6C50" w:rsidRPr="0028531E">
        <w:rPr>
          <w:lang w:val="en-US"/>
        </w:rPr>
        <w:t xml:space="preserve">   </w:t>
      </w:r>
      <w:r w:rsidR="00BE6DA5" w:rsidRPr="0028531E">
        <w:rPr>
          <w:lang w:val="en-US"/>
        </w:rPr>
        <w:t>(3</w:t>
      </w:r>
      <w:proofErr w:type="gramStart"/>
      <w:r w:rsidR="00BE6DA5" w:rsidRPr="0028531E">
        <w:rPr>
          <w:lang w:val="en-US"/>
        </w:rPr>
        <w:t>)</w:t>
      </w:r>
      <w:proofErr w:type="gramEnd"/>
      <w:r w:rsidR="00330C85">
        <w:rPr>
          <w:lang w:val="en-US"/>
        </w:rPr>
        <w:br/>
      </w:r>
      <w:r w:rsidR="00BE6DA5" w:rsidRPr="0028531E">
        <w:rPr>
          <w:lang w:val="en-US"/>
        </w:rPr>
        <w:t xml:space="preserve">where </w:t>
      </w:r>
      <w:r w:rsidR="00796733" w:rsidRPr="0028531E">
        <w:rPr>
          <w:position w:val="-12"/>
          <w:lang w:val="en-US"/>
        </w:rPr>
        <w:object w:dxaOrig="1200" w:dyaOrig="360" w14:anchorId="025DDDDD">
          <v:shape id="_x0000_i1064" type="#_x0000_t75" style="width:60.35pt;height:17.25pt" o:ole="">
            <v:imagedata r:id="rId86" o:title=""/>
          </v:shape>
          <o:OLEObject Type="Embed" ProgID="Equation.3" ShapeID="_x0000_i1064" DrawAspect="Content" ObjectID="_1533125612" r:id="rId87"/>
        </w:object>
      </w:r>
      <w:r w:rsidR="00BE6DA5" w:rsidRPr="0028531E">
        <w:rPr>
          <w:lang w:val="en-US"/>
        </w:rPr>
        <w:t xml:space="preserve">, </w:t>
      </w:r>
      <w:r w:rsidR="00796733" w:rsidRPr="0028531E">
        <w:rPr>
          <w:position w:val="-14"/>
          <w:lang w:val="en-US"/>
        </w:rPr>
        <w:object w:dxaOrig="1640" w:dyaOrig="420" w14:anchorId="66152BEB">
          <v:shape id="_x0000_i1065" type="#_x0000_t75" style="width:82.35pt;height:22.4pt" o:ole="">
            <v:imagedata r:id="rId88" o:title=""/>
          </v:shape>
          <o:OLEObject Type="Embed" ProgID="Equation.3" ShapeID="_x0000_i1065" DrawAspect="Content" ObjectID="_1533125613" r:id="rId89"/>
        </w:object>
      </w:r>
      <w:r w:rsidR="00BE6DA5" w:rsidRPr="0028531E">
        <w:rPr>
          <w:lang w:val="en-US"/>
        </w:rPr>
        <w:t xml:space="preserve">, </w:t>
      </w:r>
      <w:r w:rsidR="00796733" w:rsidRPr="0028531E">
        <w:rPr>
          <w:position w:val="-14"/>
          <w:lang w:val="en-US"/>
        </w:rPr>
        <w:object w:dxaOrig="1520" w:dyaOrig="380" w14:anchorId="5542BEE6">
          <v:shape id="_x0000_i1066" type="#_x0000_t75" style="width:76.75pt;height:18.95pt" o:ole="">
            <v:imagedata r:id="rId90" o:title=""/>
          </v:shape>
          <o:OLEObject Type="Embed" ProgID="Equation.3" ShapeID="_x0000_i1066" DrawAspect="Content" ObjectID="_1533125614" r:id="rId91"/>
        </w:object>
      </w:r>
      <w:r w:rsidR="00D04B13" w:rsidRPr="0028531E">
        <w:rPr>
          <w:lang w:val="en-US"/>
        </w:rPr>
        <w:t>,</w:t>
      </w:r>
      <w:r w:rsidR="00BE6DA5" w:rsidRPr="0028531E">
        <w:rPr>
          <w:lang w:val="en-US"/>
        </w:rPr>
        <w:t xml:space="preserve"> </w:t>
      </w:r>
      <w:r w:rsidR="00796733" w:rsidRPr="0028531E">
        <w:rPr>
          <w:position w:val="-14"/>
          <w:lang w:val="en-US"/>
        </w:rPr>
        <w:object w:dxaOrig="1460" w:dyaOrig="420" w14:anchorId="7CA256F1">
          <v:shape id="_x0000_i1067" type="#_x0000_t75" style="width:72.85pt;height:22.4pt" o:ole="">
            <v:imagedata r:id="rId92" o:title=""/>
          </v:shape>
          <o:OLEObject Type="Embed" ProgID="Equation.3" ShapeID="_x0000_i1067" DrawAspect="Content" ObjectID="_1533125615" r:id="rId93"/>
        </w:object>
      </w:r>
      <w:r w:rsidR="00D04B13" w:rsidRPr="0028531E">
        <w:rPr>
          <w:lang w:val="en-US"/>
        </w:rPr>
        <w:t xml:space="preserve"> and </w:t>
      </w:r>
      <w:r w:rsidR="00D04B13" w:rsidRPr="0028531E">
        <w:rPr>
          <w:position w:val="-14"/>
          <w:lang w:val="en-US"/>
        </w:rPr>
        <w:object w:dxaOrig="1600" w:dyaOrig="380" w14:anchorId="13F52135">
          <v:shape id="_x0000_i1068" type="#_x0000_t75" style="width:80.6pt;height:19.4pt" o:ole="">
            <v:imagedata r:id="rId94" o:title=""/>
          </v:shape>
          <o:OLEObject Type="Embed" ProgID="Equation.DSMT4" ShapeID="_x0000_i1068" DrawAspect="Content" ObjectID="_1533125616" r:id="rId95"/>
        </w:object>
      </w:r>
      <w:r w:rsidR="00BE6DA5" w:rsidRPr="0028531E">
        <w:rPr>
          <w:lang w:val="en-US"/>
        </w:rPr>
        <w:t>.</w:t>
      </w:r>
    </w:p>
    <w:p w14:paraId="53634D32" w14:textId="48D423A6" w:rsidR="00CA59D5" w:rsidRDefault="00BE6DA5" w:rsidP="000525D7">
      <w:pPr>
        <w:rPr>
          <w:lang w:val="en-US"/>
        </w:rPr>
      </w:pPr>
      <w:r w:rsidRPr="0028531E">
        <w:rPr>
          <w:lang w:val="en-US"/>
        </w:rPr>
        <w:lastRenderedPageBreak/>
        <w:t>We</w:t>
      </w:r>
      <w:r w:rsidR="00570F1F" w:rsidRPr="0028531E">
        <w:rPr>
          <w:lang w:val="en-US"/>
        </w:rPr>
        <w:t xml:space="preserve"> make the assumption that these parameters, </w:t>
      </w:r>
      <w:r w:rsidR="00941416" w:rsidRPr="0028531E">
        <w:rPr>
          <w:lang w:val="en-US"/>
        </w:rPr>
        <w:t xml:space="preserve">in particular </w:t>
      </w:r>
      <w:r w:rsidR="003A693B" w:rsidRPr="0028531E">
        <w:rPr>
          <w:lang w:val="en-US"/>
        </w:rPr>
        <w:t xml:space="preserve">the period-specific </w:t>
      </w:r>
      <w:r w:rsidR="00941416" w:rsidRPr="0028531E">
        <w:rPr>
          <w:lang w:val="en-US"/>
        </w:rPr>
        <w:t xml:space="preserve">age parameters </w:t>
      </w:r>
      <w:r w:rsidR="00941416" w:rsidRPr="0028531E">
        <w:rPr>
          <w:position w:val="-14"/>
          <w:lang w:val="en-US"/>
        </w:rPr>
        <w:object w:dxaOrig="400" w:dyaOrig="420" w14:anchorId="07E6F9FA">
          <v:shape id="_x0000_i1069" type="#_x0000_t75" style="width:21.55pt;height:22.4pt" o:ole="">
            <v:imagedata r:id="rId96" o:title=""/>
          </v:shape>
          <o:OLEObject Type="Embed" ProgID="Equation.3" ShapeID="_x0000_i1069" DrawAspect="Content" ObjectID="_1533125617" r:id="rId97"/>
        </w:object>
      </w:r>
      <w:r w:rsidR="00941416" w:rsidRPr="0028531E">
        <w:rPr>
          <w:lang w:val="en-US"/>
        </w:rPr>
        <w:t xml:space="preserve"> </w:t>
      </w:r>
      <w:r w:rsidR="00570F1F" w:rsidRPr="0028531E">
        <w:rPr>
          <w:lang w:val="en-US"/>
        </w:rPr>
        <w:t>and the</w:t>
      </w:r>
      <w:r w:rsidR="00941416" w:rsidRPr="0028531E">
        <w:rPr>
          <w:lang w:val="en-US"/>
        </w:rPr>
        <w:t>ir</w:t>
      </w:r>
      <w:r w:rsidR="00570F1F" w:rsidRPr="0028531E">
        <w:rPr>
          <w:lang w:val="en-US"/>
        </w:rPr>
        <w:t xml:space="preserve"> </w:t>
      </w:r>
      <w:r w:rsidR="00E60FC9" w:rsidRPr="0028531E">
        <w:rPr>
          <w:lang w:val="en-US"/>
        </w:rPr>
        <w:t xml:space="preserve">corresponding </w:t>
      </w:r>
      <w:r w:rsidR="00BA34C6" w:rsidRPr="0028531E">
        <w:rPr>
          <w:lang w:val="en-US"/>
        </w:rPr>
        <w:t xml:space="preserve">estimated </w:t>
      </w:r>
      <w:r w:rsidRPr="0028531E">
        <w:rPr>
          <w:lang w:val="en-US"/>
        </w:rPr>
        <w:t xml:space="preserve">marginal effects on </w:t>
      </w:r>
      <w:r w:rsidR="002A677E" w:rsidRPr="0028531E">
        <w:rPr>
          <w:lang w:val="en-US"/>
        </w:rPr>
        <w:t>employment</w:t>
      </w:r>
      <w:r w:rsidRPr="0028531E">
        <w:rPr>
          <w:lang w:val="en-US"/>
        </w:rPr>
        <w:t xml:space="preserve"> probabilities</w:t>
      </w:r>
      <w:r w:rsidR="00CA59D5">
        <w:rPr>
          <w:lang w:val="en-US"/>
        </w:rPr>
        <w:t xml:space="preserve"> capture the period specific dynamics resulting from either ongoing implementation of reformed labor market policies/regulations and/or the financial crisis.</w:t>
      </w:r>
    </w:p>
    <w:p w14:paraId="5BDCD81B" w14:textId="03A365F1" w:rsidR="00FB0033" w:rsidRPr="0028531E" w:rsidRDefault="00A47B39" w:rsidP="000525D7">
      <w:pPr>
        <w:rPr>
          <w:lang w:val="en-US"/>
        </w:rPr>
      </w:pPr>
      <w:r w:rsidRPr="0028531E">
        <w:rPr>
          <w:lang w:val="en-US"/>
        </w:rPr>
        <w:t xml:space="preserve">Tables </w:t>
      </w:r>
      <w:r w:rsidR="00F647D2">
        <w:rPr>
          <w:lang w:val="en-US"/>
        </w:rPr>
        <w:t>4</w:t>
      </w:r>
      <w:r w:rsidRPr="0028531E">
        <w:rPr>
          <w:lang w:val="en-US"/>
        </w:rPr>
        <w:t xml:space="preserve"> and </w:t>
      </w:r>
      <w:r w:rsidR="00F647D2">
        <w:rPr>
          <w:lang w:val="en-US"/>
        </w:rPr>
        <w:t>5</w:t>
      </w:r>
      <w:r w:rsidRPr="0028531E">
        <w:rPr>
          <w:lang w:val="en-US"/>
        </w:rPr>
        <w:t xml:space="preserve"> report the marginal effects corresponding to probit models (2) and (3) respectively. </w:t>
      </w:r>
      <w:r w:rsidR="008227EE" w:rsidRPr="0028531E">
        <w:rPr>
          <w:lang w:val="en-US"/>
        </w:rPr>
        <w:t xml:space="preserve">In both tables, we make the distinction between the reference period, </w:t>
      </w:r>
      <w:r w:rsidR="001B0666" w:rsidRPr="0028531E">
        <w:rPr>
          <w:lang w:val="en-US"/>
        </w:rPr>
        <w:t xml:space="preserve">at the </w:t>
      </w:r>
      <w:r w:rsidR="008227EE" w:rsidRPr="0028531E">
        <w:rPr>
          <w:lang w:val="en-US"/>
        </w:rPr>
        <w:t>top</w:t>
      </w:r>
      <w:r w:rsidR="001B0666" w:rsidRPr="0028531E">
        <w:rPr>
          <w:lang w:val="en-US"/>
        </w:rPr>
        <w:t xml:space="preserve"> of the table</w:t>
      </w:r>
      <w:r w:rsidR="008227EE" w:rsidRPr="0028531E">
        <w:rPr>
          <w:lang w:val="en-US"/>
        </w:rPr>
        <w:t xml:space="preserve">, and the second period, </w:t>
      </w:r>
      <w:r w:rsidR="00A636EF" w:rsidRPr="0028531E">
        <w:rPr>
          <w:lang w:val="en-US"/>
        </w:rPr>
        <w:t>at</w:t>
      </w:r>
      <w:r w:rsidR="001B0666" w:rsidRPr="0028531E">
        <w:rPr>
          <w:lang w:val="en-US"/>
        </w:rPr>
        <w:t xml:space="preserve"> the </w:t>
      </w:r>
      <w:r w:rsidR="008227EE" w:rsidRPr="0028531E">
        <w:rPr>
          <w:lang w:val="en-US"/>
        </w:rPr>
        <w:t xml:space="preserve">bottom. </w:t>
      </w:r>
      <w:r w:rsidR="00A636EF" w:rsidRPr="0028531E">
        <w:rPr>
          <w:lang w:val="en-US"/>
        </w:rPr>
        <w:t xml:space="preserve">It is important to note that for the reference period the marginal effects correspond to </w:t>
      </w:r>
      <w:r w:rsidR="004A5719" w:rsidRPr="0028531E">
        <w:rPr>
          <w:lang w:val="en-US"/>
        </w:rPr>
        <w:t>cross-section variations with respect to the reference group (</w:t>
      </w:r>
      <w:r w:rsidR="00626B86">
        <w:rPr>
          <w:lang w:val="en-US"/>
        </w:rPr>
        <w:t>25</w:t>
      </w:r>
      <w:r w:rsidR="004A5719" w:rsidRPr="0028531E">
        <w:rPr>
          <w:lang w:val="en-US"/>
        </w:rPr>
        <w:t>-49 years old, high education</w:t>
      </w:r>
      <w:r w:rsidR="00BE3787" w:rsidRPr="0028531E">
        <w:rPr>
          <w:lang w:val="en-US"/>
        </w:rPr>
        <w:t>,</w:t>
      </w:r>
      <w:r w:rsidR="004A5719" w:rsidRPr="0028531E">
        <w:rPr>
          <w:lang w:val="en-US"/>
        </w:rPr>
        <w:t xml:space="preserve"> living in the country of birth</w:t>
      </w:r>
      <w:r w:rsidR="00BE3787" w:rsidRPr="0028531E">
        <w:rPr>
          <w:lang w:val="en-US"/>
        </w:rPr>
        <w:t xml:space="preserve"> and unmarried</w:t>
      </w:r>
      <w:r w:rsidR="004A5719" w:rsidRPr="0028531E">
        <w:rPr>
          <w:lang w:val="en-US"/>
        </w:rPr>
        <w:t xml:space="preserve">), while for the second period, the marginal effects correspond to variations in </w:t>
      </w:r>
      <w:r w:rsidR="000A1280" w:rsidRPr="0028531E">
        <w:rPr>
          <w:lang w:val="en-US"/>
        </w:rPr>
        <w:t xml:space="preserve">these </w:t>
      </w:r>
      <w:r w:rsidR="004A5719" w:rsidRPr="0028531E">
        <w:rPr>
          <w:lang w:val="en-US"/>
        </w:rPr>
        <w:t>cross-section</w:t>
      </w:r>
      <w:r w:rsidR="000A1280" w:rsidRPr="0028531E">
        <w:rPr>
          <w:lang w:val="en-US"/>
        </w:rPr>
        <w:t>al</w:t>
      </w:r>
      <w:r w:rsidR="004A5719" w:rsidRPr="0028531E">
        <w:rPr>
          <w:lang w:val="en-US"/>
        </w:rPr>
        <w:t xml:space="preserve"> effects</w:t>
      </w:r>
      <w:r w:rsidR="000A1280" w:rsidRPr="0028531E">
        <w:rPr>
          <w:lang w:val="en-US"/>
        </w:rPr>
        <w:t xml:space="preserve"> across periods</w:t>
      </w:r>
      <w:r w:rsidR="004A5719" w:rsidRPr="0028531E">
        <w:rPr>
          <w:lang w:val="en-US"/>
        </w:rPr>
        <w:t>.</w:t>
      </w:r>
    </w:p>
    <w:p w14:paraId="05D5C428" w14:textId="2E8A7511" w:rsidR="00CA59D5" w:rsidRPr="00CA59D5" w:rsidRDefault="00CA59D5" w:rsidP="000525D7">
      <w:pPr>
        <w:rPr>
          <w:rStyle w:val="Strong"/>
          <w:lang w:val="en-US"/>
        </w:rPr>
      </w:pPr>
      <w:r w:rsidRPr="00CA59D5">
        <w:rPr>
          <w:rStyle w:val="Strong"/>
          <w:lang w:val="en-US"/>
        </w:rPr>
        <w:t xml:space="preserve">INSERT TABLE </w:t>
      </w:r>
      <w:r w:rsidR="00F647D2">
        <w:rPr>
          <w:rStyle w:val="Strong"/>
          <w:lang w:val="en-US"/>
        </w:rPr>
        <w:t>4</w:t>
      </w:r>
    </w:p>
    <w:p w14:paraId="68B3CA59" w14:textId="566A7213" w:rsidR="00C966E4" w:rsidRPr="0028531E" w:rsidRDefault="00FB0033" w:rsidP="000525D7">
      <w:pPr>
        <w:rPr>
          <w:lang w:val="en-US"/>
        </w:rPr>
      </w:pPr>
      <w:r w:rsidRPr="0028531E">
        <w:rPr>
          <w:lang w:val="en-US"/>
        </w:rPr>
        <w:t xml:space="preserve">From </w:t>
      </w:r>
      <w:r w:rsidR="008779C2" w:rsidRPr="0028531E">
        <w:rPr>
          <w:lang w:val="en-US"/>
        </w:rPr>
        <w:t xml:space="preserve">the top of </w:t>
      </w:r>
      <w:r w:rsidRPr="0028531E">
        <w:rPr>
          <w:lang w:val="en-US"/>
        </w:rPr>
        <w:t xml:space="preserve">Table </w:t>
      </w:r>
      <w:r w:rsidR="00F647D2">
        <w:rPr>
          <w:lang w:val="en-US"/>
        </w:rPr>
        <w:t>4</w:t>
      </w:r>
      <w:r w:rsidRPr="0028531E">
        <w:rPr>
          <w:lang w:val="en-US"/>
        </w:rPr>
        <w:t xml:space="preserve">, we observe that the results for the period 1997-2001 confirm the sharp drop in ER among the 55 to 59 and 60 to 64 years old </w:t>
      </w:r>
      <w:r w:rsidR="00C52325" w:rsidRPr="0028531E">
        <w:rPr>
          <w:lang w:val="en-US"/>
        </w:rPr>
        <w:t xml:space="preserve">and </w:t>
      </w:r>
      <w:r w:rsidRPr="0028531E">
        <w:rPr>
          <w:lang w:val="en-US"/>
        </w:rPr>
        <w:t>in all cases</w:t>
      </w:r>
      <w:r w:rsidR="00F6179A" w:rsidRPr="0028531E">
        <w:rPr>
          <w:lang w:val="en-US"/>
        </w:rPr>
        <w:t xml:space="preserve"> higher </w:t>
      </w:r>
      <w:r w:rsidR="00C52325" w:rsidRPr="0028531E">
        <w:rPr>
          <w:lang w:val="en-US"/>
        </w:rPr>
        <w:t xml:space="preserve">slowdown </w:t>
      </w:r>
      <w:r w:rsidR="00F6179A" w:rsidRPr="0028531E">
        <w:rPr>
          <w:lang w:val="en-US"/>
        </w:rPr>
        <w:t xml:space="preserve">for </w:t>
      </w:r>
      <w:r w:rsidR="008779C2" w:rsidRPr="0028531E">
        <w:rPr>
          <w:lang w:val="en-US"/>
        </w:rPr>
        <w:t xml:space="preserve">men than for </w:t>
      </w:r>
      <w:r w:rsidR="00F6179A" w:rsidRPr="0028531E">
        <w:rPr>
          <w:lang w:val="en-US"/>
        </w:rPr>
        <w:t>women. As expected, education</w:t>
      </w:r>
      <w:r w:rsidR="003E6AFD" w:rsidRPr="0028531E">
        <w:rPr>
          <w:lang w:val="en-US"/>
        </w:rPr>
        <w:t xml:space="preserve"> and</w:t>
      </w:r>
      <w:r w:rsidR="008779C2" w:rsidRPr="0028531E">
        <w:rPr>
          <w:lang w:val="en-US"/>
        </w:rPr>
        <w:t xml:space="preserve"> country of birth matters too;</w:t>
      </w:r>
      <w:r w:rsidR="00F6179A" w:rsidRPr="0028531E">
        <w:rPr>
          <w:lang w:val="en-US"/>
        </w:rPr>
        <w:t xml:space="preserve"> in all cases the sign of coefficients are statistically significant. For women and men these effects are rather similar, with the exception </w:t>
      </w:r>
      <w:r w:rsidR="00F23AE5" w:rsidRPr="0028531E">
        <w:rPr>
          <w:lang w:val="en-US"/>
        </w:rPr>
        <w:t xml:space="preserve">of </w:t>
      </w:r>
      <w:r w:rsidR="00E23AED">
        <w:rPr>
          <w:lang w:val="en-US"/>
        </w:rPr>
        <w:t>T</w:t>
      </w:r>
      <w:r w:rsidR="00F6179A" w:rsidRPr="0028531E">
        <w:rPr>
          <w:lang w:val="en-US"/>
        </w:rPr>
        <w:t>he Netherlands, where the drop in ER is sharper among women with low education</w:t>
      </w:r>
      <w:r w:rsidR="00C966E4" w:rsidRPr="0028531E">
        <w:rPr>
          <w:lang w:val="en-US"/>
        </w:rPr>
        <w:t xml:space="preserve"> (-</w:t>
      </w:r>
      <w:r w:rsidR="00626B86">
        <w:rPr>
          <w:lang w:val="en-US"/>
        </w:rPr>
        <w:t>28.3</w:t>
      </w:r>
      <w:r w:rsidR="00C966E4" w:rsidRPr="0028531E">
        <w:rPr>
          <w:lang w:val="en-US"/>
        </w:rPr>
        <w:t xml:space="preserve">% </w:t>
      </w:r>
      <w:r w:rsidR="00626B86">
        <w:rPr>
          <w:lang w:val="en-US"/>
        </w:rPr>
        <w:t xml:space="preserve">vs. -18.4% </w:t>
      </w:r>
      <w:r w:rsidR="00C966E4" w:rsidRPr="0028531E">
        <w:rPr>
          <w:lang w:val="en-US"/>
        </w:rPr>
        <w:t>points)</w:t>
      </w:r>
      <w:r w:rsidR="00F6179A" w:rsidRPr="0028531E">
        <w:rPr>
          <w:lang w:val="en-US"/>
        </w:rPr>
        <w:t xml:space="preserve"> </w:t>
      </w:r>
      <w:r w:rsidR="00F23AE5" w:rsidRPr="0028531E">
        <w:rPr>
          <w:lang w:val="en-US"/>
        </w:rPr>
        <w:t xml:space="preserve">and </w:t>
      </w:r>
      <w:r w:rsidR="00F6179A" w:rsidRPr="0028531E">
        <w:rPr>
          <w:lang w:val="en-US"/>
        </w:rPr>
        <w:t>for men born abroad</w:t>
      </w:r>
      <w:r w:rsidR="00C966E4" w:rsidRPr="0028531E">
        <w:rPr>
          <w:lang w:val="en-US"/>
        </w:rPr>
        <w:t xml:space="preserve"> (-</w:t>
      </w:r>
      <w:r w:rsidR="00626B86">
        <w:rPr>
          <w:lang w:val="en-US"/>
        </w:rPr>
        <w:t>25.4</w:t>
      </w:r>
      <w:r w:rsidR="00C966E4" w:rsidRPr="0028531E">
        <w:rPr>
          <w:lang w:val="en-US"/>
        </w:rPr>
        <w:t xml:space="preserve">% </w:t>
      </w:r>
      <w:r w:rsidR="00626B86">
        <w:rPr>
          <w:lang w:val="en-US"/>
        </w:rPr>
        <w:t xml:space="preserve">vs. </w:t>
      </w:r>
      <w:r w:rsidR="009E7C57">
        <w:rPr>
          <w:lang w:val="en-US"/>
        </w:rPr>
        <w:t xml:space="preserve">-12.6% </w:t>
      </w:r>
      <w:r w:rsidR="00C966E4" w:rsidRPr="0028531E">
        <w:rPr>
          <w:lang w:val="en-US"/>
        </w:rPr>
        <w:t>points).</w:t>
      </w:r>
    </w:p>
    <w:p w14:paraId="50EE38F0" w14:textId="3B4B554B" w:rsidR="00333240" w:rsidRDefault="00333240" w:rsidP="000525D7">
      <w:pPr>
        <w:rPr>
          <w:lang w:val="en-US"/>
        </w:rPr>
      </w:pPr>
      <w:r>
        <w:rPr>
          <w:lang w:val="en-US"/>
        </w:rPr>
        <w:t xml:space="preserve">The results at </w:t>
      </w:r>
      <w:r w:rsidR="00C52325" w:rsidRPr="0028531E">
        <w:rPr>
          <w:lang w:val="en-US"/>
        </w:rPr>
        <w:t xml:space="preserve">the </w:t>
      </w:r>
      <w:r w:rsidR="00C966E4" w:rsidRPr="0028531E">
        <w:rPr>
          <w:lang w:val="en-US"/>
        </w:rPr>
        <w:t xml:space="preserve">bottom of Table </w:t>
      </w:r>
      <w:r w:rsidR="00F647D2">
        <w:rPr>
          <w:lang w:val="en-US"/>
        </w:rPr>
        <w:t>4</w:t>
      </w:r>
      <w:r>
        <w:rPr>
          <w:lang w:val="en-US"/>
        </w:rPr>
        <w:t xml:space="preserve"> present the extra effect of period 2002-2006 for the different variables listed</w:t>
      </w:r>
      <w:r w:rsidR="0064292F">
        <w:rPr>
          <w:lang w:val="en-US"/>
        </w:rPr>
        <w:t xml:space="preserve"> – which we refer to as the “crossed” effect (an underlying variable crossed with the second sub-period 2002-2006)</w:t>
      </w:r>
      <w:r>
        <w:rPr>
          <w:lang w:val="en-US"/>
        </w:rPr>
        <w:t xml:space="preserve">. When looking at the </w:t>
      </w:r>
      <w:r w:rsidR="0064292F">
        <w:rPr>
          <w:lang w:val="en-US"/>
        </w:rPr>
        <w:t>crossed</w:t>
      </w:r>
      <w:r>
        <w:rPr>
          <w:lang w:val="en-US"/>
        </w:rPr>
        <w:t xml:space="preserve"> effect linked to age, we see that the marginal effect of </w:t>
      </w:r>
      <w:r w:rsidR="001170A2">
        <w:rPr>
          <w:lang w:val="en-US"/>
        </w:rPr>
        <w:t xml:space="preserve">men </w:t>
      </w:r>
      <w:r>
        <w:rPr>
          <w:lang w:val="en-US"/>
        </w:rPr>
        <w:t xml:space="preserve">aged 55-59 and 60-64 was positive and significant in all three countries – pointing at a catching-up phenomenon with respect to the baseline group aged </w:t>
      </w:r>
      <w:r w:rsidR="00755E7D">
        <w:rPr>
          <w:lang w:val="en-US"/>
        </w:rPr>
        <w:t>2</w:t>
      </w:r>
      <w:r>
        <w:rPr>
          <w:lang w:val="en-US"/>
        </w:rPr>
        <w:t>5-49</w:t>
      </w:r>
      <w:r w:rsidR="00E64F33" w:rsidRPr="0028531E">
        <w:rPr>
          <w:lang w:val="en-US"/>
        </w:rPr>
        <w:t>.</w:t>
      </w:r>
      <w:r w:rsidR="000A1280" w:rsidRPr="0028531E">
        <w:rPr>
          <w:lang w:val="en-US"/>
        </w:rPr>
        <w:t xml:space="preserve"> For </w:t>
      </w:r>
      <w:r w:rsidR="00B317A0" w:rsidRPr="0028531E">
        <w:rPr>
          <w:lang w:val="en-US"/>
        </w:rPr>
        <w:t>women</w:t>
      </w:r>
      <w:r w:rsidR="00A14F43">
        <w:rPr>
          <w:lang w:val="en-US"/>
        </w:rPr>
        <w:t>,</w:t>
      </w:r>
      <w:r w:rsidR="00C52325" w:rsidRPr="0028531E">
        <w:rPr>
          <w:lang w:val="en-US"/>
        </w:rPr>
        <w:t xml:space="preserve"> we observe </w:t>
      </w:r>
      <w:r w:rsidR="001D61E7" w:rsidRPr="0028531E">
        <w:rPr>
          <w:lang w:val="en-US"/>
        </w:rPr>
        <w:t xml:space="preserve">either no significant gap with respect to the reference </w:t>
      </w:r>
      <w:r w:rsidR="001170A2">
        <w:rPr>
          <w:lang w:val="en-US"/>
        </w:rPr>
        <w:t>group</w:t>
      </w:r>
      <w:r w:rsidR="00C52325" w:rsidRPr="0028531E">
        <w:rPr>
          <w:lang w:val="en-US"/>
        </w:rPr>
        <w:t xml:space="preserve"> </w:t>
      </w:r>
      <w:r w:rsidR="000A1280" w:rsidRPr="0028531E">
        <w:rPr>
          <w:lang w:val="en-US"/>
        </w:rPr>
        <w:t>(</w:t>
      </w:r>
      <w:r w:rsidR="001D61E7" w:rsidRPr="0028531E">
        <w:rPr>
          <w:lang w:val="en-US"/>
        </w:rPr>
        <w:t>like</w:t>
      </w:r>
      <w:r w:rsidR="000A1280" w:rsidRPr="0028531E">
        <w:rPr>
          <w:lang w:val="en-US"/>
        </w:rPr>
        <w:t xml:space="preserve"> </w:t>
      </w:r>
      <w:r w:rsidR="00B317A0" w:rsidRPr="0028531E">
        <w:rPr>
          <w:lang w:val="en-US"/>
        </w:rPr>
        <w:t xml:space="preserve">in </w:t>
      </w:r>
      <w:r w:rsidR="00765777">
        <w:rPr>
          <w:lang w:val="en-US"/>
        </w:rPr>
        <w:t>France for the 60-64 years old</w:t>
      </w:r>
      <w:r w:rsidR="000A1280" w:rsidRPr="0028531E">
        <w:rPr>
          <w:lang w:val="en-US"/>
        </w:rPr>
        <w:t xml:space="preserve">) or </w:t>
      </w:r>
      <w:r w:rsidR="001D61E7" w:rsidRPr="0028531E">
        <w:rPr>
          <w:lang w:val="en-US"/>
        </w:rPr>
        <w:t xml:space="preserve">a </w:t>
      </w:r>
      <w:r w:rsidR="0039266D" w:rsidRPr="0028531E">
        <w:rPr>
          <w:lang w:val="en-US"/>
        </w:rPr>
        <w:t>smaller</w:t>
      </w:r>
      <w:r w:rsidR="001D61E7" w:rsidRPr="0028531E">
        <w:rPr>
          <w:lang w:val="en-US"/>
        </w:rPr>
        <w:t xml:space="preserve"> effect </w:t>
      </w:r>
      <w:r w:rsidR="0039266D" w:rsidRPr="0028531E">
        <w:rPr>
          <w:lang w:val="en-US"/>
        </w:rPr>
        <w:t>than among men</w:t>
      </w:r>
      <w:r w:rsidR="000A1280" w:rsidRPr="0028531E">
        <w:rPr>
          <w:lang w:val="en-US"/>
        </w:rPr>
        <w:t xml:space="preserve"> </w:t>
      </w:r>
      <w:r w:rsidR="00765777" w:rsidRPr="0028531E">
        <w:rPr>
          <w:lang w:val="en-US"/>
        </w:rPr>
        <w:t>(</w:t>
      </w:r>
      <w:r w:rsidR="00765777">
        <w:rPr>
          <w:lang w:val="en-US"/>
        </w:rPr>
        <w:t>-4.0</w:t>
      </w:r>
      <w:r w:rsidR="000A1280" w:rsidRPr="0028531E">
        <w:rPr>
          <w:lang w:val="en-US"/>
        </w:rPr>
        <w:t xml:space="preserve">% </w:t>
      </w:r>
      <w:r w:rsidR="001D61E7" w:rsidRPr="0028531E">
        <w:rPr>
          <w:lang w:val="en-US"/>
        </w:rPr>
        <w:t>points</w:t>
      </w:r>
      <w:r w:rsidR="0039266D" w:rsidRPr="0028531E">
        <w:rPr>
          <w:lang w:val="en-US"/>
        </w:rPr>
        <w:t xml:space="preserve"> </w:t>
      </w:r>
      <w:r w:rsidR="00765777">
        <w:rPr>
          <w:lang w:val="en-US"/>
        </w:rPr>
        <w:t xml:space="preserve">and near -5.0% points </w:t>
      </w:r>
      <w:r w:rsidR="0039266D" w:rsidRPr="0028531E">
        <w:rPr>
          <w:lang w:val="en-US"/>
        </w:rPr>
        <w:t>among the 55</w:t>
      </w:r>
      <w:r w:rsidR="00A14F43">
        <w:rPr>
          <w:lang w:val="en-US"/>
        </w:rPr>
        <w:t xml:space="preserve"> to </w:t>
      </w:r>
      <w:r w:rsidR="0039266D" w:rsidRPr="0028531E">
        <w:rPr>
          <w:lang w:val="en-US"/>
        </w:rPr>
        <w:t xml:space="preserve">59 years old in </w:t>
      </w:r>
      <w:r w:rsidR="00765777">
        <w:rPr>
          <w:lang w:val="en-US"/>
        </w:rPr>
        <w:t>Belgium</w:t>
      </w:r>
      <w:r w:rsidR="00765777" w:rsidRPr="0028531E">
        <w:rPr>
          <w:lang w:val="en-US"/>
        </w:rPr>
        <w:t xml:space="preserve"> </w:t>
      </w:r>
      <w:r w:rsidR="001D61E7" w:rsidRPr="0028531E">
        <w:rPr>
          <w:lang w:val="en-US"/>
        </w:rPr>
        <w:t xml:space="preserve">and </w:t>
      </w:r>
      <w:r w:rsidR="00E23AED">
        <w:rPr>
          <w:lang w:val="en-US"/>
        </w:rPr>
        <w:t>T</w:t>
      </w:r>
      <w:r w:rsidR="001D61E7" w:rsidRPr="0028531E">
        <w:rPr>
          <w:lang w:val="en-US"/>
        </w:rPr>
        <w:t>he Netherlands</w:t>
      </w:r>
      <w:r w:rsidR="00765777">
        <w:rPr>
          <w:lang w:val="en-US"/>
        </w:rPr>
        <w:t>, respectively</w:t>
      </w:r>
      <w:r w:rsidR="000A1280" w:rsidRPr="0028531E">
        <w:rPr>
          <w:lang w:val="en-US"/>
        </w:rPr>
        <w:t>)</w:t>
      </w:r>
      <w:r w:rsidR="001D61E7" w:rsidRPr="0028531E">
        <w:rPr>
          <w:lang w:val="en-US"/>
        </w:rPr>
        <w:t>.</w:t>
      </w:r>
      <w:r w:rsidR="00296B96" w:rsidRPr="0028531E">
        <w:rPr>
          <w:lang w:val="en-US"/>
        </w:rPr>
        <w:t xml:space="preserve"> </w:t>
      </w:r>
      <w:r>
        <w:rPr>
          <w:lang w:val="en-US"/>
        </w:rPr>
        <w:t>Remember that our findings are purely descriptive in this sense neither the proof nor the invalidation of any specific policy measure. They rather document that in the aftermath of the Lisbon summit, there has been an increase in employment and some degree of catching up</w:t>
      </w:r>
      <w:r w:rsidR="00D42C25">
        <w:rPr>
          <w:lang w:val="en-US"/>
        </w:rPr>
        <w:t xml:space="preserve"> – whether caused by policy change or not</w:t>
      </w:r>
      <w:r>
        <w:rPr>
          <w:lang w:val="en-US"/>
        </w:rPr>
        <w:t>.</w:t>
      </w:r>
    </w:p>
    <w:p w14:paraId="6942F417" w14:textId="7FA052D9" w:rsidR="004D470C" w:rsidRPr="0028531E" w:rsidRDefault="00333240" w:rsidP="000525D7">
      <w:pPr>
        <w:rPr>
          <w:lang w:val="en-US"/>
        </w:rPr>
      </w:pPr>
      <w:r>
        <w:rPr>
          <w:lang w:val="en-US"/>
        </w:rPr>
        <w:t xml:space="preserve">From the results of Table </w:t>
      </w:r>
      <w:r w:rsidR="00F647D2">
        <w:rPr>
          <w:lang w:val="en-US"/>
        </w:rPr>
        <w:t>4</w:t>
      </w:r>
      <w:r>
        <w:rPr>
          <w:lang w:val="en-US"/>
        </w:rPr>
        <w:t xml:space="preserve">, it is further noticeable that </w:t>
      </w:r>
      <w:r w:rsidR="00B05722">
        <w:rPr>
          <w:lang w:val="en-US"/>
        </w:rPr>
        <w:t xml:space="preserve">among women </w:t>
      </w:r>
      <w:r w:rsidR="00296B96" w:rsidRPr="0028531E">
        <w:rPr>
          <w:lang w:val="en-US"/>
        </w:rPr>
        <w:t>in most cases ER grew faster for low and medium educated workers than for highly educated</w:t>
      </w:r>
      <w:r>
        <w:rPr>
          <w:lang w:val="en-US"/>
        </w:rPr>
        <w:t xml:space="preserve"> – all other things being equal</w:t>
      </w:r>
      <w:r w:rsidR="00296B96" w:rsidRPr="0028531E">
        <w:rPr>
          <w:lang w:val="en-US"/>
        </w:rPr>
        <w:t xml:space="preserve">. </w:t>
      </w:r>
      <w:r w:rsidR="0084427C">
        <w:rPr>
          <w:lang w:val="en-US"/>
        </w:rPr>
        <w:t xml:space="preserve">Among men, the same evolution is only observed in </w:t>
      </w:r>
      <w:r w:rsidR="00E23AED">
        <w:rPr>
          <w:lang w:val="en-US"/>
        </w:rPr>
        <w:t>T</w:t>
      </w:r>
      <w:r w:rsidR="0084427C">
        <w:rPr>
          <w:lang w:val="en-US"/>
        </w:rPr>
        <w:t xml:space="preserve">he Netherlands for low educated (+4.2% points). </w:t>
      </w:r>
    </w:p>
    <w:p w14:paraId="6E2C8DCC" w14:textId="6E9CAA4B" w:rsidR="00E7721F" w:rsidRPr="0028531E" w:rsidRDefault="000B5813" w:rsidP="000525D7">
      <w:pPr>
        <w:rPr>
          <w:lang w:val="en-US"/>
        </w:rPr>
      </w:pPr>
      <w:r w:rsidRPr="0028531E">
        <w:rPr>
          <w:lang w:val="en-US"/>
        </w:rPr>
        <w:t xml:space="preserve">Table </w:t>
      </w:r>
      <w:r w:rsidR="00F647D2">
        <w:rPr>
          <w:lang w:val="en-US"/>
        </w:rPr>
        <w:t>5</w:t>
      </w:r>
      <w:r w:rsidRPr="0028531E">
        <w:rPr>
          <w:lang w:val="en-US"/>
        </w:rPr>
        <w:t xml:space="preserve"> </w:t>
      </w:r>
      <w:r w:rsidR="00D42C25">
        <w:rPr>
          <w:lang w:val="en-US"/>
        </w:rPr>
        <w:t xml:space="preserve">reports similar results for </w:t>
      </w:r>
      <w:r w:rsidRPr="0028531E">
        <w:rPr>
          <w:lang w:val="en-US"/>
        </w:rPr>
        <w:t>th</w:t>
      </w:r>
      <w:r w:rsidR="008779C2" w:rsidRPr="0028531E">
        <w:rPr>
          <w:lang w:val="en-US"/>
        </w:rPr>
        <w:t xml:space="preserve">e </w:t>
      </w:r>
      <w:r w:rsidR="00D42C25">
        <w:rPr>
          <w:lang w:val="en-US"/>
        </w:rPr>
        <w:t>seco</w:t>
      </w:r>
      <w:r w:rsidR="00333240">
        <w:rPr>
          <w:lang w:val="en-US"/>
        </w:rPr>
        <w:t>n</w:t>
      </w:r>
      <w:r w:rsidR="00D42C25">
        <w:rPr>
          <w:lang w:val="en-US"/>
        </w:rPr>
        <w:t>d</w:t>
      </w:r>
      <w:r w:rsidR="00333240">
        <w:rPr>
          <w:lang w:val="en-US"/>
        </w:rPr>
        <w:t xml:space="preserve"> period </w:t>
      </w:r>
      <w:r w:rsidR="00D42C25">
        <w:rPr>
          <w:lang w:val="en-US"/>
        </w:rPr>
        <w:t xml:space="preserve">of analysis 2002-2011. Results of the top panel of Table </w:t>
      </w:r>
      <w:r w:rsidR="00F647D2">
        <w:rPr>
          <w:lang w:val="en-US"/>
        </w:rPr>
        <w:t>5</w:t>
      </w:r>
      <w:r w:rsidR="00D42C25">
        <w:rPr>
          <w:lang w:val="en-US"/>
        </w:rPr>
        <w:t xml:space="preserve"> are broadly comparable with those of Table </w:t>
      </w:r>
      <w:r w:rsidR="005C7E1C">
        <w:rPr>
          <w:lang w:val="en-US"/>
        </w:rPr>
        <w:t>4</w:t>
      </w:r>
      <w:r w:rsidR="00D42C25">
        <w:rPr>
          <w:lang w:val="en-US"/>
        </w:rPr>
        <w:t xml:space="preserve">. </w:t>
      </w:r>
      <w:r w:rsidR="00704C98">
        <w:rPr>
          <w:lang w:val="en-US"/>
        </w:rPr>
        <w:t xml:space="preserve">For </w:t>
      </w:r>
      <w:r w:rsidR="005F1F59" w:rsidRPr="0028531E">
        <w:rPr>
          <w:lang w:val="en-US"/>
        </w:rPr>
        <w:t xml:space="preserve">Germany, </w:t>
      </w:r>
      <w:r w:rsidR="00D25455" w:rsidRPr="0028531E">
        <w:rPr>
          <w:lang w:val="en-US"/>
        </w:rPr>
        <w:t xml:space="preserve">which was </w:t>
      </w:r>
      <w:r w:rsidR="005F1F59" w:rsidRPr="0028531E">
        <w:rPr>
          <w:lang w:val="en-US"/>
        </w:rPr>
        <w:t xml:space="preserve">not present in Table </w:t>
      </w:r>
      <w:r w:rsidR="00F647D2">
        <w:rPr>
          <w:lang w:val="en-US"/>
        </w:rPr>
        <w:t>4</w:t>
      </w:r>
      <w:r w:rsidR="005F1F59" w:rsidRPr="0028531E">
        <w:rPr>
          <w:lang w:val="en-US"/>
        </w:rPr>
        <w:t xml:space="preserve">, </w:t>
      </w:r>
      <w:r w:rsidR="008F57F4" w:rsidRPr="0028531E">
        <w:rPr>
          <w:lang w:val="en-US"/>
        </w:rPr>
        <w:t>the marginal effects of education a</w:t>
      </w:r>
      <w:r w:rsidR="007332EF" w:rsidRPr="0028531E">
        <w:rPr>
          <w:lang w:val="en-US"/>
        </w:rPr>
        <w:t>nd</w:t>
      </w:r>
      <w:r w:rsidR="008F57F4" w:rsidRPr="0028531E">
        <w:rPr>
          <w:lang w:val="en-US"/>
        </w:rPr>
        <w:t xml:space="preserve"> country of birth are </w:t>
      </w:r>
      <w:r w:rsidR="0073125C" w:rsidRPr="0028531E">
        <w:rPr>
          <w:lang w:val="en-US"/>
        </w:rPr>
        <w:t xml:space="preserve">all </w:t>
      </w:r>
      <w:r w:rsidR="008F57F4" w:rsidRPr="0028531E">
        <w:rPr>
          <w:lang w:val="en-US"/>
        </w:rPr>
        <w:t>comparable to those observed for the other countries</w:t>
      </w:r>
      <w:r w:rsidR="0073125C" w:rsidRPr="0028531E">
        <w:rPr>
          <w:lang w:val="en-US"/>
        </w:rPr>
        <w:t xml:space="preserve"> and statistically significant</w:t>
      </w:r>
      <w:r w:rsidR="008F57F4" w:rsidRPr="0028531E">
        <w:rPr>
          <w:lang w:val="en-US"/>
        </w:rPr>
        <w:t xml:space="preserve">. </w:t>
      </w:r>
      <w:r w:rsidR="00BC26BF" w:rsidRPr="0028531E">
        <w:rPr>
          <w:lang w:val="en-US"/>
        </w:rPr>
        <w:t xml:space="preserve">More remarkable </w:t>
      </w:r>
      <w:r w:rsidR="00D25455" w:rsidRPr="0028531E">
        <w:rPr>
          <w:lang w:val="en-US"/>
        </w:rPr>
        <w:t xml:space="preserve">in the case of Germany, </w:t>
      </w:r>
      <w:r w:rsidR="00BC26BF" w:rsidRPr="0028531E">
        <w:rPr>
          <w:lang w:val="en-US"/>
        </w:rPr>
        <w:t xml:space="preserve">is </w:t>
      </w:r>
      <w:r w:rsidR="00D25455" w:rsidRPr="0028531E">
        <w:rPr>
          <w:lang w:val="en-US"/>
        </w:rPr>
        <w:t>that</w:t>
      </w:r>
      <w:r w:rsidR="00BC26BF" w:rsidRPr="0028531E">
        <w:rPr>
          <w:lang w:val="en-US"/>
        </w:rPr>
        <w:t xml:space="preserve"> no </w:t>
      </w:r>
      <w:r w:rsidR="00D42C25">
        <w:rPr>
          <w:lang w:val="en-US"/>
        </w:rPr>
        <w:t xml:space="preserve">major </w:t>
      </w:r>
      <w:r w:rsidR="00BC26BF" w:rsidRPr="0028531E">
        <w:rPr>
          <w:lang w:val="en-US"/>
        </w:rPr>
        <w:t xml:space="preserve">differences appear between the marginal effects across women and men, and that age effects are less dramatic, particularly for the 55 to 59 years old, </w:t>
      </w:r>
      <w:r w:rsidR="0084427C">
        <w:rPr>
          <w:lang w:val="en-US"/>
        </w:rPr>
        <w:t>-12.8</w:t>
      </w:r>
      <w:r w:rsidR="00BC26BF" w:rsidRPr="0028531E">
        <w:rPr>
          <w:lang w:val="en-US"/>
        </w:rPr>
        <w:t xml:space="preserve">% and </w:t>
      </w:r>
      <w:r w:rsidR="0084427C">
        <w:rPr>
          <w:lang w:val="en-US"/>
        </w:rPr>
        <w:t>-21.9</w:t>
      </w:r>
      <w:r w:rsidR="0074068F" w:rsidRPr="0028531E">
        <w:rPr>
          <w:lang w:val="en-US"/>
        </w:rPr>
        <w:t xml:space="preserve">% points compared </w:t>
      </w:r>
      <w:r w:rsidR="0074068F" w:rsidRPr="0028531E">
        <w:rPr>
          <w:lang w:val="en-US"/>
        </w:rPr>
        <w:lastRenderedPageBreak/>
        <w:t>to drops in ER rates going from -</w:t>
      </w:r>
      <w:r w:rsidR="0084427C">
        <w:rPr>
          <w:lang w:val="en-US"/>
        </w:rPr>
        <w:t>16.0</w:t>
      </w:r>
      <w:r w:rsidR="0074068F" w:rsidRPr="0028531E">
        <w:rPr>
          <w:lang w:val="en-US"/>
        </w:rPr>
        <w:t xml:space="preserve">% to near </w:t>
      </w:r>
      <w:r w:rsidR="0084427C">
        <w:rPr>
          <w:lang w:val="en-US"/>
        </w:rPr>
        <w:t>-38.4</w:t>
      </w:r>
      <w:r w:rsidR="0074068F" w:rsidRPr="0028531E">
        <w:rPr>
          <w:lang w:val="en-US"/>
        </w:rPr>
        <w:t>% points in the neighbor</w:t>
      </w:r>
      <w:r w:rsidR="000A1280" w:rsidRPr="0028531E">
        <w:rPr>
          <w:lang w:val="en-US"/>
        </w:rPr>
        <w:t>ing</w:t>
      </w:r>
      <w:r w:rsidR="0074068F" w:rsidRPr="0028531E">
        <w:rPr>
          <w:lang w:val="en-US"/>
        </w:rPr>
        <w:t xml:space="preserve"> countries.</w:t>
      </w:r>
      <w:r w:rsidR="00B70ED1">
        <w:rPr>
          <w:rStyle w:val="FootnoteReference"/>
          <w:lang w:val="en-US"/>
        </w:rPr>
        <w:footnoteReference w:id="12"/>
      </w:r>
      <w:r w:rsidR="00D93D7D">
        <w:rPr>
          <w:lang w:val="en-US"/>
        </w:rPr>
        <w:t xml:space="preserve"> </w:t>
      </w:r>
      <w:r w:rsidR="00D93D7D" w:rsidRPr="0028531E">
        <w:rPr>
          <w:lang w:val="en-US"/>
        </w:rPr>
        <w:t>The effect of marital status is rather heterogeneous across periods and countries</w:t>
      </w:r>
      <w:r w:rsidR="00D93D7D">
        <w:rPr>
          <w:lang w:val="en-US"/>
        </w:rPr>
        <w:t xml:space="preserve">, but they confirm </w:t>
      </w:r>
      <w:r w:rsidR="00BA3BBB">
        <w:rPr>
          <w:lang w:val="en-US"/>
        </w:rPr>
        <w:t xml:space="preserve">the observation </w:t>
      </w:r>
      <w:r w:rsidR="00D93D7D">
        <w:rPr>
          <w:lang w:val="en-US"/>
        </w:rPr>
        <w:t xml:space="preserve">that </w:t>
      </w:r>
      <w:r w:rsidR="00BA3BBB">
        <w:rPr>
          <w:lang w:val="en-US"/>
        </w:rPr>
        <w:t xml:space="preserve">among women </w:t>
      </w:r>
      <w:r w:rsidR="00D93D7D">
        <w:rPr>
          <w:lang w:val="en-US"/>
        </w:rPr>
        <w:t>ER</w:t>
      </w:r>
      <w:r w:rsidR="0057177F">
        <w:rPr>
          <w:lang w:val="en-US"/>
        </w:rPr>
        <w:t>s</w:t>
      </w:r>
      <w:r w:rsidR="00D93D7D">
        <w:rPr>
          <w:lang w:val="en-US"/>
        </w:rPr>
        <w:t xml:space="preserve"> are higher </w:t>
      </w:r>
      <w:r w:rsidR="00BA3BBB">
        <w:rPr>
          <w:lang w:val="en-US"/>
        </w:rPr>
        <w:t>for</w:t>
      </w:r>
      <w:r w:rsidR="00D93D7D">
        <w:rPr>
          <w:lang w:val="en-US"/>
        </w:rPr>
        <w:t xml:space="preserve"> single </w:t>
      </w:r>
      <w:r w:rsidR="00BA3BBB">
        <w:rPr>
          <w:lang w:val="en-US"/>
        </w:rPr>
        <w:t xml:space="preserve">than for married, and that the </w:t>
      </w:r>
      <w:r w:rsidR="0057177F">
        <w:rPr>
          <w:lang w:val="en-US"/>
        </w:rPr>
        <w:t xml:space="preserve">opposite situation holds true for </w:t>
      </w:r>
      <w:r w:rsidR="00BA3BBB">
        <w:rPr>
          <w:lang w:val="en-US"/>
        </w:rPr>
        <w:t>men</w:t>
      </w:r>
      <w:r w:rsidR="00D93D7D">
        <w:rPr>
          <w:lang w:val="en-US"/>
        </w:rPr>
        <w:t>.</w:t>
      </w:r>
    </w:p>
    <w:p w14:paraId="59A5DADB" w14:textId="7A360FCE" w:rsidR="00D42C25" w:rsidRDefault="00CC6D89" w:rsidP="000525D7">
      <w:pPr>
        <w:rPr>
          <w:lang w:val="en-US"/>
        </w:rPr>
      </w:pPr>
      <w:r w:rsidRPr="0028531E">
        <w:rPr>
          <w:lang w:val="en-US"/>
        </w:rPr>
        <w:t xml:space="preserve">The second part of Table </w:t>
      </w:r>
      <w:r w:rsidR="0084427C">
        <w:rPr>
          <w:lang w:val="en-US"/>
        </w:rPr>
        <w:t>5</w:t>
      </w:r>
      <w:r w:rsidRPr="0028531E">
        <w:rPr>
          <w:lang w:val="en-US"/>
        </w:rPr>
        <w:t xml:space="preserve"> reveals some surprising results. First, our estimates indicate that </w:t>
      </w:r>
      <w:r w:rsidR="0071023B" w:rsidRPr="0028531E">
        <w:rPr>
          <w:lang w:val="en-US"/>
        </w:rPr>
        <w:t>contrary</w:t>
      </w:r>
      <w:r w:rsidR="00EA2636" w:rsidRPr="0028531E">
        <w:rPr>
          <w:lang w:val="en-US"/>
        </w:rPr>
        <w:t xml:space="preserve"> to </w:t>
      </w:r>
      <w:r w:rsidR="0057177F">
        <w:rPr>
          <w:lang w:val="en-US"/>
        </w:rPr>
        <w:t>what one might have expected after the onset of the financial crisis</w:t>
      </w:r>
      <w:r w:rsidR="00E72BDF" w:rsidRPr="0028531E">
        <w:rPr>
          <w:lang w:val="en-US"/>
        </w:rPr>
        <w:t>,</w:t>
      </w:r>
      <w:r w:rsidR="00EA2636" w:rsidRPr="0028531E">
        <w:rPr>
          <w:lang w:val="en-US"/>
        </w:rPr>
        <w:t xml:space="preserve"> </w:t>
      </w:r>
      <w:r w:rsidRPr="0028531E">
        <w:rPr>
          <w:lang w:val="en-US"/>
        </w:rPr>
        <w:t xml:space="preserve">the </w:t>
      </w:r>
      <w:r w:rsidR="0071023B" w:rsidRPr="0028531E">
        <w:rPr>
          <w:lang w:val="en-US"/>
        </w:rPr>
        <w:t xml:space="preserve">ER </w:t>
      </w:r>
      <w:r w:rsidR="0057177F" w:rsidRPr="0028531E">
        <w:rPr>
          <w:lang w:val="en-US"/>
        </w:rPr>
        <w:t xml:space="preserve">for the population </w:t>
      </w:r>
      <w:r w:rsidR="0071023B" w:rsidRPr="0028531E">
        <w:rPr>
          <w:lang w:val="en-US"/>
        </w:rPr>
        <w:t xml:space="preserve">improved from 2007 to 2011 </w:t>
      </w:r>
      <w:r w:rsidRPr="0028531E">
        <w:rPr>
          <w:lang w:val="en-US"/>
        </w:rPr>
        <w:t xml:space="preserve">as witnessed by the positive marginal effect </w:t>
      </w:r>
      <w:r w:rsidR="00D42C25">
        <w:rPr>
          <w:lang w:val="en-US"/>
        </w:rPr>
        <w:t>of this second sub-period</w:t>
      </w:r>
      <w:r w:rsidRPr="0028531E">
        <w:rPr>
          <w:lang w:val="en-US"/>
        </w:rPr>
        <w:t xml:space="preserve">. This is </w:t>
      </w:r>
      <w:r w:rsidR="0071023B" w:rsidRPr="0028531E">
        <w:rPr>
          <w:lang w:val="en-US"/>
        </w:rPr>
        <w:t xml:space="preserve">particularly </w:t>
      </w:r>
      <w:r w:rsidRPr="0028531E">
        <w:rPr>
          <w:lang w:val="en-US"/>
        </w:rPr>
        <w:t xml:space="preserve">true </w:t>
      </w:r>
      <w:r w:rsidR="007F317A">
        <w:rPr>
          <w:lang w:val="en-US"/>
        </w:rPr>
        <w:t xml:space="preserve">for women and men </w:t>
      </w:r>
      <w:r w:rsidR="0071023B" w:rsidRPr="0028531E">
        <w:rPr>
          <w:lang w:val="en-US"/>
        </w:rPr>
        <w:t>in Germany</w:t>
      </w:r>
      <w:r w:rsidR="000B6564" w:rsidRPr="0028531E">
        <w:rPr>
          <w:lang w:val="en-US"/>
        </w:rPr>
        <w:t xml:space="preserve"> (</w:t>
      </w:r>
      <w:r w:rsidR="00796733" w:rsidRPr="0028531E">
        <w:rPr>
          <w:position w:val="-12"/>
          <w:lang w:val="en-US"/>
        </w:rPr>
        <w:object w:dxaOrig="480" w:dyaOrig="360" w14:anchorId="7A0A3871">
          <v:shape id="_x0000_i1070" type="#_x0000_t75" style="width:25.45pt;height:17.25pt" o:ole="">
            <v:imagedata r:id="rId98" o:title=""/>
          </v:shape>
          <o:OLEObject Type="Embed" ProgID="Equation.3" ShapeID="_x0000_i1070" DrawAspect="Content" ObjectID="_1533125618" r:id="rId99"/>
        </w:object>
      </w:r>
      <w:r w:rsidR="000B6564" w:rsidRPr="0028531E">
        <w:rPr>
          <w:lang w:val="en-US"/>
        </w:rPr>
        <w:t xml:space="preserve">+ </w:t>
      </w:r>
      <w:r w:rsidR="005134FD">
        <w:rPr>
          <w:lang w:val="en-US"/>
        </w:rPr>
        <w:t>1.7</w:t>
      </w:r>
      <w:r w:rsidR="000B6564" w:rsidRPr="0028531E">
        <w:rPr>
          <w:lang w:val="en-US"/>
        </w:rPr>
        <w:t xml:space="preserve">% and </w:t>
      </w:r>
      <w:r w:rsidR="00796733" w:rsidRPr="0028531E">
        <w:rPr>
          <w:position w:val="-12"/>
          <w:lang w:val="en-US"/>
        </w:rPr>
        <w:object w:dxaOrig="480" w:dyaOrig="360" w14:anchorId="7339F24B">
          <v:shape id="_x0000_i1071" type="#_x0000_t75" style="width:25.45pt;height:17.25pt" o:ole="">
            <v:imagedata r:id="rId100" o:title=""/>
          </v:shape>
          <o:OLEObject Type="Embed" ProgID="Equation.3" ShapeID="_x0000_i1071" DrawAspect="Content" ObjectID="_1533125619" r:id="rId101"/>
        </w:object>
      </w:r>
      <w:r w:rsidR="00441374" w:rsidRPr="0028531E">
        <w:rPr>
          <w:lang w:val="en-US"/>
        </w:rPr>
        <w:t>+</w:t>
      </w:r>
      <w:r w:rsidR="00704C98">
        <w:rPr>
          <w:lang w:val="en-US"/>
        </w:rPr>
        <w:t xml:space="preserve"> </w:t>
      </w:r>
      <w:r w:rsidR="005134FD">
        <w:rPr>
          <w:lang w:val="en-US"/>
        </w:rPr>
        <w:t>3.2</w:t>
      </w:r>
      <w:r w:rsidR="000B6564" w:rsidRPr="0028531E">
        <w:rPr>
          <w:lang w:val="en-US"/>
        </w:rPr>
        <w:t>% points, respectively)</w:t>
      </w:r>
      <w:r w:rsidR="00441374" w:rsidRPr="0057177F">
        <w:rPr>
          <w:lang w:val="en-US"/>
        </w:rPr>
        <w:t xml:space="preserve"> </w:t>
      </w:r>
      <w:r w:rsidR="00441374" w:rsidRPr="0028531E">
        <w:rPr>
          <w:lang w:val="en-US"/>
        </w:rPr>
        <w:t xml:space="preserve">and </w:t>
      </w:r>
      <w:r w:rsidR="007F317A">
        <w:rPr>
          <w:lang w:val="en-US"/>
        </w:rPr>
        <w:t xml:space="preserve">in France </w:t>
      </w:r>
      <w:r w:rsidR="007F317A" w:rsidRPr="0028531E">
        <w:rPr>
          <w:lang w:val="en-US"/>
        </w:rPr>
        <w:t>(</w:t>
      </w:r>
      <w:r w:rsidR="007F317A" w:rsidRPr="0028531E">
        <w:rPr>
          <w:position w:val="-12"/>
          <w:lang w:val="en-US"/>
        </w:rPr>
        <w:object w:dxaOrig="480" w:dyaOrig="360" w14:anchorId="1811E970">
          <v:shape id="_x0000_i1072" type="#_x0000_t75" style="width:25.45pt;height:17.25pt" o:ole="">
            <v:imagedata r:id="rId98" o:title=""/>
          </v:shape>
          <o:OLEObject Type="Embed" ProgID="Equation.3" ShapeID="_x0000_i1072" DrawAspect="Content" ObjectID="_1533125620" r:id="rId102"/>
        </w:object>
      </w:r>
      <w:r w:rsidR="007F317A" w:rsidRPr="0028531E">
        <w:rPr>
          <w:lang w:val="en-US"/>
        </w:rPr>
        <w:t xml:space="preserve">+ </w:t>
      </w:r>
      <w:r w:rsidR="007F317A">
        <w:rPr>
          <w:lang w:val="en-US"/>
        </w:rPr>
        <w:t>1.5</w:t>
      </w:r>
      <w:r w:rsidR="007F317A" w:rsidRPr="0028531E">
        <w:rPr>
          <w:lang w:val="en-US"/>
        </w:rPr>
        <w:t xml:space="preserve">% and </w:t>
      </w:r>
      <w:r w:rsidR="007F317A" w:rsidRPr="0028531E">
        <w:rPr>
          <w:position w:val="-12"/>
          <w:lang w:val="en-US"/>
        </w:rPr>
        <w:object w:dxaOrig="480" w:dyaOrig="360" w14:anchorId="02353BB1">
          <v:shape id="_x0000_i1073" type="#_x0000_t75" style="width:25.45pt;height:17.25pt" o:ole="">
            <v:imagedata r:id="rId100" o:title=""/>
          </v:shape>
          <o:OLEObject Type="Embed" ProgID="Equation.3" ShapeID="_x0000_i1073" DrawAspect="Content" ObjectID="_1533125621" r:id="rId103"/>
        </w:object>
      </w:r>
      <w:r w:rsidR="007F317A" w:rsidRPr="0028531E">
        <w:rPr>
          <w:lang w:val="en-US"/>
        </w:rPr>
        <w:t>+</w:t>
      </w:r>
      <w:r w:rsidR="007F317A">
        <w:rPr>
          <w:lang w:val="en-US"/>
        </w:rPr>
        <w:t xml:space="preserve"> 1.6</w:t>
      </w:r>
      <w:r w:rsidR="007F317A" w:rsidRPr="0028531E">
        <w:rPr>
          <w:lang w:val="en-US"/>
        </w:rPr>
        <w:t>% points, respectively</w:t>
      </w:r>
      <w:r w:rsidR="007F317A" w:rsidRPr="0057177F">
        <w:rPr>
          <w:lang w:val="en-US"/>
        </w:rPr>
        <w:t xml:space="preserve">), as well as </w:t>
      </w:r>
      <w:r w:rsidR="00441374" w:rsidRPr="0057177F">
        <w:rPr>
          <w:lang w:val="en-US"/>
        </w:rPr>
        <w:t xml:space="preserve">among </w:t>
      </w:r>
      <w:r w:rsidR="00441374" w:rsidRPr="0028531E">
        <w:rPr>
          <w:lang w:val="en-US"/>
        </w:rPr>
        <w:t>women in Belgium (+</w:t>
      </w:r>
      <w:r w:rsidR="00704C98">
        <w:rPr>
          <w:lang w:val="en-US"/>
        </w:rPr>
        <w:t xml:space="preserve"> </w:t>
      </w:r>
      <w:r w:rsidR="007F317A">
        <w:rPr>
          <w:lang w:val="en-US"/>
        </w:rPr>
        <w:t>1.8</w:t>
      </w:r>
      <w:r w:rsidR="00441374" w:rsidRPr="0028531E">
        <w:rPr>
          <w:lang w:val="en-US"/>
        </w:rPr>
        <w:t xml:space="preserve">% points) and </w:t>
      </w:r>
      <w:r w:rsidR="00E23AED">
        <w:rPr>
          <w:lang w:val="en-US"/>
        </w:rPr>
        <w:t>T</w:t>
      </w:r>
      <w:r w:rsidR="00441374" w:rsidRPr="0028531E">
        <w:rPr>
          <w:lang w:val="en-US"/>
        </w:rPr>
        <w:t>he Netherlands (+</w:t>
      </w:r>
      <w:r w:rsidR="00704C98">
        <w:rPr>
          <w:lang w:val="en-US"/>
        </w:rPr>
        <w:t xml:space="preserve"> </w:t>
      </w:r>
      <w:r w:rsidR="007F317A">
        <w:rPr>
          <w:lang w:val="en-US"/>
        </w:rPr>
        <w:t>1.3</w:t>
      </w:r>
      <w:r w:rsidR="00441374" w:rsidRPr="0028531E">
        <w:rPr>
          <w:lang w:val="en-US"/>
        </w:rPr>
        <w:t>% points)</w:t>
      </w:r>
      <w:r w:rsidR="00D42C25">
        <w:rPr>
          <w:lang w:val="en-US"/>
        </w:rPr>
        <w:t xml:space="preserve"> – showing that the aftermath of the financial crisis has not everywhere been a period of low and decreasing employment</w:t>
      </w:r>
      <w:r w:rsidR="00EA2636" w:rsidRPr="0028531E">
        <w:rPr>
          <w:lang w:val="en-US"/>
        </w:rPr>
        <w:t xml:space="preserve">. </w:t>
      </w:r>
      <w:r w:rsidR="00D42C25">
        <w:rPr>
          <w:lang w:val="en-US"/>
        </w:rPr>
        <w:t>Quite to the contrary, some countries seem to have made important advances in the post-crisis world</w:t>
      </w:r>
      <w:r w:rsidR="00A14F43">
        <w:rPr>
          <w:lang w:val="en-US"/>
        </w:rPr>
        <w:t xml:space="preserve"> – be they the result of explicit policy measures (such as continued implementation of employment strategies) or not</w:t>
      </w:r>
      <w:r w:rsidR="00D42C25">
        <w:rPr>
          <w:lang w:val="en-US"/>
        </w:rPr>
        <w:t>.</w:t>
      </w:r>
      <w:r w:rsidR="0071023B" w:rsidRPr="0028531E">
        <w:rPr>
          <w:lang w:val="en-US"/>
        </w:rPr>
        <w:t xml:space="preserve"> </w:t>
      </w:r>
    </w:p>
    <w:p w14:paraId="66BF2439" w14:textId="0C01B6EE" w:rsidR="006E7DC1" w:rsidRPr="0028531E" w:rsidRDefault="00EA2636" w:rsidP="000525D7">
      <w:pPr>
        <w:rPr>
          <w:lang w:val="en-US"/>
        </w:rPr>
      </w:pPr>
      <w:r w:rsidRPr="0028531E">
        <w:rPr>
          <w:lang w:val="en-US"/>
        </w:rPr>
        <w:t xml:space="preserve">Second, </w:t>
      </w:r>
      <w:r w:rsidR="00717010" w:rsidRPr="0028531E">
        <w:rPr>
          <w:lang w:val="en-US"/>
        </w:rPr>
        <w:t xml:space="preserve">we observe </w:t>
      </w:r>
      <w:r w:rsidRPr="0028531E">
        <w:rPr>
          <w:lang w:val="en-US"/>
        </w:rPr>
        <w:t xml:space="preserve">a positive and significant </w:t>
      </w:r>
      <w:r w:rsidR="00CC6D89" w:rsidRPr="0028531E">
        <w:rPr>
          <w:lang w:val="en-US"/>
        </w:rPr>
        <w:t xml:space="preserve">additional </w:t>
      </w:r>
      <w:r w:rsidRPr="0028531E">
        <w:rPr>
          <w:lang w:val="en-US"/>
        </w:rPr>
        <w:t>effect</w:t>
      </w:r>
      <w:r w:rsidR="00717010" w:rsidRPr="0028531E">
        <w:rPr>
          <w:lang w:val="en-US"/>
        </w:rPr>
        <w:t xml:space="preserve"> among the aged. </w:t>
      </w:r>
      <w:r w:rsidR="00A212E8" w:rsidRPr="0028531E">
        <w:rPr>
          <w:lang w:val="en-US"/>
        </w:rPr>
        <w:t xml:space="preserve">Among </w:t>
      </w:r>
      <w:r w:rsidR="00E72BDF" w:rsidRPr="0028531E">
        <w:rPr>
          <w:lang w:val="en-US"/>
        </w:rPr>
        <w:t xml:space="preserve">the 55 to 59 years old </w:t>
      </w:r>
      <w:r w:rsidR="00717010" w:rsidRPr="0028531E">
        <w:rPr>
          <w:lang w:val="en-US"/>
        </w:rPr>
        <w:t>the marginal effect</w:t>
      </w:r>
      <w:r w:rsidR="00E72BDF" w:rsidRPr="0028531E">
        <w:rPr>
          <w:lang w:val="en-US"/>
        </w:rPr>
        <w:t>,</w:t>
      </w:r>
      <w:r w:rsidR="00717010" w:rsidRPr="0028531E">
        <w:rPr>
          <w:lang w:val="en-US"/>
        </w:rPr>
        <w:t xml:space="preserve"> corresponding to </w:t>
      </w:r>
      <w:r w:rsidR="00E72BDF" w:rsidRPr="0028531E">
        <w:rPr>
          <w:lang w:val="en-US"/>
        </w:rPr>
        <w:t xml:space="preserve">the </w:t>
      </w:r>
      <w:r w:rsidR="00796733" w:rsidRPr="0028531E">
        <w:rPr>
          <w:position w:val="-14"/>
          <w:lang w:val="en-US"/>
        </w:rPr>
        <w:object w:dxaOrig="420" w:dyaOrig="420" w14:anchorId="31021390">
          <v:shape id="_x0000_i1074" type="#_x0000_t75" style="width:22.4pt;height:19.4pt" o:ole="">
            <v:imagedata r:id="rId104" o:title=""/>
          </v:shape>
          <o:OLEObject Type="Embed" ProgID="Equation.3" ShapeID="_x0000_i1074" DrawAspect="Content" ObjectID="_1533125622" r:id="rId105"/>
        </w:object>
      </w:r>
      <w:r w:rsidR="00E72BDF" w:rsidRPr="0028531E">
        <w:rPr>
          <w:lang w:val="en-US"/>
        </w:rPr>
        <w:t xml:space="preserve"> coefficient,</w:t>
      </w:r>
      <w:r w:rsidR="00717010" w:rsidRPr="0028531E">
        <w:rPr>
          <w:lang w:val="en-US"/>
        </w:rPr>
        <w:t xml:space="preserve"> </w:t>
      </w:r>
      <w:r w:rsidR="00A212E8" w:rsidRPr="0028531E">
        <w:rPr>
          <w:lang w:val="en-US"/>
        </w:rPr>
        <w:t>are in several cases</w:t>
      </w:r>
      <w:r w:rsidR="00717010" w:rsidRPr="0028531E">
        <w:rPr>
          <w:lang w:val="en-US"/>
        </w:rPr>
        <w:t xml:space="preserve"> higher than 5% points (the only exceptions are </w:t>
      </w:r>
      <w:r w:rsidR="00A212E8" w:rsidRPr="0028531E">
        <w:rPr>
          <w:lang w:val="en-US"/>
        </w:rPr>
        <w:t xml:space="preserve">men in </w:t>
      </w:r>
      <w:r w:rsidR="00717010" w:rsidRPr="0028531E">
        <w:rPr>
          <w:lang w:val="en-US"/>
        </w:rPr>
        <w:t>Germany and women in France)</w:t>
      </w:r>
      <w:r w:rsidR="00A212E8" w:rsidRPr="0028531E">
        <w:rPr>
          <w:lang w:val="en-US"/>
        </w:rPr>
        <w:t>, w</w:t>
      </w:r>
      <w:r w:rsidR="00E72BDF" w:rsidRPr="0028531E">
        <w:rPr>
          <w:lang w:val="en-US"/>
        </w:rPr>
        <w:t xml:space="preserve">hile for the </w:t>
      </w:r>
      <w:r w:rsidR="00E72BDF" w:rsidRPr="00AF3496">
        <w:rPr>
          <w:lang w:val="en-US"/>
        </w:rPr>
        <w:t>60 to 64 years old (</w:t>
      </w:r>
      <w:r w:rsidR="00000BB2" w:rsidRPr="00AF3496">
        <w:rPr>
          <w:lang w:val="en-US"/>
        </w:rPr>
        <w:t>coefficient</w:t>
      </w:r>
      <w:r w:rsidR="00796733" w:rsidRPr="00AF3496">
        <w:rPr>
          <w:position w:val="-14"/>
          <w:lang w:val="en-US"/>
        </w:rPr>
        <w:object w:dxaOrig="420" w:dyaOrig="420" w14:anchorId="0AC87365">
          <v:shape id="_x0000_i1075" type="#_x0000_t75" style="width:22.4pt;height:19.4pt" o:ole="">
            <v:imagedata r:id="rId106" o:title=""/>
          </v:shape>
          <o:OLEObject Type="Embed" ProgID="Equation.3" ShapeID="_x0000_i1075" DrawAspect="Content" ObjectID="_1533125623" r:id="rId107"/>
        </w:object>
      </w:r>
      <w:r w:rsidR="00E72BDF" w:rsidRPr="00AF3496">
        <w:rPr>
          <w:lang w:val="en-US"/>
        </w:rPr>
        <w:t xml:space="preserve">) the marginal rates are between </w:t>
      </w:r>
      <w:r w:rsidR="00A212E8" w:rsidRPr="00AF3496">
        <w:rPr>
          <w:lang w:val="en-US"/>
        </w:rPr>
        <w:t>5</w:t>
      </w:r>
      <w:r w:rsidR="00E72BDF" w:rsidRPr="00AF3496">
        <w:rPr>
          <w:lang w:val="en-US"/>
        </w:rPr>
        <w:t xml:space="preserve">% to 10% points for Germany </w:t>
      </w:r>
      <w:r w:rsidR="00A212E8" w:rsidRPr="00AF3496">
        <w:rPr>
          <w:lang w:val="en-US"/>
        </w:rPr>
        <w:t xml:space="preserve">and </w:t>
      </w:r>
      <w:r w:rsidR="00E23AED">
        <w:rPr>
          <w:lang w:val="en-US"/>
        </w:rPr>
        <w:t>T</w:t>
      </w:r>
      <w:r w:rsidR="00E72BDF" w:rsidRPr="00AF3496">
        <w:rPr>
          <w:lang w:val="en-US"/>
        </w:rPr>
        <w:t>he Netherlands</w:t>
      </w:r>
      <w:r w:rsidR="00A212E8" w:rsidRPr="00AF3496">
        <w:rPr>
          <w:lang w:val="en-US"/>
        </w:rPr>
        <w:t>, and between 1</w:t>
      </w:r>
      <w:r w:rsidR="007F317A" w:rsidRPr="00AF3496">
        <w:rPr>
          <w:lang w:val="en-US"/>
        </w:rPr>
        <w:t>.7</w:t>
      </w:r>
      <w:r w:rsidR="00E72BDF" w:rsidRPr="00AF3496">
        <w:rPr>
          <w:lang w:val="en-US"/>
        </w:rPr>
        <w:t xml:space="preserve">% and </w:t>
      </w:r>
      <w:r w:rsidR="005C7E1C">
        <w:rPr>
          <w:lang w:val="en-US"/>
        </w:rPr>
        <w:t>4</w:t>
      </w:r>
      <w:r w:rsidR="007F317A" w:rsidRPr="00AF3496">
        <w:rPr>
          <w:lang w:val="en-US"/>
        </w:rPr>
        <w:t>.2</w:t>
      </w:r>
      <w:r w:rsidR="00E72BDF" w:rsidRPr="00AF3496">
        <w:rPr>
          <w:lang w:val="en-US"/>
        </w:rPr>
        <w:t>% points for Belgium and France.</w:t>
      </w:r>
      <w:r w:rsidR="00AF3496" w:rsidRPr="00AF3496">
        <w:rPr>
          <w:lang w:val="en-US"/>
        </w:rPr>
        <w:t xml:space="preserve"> These results confirm observations made for the United States by Hoynes et al. (2012) and Laroque and Osotimehin (2014) who report that aged workers were proportiona</w:t>
      </w:r>
      <w:r w:rsidR="00AF3496">
        <w:rPr>
          <w:lang w:val="en-US"/>
        </w:rPr>
        <w:t>l</w:t>
      </w:r>
      <w:r w:rsidR="00AF3496" w:rsidRPr="00AF3496">
        <w:rPr>
          <w:lang w:val="en-US"/>
        </w:rPr>
        <w:t xml:space="preserve">ly less affected by the crisis, than younger </w:t>
      </w:r>
      <w:r w:rsidR="001170A2">
        <w:rPr>
          <w:lang w:val="en-US"/>
        </w:rPr>
        <w:t>ones.</w:t>
      </w:r>
    </w:p>
    <w:p w14:paraId="10535DD2" w14:textId="7768055F" w:rsidR="004D470C" w:rsidRDefault="00AF6130" w:rsidP="000525D7">
      <w:pPr>
        <w:rPr>
          <w:lang w:val="en-US"/>
        </w:rPr>
      </w:pPr>
      <w:r w:rsidRPr="0028531E">
        <w:rPr>
          <w:lang w:val="en-US"/>
        </w:rPr>
        <w:t>Looking at groups of individuals that are often associated with increased vulnerabilities</w:t>
      </w:r>
      <w:r w:rsidR="00A14F43">
        <w:rPr>
          <w:lang w:val="en-US"/>
        </w:rPr>
        <w:t xml:space="preserve"> –</w:t>
      </w:r>
      <w:r w:rsidRPr="0028531E">
        <w:rPr>
          <w:lang w:val="en-US"/>
        </w:rPr>
        <w:t xml:space="preserve"> namely the less </w:t>
      </w:r>
      <w:r w:rsidR="006E7DC1" w:rsidRPr="0028531E">
        <w:rPr>
          <w:lang w:val="en-US"/>
        </w:rPr>
        <w:t xml:space="preserve">skilled </w:t>
      </w:r>
      <w:r w:rsidRPr="0028531E">
        <w:rPr>
          <w:lang w:val="en-US"/>
        </w:rPr>
        <w:t>a</w:t>
      </w:r>
      <w:r w:rsidR="003E6AFD" w:rsidRPr="0028531E">
        <w:rPr>
          <w:lang w:val="en-US"/>
        </w:rPr>
        <w:t>n</w:t>
      </w:r>
      <w:r w:rsidRPr="0028531E">
        <w:rPr>
          <w:lang w:val="en-US"/>
        </w:rPr>
        <w:t xml:space="preserve">d those </w:t>
      </w:r>
      <w:r w:rsidR="006E7DC1" w:rsidRPr="0028531E">
        <w:rPr>
          <w:lang w:val="en-US"/>
        </w:rPr>
        <w:t>born abroad</w:t>
      </w:r>
      <w:r w:rsidR="00A14F43">
        <w:rPr>
          <w:lang w:val="en-US"/>
        </w:rPr>
        <w:t xml:space="preserve"> –</w:t>
      </w:r>
      <w:r w:rsidRPr="0028531E">
        <w:rPr>
          <w:lang w:val="en-US"/>
        </w:rPr>
        <w:t xml:space="preserve"> they</w:t>
      </w:r>
      <w:r w:rsidR="00A14F43">
        <w:rPr>
          <w:lang w:val="en-US"/>
        </w:rPr>
        <w:t xml:space="preserve"> seem to have fared less favo</w:t>
      </w:r>
      <w:r w:rsidRPr="0028531E">
        <w:rPr>
          <w:lang w:val="en-US"/>
        </w:rPr>
        <w:t>rably in the aftermath of the financial crisis</w:t>
      </w:r>
      <w:r w:rsidR="004004B0">
        <w:rPr>
          <w:lang w:val="en-US"/>
        </w:rPr>
        <w:t xml:space="preserve"> –</w:t>
      </w:r>
      <w:r w:rsidR="00A14F43">
        <w:rPr>
          <w:lang w:val="en-US"/>
        </w:rPr>
        <w:t xml:space="preserve"> </w:t>
      </w:r>
      <w:r w:rsidR="00A14F43" w:rsidRPr="00A14F43">
        <w:rPr>
          <w:i/>
          <w:lang w:val="en-US"/>
        </w:rPr>
        <w:t>ceter</w:t>
      </w:r>
      <w:r w:rsidR="00CB6777">
        <w:rPr>
          <w:i/>
          <w:lang w:val="en-US"/>
        </w:rPr>
        <w:t>i</w:t>
      </w:r>
      <w:r w:rsidR="00A14F43" w:rsidRPr="00A14F43">
        <w:rPr>
          <w:i/>
          <w:lang w:val="en-US"/>
        </w:rPr>
        <w:t>s paribus</w:t>
      </w:r>
      <w:r w:rsidR="006E7DC1" w:rsidRPr="0028531E">
        <w:rPr>
          <w:lang w:val="en-US"/>
        </w:rPr>
        <w:t>. The coefficients</w:t>
      </w:r>
      <w:r w:rsidR="00096ADD" w:rsidRPr="0028531E">
        <w:rPr>
          <w:lang w:val="en-US"/>
        </w:rPr>
        <w:t xml:space="preserve"> </w:t>
      </w:r>
      <w:r w:rsidR="00796733" w:rsidRPr="0028531E">
        <w:rPr>
          <w:position w:val="-14"/>
          <w:lang w:val="en-US"/>
        </w:rPr>
        <w:object w:dxaOrig="360" w:dyaOrig="380" w14:anchorId="0E0FDD88">
          <v:shape id="_x0000_i1076" type="#_x0000_t75" style="width:17.25pt;height:18.95pt" o:ole="">
            <v:imagedata r:id="rId108" o:title=""/>
          </v:shape>
          <o:OLEObject Type="Embed" ProgID="Equation.3" ShapeID="_x0000_i1076" DrawAspect="Content" ObjectID="_1533125624" r:id="rId109"/>
        </w:object>
      </w:r>
      <w:r w:rsidR="006E7DC1" w:rsidRPr="0028531E">
        <w:rPr>
          <w:lang w:val="en-US"/>
        </w:rPr>
        <w:t xml:space="preserve">and </w:t>
      </w:r>
      <w:r w:rsidR="00796733" w:rsidRPr="0028531E">
        <w:rPr>
          <w:position w:val="-14"/>
          <w:lang w:val="en-US"/>
        </w:rPr>
        <w:object w:dxaOrig="380" w:dyaOrig="420" w14:anchorId="69890EC7">
          <v:shape id="_x0000_i1077" type="#_x0000_t75" style="width:18.95pt;height:19.4pt" o:ole="">
            <v:imagedata r:id="rId110" o:title=""/>
          </v:shape>
          <o:OLEObject Type="Embed" ProgID="Equation.3" ShapeID="_x0000_i1077" DrawAspect="Content" ObjectID="_1533125625" r:id="rId111"/>
        </w:object>
      </w:r>
      <w:r w:rsidR="006E7DC1" w:rsidRPr="0028531E">
        <w:rPr>
          <w:lang w:val="en-US"/>
        </w:rPr>
        <w:t xml:space="preserve">are in both cases negative or </w:t>
      </w:r>
      <w:r w:rsidRPr="0028531E">
        <w:rPr>
          <w:lang w:val="en-US"/>
        </w:rPr>
        <w:t xml:space="preserve">statistically </w:t>
      </w:r>
      <w:r w:rsidR="006E7DC1" w:rsidRPr="0028531E">
        <w:rPr>
          <w:lang w:val="en-US"/>
        </w:rPr>
        <w:t>non</w:t>
      </w:r>
      <w:r w:rsidR="00372013" w:rsidRPr="0028531E">
        <w:rPr>
          <w:lang w:val="en-US"/>
        </w:rPr>
        <w:t>-</w:t>
      </w:r>
      <w:r w:rsidR="006E7DC1" w:rsidRPr="0028531E">
        <w:rPr>
          <w:lang w:val="en-US"/>
        </w:rPr>
        <w:t>significant</w:t>
      </w:r>
      <w:r w:rsidR="00372013" w:rsidRPr="0028531E">
        <w:rPr>
          <w:lang w:val="en-US"/>
        </w:rPr>
        <w:t>.</w:t>
      </w:r>
      <w:r w:rsidR="009B2EB6" w:rsidRPr="0028531E">
        <w:rPr>
          <w:lang w:val="en-US"/>
        </w:rPr>
        <w:t xml:space="preserve"> </w:t>
      </w:r>
      <w:r w:rsidRPr="0028531E">
        <w:rPr>
          <w:lang w:val="en-US"/>
        </w:rPr>
        <w:t xml:space="preserve">It is interesting to notice that this </w:t>
      </w:r>
      <w:r w:rsidR="00372013" w:rsidRPr="0028531E">
        <w:rPr>
          <w:lang w:val="en-US"/>
        </w:rPr>
        <w:t>is</w:t>
      </w:r>
      <w:r w:rsidR="00096ADD" w:rsidRPr="0028531E">
        <w:rPr>
          <w:lang w:val="en-US"/>
        </w:rPr>
        <w:t xml:space="preserve"> exactly the reverse of </w:t>
      </w:r>
      <w:r w:rsidR="00372013" w:rsidRPr="0028531E">
        <w:rPr>
          <w:lang w:val="en-US"/>
        </w:rPr>
        <w:t xml:space="preserve">what we observed in Table </w:t>
      </w:r>
      <w:r w:rsidR="005C7E1C">
        <w:rPr>
          <w:lang w:val="en-US"/>
        </w:rPr>
        <w:t>4</w:t>
      </w:r>
      <w:r w:rsidR="00096ADD" w:rsidRPr="0028531E">
        <w:rPr>
          <w:lang w:val="en-US"/>
        </w:rPr>
        <w:t xml:space="preserve"> </w:t>
      </w:r>
      <w:r w:rsidR="00BD47D8" w:rsidRPr="0028531E">
        <w:rPr>
          <w:lang w:val="en-US"/>
        </w:rPr>
        <w:t xml:space="preserve">for the </w:t>
      </w:r>
      <w:r w:rsidR="00796733" w:rsidRPr="0028531E">
        <w:rPr>
          <w:position w:val="-14"/>
          <w:lang w:val="en-US"/>
        </w:rPr>
        <w:object w:dxaOrig="380" w:dyaOrig="380" w14:anchorId="5121EEB2">
          <v:shape id="_x0000_i1078" type="#_x0000_t75" style="width:18.95pt;height:18.95pt" o:ole="">
            <v:imagedata r:id="rId112" o:title=""/>
          </v:shape>
          <o:OLEObject Type="Embed" ProgID="Equation.3" ShapeID="_x0000_i1078" DrawAspect="Content" ObjectID="_1533125626" r:id="rId113"/>
        </w:object>
      </w:r>
      <w:r w:rsidR="00283A57" w:rsidRPr="0028531E">
        <w:rPr>
          <w:lang w:val="en-US"/>
        </w:rPr>
        <w:t xml:space="preserve"> </w:t>
      </w:r>
      <w:r w:rsidR="00096ADD" w:rsidRPr="0028531E">
        <w:rPr>
          <w:lang w:val="en-US"/>
        </w:rPr>
        <w:t xml:space="preserve">and </w:t>
      </w:r>
      <w:r w:rsidR="00796733" w:rsidRPr="0028531E">
        <w:rPr>
          <w:position w:val="-14"/>
          <w:lang w:val="en-US"/>
        </w:rPr>
        <w:object w:dxaOrig="400" w:dyaOrig="420" w14:anchorId="1DCF0E7D">
          <v:shape id="_x0000_i1079" type="#_x0000_t75" style="width:21.55pt;height:19.4pt" o:ole="">
            <v:imagedata r:id="rId114" o:title=""/>
          </v:shape>
          <o:OLEObject Type="Embed" ProgID="Equation.3" ShapeID="_x0000_i1079" DrawAspect="Content" ObjectID="_1533125627" r:id="rId115"/>
        </w:object>
      </w:r>
      <w:r w:rsidR="00096ADD" w:rsidRPr="0028531E">
        <w:rPr>
          <w:lang w:val="en-US"/>
        </w:rPr>
        <w:t xml:space="preserve"> </w:t>
      </w:r>
      <w:r w:rsidR="00372013" w:rsidRPr="0028531E">
        <w:rPr>
          <w:lang w:val="en-US"/>
        </w:rPr>
        <w:t xml:space="preserve">coefficients, that were in </w:t>
      </w:r>
      <w:r w:rsidR="00923DF6" w:rsidRPr="0028531E">
        <w:rPr>
          <w:lang w:val="en-US"/>
        </w:rPr>
        <w:t xml:space="preserve">nearly </w:t>
      </w:r>
      <w:r w:rsidR="005C4151">
        <w:rPr>
          <w:lang w:val="en-US"/>
        </w:rPr>
        <w:t>several</w:t>
      </w:r>
      <w:r w:rsidR="005C4151" w:rsidRPr="0028531E">
        <w:rPr>
          <w:lang w:val="en-US"/>
        </w:rPr>
        <w:t xml:space="preserve"> </w:t>
      </w:r>
      <w:r w:rsidR="00372013" w:rsidRPr="0028531E">
        <w:rPr>
          <w:lang w:val="en-US"/>
        </w:rPr>
        <w:t xml:space="preserve">cases positive </w:t>
      </w:r>
      <w:r w:rsidR="00096ADD" w:rsidRPr="0028531E">
        <w:rPr>
          <w:lang w:val="en-US"/>
        </w:rPr>
        <w:t>for the 2002-2006 period</w:t>
      </w:r>
      <w:r w:rsidRPr="0028531E">
        <w:rPr>
          <w:lang w:val="en-US"/>
        </w:rPr>
        <w:t xml:space="preserve"> – indicating a catch-up of those groups in the run-up to the financial crisis</w:t>
      </w:r>
      <w:r w:rsidR="006E7DC1" w:rsidRPr="0028531E">
        <w:rPr>
          <w:lang w:val="en-US"/>
        </w:rPr>
        <w:t xml:space="preserve">. </w:t>
      </w:r>
    </w:p>
    <w:p w14:paraId="2F2C295B" w14:textId="23291B99" w:rsidR="00273ED6" w:rsidRPr="00A14F43" w:rsidRDefault="00273ED6" w:rsidP="000525D7">
      <w:pPr>
        <w:rPr>
          <w:rStyle w:val="Strong"/>
          <w:lang w:val="en-US"/>
        </w:rPr>
      </w:pPr>
      <w:r w:rsidRPr="00A14F43">
        <w:rPr>
          <w:rStyle w:val="Strong"/>
          <w:lang w:val="en-US"/>
        </w:rPr>
        <w:t xml:space="preserve">INSERT TABLE </w:t>
      </w:r>
      <w:r w:rsidR="00F647D2">
        <w:rPr>
          <w:rStyle w:val="Strong"/>
          <w:lang w:val="en-US"/>
        </w:rPr>
        <w:t>5</w:t>
      </w:r>
    </w:p>
    <w:p w14:paraId="1380A383" w14:textId="69F881A1" w:rsidR="00BF1C2B" w:rsidRPr="0028531E" w:rsidRDefault="00B568A5" w:rsidP="00824F70">
      <w:pPr>
        <w:pStyle w:val="Heading1"/>
        <w:numPr>
          <w:ilvl w:val="0"/>
          <w:numId w:val="37"/>
        </w:numPr>
        <w:rPr>
          <w:lang w:val="en-US"/>
        </w:rPr>
      </w:pPr>
      <w:r>
        <w:rPr>
          <w:lang w:val="en-US"/>
        </w:rPr>
        <w:t>H</w:t>
      </w:r>
      <w:r w:rsidR="00BF1C2B" w:rsidRPr="0028531E">
        <w:rPr>
          <w:lang w:val="en-US"/>
        </w:rPr>
        <w:t>ours of work</w:t>
      </w:r>
      <w:r w:rsidR="00E03AB9">
        <w:rPr>
          <w:lang w:val="en-US"/>
        </w:rPr>
        <w:t xml:space="preserve"> analysis</w:t>
      </w:r>
    </w:p>
    <w:p w14:paraId="760FB2AF" w14:textId="5E5856BC" w:rsidR="00622F3E" w:rsidRDefault="00D06560" w:rsidP="000525D7">
      <w:pPr>
        <w:rPr>
          <w:lang w:val="en-US"/>
        </w:rPr>
      </w:pPr>
      <w:r w:rsidRPr="0028531E">
        <w:rPr>
          <w:lang w:val="en-US"/>
        </w:rPr>
        <w:t xml:space="preserve">The present </w:t>
      </w:r>
      <w:r w:rsidR="00E63D89">
        <w:rPr>
          <w:lang w:val="en-US"/>
        </w:rPr>
        <w:t>s</w:t>
      </w:r>
      <w:r w:rsidRPr="0028531E">
        <w:rPr>
          <w:lang w:val="en-US"/>
        </w:rPr>
        <w:t xml:space="preserve">ection </w:t>
      </w:r>
      <w:r w:rsidR="00096D75">
        <w:rPr>
          <w:lang w:val="en-US"/>
        </w:rPr>
        <w:t xml:space="preserve">proposes a complementary analysis of hours of work. </w:t>
      </w:r>
      <w:r w:rsidR="00322DD9">
        <w:rPr>
          <w:lang w:val="en-US"/>
        </w:rPr>
        <w:t>The starting point is that m</w:t>
      </w:r>
      <w:r w:rsidR="00096D75">
        <w:rPr>
          <w:lang w:val="en-US"/>
        </w:rPr>
        <w:t xml:space="preserve">erely looking at </w:t>
      </w:r>
      <w:r w:rsidR="00965BE7">
        <w:rPr>
          <w:lang w:val="en-US"/>
        </w:rPr>
        <w:t>ERs</w:t>
      </w:r>
      <w:r w:rsidR="00096D75">
        <w:rPr>
          <w:lang w:val="en-US"/>
        </w:rPr>
        <w:t xml:space="preserve"> </w:t>
      </w:r>
      <w:r w:rsidR="00322DD9">
        <w:rPr>
          <w:lang w:val="en-US"/>
        </w:rPr>
        <w:t xml:space="preserve">for measuring labor utilization </w:t>
      </w:r>
      <w:r w:rsidR="00102D8C">
        <w:rPr>
          <w:lang w:val="en-US"/>
        </w:rPr>
        <w:t>give</w:t>
      </w:r>
      <w:r w:rsidR="00322DD9">
        <w:rPr>
          <w:lang w:val="en-US"/>
        </w:rPr>
        <w:t>s</w:t>
      </w:r>
      <w:r w:rsidR="00096D75">
        <w:rPr>
          <w:lang w:val="en-US"/>
        </w:rPr>
        <w:t xml:space="preserve"> a </w:t>
      </w:r>
      <w:r w:rsidR="00A14415" w:rsidRPr="0028531E">
        <w:rPr>
          <w:lang w:val="en-US"/>
        </w:rPr>
        <w:t>very partial picture</w:t>
      </w:r>
      <w:r w:rsidR="00322DD9">
        <w:rPr>
          <w:lang w:val="en-US"/>
        </w:rPr>
        <w:t xml:space="preserve"> of reality – be it for the population at large or those </w:t>
      </w:r>
      <w:r w:rsidR="00A668E2">
        <w:rPr>
          <w:lang w:val="en-US"/>
        </w:rPr>
        <w:t xml:space="preserve">aged </w:t>
      </w:r>
      <w:r w:rsidR="00322DD9">
        <w:rPr>
          <w:lang w:val="en-US"/>
        </w:rPr>
        <w:t xml:space="preserve">50+. There </w:t>
      </w:r>
      <w:r w:rsidRPr="0028531E">
        <w:rPr>
          <w:lang w:val="en-US"/>
        </w:rPr>
        <w:t>is ample p</w:t>
      </w:r>
      <w:r w:rsidR="00E03AB9">
        <w:rPr>
          <w:lang w:val="en-US"/>
        </w:rPr>
        <w:t xml:space="preserve">otential for </w:t>
      </w:r>
      <w:r w:rsidR="00322DD9">
        <w:rPr>
          <w:lang w:val="en-US"/>
        </w:rPr>
        <w:t xml:space="preserve">a general link between employment and </w:t>
      </w:r>
      <w:r w:rsidRPr="0028531E">
        <w:rPr>
          <w:lang w:val="en-US"/>
        </w:rPr>
        <w:t>hours of work</w:t>
      </w:r>
      <w:r w:rsidR="00824F70">
        <w:rPr>
          <w:lang w:val="en-US"/>
        </w:rPr>
        <w:t>: reduced pre-retirement work schedules, part-time retirement, etc. are all reminders of the conceptual relevance of taking hours of work into account when evaluating government policies. O</w:t>
      </w:r>
      <w:r w:rsidR="00322DD9">
        <w:rPr>
          <w:lang w:val="en-US"/>
        </w:rPr>
        <w:t xml:space="preserve">ur working hypothesis is that </w:t>
      </w:r>
      <w:r w:rsidR="00824F70">
        <w:rPr>
          <w:lang w:val="en-US"/>
        </w:rPr>
        <w:t xml:space="preserve">ER versus hours of work </w:t>
      </w:r>
      <w:r w:rsidR="00322DD9">
        <w:rPr>
          <w:lang w:val="en-US"/>
        </w:rPr>
        <w:t xml:space="preserve">substitution is </w:t>
      </w:r>
      <w:r w:rsidR="00F41B2E">
        <w:rPr>
          <w:lang w:val="en-US"/>
        </w:rPr>
        <w:t>an</w:t>
      </w:r>
      <w:r w:rsidR="00322DD9">
        <w:rPr>
          <w:lang w:val="en-US"/>
        </w:rPr>
        <w:t xml:space="preserve"> </w:t>
      </w:r>
      <w:r w:rsidR="00824F70">
        <w:rPr>
          <w:lang w:val="en-US"/>
        </w:rPr>
        <w:t xml:space="preserve">important </w:t>
      </w:r>
      <w:r w:rsidR="00322DD9">
        <w:rPr>
          <w:lang w:val="en-US"/>
        </w:rPr>
        <w:t>issue</w:t>
      </w:r>
      <w:r w:rsidR="00824F70">
        <w:rPr>
          <w:lang w:val="en-US"/>
        </w:rPr>
        <w:t xml:space="preserve"> – with associated consequences for economic activity and policymaking</w:t>
      </w:r>
      <w:r w:rsidR="00F41B2E">
        <w:rPr>
          <w:lang w:val="en-US"/>
        </w:rPr>
        <w:t xml:space="preserve">. </w:t>
      </w:r>
    </w:p>
    <w:p w14:paraId="7A9F07A8" w14:textId="3B9C2C44" w:rsidR="00A14415" w:rsidRPr="0028531E" w:rsidRDefault="002D1CE7" w:rsidP="002D1CE7">
      <w:pPr>
        <w:rPr>
          <w:lang w:val="en-US"/>
        </w:rPr>
      </w:pPr>
      <w:r>
        <w:rPr>
          <w:lang w:val="en-US"/>
        </w:rPr>
        <w:lastRenderedPageBreak/>
        <w:t xml:space="preserve">In practice, it </w:t>
      </w:r>
      <w:r w:rsidR="000C52D1">
        <w:rPr>
          <w:lang w:val="en-US"/>
        </w:rPr>
        <w:t xml:space="preserve">can mean that </w:t>
      </w:r>
      <w:r w:rsidR="00F41B2E">
        <w:rPr>
          <w:lang w:val="en-US"/>
        </w:rPr>
        <w:t>increase</w:t>
      </w:r>
      <w:r w:rsidR="00ED605C">
        <w:rPr>
          <w:lang w:val="en-US"/>
        </w:rPr>
        <w:t>s</w:t>
      </w:r>
      <w:r w:rsidR="00F41B2E">
        <w:rPr>
          <w:lang w:val="en-US"/>
        </w:rPr>
        <w:t xml:space="preserve"> </w:t>
      </w:r>
      <w:r w:rsidR="00ED605C">
        <w:rPr>
          <w:lang w:val="en-US"/>
        </w:rPr>
        <w:t xml:space="preserve">in </w:t>
      </w:r>
      <w:r w:rsidR="000C52D1">
        <w:rPr>
          <w:lang w:val="en-US"/>
        </w:rPr>
        <w:t xml:space="preserve">employment </w:t>
      </w:r>
      <w:r w:rsidR="00824F70">
        <w:rPr>
          <w:lang w:val="en-US"/>
        </w:rPr>
        <w:t xml:space="preserve">for </w:t>
      </w:r>
      <w:r w:rsidR="000C52D1">
        <w:rPr>
          <w:lang w:val="en-US"/>
        </w:rPr>
        <w:t xml:space="preserve">a given </w:t>
      </w:r>
      <w:r w:rsidR="00824F70">
        <w:rPr>
          <w:lang w:val="en-US"/>
        </w:rPr>
        <w:t xml:space="preserve">age group </w:t>
      </w:r>
      <w:r w:rsidR="000C52D1">
        <w:rPr>
          <w:lang w:val="en-US"/>
        </w:rPr>
        <w:t xml:space="preserve">can be associated </w:t>
      </w:r>
      <w:r w:rsidR="00824F70">
        <w:rPr>
          <w:lang w:val="en-US"/>
        </w:rPr>
        <w:t xml:space="preserve">with lower </w:t>
      </w:r>
      <w:r w:rsidR="00F41B2E">
        <w:rPr>
          <w:lang w:val="en-US"/>
        </w:rPr>
        <w:t>hours of work</w:t>
      </w:r>
      <w:r w:rsidR="000C52D1">
        <w:rPr>
          <w:lang w:val="en-US"/>
        </w:rPr>
        <w:t xml:space="preserve"> for </w:t>
      </w:r>
      <w:r w:rsidR="00337062">
        <w:rPr>
          <w:lang w:val="en-US"/>
        </w:rPr>
        <w:t>members of this age group</w:t>
      </w:r>
      <w:r w:rsidR="00F41B2E">
        <w:rPr>
          <w:lang w:val="en-US"/>
        </w:rPr>
        <w:t xml:space="preserve">, </w:t>
      </w:r>
      <w:r w:rsidR="000C52D1">
        <w:rPr>
          <w:lang w:val="en-US"/>
        </w:rPr>
        <w:t xml:space="preserve">potentially leading </w:t>
      </w:r>
      <w:r w:rsidR="00824F70">
        <w:rPr>
          <w:lang w:val="en-US"/>
        </w:rPr>
        <w:t xml:space="preserve">total hours of work </w:t>
      </w:r>
      <w:r w:rsidR="000C52D1">
        <w:rPr>
          <w:lang w:val="en-US"/>
        </w:rPr>
        <w:t xml:space="preserve">to </w:t>
      </w:r>
      <w:r w:rsidR="00824F70">
        <w:rPr>
          <w:lang w:val="en-US"/>
        </w:rPr>
        <w:t xml:space="preserve">decrease. </w:t>
      </w:r>
      <w:r>
        <w:rPr>
          <w:lang w:val="en-US"/>
        </w:rPr>
        <w:t>In what follows we</w:t>
      </w:r>
      <w:r w:rsidR="000C52D1">
        <w:rPr>
          <w:lang w:val="en-US"/>
        </w:rPr>
        <w:t xml:space="preserve"> thus</w:t>
      </w:r>
      <w:r>
        <w:rPr>
          <w:lang w:val="en-US"/>
        </w:rPr>
        <w:t xml:space="preserve"> </w:t>
      </w:r>
      <w:r w:rsidR="00185066">
        <w:rPr>
          <w:lang w:val="en-US"/>
        </w:rPr>
        <w:t xml:space="preserve">investigate two </w:t>
      </w:r>
      <w:r w:rsidR="00102D8C">
        <w:rPr>
          <w:lang w:val="en-US"/>
        </w:rPr>
        <w:t xml:space="preserve">specific </w:t>
      </w:r>
      <w:r w:rsidR="00185066">
        <w:rPr>
          <w:lang w:val="en-US"/>
        </w:rPr>
        <w:t xml:space="preserve">questions: </w:t>
      </w:r>
      <w:r>
        <w:rPr>
          <w:lang w:val="en-US"/>
        </w:rPr>
        <w:t xml:space="preserve">In this section </w:t>
      </w:r>
      <w:r w:rsidR="000C52D1">
        <w:rPr>
          <w:lang w:val="en-US"/>
        </w:rPr>
        <w:t>w</w:t>
      </w:r>
      <w:r>
        <w:rPr>
          <w:lang w:val="en-US"/>
        </w:rPr>
        <w:t xml:space="preserve">e explore how individual hours of work have evolved over the period 1997-2011. In the next section, we </w:t>
      </w:r>
      <w:r w:rsidR="000C52D1">
        <w:rPr>
          <w:lang w:val="en-US"/>
        </w:rPr>
        <w:t xml:space="preserve">propose a decomposition of the </w:t>
      </w:r>
      <w:r>
        <w:rPr>
          <w:lang w:val="en-US"/>
        </w:rPr>
        <w:t xml:space="preserve">change of </w:t>
      </w:r>
      <w:r w:rsidR="00ED605C">
        <w:rPr>
          <w:lang w:val="en-US"/>
        </w:rPr>
        <w:t xml:space="preserve">average </w:t>
      </w:r>
      <w:r w:rsidR="00337062">
        <w:rPr>
          <w:lang w:val="en-US"/>
        </w:rPr>
        <w:t xml:space="preserve">total </w:t>
      </w:r>
      <w:r w:rsidR="00102D8C">
        <w:rPr>
          <w:lang w:val="en-US"/>
        </w:rPr>
        <w:t xml:space="preserve">hours of work </w:t>
      </w:r>
      <w:r w:rsidR="000C52D1">
        <w:rPr>
          <w:lang w:val="en-US"/>
        </w:rPr>
        <w:t>into its various components</w:t>
      </w:r>
      <w:r>
        <w:rPr>
          <w:lang w:val="en-US"/>
        </w:rPr>
        <w:t>.</w:t>
      </w:r>
    </w:p>
    <w:p w14:paraId="13FAA06E" w14:textId="6F87BD00" w:rsidR="003D16E8" w:rsidRPr="0028531E" w:rsidRDefault="00A14415" w:rsidP="000525D7">
      <w:pPr>
        <w:rPr>
          <w:lang w:val="en-US"/>
        </w:rPr>
      </w:pPr>
      <w:r w:rsidRPr="0028531E">
        <w:rPr>
          <w:lang w:val="en-US"/>
        </w:rPr>
        <w:t xml:space="preserve">We use </w:t>
      </w:r>
      <w:r w:rsidR="008B0F3B" w:rsidRPr="0028531E">
        <w:rPr>
          <w:lang w:val="en-US"/>
        </w:rPr>
        <w:t>information on usual hours of work reported in</w:t>
      </w:r>
      <w:r w:rsidR="00BD70D1" w:rsidRPr="0028531E">
        <w:rPr>
          <w:lang w:val="en-US"/>
        </w:rPr>
        <w:t xml:space="preserve"> EU-LFS micro-data</w:t>
      </w:r>
      <w:r w:rsidRPr="0028531E">
        <w:rPr>
          <w:lang w:val="en-US"/>
        </w:rPr>
        <w:t xml:space="preserve"> and </w:t>
      </w:r>
      <w:r w:rsidR="003A2DA3" w:rsidRPr="0028531E">
        <w:rPr>
          <w:lang w:val="en-US"/>
        </w:rPr>
        <w:t xml:space="preserve">estimate a </w:t>
      </w:r>
      <w:r w:rsidR="00821D99" w:rsidRPr="0028531E">
        <w:rPr>
          <w:lang w:val="en-US"/>
        </w:rPr>
        <w:t xml:space="preserve">Heckman (1979) </w:t>
      </w:r>
      <w:r w:rsidR="00DF0A3E" w:rsidRPr="0028531E">
        <w:rPr>
          <w:lang w:val="en-US"/>
        </w:rPr>
        <w:t xml:space="preserve">selection </w:t>
      </w:r>
      <w:r w:rsidR="003A2DA3" w:rsidRPr="0028531E">
        <w:rPr>
          <w:lang w:val="en-US"/>
        </w:rPr>
        <w:t xml:space="preserve">model with usual hours of work as the dependent variable. To take into account a potential selection </w:t>
      </w:r>
      <w:r w:rsidR="003D16E8" w:rsidRPr="0028531E">
        <w:rPr>
          <w:lang w:val="en-US"/>
        </w:rPr>
        <w:t>bias</w:t>
      </w:r>
      <w:r w:rsidR="00D6742F" w:rsidRPr="0028531E">
        <w:rPr>
          <w:lang w:val="en-US"/>
        </w:rPr>
        <w:t>, d</w:t>
      </w:r>
      <w:r w:rsidRPr="0028531E">
        <w:rPr>
          <w:lang w:val="en-US"/>
        </w:rPr>
        <w:t>ue</w:t>
      </w:r>
      <w:r w:rsidR="00D6742F" w:rsidRPr="0028531E">
        <w:rPr>
          <w:lang w:val="en-US"/>
        </w:rPr>
        <w:t xml:space="preserve"> to the observability</w:t>
      </w:r>
      <w:r w:rsidRPr="0028531E">
        <w:rPr>
          <w:lang w:val="en-US"/>
        </w:rPr>
        <w:t xml:space="preserve"> of data (hours at work) exclus</w:t>
      </w:r>
      <w:r w:rsidR="00D6742F" w:rsidRPr="0028531E">
        <w:rPr>
          <w:lang w:val="en-US"/>
        </w:rPr>
        <w:t>ively for individuals in employment</w:t>
      </w:r>
      <w:r w:rsidR="003A2DA3" w:rsidRPr="0028531E">
        <w:rPr>
          <w:lang w:val="en-US"/>
        </w:rPr>
        <w:t xml:space="preserve">, </w:t>
      </w:r>
      <w:r w:rsidR="00D11B32" w:rsidRPr="0028531E">
        <w:rPr>
          <w:lang w:val="en-US"/>
        </w:rPr>
        <w:t>the model</w:t>
      </w:r>
      <w:r w:rsidR="003A2DA3" w:rsidRPr="0028531E">
        <w:rPr>
          <w:lang w:val="en-US"/>
        </w:rPr>
        <w:t xml:space="preserve"> include</w:t>
      </w:r>
      <w:r w:rsidR="00D11B32" w:rsidRPr="0028531E">
        <w:rPr>
          <w:lang w:val="en-US"/>
        </w:rPr>
        <w:t>s</w:t>
      </w:r>
      <w:r w:rsidR="003A2DA3" w:rsidRPr="0028531E">
        <w:rPr>
          <w:lang w:val="en-US"/>
        </w:rPr>
        <w:t xml:space="preserve"> a</w:t>
      </w:r>
      <w:r w:rsidR="00D11B32" w:rsidRPr="0028531E">
        <w:rPr>
          <w:lang w:val="en-US"/>
        </w:rPr>
        <w:t>mong</w:t>
      </w:r>
      <w:r w:rsidR="003A2DA3" w:rsidRPr="0028531E">
        <w:rPr>
          <w:lang w:val="en-US"/>
        </w:rPr>
        <w:t xml:space="preserve"> explanatory v</w:t>
      </w:r>
      <w:r w:rsidR="00D11B32" w:rsidRPr="0028531E">
        <w:rPr>
          <w:lang w:val="en-US"/>
        </w:rPr>
        <w:t xml:space="preserve">ariables the inverse Mills ratio derived from the estimation of ER probabilities under the </w:t>
      </w:r>
      <w:r w:rsidR="003A2DA3" w:rsidRPr="0028531E">
        <w:rPr>
          <w:lang w:val="en-US"/>
        </w:rPr>
        <w:t xml:space="preserve">probit </w:t>
      </w:r>
      <w:r w:rsidR="00D11B32" w:rsidRPr="0028531E">
        <w:rPr>
          <w:lang w:val="en-US"/>
        </w:rPr>
        <w:t xml:space="preserve">model presented in Section 3. For estimation purposes, we rely on the </w:t>
      </w:r>
      <w:r w:rsidR="00D6742F" w:rsidRPr="0028531E">
        <w:rPr>
          <w:lang w:val="en-US"/>
        </w:rPr>
        <w:t xml:space="preserve">full </w:t>
      </w:r>
      <w:r w:rsidR="00D11B32" w:rsidRPr="0028531E">
        <w:rPr>
          <w:lang w:val="en-US"/>
        </w:rPr>
        <w:t xml:space="preserve">maximum </w:t>
      </w:r>
      <w:r w:rsidR="00D6742F" w:rsidRPr="0028531E">
        <w:rPr>
          <w:lang w:val="en-US"/>
        </w:rPr>
        <w:t>likelihood</w:t>
      </w:r>
      <w:r w:rsidR="00D11B32" w:rsidRPr="0028531E">
        <w:rPr>
          <w:lang w:val="en-US"/>
        </w:rPr>
        <w:t xml:space="preserve"> </w:t>
      </w:r>
      <w:r w:rsidR="003A2DA3" w:rsidRPr="0028531E">
        <w:rPr>
          <w:lang w:val="en-US"/>
        </w:rPr>
        <w:t>Heckman procedure</w:t>
      </w:r>
      <w:r w:rsidR="00D6742F" w:rsidRPr="0028531E">
        <w:rPr>
          <w:lang w:val="en-US"/>
        </w:rPr>
        <w:t xml:space="preserve"> available in STATA</w:t>
      </w:r>
      <w:r w:rsidR="003A2DA3" w:rsidRPr="0028531E">
        <w:rPr>
          <w:lang w:val="en-US"/>
        </w:rPr>
        <w:t>.</w:t>
      </w:r>
      <w:r w:rsidR="003D16E8" w:rsidRPr="0028531E">
        <w:rPr>
          <w:lang w:val="en-US"/>
        </w:rPr>
        <w:t xml:space="preserve"> </w:t>
      </w:r>
    </w:p>
    <w:p w14:paraId="1EACDF42" w14:textId="4F72750F" w:rsidR="007E2659" w:rsidRPr="0028531E" w:rsidRDefault="003D16E8" w:rsidP="000525D7">
      <w:pPr>
        <w:rPr>
          <w:lang w:val="en-US"/>
        </w:rPr>
      </w:pPr>
      <w:r w:rsidRPr="0028531E">
        <w:rPr>
          <w:lang w:val="en-US"/>
        </w:rPr>
        <w:t xml:space="preserve">As for the study of ER in </w:t>
      </w:r>
      <w:r w:rsidR="00A14415" w:rsidRPr="0028531E">
        <w:rPr>
          <w:lang w:val="en-US"/>
        </w:rPr>
        <w:t>S</w:t>
      </w:r>
      <w:r w:rsidRPr="0028531E">
        <w:rPr>
          <w:lang w:val="en-US"/>
        </w:rPr>
        <w:t xml:space="preserve">ection 3, we proceed in two steps. In the first step, we estimate a model for the first two </w:t>
      </w:r>
      <w:r w:rsidR="00A668E2">
        <w:rPr>
          <w:lang w:val="en-US"/>
        </w:rPr>
        <w:t>sub-</w:t>
      </w:r>
      <w:r w:rsidRPr="0028531E">
        <w:rPr>
          <w:lang w:val="en-US"/>
        </w:rPr>
        <w:t xml:space="preserve">periods, 2002-2006 vs. 1997-2001, and in a second step, 2007-2011 vs. 2002-2006. </w:t>
      </w:r>
      <w:r w:rsidR="00F85156" w:rsidRPr="0028531E">
        <w:rPr>
          <w:lang w:val="en-US"/>
        </w:rPr>
        <w:t>Equation</w:t>
      </w:r>
      <w:r w:rsidR="007E2659" w:rsidRPr="0028531E">
        <w:rPr>
          <w:lang w:val="en-US"/>
        </w:rPr>
        <w:t xml:space="preserve"> </w:t>
      </w:r>
      <w:r w:rsidR="00DA296C" w:rsidRPr="0028531E">
        <w:rPr>
          <w:lang w:val="en-US"/>
        </w:rPr>
        <w:t>4</w:t>
      </w:r>
      <w:r w:rsidR="007E2659" w:rsidRPr="0028531E">
        <w:rPr>
          <w:lang w:val="en-US"/>
        </w:rPr>
        <w:t xml:space="preserve"> </w:t>
      </w:r>
      <w:r w:rsidR="00F85156" w:rsidRPr="0028531E">
        <w:rPr>
          <w:lang w:val="en-US"/>
        </w:rPr>
        <w:t xml:space="preserve">and </w:t>
      </w:r>
      <w:r w:rsidR="00DA296C" w:rsidRPr="0028531E">
        <w:rPr>
          <w:lang w:val="en-US"/>
        </w:rPr>
        <w:t>5</w:t>
      </w:r>
      <w:r w:rsidR="00F85156" w:rsidRPr="0028531E">
        <w:rPr>
          <w:lang w:val="en-US"/>
        </w:rPr>
        <w:t xml:space="preserve"> </w:t>
      </w:r>
      <w:r w:rsidR="00D6742F" w:rsidRPr="0028531E">
        <w:rPr>
          <w:lang w:val="en-US"/>
        </w:rPr>
        <w:t>prese</w:t>
      </w:r>
      <w:r w:rsidR="00F85156" w:rsidRPr="0028531E">
        <w:rPr>
          <w:lang w:val="en-US"/>
        </w:rPr>
        <w:t>nt</w:t>
      </w:r>
      <w:r w:rsidR="00D6742F" w:rsidRPr="0028531E">
        <w:rPr>
          <w:lang w:val="en-US"/>
        </w:rPr>
        <w:t xml:space="preserve"> </w:t>
      </w:r>
      <w:r w:rsidR="00F85156" w:rsidRPr="0028531E">
        <w:rPr>
          <w:lang w:val="en-US"/>
        </w:rPr>
        <w:t xml:space="preserve">the parametric linear relation we </w:t>
      </w:r>
      <w:r w:rsidR="00901251" w:rsidRPr="0028531E">
        <w:rPr>
          <w:lang w:val="en-US"/>
        </w:rPr>
        <w:t>choose</w:t>
      </w:r>
      <w:r w:rsidR="00F85156" w:rsidRPr="0028531E">
        <w:rPr>
          <w:lang w:val="en-US"/>
        </w:rPr>
        <w:t xml:space="preserve"> to model hours of work for periods 1997-2006 and 2001-2011, respectively</w:t>
      </w:r>
      <w:r w:rsidR="007E2659" w:rsidRPr="0028531E">
        <w:rPr>
          <w:lang w:val="en-US"/>
        </w:rPr>
        <w:t>:</w:t>
      </w:r>
      <w:r w:rsidR="006C704D" w:rsidRPr="0028531E">
        <w:rPr>
          <w:rStyle w:val="FootnoteReference"/>
          <w:rFonts w:ascii="Times New Roman" w:hAnsi="Times New Roman" w:cs="Times New Roman"/>
          <w:lang w:val="en-US"/>
        </w:rPr>
        <w:footnoteReference w:id="13"/>
      </w:r>
    </w:p>
    <w:p w14:paraId="4E8CB3BD" w14:textId="77777777" w:rsidR="00124552" w:rsidRPr="0028531E" w:rsidRDefault="000C6A8D" w:rsidP="000525D7">
      <w:pPr>
        <w:rPr>
          <w:lang w:val="en-US"/>
        </w:rPr>
      </w:pPr>
      <w:r w:rsidRPr="0028531E">
        <w:rPr>
          <w:position w:val="-30"/>
          <w:lang w:val="en-US"/>
        </w:rPr>
        <w:object w:dxaOrig="6780" w:dyaOrig="700" w14:anchorId="65E07F2A">
          <v:shape id="_x0000_i1080" type="#_x0000_t75" style="width:340.6pt;height:34.5pt" o:ole="">
            <v:imagedata r:id="rId116" o:title=""/>
          </v:shape>
          <o:OLEObject Type="Embed" ProgID="Equation.DSMT4" ShapeID="_x0000_i1080" DrawAspect="Content" ObjectID="_1533125628" r:id="rId117"/>
        </w:object>
      </w:r>
      <w:r w:rsidR="00124552" w:rsidRPr="0028531E">
        <w:rPr>
          <w:lang w:val="en-US"/>
        </w:rPr>
        <w:tab/>
      </w:r>
    </w:p>
    <w:p w14:paraId="06D84051" w14:textId="5571E845" w:rsidR="00124552" w:rsidRPr="0028531E" w:rsidRDefault="000C6A8D" w:rsidP="000525D7">
      <w:pPr>
        <w:rPr>
          <w:lang w:val="en-US"/>
        </w:rPr>
      </w:pPr>
      <w:r w:rsidRPr="0028531E">
        <w:rPr>
          <w:position w:val="-30"/>
          <w:lang w:val="en-US"/>
        </w:rPr>
        <w:object w:dxaOrig="8220" w:dyaOrig="700" w14:anchorId="707B6D8F">
          <v:shape id="_x0000_i1081" type="#_x0000_t75" style="width:411.3pt;height:34.05pt" o:ole="">
            <v:imagedata r:id="rId118" o:title=""/>
          </v:shape>
          <o:OLEObject Type="Embed" ProgID="Equation.DSMT4" ShapeID="_x0000_i1081" DrawAspect="Content" ObjectID="_1533125629" r:id="rId119"/>
        </w:object>
      </w:r>
      <w:r w:rsidR="00124552" w:rsidRPr="0028531E">
        <w:rPr>
          <w:lang w:val="en-US"/>
        </w:rPr>
        <w:t>,</w:t>
      </w:r>
      <w:r w:rsidR="00124552" w:rsidRPr="0028531E">
        <w:rPr>
          <w:lang w:val="en-US"/>
        </w:rPr>
        <w:tab/>
        <w:t>(</w:t>
      </w:r>
      <w:r w:rsidR="00DA296C" w:rsidRPr="0028531E">
        <w:rPr>
          <w:lang w:val="en-US"/>
        </w:rPr>
        <w:t>4</w:t>
      </w:r>
      <w:r w:rsidR="00124552" w:rsidRPr="0028531E">
        <w:rPr>
          <w:lang w:val="en-US"/>
        </w:rPr>
        <w:t>)</w:t>
      </w:r>
    </w:p>
    <w:p w14:paraId="05EE19A4" w14:textId="77777777" w:rsidR="00AC483A" w:rsidRPr="0028531E" w:rsidRDefault="000C6A8D" w:rsidP="000525D7">
      <w:pPr>
        <w:rPr>
          <w:lang w:val="en-US"/>
        </w:rPr>
      </w:pPr>
      <w:r w:rsidRPr="0028531E">
        <w:rPr>
          <w:position w:val="-30"/>
          <w:lang w:val="en-US"/>
        </w:rPr>
        <w:object w:dxaOrig="6860" w:dyaOrig="700" w14:anchorId="7B5EE1D9">
          <v:shape id="_x0000_i1082" type="#_x0000_t75" style="width:343.2pt;height:34.5pt" o:ole="">
            <v:imagedata r:id="rId120" o:title=""/>
          </v:shape>
          <o:OLEObject Type="Embed" ProgID="Equation.DSMT4" ShapeID="_x0000_i1082" DrawAspect="Content" ObjectID="_1533125630" r:id="rId121"/>
        </w:object>
      </w:r>
      <w:r w:rsidR="00AC483A" w:rsidRPr="0028531E">
        <w:rPr>
          <w:lang w:val="en-US"/>
        </w:rPr>
        <w:tab/>
      </w:r>
    </w:p>
    <w:p w14:paraId="5B6C767D" w14:textId="2BA6C01E" w:rsidR="00C23E69" w:rsidRPr="0028531E" w:rsidRDefault="000C6A8D" w:rsidP="000525D7">
      <w:pPr>
        <w:rPr>
          <w:lang w:val="en-US"/>
        </w:rPr>
      </w:pPr>
      <w:r w:rsidRPr="0028531E">
        <w:rPr>
          <w:position w:val="-30"/>
          <w:lang w:val="en-US"/>
        </w:rPr>
        <w:object w:dxaOrig="8180" w:dyaOrig="700" w14:anchorId="020B48A2">
          <v:shape id="_x0000_i1083" type="#_x0000_t75" style="width:410pt;height:34.05pt" o:ole="">
            <v:imagedata r:id="rId122" o:title=""/>
          </v:shape>
          <o:OLEObject Type="Embed" ProgID="Equation.DSMT4" ShapeID="_x0000_i1083" DrawAspect="Content" ObjectID="_1533125631" r:id="rId123"/>
        </w:object>
      </w:r>
      <w:r w:rsidR="002B1C8F" w:rsidRPr="0028531E">
        <w:rPr>
          <w:lang w:val="en-US"/>
        </w:rPr>
        <w:t>,</w:t>
      </w:r>
      <w:r w:rsidR="00A308C2" w:rsidRPr="0028531E">
        <w:rPr>
          <w:lang w:val="en-US"/>
        </w:rPr>
        <w:tab/>
      </w:r>
      <w:r w:rsidR="00C23E69" w:rsidRPr="0028531E">
        <w:rPr>
          <w:lang w:val="en-US"/>
        </w:rPr>
        <w:t>(</w:t>
      </w:r>
      <w:r w:rsidR="00DA296C" w:rsidRPr="0028531E">
        <w:rPr>
          <w:lang w:val="en-US"/>
        </w:rPr>
        <w:t>5</w:t>
      </w:r>
      <w:r w:rsidR="00C23E69" w:rsidRPr="0028531E">
        <w:rPr>
          <w:lang w:val="en-US"/>
        </w:rPr>
        <w:t>)</w:t>
      </w:r>
    </w:p>
    <w:p w14:paraId="4AC8EF52" w14:textId="3A49BCDD" w:rsidR="00724DED" w:rsidRPr="0028531E" w:rsidRDefault="00E63D89" w:rsidP="000525D7">
      <w:pPr>
        <w:rPr>
          <w:lang w:val="en-US"/>
        </w:rPr>
      </w:pPr>
      <w:proofErr w:type="gramStart"/>
      <w:r>
        <w:rPr>
          <w:lang w:val="en-US"/>
        </w:rPr>
        <w:t>where</w:t>
      </w:r>
      <w:proofErr w:type="gramEnd"/>
      <w:r w:rsidR="00C23E69" w:rsidRPr="0028531E">
        <w:rPr>
          <w:lang w:val="en-US"/>
        </w:rPr>
        <w:t xml:space="preserve"> </w:t>
      </w:r>
      <w:r w:rsidR="002B1C8F" w:rsidRPr="0028531E">
        <w:rPr>
          <w:position w:val="-12"/>
          <w:lang w:val="en-US"/>
        </w:rPr>
        <w:object w:dxaOrig="600" w:dyaOrig="360" w14:anchorId="76AD7607">
          <v:shape id="_x0000_i1084" type="#_x0000_t75" style="width:30.2pt;height:17.25pt" o:ole="">
            <v:imagedata r:id="rId124" o:title=""/>
          </v:shape>
          <o:OLEObject Type="Embed" ProgID="Equation.DSMT4" ShapeID="_x0000_i1084" DrawAspect="Content" ObjectID="_1533125632" r:id="rId125"/>
        </w:object>
      </w:r>
      <w:r w:rsidR="00DA628A" w:rsidRPr="0028531E">
        <w:rPr>
          <w:lang w:val="en-US"/>
        </w:rPr>
        <w:t xml:space="preserve"> corresponds to </w:t>
      </w:r>
      <w:r w:rsidR="002B1C8F" w:rsidRPr="0028531E">
        <w:rPr>
          <w:lang w:val="en-US"/>
        </w:rPr>
        <w:t xml:space="preserve">the number of hours per week usually at work, </w:t>
      </w:r>
      <w:r w:rsidR="002B1C8F" w:rsidRPr="0028531E">
        <w:rPr>
          <w:position w:val="-12"/>
          <w:lang w:val="en-US"/>
        </w:rPr>
        <w:object w:dxaOrig="740" w:dyaOrig="360" w14:anchorId="706AE334">
          <v:shape id="_x0000_i1085" type="#_x0000_t75" style="width:37.95pt;height:17.25pt" o:ole="">
            <v:imagedata r:id="rId126" o:title=""/>
          </v:shape>
          <o:OLEObject Type="Embed" ProgID="Equation.DSMT4" ShapeID="_x0000_i1085" DrawAspect="Content" ObjectID="_1533125633" r:id="rId127"/>
        </w:object>
      </w:r>
      <w:r w:rsidR="002B1C8F" w:rsidRPr="0028531E">
        <w:rPr>
          <w:lang w:val="en-US"/>
        </w:rPr>
        <w:t xml:space="preserve"> to seniority in the current employment in years, and the other variables </w:t>
      </w:r>
      <w:r w:rsidR="00725701" w:rsidRPr="0028531E">
        <w:rPr>
          <w:lang w:val="en-US"/>
        </w:rPr>
        <w:t xml:space="preserve">are </w:t>
      </w:r>
      <w:r w:rsidR="002B1C8F" w:rsidRPr="0028531E">
        <w:rPr>
          <w:lang w:val="en-US"/>
        </w:rPr>
        <w:t xml:space="preserve">as defined before. </w:t>
      </w:r>
      <w:r w:rsidR="000A281C" w:rsidRPr="0028531E">
        <w:rPr>
          <w:lang w:val="en-US"/>
        </w:rPr>
        <w:t xml:space="preserve">To allow model identification, we assume that marital status, an explanatory variable in the ER model, is not relevant to explain hours of work. We are aware that this is a strong assumption, but we did not identify </w:t>
      </w:r>
      <w:r w:rsidR="002566B0" w:rsidRPr="0028531E">
        <w:rPr>
          <w:lang w:val="en-US"/>
        </w:rPr>
        <w:t>any</w:t>
      </w:r>
      <w:r w:rsidR="000A281C" w:rsidRPr="0028531E">
        <w:rPr>
          <w:lang w:val="en-US"/>
        </w:rPr>
        <w:t xml:space="preserve"> </w:t>
      </w:r>
      <w:r w:rsidR="002566B0" w:rsidRPr="0028531E">
        <w:rPr>
          <w:lang w:val="en-US"/>
        </w:rPr>
        <w:t xml:space="preserve">other </w:t>
      </w:r>
      <w:r w:rsidR="000A281C" w:rsidRPr="0028531E">
        <w:rPr>
          <w:lang w:val="en-US"/>
        </w:rPr>
        <w:t xml:space="preserve">variable in the EU-LFS </w:t>
      </w:r>
      <w:r w:rsidR="00725701" w:rsidRPr="0028531E">
        <w:rPr>
          <w:lang w:val="en-US"/>
        </w:rPr>
        <w:t>better suited</w:t>
      </w:r>
      <w:r w:rsidR="002566B0" w:rsidRPr="0028531E">
        <w:rPr>
          <w:lang w:val="en-US"/>
        </w:rPr>
        <w:t xml:space="preserve"> for identification purposes.</w:t>
      </w:r>
      <w:r w:rsidR="002566B0" w:rsidRPr="0028531E">
        <w:rPr>
          <w:rStyle w:val="FootnoteReference"/>
          <w:rFonts w:ascii="Times New Roman" w:hAnsi="Times New Roman" w:cs="Times New Roman"/>
          <w:lang w:val="en-US"/>
        </w:rPr>
        <w:footnoteReference w:id="14"/>
      </w:r>
      <w:r w:rsidR="002566B0" w:rsidRPr="0028531E">
        <w:rPr>
          <w:lang w:val="en-US"/>
        </w:rPr>
        <w:t xml:space="preserve"> </w:t>
      </w:r>
    </w:p>
    <w:p w14:paraId="11736BBF" w14:textId="794514B9" w:rsidR="00591C15" w:rsidRPr="0028531E" w:rsidRDefault="0036499D" w:rsidP="000525D7">
      <w:pPr>
        <w:rPr>
          <w:lang w:val="en-US"/>
        </w:rPr>
      </w:pPr>
      <w:r w:rsidRPr="0028531E">
        <w:rPr>
          <w:lang w:val="en-US"/>
        </w:rPr>
        <w:t xml:space="preserve">In Tables </w:t>
      </w:r>
      <w:r w:rsidR="00F647D2">
        <w:rPr>
          <w:lang w:val="en-US"/>
        </w:rPr>
        <w:t>6</w:t>
      </w:r>
      <w:r w:rsidRPr="0028531E">
        <w:rPr>
          <w:lang w:val="en-US"/>
        </w:rPr>
        <w:t xml:space="preserve"> and </w:t>
      </w:r>
      <w:r w:rsidR="00F647D2">
        <w:rPr>
          <w:lang w:val="en-US"/>
        </w:rPr>
        <w:t>7</w:t>
      </w:r>
      <w:r w:rsidRPr="0028531E">
        <w:rPr>
          <w:lang w:val="en-US"/>
        </w:rPr>
        <w:t xml:space="preserve"> we report the estimated coefficients for </w:t>
      </w:r>
      <w:r w:rsidR="009F16B0">
        <w:rPr>
          <w:lang w:val="en-US"/>
        </w:rPr>
        <w:t>sub-</w:t>
      </w:r>
      <w:r w:rsidRPr="0028531E">
        <w:rPr>
          <w:lang w:val="en-US"/>
        </w:rPr>
        <w:t>periods 1997-2006 and 2002-2011, respectively.</w:t>
      </w:r>
      <w:r w:rsidR="00804B21" w:rsidRPr="0028531E">
        <w:rPr>
          <w:lang w:val="en-US"/>
        </w:rPr>
        <w:t xml:space="preserve"> </w:t>
      </w:r>
      <w:r w:rsidR="00591C15" w:rsidRPr="0028531E">
        <w:rPr>
          <w:lang w:val="en-US"/>
        </w:rPr>
        <w:t>In all cases the Mills ratio appears to be positive and statistically significant</w:t>
      </w:r>
      <w:r w:rsidR="0074069B" w:rsidRPr="0028531E">
        <w:rPr>
          <w:lang w:val="en-US"/>
        </w:rPr>
        <w:t xml:space="preserve"> indicating that the results would be biased upward without taking </w:t>
      </w:r>
      <w:r w:rsidR="00E37937">
        <w:rPr>
          <w:lang w:val="en-US"/>
        </w:rPr>
        <w:t xml:space="preserve">into </w:t>
      </w:r>
      <w:r w:rsidR="0074069B" w:rsidRPr="0028531E">
        <w:rPr>
          <w:lang w:val="en-US"/>
        </w:rPr>
        <w:t xml:space="preserve">account </w:t>
      </w:r>
      <w:r w:rsidR="00E37937">
        <w:rPr>
          <w:lang w:val="en-US"/>
        </w:rPr>
        <w:t xml:space="preserve">a </w:t>
      </w:r>
      <w:r w:rsidR="0074069B" w:rsidRPr="0028531E">
        <w:rPr>
          <w:lang w:val="en-US"/>
        </w:rPr>
        <w:t xml:space="preserve">potential selection bias. </w:t>
      </w:r>
      <w:r w:rsidR="00724DED" w:rsidRPr="0028531E">
        <w:rPr>
          <w:lang w:val="en-US"/>
        </w:rPr>
        <w:t xml:space="preserve">Also, for </w:t>
      </w:r>
      <w:r w:rsidR="00D05E63" w:rsidRPr="0028531E">
        <w:rPr>
          <w:lang w:val="en-US"/>
        </w:rPr>
        <w:t xml:space="preserve">the period 2002-2006 </w:t>
      </w:r>
      <w:r w:rsidR="00724DED" w:rsidRPr="0028531E">
        <w:rPr>
          <w:lang w:val="en-US"/>
        </w:rPr>
        <w:t xml:space="preserve">the </w:t>
      </w:r>
      <w:r w:rsidR="00CE3618" w:rsidRPr="0028531E">
        <w:rPr>
          <w:lang w:val="en-US"/>
        </w:rPr>
        <w:t>direct effects</w:t>
      </w:r>
      <w:r w:rsidR="00D05E63" w:rsidRPr="0028531E">
        <w:rPr>
          <w:lang w:val="en-US"/>
        </w:rPr>
        <w:t xml:space="preserve"> </w:t>
      </w:r>
      <w:r w:rsidR="00D05E63" w:rsidRPr="0028531E">
        <w:rPr>
          <w:position w:val="-12"/>
          <w:lang w:val="en-US"/>
        </w:rPr>
        <w:object w:dxaOrig="300" w:dyaOrig="360" w14:anchorId="1B2D8B12">
          <v:shape id="_x0000_i1086" type="#_x0000_t75" style="width:14.65pt;height:17.25pt" o:ole="">
            <v:imagedata r:id="rId128" o:title=""/>
          </v:shape>
          <o:OLEObject Type="Embed" ProgID="Equation.DSMT4" ShapeID="_x0000_i1086" DrawAspect="Content" ObjectID="_1533125634" r:id="rId129"/>
        </w:object>
      </w:r>
      <w:r w:rsidR="00CE3618" w:rsidRPr="0028531E">
        <w:rPr>
          <w:lang w:val="en-US"/>
        </w:rPr>
        <w:t xml:space="preserve"> indicate </w:t>
      </w:r>
      <w:r w:rsidR="002D1CE7">
        <w:rPr>
          <w:lang w:val="en-US"/>
        </w:rPr>
        <w:t xml:space="preserve">an insignificant or an </w:t>
      </w:r>
      <w:r w:rsidR="00BF4C03" w:rsidRPr="0028531E">
        <w:rPr>
          <w:lang w:val="en-US"/>
        </w:rPr>
        <w:t xml:space="preserve">increasing </w:t>
      </w:r>
      <w:r w:rsidR="002D1CE7">
        <w:rPr>
          <w:lang w:val="en-US"/>
        </w:rPr>
        <w:t xml:space="preserve">effect on </w:t>
      </w:r>
      <w:r w:rsidR="00BF4C03" w:rsidRPr="0028531E">
        <w:rPr>
          <w:lang w:val="en-US"/>
        </w:rPr>
        <w:t>hours at work</w:t>
      </w:r>
      <w:r w:rsidR="00D05E63" w:rsidRPr="0028531E">
        <w:rPr>
          <w:lang w:val="en-US"/>
        </w:rPr>
        <w:t xml:space="preserve">. This is the case of women in Belgium and France, </w:t>
      </w:r>
      <w:r w:rsidR="002D1CE7">
        <w:rPr>
          <w:lang w:val="en-US"/>
        </w:rPr>
        <w:t>with</w:t>
      </w:r>
      <w:r w:rsidR="005C7E1C">
        <w:rPr>
          <w:lang w:val="en-US"/>
        </w:rPr>
        <w:t xml:space="preserve"> </w:t>
      </w:r>
      <w:r w:rsidR="00D05E63" w:rsidRPr="0028531E">
        <w:rPr>
          <w:lang w:val="en-US"/>
        </w:rPr>
        <w:t>+</w:t>
      </w:r>
      <w:r w:rsidR="002420B7">
        <w:rPr>
          <w:lang w:val="en-US"/>
        </w:rPr>
        <w:t>0.77</w:t>
      </w:r>
      <w:r w:rsidR="00D05E63" w:rsidRPr="0028531E">
        <w:rPr>
          <w:lang w:val="en-US"/>
        </w:rPr>
        <w:t xml:space="preserve"> and +</w:t>
      </w:r>
      <w:r w:rsidR="002420B7">
        <w:rPr>
          <w:lang w:val="en-US"/>
        </w:rPr>
        <w:t>1.36</w:t>
      </w:r>
      <w:r w:rsidR="00D05E63" w:rsidRPr="0028531E">
        <w:rPr>
          <w:lang w:val="en-US"/>
        </w:rPr>
        <w:t xml:space="preserve"> </w:t>
      </w:r>
      <w:r w:rsidR="002D1CE7" w:rsidRPr="0028531E">
        <w:rPr>
          <w:lang w:val="en-US"/>
        </w:rPr>
        <w:t xml:space="preserve">hours </w:t>
      </w:r>
      <w:r w:rsidR="00D05E63" w:rsidRPr="0028531E">
        <w:rPr>
          <w:lang w:val="en-US"/>
        </w:rPr>
        <w:t xml:space="preserve">respectively, and of men in France </w:t>
      </w:r>
      <w:r w:rsidR="002420B7">
        <w:rPr>
          <w:lang w:val="en-US"/>
        </w:rPr>
        <w:t>(</w:t>
      </w:r>
      <w:r w:rsidR="00D05E63" w:rsidRPr="0028531E">
        <w:rPr>
          <w:lang w:val="en-US"/>
        </w:rPr>
        <w:t>+</w:t>
      </w:r>
      <w:r w:rsidR="002420B7">
        <w:rPr>
          <w:lang w:val="en-US"/>
        </w:rPr>
        <w:t>1.31</w:t>
      </w:r>
      <w:r w:rsidR="00D05E63" w:rsidRPr="0028531E">
        <w:rPr>
          <w:lang w:val="en-US"/>
        </w:rPr>
        <w:t xml:space="preserve"> hours</w:t>
      </w:r>
      <w:r w:rsidR="002420B7">
        <w:rPr>
          <w:lang w:val="en-US"/>
        </w:rPr>
        <w:t>)</w:t>
      </w:r>
      <w:r w:rsidR="00D05E63" w:rsidRPr="0028531E">
        <w:rPr>
          <w:lang w:val="en-US"/>
        </w:rPr>
        <w:t>. A similar</w:t>
      </w:r>
      <w:r w:rsidR="00592415">
        <w:rPr>
          <w:lang w:val="en-US"/>
        </w:rPr>
        <w:t xml:space="preserve">, but </w:t>
      </w:r>
      <w:r w:rsidR="002D1CE7">
        <w:rPr>
          <w:lang w:val="en-US"/>
        </w:rPr>
        <w:t>somewhat less pronounced effect</w:t>
      </w:r>
      <w:r w:rsidR="00D05E63" w:rsidRPr="0028531E">
        <w:rPr>
          <w:lang w:val="en-US"/>
        </w:rPr>
        <w:t xml:space="preserve"> is </w:t>
      </w:r>
      <w:r w:rsidR="00D05E63" w:rsidRPr="0028531E">
        <w:rPr>
          <w:lang w:val="en-US"/>
        </w:rPr>
        <w:lastRenderedPageBreak/>
        <w:t xml:space="preserve">observed for 2007-2011 for </w:t>
      </w:r>
      <w:r w:rsidR="002420B7">
        <w:rPr>
          <w:lang w:val="en-US"/>
        </w:rPr>
        <w:t>the same categories</w:t>
      </w:r>
      <w:r w:rsidR="00592415">
        <w:rPr>
          <w:lang w:val="en-US"/>
        </w:rPr>
        <w:t xml:space="preserve"> of workers (</w:t>
      </w:r>
      <w:r w:rsidR="00D05E63" w:rsidRPr="0028531E">
        <w:rPr>
          <w:lang w:val="en-US"/>
        </w:rPr>
        <w:t xml:space="preserve">women and men in </w:t>
      </w:r>
      <w:r w:rsidR="00592415">
        <w:rPr>
          <w:lang w:val="en-US"/>
        </w:rPr>
        <w:t>France</w:t>
      </w:r>
      <w:r w:rsidR="00592415" w:rsidRPr="0028531E">
        <w:rPr>
          <w:lang w:val="en-US"/>
        </w:rPr>
        <w:t xml:space="preserve"> </w:t>
      </w:r>
      <w:r w:rsidR="00D05E63" w:rsidRPr="0028531E">
        <w:rPr>
          <w:lang w:val="en-US"/>
        </w:rPr>
        <w:t xml:space="preserve">and for </w:t>
      </w:r>
      <w:r w:rsidR="00592415">
        <w:rPr>
          <w:lang w:val="en-US"/>
        </w:rPr>
        <w:t>wo</w:t>
      </w:r>
      <w:r w:rsidR="00D05E63" w:rsidRPr="0028531E">
        <w:rPr>
          <w:lang w:val="en-US"/>
        </w:rPr>
        <w:t xml:space="preserve">men in </w:t>
      </w:r>
      <w:r w:rsidR="00592415">
        <w:rPr>
          <w:lang w:val="en-US"/>
        </w:rPr>
        <w:t>Belgium)</w:t>
      </w:r>
      <w:r w:rsidR="00D05E63" w:rsidRPr="0028531E">
        <w:rPr>
          <w:lang w:val="en-US"/>
        </w:rPr>
        <w:t xml:space="preserve">. </w:t>
      </w:r>
      <w:r w:rsidR="00592415">
        <w:rPr>
          <w:lang w:val="en-US"/>
        </w:rPr>
        <w:t xml:space="preserve">A significant and slight decrease in hours of work (-0.23 % points) is observed for </w:t>
      </w:r>
      <w:r w:rsidR="004E39D1">
        <w:rPr>
          <w:lang w:val="en-US"/>
        </w:rPr>
        <w:t xml:space="preserve">men in </w:t>
      </w:r>
      <w:r w:rsidR="00E23AED">
        <w:rPr>
          <w:lang w:val="en-US"/>
        </w:rPr>
        <w:t>T</w:t>
      </w:r>
      <w:r w:rsidR="00592415">
        <w:rPr>
          <w:lang w:val="en-US"/>
        </w:rPr>
        <w:t xml:space="preserve">he Netherlands. </w:t>
      </w:r>
      <w:r w:rsidR="00D05E63" w:rsidRPr="0028531E">
        <w:rPr>
          <w:lang w:val="en-US"/>
        </w:rPr>
        <w:t xml:space="preserve">By </w:t>
      </w:r>
      <w:r w:rsidR="00724DED" w:rsidRPr="0028531E">
        <w:rPr>
          <w:lang w:val="en-US"/>
        </w:rPr>
        <w:t>construction</w:t>
      </w:r>
      <w:r w:rsidR="00D05E63" w:rsidRPr="0028531E">
        <w:rPr>
          <w:lang w:val="en-US"/>
        </w:rPr>
        <w:t>, t</w:t>
      </w:r>
      <w:r w:rsidR="00BF4C03" w:rsidRPr="0028531E">
        <w:rPr>
          <w:lang w:val="en-US"/>
        </w:rPr>
        <w:t>hese effects are associated with the reference gro</w:t>
      </w:r>
      <w:r w:rsidR="00D05E63" w:rsidRPr="0028531E">
        <w:rPr>
          <w:lang w:val="en-US"/>
        </w:rPr>
        <w:t xml:space="preserve">up in the analysis, in this case the </w:t>
      </w:r>
      <w:r w:rsidR="00592415">
        <w:rPr>
          <w:lang w:val="en-US"/>
        </w:rPr>
        <w:t>25</w:t>
      </w:r>
      <w:r w:rsidR="00592415" w:rsidRPr="0028531E">
        <w:rPr>
          <w:lang w:val="en-US"/>
        </w:rPr>
        <w:t xml:space="preserve"> </w:t>
      </w:r>
      <w:r w:rsidR="00D05E63" w:rsidRPr="0028531E">
        <w:rPr>
          <w:lang w:val="en-US"/>
        </w:rPr>
        <w:t>to 49</w:t>
      </w:r>
      <w:r w:rsidR="00BF4C03" w:rsidRPr="0028531E">
        <w:rPr>
          <w:lang w:val="en-US"/>
        </w:rPr>
        <w:t xml:space="preserve"> years old.</w:t>
      </w:r>
      <w:r w:rsidR="00CC5039" w:rsidRPr="0028531E">
        <w:rPr>
          <w:lang w:val="en-US"/>
        </w:rPr>
        <w:t xml:space="preserve"> For </w:t>
      </w:r>
      <w:r w:rsidR="00525289" w:rsidRPr="0028531E">
        <w:rPr>
          <w:lang w:val="en-US"/>
        </w:rPr>
        <w:t xml:space="preserve">the other </w:t>
      </w:r>
      <w:r w:rsidR="00724DED" w:rsidRPr="0028531E">
        <w:rPr>
          <w:lang w:val="en-US"/>
        </w:rPr>
        <w:t xml:space="preserve">time-independent </w:t>
      </w:r>
      <w:r w:rsidR="00525289" w:rsidRPr="0028531E">
        <w:rPr>
          <w:lang w:val="en-US"/>
        </w:rPr>
        <w:t>explanatory variables</w:t>
      </w:r>
      <w:r w:rsidR="00724DED" w:rsidRPr="0028531E">
        <w:rPr>
          <w:lang w:val="en-US"/>
        </w:rPr>
        <w:t>,</w:t>
      </w:r>
      <w:r w:rsidR="00CC5039" w:rsidRPr="0028531E">
        <w:rPr>
          <w:lang w:val="en-US"/>
        </w:rPr>
        <w:t xml:space="preserve"> </w:t>
      </w:r>
      <w:r w:rsidR="00724DED" w:rsidRPr="0028531E">
        <w:rPr>
          <w:lang w:val="en-US"/>
        </w:rPr>
        <w:t xml:space="preserve">such as age, </w:t>
      </w:r>
      <w:r w:rsidR="00CC5039" w:rsidRPr="0028531E">
        <w:rPr>
          <w:lang w:val="en-US"/>
        </w:rPr>
        <w:t xml:space="preserve">it is difficult to identify a general </w:t>
      </w:r>
      <w:r w:rsidR="00724DED" w:rsidRPr="0028531E">
        <w:rPr>
          <w:lang w:val="en-US"/>
        </w:rPr>
        <w:t xml:space="preserve">pattern of </w:t>
      </w:r>
      <w:r w:rsidR="00CC5039" w:rsidRPr="0028531E">
        <w:rPr>
          <w:lang w:val="en-US"/>
        </w:rPr>
        <w:t>d</w:t>
      </w:r>
      <w:r w:rsidR="00BF4C03" w:rsidRPr="0028531E">
        <w:rPr>
          <w:lang w:val="en-US"/>
        </w:rPr>
        <w:t>irect effects</w:t>
      </w:r>
      <w:r w:rsidR="00724DED" w:rsidRPr="0028531E">
        <w:rPr>
          <w:lang w:val="en-US"/>
        </w:rPr>
        <w:t xml:space="preserve">: </w:t>
      </w:r>
      <w:r w:rsidR="00EE1D68" w:rsidRPr="0028531E">
        <w:rPr>
          <w:lang w:val="en-US"/>
        </w:rPr>
        <w:t xml:space="preserve">women in France and </w:t>
      </w:r>
      <w:r w:rsidR="005960DC">
        <w:rPr>
          <w:lang w:val="en-US"/>
        </w:rPr>
        <w:t xml:space="preserve">Belgium and </w:t>
      </w:r>
      <w:r w:rsidR="00EE1D68" w:rsidRPr="0028531E">
        <w:rPr>
          <w:lang w:val="en-US"/>
        </w:rPr>
        <w:t>men</w:t>
      </w:r>
      <w:r w:rsidR="0022049F" w:rsidRPr="0028531E">
        <w:rPr>
          <w:lang w:val="en-US"/>
        </w:rPr>
        <w:t xml:space="preserve"> in </w:t>
      </w:r>
      <w:r w:rsidR="00E23AED">
        <w:rPr>
          <w:lang w:val="en-US"/>
        </w:rPr>
        <w:t>T</w:t>
      </w:r>
      <w:r w:rsidR="0022049F" w:rsidRPr="0028531E">
        <w:rPr>
          <w:lang w:val="en-US"/>
        </w:rPr>
        <w:t>he Netherlands</w:t>
      </w:r>
      <w:r w:rsidR="00EE1D68" w:rsidRPr="0028531E">
        <w:rPr>
          <w:lang w:val="en-US"/>
        </w:rPr>
        <w:t xml:space="preserve"> </w:t>
      </w:r>
      <w:r w:rsidR="0022049F" w:rsidRPr="0028531E">
        <w:rPr>
          <w:lang w:val="en-US"/>
        </w:rPr>
        <w:t xml:space="preserve">appear to </w:t>
      </w:r>
      <w:r w:rsidR="00EE1D68" w:rsidRPr="0028531E">
        <w:rPr>
          <w:lang w:val="en-US"/>
        </w:rPr>
        <w:t xml:space="preserve">work </w:t>
      </w:r>
      <w:r w:rsidR="0022049F" w:rsidRPr="0028531E">
        <w:rPr>
          <w:lang w:val="en-US"/>
        </w:rPr>
        <w:t>fewer</w:t>
      </w:r>
      <w:r w:rsidR="00EE1D68" w:rsidRPr="0028531E">
        <w:rPr>
          <w:lang w:val="en-US"/>
        </w:rPr>
        <w:t xml:space="preserve"> hours when ageing</w:t>
      </w:r>
      <w:r w:rsidR="005960DC">
        <w:rPr>
          <w:lang w:val="en-US"/>
        </w:rPr>
        <w:t>, while men in France increase significantly the number of hours of work</w:t>
      </w:r>
      <w:r w:rsidR="0022049F" w:rsidRPr="0028531E">
        <w:rPr>
          <w:lang w:val="en-US"/>
        </w:rPr>
        <w:t xml:space="preserve">. </w:t>
      </w:r>
      <w:r w:rsidR="00724DED" w:rsidRPr="0028531E">
        <w:rPr>
          <w:lang w:val="en-US"/>
        </w:rPr>
        <w:t xml:space="preserve">Also, </w:t>
      </w:r>
      <w:r w:rsidR="00EE1D68" w:rsidRPr="0028531E">
        <w:rPr>
          <w:lang w:val="en-US"/>
        </w:rPr>
        <w:t>less educated workers</w:t>
      </w:r>
      <w:r w:rsidR="00724DED" w:rsidRPr="0028531E">
        <w:rPr>
          <w:lang w:val="en-US"/>
        </w:rPr>
        <w:t xml:space="preserve"> </w:t>
      </w:r>
      <w:r w:rsidR="00EE1D68" w:rsidRPr="0028531E">
        <w:rPr>
          <w:lang w:val="en-US"/>
        </w:rPr>
        <w:t xml:space="preserve">work </w:t>
      </w:r>
      <w:r w:rsidR="00591C15" w:rsidRPr="0028531E">
        <w:rPr>
          <w:lang w:val="en-US"/>
        </w:rPr>
        <w:t>in general fewer</w:t>
      </w:r>
      <w:r w:rsidR="00EE1D68" w:rsidRPr="0028531E">
        <w:rPr>
          <w:lang w:val="en-US"/>
        </w:rPr>
        <w:t xml:space="preserve"> hours</w:t>
      </w:r>
      <w:r w:rsidR="00591C15" w:rsidRPr="0028531E">
        <w:rPr>
          <w:lang w:val="en-US"/>
        </w:rPr>
        <w:t xml:space="preserve"> than high qualified workers</w:t>
      </w:r>
      <w:r w:rsidR="00EE1D68" w:rsidRPr="0028531E">
        <w:rPr>
          <w:lang w:val="en-US"/>
        </w:rPr>
        <w:t xml:space="preserve">, as expected. </w:t>
      </w:r>
      <w:r w:rsidR="0022049F" w:rsidRPr="0028531E">
        <w:rPr>
          <w:lang w:val="en-US"/>
        </w:rPr>
        <w:t xml:space="preserve">Finally, </w:t>
      </w:r>
      <w:r w:rsidR="00591C15" w:rsidRPr="0028531E">
        <w:rPr>
          <w:lang w:val="en-US"/>
        </w:rPr>
        <w:t>seniority appears in general associated with more hours at work.</w:t>
      </w:r>
    </w:p>
    <w:p w14:paraId="6BFD263E" w14:textId="4024FF11" w:rsidR="004E6DF8" w:rsidRPr="00A14F43" w:rsidRDefault="004E6DF8" w:rsidP="000525D7">
      <w:pPr>
        <w:rPr>
          <w:rStyle w:val="Strong"/>
          <w:lang w:val="en-US"/>
        </w:rPr>
      </w:pPr>
      <w:r w:rsidRPr="00A14F43">
        <w:rPr>
          <w:rStyle w:val="Strong"/>
          <w:lang w:val="en-US"/>
        </w:rPr>
        <w:t xml:space="preserve">INSERT TABLE </w:t>
      </w:r>
      <w:r w:rsidR="00F647D2">
        <w:rPr>
          <w:rStyle w:val="Strong"/>
          <w:lang w:val="en-US"/>
        </w:rPr>
        <w:t>6</w:t>
      </w:r>
      <w:r>
        <w:rPr>
          <w:rStyle w:val="Strong"/>
          <w:lang w:val="en-US"/>
        </w:rPr>
        <w:t xml:space="preserve"> AND </w:t>
      </w:r>
      <w:r w:rsidR="00F647D2">
        <w:rPr>
          <w:rStyle w:val="Strong"/>
          <w:lang w:val="en-US"/>
        </w:rPr>
        <w:t>7</w:t>
      </w:r>
    </w:p>
    <w:p w14:paraId="1046C641" w14:textId="62A2E793" w:rsidR="00F76FCD" w:rsidRPr="0028531E" w:rsidRDefault="00724DED" w:rsidP="000525D7">
      <w:pPr>
        <w:rPr>
          <w:lang w:val="en-US"/>
        </w:rPr>
      </w:pPr>
      <w:r w:rsidRPr="0028531E">
        <w:rPr>
          <w:lang w:val="en-US"/>
        </w:rPr>
        <w:t>Looking at c</w:t>
      </w:r>
      <w:r w:rsidR="00E25D08" w:rsidRPr="0028531E">
        <w:rPr>
          <w:lang w:val="en-US"/>
        </w:rPr>
        <w:t>rossed effects</w:t>
      </w:r>
      <w:r w:rsidRPr="0028531E">
        <w:rPr>
          <w:lang w:val="en-US"/>
        </w:rPr>
        <w:t xml:space="preserve">, we can </w:t>
      </w:r>
      <w:r w:rsidR="00124552" w:rsidRPr="0028531E">
        <w:rPr>
          <w:lang w:val="en-US"/>
        </w:rPr>
        <w:t xml:space="preserve">identify </w:t>
      </w:r>
      <w:r w:rsidRPr="0028531E">
        <w:rPr>
          <w:lang w:val="en-US"/>
        </w:rPr>
        <w:t xml:space="preserve">period-specific effects of </w:t>
      </w:r>
      <w:r w:rsidR="00124552" w:rsidRPr="0028531E">
        <w:rPr>
          <w:lang w:val="en-US"/>
        </w:rPr>
        <w:t>changes</w:t>
      </w:r>
      <w:r w:rsidRPr="0028531E">
        <w:rPr>
          <w:lang w:val="en-US"/>
        </w:rPr>
        <w:t xml:space="preserve"> in these independent variables –</w:t>
      </w:r>
      <w:r w:rsidR="00124552" w:rsidRPr="0028531E">
        <w:rPr>
          <w:lang w:val="en-US"/>
        </w:rPr>
        <w:t xml:space="preserve"> </w:t>
      </w:r>
      <w:r w:rsidR="00E25D08" w:rsidRPr="0028531E">
        <w:rPr>
          <w:lang w:val="en-US"/>
        </w:rPr>
        <w:t xml:space="preserve">either </w:t>
      </w:r>
      <w:r w:rsidR="00124552" w:rsidRPr="0028531E">
        <w:rPr>
          <w:lang w:val="en-US"/>
        </w:rPr>
        <w:t>from 1997-2001 to 2002-2006</w:t>
      </w:r>
      <w:r w:rsidR="00E25D08" w:rsidRPr="0028531E">
        <w:rPr>
          <w:lang w:val="en-US"/>
        </w:rPr>
        <w:t xml:space="preserve"> (Table </w:t>
      </w:r>
      <w:r w:rsidR="00F647D2">
        <w:rPr>
          <w:lang w:val="en-US"/>
        </w:rPr>
        <w:t>6</w:t>
      </w:r>
      <w:r w:rsidR="00E25D08" w:rsidRPr="0028531E">
        <w:rPr>
          <w:lang w:val="en-US"/>
        </w:rPr>
        <w:t>) or from 2002-2006 to 2007-2011</w:t>
      </w:r>
      <w:r w:rsidR="001F68B5" w:rsidRPr="0028531E">
        <w:rPr>
          <w:lang w:val="en-US"/>
        </w:rPr>
        <w:t xml:space="preserve"> (Table </w:t>
      </w:r>
      <w:r w:rsidR="00F647D2">
        <w:rPr>
          <w:lang w:val="en-US"/>
        </w:rPr>
        <w:t>7</w:t>
      </w:r>
      <w:r w:rsidR="001F68B5" w:rsidRPr="0028531E">
        <w:rPr>
          <w:lang w:val="en-US"/>
        </w:rPr>
        <w:t>)</w:t>
      </w:r>
      <w:r w:rsidRPr="0028531E">
        <w:rPr>
          <w:lang w:val="en-US"/>
        </w:rPr>
        <w:t xml:space="preserve">. </w:t>
      </w:r>
      <w:r w:rsidR="001F68B5" w:rsidRPr="0028531E">
        <w:rPr>
          <w:lang w:val="en-US"/>
        </w:rPr>
        <w:t xml:space="preserve">As </w:t>
      </w:r>
      <w:r w:rsidRPr="0028531E">
        <w:rPr>
          <w:lang w:val="en-US"/>
        </w:rPr>
        <w:t>in the previous Sections</w:t>
      </w:r>
      <w:r w:rsidR="001F68B5" w:rsidRPr="0028531E">
        <w:rPr>
          <w:lang w:val="en-US"/>
        </w:rPr>
        <w:t>, w</w:t>
      </w:r>
      <w:r w:rsidR="00124552" w:rsidRPr="0028531E">
        <w:rPr>
          <w:lang w:val="en-US"/>
        </w:rPr>
        <w:t xml:space="preserve">e are interested </w:t>
      </w:r>
      <w:r w:rsidRPr="0028531E">
        <w:rPr>
          <w:lang w:val="en-US"/>
        </w:rPr>
        <w:t xml:space="preserve">in </w:t>
      </w:r>
      <w:r w:rsidR="00124552" w:rsidRPr="0028531E">
        <w:rPr>
          <w:lang w:val="en-US"/>
        </w:rPr>
        <w:t>the sign and the significance of estimated marginal effects</w:t>
      </w:r>
      <w:r w:rsidR="0022049F" w:rsidRPr="0028531E">
        <w:rPr>
          <w:lang w:val="en-US"/>
        </w:rPr>
        <w:t xml:space="preserve"> on hours of work, particularly </w:t>
      </w:r>
      <w:r w:rsidR="001F68B5" w:rsidRPr="0028531E">
        <w:rPr>
          <w:lang w:val="en-US"/>
        </w:rPr>
        <w:t xml:space="preserve">crossed effects between </w:t>
      </w:r>
      <w:r w:rsidR="0022049F" w:rsidRPr="0028531E">
        <w:rPr>
          <w:lang w:val="en-US"/>
        </w:rPr>
        <w:t xml:space="preserve">age and </w:t>
      </w:r>
      <w:r w:rsidR="001F68B5" w:rsidRPr="0028531E">
        <w:rPr>
          <w:lang w:val="en-US"/>
        </w:rPr>
        <w:t xml:space="preserve">periods. </w:t>
      </w:r>
      <w:r w:rsidRPr="0028531E">
        <w:rPr>
          <w:lang w:val="en-US"/>
        </w:rPr>
        <w:t>For example, w</w:t>
      </w:r>
      <w:r w:rsidR="001F68B5" w:rsidRPr="0028531E">
        <w:rPr>
          <w:lang w:val="en-US"/>
        </w:rPr>
        <w:t>e obser</w:t>
      </w:r>
      <w:r w:rsidR="00E836A8" w:rsidRPr="0028531E">
        <w:rPr>
          <w:lang w:val="en-US"/>
        </w:rPr>
        <w:t>ve that for the case of Belgium</w:t>
      </w:r>
      <w:r w:rsidR="001F68B5" w:rsidRPr="0028531E">
        <w:rPr>
          <w:lang w:val="en-US"/>
        </w:rPr>
        <w:t xml:space="preserve"> near</w:t>
      </w:r>
      <w:r w:rsidRPr="0028531E">
        <w:rPr>
          <w:lang w:val="en-US"/>
        </w:rPr>
        <w:t>ly</w:t>
      </w:r>
      <w:r w:rsidR="001F68B5" w:rsidRPr="0028531E">
        <w:rPr>
          <w:lang w:val="en-US"/>
        </w:rPr>
        <w:t xml:space="preserve"> all groups show a decline in hours</w:t>
      </w:r>
      <w:r w:rsidR="00965BE7">
        <w:rPr>
          <w:lang w:val="en-US"/>
        </w:rPr>
        <w:t xml:space="preserve"> compared to the reference group</w:t>
      </w:r>
      <w:r w:rsidRPr="0028531E">
        <w:rPr>
          <w:lang w:val="en-US"/>
        </w:rPr>
        <w:t xml:space="preserve">. This effect nearly represents 1 hour each period for the </w:t>
      </w:r>
      <w:r w:rsidR="001F68B5" w:rsidRPr="0028531E">
        <w:rPr>
          <w:lang w:val="en-US"/>
        </w:rPr>
        <w:t>55-59 years</w:t>
      </w:r>
      <w:r w:rsidRPr="0028531E">
        <w:rPr>
          <w:lang w:val="en-US"/>
        </w:rPr>
        <w:t xml:space="preserve"> old, with </w:t>
      </w:r>
      <w:r w:rsidR="00D86290">
        <w:rPr>
          <w:lang w:val="en-US"/>
        </w:rPr>
        <w:t xml:space="preserve">an </w:t>
      </w:r>
      <w:r w:rsidRPr="0028531E">
        <w:rPr>
          <w:lang w:val="en-US"/>
        </w:rPr>
        <w:t xml:space="preserve">even stronger effect for </w:t>
      </w:r>
      <w:r w:rsidR="00E836A8" w:rsidRPr="0028531E">
        <w:rPr>
          <w:lang w:val="en-US"/>
        </w:rPr>
        <w:t>the</w:t>
      </w:r>
      <w:r w:rsidR="0022049F" w:rsidRPr="0028531E">
        <w:rPr>
          <w:lang w:val="en-US"/>
        </w:rPr>
        <w:t xml:space="preserve"> </w:t>
      </w:r>
      <w:r w:rsidRPr="0028531E">
        <w:rPr>
          <w:lang w:val="en-US"/>
        </w:rPr>
        <w:t xml:space="preserve">age group </w:t>
      </w:r>
      <w:r w:rsidR="0022049F" w:rsidRPr="0028531E">
        <w:rPr>
          <w:lang w:val="en-US"/>
        </w:rPr>
        <w:t>60-64</w:t>
      </w:r>
      <w:r w:rsidRPr="0028531E">
        <w:rPr>
          <w:lang w:val="en-US"/>
        </w:rPr>
        <w:t xml:space="preserve"> where</w:t>
      </w:r>
      <w:r w:rsidR="00E836A8" w:rsidRPr="0028531E">
        <w:rPr>
          <w:position w:val="-14"/>
          <w:lang w:val="en-US"/>
        </w:rPr>
        <w:object w:dxaOrig="620" w:dyaOrig="420" w14:anchorId="3978F92A">
          <v:shape id="_x0000_i1087" type="#_x0000_t75" style="width:31.05pt;height:21.55pt" o:ole="">
            <v:imagedata r:id="rId130" o:title=""/>
          </v:shape>
          <o:OLEObject Type="Embed" ProgID="Equation.DSMT4" ShapeID="_x0000_i1087" DrawAspect="Content" ObjectID="_1533125635" r:id="rId131"/>
        </w:object>
      </w:r>
      <w:r w:rsidR="0027282F">
        <w:rPr>
          <w:lang w:val="en-US"/>
        </w:rPr>
        <w:t xml:space="preserve">-3.05 </w:t>
      </w:r>
      <w:r w:rsidR="00E836A8" w:rsidRPr="0028531E">
        <w:rPr>
          <w:lang w:val="en-US"/>
        </w:rPr>
        <w:t xml:space="preserve">hours </w:t>
      </w:r>
      <w:r w:rsidR="00E71C57" w:rsidRPr="0028531E">
        <w:rPr>
          <w:lang w:val="en-US"/>
        </w:rPr>
        <w:t xml:space="preserve">for men </w:t>
      </w:r>
      <w:r w:rsidR="00E836A8" w:rsidRPr="0028531E">
        <w:rPr>
          <w:lang w:val="en-US"/>
        </w:rPr>
        <w:t>in 2002-2006</w:t>
      </w:r>
      <w:r w:rsidR="00E71C57" w:rsidRPr="0028531E">
        <w:rPr>
          <w:lang w:val="en-US"/>
        </w:rPr>
        <w:t>.</w:t>
      </w:r>
      <w:r w:rsidR="001F68B5" w:rsidRPr="0028531E">
        <w:rPr>
          <w:lang w:val="en-US"/>
        </w:rPr>
        <w:t xml:space="preserve"> </w:t>
      </w:r>
      <w:r w:rsidR="00F76FCD" w:rsidRPr="0028531E">
        <w:rPr>
          <w:lang w:val="en-US"/>
        </w:rPr>
        <w:t xml:space="preserve">For France and </w:t>
      </w:r>
      <w:r w:rsidR="00E23AED">
        <w:rPr>
          <w:lang w:val="en-US"/>
        </w:rPr>
        <w:t>T</w:t>
      </w:r>
      <w:r w:rsidR="00F76FCD" w:rsidRPr="0028531E">
        <w:rPr>
          <w:lang w:val="en-US"/>
        </w:rPr>
        <w:t xml:space="preserve">he Netherlands the results are contrasted, positive and </w:t>
      </w:r>
      <w:r w:rsidR="00D86290" w:rsidRPr="0028531E">
        <w:rPr>
          <w:lang w:val="en-US"/>
        </w:rPr>
        <w:t xml:space="preserve">statistically </w:t>
      </w:r>
      <w:r w:rsidR="00F76FCD" w:rsidRPr="0028531E">
        <w:rPr>
          <w:lang w:val="en-US"/>
        </w:rPr>
        <w:t xml:space="preserve">significant </w:t>
      </w:r>
      <w:r w:rsidR="00E71C57" w:rsidRPr="0028531E">
        <w:rPr>
          <w:lang w:val="en-US"/>
        </w:rPr>
        <w:t xml:space="preserve">for women and men </w:t>
      </w:r>
      <w:r w:rsidR="0027282F">
        <w:rPr>
          <w:lang w:val="en-US"/>
        </w:rPr>
        <w:t xml:space="preserve">aged 50 and more </w:t>
      </w:r>
      <w:r w:rsidR="00E71C57" w:rsidRPr="0028531E">
        <w:rPr>
          <w:lang w:val="en-US"/>
        </w:rPr>
        <w:t xml:space="preserve">during </w:t>
      </w:r>
      <w:r w:rsidR="00F76FCD" w:rsidRPr="0028531E">
        <w:rPr>
          <w:lang w:val="en-US"/>
        </w:rPr>
        <w:t>2002-2006</w:t>
      </w:r>
      <w:r w:rsidR="0027282F">
        <w:rPr>
          <w:lang w:val="en-US"/>
        </w:rPr>
        <w:t xml:space="preserve">, with the only exception of women in </w:t>
      </w:r>
      <w:r w:rsidR="00E23AED">
        <w:rPr>
          <w:lang w:val="en-US"/>
        </w:rPr>
        <w:t>T</w:t>
      </w:r>
      <w:r w:rsidR="0027282F">
        <w:rPr>
          <w:lang w:val="en-US"/>
        </w:rPr>
        <w:t>he Netherlands</w:t>
      </w:r>
      <w:r w:rsidR="00F76FCD" w:rsidRPr="0028531E">
        <w:rPr>
          <w:lang w:val="en-US"/>
        </w:rPr>
        <w:t xml:space="preserve">, </w:t>
      </w:r>
      <w:r w:rsidR="00E71C57" w:rsidRPr="0028531E">
        <w:rPr>
          <w:lang w:val="en-US"/>
        </w:rPr>
        <w:t>and</w:t>
      </w:r>
      <w:r w:rsidR="00F76FCD" w:rsidRPr="0028531E">
        <w:rPr>
          <w:lang w:val="en-US"/>
        </w:rPr>
        <w:t xml:space="preserve"> negative </w:t>
      </w:r>
      <w:r w:rsidR="0027282F">
        <w:rPr>
          <w:lang w:val="en-US"/>
        </w:rPr>
        <w:t xml:space="preserve">in all cases </w:t>
      </w:r>
      <w:r w:rsidR="00E71C57" w:rsidRPr="0028531E">
        <w:rPr>
          <w:lang w:val="en-US"/>
        </w:rPr>
        <w:t xml:space="preserve">for </w:t>
      </w:r>
      <w:r w:rsidR="00F76FCD" w:rsidRPr="0028531E">
        <w:rPr>
          <w:lang w:val="en-US"/>
        </w:rPr>
        <w:t xml:space="preserve">2007-2011. </w:t>
      </w:r>
      <w:r w:rsidR="00E71C57" w:rsidRPr="0028531E">
        <w:rPr>
          <w:lang w:val="en-US"/>
        </w:rPr>
        <w:t>Also f</w:t>
      </w:r>
      <w:r w:rsidR="00F76FCD" w:rsidRPr="0028531E">
        <w:rPr>
          <w:lang w:val="en-US"/>
        </w:rPr>
        <w:t>or Germany</w:t>
      </w:r>
      <w:r w:rsidRPr="0028531E">
        <w:rPr>
          <w:lang w:val="en-US"/>
        </w:rPr>
        <w:t>,</w:t>
      </w:r>
      <w:r w:rsidR="00F76FCD" w:rsidRPr="0028531E">
        <w:rPr>
          <w:lang w:val="en-US"/>
        </w:rPr>
        <w:t xml:space="preserve"> </w:t>
      </w:r>
      <w:r w:rsidRPr="0028531E">
        <w:rPr>
          <w:lang w:val="en-US"/>
        </w:rPr>
        <w:t xml:space="preserve">where the results are </w:t>
      </w:r>
      <w:r w:rsidR="00E71C57" w:rsidRPr="0028531E">
        <w:rPr>
          <w:lang w:val="en-US"/>
        </w:rPr>
        <w:t>only available for 2007-2011</w:t>
      </w:r>
      <w:r w:rsidR="00F76FCD" w:rsidRPr="0028531E">
        <w:rPr>
          <w:lang w:val="en-US"/>
        </w:rPr>
        <w:t xml:space="preserve">, </w:t>
      </w:r>
      <w:r w:rsidRPr="0028531E">
        <w:rPr>
          <w:lang w:val="en-US"/>
        </w:rPr>
        <w:t>there is a downward trend</w:t>
      </w:r>
      <w:r w:rsidR="0094604A">
        <w:rPr>
          <w:lang w:val="en-US"/>
        </w:rPr>
        <w:t xml:space="preserve"> with the only exception of men aged 60-64</w:t>
      </w:r>
      <w:r w:rsidR="00F76FCD" w:rsidRPr="0028531E">
        <w:rPr>
          <w:lang w:val="en-US"/>
        </w:rPr>
        <w:t>.</w:t>
      </w:r>
      <w:r w:rsidR="00155312" w:rsidRPr="0028531E">
        <w:rPr>
          <w:rStyle w:val="FootnoteReference"/>
          <w:rFonts w:ascii="Times New Roman" w:hAnsi="Times New Roman" w:cs="Times New Roman"/>
          <w:lang w:val="en-US"/>
        </w:rPr>
        <w:footnoteReference w:id="15"/>
      </w:r>
    </w:p>
    <w:p w14:paraId="29CFBAC4" w14:textId="34B10BA7" w:rsidR="00124552" w:rsidRPr="0028531E" w:rsidRDefault="00F76FCD" w:rsidP="000525D7">
      <w:pPr>
        <w:rPr>
          <w:lang w:val="en-US"/>
        </w:rPr>
      </w:pPr>
      <w:r w:rsidRPr="0028531E">
        <w:rPr>
          <w:lang w:val="en-US"/>
        </w:rPr>
        <w:t xml:space="preserve">Finally, crossed effects between period and education indicate a significant decrease in hours </w:t>
      </w:r>
      <w:r w:rsidR="00010048" w:rsidRPr="0028531E">
        <w:rPr>
          <w:lang w:val="en-US"/>
        </w:rPr>
        <w:t xml:space="preserve">worked </w:t>
      </w:r>
      <w:r w:rsidRPr="0028531E">
        <w:rPr>
          <w:lang w:val="en-US"/>
        </w:rPr>
        <w:t xml:space="preserve">per week among less </w:t>
      </w:r>
      <w:r w:rsidR="00E3552E" w:rsidRPr="0028531E">
        <w:rPr>
          <w:lang w:val="en-US"/>
        </w:rPr>
        <w:t>skilled workers in both periods. T</w:t>
      </w:r>
      <w:r w:rsidRPr="0028531E">
        <w:rPr>
          <w:lang w:val="en-US"/>
        </w:rPr>
        <w:t>he only exception</w:t>
      </w:r>
      <w:r w:rsidR="0094604A">
        <w:rPr>
          <w:lang w:val="en-US"/>
        </w:rPr>
        <w:t>s</w:t>
      </w:r>
      <w:r w:rsidRPr="0028531E">
        <w:rPr>
          <w:lang w:val="en-US"/>
        </w:rPr>
        <w:t xml:space="preserve"> </w:t>
      </w:r>
      <w:r w:rsidR="0094604A">
        <w:rPr>
          <w:lang w:val="en-US"/>
        </w:rPr>
        <w:t>are</w:t>
      </w:r>
      <w:r w:rsidR="0094604A" w:rsidRPr="0028531E">
        <w:rPr>
          <w:lang w:val="en-US"/>
        </w:rPr>
        <w:t xml:space="preserve"> </w:t>
      </w:r>
      <w:r w:rsidRPr="0028531E">
        <w:rPr>
          <w:lang w:val="en-US"/>
        </w:rPr>
        <w:t xml:space="preserve">women </w:t>
      </w:r>
      <w:r w:rsidR="0094604A">
        <w:rPr>
          <w:lang w:val="en-US"/>
        </w:rPr>
        <w:t xml:space="preserve">and men </w:t>
      </w:r>
      <w:r w:rsidRPr="0028531E">
        <w:rPr>
          <w:lang w:val="en-US"/>
        </w:rPr>
        <w:t xml:space="preserve">with low education in </w:t>
      </w:r>
      <w:r w:rsidR="00E23AED">
        <w:rPr>
          <w:lang w:val="en-US"/>
        </w:rPr>
        <w:t>T</w:t>
      </w:r>
      <w:r w:rsidRPr="0028531E">
        <w:rPr>
          <w:lang w:val="en-US"/>
        </w:rPr>
        <w:t xml:space="preserve">he Netherlands </w:t>
      </w:r>
      <w:r w:rsidR="00E3552E" w:rsidRPr="0028531E">
        <w:rPr>
          <w:lang w:val="en-US"/>
        </w:rPr>
        <w:t xml:space="preserve">during 2002-2006 </w:t>
      </w:r>
      <w:r w:rsidR="008522B0" w:rsidRPr="0028531E">
        <w:rPr>
          <w:lang w:val="en-US"/>
        </w:rPr>
        <w:t>where the corresponding value</w:t>
      </w:r>
      <w:r w:rsidR="0094604A">
        <w:rPr>
          <w:lang w:val="en-US"/>
        </w:rPr>
        <w:t>s</w:t>
      </w:r>
      <w:r w:rsidR="008522B0" w:rsidRPr="0028531E">
        <w:rPr>
          <w:lang w:val="en-US"/>
        </w:rPr>
        <w:t xml:space="preserve"> </w:t>
      </w:r>
      <w:r w:rsidR="0094604A">
        <w:rPr>
          <w:lang w:val="en-US"/>
        </w:rPr>
        <w:t>are</w:t>
      </w:r>
      <w:r w:rsidR="0094604A" w:rsidRPr="0028531E">
        <w:rPr>
          <w:lang w:val="en-US"/>
        </w:rPr>
        <w:t xml:space="preserve"> </w:t>
      </w:r>
      <w:r w:rsidR="00E3552E" w:rsidRPr="0028531E">
        <w:rPr>
          <w:position w:val="-14"/>
          <w:lang w:val="en-US"/>
        </w:rPr>
        <w:object w:dxaOrig="600" w:dyaOrig="420" w14:anchorId="3D7AB658">
          <v:shape id="_x0000_i1088" type="#_x0000_t75" style="width:30.2pt;height:21.55pt" o:ole="">
            <v:imagedata r:id="rId132" o:title=""/>
          </v:shape>
          <o:OLEObject Type="Embed" ProgID="Equation.DSMT4" ShapeID="_x0000_i1088" DrawAspect="Content" ObjectID="_1533125636" r:id="rId133"/>
        </w:object>
      </w:r>
      <w:r w:rsidR="00E3552E" w:rsidRPr="0028531E">
        <w:rPr>
          <w:lang w:val="en-US"/>
        </w:rPr>
        <w:t>+</w:t>
      </w:r>
      <w:r w:rsidR="00D86290">
        <w:rPr>
          <w:lang w:val="en-US"/>
        </w:rPr>
        <w:t xml:space="preserve"> </w:t>
      </w:r>
      <w:r w:rsidR="0094604A">
        <w:rPr>
          <w:lang w:val="en-US"/>
        </w:rPr>
        <w:t>0.76 and + 0.21, respectively</w:t>
      </w:r>
      <w:r w:rsidRPr="0028531E">
        <w:rPr>
          <w:lang w:val="en-US"/>
        </w:rPr>
        <w:t xml:space="preserve">. </w:t>
      </w:r>
      <w:r w:rsidR="002477B2" w:rsidRPr="0028531E">
        <w:rPr>
          <w:lang w:val="en-US"/>
        </w:rPr>
        <w:t xml:space="preserve">To be born abroad </w:t>
      </w:r>
      <w:r w:rsidR="00965BE7">
        <w:rPr>
          <w:lang w:val="en-US"/>
        </w:rPr>
        <w:t xml:space="preserve">has no clear universal pattern of </w:t>
      </w:r>
      <w:r w:rsidR="002477B2" w:rsidRPr="0028531E">
        <w:rPr>
          <w:lang w:val="en-US"/>
        </w:rPr>
        <w:t xml:space="preserve">effects. </w:t>
      </w:r>
      <w:r w:rsidR="008522B0" w:rsidRPr="0028531E">
        <w:rPr>
          <w:lang w:val="en-US"/>
        </w:rPr>
        <w:t xml:space="preserve">Broadly speaking, these latter results indicate that </w:t>
      </w:r>
      <w:r w:rsidR="003D1708" w:rsidRPr="0028531E">
        <w:rPr>
          <w:lang w:val="en-US"/>
        </w:rPr>
        <w:t xml:space="preserve">the lower educated have </w:t>
      </w:r>
      <w:r w:rsidR="00965BE7">
        <w:rPr>
          <w:lang w:val="en-US"/>
        </w:rPr>
        <w:t xml:space="preserve">overall </w:t>
      </w:r>
      <w:r w:rsidR="003D1708" w:rsidRPr="0028531E">
        <w:rPr>
          <w:lang w:val="en-US"/>
        </w:rPr>
        <w:t>seen rather pronounced declines in their working hours, and this across all countries studied. B</w:t>
      </w:r>
      <w:r w:rsidR="008522B0" w:rsidRPr="0028531E">
        <w:rPr>
          <w:lang w:val="en-US"/>
        </w:rPr>
        <w:t xml:space="preserve">eing born abroad </w:t>
      </w:r>
      <w:r w:rsidR="003D1708" w:rsidRPr="0028531E">
        <w:rPr>
          <w:lang w:val="en-US"/>
        </w:rPr>
        <w:t xml:space="preserve">on the other hand </w:t>
      </w:r>
      <w:r w:rsidR="008522B0" w:rsidRPr="0028531E">
        <w:rPr>
          <w:lang w:val="en-US"/>
        </w:rPr>
        <w:t xml:space="preserve">has </w:t>
      </w:r>
      <w:r w:rsidR="00965BE7">
        <w:rPr>
          <w:lang w:val="en-US"/>
        </w:rPr>
        <w:t>no clear effect on</w:t>
      </w:r>
      <w:r w:rsidR="008522B0" w:rsidRPr="0028531E">
        <w:rPr>
          <w:lang w:val="en-US"/>
        </w:rPr>
        <w:t xml:space="preserve"> hours of work, which contrasts with the results in terms of </w:t>
      </w:r>
      <w:r w:rsidR="00965BE7">
        <w:rPr>
          <w:lang w:val="en-US"/>
        </w:rPr>
        <w:t>ERs</w:t>
      </w:r>
      <w:r w:rsidR="008522B0" w:rsidRPr="0028531E">
        <w:rPr>
          <w:lang w:val="en-US"/>
        </w:rPr>
        <w:t xml:space="preserve"> where </w:t>
      </w:r>
      <w:r w:rsidR="003D1708" w:rsidRPr="0028531E">
        <w:rPr>
          <w:lang w:val="en-US"/>
        </w:rPr>
        <w:t xml:space="preserve">both </w:t>
      </w:r>
      <w:r w:rsidR="008522B0" w:rsidRPr="0028531E">
        <w:rPr>
          <w:lang w:val="en-US"/>
        </w:rPr>
        <w:t>vulnerable groups were more heavily affected after the onset of the financial crisis.</w:t>
      </w:r>
    </w:p>
    <w:p w14:paraId="52684022" w14:textId="21843693" w:rsidR="00965BE7" w:rsidRDefault="005E023D" w:rsidP="000525D7">
      <w:pPr>
        <w:rPr>
          <w:lang w:val="en-US"/>
        </w:rPr>
      </w:pPr>
      <w:r w:rsidRPr="0028531E">
        <w:rPr>
          <w:lang w:val="en-US"/>
        </w:rPr>
        <w:t>These latter findings have immediate policy relevance</w:t>
      </w:r>
      <w:r w:rsidR="00ED5420">
        <w:rPr>
          <w:lang w:val="en-US"/>
        </w:rPr>
        <w:t>. T</w:t>
      </w:r>
      <w:r w:rsidRPr="0028531E">
        <w:rPr>
          <w:lang w:val="en-US"/>
        </w:rPr>
        <w:t xml:space="preserve">hey </w:t>
      </w:r>
      <w:r w:rsidR="00965BE7">
        <w:rPr>
          <w:lang w:val="en-US"/>
        </w:rPr>
        <w:t xml:space="preserve">confirm our working hypothesis that </w:t>
      </w:r>
      <w:r w:rsidR="00ED5420">
        <w:rPr>
          <w:lang w:val="en-US"/>
        </w:rPr>
        <w:t xml:space="preserve">the reliance </w:t>
      </w:r>
      <w:r w:rsidRPr="0028531E">
        <w:rPr>
          <w:lang w:val="en-US"/>
        </w:rPr>
        <w:t xml:space="preserve">on a single indicator </w:t>
      </w:r>
      <w:r w:rsidR="00ED5420">
        <w:rPr>
          <w:lang w:val="en-US"/>
        </w:rPr>
        <w:t xml:space="preserve">such as ER for evaluating employment performance </w:t>
      </w:r>
      <w:r w:rsidRPr="00965BE7">
        <w:rPr>
          <w:lang w:val="en-US"/>
        </w:rPr>
        <w:t>might lead to inadequate conclusions and thus inappropriate polic</w:t>
      </w:r>
      <w:r w:rsidR="00472667">
        <w:rPr>
          <w:lang w:val="en-US"/>
        </w:rPr>
        <w:t>ies</w:t>
      </w:r>
      <w:r w:rsidR="00ED5420">
        <w:rPr>
          <w:lang w:val="en-US"/>
        </w:rPr>
        <w:t xml:space="preserve"> – as </w:t>
      </w:r>
      <w:r w:rsidR="00ED5420" w:rsidRPr="00965BE7">
        <w:rPr>
          <w:lang w:val="en-US"/>
        </w:rPr>
        <w:t>leaving aside work intensity</w:t>
      </w:r>
      <w:r w:rsidRPr="00965BE7">
        <w:rPr>
          <w:lang w:val="en-US"/>
        </w:rPr>
        <w:t xml:space="preserve">. </w:t>
      </w:r>
    </w:p>
    <w:p w14:paraId="09458972" w14:textId="1F9FF0B6" w:rsidR="00965BE7" w:rsidRPr="00F2364A" w:rsidRDefault="00777CE0" w:rsidP="004E39D1">
      <w:pPr>
        <w:pStyle w:val="Heading1"/>
        <w:numPr>
          <w:ilvl w:val="0"/>
          <w:numId w:val="37"/>
        </w:numPr>
        <w:rPr>
          <w:rStyle w:val="SubtleEmphasis"/>
          <w:lang w:val="en-US"/>
        </w:rPr>
      </w:pPr>
      <w:r>
        <w:rPr>
          <w:rStyle w:val="SubtleEmphasis"/>
          <w:lang w:val="en-US"/>
        </w:rPr>
        <w:t>Micro-si</w:t>
      </w:r>
      <w:r w:rsidR="00F2364A">
        <w:rPr>
          <w:rStyle w:val="SubtleEmphasis"/>
          <w:lang w:val="en-US"/>
        </w:rPr>
        <w:t xml:space="preserve">mulation </w:t>
      </w:r>
      <w:r w:rsidR="00F60AC9">
        <w:rPr>
          <w:rStyle w:val="SubtleEmphasis"/>
          <w:lang w:val="en-US"/>
        </w:rPr>
        <w:t xml:space="preserve">of </w:t>
      </w:r>
      <w:r w:rsidR="00F2364A">
        <w:rPr>
          <w:rStyle w:val="SubtleEmphasis"/>
          <w:lang w:val="en-US"/>
        </w:rPr>
        <w:t>changes in t</w:t>
      </w:r>
      <w:r w:rsidR="00965BE7" w:rsidRPr="00F2364A">
        <w:rPr>
          <w:rStyle w:val="SubtleEmphasis"/>
          <w:lang w:val="en-US"/>
        </w:rPr>
        <w:t>otal hours of work</w:t>
      </w:r>
    </w:p>
    <w:p w14:paraId="67963A91" w14:textId="44994D91" w:rsidR="00337062" w:rsidRDefault="00ED5420" w:rsidP="000525D7">
      <w:pPr>
        <w:rPr>
          <w:lang w:val="en-US"/>
        </w:rPr>
      </w:pPr>
      <w:r>
        <w:rPr>
          <w:lang w:val="en-US"/>
        </w:rPr>
        <w:t xml:space="preserve">Now that we have established that hours of work </w:t>
      </w:r>
      <w:r w:rsidR="004E39D1">
        <w:rPr>
          <w:lang w:val="en-US"/>
        </w:rPr>
        <w:t>change at the individual level</w:t>
      </w:r>
      <w:r>
        <w:rPr>
          <w:lang w:val="en-US"/>
        </w:rPr>
        <w:t xml:space="preserve">, the second question remains unanswered: what is the effect of </w:t>
      </w:r>
      <w:r w:rsidR="00ED605C">
        <w:rPr>
          <w:lang w:val="en-US"/>
        </w:rPr>
        <w:t xml:space="preserve">the various drivers of </w:t>
      </w:r>
      <w:r w:rsidR="00337062">
        <w:rPr>
          <w:lang w:val="en-US"/>
        </w:rPr>
        <w:t>average total work hours for a given age-sex group</w:t>
      </w:r>
      <w:r w:rsidR="00236CE7">
        <w:rPr>
          <w:lang w:val="en-US"/>
        </w:rPr>
        <w:t>?</w:t>
      </w:r>
      <w:r w:rsidR="00236CE7" w:rsidRPr="006D028F">
        <w:rPr>
          <w:lang w:val="en-US"/>
        </w:rPr>
        <w:t xml:space="preserve"> </w:t>
      </w:r>
      <w:r w:rsidRPr="006D028F">
        <w:rPr>
          <w:lang w:val="en-US"/>
        </w:rPr>
        <w:t>We</w:t>
      </w:r>
      <w:r w:rsidR="00472667" w:rsidRPr="006D028F">
        <w:rPr>
          <w:lang w:val="en-US"/>
        </w:rPr>
        <w:t xml:space="preserve"> propose </w:t>
      </w:r>
      <w:r w:rsidRPr="006D028F">
        <w:rPr>
          <w:lang w:val="en-US"/>
        </w:rPr>
        <w:t xml:space="preserve">a </w:t>
      </w:r>
      <w:r w:rsidR="006D028F">
        <w:rPr>
          <w:lang w:val="en-US"/>
        </w:rPr>
        <w:t xml:space="preserve">decomposition analysis </w:t>
      </w:r>
      <w:r w:rsidR="00B802CF">
        <w:rPr>
          <w:lang w:val="en-US"/>
        </w:rPr>
        <w:t xml:space="preserve">that </w:t>
      </w:r>
      <w:r w:rsidR="006D028F">
        <w:rPr>
          <w:lang w:val="en-US"/>
        </w:rPr>
        <w:t>separate</w:t>
      </w:r>
      <w:r w:rsidR="00B802CF">
        <w:rPr>
          <w:lang w:val="en-US"/>
        </w:rPr>
        <w:t>s</w:t>
      </w:r>
      <w:r w:rsidR="006D028F">
        <w:rPr>
          <w:lang w:val="en-US"/>
        </w:rPr>
        <w:t xml:space="preserve"> out the effect of three factors: </w:t>
      </w:r>
      <w:r w:rsidR="000C52D1">
        <w:rPr>
          <w:lang w:val="en-US"/>
        </w:rPr>
        <w:t>changes in the socio-economic structure of the population in any given age group</w:t>
      </w:r>
      <w:r w:rsidR="006D028F">
        <w:rPr>
          <w:lang w:val="en-US"/>
        </w:rPr>
        <w:t xml:space="preserve">, employment rate </w:t>
      </w:r>
      <w:r w:rsidR="006D028F">
        <w:rPr>
          <w:lang w:val="en-US"/>
        </w:rPr>
        <w:lastRenderedPageBreak/>
        <w:t>and hours of work</w:t>
      </w:r>
      <w:r w:rsidR="00337062">
        <w:rPr>
          <w:lang w:val="en-US"/>
        </w:rPr>
        <w:t xml:space="preserve"> per worker</w:t>
      </w:r>
      <w:r w:rsidR="006D028F">
        <w:rPr>
          <w:lang w:val="en-US"/>
        </w:rPr>
        <w:t>.</w:t>
      </w:r>
      <w:r w:rsidR="00337062" w:rsidRPr="00337062">
        <w:rPr>
          <w:rStyle w:val="FootnoteReference"/>
          <w:lang w:val="en-US"/>
        </w:rPr>
        <w:t xml:space="preserve"> </w:t>
      </w:r>
      <w:r w:rsidR="00337062">
        <w:rPr>
          <w:rStyle w:val="FootnoteReference"/>
          <w:lang w:val="en-US"/>
        </w:rPr>
        <w:footnoteReference w:id="16"/>
      </w:r>
      <w:r w:rsidR="006D028F">
        <w:rPr>
          <w:lang w:val="en-US"/>
        </w:rPr>
        <w:t xml:space="preserve"> </w:t>
      </w:r>
      <w:r w:rsidR="00337062">
        <w:rPr>
          <w:lang w:val="en-US"/>
        </w:rPr>
        <w:t>For this purpose, we use the methodology proposed by Blundell et al. (2013) that we adapt to our setting</w:t>
      </w:r>
      <w:r w:rsidR="003C1CE9">
        <w:rPr>
          <w:lang w:val="en-US"/>
        </w:rPr>
        <w:t xml:space="preserve"> and apply to the population aged 55-64 (for reasons of clarity)</w:t>
      </w:r>
      <w:r w:rsidR="00337062">
        <w:rPr>
          <w:lang w:val="en-US"/>
        </w:rPr>
        <w:t xml:space="preserve">. </w:t>
      </w:r>
      <w:r w:rsidR="006D028F">
        <w:rPr>
          <w:lang w:val="en-US"/>
        </w:rPr>
        <w:t xml:space="preserve">We </w:t>
      </w:r>
      <w:r w:rsidR="00337062">
        <w:rPr>
          <w:lang w:val="en-US"/>
        </w:rPr>
        <w:t xml:space="preserve">propose </w:t>
      </w:r>
      <w:r w:rsidR="005C7E1C">
        <w:rPr>
          <w:lang w:val="en-US"/>
        </w:rPr>
        <w:t>one major change</w:t>
      </w:r>
      <w:r w:rsidR="003C1CE9">
        <w:rPr>
          <w:lang w:val="en-US"/>
        </w:rPr>
        <w:t xml:space="preserve"> </w:t>
      </w:r>
      <w:r w:rsidR="00337062">
        <w:rPr>
          <w:lang w:val="en-US"/>
        </w:rPr>
        <w:t>with respect to the Blundell et al. (2013)</w:t>
      </w:r>
      <w:r w:rsidR="005C7E1C">
        <w:rPr>
          <w:lang w:val="en-US"/>
        </w:rPr>
        <w:t xml:space="preserve"> in that we </w:t>
      </w:r>
      <w:r w:rsidR="00337062">
        <w:rPr>
          <w:lang w:val="en-US"/>
        </w:rPr>
        <w:t xml:space="preserve">rely on the results of the econometric models from the previous sections to </w:t>
      </w:r>
      <w:r w:rsidR="003C1CE9">
        <w:rPr>
          <w:lang w:val="en-US"/>
        </w:rPr>
        <w:t>perform the micro-simulation decomposition exercise</w:t>
      </w:r>
      <w:r w:rsidR="005C7E1C">
        <w:rPr>
          <w:lang w:val="en-US"/>
        </w:rPr>
        <w:t>.</w:t>
      </w:r>
      <w:r w:rsidR="005C7E1C" w:rsidRPr="005C7E1C">
        <w:rPr>
          <w:rStyle w:val="FootnoteReference"/>
          <w:lang w:val="en-US"/>
        </w:rPr>
        <w:t xml:space="preserve"> </w:t>
      </w:r>
      <w:r w:rsidR="005C7E1C">
        <w:rPr>
          <w:rStyle w:val="FootnoteReference"/>
          <w:lang w:val="en-US"/>
        </w:rPr>
        <w:footnoteReference w:id="17"/>
      </w:r>
    </w:p>
    <w:p w14:paraId="4581B0E1" w14:textId="00C2B83C" w:rsidR="001E0DC1" w:rsidRDefault="003C1CE9" w:rsidP="000525D7">
      <w:pPr>
        <w:rPr>
          <w:lang w:val="en-US"/>
        </w:rPr>
      </w:pPr>
      <w:r>
        <w:rPr>
          <w:lang w:val="en-US"/>
        </w:rPr>
        <w:t>More specifically, f</w:t>
      </w:r>
      <w:r w:rsidR="001E0DC1">
        <w:rPr>
          <w:lang w:val="en-US"/>
        </w:rPr>
        <w:t xml:space="preserve">or each age category </w:t>
      </w:r>
      <w:r w:rsidR="001E0DC1" w:rsidRPr="002C4ABB">
        <w:rPr>
          <w:i/>
          <w:lang w:val="en-US"/>
        </w:rPr>
        <w:t>a</w:t>
      </w:r>
      <w:r w:rsidR="001E0DC1">
        <w:rPr>
          <w:lang w:val="en-US"/>
        </w:rPr>
        <w:t xml:space="preserve"> we </w:t>
      </w:r>
      <w:r w:rsidR="009D7721">
        <w:rPr>
          <w:lang w:val="en-US"/>
        </w:rPr>
        <w:t>estimate</w:t>
      </w:r>
      <w:r w:rsidR="001E0DC1">
        <w:rPr>
          <w:lang w:val="en-US"/>
        </w:rPr>
        <w:t xml:space="preserve"> the rate of change in </w:t>
      </w:r>
      <w:r>
        <w:rPr>
          <w:lang w:val="en-US"/>
        </w:rPr>
        <w:t xml:space="preserve">average total </w:t>
      </w:r>
      <w:r w:rsidR="001E0DC1">
        <w:rPr>
          <w:lang w:val="en-US"/>
        </w:rPr>
        <w:t xml:space="preserve">hours worked from period </w:t>
      </w:r>
      <w:r w:rsidR="001E0DC1" w:rsidRPr="002C4ABB">
        <w:rPr>
          <w:i/>
          <w:lang w:val="en-US"/>
        </w:rPr>
        <w:t>p-1</w:t>
      </w:r>
      <w:r w:rsidR="001E0DC1">
        <w:rPr>
          <w:lang w:val="en-US"/>
        </w:rPr>
        <w:t xml:space="preserve"> to period</w:t>
      </w:r>
      <w:r w:rsidR="001E0DC1" w:rsidRPr="002C4ABB">
        <w:rPr>
          <w:i/>
          <w:lang w:val="en-US"/>
        </w:rPr>
        <w:t xml:space="preserve"> p</w:t>
      </w:r>
      <w:r w:rsidR="001E0DC1">
        <w:rPr>
          <w:i/>
          <w:lang w:val="en-US"/>
        </w:rPr>
        <w:t>,</w:t>
      </w:r>
      <w:r w:rsidR="001E0DC1">
        <w:rPr>
          <w:lang w:val="en-US"/>
        </w:rPr>
        <w:t xml:space="preserve"> </w:t>
      </w:r>
      <w:r w:rsidR="001E0DC1" w:rsidRPr="00F616C7">
        <w:rPr>
          <w:position w:val="-14"/>
          <w:lang w:val="en-US"/>
        </w:rPr>
        <w:object w:dxaOrig="1219" w:dyaOrig="380" w14:anchorId="601F63C8">
          <v:shape id="_x0000_i1089" type="#_x0000_t75" style="width:61.65pt;height:18.95pt" o:ole="">
            <v:imagedata r:id="rId134" o:title=""/>
          </v:shape>
          <o:OLEObject Type="Embed" ProgID="Equation.DSMT4" ShapeID="_x0000_i1089" DrawAspect="Content" ObjectID="_1533125637" r:id="rId135"/>
        </w:object>
      </w:r>
      <w:r w:rsidR="001E0DC1">
        <w:rPr>
          <w:lang w:val="en-US"/>
        </w:rPr>
        <w:t xml:space="preserve">, as the product of structural </w:t>
      </w:r>
      <w:r w:rsidR="00332A94">
        <w:rPr>
          <w:lang w:val="en-US"/>
        </w:rPr>
        <w:t>(</w:t>
      </w:r>
      <w:r w:rsidR="00332A94" w:rsidRPr="002C4ABB">
        <w:rPr>
          <w:position w:val="-14"/>
          <w:lang w:val="en-US"/>
        </w:rPr>
        <w:object w:dxaOrig="420" w:dyaOrig="380" w14:anchorId="2F64D904">
          <v:shape id="_x0000_i1090" type="#_x0000_t75" style="width:21.55pt;height:19.4pt" o:ole="">
            <v:imagedata r:id="rId136" o:title=""/>
          </v:shape>
          <o:OLEObject Type="Embed" ProgID="Equation.DSMT4" ShapeID="_x0000_i1090" DrawAspect="Content" ObjectID="_1533125638" r:id="rId137"/>
        </w:object>
      </w:r>
      <w:r w:rsidR="00332A94">
        <w:rPr>
          <w:lang w:val="en-US"/>
        </w:rPr>
        <w:t xml:space="preserve">) </w:t>
      </w:r>
      <w:r w:rsidR="001E0DC1">
        <w:rPr>
          <w:lang w:val="en-US"/>
        </w:rPr>
        <w:t>and behavioral changes</w:t>
      </w:r>
      <w:r w:rsidR="00332A94">
        <w:rPr>
          <w:lang w:val="en-US"/>
        </w:rPr>
        <w:t xml:space="preserve"> (</w:t>
      </w:r>
      <w:r w:rsidR="001E0DC1" w:rsidRPr="00794323">
        <w:rPr>
          <w:position w:val="-14"/>
        </w:rPr>
        <w:object w:dxaOrig="440" w:dyaOrig="380" w14:anchorId="574AF6A9">
          <v:shape id="_x0000_i1091" type="#_x0000_t75" style="width:21.55pt;height:19.4pt" o:ole="">
            <v:imagedata r:id="rId138" o:title=""/>
          </v:shape>
          <o:OLEObject Type="Embed" ProgID="Equation.DSMT4" ShapeID="_x0000_i1091" DrawAspect="Content" ObjectID="_1533125639" r:id="rId139"/>
        </w:object>
      </w:r>
      <w:r w:rsidR="00332A94">
        <w:t>)</w:t>
      </w:r>
      <w:r w:rsidR="001E0DC1" w:rsidRPr="002C4ABB">
        <w:rPr>
          <w:lang w:val="en-US"/>
        </w:rPr>
        <w:t xml:space="preserve">, </w:t>
      </w:r>
      <w:r w:rsidR="001E0DC1">
        <w:rPr>
          <w:lang w:val="en-US"/>
        </w:rPr>
        <w:t>with the la</w:t>
      </w:r>
      <w:r w:rsidR="003C7072">
        <w:rPr>
          <w:lang w:val="en-US"/>
        </w:rPr>
        <w:t>t</w:t>
      </w:r>
      <w:r w:rsidR="001E0DC1">
        <w:rPr>
          <w:lang w:val="en-US"/>
        </w:rPr>
        <w:t xml:space="preserve">ter being the product of changes in extensive and intensive margins, </w:t>
      </w:r>
      <w:r w:rsidR="001E0DC1" w:rsidRPr="00D342FD">
        <w:rPr>
          <w:position w:val="-14"/>
          <w:lang w:val="en-US"/>
        </w:rPr>
        <w:object w:dxaOrig="440" w:dyaOrig="380" w14:anchorId="71E593B3">
          <v:shape id="_x0000_i1092" type="#_x0000_t75" style="width:21.55pt;height:19.4pt" o:ole="">
            <v:imagedata r:id="rId140" o:title=""/>
          </v:shape>
          <o:OLEObject Type="Embed" ProgID="Equation.DSMT4" ShapeID="_x0000_i1092" DrawAspect="Content" ObjectID="_1533125640" r:id="rId141"/>
        </w:object>
      </w:r>
      <w:r w:rsidR="001E0DC1">
        <w:rPr>
          <w:lang w:val="en-US"/>
        </w:rPr>
        <w:t xml:space="preserve"> and </w:t>
      </w:r>
      <w:r w:rsidR="001E0DC1" w:rsidRPr="00D342FD">
        <w:rPr>
          <w:position w:val="-14"/>
          <w:lang w:val="en-US"/>
        </w:rPr>
        <w:object w:dxaOrig="400" w:dyaOrig="380" w14:anchorId="0F601FDC">
          <v:shape id="_x0000_i1093" type="#_x0000_t75" style="width:20.25pt;height:19.4pt" o:ole="">
            <v:imagedata r:id="rId142" o:title=""/>
          </v:shape>
          <o:OLEObject Type="Embed" ProgID="Equation.DSMT4" ShapeID="_x0000_i1093" DrawAspect="Content" ObjectID="_1533125641" r:id="rId143"/>
        </w:object>
      </w:r>
      <w:r w:rsidR="001E0DC1">
        <w:rPr>
          <w:lang w:val="en-US"/>
        </w:rPr>
        <w:t>, respectively:</w:t>
      </w:r>
    </w:p>
    <w:p w14:paraId="1B6B81A8" w14:textId="48418A71" w:rsidR="001E0DC1" w:rsidRDefault="001E0DC1" w:rsidP="000525D7">
      <w:pPr>
        <w:rPr>
          <w:lang w:val="en-US"/>
        </w:rPr>
      </w:pPr>
      <w:r w:rsidRPr="0028531E">
        <w:rPr>
          <w:position w:val="-32"/>
          <w:lang w:val="en-US"/>
        </w:rPr>
        <w:object w:dxaOrig="1700" w:dyaOrig="740" w14:anchorId="75B2E8B3">
          <v:shape id="_x0000_i1094" type="#_x0000_t75" style="width:85.8pt;height:37.5pt" o:ole="">
            <v:imagedata r:id="rId144" o:title=""/>
          </v:shape>
          <o:OLEObject Type="Embed" ProgID="Equation.DSMT4" ShapeID="_x0000_i1094" DrawAspect="Content" ObjectID="_1533125642" r:id="rId145"/>
        </w:object>
      </w:r>
      <w:r>
        <w:rPr>
          <w:lang w:val="en-US"/>
        </w:rPr>
        <w:t xml:space="preserve">, </w:t>
      </w:r>
      <w:proofErr w:type="gramStart"/>
      <w:r>
        <w:rPr>
          <w:lang w:val="en-US"/>
        </w:rPr>
        <w:t xml:space="preserve">with </w:t>
      </w:r>
      <w:proofErr w:type="gramEnd"/>
      <w:r w:rsidRPr="00F616C7">
        <w:rPr>
          <w:position w:val="-14"/>
          <w:lang w:val="en-US"/>
        </w:rPr>
        <w:object w:dxaOrig="1440" w:dyaOrig="380" w14:anchorId="6B961A8E">
          <v:shape id="_x0000_i1095" type="#_x0000_t75" style="width:72.85pt;height:18.95pt" o:ole="">
            <v:imagedata r:id="rId146" o:title=""/>
          </v:shape>
          <o:OLEObject Type="Embed" ProgID="Equation.DSMT4" ShapeID="_x0000_i1095" DrawAspect="Content" ObjectID="_1533125643" r:id="rId147"/>
        </w:object>
      </w:r>
      <w:r>
        <w:rPr>
          <w:lang w:val="en-US"/>
        </w:rPr>
        <w:t>.</w:t>
      </w:r>
      <w:r w:rsidR="005C7E1C">
        <w:rPr>
          <w:lang w:val="en-US"/>
        </w:rPr>
        <w:tab/>
        <w:t>(6)</w:t>
      </w:r>
    </w:p>
    <w:p w14:paraId="3B99F7F8" w14:textId="372B6A3A" w:rsidR="001E0DC1" w:rsidRDefault="00332A94" w:rsidP="000525D7">
      <w:pPr>
        <w:rPr>
          <w:lang w:val="en-US"/>
        </w:rPr>
      </w:pPr>
      <w:r>
        <w:rPr>
          <w:lang w:val="en-US"/>
        </w:rPr>
        <w:t>F</w:t>
      </w:r>
      <w:r w:rsidR="001E0DC1">
        <w:rPr>
          <w:lang w:val="en-US"/>
        </w:rPr>
        <w:t xml:space="preserve">or each age category </w:t>
      </w:r>
      <w:r w:rsidR="001E0DC1" w:rsidRPr="002C4ABB">
        <w:rPr>
          <w:i/>
          <w:lang w:val="en-US"/>
        </w:rPr>
        <w:t>a</w:t>
      </w:r>
      <w:r w:rsidR="001E0DC1">
        <w:rPr>
          <w:lang w:val="en-US"/>
        </w:rPr>
        <w:t xml:space="preserve"> (</w:t>
      </w:r>
      <w:r w:rsidR="005C7E1C">
        <w:rPr>
          <w:lang w:val="en-US"/>
        </w:rPr>
        <w:t xml:space="preserve">25-49, </w:t>
      </w:r>
      <w:r w:rsidR="001E0DC1">
        <w:rPr>
          <w:lang w:val="en-US"/>
        </w:rPr>
        <w:t xml:space="preserve">50-54, 55-59 and 60-64), </w:t>
      </w:r>
      <w:r w:rsidR="001E0DC1" w:rsidRPr="00FC4C1B">
        <w:rPr>
          <w:position w:val="-14"/>
          <w:lang w:val="en-US"/>
        </w:rPr>
        <w:object w:dxaOrig="420" w:dyaOrig="380" w14:anchorId="7885996B">
          <v:shape id="_x0000_i1096" type="#_x0000_t75" style="width:21.55pt;height:18.95pt" o:ole="">
            <v:imagedata r:id="rId148" o:title=""/>
          </v:shape>
          <o:OLEObject Type="Embed" ProgID="Equation.DSMT4" ShapeID="_x0000_i1096" DrawAspect="Content" ObjectID="_1533125644" r:id="rId149"/>
        </w:object>
      </w:r>
      <w:r w:rsidR="001E0DC1">
        <w:rPr>
          <w:lang w:val="en-US"/>
        </w:rPr>
        <w:t xml:space="preserve">corresponds to the total change in hours of work due to changes in the </w:t>
      </w:r>
      <w:r w:rsidR="00CA4082">
        <w:rPr>
          <w:lang w:val="en-US"/>
        </w:rPr>
        <w:t xml:space="preserve">socio-economic </w:t>
      </w:r>
      <w:r w:rsidR="003C7072">
        <w:rPr>
          <w:lang w:val="en-US"/>
        </w:rPr>
        <w:t xml:space="preserve">stratification </w:t>
      </w:r>
      <w:r w:rsidR="005C7E1C">
        <w:rPr>
          <w:lang w:val="en-US"/>
        </w:rPr>
        <w:t xml:space="preserve">(structure) </w:t>
      </w:r>
      <w:r w:rsidR="001E0DC1">
        <w:rPr>
          <w:lang w:val="en-US"/>
        </w:rPr>
        <w:t xml:space="preserve">within </w:t>
      </w:r>
      <w:r w:rsidR="003C7072">
        <w:rPr>
          <w:lang w:val="en-US"/>
        </w:rPr>
        <w:t xml:space="preserve">the given </w:t>
      </w:r>
      <w:r w:rsidR="001E0DC1">
        <w:rPr>
          <w:lang w:val="en-US"/>
        </w:rPr>
        <w:t>age category</w:t>
      </w:r>
      <w:r w:rsidR="003C7072">
        <w:rPr>
          <w:lang w:val="en-US"/>
        </w:rPr>
        <w:t xml:space="preserve"> – in our </w:t>
      </w:r>
      <w:r w:rsidR="001E0DC1">
        <w:rPr>
          <w:lang w:val="en-US"/>
        </w:rPr>
        <w:t xml:space="preserve">case </w:t>
      </w:r>
      <w:r w:rsidR="003C7072">
        <w:rPr>
          <w:lang w:val="en-US"/>
        </w:rPr>
        <w:t xml:space="preserve">changes in </w:t>
      </w:r>
      <w:r w:rsidR="00CA4082">
        <w:rPr>
          <w:lang w:val="en-US"/>
        </w:rPr>
        <w:t xml:space="preserve">the </w:t>
      </w:r>
      <w:r w:rsidR="003C7072">
        <w:rPr>
          <w:lang w:val="en-US"/>
        </w:rPr>
        <w:t xml:space="preserve">educational attainment, </w:t>
      </w:r>
      <w:r w:rsidR="001E0DC1">
        <w:rPr>
          <w:lang w:val="en-US"/>
        </w:rPr>
        <w:t xml:space="preserve">country of birth and marital status, indicated as </w:t>
      </w:r>
      <w:r w:rsidR="001E0DC1" w:rsidRPr="00FC4C1B">
        <w:rPr>
          <w:i/>
          <w:lang w:val="en-US"/>
        </w:rPr>
        <w:t>m=1, 2…M</w:t>
      </w:r>
      <w:r w:rsidR="001E0DC1">
        <w:rPr>
          <w:lang w:val="en-US"/>
        </w:rPr>
        <w:t>:</w:t>
      </w:r>
    </w:p>
    <w:p w14:paraId="275C7BE6" w14:textId="76FC27FF" w:rsidR="001E0DC1" w:rsidRDefault="001E0DC1" w:rsidP="000525D7">
      <w:pPr>
        <w:rPr>
          <w:lang w:val="en-US"/>
        </w:rPr>
      </w:pPr>
      <w:r w:rsidRPr="00A567F2">
        <w:rPr>
          <w:position w:val="-34"/>
          <w:lang w:val="en-US"/>
        </w:rPr>
        <w:object w:dxaOrig="3580" w:dyaOrig="800" w14:anchorId="385B8400">
          <v:shape id="_x0000_i1097" type="#_x0000_t75" style="width:179.35pt;height:39.65pt" o:ole="">
            <v:imagedata r:id="rId150" o:title=""/>
          </v:shape>
          <o:OLEObject Type="Embed" ProgID="Equation.DSMT4" ShapeID="_x0000_i1097" DrawAspect="Content" ObjectID="_1533125645" r:id="rId151"/>
        </w:object>
      </w:r>
      <w:r>
        <w:rPr>
          <w:lang w:val="en-US"/>
        </w:rPr>
        <w:t>,</w:t>
      </w:r>
      <w:r w:rsidR="005C7E1C">
        <w:rPr>
          <w:lang w:val="en-US"/>
        </w:rPr>
        <w:tab/>
        <w:t>(7</w:t>
      </w:r>
      <w:proofErr w:type="gramStart"/>
      <w:r w:rsidR="005C7E1C">
        <w:rPr>
          <w:lang w:val="en-US"/>
        </w:rPr>
        <w:t>)</w:t>
      </w:r>
      <w:proofErr w:type="gramEnd"/>
      <w:r w:rsidR="003C7072">
        <w:rPr>
          <w:lang w:val="en-US"/>
        </w:rPr>
        <w:br/>
        <w:t xml:space="preserve">where </w:t>
      </w:r>
      <w:r w:rsidRPr="00A516EB">
        <w:rPr>
          <w:position w:val="-14"/>
          <w:lang w:val="en-US"/>
        </w:rPr>
        <w:object w:dxaOrig="420" w:dyaOrig="380" w14:anchorId="29E3BDA8">
          <v:shape id="_x0000_i1098" type="#_x0000_t75" style="width:21.55pt;height:19.4pt" o:ole="">
            <v:imagedata r:id="rId152" o:title=""/>
          </v:shape>
          <o:OLEObject Type="Embed" ProgID="Equation.DSMT4" ShapeID="_x0000_i1098" DrawAspect="Content" ObjectID="_1533125646" r:id="rId153"/>
        </w:object>
      </w:r>
      <w:r>
        <w:rPr>
          <w:lang w:val="en-US"/>
        </w:rPr>
        <w:t xml:space="preserve">and </w:t>
      </w:r>
      <w:r w:rsidRPr="00A516EB">
        <w:rPr>
          <w:position w:val="-14"/>
          <w:lang w:val="en-US"/>
        </w:rPr>
        <w:object w:dxaOrig="560" w:dyaOrig="380" w14:anchorId="20EF9EB7">
          <v:shape id="_x0000_i1099" type="#_x0000_t75" style="width:28pt;height:19.4pt" o:ole="">
            <v:imagedata r:id="rId154" o:title=""/>
          </v:shape>
          <o:OLEObject Type="Embed" ProgID="Equation.DSMT4" ShapeID="_x0000_i1099" DrawAspect="Content" ObjectID="_1533125647" r:id="rId155"/>
        </w:object>
      </w:r>
      <w:r>
        <w:rPr>
          <w:lang w:val="en-US"/>
        </w:rPr>
        <w:t xml:space="preserve">indicate the share of category m in the age </w:t>
      </w:r>
      <w:r w:rsidR="001170A2">
        <w:rPr>
          <w:lang w:val="en-US"/>
        </w:rPr>
        <w:t xml:space="preserve">group </w:t>
      </w:r>
      <w:r>
        <w:rPr>
          <w:lang w:val="en-US"/>
        </w:rPr>
        <w:t xml:space="preserve">at two successive periods and </w:t>
      </w:r>
      <w:r w:rsidRPr="002E7161">
        <w:rPr>
          <w:position w:val="-14"/>
          <w:lang w:val="en-US"/>
        </w:rPr>
        <w:object w:dxaOrig="920" w:dyaOrig="400" w14:anchorId="23A88D4D">
          <v:shape id="_x0000_i1100" type="#_x0000_t75" style="width:46.55pt;height:20.25pt" o:ole="">
            <v:imagedata r:id="rId156" o:title=""/>
          </v:shape>
          <o:OLEObject Type="Embed" ProgID="Equation.DSMT4" ShapeID="_x0000_i1100" DrawAspect="Content" ObjectID="_1533125648" r:id="rId157"/>
        </w:object>
      </w:r>
      <w:proofErr w:type="spellStart"/>
      <w:r>
        <w:rPr>
          <w:lang w:val="en-US"/>
        </w:rPr>
        <w:t>and</w:t>
      </w:r>
      <w:proofErr w:type="spellEnd"/>
      <w:r w:rsidRPr="002E7161">
        <w:rPr>
          <w:position w:val="-14"/>
          <w:lang w:val="en-US"/>
        </w:rPr>
        <w:object w:dxaOrig="900" w:dyaOrig="400" w14:anchorId="14418D01">
          <v:shape id="_x0000_i1101" type="#_x0000_t75" style="width:44.85pt;height:20.25pt" o:ole="">
            <v:imagedata r:id="rId158" o:title=""/>
          </v:shape>
          <o:OLEObject Type="Embed" ProgID="Equation.DSMT4" ShapeID="_x0000_i1101" DrawAspect="Content" ObjectID="_1533125649" r:id="rId159"/>
        </w:object>
      </w:r>
      <w:r>
        <w:rPr>
          <w:lang w:val="en-US"/>
        </w:rPr>
        <w:t xml:space="preserve">are the average estimated ER and hours of work for the corresponding categories </w:t>
      </w:r>
      <w:r w:rsidRPr="00E738D4">
        <w:rPr>
          <w:i/>
          <w:lang w:val="en-US"/>
        </w:rPr>
        <w:t>m</w:t>
      </w:r>
      <w:r>
        <w:rPr>
          <w:lang w:val="en-US"/>
        </w:rPr>
        <w:t xml:space="preserve"> in period </w:t>
      </w:r>
      <w:r w:rsidRPr="00150B05">
        <w:rPr>
          <w:i/>
          <w:lang w:val="en-US"/>
        </w:rPr>
        <w:t>p-1</w:t>
      </w:r>
      <w:r>
        <w:rPr>
          <w:lang w:val="en-US"/>
        </w:rPr>
        <w:t xml:space="preserve">. For this purpose, we use individuals’ predictions of ER and hours of work by application of estimated parameters for the base period, p-1, indicated in superscript. </w:t>
      </w:r>
    </w:p>
    <w:p w14:paraId="2209DDEE" w14:textId="2AB6542C" w:rsidR="001E0DC1" w:rsidRDefault="00CA4082" w:rsidP="000525D7">
      <w:pPr>
        <w:rPr>
          <w:lang w:val="en-US"/>
        </w:rPr>
      </w:pPr>
      <w:r>
        <w:rPr>
          <w:lang w:val="en-US"/>
        </w:rPr>
        <w:t>C</w:t>
      </w:r>
      <w:r w:rsidR="001E0DC1">
        <w:rPr>
          <w:lang w:val="en-US"/>
        </w:rPr>
        <w:t xml:space="preserve">hanges </w:t>
      </w:r>
      <w:r>
        <w:rPr>
          <w:lang w:val="en-US"/>
        </w:rPr>
        <w:t>on</w:t>
      </w:r>
      <w:r w:rsidR="001E0DC1">
        <w:rPr>
          <w:lang w:val="en-US"/>
        </w:rPr>
        <w:t xml:space="preserve"> </w:t>
      </w:r>
      <w:r>
        <w:rPr>
          <w:lang w:val="en-US"/>
        </w:rPr>
        <w:t xml:space="preserve">the </w:t>
      </w:r>
      <w:r w:rsidR="001E0DC1">
        <w:rPr>
          <w:lang w:val="en-US"/>
        </w:rPr>
        <w:t xml:space="preserve">extensive and intensive margins are computed using as counterfactual the base period sample but </w:t>
      </w:r>
      <w:r>
        <w:rPr>
          <w:lang w:val="en-US"/>
        </w:rPr>
        <w:t xml:space="preserve">using the estimates </w:t>
      </w:r>
      <w:r w:rsidR="001E0DC1">
        <w:rPr>
          <w:lang w:val="en-US"/>
        </w:rPr>
        <w:t xml:space="preserve">for period </w:t>
      </w:r>
      <w:r w:rsidR="001E0DC1" w:rsidRPr="00F76325">
        <w:rPr>
          <w:i/>
          <w:lang w:val="en-US"/>
        </w:rPr>
        <w:t>p</w:t>
      </w:r>
      <w:r>
        <w:rPr>
          <w:lang w:val="en-US"/>
        </w:rPr>
        <w:t xml:space="preserve"> (</w:t>
      </w:r>
      <w:r w:rsidR="001E0DC1">
        <w:rPr>
          <w:lang w:val="en-US"/>
        </w:rPr>
        <w:t xml:space="preserve">ER </w:t>
      </w:r>
      <w:r>
        <w:rPr>
          <w:lang w:val="en-US"/>
        </w:rPr>
        <w:t xml:space="preserve">coefficients </w:t>
      </w:r>
      <w:r w:rsidR="001E0DC1">
        <w:rPr>
          <w:lang w:val="en-US"/>
        </w:rPr>
        <w:t xml:space="preserve">in the case of </w:t>
      </w:r>
      <w:r>
        <w:rPr>
          <w:lang w:val="en-US"/>
        </w:rPr>
        <w:t xml:space="preserve">the </w:t>
      </w:r>
      <w:r w:rsidR="001E0DC1">
        <w:rPr>
          <w:lang w:val="en-US"/>
        </w:rPr>
        <w:t xml:space="preserve">extensive margin and hours of work </w:t>
      </w:r>
      <w:r>
        <w:rPr>
          <w:lang w:val="en-US"/>
        </w:rPr>
        <w:t xml:space="preserve">coefficients </w:t>
      </w:r>
      <w:r w:rsidR="001E0DC1">
        <w:rPr>
          <w:lang w:val="en-US"/>
        </w:rPr>
        <w:t xml:space="preserve">in the case of </w:t>
      </w:r>
      <w:r>
        <w:rPr>
          <w:lang w:val="en-US"/>
        </w:rPr>
        <w:t xml:space="preserve">the </w:t>
      </w:r>
      <w:r w:rsidR="001E0DC1">
        <w:rPr>
          <w:lang w:val="en-US"/>
        </w:rPr>
        <w:t>intensive margin</w:t>
      </w:r>
      <w:r>
        <w:rPr>
          <w:lang w:val="en-US"/>
        </w:rPr>
        <w:t>):</w:t>
      </w:r>
    </w:p>
    <w:p w14:paraId="0FCE2779" w14:textId="40867569" w:rsidR="001E0DC1" w:rsidRDefault="001E0DC1" w:rsidP="000525D7">
      <w:pPr>
        <w:rPr>
          <w:lang w:val="en-US"/>
        </w:rPr>
      </w:pPr>
      <w:r w:rsidRPr="00A567F2">
        <w:rPr>
          <w:position w:val="-34"/>
          <w:lang w:val="en-US"/>
        </w:rPr>
        <w:object w:dxaOrig="3580" w:dyaOrig="800" w14:anchorId="31CB2486">
          <v:shape id="_x0000_i1102" type="#_x0000_t75" style="width:179.35pt;height:39.65pt" o:ole="">
            <v:imagedata r:id="rId160" o:title=""/>
          </v:shape>
          <o:OLEObject Type="Embed" ProgID="Equation.DSMT4" ShapeID="_x0000_i1102" DrawAspect="Content" ObjectID="_1533125650" r:id="rId161"/>
        </w:object>
      </w:r>
      <w:r>
        <w:rPr>
          <w:lang w:val="en-US"/>
        </w:rPr>
        <w:t xml:space="preserve">, </w:t>
      </w:r>
      <w:proofErr w:type="gramStart"/>
      <w:r>
        <w:rPr>
          <w:lang w:val="en-US"/>
        </w:rPr>
        <w:t xml:space="preserve">and </w:t>
      </w:r>
      <w:proofErr w:type="gramEnd"/>
      <w:r w:rsidRPr="00A567F2">
        <w:rPr>
          <w:position w:val="-34"/>
          <w:lang w:val="en-US"/>
        </w:rPr>
        <w:object w:dxaOrig="3519" w:dyaOrig="800" w14:anchorId="5944F541">
          <v:shape id="_x0000_i1103" type="#_x0000_t75" style="width:176.75pt;height:39.65pt" o:ole="">
            <v:imagedata r:id="rId162" o:title=""/>
          </v:shape>
          <o:OLEObject Type="Embed" ProgID="Equation.DSMT4" ShapeID="_x0000_i1103" DrawAspect="Content" ObjectID="_1533125651" r:id="rId163"/>
        </w:object>
      </w:r>
      <w:r>
        <w:rPr>
          <w:lang w:val="en-US"/>
        </w:rPr>
        <w:t>.</w:t>
      </w:r>
      <w:r w:rsidR="005C7E1C">
        <w:rPr>
          <w:lang w:val="en-US"/>
        </w:rPr>
        <w:tab/>
        <w:t>(8)</w:t>
      </w:r>
    </w:p>
    <w:p w14:paraId="5802564B" w14:textId="7352702C" w:rsidR="00BF6CEE" w:rsidRPr="004E6DF8" w:rsidRDefault="001C7780" w:rsidP="000525D7">
      <w:pPr>
        <w:rPr>
          <w:lang w:val="en-US"/>
        </w:rPr>
      </w:pPr>
      <w:r w:rsidRPr="006D028F">
        <w:rPr>
          <w:lang w:val="en-US"/>
        </w:rPr>
        <w:t xml:space="preserve">In Table </w:t>
      </w:r>
      <w:r w:rsidR="00F647D2">
        <w:rPr>
          <w:lang w:val="en-US"/>
        </w:rPr>
        <w:t>8</w:t>
      </w:r>
      <w:r w:rsidRPr="006D028F">
        <w:rPr>
          <w:lang w:val="en-US"/>
        </w:rPr>
        <w:t xml:space="preserve"> we report the results obtained for </w:t>
      </w:r>
      <w:r w:rsidR="005C7E1C">
        <w:rPr>
          <w:lang w:val="en-US"/>
        </w:rPr>
        <w:t xml:space="preserve">all </w:t>
      </w:r>
      <w:r w:rsidR="00BA1353" w:rsidRPr="006D028F">
        <w:rPr>
          <w:lang w:val="en-US"/>
        </w:rPr>
        <w:t xml:space="preserve">age </w:t>
      </w:r>
      <w:r w:rsidR="001170A2">
        <w:rPr>
          <w:lang w:val="en-US"/>
        </w:rPr>
        <w:t>group</w:t>
      </w:r>
      <w:r w:rsidR="00BA1353" w:rsidRPr="006D028F">
        <w:rPr>
          <w:lang w:val="en-US"/>
        </w:rPr>
        <w:t xml:space="preserve">s </w:t>
      </w:r>
      <w:r w:rsidR="004E6DF8">
        <w:rPr>
          <w:lang w:val="en-US"/>
        </w:rPr>
        <w:t xml:space="preserve">(by sex) </w:t>
      </w:r>
      <w:r w:rsidRPr="006D028F">
        <w:rPr>
          <w:lang w:val="en-US"/>
        </w:rPr>
        <w:t>for the four countries</w:t>
      </w:r>
      <w:r w:rsidR="00C72336">
        <w:rPr>
          <w:lang w:val="en-US"/>
        </w:rPr>
        <w:t xml:space="preserve"> </w:t>
      </w:r>
      <w:r w:rsidR="004E6DF8">
        <w:rPr>
          <w:lang w:val="en-US"/>
        </w:rPr>
        <w:t xml:space="preserve">– and this for </w:t>
      </w:r>
      <w:r w:rsidR="00332A94">
        <w:rPr>
          <w:lang w:val="en-US"/>
        </w:rPr>
        <w:t xml:space="preserve">the </w:t>
      </w:r>
      <w:r w:rsidR="004E6DF8">
        <w:rPr>
          <w:lang w:val="en-US"/>
        </w:rPr>
        <w:t xml:space="preserve">periods of study </w:t>
      </w:r>
      <w:r w:rsidR="004E6DF8" w:rsidRPr="006D028F">
        <w:rPr>
          <w:lang w:val="en-US"/>
        </w:rPr>
        <w:t>1997-200</w:t>
      </w:r>
      <w:r w:rsidR="004E6DF8">
        <w:rPr>
          <w:lang w:val="en-US"/>
        </w:rPr>
        <w:t>6</w:t>
      </w:r>
      <w:r w:rsidR="004E6DF8" w:rsidRPr="006D028F">
        <w:rPr>
          <w:lang w:val="en-US"/>
        </w:rPr>
        <w:t xml:space="preserve"> and 200</w:t>
      </w:r>
      <w:r w:rsidR="004E6DF8">
        <w:rPr>
          <w:lang w:val="en-US"/>
        </w:rPr>
        <w:t>2</w:t>
      </w:r>
      <w:r w:rsidR="004E6DF8" w:rsidRPr="006D028F">
        <w:rPr>
          <w:lang w:val="en-US"/>
        </w:rPr>
        <w:t>-2011</w:t>
      </w:r>
      <w:r w:rsidRPr="006D028F">
        <w:rPr>
          <w:lang w:val="en-US"/>
        </w:rPr>
        <w:t xml:space="preserve">. </w:t>
      </w:r>
      <w:r w:rsidR="00C72336">
        <w:rPr>
          <w:lang w:val="en-US"/>
        </w:rPr>
        <w:t xml:space="preserve">A reported value of </w:t>
      </w:r>
      <w:r w:rsidR="00FE5B82">
        <w:rPr>
          <w:lang w:val="en-US"/>
        </w:rPr>
        <w:t xml:space="preserve">1.10 </w:t>
      </w:r>
      <w:r w:rsidR="00C72336">
        <w:rPr>
          <w:lang w:val="en-US"/>
        </w:rPr>
        <w:t xml:space="preserve">represents </w:t>
      </w:r>
      <w:r w:rsidR="00FE5B82">
        <w:rPr>
          <w:lang w:val="en-US"/>
        </w:rPr>
        <w:t xml:space="preserve">a 10% </w:t>
      </w:r>
      <w:r w:rsidR="00FE5B82">
        <w:rPr>
          <w:lang w:val="en-US"/>
        </w:rPr>
        <w:lastRenderedPageBreak/>
        <w:t xml:space="preserve">increase </w:t>
      </w:r>
      <w:r w:rsidR="00C72336">
        <w:rPr>
          <w:lang w:val="en-US"/>
        </w:rPr>
        <w:t xml:space="preserve">from one sub-period to the next, a value of </w:t>
      </w:r>
      <w:r w:rsidR="00FE5B82">
        <w:rPr>
          <w:lang w:val="en-US"/>
        </w:rPr>
        <w:t>0.95 a 5% decr</w:t>
      </w:r>
      <w:r w:rsidR="007E46D3">
        <w:rPr>
          <w:lang w:val="en-US"/>
        </w:rPr>
        <w:t xml:space="preserve">ease. </w:t>
      </w:r>
      <w:r w:rsidR="00A70A67" w:rsidRPr="006D028F">
        <w:rPr>
          <w:lang w:val="en-US"/>
        </w:rPr>
        <w:t xml:space="preserve">We are particularly interested on the net result of extensive and intensive changes, reported in the last columns of Table </w:t>
      </w:r>
      <w:r w:rsidR="001E0DC1">
        <w:rPr>
          <w:lang w:val="en-US"/>
        </w:rPr>
        <w:t>8</w:t>
      </w:r>
      <w:r w:rsidR="00BA1353" w:rsidRPr="006D028F">
        <w:rPr>
          <w:lang w:val="en-US"/>
        </w:rPr>
        <w:t xml:space="preserve"> as </w:t>
      </w:r>
      <w:r w:rsidR="00332A94">
        <w:rPr>
          <w:lang w:val="en-US"/>
        </w:rPr>
        <w:t xml:space="preserve">they represent the </w:t>
      </w:r>
      <w:r w:rsidR="004E6DF8">
        <w:rPr>
          <w:i/>
          <w:lang w:val="en-US"/>
        </w:rPr>
        <w:t>behavio</w:t>
      </w:r>
      <w:r w:rsidR="00BA1353" w:rsidRPr="006D028F">
        <w:rPr>
          <w:i/>
          <w:lang w:val="en-US"/>
        </w:rPr>
        <w:t>ral</w:t>
      </w:r>
      <w:r w:rsidR="00BA1353" w:rsidRPr="004E6DF8">
        <w:rPr>
          <w:i/>
          <w:lang w:val="en-US"/>
        </w:rPr>
        <w:t xml:space="preserve"> change</w:t>
      </w:r>
      <w:r w:rsidR="004E6DF8" w:rsidRPr="004E6DF8">
        <w:rPr>
          <w:lang w:val="en-US"/>
        </w:rPr>
        <w:t xml:space="preserve"> – </w:t>
      </w:r>
      <w:r w:rsidR="00332A94">
        <w:rPr>
          <w:lang w:val="en-US"/>
        </w:rPr>
        <w:t xml:space="preserve">in a way </w:t>
      </w:r>
      <w:r w:rsidR="004E6DF8" w:rsidRPr="004E6DF8">
        <w:rPr>
          <w:lang w:val="en-US"/>
        </w:rPr>
        <w:t xml:space="preserve">the only endogenous parameters </w:t>
      </w:r>
      <w:r w:rsidR="00332A94">
        <w:rPr>
          <w:lang w:val="en-US"/>
        </w:rPr>
        <w:t>in the short-</w:t>
      </w:r>
      <w:r w:rsidR="001151F6">
        <w:rPr>
          <w:lang w:val="en-US"/>
        </w:rPr>
        <w:t xml:space="preserve"> </w:t>
      </w:r>
      <w:r w:rsidR="00332A94">
        <w:rPr>
          <w:lang w:val="en-US"/>
        </w:rPr>
        <w:t>run</w:t>
      </w:r>
      <w:r w:rsidR="00A70A67" w:rsidRPr="004E6DF8">
        <w:rPr>
          <w:lang w:val="en-US"/>
        </w:rPr>
        <w:t>.</w:t>
      </w:r>
    </w:p>
    <w:p w14:paraId="592C2B19" w14:textId="3CA77A40" w:rsidR="004E6DF8" w:rsidRPr="00A14F43" w:rsidRDefault="004E6DF8" w:rsidP="000525D7">
      <w:pPr>
        <w:rPr>
          <w:rStyle w:val="Strong"/>
          <w:lang w:val="en-US"/>
        </w:rPr>
      </w:pPr>
      <w:r w:rsidRPr="00A14F43">
        <w:rPr>
          <w:rStyle w:val="Strong"/>
          <w:lang w:val="en-US"/>
        </w:rPr>
        <w:t xml:space="preserve">INSERT TABLE </w:t>
      </w:r>
      <w:r w:rsidR="00F647D2">
        <w:rPr>
          <w:rStyle w:val="Strong"/>
          <w:lang w:val="en-US"/>
        </w:rPr>
        <w:t>8</w:t>
      </w:r>
    </w:p>
    <w:p w14:paraId="74C6EEC7" w14:textId="27C03AE2" w:rsidR="00D8132A" w:rsidRDefault="00CF644D" w:rsidP="000525D7">
      <w:pPr>
        <w:rPr>
          <w:lang w:val="en-US"/>
        </w:rPr>
      </w:pPr>
      <w:r w:rsidRPr="006D028F">
        <w:rPr>
          <w:lang w:val="en-US"/>
        </w:rPr>
        <w:t>We</w:t>
      </w:r>
      <w:r w:rsidR="00BF6CEE" w:rsidRPr="006D028F">
        <w:rPr>
          <w:lang w:val="en-US"/>
        </w:rPr>
        <w:t xml:space="preserve"> observe that </w:t>
      </w:r>
      <w:r w:rsidR="003C1CE9">
        <w:rPr>
          <w:lang w:val="en-US"/>
        </w:rPr>
        <w:t xml:space="preserve">average </w:t>
      </w:r>
      <w:r w:rsidR="00BF6CEE" w:rsidRPr="006D028F">
        <w:rPr>
          <w:lang w:val="en-US"/>
        </w:rPr>
        <w:t xml:space="preserve">total </w:t>
      </w:r>
      <w:r w:rsidR="004E6DF8">
        <w:rPr>
          <w:lang w:val="en-US"/>
        </w:rPr>
        <w:t xml:space="preserve">hours of work </w:t>
      </w:r>
      <w:r w:rsidR="00ED605C">
        <w:rPr>
          <w:lang w:val="en-US"/>
        </w:rPr>
        <w:t xml:space="preserve">for </w:t>
      </w:r>
      <w:r w:rsidR="003C1CE9">
        <w:rPr>
          <w:lang w:val="en-US"/>
        </w:rPr>
        <w:t xml:space="preserve">the different age-sex groups are mainly </w:t>
      </w:r>
      <w:r w:rsidR="004E6DF8">
        <w:rPr>
          <w:lang w:val="en-US"/>
        </w:rPr>
        <w:t xml:space="preserve">driven </w:t>
      </w:r>
      <w:r w:rsidR="00BF6CEE" w:rsidRPr="006D028F">
        <w:rPr>
          <w:lang w:val="en-US"/>
        </w:rPr>
        <w:t xml:space="preserve">by </w:t>
      </w:r>
      <w:r w:rsidR="00ED605C">
        <w:rPr>
          <w:lang w:val="en-US"/>
        </w:rPr>
        <w:t>behavioral changes</w:t>
      </w:r>
      <w:r w:rsidR="00A16CD1">
        <w:rPr>
          <w:lang w:val="en-US"/>
        </w:rPr>
        <w:t xml:space="preserve"> for age groups 50+</w:t>
      </w:r>
      <w:r w:rsidR="00ED605C">
        <w:rPr>
          <w:lang w:val="en-US"/>
        </w:rPr>
        <w:t xml:space="preserve">. </w:t>
      </w:r>
      <w:r w:rsidR="003C1CE9">
        <w:rPr>
          <w:lang w:val="en-US"/>
        </w:rPr>
        <w:t xml:space="preserve">Structural change is positive as a result of the progressive upward shift in education profiles of the various groups. </w:t>
      </w:r>
      <w:r w:rsidR="004E6DF8">
        <w:rPr>
          <w:lang w:val="en-US"/>
        </w:rPr>
        <w:t xml:space="preserve">Behavioral </w:t>
      </w:r>
      <w:r w:rsidRPr="006D028F">
        <w:rPr>
          <w:lang w:val="en-US"/>
        </w:rPr>
        <w:t xml:space="preserve">change </w:t>
      </w:r>
      <w:r w:rsidR="00A16CD1">
        <w:rPr>
          <w:lang w:val="en-US"/>
        </w:rPr>
        <w:t xml:space="preserve">for the 50+ </w:t>
      </w:r>
      <w:r w:rsidRPr="006D028F">
        <w:rPr>
          <w:lang w:val="en-US"/>
        </w:rPr>
        <w:t>is always positive</w:t>
      </w:r>
      <w:r w:rsidR="004E6DF8">
        <w:rPr>
          <w:lang w:val="en-US"/>
        </w:rPr>
        <w:t xml:space="preserve">ly signed </w:t>
      </w:r>
      <w:r w:rsidRPr="006D028F">
        <w:rPr>
          <w:lang w:val="en-US"/>
        </w:rPr>
        <w:t xml:space="preserve">and </w:t>
      </w:r>
      <w:r w:rsidR="00C6409E">
        <w:rPr>
          <w:lang w:val="en-US"/>
        </w:rPr>
        <w:t xml:space="preserve">is generally </w:t>
      </w:r>
      <w:r w:rsidR="004E6DF8">
        <w:rPr>
          <w:lang w:val="en-US"/>
        </w:rPr>
        <w:t xml:space="preserve">larger </w:t>
      </w:r>
      <w:r w:rsidRPr="006D028F">
        <w:rPr>
          <w:lang w:val="en-US"/>
        </w:rPr>
        <w:t>for women than for men</w:t>
      </w:r>
      <w:r w:rsidR="00772C2D">
        <w:rPr>
          <w:lang w:val="en-US"/>
        </w:rPr>
        <w:t xml:space="preserve"> –influenced by the seminal increase in female employment (and labor force participation) and some targeted policy measures (such as the progressive upward adjustment of the female retirement age in Belgium)</w:t>
      </w:r>
      <w:r w:rsidRPr="006D028F">
        <w:rPr>
          <w:lang w:val="en-US"/>
        </w:rPr>
        <w:t xml:space="preserve">. </w:t>
      </w:r>
      <w:r w:rsidR="00C6409E">
        <w:rPr>
          <w:lang w:val="en-US"/>
        </w:rPr>
        <w:t xml:space="preserve">France provides the noticeable deviation to this pattern </w:t>
      </w:r>
      <w:r w:rsidR="00772C2D">
        <w:rPr>
          <w:lang w:val="en-US"/>
        </w:rPr>
        <w:t xml:space="preserve">for the age group 60-64 </w:t>
      </w:r>
      <w:r w:rsidR="00C6409E">
        <w:rPr>
          <w:lang w:val="en-US"/>
        </w:rPr>
        <w:t xml:space="preserve">with substantially stronger employment effects for </w:t>
      </w:r>
      <w:r w:rsidR="00A77B5C">
        <w:rPr>
          <w:lang w:val="en-US"/>
        </w:rPr>
        <w:t>men</w:t>
      </w:r>
      <w:r w:rsidR="00C6409E">
        <w:rPr>
          <w:lang w:val="en-US"/>
        </w:rPr>
        <w:t xml:space="preserve"> ultimately leading to a larger behavioral effect for </w:t>
      </w:r>
      <w:r w:rsidR="00A77B5C">
        <w:rPr>
          <w:lang w:val="en-US"/>
        </w:rPr>
        <w:t xml:space="preserve">men </w:t>
      </w:r>
      <w:r w:rsidR="00C6409E">
        <w:rPr>
          <w:lang w:val="en-US"/>
        </w:rPr>
        <w:t xml:space="preserve">than for </w:t>
      </w:r>
      <w:r w:rsidR="00A77B5C">
        <w:rPr>
          <w:lang w:val="en-US"/>
        </w:rPr>
        <w:t>women</w:t>
      </w:r>
      <w:r w:rsidR="00C6409E">
        <w:rPr>
          <w:lang w:val="en-US"/>
        </w:rPr>
        <w:t>.</w:t>
      </w:r>
      <w:r w:rsidRPr="006D028F">
        <w:rPr>
          <w:lang w:val="en-US"/>
        </w:rPr>
        <w:t xml:space="preserve"> </w:t>
      </w:r>
      <w:r w:rsidR="00A16CD1">
        <w:rPr>
          <w:lang w:val="en-US"/>
        </w:rPr>
        <w:t>Changes f</w:t>
      </w:r>
      <w:r w:rsidR="00AC37C9">
        <w:rPr>
          <w:lang w:val="en-US"/>
        </w:rPr>
        <w:t>o</w:t>
      </w:r>
      <w:r w:rsidR="00A16CD1">
        <w:rPr>
          <w:lang w:val="en-US"/>
        </w:rPr>
        <w:t xml:space="preserve">r prime-age workers </w:t>
      </w:r>
      <w:r w:rsidR="00AC37C9">
        <w:rPr>
          <w:lang w:val="en-US"/>
        </w:rPr>
        <w:t xml:space="preserve">aged </w:t>
      </w:r>
      <w:r w:rsidR="00731691">
        <w:rPr>
          <w:lang w:val="en-US"/>
        </w:rPr>
        <w:t>2</w:t>
      </w:r>
      <w:r w:rsidR="00AC37C9">
        <w:rPr>
          <w:lang w:val="en-US"/>
        </w:rPr>
        <w:t xml:space="preserve">5-49 obey a different pattern, with overall smaller reactions in individual hours of work and overall more modest employment effects. Employment effects for prime-age workers are overall smaller post-crisis than pre-crisis – except for Belgian males – whereas the opposite is generally true for workers aged 55+ - in line with the previously cited results of </w:t>
      </w:r>
      <w:proofErr w:type="spellStart"/>
      <w:r w:rsidR="00AC37C9">
        <w:rPr>
          <w:lang w:val="en-US"/>
        </w:rPr>
        <w:t>Hoynes</w:t>
      </w:r>
      <w:proofErr w:type="spellEnd"/>
      <w:r w:rsidR="00AC37C9">
        <w:rPr>
          <w:lang w:val="en-US"/>
        </w:rPr>
        <w:t xml:space="preserve"> et al (2012) for older US workers. </w:t>
      </w:r>
    </w:p>
    <w:p w14:paraId="6AE65F4B" w14:textId="0FCFD4BB" w:rsidR="00D8132A" w:rsidRDefault="00D8132A" w:rsidP="000525D7">
      <w:pPr>
        <w:rPr>
          <w:lang w:val="en-US"/>
        </w:rPr>
      </w:pPr>
      <w:r>
        <w:rPr>
          <w:lang w:val="en-US"/>
        </w:rPr>
        <w:t xml:space="preserve">Table </w:t>
      </w:r>
      <w:r w:rsidR="00F647D2">
        <w:rPr>
          <w:lang w:val="en-US"/>
        </w:rPr>
        <w:t>8</w:t>
      </w:r>
      <w:r w:rsidR="00CF644D" w:rsidRPr="006D028F">
        <w:rPr>
          <w:lang w:val="en-US"/>
        </w:rPr>
        <w:t xml:space="preserve"> </w:t>
      </w:r>
      <w:r w:rsidR="00C6409E">
        <w:rPr>
          <w:lang w:val="en-US"/>
        </w:rPr>
        <w:t xml:space="preserve">also </w:t>
      </w:r>
      <w:r w:rsidR="00CF644D" w:rsidRPr="006D028F">
        <w:rPr>
          <w:lang w:val="en-US"/>
        </w:rPr>
        <w:t xml:space="preserve">illustrates </w:t>
      </w:r>
      <w:r>
        <w:rPr>
          <w:lang w:val="en-US"/>
        </w:rPr>
        <w:t xml:space="preserve">that </w:t>
      </w:r>
      <w:r w:rsidR="00CE6A47" w:rsidRPr="006D028F">
        <w:rPr>
          <w:lang w:val="en-US"/>
        </w:rPr>
        <w:t>positive changes at the extensive margin</w:t>
      </w:r>
      <w:r>
        <w:rPr>
          <w:lang w:val="en-US"/>
        </w:rPr>
        <w:t xml:space="preserve"> (</w:t>
      </w:r>
      <w:r w:rsidR="00CE6A47" w:rsidRPr="006D028F">
        <w:rPr>
          <w:lang w:val="en-US"/>
        </w:rPr>
        <w:t xml:space="preserve">in </w:t>
      </w:r>
      <w:r>
        <w:rPr>
          <w:lang w:val="en-US"/>
        </w:rPr>
        <w:t>ERs)</w:t>
      </w:r>
      <w:r w:rsidR="00CE6A47" w:rsidRPr="006D028F">
        <w:rPr>
          <w:lang w:val="en-US"/>
        </w:rPr>
        <w:t xml:space="preserve"> </w:t>
      </w:r>
      <w:r w:rsidR="00C6409E">
        <w:rPr>
          <w:lang w:val="en-US"/>
        </w:rPr>
        <w:t xml:space="preserve">have </w:t>
      </w:r>
      <w:r w:rsidR="00CE6A47" w:rsidRPr="006D028F">
        <w:rPr>
          <w:lang w:val="en-US"/>
        </w:rPr>
        <w:t>largely compensate</w:t>
      </w:r>
      <w:r w:rsidR="00C6409E">
        <w:rPr>
          <w:lang w:val="en-US"/>
        </w:rPr>
        <w:t>d</w:t>
      </w:r>
      <w:r w:rsidR="00CE6A47" w:rsidRPr="006D028F">
        <w:rPr>
          <w:lang w:val="en-US"/>
        </w:rPr>
        <w:t xml:space="preserve"> for </w:t>
      </w:r>
      <w:r w:rsidR="00C6409E">
        <w:rPr>
          <w:lang w:val="en-US"/>
        </w:rPr>
        <w:t xml:space="preserve">any observed </w:t>
      </w:r>
      <w:r w:rsidR="00CE6A47" w:rsidRPr="006D028F">
        <w:rPr>
          <w:lang w:val="en-US"/>
        </w:rPr>
        <w:t>negative changes at the intensive margin</w:t>
      </w:r>
      <w:r>
        <w:rPr>
          <w:lang w:val="en-US"/>
        </w:rPr>
        <w:t xml:space="preserve"> (</w:t>
      </w:r>
      <w:r w:rsidR="00CE6A47" w:rsidRPr="006D028F">
        <w:rPr>
          <w:lang w:val="en-US"/>
        </w:rPr>
        <w:t>hours of work</w:t>
      </w:r>
      <w:r>
        <w:rPr>
          <w:lang w:val="en-US"/>
        </w:rPr>
        <w:t>)</w:t>
      </w:r>
      <w:r w:rsidR="00CE6A47" w:rsidRPr="006D028F">
        <w:rPr>
          <w:lang w:val="en-US"/>
        </w:rPr>
        <w:t>.</w:t>
      </w:r>
      <w:r>
        <w:rPr>
          <w:lang w:val="en-US"/>
        </w:rPr>
        <w:t xml:space="preserve"> </w:t>
      </w:r>
      <w:r w:rsidR="00AC37C9">
        <w:rPr>
          <w:lang w:val="en-US"/>
        </w:rPr>
        <w:t>As a result</w:t>
      </w:r>
      <w:r>
        <w:rPr>
          <w:lang w:val="en-US"/>
        </w:rPr>
        <w:t xml:space="preserve">, </w:t>
      </w:r>
      <w:r w:rsidR="00772C2D">
        <w:rPr>
          <w:lang w:val="en-US"/>
        </w:rPr>
        <w:t xml:space="preserve">average members of the </w:t>
      </w:r>
      <w:r w:rsidR="00AC37C9">
        <w:rPr>
          <w:lang w:val="en-US"/>
        </w:rPr>
        <w:t xml:space="preserve">age </w:t>
      </w:r>
      <w:r w:rsidR="001170A2">
        <w:rPr>
          <w:lang w:val="en-US"/>
        </w:rPr>
        <w:t>group</w:t>
      </w:r>
      <w:r>
        <w:rPr>
          <w:lang w:val="en-US"/>
        </w:rPr>
        <w:t xml:space="preserve"> </w:t>
      </w:r>
      <w:r w:rsidR="00AC37C9">
        <w:rPr>
          <w:lang w:val="en-US"/>
        </w:rPr>
        <w:t xml:space="preserve">50+ contribute </w:t>
      </w:r>
      <w:r>
        <w:rPr>
          <w:lang w:val="en-US"/>
        </w:rPr>
        <w:t xml:space="preserve">to a larger degree to the economic activity, and hence </w:t>
      </w:r>
      <w:r w:rsidR="001170A2">
        <w:rPr>
          <w:lang w:val="en-US"/>
        </w:rPr>
        <w:t xml:space="preserve">implicitly </w:t>
      </w:r>
      <w:r>
        <w:rPr>
          <w:lang w:val="en-US"/>
        </w:rPr>
        <w:t>also to the financing of public and social sectors</w:t>
      </w:r>
      <w:r w:rsidR="00772C2D">
        <w:rPr>
          <w:lang w:val="en-US"/>
        </w:rPr>
        <w:t xml:space="preserve"> – and this beyond any more demographic cohort-size effects</w:t>
      </w:r>
      <w:r>
        <w:rPr>
          <w:lang w:val="en-US"/>
        </w:rPr>
        <w:t>. However, the results also indicate substantial offsetting behavior</w:t>
      </w:r>
      <w:r w:rsidR="00AC37C9">
        <w:rPr>
          <w:lang w:val="en-US"/>
        </w:rPr>
        <w:t xml:space="preserve"> in some cases</w:t>
      </w:r>
      <w:r w:rsidR="00DA1260">
        <w:rPr>
          <w:lang w:val="en-US"/>
        </w:rPr>
        <w:t xml:space="preserve">. This is particularly true </w:t>
      </w:r>
      <w:r>
        <w:rPr>
          <w:lang w:val="en-US"/>
        </w:rPr>
        <w:t>in Belgium</w:t>
      </w:r>
      <w:r w:rsidR="00AC37C9">
        <w:rPr>
          <w:lang w:val="en-US"/>
        </w:rPr>
        <w:t xml:space="preserve"> with its increasingly popular old-age part-time work arrangements</w:t>
      </w:r>
      <w:r w:rsidR="00DA1260">
        <w:rPr>
          <w:lang w:val="en-US"/>
        </w:rPr>
        <w:t xml:space="preserve">, </w:t>
      </w:r>
      <w:r w:rsidR="00A77B5C">
        <w:rPr>
          <w:lang w:val="en-US"/>
        </w:rPr>
        <w:t>where for all age groups and all periods the change at the intensive margin has been negative, reaching 8</w:t>
      </w:r>
      <w:r>
        <w:rPr>
          <w:lang w:val="en-US"/>
        </w:rPr>
        <w:t xml:space="preserve">% </w:t>
      </w:r>
      <w:r w:rsidR="00A77B5C">
        <w:rPr>
          <w:lang w:val="en-US"/>
        </w:rPr>
        <w:t xml:space="preserve">for women </w:t>
      </w:r>
      <w:r w:rsidR="00BB5B5C">
        <w:rPr>
          <w:lang w:val="en-US"/>
        </w:rPr>
        <w:t xml:space="preserve">aged 55-59 </w:t>
      </w:r>
      <w:r w:rsidR="00A77B5C">
        <w:rPr>
          <w:lang w:val="en-US"/>
        </w:rPr>
        <w:t>in the first period</w:t>
      </w:r>
      <w:r>
        <w:rPr>
          <w:lang w:val="en-US"/>
        </w:rPr>
        <w:t>.</w:t>
      </w:r>
      <w:r w:rsidR="00622F3E">
        <w:rPr>
          <w:lang w:val="en-US"/>
        </w:rPr>
        <w:t xml:space="preserve"> </w:t>
      </w:r>
      <w:r w:rsidR="00BA2A3F">
        <w:rPr>
          <w:lang w:val="en-US"/>
        </w:rPr>
        <w:t xml:space="preserve">Finally, the simulation results also show that the growth at the extensive margin has not suffered a major slowdown as a result of the financial crisis starting in 2007 – in line with the observed absence of a downward trend on Figures 1 and 2. </w:t>
      </w:r>
    </w:p>
    <w:p w14:paraId="7BB0BEB8" w14:textId="5FD3DDE4" w:rsidR="003E33E6" w:rsidRPr="0028531E" w:rsidRDefault="003E33E6" w:rsidP="003C7072">
      <w:pPr>
        <w:pStyle w:val="Heading1"/>
        <w:numPr>
          <w:ilvl w:val="0"/>
          <w:numId w:val="37"/>
        </w:numPr>
        <w:rPr>
          <w:lang w:val="en-US"/>
        </w:rPr>
      </w:pPr>
      <w:r w:rsidRPr="0028531E">
        <w:rPr>
          <w:lang w:val="en-US"/>
        </w:rPr>
        <w:t>Conclusions</w:t>
      </w:r>
    </w:p>
    <w:p w14:paraId="1B934E9F" w14:textId="08791287" w:rsidR="00877D03" w:rsidRDefault="00877D03" w:rsidP="000525D7">
      <w:pPr>
        <w:rPr>
          <w:lang w:val="en-US"/>
        </w:rPr>
      </w:pPr>
      <w:r>
        <w:rPr>
          <w:lang w:val="en-US"/>
        </w:rPr>
        <w:t xml:space="preserve">European welfare states are under stress: demographic and social changes are leading to increasing demands in terms of expenditures at a time when the population in working age is shrinking. In the face of this observation, academic economists have been promoting the idea of increasing the employment rate of the elderly as one key policy area. With the arrival of the Open Method of Coordination and the Lisbon criteria in 2001, this policy objective has also been </w:t>
      </w:r>
      <w:r w:rsidR="00DB0758">
        <w:rPr>
          <w:lang w:val="en-US"/>
        </w:rPr>
        <w:t xml:space="preserve">put on the agenda of policy makers </w:t>
      </w:r>
      <w:r>
        <w:rPr>
          <w:lang w:val="en-US"/>
        </w:rPr>
        <w:t xml:space="preserve">– either explicitly or implicitly. </w:t>
      </w:r>
    </w:p>
    <w:p w14:paraId="4ED5E050" w14:textId="5DC80C7A" w:rsidR="00877D03" w:rsidRDefault="00DB0758" w:rsidP="000525D7">
      <w:pPr>
        <w:rPr>
          <w:lang w:val="en-US"/>
        </w:rPr>
      </w:pPr>
      <w:r>
        <w:rPr>
          <w:lang w:val="en-US"/>
        </w:rPr>
        <w:t xml:space="preserve">The present paper provides a fresh look at the question using European Union Labour Force </w:t>
      </w:r>
      <w:r w:rsidR="007A5AE2">
        <w:rPr>
          <w:lang w:val="en-US"/>
        </w:rPr>
        <w:t xml:space="preserve">Survey </w:t>
      </w:r>
      <w:r>
        <w:rPr>
          <w:lang w:val="en-US"/>
        </w:rPr>
        <w:t xml:space="preserve">micro-data. It innovates with respect to the literature in two areas. First, it takes a comparative approach between </w:t>
      </w:r>
      <w:r w:rsidR="007C372E" w:rsidRPr="00877D03">
        <w:rPr>
          <w:lang w:val="en-US"/>
        </w:rPr>
        <w:t>Belgium</w:t>
      </w:r>
      <w:r w:rsidR="00BA2A3F">
        <w:rPr>
          <w:lang w:val="en-US"/>
        </w:rPr>
        <w:t>,</w:t>
      </w:r>
      <w:r w:rsidR="007C372E" w:rsidRPr="00877D03">
        <w:rPr>
          <w:lang w:val="en-US"/>
        </w:rPr>
        <w:t xml:space="preserve"> France, Germany and </w:t>
      </w:r>
      <w:r w:rsidR="00E23AED">
        <w:rPr>
          <w:lang w:val="en-US"/>
        </w:rPr>
        <w:t>T</w:t>
      </w:r>
      <w:r w:rsidR="007C372E" w:rsidRPr="00877D03">
        <w:rPr>
          <w:lang w:val="en-US"/>
        </w:rPr>
        <w:t>he Netherlands</w:t>
      </w:r>
      <w:r w:rsidR="00BA2A3F">
        <w:rPr>
          <w:lang w:val="en-US"/>
        </w:rPr>
        <w:t xml:space="preserve"> – four rather comparable countries</w:t>
      </w:r>
      <w:r>
        <w:rPr>
          <w:lang w:val="en-US"/>
        </w:rPr>
        <w:t>. Second, it extends the usual benchmarking based on employment rates alone to also include hours of work data.</w:t>
      </w:r>
    </w:p>
    <w:p w14:paraId="6A87A6E4" w14:textId="34573C9C" w:rsidR="00DB0758" w:rsidRDefault="00DB0758" w:rsidP="000525D7">
      <w:pPr>
        <w:rPr>
          <w:lang w:val="en-US"/>
        </w:rPr>
      </w:pPr>
      <w:r>
        <w:rPr>
          <w:lang w:val="en-US"/>
        </w:rPr>
        <w:lastRenderedPageBreak/>
        <w:t>Our results are t</w:t>
      </w:r>
      <w:r w:rsidR="00BA2A3F">
        <w:rPr>
          <w:lang w:val="en-US"/>
        </w:rPr>
        <w:t>hree</w:t>
      </w:r>
      <w:r>
        <w:rPr>
          <w:lang w:val="en-US"/>
        </w:rPr>
        <w:t xml:space="preserve">fold. First, we construct probit models of employment and show that older workers aged 50+ have by and large a significantly larger increase in employment than the one observed for the general population over the time period 1997-2011. Our findings indicate some “catching-up” phenomenon with older </w:t>
      </w:r>
      <w:r w:rsidR="00F33AC7">
        <w:rPr>
          <w:lang w:val="en-US"/>
        </w:rPr>
        <w:t>age groups</w:t>
      </w:r>
      <w:r>
        <w:rPr>
          <w:lang w:val="en-US"/>
        </w:rPr>
        <w:t xml:space="preserve"> looking increasingly like prime-age ones. We find substantial differences between men and women, pointing to the need to take the gender dimension into account when considering labor market policies. </w:t>
      </w:r>
      <w:r w:rsidR="00BA2A3F">
        <w:rPr>
          <w:lang w:val="en-US"/>
        </w:rPr>
        <w:t xml:space="preserve">Our results </w:t>
      </w:r>
      <w:r>
        <w:rPr>
          <w:lang w:val="en-US"/>
        </w:rPr>
        <w:t xml:space="preserve">further </w:t>
      </w:r>
      <w:r w:rsidR="00BA2A3F">
        <w:rPr>
          <w:lang w:val="en-US"/>
        </w:rPr>
        <w:t xml:space="preserve">document </w:t>
      </w:r>
      <w:r>
        <w:rPr>
          <w:lang w:val="en-US"/>
        </w:rPr>
        <w:t>vulnerable groups</w:t>
      </w:r>
      <w:r w:rsidR="00BA2A3F">
        <w:rPr>
          <w:lang w:val="en-US"/>
        </w:rPr>
        <w:t xml:space="preserve"> –</w:t>
      </w:r>
      <w:r>
        <w:rPr>
          <w:lang w:val="en-US"/>
        </w:rPr>
        <w:t xml:space="preserve"> such as less educated and first-generation immigrants</w:t>
      </w:r>
      <w:r w:rsidR="00BA2A3F">
        <w:rPr>
          <w:lang w:val="en-US"/>
        </w:rPr>
        <w:t xml:space="preserve"> –</w:t>
      </w:r>
      <w:r>
        <w:rPr>
          <w:lang w:val="en-US"/>
        </w:rPr>
        <w:t xml:space="preserve"> far</w:t>
      </w:r>
      <w:r w:rsidR="00BA2A3F">
        <w:rPr>
          <w:lang w:val="en-US"/>
        </w:rPr>
        <w:t>ing</w:t>
      </w:r>
      <w:r>
        <w:rPr>
          <w:lang w:val="en-US"/>
        </w:rPr>
        <w:t xml:space="preserve"> less well. </w:t>
      </w:r>
    </w:p>
    <w:p w14:paraId="25E9B997" w14:textId="38BF4C42" w:rsidR="00CE6A47" w:rsidRPr="00622F3E" w:rsidRDefault="006F7ED9" w:rsidP="000525D7">
      <w:pPr>
        <w:rPr>
          <w:lang w:val="en-US"/>
        </w:rPr>
      </w:pPr>
      <w:r w:rsidRPr="0028531E">
        <w:rPr>
          <w:lang w:val="en-US"/>
        </w:rPr>
        <w:t xml:space="preserve">Second, we </w:t>
      </w:r>
      <w:r w:rsidR="00DB0758">
        <w:rPr>
          <w:lang w:val="en-US"/>
        </w:rPr>
        <w:t>complement the employment rate analysis by an hours</w:t>
      </w:r>
      <w:r w:rsidR="00622F3E">
        <w:rPr>
          <w:lang w:val="en-US"/>
        </w:rPr>
        <w:t>-</w:t>
      </w:r>
      <w:r w:rsidR="00DB0758">
        <w:rPr>
          <w:lang w:val="en-US"/>
        </w:rPr>
        <w:t>of</w:t>
      </w:r>
      <w:r w:rsidR="00622F3E">
        <w:rPr>
          <w:lang w:val="en-US"/>
        </w:rPr>
        <w:t>-</w:t>
      </w:r>
      <w:r w:rsidR="00DB0758">
        <w:rPr>
          <w:lang w:val="en-US"/>
        </w:rPr>
        <w:t xml:space="preserve">work </w:t>
      </w:r>
      <w:r w:rsidR="00622F3E">
        <w:rPr>
          <w:lang w:val="en-US"/>
        </w:rPr>
        <w:t>analysis</w:t>
      </w:r>
      <w:r w:rsidR="00BA2A3F">
        <w:rPr>
          <w:lang w:val="en-US"/>
        </w:rPr>
        <w:t xml:space="preserve"> at the individual level</w:t>
      </w:r>
      <w:r w:rsidR="00DB0758">
        <w:rPr>
          <w:lang w:val="en-US"/>
        </w:rPr>
        <w:t xml:space="preserve">. </w:t>
      </w:r>
      <w:r w:rsidR="00EB5C93">
        <w:rPr>
          <w:lang w:val="en-US"/>
        </w:rPr>
        <w:t xml:space="preserve">More </w:t>
      </w:r>
      <w:r w:rsidR="00EB5C93" w:rsidRPr="00622F3E">
        <w:rPr>
          <w:lang w:val="en-US"/>
        </w:rPr>
        <w:t xml:space="preserve">specifically, we investigate </w:t>
      </w:r>
      <w:r w:rsidRPr="00622F3E">
        <w:rPr>
          <w:lang w:val="en-US"/>
        </w:rPr>
        <w:t xml:space="preserve">to which degree </w:t>
      </w:r>
      <w:r w:rsidR="00EB5C93" w:rsidRPr="00622F3E">
        <w:rPr>
          <w:lang w:val="en-US"/>
        </w:rPr>
        <w:t xml:space="preserve">– if any – </w:t>
      </w:r>
      <w:r w:rsidRPr="00622F3E">
        <w:rPr>
          <w:lang w:val="en-US"/>
        </w:rPr>
        <w:t xml:space="preserve">there has been substitution between employment and hours of work </w:t>
      </w:r>
      <w:r w:rsidR="00EB5C93" w:rsidRPr="00622F3E">
        <w:rPr>
          <w:lang w:val="en-US"/>
        </w:rPr>
        <w:t xml:space="preserve">for the individuals </w:t>
      </w:r>
      <w:r w:rsidRPr="00622F3E">
        <w:rPr>
          <w:lang w:val="en-US"/>
        </w:rPr>
        <w:t xml:space="preserve">under study. </w:t>
      </w:r>
      <w:r w:rsidR="00802549" w:rsidRPr="00622F3E">
        <w:rPr>
          <w:lang w:val="en-US"/>
        </w:rPr>
        <w:t xml:space="preserve">For this purpose, we </w:t>
      </w:r>
      <w:r w:rsidR="00690697" w:rsidRPr="00622F3E">
        <w:rPr>
          <w:lang w:val="en-US"/>
        </w:rPr>
        <w:t>estimate</w:t>
      </w:r>
      <w:r w:rsidR="00802549" w:rsidRPr="00622F3E">
        <w:rPr>
          <w:lang w:val="en-US"/>
        </w:rPr>
        <w:t xml:space="preserve"> a Heckman selection model</w:t>
      </w:r>
      <w:r w:rsidR="00EB5C93" w:rsidRPr="00622F3E">
        <w:rPr>
          <w:lang w:val="en-US"/>
        </w:rPr>
        <w:t xml:space="preserve"> and evaluate the changes in hours of work</w:t>
      </w:r>
      <w:r w:rsidR="00802549" w:rsidRPr="00622F3E">
        <w:rPr>
          <w:lang w:val="en-US"/>
        </w:rPr>
        <w:t xml:space="preserve">. </w:t>
      </w:r>
      <w:r w:rsidR="00855239" w:rsidRPr="00622F3E">
        <w:rPr>
          <w:lang w:val="en-US"/>
        </w:rPr>
        <w:t xml:space="preserve">The results show </w:t>
      </w:r>
      <w:r w:rsidR="00EB5C93" w:rsidRPr="00622F3E">
        <w:rPr>
          <w:lang w:val="en-US"/>
        </w:rPr>
        <w:t xml:space="preserve">that for some groups in the 55-64 age bracket, reductions in observed average hours of work can be as important as </w:t>
      </w:r>
      <w:r w:rsidR="004932F0">
        <w:rPr>
          <w:lang w:val="en-US"/>
        </w:rPr>
        <w:t>8</w:t>
      </w:r>
      <w:r w:rsidR="00EB5C93" w:rsidRPr="00622F3E">
        <w:rPr>
          <w:lang w:val="en-US"/>
        </w:rPr>
        <w:t xml:space="preserve">% for the case of Belgium. </w:t>
      </w:r>
    </w:p>
    <w:p w14:paraId="4367C178" w14:textId="79E06A4B" w:rsidR="00EB5C93" w:rsidRPr="00622F3E" w:rsidRDefault="00BA2A3F" w:rsidP="000525D7">
      <w:pPr>
        <w:rPr>
          <w:lang w:val="en-US"/>
        </w:rPr>
      </w:pPr>
      <w:r>
        <w:rPr>
          <w:lang w:val="en-US"/>
        </w:rPr>
        <w:t>Third, t</w:t>
      </w:r>
      <w:r w:rsidR="00EB5C93" w:rsidRPr="00622F3E">
        <w:rPr>
          <w:lang w:val="en-US"/>
        </w:rPr>
        <w:t>o evaluate the relative importance of the above factors, we complete the analysis by a micro-</w:t>
      </w:r>
      <w:bookmarkStart w:id="0" w:name="_GoBack"/>
      <w:r w:rsidR="00EB5C93" w:rsidRPr="00622F3E">
        <w:rPr>
          <w:lang w:val="en-US"/>
        </w:rPr>
        <w:t xml:space="preserve">simulation approach that decomposes the change in </w:t>
      </w:r>
      <w:r w:rsidR="00772C2D">
        <w:rPr>
          <w:lang w:val="en-US"/>
        </w:rPr>
        <w:t xml:space="preserve">average </w:t>
      </w:r>
      <w:r w:rsidR="00EB5C93" w:rsidRPr="00622F3E">
        <w:rPr>
          <w:lang w:val="en-US"/>
        </w:rPr>
        <w:t xml:space="preserve">total hours of work for the various age-sex groups into a </w:t>
      </w:r>
      <w:r>
        <w:rPr>
          <w:lang w:val="en-US"/>
        </w:rPr>
        <w:t xml:space="preserve">structural margin, and a behavioral one. </w:t>
      </w:r>
      <w:r w:rsidR="00E430D5" w:rsidRPr="00622F3E">
        <w:rPr>
          <w:lang w:val="en-US"/>
        </w:rPr>
        <w:t xml:space="preserve">Our results </w:t>
      </w:r>
      <w:r w:rsidR="00AC37C9">
        <w:rPr>
          <w:lang w:val="en-US"/>
        </w:rPr>
        <w:t xml:space="preserve">– based on estimated parameters – </w:t>
      </w:r>
      <w:r w:rsidR="00E430D5" w:rsidRPr="00622F3E">
        <w:rPr>
          <w:lang w:val="en-US"/>
        </w:rPr>
        <w:t xml:space="preserve">indicate that </w:t>
      </w:r>
      <w:r w:rsidR="00EB5C93" w:rsidRPr="00622F3E">
        <w:rPr>
          <w:lang w:val="en-US"/>
        </w:rPr>
        <w:t xml:space="preserve">in the period of observation, changes in employment </w:t>
      </w:r>
      <w:r w:rsidR="00E430D5" w:rsidRPr="00622F3E">
        <w:rPr>
          <w:lang w:val="en-US"/>
        </w:rPr>
        <w:t>rates</w:t>
      </w:r>
      <w:r w:rsidR="00EB5C93" w:rsidRPr="00622F3E">
        <w:rPr>
          <w:lang w:val="en-US"/>
        </w:rPr>
        <w:t xml:space="preserve"> </w:t>
      </w:r>
      <w:r>
        <w:rPr>
          <w:lang w:val="en-US"/>
        </w:rPr>
        <w:t xml:space="preserve">are more the result of changes on the behavioral margin, with increases at the </w:t>
      </w:r>
      <w:r w:rsidRPr="00622F3E">
        <w:rPr>
          <w:lang w:val="en-US"/>
        </w:rPr>
        <w:t xml:space="preserve">extensive (employment) </w:t>
      </w:r>
      <w:r>
        <w:rPr>
          <w:lang w:val="en-US"/>
        </w:rPr>
        <w:t xml:space="preserve">margin having been sufficiently strong to offset any opposing observed tendencies on the </w:t>
      </w:r>
      <w:r w:rsidRPr="00622F3E">
        <w:rPr>
          <w:lang w:val="en-US"/>
        </w:rPr>
        <w:t xml:space="preserve">intensive (hours) margin. </w:t>
      </w:r>
      <w:r w:rsidR="00761D81">
        <w:rPr>
          <w:lang w:val="en-US"/>
        </w:rPr>
        <w:t xml:space="preserve">We find little evidence of a distinctive effect of the financial crisis on these findings. </w:t>
      </w:r>
    </w:p>
    <w:p w14:paraId="141E7808" w14:textId="5AD44243" w:rsidR="00855239" w:rsidRDefault="00EB5C93" w:rsidP="000525D7">
      <w:pPr>
        <w:rPr>
          <w:lang w:val="en-US"/>
        </w:rPr>
      </w:pPr>
      <w:r w:rsidRPr="00622F3E">
        <w:rPr>
          <w:lang w:val="en-US"/>
        </w:rPr>
        <w:t xml:space="preserve">Our results </w:t>
      </w:r>
      <w:r w:rsidR="00AC37C9">
        <w:rPr>
          <w:lang w:val="en-US"/>
        </w:rPr>
        <w:t xml:space="preserve">have immediate </w:t>
      </w:r>
      <w:r w:rsidR="00761D81">
        <w:rPr>
          <w:lang w:val="en-US"/>
        </w:rPr>
        <w:t>policy relevance</w:t>
      </w:r>
      <w:r w:rsidRPr="00622F3E">
        <w:rPr>
          <w:lang w:val="en-US"/>
        </w:rPr>
        <w:t xml:space="preserve">. </w:t>
      </w:r>
      <w:r w:rsidR="00AC37C9">
        <w:rPr>
          <w:lang w:val="en-US"/>
        </w:rPr>
        <w:t>First, t</w:t>
      </w:r>
      <w:r w:rsidR="00AC37C9" w:rsidRPr="00622F3E">
        <w:rPr>
          <w:lang w:val="en-US"/>
        </w:rPr>
        <w:t xml:space="preserve">hey </w:t>
      </w:r>
      <w:r w:rsidR="00761D81">
        <w:rPr>
          <w:lang w:val="en-US"/>
        </w:rPr>
        <w:t xml:space="preserve">imply </w:t>
      </w:r>
      <w:r w:rsidRPr="00622F3E">
        <w:rPr>
          <w:lang w:val="en-US"/>
        </w:rPr>
        <w:t xml:space="preserve">that a given observed increase in employment rates might hide very different realities </w:t>
      </w:r>
      <w:bookmarkEnd w:id="0"/>
      <w:r w:rsidRPr="00622F3E">
        <w:rPr>
          <w:lang w:val="en-US"/>
        </w:rPr>
        <w:t>(different work intensities). As a result, a policy merely focused on employment rates might be heavily misguided</w:t>
      </w:r>
      <w:r w:rsidR="00772C2D">
        <w:rPr>
          <w:lang w:val="en-US"/>
        </w:rPr>
        <w:t xml:space="preserve"> as it ignores the sometimes opposite-signed effect at the intensive margin</w:t>
      </w:r>
      <w:r w:rsidRPr="00622F3E">
        <w:rPr>
          <w:lang w:val="en-US"/>
        </w:rPr>
        <w:t>.</w:t>
      </w:r>
    </w:p>
    <w:p w14:paraId="21C70911" w14:textId="77777777" w:rsidR="00AF3496" w:rsidRDefault="00AF3496">
      <w:pPr>
        <w:rPr>
          <w:rFonts w:asciiTheme="majorHAnsi" w:eastAsiaTheme="majorEastAsia" w:hAnsiTheme="majorHAnsi" w:cstheme="majorBidi"/>
          <w:b/>
          <w:bCs/>
          <w:sz w:val="28"/>
          <w:szCs w:val="28"/>
          <w:lang w:val="en-US"/>
        </w:rPr>
      </w:pPr>
      <w:r>
        <w:rPr>
          <w:lang w:val="en-US"/>
        </w:rPr>
        <w:br w:type="page"/>
      </w:r>
    </w:p>
    <w:p w14:paraId="17F5F418" w14:textId="4F739FD2" w:rsidR="00E2754B" w:rsidRPr="0028531E" w:rsidRDefault="007B5D30" w:rsidP="00531F93">
      <w:pPr>
        <w:pStyle w:val="Heading1"/>
        <w:rPr>
          <w:lang w:val="en-US"/>
        </w:rPr>
      </w:pPr>
      <w:r w:rsidRPr="0028531E">
        <w:rPr>
          <w:lang w:val="en-US"/>
        </w:rPr>
        <w:lastRenderedPageBreak/>
        <w:t>R</w:t>
      </w:r>
      <w:r w:rsidR="008971AD" w:rsidRPr="0028531E">
        <w:rPr>
          <w:lang w:val="en-US"/>
        </w:rPr>
        <w:t>eferences</w:t>
      </w:r>
    </w:p>
    <w:p w14:paraId="03471275" w14:textId="77777777" w:rsidR="00CF6C14" w:rsidRDefault="003F0032" w:rsidP="000525D7">
      <w:pPr>
        <w:rPr>
          <w:lang w:val="en-US"/>
        </w:rPr>
      </w:pPr>
      <w:r w:rsidRPr="0028531E">
        <w:rPr>
          <w:lang w:val="en-US"/>
        </w:rPr>
        <w:t xml:space="preserve">Blundell R. and T. MaCurdy (1999), “Labor Supply: A Review of Alternative Approaches”, in Ashenfelter O.C. and D. Card, ed., </w:t>
      </w:r>
      <w:r w:rsidRPr="0028531E">
        <w:rPr>
          <w:u w:val="single"/>
          <w:lang w:val="en-US"/>
        </w:rPr>
        <w:t>Handbook of Labor Economics</w:t>
      </w:r>
      <w:r w:rsidRPr="0028531E">
        <w:rPr>
          <w:lang w:val="en-US"/>
        </w:rPr>
        <w:t>, Vol</w:t>
      </w:r>
      <w:r w:rsidR="00645B78" w:rsidRPr="0028531E">
        <w:rPr>
          <w:lang w:val="en-US"/>
        </w:rPr>
        <w:t xml:space="preserve">ume 3A, Chapter 27, 1559-1695. </w:t>
      </w:r>
    </w:p>
    <w:p w14:paraId="5902284B" w14:textId="7A87F67E" w:rsidR="00CF6C14" w:rsidRPr="00CF6C14" w:rsidRDefault="00CF6C14" w:rsidP="000525D7">
      <w:pPr>
        <w:rPr>
          <w:lang w:val="en-US"/>
        </w:rPr>
      </w:pPr>
      <w:r w:rsidRPr="00CF6C14">
        <w:rPr>
          <w:rFonts w:cs="Times New Roman"/>
          <w:lang w:val="en-GB"/>
        </w:rPr>
        <w:t xml:space="preserve">Blundell R., Bozio A. and G. Laroque (2013), “Extensive and Intensive Margins of Labour Supply: Work and Working Hours in the US, the UK and France”, Fiscal Studies, vol. 34, 1, 1–29. </w:t>
      </w:r>
    </w:p>
    <w:p w14:paraId="3133F83F" w14:textId="0735CB52" w:rsidR="00BA7C59" w:rsidRPr="0028531E" w:rsidRDefault="00BA7C59" w:rsidP="000525D7">
      <w:pPr>
        <w:rPr>
          <w:lang w:val="en-US"/>
        </w:rPr>
      </w:pPr>
      <w:r w:rsidRPr="0028531E">
        <w:rPr>
          <w:lang w:val="en-US"/>
        </w:rPr>
        <w:t xml:space="preserve">Bonsang, E., Perelman, S. and S. Adam (2012), “Does retirement affect cognitive functioning?”, Journal of Health Economics, 31, 3, 490-501. </w:t>
      </w:r>
    </w:p>
    <w:p w14:paraId="6A83DCC7" w14:textId="4088A69A" w:rsidR="00CF7680" w:rsidRDefault="00CF7680" w:rsidP="000525D7">
      <w:pPr>
        <w:rPr>
          <w:lang w:val="en-US"/>
        </w:rPr>
      </w:pPr>
      <w:r>
        <w:rPr>
          <w:lang w:val="en-US"/>
        </w:rPr>
        <w:t xml:space="preserve">Coile, C. C. (2015),”Economic determinants of worker’s retirement decisions”, </w:t>
      </w:r>
      <w:r w:rsidRPr="00CF6C14">
        <w:rPr>
          <w:u w:val="single"/>
          <w:lang w:val="en-US"/>
        </w:rPr>
        <w:t>Journal of Economic Surveys</w:t>
      </w:r>
      <w:r>
        <w:rPr>
          <w:lang w:val="en-US"/>
        </w:rPr>
        <w:t>, 29, 4, 830-853.</w:t>
      </w:r>
    </w:p>
    <w:p w14:paraId="62680D43" w14:textId="101F41A5" w:rsidR="00615148" w:rsidRDefault="00274102" w:rsidP="000525D7">
      <w:pPr>
        <w:rPr>
          <w:lang w:val="en-US"/>
        </w:rPr>
      </w:pPr>
      <w:r w:rsidRPr="0028531E">
        <w:rPr>
          <w:lang w:val="en-US"/>
        </w:rPr>
        <w:t>European Commission (1999), “Towards a Europe for all ages</w:t>
      </w:r>
      <w:r w:rsidR="00615148" w:rsidRPr="0028531E">
        <w:rPr>
          <w:lang w:val="en-US"/>
        </w:rPr>
        <w:t xml:space="preserve">. </w:t>
      </w:r>
      <w:r w:rsidR="00615148" w:rsidRPr="0028531E">
        <w:rPr>
          <w:bCs/>
          <w:lang w:val="en-US"/>
        </w:rPr>
        <w:t>Promoting Prosperity and Intergenerational Solidarity</w:t>
      </w:r>
      <w:r w:rsidRPr="0028531E">
        <w:rPr>
          <w:lang w:val="en-US"/>
        </w:rPr>
        <w:t xml:space="preserve">”, </w:t>
      </w:r>
      <w:r w:rsidR="00615148" w:rsidRPr="0028531E">
        <w:rPr>
          <w:lang w:val="en-US"/>
        </w:rPr>
        <w:t>Brussels 21.05.1999 COM(1999) 221</w:t>
      </w:r>
      <w:r w:rsidR="00615148" w:rsidRPr="0028531E">
        <w:rPr>
          <w:sz w:val="24"/>
          <w:szCs w:val="24"/>
          <w:lang w:val="en-US"/>
        </w:rPr>
        <w:t>, final</w:t>
      </w:r>
      <w:r w:rsidR="00832156">
        <w:rPr>
          <w:sz w:val="24"/>
          <w:szCs w:val="24"/>
          <w:lang w:val="en-US"/>
        </w:rPr>
        <w:t xml:space="preserve">, </w:t>
      </w:r>
      <w:hyperlink r:id="rId164" w:history="1">
        <w:r w:rsidR="00832156" w:rsidRPr="001151F6">
          <w:rPr>
            <w:rStyle w:val="Hyperlink"/>
            <w:lang w:val="en-US"/>
          </w:rPr>
          <w:t>http://ec.europa.eu/employment_social/social_situation/docs/com221_en.pdf</w:t>
        </w:r>
      </w:hyperlink>
      <w:r w:rsidR="00832156" w:rsidRPr="001151F6">
        <w:rPr>
          <w:rStyle w:val="Hyperlink"/>
        </w:rPr>
        <w:t xml:space="preserve"> </w:t>
      </w:r>
    </w:p>
    <w:p w14:paraId="618993B4" w14:textId="02311D1C" w:rsidR="0027216D" w:rsidRPr="0028531E" w:rsidRDefault="0027216D" w:rsidP="000525D7">
      <w:pPr>
        <w:rPr>
          <w:lang w:val="en-US"/>
        </w:rPr>
      </w:pPr>
      <w:r w:rsidRPr="0028531E">
        <w:rPr>
          <w:lang w:val="en-US"/>
        </w:rPr>
        <w:t xml:space="preserve">European </w:t>
      </w:r>
      <w:r w:rsidR="006660F3" w:rsidRPr="0028531E">
        <w:rPr>
          <w:lang w:val="en-US"/>
        </w:rPr>
        <w:t>Council</w:t>
      </w:r>
      <w:r w:rsidRPr="0028531E">
        <w:rPr>
          <w:lang w:val="en-US"/>
        </w:rPr>
        <w:t xml:space="preserve"> (2000), “Lisbon European Council, Presidency Conclusions, 23 and 24 March 2000”,</w:t>
      </w:r>
      <w:r w:rsidR="006F5982" w:rsidRPr="004B6827">
        <w:rPr>
          <w:lang w:val="en-US"/>
        </w:rPr>
        <w:t xml:space="preserve"> </w:t>
      </w:r>
      <w:hyperlink r:id="rId165" w:history="1">
        <w:r w:rsidR="00783AB3" w:rsidRPr="004B6827">
          <w:rPr>
            <w:rStyle w:val="Hyperlink"/>
            <w:lang w:val="en-US"/>
          </w:rPr>
          <w:t xml:space="preserve">http://www.consilium.europa.eu/uedocs/cms_data/docs/pressdata/en/ec/00100-r1.en0.htm </w:t>
        </w:r>
        <w:r w:rsidR="006F5982" w:rsidRPr="004B6827">
          <w:rPr>
            <w:rStyle w:val="Hyperlink"/>
            <w:lang w:val="en-US"/>
          </w:rPr>
          <w:t xml:space="preserve"> </w:t>
        </w:r>
      </w:hyperlink>
      <w:r w:rsidR="00832156">
        <w:rPr>
          <w:lang w:val="en-US"/>
        </w:rPr>
        <w:t xml:space="preserve"> </w:t>
      </w:r>
    </w:p>
    <w:p w14:paraId="74A1B193" w14:textId="0C9B9571" w:rsidR="006660F3" w:rsidRPr="0028531E" w:rsidRDefault="006660F3" w:rsidP="000525D7">
      <w:pPr>
        <w:rPr>
          <w:lang w:val="en-US"/>
        </w:rPr>
      </w:pPr>
      <w:r w:rsidRPr="0028531E">
        <w:rPr>
          <w:lang w:val="en-US"/>
        </w:rPr>
        <w:t>European Council (2001), “European Council</w:t>
      </w:r>
      <w:r w:rsidR="00E3009B" w:rsidRPr="0028531E">
        <w:rPr>
          <w:lang w:val="en-US"/>
        </w:rPr>
        <w:t xml:space="preserve"> Meeting in Laeken</w:t>
      </w:r>
      <w:r w:rsidRPr="0028531E">
        <w:rPr>
          <w:lang w:val="en-US"/>
        </w:rPr>
        <w:t xml:space="preserve">, Presidency Conclusions, </w:t>
      </w:r>
      <w:r w:rsidR="00E3009B" w:rsidRPr="0028531E">
        <w:rPr>
          <w:lang w:val="en-US"/>
        </w:rPr>
        <w:t xml:space="preserve">14 and 15 </w:t>
      </w:r>
      <w:r w:rsidRPr="0028531E">
        <w:rPr>
          <w:lang w:val="en-US"/>
        </w:rPr>
        <w:t xml:space="preserve">December 2001”, </w:t>
      </w:r>
      <w:hyperlink r:id="rId166" w:history="1">
        <w:r w:rsidR="00832156" w:rsidRPr="00D63F84">
          <w:rPr>
            <w:rStyle w:val="Hyperlink"/>
            <w:lang w:val="en-US"/>
          </w:rPr>
          <w:t>http://www.consilium.europa.eu/uedocs/cms_data/docs/pressdata/en/ec/68827.pdf</w:t>
        </w:r>
      </w:hyperlink>
      <w:r w:rsidR="00832156">
        <w:rPr>
          <w:lang w:val="en-US"/>
        </w:rPr>
        <w:t xml:space="preserve"> </w:t>
      </w:r>
    </w:p>
    <w:p w14:paraId="78F96F1C" w14:textId="0033F2BC" w:rsidR="000372D9" w:rsidRPr="0028531E" w:rsidRDefault="000372D9" w:rsidP="000525D7">
      <w:pPr>
        <w:rPr>
          <w:lang w:val="en-US"/>
        </w:rPr>
      </w:pPr>
      <w:r w:rsidRPr="0028531E">
        <w:rPr>
          <w:lang w:val="en-US"/>
        </w:rPr>
        <w:t xml:space="preserve">Gruber, J. and D. Wise </w:t>
      </w:r>
      <w:r w:rsidR="00832156">
        <w:rPr>
          <w:lang w:val="en-US"/>
        </w:rPr>
        <w:t xml:space="preserve">(eds.) </w:t>
      </w:r>
      <w:r w:rsidRPr="0028531E">
        <w:rPr>
          <w:lang w:val="en-US"/>
        </w:rPr>
        <w:t>(2004)</w:t>
      </w:r>
      <w:r w:rsidR="00C11C73" w:rsidRPr="0028531E">
        <w:rPr>
          <w:lang w:val="en-US"/>
        </w:rPr>
        <w:t>, “Social Security Programs and Retirement around the World. Micro-estimation”, NBER and University of Chicago Press.</w:t>
      </w:r>
    </w:p>
    <w:p w14:paraId="521159CE" w14:textId="7926FF86" w:rsidR="009E165D" w:rsidRPr="0028531E" w:rsidRDefault="009E165D" w:rsidP="000525D7">
      <w:pPr>
        <w:rPr>
          <w:lang w:val="en-US"/>
        </w:rPr>
      </w:pPr>
      <w:r w:rsidRPr="0028531E">
        <w:rPr>
          <w:lang w:val="en-US"/>
        </w:rPr>
        <w:t>Gruber, J. and D. Wise (eds.)</w:t>
      </w:r>
      <w:r w:rsidR="000372D9" w:rsidRPr="0028531E">
        <w:rPr>
          <w:lang w:val="en-US"/>
        </w:rPr>
        <w:t xml:space="preserve"> (</w:t>
      </w:r>
      <w:r w:rsidRPr="0028531E">
        <w:rPr>
          <w:lang w:val="en-US"/>
        </w:rPr>
        <w:t>2010</w:t>
      </w:r>
      <w:r w:rsidR="000372D9" w:rsidRPr="0028531E">
        <w:rPr>
          <w:lang w:val="en-US"/>
        </w:rPr>
        <w:t>)</w:t>
      </w:r>
      <w:r w:rsidRPr="0028531E">
        <w:rPr>
          <w:lang w:val="en-US"/>
        </w:rPr>
        <w:t>, “Social Security Programs and Retirement around the World. The Relationship to Youth Employment”, NBER and University of Chicago Press.</w:t>
      </w:r>
    </w:p>
    <w:p w14:paraId="4C181D4A" w14:textId="5C163E1B" w:rsidR="00AA0C7E" w:rsidRPr="0028531E" w:rsidRDefault="00AA0C7E" w:rsidP="000525D7">
      <w:pPr>
        <w:rPr>
          <w:lang w:val="en-US"/>
        </w:rPr>
      </w:pPr>
      <w:r w:rsidRPr="0028531E">
        <w:rPr>
          <w:lang w:val="en-US"/>
        </w:rPr>
        <w:t xml:space="preserve">European Commission (2012), “European Year for Active Ageing and Solidarity between Generations 2012”, </w:t>
      </w:r>
      <w:hyperlink r:id="rId167" w:history="1">
        <w:r w:rsidR="00955E65" w:rsidRPr="00832156">
          <w:rPr>
            <w:lang w:val="en-US"/>
          </w:rPr>
          <w:t>http://europa.eu/ey2012</w:t>
        </w:r>
      </w:hyperlink>
      <w:r w:rsidRPr="0028531E">
        <w:rPr>
          <w:lang w:val="en-US"/>
        </w:rPr>
        <w:t>.</w:t>
      </w:r>
    </w:p>
    <w:p w14:paraId="7FFFDBF4" w14:textId="15B0933A" w:rsidR="00955E65" w:rsidRPr="00CB0F92" w:rsidRDefault="00955E65" w:rsidP="000525D7">
      <w:r w:rsidRPr="00CB0F92">
        <w:t xml:space="preserve">Eurostat (2012), </w:t>
      </w:r>
      <w:r w:rsidR="00A503E4" w:rsidRPr="00CB0F92">
        <w:t>“</w:t>
      </w:r>
      <w:r w:rsidRPr="00CB0F92">
        <w:rPr>
          <w:bCs/>
          <w:iCs/>
        </w:rPr>
        <w:t>EU Labour Force Survey database User guide</w:t>
      </w:r>
      <w:r w:rsidR="00A503E4" w:rsidRPr="00CB0F92">
        <w:t>”</w:t>
      </w:r>
      <w:r w:rsidR="00136B78" w:rsidRPr="00CB0F92">
        <w:t>.</w:t>
      </w:r>
    </w:p>
    <w:p w14:paraId="6D5823FF" w14:textId="4E128BED" w:rsidR="009E165D" w:rsidRPr="0028531E" w:rsidRDefault="00645B78" w:rsidP="000525D7">
      <w:pPr>
        <w:rPr>
          <w:lang w:val="en-US"/>
        </w:rPr>
      </w:pPr>
      <w:r w:rsidRPr="0028531E">
        <w:rPr>
          <w:lang w:val="en-US"/>
        </w:rPr>
        <w:t xml:space="preserve">Heckman, </w:t>
      </w:r>
      <w:r w:rsidRPr="00832156">
        <w:rPr>
          <w:lang w:val="en-US"/>
        </w:rPr>
        <w:t>J. (1979), "Sample selection bias as a specification error", Econometrica 47, 1, 153–161.</w:t>
      </w:r>
    </w:p>
    <w:p w14:paraId="159B1E9F" w14:textId="77777777" w:rsidR="00B01BC0" w:rsidRDefault="00B01BC0" w:rsidP="000525D7">
      <w:pPr>
        <w:rPr>
          <w:lang w:val="en-US"/>
        </w:rPr>
      </w:pPr>
      <w:r>
        <w:rPr>
          <w:lang w:val="en-US"/>
        </w:rPr>
        <w:t>Hoynes, H., Miller, D. L. and J. Schaller (2012), “Who suffers during recessions”, Journal of Economic Perspectives, 26, 3, 27-48.</w:t>
      </w:r>
    </w:p>
    <w:p w14:paraId="6D2DC921" w14:textId="6AAF8DE2" w:rsidR="00B01BC0" w:rsidRPr="00B01BC0" w:rsidRDefault="00B01BC0" w:rsidP="000525D7">
      <w:pPr>
        <w:rPr>
          <w:lang w:val="en-US"/>
        </w:rPr>
      </w:pPr>
      <w:r>
        <w:rPr>
          <w:lang w:val="en-US"/>
        </w:rPr>
        <w:t xml:space="preserve">Laroque, G. and S. </w:t>
      </w:r>
      <w:r w:rsidRPr="00B01BC0">
        <w:rPr>
          <w:lang w:val="en-US"/>
        </w:rPr>
        <w:t xml:space="preserve">Osotimehin (2014), </w:t>
      </w:r>
      <w:r>
        <w:rPr>
          <w:lang w:val="en-US"/>
        </w:rPr>
        <w:t>“</w:t>
      </w:r>
      <w:r w:rsidRPr="00B01BC0">
        <w:rPr>
          <w:rFonts w:cs="Times New Roman"/>
          <w:lang w:val="en-GB"/>
        </w:rPr>
        <w:t>Fluctuations in hours of work and employment across age and gender</w:t>
      </w:r>
      <w:r>
        <w:rPr>
          <w:rFonts w:cs="Times New Roman"/>
          <w:lang w:val="en-GB"/>
        </w:rPr>
        <w:t>”,</w:t>
      </w:r>
      <w:r w:rsidRPr="00B01BC0">
        <w:rPr>
          <w:rFonts w:cs="Times New Roman"/>
          <w:lang w:val="en-GB"/>
        </w:rPr>
        <w:t xml:space="preserve"> I</w:t>
      </w:r>
      <w:r>
        <w:rPr>
          <w:rFonts w:cs="Times New Roman"/>
          <w:lang w:val="en-GB"/>
        </w:rPr>
        <w:t xml:space="preserve">nstitute of </w:t>
      </w:r>
      <w:r w:rsidRPr="00B01BC0">
        <w:rPr>
          <w:rFonts w:cs="Times New Roman"/>
          <w:lang w:val="en-GB"/>
        </w:rPr>
        <w:t>F</w:t>
      </w:r>
      <w:r>
        <w:rPr>
          <w:rFonts w:cs="Times New Roman"/>
          <w:lang w:val="en-GB"/>
        </w:rPr>
        <w:t xml:space="preserve">iscal </w:t>
      </w:r>
      <w:r w:rsidRPr="00B01BC0">
        <w:rPr>
          <w:rFonts w:cs="Times New Roman"/>
          <w:lang w:val="en-GB"/>
        </w:rPr>
        <w:t>S</w:t>
      </w:r>
      <w:r>
        <w:rPr>
          <w:rFonts w:cs="Times New Roman"/>
          <w:lang w:val="en-GB"/>
        </w:rPr>
        <w:t>tudies,</w:t>
      </w:r>
      <w:r w:rsidRPr="00B01BC0">
        <w:rPr>
          <w:rFonts w:cs="Times New Roman"/>
          <w:lang w:val="en-GB"/>
        </w:rPr>
        <w:t xml:space="preserve"> Working Paper W15/03</w:t>
      </w:r>
      <w:r>
        <w:rPr>
          <w:rFonts w:cs="Times New Roman"/>
          <w:lang w:val="en-GB"/>
        </w:rPr>
        <w:t>.</w:t>
      </w:r>
      <w:r w:rsidRPr="00B01BC0">
        <w:rPr>
          <w:rFonts w:cs="Times New Roman"/>
          <w:lang w:val="en-GB"/>
        </w:rPr>
        <w:t xml:space="preserve"> </w:t>
      </w:r>
    </w:p>
    <w:p w14:paraId="1AB937C1" w14:textId="2D26C714" w:rsidR="003D19F2" w:rsidRPr="0028531E" w:rsidRDefault="003D19F2" w:rsidP="000525D7">
      <w:pPr>
        <w:rPr>
          <w:lang w:val="en-US"/>
        </w:rPr>
      </w:pPr>
      <w:r w:rsidRPr="0028531E">
        <w:rPr>
          <w:lang w:val="en-US"/>
        </w:rPr>
        <w:t xml:space="preserve">Lefebvre, M. (2013), </w:t>
      </w:r>
      <w:r w:rsidR="008D437B" w:rsidRPr="0028531E">
        <w:rPr>
          <w:lang w:val="en-US"/>
        </w:rPr>
        <w:t>“Social Security and Retirement: the Relationship between Workers, Firms and Government”, Annals of Public and Cooperative Economics, 84(1), 43-61.</w:t>
      </w:r>
    </w:p>
    <w:p w14:paraId="037FA289" w14:textId="6D264F18" w:rsidR="003E6AFD" w:rsidRPr="008B2B5B" w:rsidRDefault="003E6AFD" w:rsidP="000525D7">
      <w:pPr>
        <w:rPr>
          <w:lang w:val="en-US"/>
        </w:rPr>
      </w:pPr>
      <w:r w:rsidRPr="008B2B5B">
        <w:rPr>
          <w:lang w:val="en-US"/>
        </w:rPr>
        <w:t>Steiner, V. (2015), “</w:t>
      </w:r>
      <w:r w:rsidR="008B2B5B" w:rsidRPr="008B2B5B">
        <w:rPr>
          <w:lang w:val="en-US"/>
        </w:rPr>
        <w:t>Recent labour market developments, pension reforms, and early retirement in Germany</w:t>
      </w:r>
      <w:r w:rsidRPr="008B2B5B">
        <w:rPr>
          <w:lang w:val="en-US"/>
        </w:rPr>
        <w:t xml:space="preserve">”, </w:t>
      </w:r>
      <w:r w:rsidR="008B2B5B" w:rsidRPr="008B2B5B">
        <w:rPr>
          <w:lang w:val="en-US"/>
        </w:rPr>
        <w:t>paper presented at IAB Workshop “Retirement policy reform and the labour market for older workers in a comparative perspective”, February 19-20, 2015</w:t>
      </w:r>
      <w:r w:rsidRPr="008B2B5B">
        <w:rPr>
          <w:lang w:val="en-US"/>
        </w:rPr>
        <w:t>.</w:t>
      </w:r>
    </w:p>
    <w:p w14:paraId="19C45AEB" w14:textId="5A5ADCEC" w:rsidR="004F3C46" w:rsidRDefault="008971AD" w:rsidP="000525D7">
      <w:pPr>
        <w:rPr>
          <w:lang w:val="en-US"/>
        </w:rPr>
      </w:pPr>
      <w:r w:rsidRPr="0028531E">
        <w:rPr>
          <w:lang w:val="en-US"/>
        </w:rPr>
        <w:lastRenderedPageBreak/>
        <w:t>WHO</w:t>
      </w:r>
      <w:r w:rsidR="000372D9" w:rsidRPr="0028531E">
        <w:rPr>
          <w:lang w:val="en-US"/>
        </w:rPr>
        <w:t xml:space="preserve"> (</w:t>
      </w:r>
      <w:r w:rsidRPr="0028531E">
        <w:rPr>
          <w:lang w:val="en-US"/>
        </w:rPr>
        <w:t>200</w:t>
      </w:r>
      <w:r w:rsidR="009E165D" w:rsidRPr="0028531E">
        <w:rPr>
          <w:lang w:val="en-US"/>
        </w:rPr>
        <w:t>2</w:t>
      </w:r>
      <w:r w:rsidR="000372D9" w:rsidRPr="0028531E">
        <w:rPr>
          <w:lang w:val="en-US"/>
        </w:rPr>
        <w:t>)</w:t>
      </w:r>
      <w:r w:rsidRPr="0028531E">
        <w:rPr>
          <w:lang w:val="en-US"/>
        </w:rPr>
        <w:t xml:space="preserve">, </w:t>
      </w:r>
      <w:r w:rsidR="009E165D" w:rsidRPr="0028531E">
        <w:rPr>
          <w:lang w:val="en-US"/>
        </w:rPr>
        <w:t>“</w:t>
      </w:r>
      <w:r w:rsidRPr="0028531E">
        <w:rPr>
          <w:lang w:val="en-US"/>
        </w:rPr>
        <w:t>Active Ageing: A Policy Framework, A contribution of the World Health Organization to the</w:t>
      </w:r>
      <w:r w:rsidR="009E165D" w:rsidRPr="0028531E">
        <w:rPr>
          <w:lang w:val="en-US"/>
        </w:rPr>
        <w:t xml:space="preserve"> </w:t>
      </w:r>
      <w:r w:rsidRPr="0028531E">
        <w:rPr>
          <w:lang w:val="en-US"/>
        </w:rPr>
        <w:t>Second United Nations World Assembly on Ageing</w:t>
      </w:r>
      <w:r w:rsidR="009E165D" w:rsidRPr="0028531E">
        <w:rPr>
          <w:lang w:val="en-US"/>
        </w:rPr>
        <w:t>”</w:t>
      </w:r>
      <w:r w:rsidRPr="0028531E">
        <w:rPr>
          <w:lang w:val="en-US"/>
        </w:rPr>
        <w:t>,</w:t>
      </w:r>
      <w:r w:rsidR="009E165D" w:rsidRPr="0028531E">
        <w:rPr>
          <w:lang w:val="en-US"/>
        </w:rPr>
        <w:t xml:space="preserve"> </w:t>
      </w:r>
      <w:r w:rsidR="00B02F95" w:rsidRPr="0028531E">
        <w:rPr>
          <w:lang w:val="en-US"/>
        </w:rPr>
        <w:t>Madrid, Spain</w:t>
      </w:r>
      <w:r w:rsidRPr="0028531E">
        <w:rPr>
          <w:lang w:val="en-US"/>
        </w:rPr>
        <w:t>.</w:t>
      </w:r>
    </w:p>
    <w:p w14:paraId="5864ECFA" w14:textId="17E74142" w:rsidR="00832156" w:rsidRPr="0028531E" w:rsidRDefault="00832156" w:rsidP="000525D7">
      <w:pPr>
        <w:rPr>
          <w:lang w:val="en-US"/>
        </w:rPr>
      </w:pPr>
      <w:r w:rsidRPr="0028531E">
        <w:rPr>
          <w:lang w:val="en-US"/>
        </w:rPr>
        <w:t>Wise</w:t>
      </w:r>
      <w:r>
        <w:rPr>
          <w:lang w:val="en-US"/>
        </w:rPr>
        <w:t>, D.</w:t>
      </w:r>
      <w:r w:rsidRPr="0028531E">
        <w:rPr>
          <w:lang w:val="en-US"/>
        </w:rPr>
        <w:t xml:space="preserve"> </w:t>
      </w:r>
      <w:r>
        <w:rPr>
          <w:lang w:val="en-US"/>
        </w:rPr>
        <w:t xml:space="preserve">(editor) </w:t>
      </w:r>
      <w:r w:rsidRPr="0028531E">
        <w:rPr>
          <w:lang w:val="en-US"/>
        </w:rPr>
        <w:t>(20</w:t>
      </w:r>
      <w:r>
        <w:rPr>
          <w:lang w:val="en-US"/>
        </w:rPr>
        <w:t>16</w:t>
      </w:r>
      <w:r w:rsidRPr="0028531E">
        <w:rPr>
          <w:lang w:val="en-US"/>
        </w:rPr>
        <w:t xml:space="preserve">), “Social Security Programs and Retirement around the World. </w:t>
      </w:r>
      <w:r>
        <w:rPr>
          <w:lang w:val="en-US"/>
        </w:rPr>
        <w:t>Disability Insurance Programs and Retirement</w:t>
      </w:r>
      <w:r w:rsidRPr="0028531E">
        <w:rPr>
          <w:lang w:val="en-US"/>
        </w:rPr>
        <w:t>”, NBER and University of Chicago Press.</w:t>
      </w:r>
    </w:p>
    <w:sectPr w:rsidR="00832156" w:rsidRPr="0028531E" w:rsidSect="00300E53">
      <w:footerReference w:type="default" r:id="rId168"/>
      <w:pgSz w:w="11906" w:h="16838"/>
      <w:pgMar w:top="1418" w:right="1418" w:bottom="1418" w:left="1418" w:header="709" w:footer="709"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4B73FD" w15:done="0"/>
  <w15:commentEx w15:paraId="412A0E02" w15:done="0"/>
  <w15:commentEx w15:paraId="3A0050F4" w15:done="0"/>
  <w15:commentEx w15:paraId="6FDEE8F8" w15:paraIdParent="3A0050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08035" w14:textId="77777777" w:rsidR="00F64D04" w:rsidRDefault="00F64D04" w:rsidP="00A74344">
      <w:pPr>
        <w:spacing w:after="0" w:line="240" w:lineRule="auto"/>
      </w:pPr>
      <w:r>
        <w:separator/>
      </w:r>
    </w:p>
  </w:endnote>
  <w:endnote w:type="continuationSeparator" w:id="0">
    <w:p w14:paraId="30D4885C" w14:textId="77777777" w:rsidR="00F64D04" w:rsidRDefault="00F64D04" w:rsidP="00A7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519176"/>
      <w:docPartObj>
        <w:docPartGallery w:val="Page Numbers (Bottom of Page)"/>
        <w:docPartUnique/>
      </w:docPartObj>
    </w:sdtPr>
    <w:sdtEndPr>
      <w:rPr>
        <w:noProof/>
      </w:rPr>
    </w:sdtEndPr>
    <w:sdtContent>
      <w:p w14:paraId="6223B9D0" w14:textId="7B8144A9" w:rsidR="005F5A14" w:rsidRDefault="005F5A14">
        <w:pPr>
          <w:pStyle w:val="Footer"/>
          <w:jc w:val="right"/>
        </w:pPr>
        <w:r>
          <w:fldChar w:fldCharType="begin"/>
        </w:r>
        <w:r>
          <w:instrText xml:space="preserve"> PAGE   \* MERGEFORMAT </w:instrText>
        </w:r>
        <w:r>
          <w:fldChar w:fldCharType="separate"/>
        </w:r>
        <w:r w:rsidR="00731691">
          <w:rPr>
            <w:noProof/>
          </w:rPr>
          <w:t>1</w:t>
        </w:r>
        <w:r>
          <w:rPr>
            <w:noProof/>
          </w:rPr>
          <w:fldChar w:fldCharType="end"/>
        </w:r>
      </w:p>
    </w:sdtContent>
  </w:sdt>
  <w:p w14:paraId="653349CE" w14:textId="77777777" w:rsidR="005F5A14" w:rsidRDefault="005F5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169DA" w14:textId="77777777" w:rsidR="00F64D04" w:rsidRDefault="00F64D04" w:rsidP="00A74344">
      <w:pPr>
        <w:spacing w:after="0" w:line="240" w:lineRule="auto"/>
      </w:pPr>
      <w:r>
        <w:separator/>
      </w:r>
    </w:p>
  </w:footnote>
  <w:footnote w:type="continuationSeparator" w:id="0">
    <w:p w14:paraId="5ADE7C00" w14:textId="77777777" w:rsidR="00F64D04" w:rsidRDefault="00F64D04" w:rsidP="00A74344">
      <w:pPr>
        <w:spacing w:after="0" w:line="240" w:lineRule="auto"/>
      </w:pPr>
      <w:r>
        <w:continuationSeparator/>
      </w:r>
    </w:p>
  </w:footnote>
  <w:footnote w:id="1">
    <w:p w14:paraId="006F1C77" w14:textId="77777777" w:rsidR="005F5A14" w:rsidRPr="00E80446" w:rsidRDefault="005F5A14" w:rsidP="00DC3104">
      <w:pPr>
        <w:pStyle w:val="FootnoteText"/>
        <w:rPr>
          <w:rFonts w:cs="Times New Roman"/>
          <w:lang w:val="en-US"/>
        </w:rPr>
      </w:pPr>
      <w:r w:rsidRPr="00E80446">
        <w:rPr>
          <w:rStyle w:val="FootnoteReference"/>
          <w:rFonts w:cs="Times New Roman"/>
          <w:lang w:val="en-US"/>
        </w:rPr>
        <w:footnoteRef/>
      </w:r>
      <w:r w:rsidRPr="00E80446">
        <w:rPr>
          <w:rFonts w:cs="Times New Roman"/>
          <w:lang w:val="en-US"/>
        </w:rPr>
        <w:t xml:space="preserve"> Active ageing means keeping professional or non-professional activities. Moreover, in a recent study, </w:t>
      </w:r>
      <w:proofErr w:type="spellStart"/>
      <w:r w:rsidRPr="00E80446">
        <w:rPr>
          <w:rFonts w:cs="Times New Roman"/>
          <w:lang w:val="en-US"/>
        </w:rPr>
        <w:t>Bonsang</w:t>
      </w:r>
      <w:proofErr w:type="spellEnd"/>
      <w:r w:rsidRPr="00E80446">
        <w:rPr>
          <w:rFonts w:cs="Times New Roman"/>
          <w:lang w:val="en-US"/>
        </w:rPr>
        <w:t xml:space="preserve"> et al (2012), found a positive correlation between early retirement and cognitive decline.</w:t>
      </w:r>
    </w:p>
  </w:footnote>
  <w:footnote w:id="2">
    <w:p w14:paraId="21FCAB7E" w14:textId="77777777" w:rsidR="005F5A14" w:rsidRPr="00E80446" w:rsidRDefault="005F5A14" w:rsidP="00AC2C49">
      <w:pPr>
        <w:pStyle w:val="FootnoteText"/>
        <w:rPr>
          <w:lang w:val="en-US"/>
        </w:rPr>
      </w:pPr>
      <w:r w:rsidRPr="00E80446">
        <w:rPr>
          <w:rStyle w:val="FootnoteReference"/>
          <w:lang w:val="en-US"/>
        </w:rPr>
        <w:footnoteRef/>
      </w:r>
      <w:r w:rsidRPr="00E80446">
        <w:rPr>
          <w:lang w:val="en-US"/>
        </w:rPr>
        <w:t xml:space="preserve"> The OMC was introduced by the European Council (2000) as part of the Lisbon Strategy and included the improvement of women’s employment to a rate of 60% or more as a goal for member countries in 2010. One year later, the European Council (2001) established an extended list of indicators in the field of social inclusion and social protection (</w:t>
      </w:r>
      <w:proofErr w:type="spellStart"/>
      <w:r w:rsidRPr="00E80446">
        <w:rPr>
          <w:lang w:val="en-US"/>
        </w:rPr>
        <w:t>Laeken</w:t>
      </w:r>
      <w:proofErr w:type="spellEnd"/>
      <w:r w:rsidRPr="00E80446">
        <w:rPr>
          <w:lang w:val="en-US"/>
        </w:rPr>
        <w:t xml:space="preserve"> indicators) and new OMC goals. One of them – a pension sustainability indicator – targeted the increase of the ER of the 55 to 64 years old to 50% or more.</w:t>
      </w:r>
    </w:p>
  </w:footnote>
  <w:footnote w:id="3">
    <w:p w14:paraId="0B2BE63C" w14:textId="09427971" w:rsidR="005F5A14" w:rsidRPr="00E80446" w:rsidRDefault="005F5A14" w:rsidP="00962DFA">
      <w:pPr>
        <w:pStyle w:val="FootnoteText"/>
        <w:rPr>
          <w:rFonts w:cs="Times New Roman"/>
          <w:lang w:val="en-US"/>
        </w:rPr>
      </w:pPr>
      <w:r w:rsidRPr="00E80446">
        <w:rPr>
          <w:rStyle w:val="FootnoteReference"/>
          <w:rFonts w:cs="Times New Roman"/>
          <w:lang w:val="en-US"/>
        </w:rPr>
        <w:footnoteRef/>
      </w:r>
      <w:r w:rsidRPr="00E80446">
        <w:rPr>
          <w:rFonts w:cs="Times New Roman"/>
          <w:lang w:val="en-US"/>
        </w:rPr>
        <w:t xml:space="preserve"> For a test and the rejection of the fixed labor demand hypothesis see Gruber and Wise (2010). Lefebvre (2013) provides an overview of the roles of employers, workers and the government in shaping the early retirement pathways in Belgium.</w:t>
      </w:r>
    </w:p>
  </w:footnote>
  <w:footnote w:id="4">
    <w:p w14:paraId="767A2FA8" w14:textId="5F8BEC54" w:rsidR="005F5A14" w:rsidRPr="00E80446" w:rsidRDefault="005F5A14" w:rsidP="00A45A62">
      <w:pPr>
        <w:pStyle w:val="FootnoteText"/>
        <w:rPr>
          <w:lang w:val="en-US"/>
        </w:rPr>
      </w:pPr>
      <w:r w:rsidRPr="00E80446">
        <w:rPr>
          <w:rStyle w:val="FootnoteReference"/>
          <w:lang w:val="en-US"/>
        </w:rPr>
        <w:footnoteRef/>
      </w:r>
      <w:r w:rsidRPr="00E80446">
        <w:rPr>
          <w:lang w:val="en-US"/>
        </w:rPr>
        <w:t xml:space="preserve"> </w:t>
      </w:r>
      <w:r>
        <w:rPr>
          <w:lang w:val="en-US"/>
        </w:rPr>
        <w:t xml:space="preserve">Employment and hours of work data are from the </w:t>
      </w:r>
      <w:r w:rsidRPr="00E80446">
        <w:rPr>
          <w:lang w:val="en-US"/>
        </w:rPr>
        <w:t>EU-LFS microdata</w:t>
      </w:r>
      <w:r>
        <w:rPr>
          <w:lang w:val="en-US"/>
        </w:rPr>
        <w:t xml:space="preserve">, a large-scale survey dataset that has been collected in a harmonized way since 1983. EU-LFS data series </w:t>
      </w:r>
      <w:r w:rsidRPr="00E80446">
        <w:rPr>
          <w:lang w:val="en-US"/>
        </w:rPr>
        <w:t xml:space="preserve">are complete for Belgium and France (1983 to 2011) but incomplete for </w:t>
      </w:r>
      <w:r>
        <w:rPr>
          <w:lang w:val="en-US"/>
        </w:rPr>
        <w:t>T</w:t>
      </w:r>
      <w:r w:rsidRPr="00E80446">
        <w:rPr>
          <w:lang w:val="en-US"/>
        </w:rPr>
        <w:t>he Netherlands (starting in 1987) and for Germany (starting in 2001).</w:t>
      </w:r>
    </w:p>
  </w:footnote>
  <w:footnote w:id="5">
    <w:p w14:paraId="50F4588F" w14:textId="77777777" w:rsidR="005F5A14" w:rsidRPr="00E80446" w:rsidRDefault="005F5A14" w:rsidP="000525D7">
      <w:pPr>
        <w:pStyle w:val="FootnoteText"/>
        <w:rPr>
          <w:lang w:val="en-US"/>
        </w:rPr>
      </w:pPr>
      <w:r w:rsidRPr="00E80446">
        <w:rPr>
          <w:rStyle w:val="FootnoteReference"/>
          <w:lang w:val="en-US"/>
        </w:rPr>
        <w:footnoteRef/>
      </w:r>
      <w:r w:rsidRPr="00E80446">
        <w:rPr>
          <w:lang w:val="en-US"/>
        </w:rPr>
        <w:t xml:space="preserve"> </w:t>
      </w:r>
      <w:r w:rsidRPr="00E80446">
        <w:rPr>
          <w:rFonts w:cs="Times New Roman"/>
          <w:lang w:val="en-US"/>
        </w:rPr>
        <w:t>A finer breakdown of age is not possible as in EU-LFS data age is only available in 5-year brackets.</w:t>
      </w:r>
    </w:p>
  </w:footnote>
  <w:footnote w:id="6">
    <w:p w14:paraId="6117BD5F" w14:textId="37C762EC" w:rsidR="005F5A14" w:rsidRPr="00E80446" w:rsidRDefault="005F5A14">
      <w:pPr>
        <w:pStyle w:val="FootnoteText"/>
        <w:rPr>
          <w:lang w:val="en-US"/>
        </w:rPr>
      </w:pPr>
      <w:r w:rsidRPr="00E80446">
        <w:rPr>
          <w:rStyle w:val="FootnoteReference"/>
          <w:lang w:val="en-US"/>
        </w:rPr>
        <w:footnoteRef/>
      </w:r>
      <w:r w:rsidRPr="00E80446">
        <w:rPr>
          <w:lang w:val="en-US"/>
        </w:rPr>
        <w:t xml:space="preserve"> </w:t>
      </w:r>
      <w:r w:rsidRPr="00E80446">
        <w:rPr>
          <w:rFonts w:cs="Times New Roman"/>
          <w:lang w:val="en-US"/>
        </w:rPr>
        <w:t>Given the 5-year age brackets inherited from the EU-LFS data, our choice of 5-year sub-periods is convenient de facto allowing a tracing of cohorts across time (e.g., those 50-54 in 1997-2001 are aged 55-59 in 2002-2006).</w:t>
      </w:r>
    </w:p>
  </w:footnote>
  <w:footnote w:id="7">
    <w:p w14:paraId="3CF9F5C8" w14:textId="77777777" w:rsidR="005F5A14" w:rsidRPr="00E80446" w:rsidRDefault="005F5A14" w:rsidP="00E03AB9">
      <w:pPr>
        <w:pStyle w:val="FootnoteText"/>
        <w:rPr>
          <w:lang w:val="en-US"/>
        </w:rPr>
      </w:pPr>
      <w:r w:rsidRPr="00E80446">
        <w:rPr>
          <w:rStyle w:val="FootnoteReference"/>
          <w:lang w:val="en-US"/>
        </w:rPr>
        <w:footnoteRef/>
      </w:r>
      <w:r w:rsidRPr="00E80446">
        <w:rPr>
          <w:lang w:val="en-US"/>
        </w:rPr>
        <w:t xml:space="preserve"> </w:t>
      </w:r>
      <w:r w:rsidRPr="00E80446">
        <w:rPr>
          <w:rFonts w:cs="Times New Roman"/>
          <w:lang w:val="en-US"/>
        </w:rPr>
        <w:t>Steiner (2015) observed the same evolution in 60-64 years old ER in Germany using the Socioeconomic Panel (SOEP) data.</w:t>
      </w:r>
    </w:p>
  </w:footnote>
  <w:footnote w:id="8">
    <w:p w14:paraId="1F85E66A" w14:textId="63E6EDA7" w:rsidR="005F5A14" w:rsidRPr="00E80446" w:rsidRDefault="005F5A14">
      <w:pPr>
        <w:pStyle w:val="FootnoteText"/>
        <w:rPr>
          <w:lang w:val="en-US"/>
        </w:rPr>
      </w:pPr>
      <w:r w:rsidRPr="00E80446">
        <w:rPr>
          <w:rStyle w:val="FootnoteReference"/>
          <w:lang w:val="en-US"/>
        </w:rPr>
        <w:footnoteRef/>
      </w:r>
      <w:r w:rsidRPr="00E80446">
        <w:rPr>
          <w:lang w:val="en-US"/>
        </w:rPr>
        <w:t xml:space="preserve"> In what follows we will discuss the effects for ages 55+ only, as the age group 50-54 is more of a knife-edge situation</w:t>
      </w:r>
      <w:r w:rsidRPr="00E80446">
        <w:rPr>
          <w:rFonts w:cs="Times New Roman"/>
          <w:lang w:val="en-US"/>
        </w:rPr>
        <w:t>.</w:t>
      </w:r>
    </w:p>
  </w:footnote>
  <w:footnote w:id="9">
    <w:p w14:paraId="1E5D070F" w14:textId="020771AC" w:rsidR="005F5A14" w:rsidRPr="00E80446" w:rsidRDefault="005F5A14" w:rsidP="00D7593B">
      <w:pPr>
        <w:pStyle w:val="FootnoteText"/>
        <w:jc w:val="both"/>
        <w:rPr>
          <w:rFonts w:cs="Times New Roman"/>
          <w:lang w:val="en-US"/>
        </w:rPr>
      </w:pPr>
      <w:r w:rsidRPr="00E80446">
        <w:rPr>
          <w:rStyle w:val="FootnoteReference"/>
          <w:rFonts w:cs="Times New Roman"/>
          <w:lang w:val="en-US"/>
        </w:rPr>
        <w:footnoteRef/>
      </w:r>
      <w:r w:rsidRPr="00E80446">
        <w:rPr>
          <w:rFonts w:cs="Times New Roman"/>
          <w:lang w:val="en-US"/>
        </w:rPr>
        <w:t xml:space="preserve"> Employment is as defined by the derived variable ILOSTAT in the EU-LFS (Eurostat, 2012) – essentially work effort of at least 1 hour during a reference period</w:t>
      </w:r>
      <w:r>
        <w:rPr>
          <w:rFonts w:cs="Times New Roman"/>
          <w:lang w:val="en-US"/>
        </w:rPr>
        <w:t xml:space="preserve"> (last week)</w:t>
      </w:r>
      <w:r w:rsidRPr="00E80446">
        <w:rPr>
          <w:rFonts w:cs="Times New Roman"/>
          <w:lang w:val="en-US"/>
        </w:rPr>
        <w:t xml:space="preserve">. </w:t>
      </w:r>
    </w:p>
  </w:footnote>
  <w:footnote w:id="10">
    <w:p w14:paraId="061880A9" w14:textId="2FFE4252" w:rsidR="005F5A14" w:rsidRPr="00E80446" w:rsidRDefault="005F5A14" w:rsidP="00F81DCF">
      <w:pPr>
        <w:pStyle w:val="FootnoteText"/>
        <w:jc w:val="both"/>
        <w:rPr>
          <w:rFonts w:cs="Times New Roman"/>
          <w:lang w:val="en-US"/>
        </w:rPr>
      </w:pPr>
      <w:r w:rsidRPr="00E80446">
        <w:rPr>
          <w:rStyle w:val="FootnoteReference"/>
          <w:rFonts w:cs="Times New Roman"/>
          <w:lang w:val="en-US"/>
        </w:rPr>
        <w:footnoteRef/>
      </w:r>
      <w:r w:rsidRPr="00E80446">
        <w:rPr>
          <w:rFonts w:cs="Times New Roman"/>
          <w:lang w:val="en-US"/>
        </w:rPr>
        <w:t xml:space="preserve"> A finer breakdown of the category of people born abroad between those born in EU-15, the rest of the EU and outside of EU would be preferable. However, the relevant indicators cannot be traced harmoniously across time as the EU-LFS data and methodology reflect the change from 15 to 27 members during the period under study, with sample size further limiting such breakdowns into subgroups.</w:t>
      </w:r>
    </w:p>
  </w:footnote>
  <w:footnote w:id="11">
    <w:p w14:paraId="5D043DB9" w14:textId="4A18C0EE" w:rsidR="005F5A14" w:rsidRPr="00E80446" w:rsidRDefault="005F5A14">
      <w:pPr>
        <w:pStyle w:val="FootnoteText"/>
        <w:rPr>
          <w:lang w:val="en-US"/>
        </w:rPr>
      </w:pPr>
      <w:r w:rsidRPr="00E80446">
        <w:rPr>
          <w:rStyle w:val="FootnoteReference"/>
          <w:lang w:val="en-US"/>
        </w:rPr>
        <w:footnoteRef/>
      </w:r>
      <w:r w:rsidRPr="00E80446">
        <w:rPr>
          <w:lang w:val="en-US"/>
        </w:rPr>
        <w:t xml:space="preserve"> Unmarried is defined as the residual category. </w:t>
      </w:r>
    </w:p>
  </w:footnote>
  <w:footnote w:id="12">
    <w:p w14:paraId="25CDDC3F" w14:textId="49FAB793" w:rsidR="005F5A14" w:rsidRPr="00E80446" w:rsidRDefault="005F5A14">
      <w:pPr>
        <w:pStyle w:val="FootnoteText"/>
        <w:rPr>
          <w:lang w:val="en-US"/>
        </w:rPr>
      </w:pPr>
      <w:r w:rsidRPr="00E80446">
        <w:rPr>
          <w:rStyle w:val="FootnoteReference"/>
          <w:lang w:val="en-US"/>
        </w:rPr>
        <w:footnoteRef/>
      </w:r>
      <w:r w:rsidRPr="00E80446">
        <w:rPr>
          <w:lang w:val="en-US"/>
        </w:rPr>
        <w:t xml:space="preserve"> </w:t>
      </w:r>
      <w:r w:rsidRPr="00E80446">
        <w:rPr>
          <w:rFonts w:cs="Times New Roman"/>
          <w:lang w:val="en-US"/>
        </w:rPr>
        <w:t>For Germany, we performed sensitivity analysis by restricting the sample to Western Germany – with substantially unchanged results.</w:t>
      </w:r>
    </w:p>
  </w:footnote>
  <w:footnote w:id="13">
    <w:p w14:paraId="41B349BF" w14:textId="577D92F7" w:rsidR="005F5A14" w:rsidRPr="00E80446" w:rsidRDefault="005F5A14">
      <w:pPr>
        <w:pStyle w:val="FootnoteText"/>
        <w:rPr>
          <w:rFonts w:cs="Times New Roman"/>
          <w:lang w:val="en-US"/>
        </w:rPr>
      </w:pPr>
      <w:r w:rsidRPr="00E80446">
        <w:rPr>
          <w:rStyle w:val="FootnoteReference"/>
          <w:rFonts w:cs="Times New Roman"/>
          <w:lang w:val="en-US"/>
        </w:rPr>
        <w:footnoteRef/>
      </w:r>
      <w:r w:rsidRPr="00E80446">
        <w:rPr>
          <w:rFonts w:cs="Times New Roman"/>
          <w:lang w:val="en-US"/>
        </w:rPr>
        <w:t xml:space="preserve"> Note that we use the same parameter notation for </w:t>
      </w:r>
      <w:proofErr w:type="spellStart"/>
      <w:r w:rsidRPr="00E80446">
        <w:rPr>
          <w:rFonts w:cs="Times New Roman"/>
          <w:lang w:val="en-US"/>
        </w:rPr>
        <w:t>probit</w:t>
      </w:r>
      <w:proofErr w:type="spellEnd"/>
      <w:r w:rsidRPr="00E80446">
        <w:rPr>
          <w:rFonts w:cs="Times New Roman"/>
          <w:lang w:val="en-US"/>
        </w:rPr>
        <w:t xml:space="preserve"> models (equations 1 and 2) and for OLS models (equations 4 and 5) for simplification purposes.</w:t>
      </w:r>
    </w:p>
  </w:footnote>
  <w:footnote w:id="14">
    <w:p w14:paraId="5DEB801E" w14:textId="57C39003" w:rsidR="005F5A14" w:rsidRPr="00E80446" w:rsidRDefault="005F5A14">
      <w:pPr>
        <w:pStyle w:val="FootnoteText"/>
        <w:rPr>
          <w:rFonts w:cs="Times New Roman"/>
          <w:lang w:val="en-US"/>
        </w:rPr>
      </w:pPr>
      <w:r w:rsidRPr="00E80446">
        <w:rPr>
          <w:rStyle w:val="FootnoteReference"/>
          <w:rFonts w:cs="Times New Roman"/>
          <w:lang w:val="en-US"/>
        </w:rPr>
        <w:footnoteRef/>
      </w:r>
      <w:r w:rsidRPr="00E80446">
        <w:rPr>
          <w:rFonts w:cs="Times New Roman"/>
          <w:lang w:val="en-US"/>
        </w:rPr>
        <w:t xml:space="preserve"> We also estimated the same Heckman selection models including the marital status dummy variables. Results were in most cases very close to those presented here. </w:t>
      </w:r>
    </w:p>
  </w:footnote>
  <w:footnote w:id="15">
    <w:p w14:paraId="2621F43D" w14:textId="787EA225" w:rsidR="005F5A14" w:rsidRPr="00E80446" w:rsidRDefault="005F5A14">
      <w:pPr>
        <w:pStyle w:val="FootnoteText"/>
        <w:rPr>
          <w:lang w:val="en-US"/>
        </w:rPr>
      </w:pPr>
      <w:r w:rsidRPr="00E80446">
        <w:rPr>
          <w:rStyle w:val="FootnoteReference"/>
          <w:lang w:val="en-US"/>
        </w:rPr>
        <w:footnoteRef/>
      </w:r>
      <w:r w:rsidRPr="00E80446">
        <w:rPr>
          <w:lang w:val="en-US"/>
        </w:rPr>
        <w:t xml:space="preserve"> </w:t>
      </w:r>
      <w:r w:rsidRPr="00E80446">
        <w:rPr>
          <w:rFonts w:cs="Times New Roman"/>
          <w:lang w:val="en-US"/>
        </w:rPr>
        <w:t>For Germany, we again performed sensitivity analysis by restricting the sample to Western Germany – with substantially unchanged results.</w:t>
      </w:r>
    </w:p>
  </w:footnote>
  <w:footnote w:id="16">
    <w:p w14:paraId="314B4D31" w14:textId="2ACAEAC3" w:rsidR="005F5A14" w:rsidRPr="00E80446" w:rsidRDefault="005F5A14" w:rsidP="00337062">
      <w:pPr>
        <w:pStyle w:val="FootnoteText"/>
        <w:rPr>
          <w:lang w:val="en-US"/>
        </w:rPr>
      </w:pPr>
      <w:r w:rsidRPr="00E80446">
        <w:rPr>
          <w:rStyle w:val="FootnoteReference"/>
          <w:lang w:val="en-US"/>
        </w:rPr>
        <w:footnoteRef/>
      </w:r>
      <w:r w:rsidRPr="00E80446">
        <w:rPr>
          <w:lang w:val="en-US"/>
        </w:rPr>
        <w:t xml:space="preserve"> Notice that the total hours concept used does not include changes in the size of the age-sex group itself. Hence mere increases in the size – as opposed to the composition – of the demographic group would have to be added when evaluating revenue implications of total hours of work changes for tax or social insurance administrations.</w:t>
      </w:r>
    </w:p>
  </w:footnote>
  <w:footnote w:id="17">
    <w:p w14:paraId="33A463E6" w14:textId="77777777" w:rsidR="005F5A14" w:rsidRPr="00E80446" w:rsidRDefault="005F5A14" w:rsidP="005C7E1C">
      <w:pPr>
        <w:pStyle w:val="FootnoteText"/>
        <w:rPr>
          <w:lang w:val="en-US"/>
        </w:rPr>
      </w:pPr>
      <w:r w:rsidRPr="00E80446">
        <w:rPr>
          <w:rStyle w:val="FootnoteReference"/>
          <w:lang w:val="en-US"/>
        </w:rPr>
        <w:footnoteRef/>
      </w:r>
      <w:r w:rsidRPr="00E80446">
        <w:rPr>
          <w:lang w:val="en-US"/>
        </w:rPr>
        <w:t xml:space="preserve"> In what follows we present the derivation of a </w:t>
      </w:r>
      <w:proofErr w:type="spellStart"/>
      <w:r w:rsidRPr="00E80446">
        <w:rPr>
          <w:lang w:val="en-US"/>
        </w:rPr>
        <w:t>Laspeyres</w:t>
      </w:r>
      <w:proofErr w:type="spellEnd"/>
      <w:r w:rsidRPr="00E80446">
        <w:rPr>
          <w:lang w:val="en-US"/>
        </w:rPr>
        <w:t xml:space="preserve"> index, using period </w:t>
      </w:r>
      <w:r w:rsidRPr="00E80446">
        <w:rPr>
          <w:i/>
          <w:lang w:val="en-US"/>
        </w:rPr>
        <w:t>p-1</w:t>
      </w:r>
      <w:r w:rsidRPr="00E80446">
        <w:rPr>
          <w:lang w:val="en-US"/>
        </w:rPr>
        <w:t xml:space="preserve"> as reference. The computation of the </w:t>
      </w:r>
      <w:proofErr w:type="spellStart"/>
      <w:r w:rsidRPr="00E80446">
        <w:rPr>
          <w:lang w:val="en-US"/>
        </w:rPr>
        <w:t>Paasche</w:t>
      </w:r>
      <w:proofErr w:type="spellEnd"/>
      <w:r w:rsidRPr="00E80446">
        <w:rPr>
          <w:lang w:val="en-US"/>
        </w:rPr>
        <w:t xml:space="preserve"> index, with period </w:t>
      </w:r>
      <w:r w:rsidRPr="00E80446">
        <w:rPr>
          <w:i/>
          <w:lang w:val="en-US"/>
        </w:rPr>
        <w:t>p</w:t>
      </w:r>
      <w:r w:rsidRPr="00E80446">
        <w:rPr>
          <w:lang w:val="en-US"/>
        </w:rPr>
        <w:t xml:space="preserve"> as reference, is straightforward. Results reported in Table 7 correspond to the weighted Fisher index, i.e., the geometric mean of the </w:t>
      </w:r>
      <w:proofErr w:type="spellStart"/>
      <w:r w:rsidRPr="00E80446">
        <w:rPr>
          <w:lang w:val="en-US"/>
        </w:rPr>
        <w:t>Laspeyres</w:t>
      </w:r>
      <w:proofErr w:type="spellEnd"/>
      <w:r w:rsidRPr="00E80446">
        <w:rPr>
          <w:lang w:val="en-US"/>
        </w:rPr>
        <w:t xml:space="preserve"> and </w:t>
      </w:r>
      <w:proofErr w:type="spellStart"/>
      <w:r w:rsidRPr="00E80446">
        <w:rPr>
          <w:lang w:val="en-US"/>
        </w:rPr>
        <w:t>Paasche</w:t>
      </w:r>
      <w:proofErr w:type="spellEnd"/>
      <w:r w:rsidRPr="00E80446">
        <w:rPr>
          <w:lang w:val="en-US"/>
        </w:rPr>
        <w:t xml:space="preserve"> indexes, to correct for sample bias and to neutralize the effect of the choice of a specific reference period.</w:t>
      </w:r>
      <w:r>
        <w:rPr>
          <w:lang w:val="en-US"/>
        </w:rPr>
        <w:t xml:space="preserve"> We further present the changes in ER and in hours of work in ratio form and not in absolute differences.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1E39"/>
    <w:multiLevelType w:val="multilevel"/>
    <w:tmpl w:val="154C5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nsid w:val="0591422A"/>
    <w:multiLevelType w:val="hybridMultilevel"/>
    <w:tmpl w:val="8F702C70"/>
    <w:lvl w:ilvl="0" w:tplc="7B34D54E">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2C7C"/>
    <w:multiLevelType w:val="multilevel"/>
    <w:tmpl w:val="154C5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7713573"/>
    <w:multiLevelType w:val="hybridMultilevel"/>
    <w:tmpl w:val="912A9256"/>
    <w:lvl w:ilvl="0" w:tplc="10BAF370">
      <w:start w:val="1"/>
      <w:numFmt w:val="bullet"/>
      <w:lvlText w:val="-"/>
      <w:lvlJc w:val="left"/>
      <w:pPr>
        <w:ind w:left="1080" w:hanging="360"/>
      </w:pPr>
      <w:rPr>
        <w:rFonts w:ascii="Calibri" w:eastAsiaTheme="minorHAnsi" w:hAnsi="Calibri" w:cs="Calibri"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4">
    <w:nsid w:val="08363CC3"/>
    <w:multiLevelType w:val="hybridMultilevel"/>
    <w:tmpl w:val="808E6A82"/>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09FE7C20"/>
    <w:multiLevelType w:val="hybridMultilevel"/>
    <w:tmpl w:val="14148BC2"/>
    <w:lvl w:ilvl="0" w:tplc="7632ECF4">
      <w:start w:val="15"/>
      <w:numFmt w:val="bullet"/>
      <w:lvlText w:val=""/>
      <w:lvlJc w:val="left"/>
      <w:pPr>
        <w:ind w:left="720" w:hanging="360"/>
      </w:pPr>
      <w:rPr>
        <w:rFonts w:ascii="Symbol" w:eastAsiaTheme="minorHAnsi" w:hAnsi="Symbol" w:cstheme="minorBidi" w:hint="default"/>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A0504ED"/>
    <w:multiLevelType w:val="hybridMultilevel"/>
    <w:tmpl w:val="CCC41DC8"/>
    <w:lvl w:ilvl="0" w:tplc="A660477C">
      <w:start w:val="15"/>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0AD549C3"/>
    <w:multiLevelType w:val="multilevel"/>
    <w:tmpl w:val="FCC00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26741E"/>
    <w:multiLevelType w:val="hybridMultilevel"/>
    <w:tmpl w:val="306E6684"/>
    <w:lvl w:ilvl="0" w:tplc="B85E8C1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F6B46"/>
    <w:multiLevelType w:val="hybridMultilevel"/>
    <w:tmpl w:val="A4EC805C"/>
    <w:lvl w:ilvl="0" w:tplc="251ACE66">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1C9E12EB"/>
    <w:multiLevelType w:val="multilevel"/>
    <w:tmpl w:val="CE08A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887BB7"/>
    <w:multiLevelType w:val="hybridMultilevel"/>
    <w:tmpl w:val="53A41A6E"/>
    <w:lvl w:ilvl="0" w:tplc="F3604ABA">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ED2F18"/>
    <w:multiLevelType w:val="hybridMultilevel"/>
    <w:tmpl w:val="0A7473A6"/>
    <w:lvl w:ilvl="0" w:tplc="0678A770">
      <w:start w:val="15"/>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202611EA"/>
    <w:multiLevelType w:val="multilevel"/>
    <w:tmpl w:val="154C5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nsid w:val="263C753B"/>
    <w:multiLevelType w:val="multilevel"/>
    <w:tmpl w:val="154C5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nsid w:val="2A0543C4"/>
    <w:multiLevelType w:val="hybridMultilevel"/>
    <w:tmpl w:val="CC64D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94A03"/>
    <w:multiLevelType w:val="hybridMultilevel"/>
    <w:tmpl w:val="B59CD876"/>
    <w:lvl w:ilvl="0" w:tplc="A86266C2">
      <w:start w:val="15"/>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36004C22"/>
    <w:multiLevelType w:val="multilevel"/>
    <w:tmpl w:val="F97A46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3CE08EF"/>
    <w:multiLevelType w:val="multilevel"/>
    <w:tmpl w:val="154C5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46C65C7A"/>
    <w:multiLevelType w:val="hybridMultilevel"/>
    <w:tmpl w:val="98F0DC00"/>
    <w:lvl w:ilvl="0" w:tplc="ED26586C">
      <w:start w:val="1"/>
      <w:numFmt w:val="bullet"/>
      <w:lvlText w:val="-"/>
      <w:lvlJc w:val="left"/>
      <w:pPr>
        <w:ind w:left="720" w:hanging="360"/>
      </w:pPr>
      <w:rPr>
        <w:rFonts w:ascii="Calibri Light" w:eastAsiaTheme="majorEastAsia" w:hAnsi="Calibri Light" w:cstheme="maj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48E53710"/>
    <w:multiLevelType w:val="hybridMultilevel"/>
    <w:tmpl w:val="7DD27A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4C8A0682"/>
    <w:multiLevelType w:val="hybridMultilevel"/>
    <w:tmpl w:val="CACEB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C13864"/>
    <w:multiLevelType w:val="hybridMultilevel"/>
    <w:tmpl w:val="829C2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2F22AF"/>
    <w:multiLevelType w:val="hybridMultilevel"/>
    <w:tmpl w:val="CD4C57E0"/>
    <w:lvl w:ilvl="0" w:tplc="5194340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5A00BE"/>
    <w:multiLevelType w:val="hybridMultilevel"/>
    <w:tmpl w:val="70C844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535B7F78"/>
    <w:multiLevelType w:val="hybridMultilevel"/>
    <w:tmpl w:val="32F4046C"/>
    <w:lvl w:ilvl="0" w:tplc="5194340C">
      <w:start w:val="4"/>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55F31357"/>
    <w:multiLevelType w:val="hybridMultilevel"/>
    <w:tmpl w:val="58D07FAA"/>
    <w:lvl w:ilvl="0" w:tplc="03D413A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EE6F2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98A1B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DA00F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76195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9A9F5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322DB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A0DEE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B2D4F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nsid w:val="585162CF"/>
    <w:multiLevelType w:val="multilevel"/>
    <w:tmpl w:val="C99CF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B051A4F"/>
    <w:multiLevelType w:val="multilevel"/>
    <w:tmpl w:val="B4C46B4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nsid w:val="5B20351E"/>
    <w:multiLevelType w:val="multilevel"/>
    <w:tmpl w:val="6AA01A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0531919"/>
    <w:multiLevelType w:val="multilevel"/>
    <w:tmpl w:val="B4C46B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717253C"/>
    <w:multiLevelType w:val="hybridMultilevel"/>
    <w:tmpl w:val="E05478A0"/>
    <w:lvl w:ilvl="0" w:tplc="080C000F">
      <w:start w:val="4"/>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2">
    <w:nsid w:val="6CAE2A76"/>
    <w:multiLevelType w:val="multilevel"/>
    <w:tmpl w:val="154C5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3">
    <w:nsid w:val="761D149C"/>
    <w:multiLevelType w:val="hybridMultilevel"/>
    <w:tmpl w:val="B4A494AC"/>
    <w:lvl w:ilvl="0" w:tplc="C6206554">
      <w:start w:val="6"/>
      <w:numFmt w:val="bullet"/>
      <w:lvlText w:val="-"/>
      <w:lvlJc w:val="left"/>
      <w:pPr>
        <w:ind w:left="720" w:hanging="360"/>
      </w:pPr>
      <w:rPr>
        <w:rFonts w:ascii="Calibri Light" w:eastAsiaTheme="majorEastAsia" w:hAnsi="Calibri Light" w:cstheme="majorBidi" w:hint="default"/>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78911C35"/>
    <w:multiLevelType w:val="multilevel"/>
    <w:tmpl w:val="154C5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5">
    <w:nsid w:val="7D5745A6"/>
    <w:multiLevelType w:val="hybridMultilevel"/>
    <w:tmpl w:val="3F3093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nsid w:val="7EA54500"/>
    <w:multiLevelType w:val="multilevel"/>
    <w:tmpl w:val="B4C46B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1"/>
  </w:num>
  <w:num w:numId="7">
    <w:abstractNumId w:val="10"/>
  </w:num>
  <w:num w:numId="8">
    <w:abstractNumId w:val="27"/>
  </w:num>
  <w:num w:numId="9">
    <w:abstractNumId w:val="7"/>
  </w:num>
  <w:num w:numId="10">
    <w:abstractNumId w:val="29"/>
  </w:num>
  <w:num w:numId="11">
    <w:abstractNumId w:val="17"/>
  </w:num>
  <w:num w:numId="12">
    <w:abstractNumId w:val="25"/>
  </w:num>
  <w:num w:numId="13">
    <w:abstractNumId w:val="21"/>
  </w:num>
  <w:num w:numId="14">
    <w:abstractNumId w:val="15"/>
  </w:num>
  <w:num w:numId="15">
    <w:abstractNumId w:val="22"/>
  </w:num>
  <w:num w:numId="16">
    <w:abstractNumId w:val="8"/>
  </w:num>
  <w:num w:numId="17">
    <w:abstractNumId w:val="23"/>
  </w:num>
  <w:num w:numId="18">
    <w:abstractNumId w:val="18"/>
  </w:num>
  <w:num w:numId="19">
    <w:abstractNumId w:val="13"/>
  </w:num>
  <w:num w:numId="20">
    <w:abstractNumId w:val="0"/>
  </w:num>
  <w:num w:numId="21">
    <w:abstractNumId w:val="14"/>
  </w:num>
  <w:num w:numId="22">
    <w:abstractNumId w:val="34"/>
  </w:num>
  <w:num w:numId="23">
    <w:abstractNumId w:val="32"/>
  </w:num>
  <w:num w:numId="24">
    <w:abstractNumId w:val="9"/>
  </w:num>
  <w:num w:numId="25">
    <w:abstractNumId w:val="30"/>
  </w:num>
  <w:num w:numId="26">
    <w:abstractNumId w:val="28"/>
  </w:num>
  <w:num w:numId="27">
    <w:abstractNumId w:val="36"/>
  </w:num>
  <w:num w:numId="28">
    <w:abstractNumId w:val="5"/>
  </w:num>
  <w:num w:numId="29">
    <w:abstractNumId w:val="6"/>
  </w:num>
  <w:num w:numId="30">
    <w:abstractNumId w:val="12"/>
  </w:num>
  <w:num w:numId="31">
    <w:abstractNumId w:val="16"/>
  </w:num>
  <w:num w:numId="32">
    <w:abstractNumId w:val="35"/>
  </w:num>
  <w:num w:numId="33">
    <w:abstractNumId w:val="33"/>
  </w:num>
  <w:num w:numId="34">
    <w:abstractNumId w:val="19"/>
  </w:num>
  <w:num w:numId="35">
    <w:abstractNumId w:val="26"/>
  </w:num>
  <w:num w:numId="36">
    <w:abstractNumId w:val="24"/>
  </w:num>
  <w:num w:numId="3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avier Flawinne">
    <w15:presenceInfo w15:providerId="Windows Live" w15:userId="61941535940f7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C1"/>
    <w:rsid w:val="00000106"/>
    <w:rsid w:val="00000BB2"/>
    <w:rsid w:val="00002F1D"/>
    <w:rsid w:val="00002FED"/>
    <w:rsid w:val="00004285"/>
    <w:rsid w:val="00005117"/>
    <w:rsid w:val="0000549B"/>
    <w:rsid w:val="00005A7D"/>
    <w:rsid w:val="000069FB"/>
    <w:rsid w:val="00010048"/>
    <w:rsid w:val="000140F9"/>
    <w:rsid w:val="000158E4"/>
    <w:rsid w:val="00015E43"/>
    <w:rsid w:val="00023728"/>
    <w:rsid w:val="00023B88"/>
    <w:rsid w:val="00024161"/>
    <w:rsid w:val="0002637C"/>
    <w:rsid w:val="0002662F"/>
    <w:rsid w:val="00027931"/>
    <w:rsid w:val="00027BC1"/>
    <w:rsid w:val="000308EA"/>
    <w:rsid w:val="00032710"/>
    <w:rsid w:val="00032ACB"/>
    <w:rsid w:val="000361F0"/>
    <w:rsid w:val="000372D9"/>
    <w:rsid w:val="00037B5B"/>
    <w:rsid w:val="00037ED7"/>
    <w:rsid w:val="000411B6"/>
    <w:rsid w:val="00042A90"/>
    <w:rsid w:val="000434BD"/>
    <w:rsid w:val="000456F7"/>
    <w:rsid w:val="00050132"/>
    <w:rsid w:val="000525D7"/>
    <w:rsid w:val="00052830"/>
    <w:rsid w:val="00053395"/>
    <w:rsid w:val="00055FA0"/>
    <w:rsid w:val="00057F00"/>
    <w:rsid w:val="000610CA"/>
    <w:rsid w:val="00067204"/>
    <w:rsid w:val="00071157"/>
    <w:rsid w:val="000722D6"/>
    <w:rsid w:val="0007313F"/>
    <w:rsid w:val="00075399"/>
    <w:rsid w:val="000767A0"/>
    <w:rsid w:val="00076E15"/>
    <w:rsid w:val="00077BBC"/>
    <w:rsid w:val="00081CF1"/>
    <w:rsid w:val="00086AF7"/>
    <w:rsid w:val="00087EA2"/>
    <w:rsid w:val="00090293"/>
    <w:rsid w:val="00091DCC"/>
    <w:rsid w:val="000934F7"/>
    <w:rsid w:val="0009357D"/>
    <w:rsid w:val="0009532C"/>
    <w:rsid w:val="00095389"/>
    <w:rsid w:val="0009564C"/>
    <w:rsid w:val="00095E43"/>
    <w:rsid w:val="00096ADD"/>
    <w:rsid w:val="00096D75"/>
    <w:rsid w:val="000A0D97"/>
    <w:rsid w:val="000A1280"/>
    <w:rsid w:val="000A281C"/>
    <w:rsid w:val="000A29F4"/>
    <w:rsid w:val="000A3133"/>
    <w:rsid w:val="000A4BCC"/>
    <w:rsid w:val="000A6A79"/>
    <w:rsid w:val="000A72A4"/>
    <w:rsid w:val="000A7384"/>
    <w:rsid w:val="000B04B6"/>
    <w:rsid w:val="000B47B1"/>
    <w:rsid w:val="000B4CCD"/>
    <w:rsid w:val="000B4EF2"/>
    <w:rsid w:val="000B57C8"/>
    <w:rsid w:val="000B5813"/>
    <w:rsid w:val="000B58FB"/>
    <w:rsid w:val="000B5B58"/>
    <w:rsid w:val="000B5C22"/>
    <w:rsid w:val="000B6564"/>
    <w:rsid w:val="000C1A24"/>
    <w:rsid w:val="000C22B5"/>
    <w:rsid w:val="000C50F0"/>
    <w:rsid w:val="000C52D1"/>
    <w:rsid w:val="000C6967"/>
    <w:rsid w:val="000C6A8D"/>
    <w:rsid w:val="000D70BA"/>
    <w:rsid w:val="000E6423"/>
    <w:rsid w:val="000E6C8D"/>
    <w:rsid w:val="000E78A1"/>
    <w:rsid w:val="000F07E1"/>
    <w:rsid w:val="000F2A8B"/>
    <w:rsid w:val="000F3529"/>
    <w:rsid w:val="000F3FAB"/>
    <w:rsid w:val="000F464D"/>
    <w:rsid w:val="000F5E32"/>
    <w:rsid w:val="0010176C"/>
    <w:rsid w:val="00102D8C"/>
    <w:rsid w:val="00104359"/>
    <w:rsid w:val="0010509C"/>
    <w:rsid w:val="001058D4"/>
    <w:rsid w:val="001127F0"/>
    <w:rsid w:val="00112A10"/>
    <w:rsid w:val="00112A64"/>
    <w:rsid w:val="00113630"/>
    <w:rsid w:val="001142B4"/>
    <w:rsid w:val="001151F6"/>
    <w:rsid w:val="00116043"/>
    <w:rsid w:val="00116FF6"/>
    <w:rsid w:val="001170A2"/>
    <w:rsid w:val="0012066C"/>
    <w:rsid w:val="00121BA6"/>
    <w:rsid w:val="00123659"/>
    <w:rsid w:val="0012391D"/>
    <w:rsid w:val="00124552"/>
    <w:rsid w:val="00125627"/>
    <w:rsid w:val="0012585A"/>
    <w:rsid w:val="00125B9F"/>
    <w:rsid w:val="0012656E"/>
    <w:rsid w:val="001303E1"/>
    <w:rsid w:val="00130625"/>
    <w:rsid w:val="00133100"/>
    <w:rsid w:val="001342C7"/>
    <w:rsid w:val="00134992"/>
    <w:rsid w:val="00135EBC"/>
    <w:rsid w:val="0013675F"/>
    <w:rsid w:val="00136B78"/>
    <w:rsid w:val="00136E51"/>
    <w:rsid w:val="00137C6C"/>
    <w:rsid w:val="00137FAE"/>
    <w:rsid w:val="00140C8F"/>
    <w:rsid w:val="00140EB6"/>
    <w:rsid w:val="001424B5"/>
    <w:rsid w:val="00143710"/>
    <w:rsid w:val="001457FE"/>
    <w:rsid w:val="00147003"/>
    <w:rsid w:val="001509EE"/>
    <w:rsid w:val="00150A7B"/>
    <w:rsid w:val="001523C1"/>
    <w:rsid w:val="0015413F"/>
    <w:rsid w:val="00155312"/>
    <w:rsid w:val="00155ECC"/>
    <w:rsid w:val="001561C2"/>
    <w:rsid w:val="001568B8"/>
    <w:rsid w:val="0015698F"/>
    <w:rsid w:val="00157114"/>
    <w:rsid w:val="00163220"/>
    <w:rsid w:val="00163A69"/>
    <w:rsid w:val="00164237"/>
    <w:rsid w:val="00164F17"/>
    <w:rsid w:val="00165AC7"/>
    <w:rsid w:val="00165B3C"/>
    <w:rsid w:val="0017132D"/>
    <w:rsid w:val="0017731C"/>
    <w:rsid w:val="001819A4"/>
    <w:rsid w:val="0018203B"/>
    <w:rsid w:val="00183C95"/>
    <w:rsid w:val="00185066"/>
    <w:rsid w:val="001850D7"/>
    <w:rsid w:val="001856E8"/>
    <w:rsid w:val="00187D0C"/>
    <w:rsid w:val="00190F82"/>
    <w:rsid w:val="00192880"/>
    <w:rsid w:val="00192DCA"/>
    <w:rsid w:val="00192E8B"/>
    <w:rsid w:val="00193CAC"/>
    <w:rsid w:val="00194372"/>
    <w:rsid w:val="00194E23"/>
    <w:rsid w:val="001951F5"/>
    <w:rsid w:val="001952BA"/>
    <w:rsid w:val="001957AD"/>
    <w:rsid w:val="00195A02"/>
    <w:rsid w:val="00195D20"/>
    <w:rsid w:val="001A0395"/>
    <w:rsid w:val="001A220A"/>
    <w:rsid w:val="001A305C"/>
    <w:rsid w:val="001A4065"/>
    <w:rsid w:val="001A58A4"/>
    <w:rsid w:val="001B0666"/>
    <w:rsid w:val="001B49D4"/>
    <w:rsid w:val="001C3989"/>
    <w:rsid w:val="001C40E4"/>
    <w:rsid w:val="001C4663"/>
    <w:rsid w:val="001C4B39"/>
    <w:rsid w:val="001C4E49"/>
    <w:rsid w:val="001C55EB"/>
    <w:rsid w:val="001C7780"/>
    <w:rsid w:val="001C77F9"/>
    <w:rsid w:val="001D0413"/>
    <w:rsid w:val="001D1156"/>
    <w:rsid w:val="001D1FA6"/>
    <w:rsid w:val="001D3F42"/>
    <w:rsid w:val="001D43D3"/>
    <w:rsid w:val="001D43DF"/>
    <w:rsid w:val="001D4F8F"/>
    <w:rsid w:val="001D5504"/>
    <w:rsid w:val="001D5AF1"/>
    <w:rsid w:val="001D61E7"/>
    <w:rsid w:val="001D67B8"/>
    <w:rsid w:val="001D7505"/>
    <w:rsid w:val="001E011C"/>
    <w:rsid w:val="001E02EF"/>
    <w:rsid w:val="001E0DC1"/>
    <w:rsid w:val="001E26F3"/>
    <w:rsid w:val="001E2B75"/>
    <w:rsid w:val="001E43B6"/>
    <w:rsid w:val="001E448E"/>
    <w:rsid w:val="001E454E"/>
    <w:rsid w:val="001E4572"/>
    <w:rsid w:val="001E4BB4"/>
    <w:rsid w:val="001E5773"/>
    <w:rsid w:val="001E608B"/>
    <w:rsid w:val="001E7921"/>
    <w:rsid w:val="001F03BD"/>
    <w:rsid w:val="001F302E"/>
    <w:rsid w:val="001F32BB"/>
    <w:rsid w:val="001F5D95"/>
    <w:rsid w:val="001F67A5"/>
    <w:rsid w:val="001F68B5"/>
    <w:rsid w:val="002013A7"/>
    <w:rsid w:val="002018FE"/>
    <w:rsid w:val="00202069"/>
    <w:rsid w:val="00202EC9"/>
    <w:rsid w:val="002037C9"/>
    <w:rsid w:val="002039E4"/>
    <w:rsid w:val="002045A4"/>
    <w:rsid w:val="00204C82"/>
    <w:rsid w:val="00212CB0"/>
    <w:rsid w:val="002137F2"/>
    <w:rsid w:val="00213C77"/>
    <w:rsid w:val="00214345"/>
    <w:rsid w:val="0021668C"/>
    <w:rsid w:val="0021752B"/>
    <w:rsid w:val="0022049F"/>
    <w:rsid w:val="0022050A"/>
    <w:rsid w:val="0022279E"/>
    <w:rsid w:val="00222D78"/>
    <w:rsid w:val="00223E58"/>
    <w:rsid w:val="00224A47"/>
    <w:rsid w:val="00225F20"/>
    <w:rsid w:val="0022670F"/>
    <w:rsid w:val="00226E1F"/>
    <w:rsid w:val="00230599"/>
    <w:rsid w:val="00234D92"/>
    <w:rsid w:val="00235809"/>
    <w:rsid w:val="0023644B"/>
    <w:rsid w:val="00236CE7"/>
    <w:rsid w:val="0024096D"/>
    <w:rsid w:val="002420B7"/>
    <w:rsid w:val="002424B8"/>
    <w:rsid w:val="00242C69"/>
    <w:rsid w:val="00243484"/>
    <w:rsid w:val="0024388C"/>
    <w:rsid w:val="00245C85"/>
    <w:rsid w:val="00245E95"/>
    <w:rsid w:val="00246ABE"/>
    <w:rsid w:val="002477B2"/>
    <w:rsid w:val="00250E6A"/>
    <w:rsid w:val="00252E0B"/>
    <w:rsid w:val="00253169"/>
    <w:rsid w:val="00254612"/>
    <w:rsid w:val="00254B64"/>
    <w:rsid w:val="00254F0A"/>
    <w:rsid w:val="002558B1"/>
    <w:rsid w:val="002566B0"/>
    <w:rsid w:val="00257694"/>
    <w:rsid w:val="0025776A"/>
    <w:rsid w:val="002646A6"/>
    <w:rsid w:val="002654C5"/>
    <w:rsid w:val="00266040"/>
    <w:rsid w:val="002661A9"/>
    <w:rsid w:val="00266920"/>
    <w:rsid w:val="00267008"/>
    <w:rsid w:val="0027143E"/>
    <w:rsid w:val="0027216D"/>
    <w:rsid w:val="0027282F"/>
    <w:rsid w:val="00272C06"/>
    <w:rsid w:val="00273ED6"/>
    <w:rsid w:val="00274102"/>
    <w:rsid w:val="00275039"/>
    <w:rsid w:val="002751D7"/>
    <w:rsid w:val="00276C0C"/>
    <w:rsid w:val="00277029"/>
    <w:rsid w:val="002775DB"/>
    <w:rsid w:val="00280549"/>
    <w:rsid w:val="00281D99"/>
    <w:rsid w:val="00283932"/>
    <w:rsid w:val="00283A57"/>
    <w:rsid w:val="002840D1"/>
    <w:rsid w:val="0028531E"/>
    <w:rsid w:val="00285C77"/>
    <w:rsid w:val="00290AF6"/>
    <w:rsid w:val="00292369"/>
    <w:rsid w:val="00292B94"/>
    <w:rsid w:val="0029488F"/>
    <w:rsid w:val="00294E07"/>
    <w:rsid w:val="00294FB3"/>
    <w:rsid w:val="00295C98"/>
    <w:rsid w:val="00296B96"/>
    <w:rsid w:val="00297737"/>
    <w:rsid w:val="002A1E5B"/>
    <w:rsid w:val="002A22E0"/>
    <w:rsid w:val="002A41B4"/>
    <w:rsid w:val="002A677E"/>
    <w:rsid w:val="002B06F2"/>
    <w:rsid w:val="002B19CD"/>
    <w:rsid w:val="002B1C8F"/>
    <w:rsid w:val="002B58AF"/>
    <w:rsid w:val="002B6A76"/>
    <w:rsid w:val="002C012C"/>
    <w:rsid w:val="002C114F"/>
    <w:rsid w:val="002C40C2"/>
    <w:rsid w:val="002C41C4"/>
    <w:rsid w:val="002C74E0"/>
    <w:rsid w:val="002C7BCF"/>
    <w:rsid w:val="002D0312"/>
    <w:rsid w:val="002D1CE7"/>
    <w:rsid w:val="002D233B"/>
    <w:rsid w:val="002D2370"/>
    <w:rsid w:val="002D6143"/>
    <w:rsid w:val="002E4FEB"/>
    <w:rsid w:val="002F0EB0"/>
    <w:rsid w:val="002F13A6"/>
    <w:rsid w:val="002F1ECF"/>
    <w:rsid w:val="002F1FA7"/>
    <w:rsid w:val="002F2E01"/>
    <w:rsid w:val="002F4FB1"/>
    <w:rsid w:val="002F5C75"/>
    <w:rsid w:val="002F7BC0"/>
    <w:rsid w:val="00300E53"/>
    <w:rsid w:val="00301D0C"/>
    <w:rsid w:val="00303270"/>
    <w:rsid w:val="00303F6B"/>
    <w:rsid w:val="0030654E"/>
    <w:rsid w:val="00306837"/>
    <w:rsid w:val="00306AF3"/>
    <w:rsid w:val="00306B5E"/>
    <w:rsid w:val="0030752B"/>
    <w:rsid w:val="00310238"/>
    <w:rsid w:val="00310F81"/>
    <w:rsid w:val="003119FB"/>
    <w:rsid w:val="00312D4D"/>
    <w:rsid w:val="003154CB"/>
    <w:rsid w:val="00315866"/>
    <w:rsid w:val="00320D6A"/>
    <w:rsid w:val="00320F6E"/>
    <w:rsid w:val="00322355"/>
    <w:rsid w:val="00322DD9"/>
    <w:rsid w:val="00323ACE"/>
    <w:rsid w:val="00324519"/>
    <w:rsid w:val="003247A0"/>
    <w:rsid w:val="0032692C"/>
    <w:rsid w:val="00326CEE"/>
    <w:rsid w:val="0033009C"/>
    <w:rsid w:val="00330AAE"/>
    <w:rsid w:val="00330C1A"/>
    <w:rsid w:val="00330C85"/>
    <w:rsid w:val="003311AA"/>
    <w:rsid w:val="003314E5"/>
    <w:rsid w:val="0033201B"/>
    <w:rsid w:val="00332A94"/>
    <w:rsid w:val="00332BB4"/>
    <w:rsid w:val="00333240"/>
    <w:rsid w:val="00333648"/>
    <w:rsid w:val="00334C0E"/>
    <w:rsid w:val="00335BA4"/>
    <w:rsid w:val="00335D8B"/>
    <w:rsid w:val="00337062"/>
    <w:rsid w:val="0033796B"/>
    <w:rsid w:val="00341051"/>
    <w:rsid w:val="00341F55"/>
    <w:rsid w:val="003441B3"/>
    <w:rsid w:val="003444C5"/>
    <w:rsid w:val="003447B6"/>
    <w:rsid w:val="00347069"/>
    <w:rsid w:val="00347846"/>
    <w:rsid w:val="00347986"/>
    <w:rsid w:val="003508E0"/>
    <w:rsid w:val="00355108"/>
    <w:rsid w:val="00355790"/>
    <w:rsid w:val="00356819"/>
    <w:rsid w:val="0035700A"/>
    <w:rsid w:val="003613A2"/>
    <w:rsid w:val="003613DB"/>
    <w:rsid w:val="00362A52"/>
    <w:rsid w:val="003641A6"/>
    <w:rsid w:val="0036499D"/>
    <w:rsid w:val="00365CA1"/>
    <w:rsid w:val="0037108A"/>
    <w:rsid w:val="00372013"/>
    <w:rsid w:val="00372F63"/>
    <w:rsid w:val="00374181"/>
    <w:rsid w:val="003749C2"/>
    <w:rsid w:val="00374C3B"/>
    <w:rsid w:val="003753A9"/>
    <w:rsid w:val="00375626"/>
    <w:rsid w:val="00382426"/>
    <w:rsid w:val="003854CB"/>
    <w:rsid w:val="003858B8"/>
    <w:rsid w:val="003865A4"/>
    <w:rsid w:val="00390AB8"/>
    <w:rsid w:val="00390CDF"/>
    <w:rsid w:val="00390EC9"/>
    <w:rsid w:val="003912CE"/>
    <w:rsid w:val="0039266D"/>
    <w:rsid w:val="00392F13"/>
    <w:rsid w:val="00395316"/>
    <w:rsid w:val="00395FCD"/>
    <w:rsid w:val="003966F3"/>
    <w:rsid w:val="00396812"/>
    <w:rsid w:val="00397580"/>
    <w:rsid w:val="003A1BD9"/>
    <w:rsid w:val="003A2DA3"/>
    <w:rsid w:val="003A5614"/>
    <w:rsid w:val="003A693B"/>
    <w:rsid w:val="003A7716"/>
    <w:rsid w:val="003B0D22"/>
    <w:rsid w:val="003B1A59"/>
    <w:rsid w:val="003B292A"/>
    <w:rsid w:val="003B2FD7"/>
    <w:rsid w:val="003B3C0F"/>
    <w:rsid w:val="003B4CCA"/>
    <w:rsid w:val="003B4FB0"/>
    <w:rsid w:val="003B7A73"/>
    <w:rsid w:val="003C0585"/>
    <w:rsid w:val="003C0A64"/>
    <w:rsid w:val="003C0F57"/>
    <w:rsid w:val="003C1CE9"/>
    <w:rsid w:val="003C26C0"/>
    <w:rsid w:val="003C2C07"/>
    <w:rsid w:val="003C4DD5"/>
    <w:rsid w:val="003C57E4"/>
    <w:rsid w:val="003C7072"/>
    <w:rsid w:val="003C753B"/>
    <w:rsid w:val="003D0247"/>
    <w:rsid w:val="003D0E05"/>
    <w:rsid w:val="003D1426"/>
    <w:rsid w:val="003D16E8"/>
    <w:rsid w:val="003D1708"/>
    <w:rsid w:val="003D19F2"/>
    <w:rsid w:val="003D2EB3"/>
    <w:rsid w:val="003D442D"/>
    <w:rsid w:val="003D474A"/>
    <w:rsid w:val="003D5290"/>
    <w:rsid w:val="003D6440"/>
    <w:rsid w:val="003E0702"/>
    <w:rsid w:val="003E2E6B"/>
    <w:rsid w:val="003E33E6"/>
    <w:rsid w:val="003E3E3E"/>
    <w:rsid w:val="003E6AFD"/>
    <w:rsid w:val="003E7455"/>
    <w:rsid w:val="003E78E0"/>
    <w:rsid w:val="003F0032"/>
    <w:rsid w:val="003F104A"/>
    <w:rsid w:val="003F150C"/>
    <w:rsid w:val="003F27CD"/>
    <w:rsid w:val="003F2B3F"/>
    <w:rsid w:val="003F412E"/>
    <w:rsid w:val="003F4AC8"/>
    <w:rsid w:val="003F502E"/>
    <w:rsid w:val="003F77F2"/>
    <w:rsid w:val="004003D0"/>
    <w:rsid w:val="004004B0"/>
    <w:rsid w:val="00402714"/>
    <w:rsid w:val="00403171"/>
    <w:rsid w:val="00404234"/>
    <w:rsid w:val="004055F8"/>
    <w:rsid w:val="00406CBC"/>
    <w:rsid w:val="00410D45"/>
    <w:rsid w:val="00410DB2"/>
    <w:rsid w:val="0041145A"/>
    <w:rsid w:val="00411799"/>
    <w:rsid w:val="00411A71"/>
    <w:rsid w:val="00411E50"/>
    <w:rsid w:val="004164A0"/>
    <w:rsid w:val="00420BB0"/>
    <w:rsid w:val="004211A6"/>
    <w:rsid w:val="004219AA"/>
    <w:rsid w:val="00421B71"/>
    <w:rsid w:val="00421CA2"/>
    <w:rsid w:val="00423159"/>
    <w:rsid w:val="00423498"/>
    <w:rsid w:val="004278C0"/>
    <w:rsid w:val="00430602"/>
    <w:rsid w:val="00430F87"/>
    <w:rsid w:val="00431610"/>
    <w:rsid w:val="0043315C"/>
    <w:rsid w:val="00433259"/>
    <w:rsid w:val="00434068"/>
    <w:rsid w:val="00435522"/>
    <w:rsid w:val="00435691"/>
    <w:rsid w:val="0043730C"/>
    <w:rsid w:val="0043770F"/>
    <w:rsid w:val="00437BA4"/>
    <w:rsid w:val="00440D2A"/>
    <w:rsid w:val="00441126"/>
    <w:rsid w:val="00441374"/>
    <w:rsid w:val="0044234E"/>
    <w:rsid w:val="00442948"/>
    <w:rsid w:val="004432B2"/>
    <w:rsid w:val="00444366"/>
    <w:rsid w:val="004450C7"/>
    <w:rsid w:val="0044567C"/>
    <w:rsid w:val="00446C28"/>
    <w:rsid w:val="00446CD1"/>
    <w:rsid w:val="00447328"/>
    <w:rsid w:val="004545D7"/>
    <w:rsid w:val="00455B1B"/>
    <w:rsid w:val="00456399"/>
    <w:rsid w:val="00456457"/>
    <w:rsid w:val="00456C0A"/>
    <w:rsid w:val="00457171"/>
    <w:rsid w:val="004653AA"/>
    <w:rsid w:val="004718FB"/>
    <w:rsid w:val="00471B3D"/>
    <w:rsid w:val="00471D03"/>
    <w:rsid w:val="004725C6"/>
    <w:rsid w:val="00472667"/>
    <w:rsid w:val="00472E98"/>
    <w:rsid w:val="004749D9"/>
    <w:rsid w:val="00474FAB"/>
    <w:rsid w:val="00476A27"/>
    <w:rsid w:val="00476B7A"/>
    <w:rsid w:val="00476D33"/>
    <w:rsid w:val="00476F3A"/>
    <w:rsid w:val="00477184"/>
    <w:rsid w:val="00477CFE"/>
    <w:rsid w:val="00482FF6"/>
    <w:rsid w:val="0048360F"/>
    <w:rsid w:val="00485B54"/>
    <w:rsid w:val="00486B68"/>
    <w:rsid w:val="004905B0"/>
    <w:rsid w:val="004913D7"/>
    <w:rsid w:val="004919B3"/>
    <w:rsid w:val="00492543"/>
    <w:rsid w:val="004927CB"/>
    <w:rsid w:val="004932F0"/>
    <w:rsid w:val="0049475C"/>
    <w:rsid w:val="0049531C"/>
    <w:rsid w:val="00497E40"/>
    <w:rsid w:val="004A2A43"/>
    <w:rsid w:val="004A2EBE"/>
    <w:rsid w:val="004A39A2"/>
    <w:rsid w:val="004A4534"/>
    <w:rsid w:val="004A484F"/>
    <w:rsid w:val="004A4CBE"/>
    <w:rsid w:val="004A5719"/>
    <w:rsid w:val="004A7A4B"/>
    <w:rsid w:val="004A7B1F"/>
    <w:rsid w:val="004B2663"/>
    <w:rsid w:val="004B3B72"/>
    <w:rsid w:val="004B4503"/>
    <w:rsid w:val="004B6827"/>
    <w:rsid w:val="004B6B19"/>
    <w:rsid w:val="004B7A67"/>
    <w:rsid w:val="004C0082"/>
    <w:rsid w:val="004C2581"/>
    <w:rsid w:val="004C31D6"/>
    <w:rsid w:val="004C37C9"/>
    <w:rsid w:val="004C390A"/>
    <w:rsid w:val="004C5186"/>
    <w:rsid w:val="004D06C5"/>
    <w:rsid w:val="004D470C"/>
    <w:rsid w:val="004D4ADD"/>
    <w:rsid w:val="004E0112"/>
    <w:rsid w:val="004E0B59"/>
    <w:rsid w:val="004E0C6B"/>
    <w:rsid w:val="004E34D2"/>
    <w:rsid w:val="004E3826"/>
    <w:rsid w:val="004E39D1"/>
    <w:rsid w:val="004E5692"/>
    <w:rsid w:val="004E6CCA"/>
    <w:rsid w:val="004E6DF8"/>
    <w:rsid w:val="004E7546"/>
    <w:rsid w:val="004F1905"/>
    <w:rsid w:val="004F3C46"/>
    <w:rsid w:val="004F4901"/>
    <w:rsid w:val="004F54DD"/>
    <w:rsid w:val="004F6A67"/>
    <w:rsid w:val="004F7100"/>
    <w:rsid w:val="004F7B8D"/>
    <w:rsid w:val="00503DC3"/>
    <w:rsid w:val="00504F34"/>
    <w:rsid w:val="00506C00"/>
    <w:rsid w:val="00510A5D"/>
    <w:rsid w:val="00510B07"/>
    <w:rsid w:val="005131A7"/>
    <w:rsid w:val="005134FD"/>
    <w:rsid w:val="0051373D"/>
    <w:rsid w:val="00513E91"/>
    <w:rsid w:val="00514D9B"/>
    <w:rsid w:val="00514FAA"/>
    <w:rsid w:val="00515F8A"/>
    <w:rsid w:val="005166E9"/>
    <w:rsid w:val="0051799D"/>
    <w:rsid w:val="00517D7B"/>
    <w:rsid w:val="00520222"/>
    <w:rsid w:val="0052253F"/>
    <w:rsid w:val="00522E25"/>
    <w:rsid w:val="005239E1"/>
    <w:rsid w:val="00525289"/>
    <w:rsid w:val="00525526"/>
    <w:rsid w:val="0052712A"/>
    <w:rsid w:val="00527D43"/>
    <w:rsid w:val="00531794"/>
    <w:rsid w:val="00531F93"/>
    <w:rsid w:val="005329A6"/>
    <w:rsid w:val="00534ACF"/>
    <w:rsid w:val="00535593"/>
    <w:rsid w:val="00535CA8"/>
    <w:rsid w:val="00536B96"/>
    <w:rsid w:val="005370BF"/>
    <w:rsid w:val="00537C98"/>
    <w:rsid w:val="00540024"/>
    <w:rsid w:val="00540525"/>
    <w:rsid w:val="00540A4D"/>
    <w:rsid w:val="00540FB8"/>
    <w:rsid w:val="00544ED0"/>
    <w:rsid w:val="0054587B"/>
    <w:rsid w:val="00545D86"/>
    <w:rsid w:val="005470FF"/>
    <w:rsid w:val="0055180A"/>
    <w:rsid w:val="00552FF0"/>
    <w:rsid w:val="005545ED"/>
    <w:rsid w:val="0056067E"/>
    <w:rsid w:val="00560E6F"/>
    <w:rsid w:val="00561553"/>
    <w:rsid w:val="005620B5"/>
    <w:rsid w:val="00562A93"/>
    <w:rsid w:val="00562B16"/>
    <w:rsid w:val="0056444C"/>
    <w:rsid w:val="00564904"/>
    <w:rsid w:val="00566053"/>
    <w:rsid w:val="00566C94"/>
    <w:rsid w:val="00567524"/>
    <w:rsid w:val="005704E2"/>
    <w:rsid w:val="00570F1F"/>
    <w:rsid w:val="0057167D"/>
    <w:rsid w:val="0057177F"/>
    <w:rsid w:val="00571EB6"/>
    <w:rsid w:val="00572B44"/>
    <w:rsid w:val="0057475D"/>
    <w:rsid w:val="00574ADE"/>
    <w:rsid w:val="00580270"/>
    <w:rsid w:val="00580BB1"/>
    <w:rsid w:val="00580CCA"/>
    <w:rsid w:val="0058245C"/>
    <w:rsid w:val="005846F6"/>
    <w:rsid w:val="005865B3"/>
    <w:rsid w:val="00586E33"/>
    <w:rsid w:val="005912F0"/>
    <w:rsid w:val="00591C15"/>
    <w:rsid w:val="00592415"/>
    <w:rsid w:val="00593302"/>
    <w:rsid w:val="005934F6"/>
    <w:rsid w:val="00593C5C"/>
    <w:rsid w:val="00595C5E"/>
    <w:rsid w:val="005960DC"/>
    <w:rsid w:val="0059688E"/>
    <w:rsid w:val="005A12F5"/>
    <w:rsid w:val="005A1CE0"/>
    <w:rsid w:val="005A386B"/>
    <w:rsid w:val="005A492C"/>
    <w:rsid w:val="005A5351"/>
    <w:rsid w:val="005A6F0E"/>
    <w:rsid w:val="005A76F1"/>
    <w:rsid w:val="005B3EC3"/>
    <w:rsid w:val="005B70E7"/>
    <w:rsid w:val="005B7810"/>
    <w:rsid w:val="005C0851"/>
    <w:rsid w:val="005C0990"/>
    <w:rsid w:val="005C2D20"/>
    <w:rsid w:val="005C313B"/>
    <w:rsid w:val="005C3B43"/>
    <w:rsid w:val="005C4151"/>
    <w:rsid w:val="005C4341"/>
    <w:rsid w:val="005C435A"/>
    <w:rsid w:val="005C6299"/>
    <w:rsid w:val="005C7E1C"/>
    <w:rsid w:val="005D1F40"/>
    <w:rsid w:val="005D28A5"/>
    <w:rsid w:val="005D31CA"/>
    <w:rsid w:val="005D37A9"/>
    <w:rsid w:val="005D3E7D"/>
    <w:rsid w:val="005E023D"/>
    <w:rsid w:val="005E02CC"/>
    <w:rsid w:val="005E165F"/>
    <w:rsid w:val="005E1859"/>
    <w:rsid w:val="005E26D7"/>
    <w:rsid w:val="005E2CBA"/>
    <w:rsid w:val="005E478D"/>
    <w:rsid w:val="005F1F59"/>
    <w:rsid w:val="005F3216"/>
    <w:rsid w:val="005F3ECA"/>
    <w:rsid w:val="005F3F02"/>
    <w:rsid w:val="005F44E9"/>
    <w:rsid w:val="005F4796"/>
    <w:rsid w:val="005F5A14"/>
    <w:rsid w:val="005F6697"/>
    <w:rsid w:val="005F7176"/>
    <w:rsid w:val="006046BD"/>
    <w:rsid w:val="00604973"/>
    <w:rsid w:val="00606E49"/>
    <w:rsid w:val="0061111D"/>
    <w:rsid w:val="00614C95"/>
    <w:rsid w:val="00615148"/>
    <w:rsid w:val="00616E93"/>
    <w:rsid w:val="00621481"/>
    <w:rsid w:val="00622ECE"/>
    <w:rsid w:val="00622F3E"/>
    <w:rsid w:val="00626B86"/>
    <w:rsid w:val="00626F56"/>
    <w:rsid w:val="006276CA"/>
    <w:rsid w:val="00630F9C"/>
    <w:rsid w:val="00631FA2"/>
    <w:rsid w:val="006324B0"/>
    <w:rsid w:val="006343A2"/>
    <w:rsid w:val="006377AF"/>
    <w:rsid w:val="00637BE9"/>
    <w:rsid w:val="00637E4E"/>
    <w:rsid w:val="0064292F"/>
    <w:rsid w:val="00643156"/>
    <w:rsid w:val="00644B7F"/>
    <w:rsid w:val="0064545F"/>
    <w:rsid w:val="006454C1"/>
    <w:rsid w:val="00645B78"/>
    <w:rsid w:val="00646478"/>
    <w:rsid w:val="00651B34"/>
    <w:rsid w:val="00654D83"/>
    <w:rsid w:val="00654ECB"/>
    <w:rsid w:val="006558E6"/>
    <w:rsid w:val="00662332"/>
    <w:rsid w:val="00662580"/>
    <w:rsid w:val="006639B1"/>
    <w:rsid w:val="00665572"/>
    <w:rsid w:val="0066557B"/>
    <w:rsid w:val="00665BE3"/>
    <w:rsid w:val="006660F3"/>
    <w:rsid w:val="006704A1"/>
    <w:rsid w:val="006707E8"/>
    <w:rsid w:val="00670C98"/>
    <w:rsid w:val="00670F3F"/>
    <w:rsid w:val="00672D19"/>
    <w:rsid w:val="00673880"/>
    <w:rsid w:val="006761F4"/>
    <w:rsid w:val="00676427"/>
    <w:rsid w:val="00680949"/>
    <w:rsid w:val="0068381A"/>
    <w:rsid w:val="00683E26"/>
    <w:rsid w:val="00684E03"/>
    <w:rsid w:val="00684E58"/>
    <w:rsid w:val="00690697"/>
    <w:rsid w:val="00690941"/>
    <w:rsid w:val="006924E1"/>
    <w:rsid w:val="00692814"/>
    <w:rsid w:val="006932E0"/>
    <w:rsid w:val="006953EB"/>
    <w:rsid w:val="006A5644"/>
    <w:rsid w:val="006A5E38"/>
    <w:rsid w:val="006A61BF"/>
    <w:rsid w:val="006A6ADB"/>
    <w:rsid w:val="006A6F31"/>
    <w:rsid w:val="006A70C9"/>
    <w:rsid w:val="006B0CA9"/>
    <w:rsid w:val="006B414A"/>
    <w:rsid w:val="006C0489"/>
    <w:rsid w:val="006C46C1"/>
    <w:rsid w:val="006C6B89"/>
    <w:rsid w:val="006C704D"/>
    <w:rsid w:val="006D028F"/>
    <w:rsid w:val="006D1160"/>
    <w:rsid w:val="006D22E9"/>
    <w:rsid w:val="006D2B47"/>
    <w:rsid w:val="006D3492"/>
    <w:rsid w:val="006D3E8B"/>
    <w:rsid w:val="006D5294"/>
    <w:rsid w:val="006D5EB2"/>
    <w:rsid w:val="006D7FBC"/>
    <w:rsid w:val="006E09DE"/>
    <w:rsid w:val="006E3421"/>
    <w:rsid w:val="006E4A20"/>
    <w:rsid w:val="006E6C84"/>
    <w:rsid w:val="006E7DC1"/>
    <w:rsid w:val="006F110C"/>
    <w:rsid w:val="006F36E9"/>
    <w:rsid w:val="006F42CD"/>
    <w:rsid w:val="006F5982"/>
    <w:rsid w:val="006F6834"/>
    <w:rsid w:val="006F7ED9"/>
    <w:rsid w:val="00700953"/>
    <w:rsid w:val="0070172D"/>
    <w:rsid w:val="007036A4"/>
    <w:rsid w:val="00704C98"/>
    <w:rsid w:val="0070607C"/>
    <w:rsid w:val="007077B2"/>
    <w:rsid w:val="0071023B"/>
    <w:rsid w:val="00710B9F"/>
    <w:rsid w:val="007110C7"/>
    <w:rsid w:val="007124C3"/>
    <w:rsid w:val="007126DF"/>
    <w:rsid w:val="0071566F"/>
    <w:rsid w:val="00715BFC"/>
    <w:rsid w:val="0071658F"/>
    <w:rsid w:val="00717010"/>
    <w:rsid w:val="007224BE"/>
    <w:rsid w:val="00724DED"/>
    <w:rsid w:val="00725701"/>
    <w:rsid w:val="00725AA5"/>
    <w:rsid w:val="0072645E"/>
    <w:rsid w:val="00730B35"/>
    <w:rsid w:val="0073125C"/>
    <w:rsid w:val="00731691"/>
    <w:rsid w:val="00732C28"/>
    <w:rsid w:val="007332EF"/>
    <w:rsid w:val="00734685"/>
    <w:rsid w:val="00734705"/>
    <w:rsid w:val="0074068F"/>
    <w:rsid w:val="0074069B"/>
    <w:rsid w:val="007407EA"/>
    <w:rsid w:val="0074171F"/>
    <w:rsid w:val="00742705"/>
    <w:rsid w:val="00742EA5"/>
    <w:rsid w:val="007447C9"/>
    <w:rsid w:val="00744CB5"/>
    <w:rsid w:val="0074698A"/>
    <w:rsid w:val="00746BC5"/>
    <w:rsid w:val="0075052C"/>
    <w:rsid w:val="00750781"/>
    <w:rsid w:val="0075200A"/>
    <w:rsid w:val="00754DE6"/>
    <w:rsid w:val="00755156"/>
    <w:rsid w:val="00755E7D"/>
    <w:rsid w:val="00761D81"/>
    <w:rsid w:val="0076275D"/>
    <w:rsid w:val="00763990"/>
    <w:rsid w:val="00764872"/>
    <w:rsid w:val="00765777"/>
    <w:rsid w:val="00765C34"/>
    <w:rsid w:val="00766A5C"/>
    <w:rsid w:val="00766DD5"/>
    <w:rsid w:val="00767224"/>
    <w:rsid w:val="00770BF3"/>
    <w:rsid w:val="00771F27"/>
    <w:rsid w:val="00772C2D"/>
    <w:rsid w:val="00773344"/>
    <w:rsid w:val="007746A2"/>
    <w:rsid w:val="007751D3"/>
    <w:rsid w:val="007766F5"/>
    <w:rsid w:val="00776CC1"/>
    <w:rsid w:val="00777CE0"/>
    <w:rsid w:val="00781584"/>
    <w:rsid w:val="00782AF0"/>
    <w:rsid w:val="007836B0"/>
    <w:rsid w:val="00783AB3"/>
    <w:rsid w:val="00793FE8"/>
    <w:rsid w:val="007940E1"/>
    <w:rsid w:val="0079541C"/>
    <w:rsid w:val="00795A5D"/>
    <w:rsid w:val="00796733"/>
    <w:rsid w:val="007972C4"/>
    <w:rsid w:val="007A2700"/>
    <w:rsid w:val="007A31A1"/>
    <w:rsid w:val="007A47BD"/>
    <w:rsid w:val="007A5AE2"/>
    <w:rsid w:val="007A60CB"/>
    <w:rsid w:val="007A613B"/>
    <w:rsid w:val="007A631D"/>
    <w:rsid w:val="007A7221"/>
    <w:rsid w:val="007B0CBD"/>
    <w:rsid w:val="007B1ACD"/>
    <w:rsid w:val="007B2F44"/>
    <w:rsid w:val="007B3651"/>
    <w:rsid w:val="007B3ACD"/>
    <w:rsid w:val="007B4D87"/>
    <w:rsid w:val="007B59C1"/>
    <w:rsid w:val="007B5CB4"/>
    <w:rsid w:val="007B5D30"/>
    <w:rsid w:val="007C0750"/>
    <w:rsid w:val="007C1988"/>
    <w:rsid w:val="007C2233"/>
    <w:rsid w:val="007C2632"/>
    <w:rsid w:val="007C291C"/>
    <w:rsid w:val="007C372E"/>
    <w:rsid w:val="007C682B"/>
    <w:rsid w:val="007C6E1D"/>
    <w:rsid w:val="007D0043"/>
    <w:rsid w:val="007D0DA5"/>
    <w:rsid w:val="007D2386"/>
    <w:rsid w:val="007D3404"/>
    <w:rsid w:val="007D4550"/>
    <w:rsid w:val="007D5C26"/>
    <w:rsid w:val="007D6712"/>
    <w:rsid w:val="007D6883"/>
    <w:rsid w:val="007D70F2"/>
    <w:rsid w:val="007E036A"/>
    <w:rsid w:val="007E0D01"/>
    <w:rsid w:val="007E0D2D"/>
    <w:rsid w:val="007E1668"/>
    <w:rsid w:val="007E2659"/>
    <w:rsid w:val="007E3B93"/>
    <w:rsid w:val="007E46D3"/>
    <w:rsid w:val="007E5825"/>
    <w:rsid w:val="007E5FCD"/>
    <w:rsid w:val="007E73BA"/>
    <w:rsid w:val="007E7EB7"/>
    <w:rsid w:val="007F0383"/>
    <w:rsid w:val="007F317A"/>
    <w:rsid w:val="007F5AA6"/>
    <w:rsid w:val="007F79A7"/>
    <w:rsid w:val="00801371"/>
    <w:rsid w:val="00801ED6"/>
    <w:rsid w:val="00802549"/>
    <w:rsid w:val="00804B21"/>
    <w:rsid w:val="00804FD3"/>
    <w:rsid w:val="00810295"/>
    <w:rsid w:val="00811936"/>
    <w:rsid w:val="0081260E"/>
    <w:rsid w:val="00813D80"/>
    <w:rsid w:val="0081505F"/>
    <w:rsid w:val="00815592"/>
    <w:rsid w:val="00821277"/>
    <w:rsid w:val="008216FA"/>
    <w:rsid w:val="008219CA"/>
    <w:rsid w:val="00821D99"/>
    <w:rsid w:val="008227EE"/>
    <w:rsid w:val="00824C82"/>
    <w:rsid w:val="00824F70"/>
    <w:rsid w:val="00825F2F"/>
    <w:rsid w:val="00830B47"/>
    <w:rsid w:val="00832156"/>
    <w:rsid w:val="00833581"/>
    <w:rsid w:val="00833CA0"/>
    <w:rsid w:val="00834480"/>
    <w:rsid w:val="00836E46"/>
    <w:rsid w:val="00837E97"/>
    <w:rsid w:val="00840FF7"/>
    <w:rsid w:val="008422E7"/>
    <w:rsid w:val="0084427C"/>
    <w:rsid w:val="008446DD"/>
    <w:rsid w:val="00844B72"/>
    <w:rsid w:val="00845256"/>
    <w:rsid w:val="00846004"/>
    <w:rsid w:val="008521DF"/>
    <w:rsid w:val="008522B0"/>
    <w:rsid w:val="008530AE"/>
    <w:rsid w:val="00855239"/>
    <w:rsid w:val="00857F6F"/>
    <w:rsid w:val="00861040"/>
    <w:rsid w:val="008618D3"/>
    <w:rsid w:val="00861B88"/>
    <w:rsid w:val="00862558"/>
    <w:rsid w:val="00863F11"/>
    <w:rsid w:val="00864156"/>
    <w:rsid w:val="0086495D"/>
    <w:rsid w:val="008650A4"/>
    <w:rsid w:val="008661A8"/>
    <w:rsid w:val="00866FE6"/>
    <w:rsid w:val="008704C5"/>
    <w:rsid w:val="008706C9"/>
    <w:rsid w:val="008710C1"/>
    <w:rsid w:val="00871920"/>
    <w:rsid w:val="00872479"/>
    <w:rsid w:val="00873459"/>
    <w:rsid w:val="00877748"/>
    <w:rsid w:val="008779C2"/>
    <w:rsid w:val="00877D03"/>
    <w:rsid w:val="00880B88"/>
    <w:rsid w:val="00882866"/>
    <w:rsid w:val="00882F92"/>
    <w:rsid w:val="0088427E"/>
    <w:rsid w:val="008851E5"/>
    <w:rsid w:val="00885949"/>
    <w:rsid w:val="0089322D"/>
    <w:rsid w:val="00894BB8"/>
    <w:rsid w:val="00894DD7"/>
    <w:rsid w:val="008971AD"/>
    <w:rsid w:val="008A0CA0"/>
    <w:rsid w:val="008A2563"/>
    <w:rsid w:val="008A601D"/>
    <w:rsid w:val="008B0283"/>
    <w:rsid w:val="008B0F3B"/>
    <w:rsid w:val="008B1FBB"/>
    <w:rsid w:val="008B2B5B"/>
    <w:rsid w:val="008B30B6"/>
    <w:rsid w:val="008B3814"/>
    <w:rsid w:val="008C1E33"/>
    <w:rsid w:val="008C23F0"/>
    <w:rsid w:val="008C31A0"/>
    <w:rsid w:val="008C5C95"/>
    <w:rsid w:val="008C62AF"/>
    <w:rsid w:val="008C79C6"/>
    <w:rsid w:val="008D1248"/>
    <w:rsid w:val="008D437B"/>
    <w:rsid w:val="008D48AB"/>
    <w:rsid w:val="008D62B3"/>
    <w:rsid w:val="008D7A37"/>
    <w:rsid w:val="008D7AB1"/>
    <w:rsid w:val="008E0739"/>
    <w:rsid w:val="008E307D"/>
    <w:rsid w:val="008E3E2F"/>
    <w:rsid w:val="008E46A3"/>
    <w:rsid w:val="008E47E1"/>
    <w:rsid w:val="008E57D3"/>
    <w:rsid w:val="008E58C0"/>
    <w:rsid w:val="008E6432"/>
    <w:rsid w:val="008F1318"/>
    <w:rsid w:val="008F229A"/>
    <w:rsid w:val="008F2AA1"/>
    <w:rsid w:val="008F396F"/>
    <w:rsid w:val="008F57F4"/>
    <w:rsid w:val="008F5CBA"/>
    <w:rsid w:val="008F6132"/>
    <w:rsid w:val="008F73A9"/>
    <w:rsid w:val="009001BB"/>
    <w:rsid w:val="00900AC7"/>
    <w:rsid w:val="00900FA1"/>
    <w:rsid w:val="00901251"/>
    <w:rsid w:val="00901A74"/>
    <w:rsid w:val="009022C1"/>
    <w:rsid w:val="00902A34"/>
    <w:rsid w:val="0090317F"/>
    <w:rsid w:val="00905107"/>
    <w:rsid w:val="00905857"/>
    <w:rsid w:val="0090645F"/>
    <w:rsid w:val="009068AA"/>
    <w:rsid w:val="0091044D"/>
    <w:rsid w:val="00912BB1"/>
    <w:rsid w:val="00912CF7"/>
    <w:rsid w:val="009140FC"/>
    <w:rsid w:val="00915729"/>
    <w:rsid w:val="00917AD4"/>
    <w:rsid w:val="00921651"/>
    <w:rsid w:val="00921C7E"/>
    <w:rsid w:val="00922ABB"/>
    <w:rsid w:val="00923DF6"/>
    <w:rsid w:val="00923F76"/>
    <w:rsid w:val="00925BE3"/>
    <w:rsid w:val="00927EB0"/>
    <w:rsid w:val="0093030F"/>
    <w:rsid w:val="00932D85"/>
    <w:rsid w:val="009357E8"/>
    <w:rsid w:val="00935BEE"/>
    <w:rsid w:val="00936756"/>
    <w:rsid w:val="00937294"/>
    <w:rsid w:val="00937DE8"/>
    <w:rsid w:val="00937E19"/>
    <w:rsid w:val="009408D9"/>
    <w:rsid w:val="00940F06"/>
    <w:rsid w:val="00941036"/>
    <w:rsid w:val="00941416"/>
    <w:rsid w:val="0094604A"/>
    <w:rsid w:val="00952D42"/>
    <w:rsid w:val="00954A77"/>
    <w:rsid w:val="00955257"/>
    <w:rsid w:val="00955E65"/>
    <w:rsid w:val="00956A26"/>
    <w:rsid w:val="00957069"/>
    <w:rsid w:val="00957845"/>
    <w:rsid w:val="0096223C"/>
    <w:rsid w:val="009624C6"/>
    <w:rsid w:val="00962DFA"/>
    <w:rsid w:val="00964BD3"/>
    <w:rsid w:val="009657E7"/>
    <w:rsid w:val="00965AE4"/>
    <w:rsid w:val="00965BE7"/>
    <w:rsid w:val="009668A9"/>
    <w:rsid w:val="00967CAE"/>
    <w:rsid w:val="0097084E"/>
    <w:rsid w:val="00971DE7"/>
    <w:rsid w:val="009728EC"/>
    <w:rsid w:val="00973FA7"/>
    <w:rsid w:val="00974CDC"/>
    <w:rsid w:val="00975CE5"/>
    <w:rsid w:val="00975DC3"/>
    <w:rsid w:val="00977099"/>
    <w:rsid w:val="00980B2F"/>
    <w:rsid w:val="00980FB1"/>
    <w:rsid w:val="0098231A"/>
    <w:rsid w:val="00982962"/>
    <w:rsid w:val="00982DE4"/>
    <w:rsid w:val="009834E9"/>
    <w:rsid w:val="00983664"/>
    <w:rsid w:val="009841A9"/>
    <w:rsid w:val="0098734C"/>
    <w:rsid w:val="0098763D"/>
    <w:rsid w:val="00987E00"/>
    <w:rsid w:val="00992EB0"/>
    <w:rsid w:val="009937E0"/>
    <w:rsid w:val="00997C73"/>
    <w:rsid w:val="009A1311"/>
    <w:rsid w:val="009A2113"/>
    <w:rsid w:val="009A6146"/>
    <w:rsid w:val="009A6451"/>
    <w:rsid w:val="009A6C50"/>
    <w:rsid w:val="009A79C2"/>
    <w:rsid w:val="009B028D"/>
    <w:rsid w:val="009B036A"/>
    <w:rsid w:val="009B1CB0"/>
    <w:rsid w:val="009B222B"/>
    <w:rsid w:val="009B2EB6"/>
    <w:rsid w:val="009B36B8"/>
    <w:rsid w:val="009B6585"/>
    <w:rsid w:val="009B6BBC"/>
    <w:rsid w:val="009B78CD"/>
    <w:rsid w:val="009C05F4"/>
    <w:rsid w:val="009C3230"/>
    <w:rsid w:val="009C3B6C"/>
    <w:rsid w:val="009C40F5"/>
    <w:rsid w:val="009C524D"/>
    <w:rsid w:val="009C52E2"/>
    <w:rsid w:val="009C535D"/>
    <w:rsid w:val="009C574B"/>
    <w:rsid w:val="009C5F70"/>
    <w:rsid w:val="009C6B8F"/>
    <w:rsid w:val="009D01D9"/>
    <w:rsid w:val="009D0F24"/>
    <w:rsid w:val="009D1DD8"/>
    <w:rsid w:val="009D5058"/>
    <w:rsid w:val="009D6143"/>
    <w:rsid w:val="009D7721"/>
    <w:rsid w:val="009D7CD3"/>
    <w:rsid w:val="009E165D"/>
    <w:rsid w:val="009E3905"/>
    <w:rsid w:val="009E5352"/>
    <w:rsid w:val="009E7696"/>
    <w:rsid w:val="009E7C57"/>
    <w:rsid w:val="009F0859"/>
    <w:rsid w:val="009F16B0"/>
    <w:rsid w:val="009F175D"/>
    <w:rsid w:val="009F259B"/>
    <w:rsid w:val="009F2798"/>
    <w:rsid w:val="009F46D3"/>
    <w:rsid w:val="009F5D66"/>
    <w:rsid w:val="009F715B"/>
    <w:rsid w:val="00A00CE2"/>
    <w:rsid w:val="00A018A4"/>
    <w:rsid w:val="00A02C4E"/>
    <w:rsid w:val="00A0529C"/>
    <w:rsid w:val="00A0751A"/>
    <w:rsid w:val="00A07F39"/>
    <w:rsid w:val="00A104E7"/>
    <w:rsid w:val="00A112D9"/>
    <w:rsid w:val="00A1167F"/>
    <w:rsid w:val="00A11B04"/>
    <w:rsid w:val="00A12A44"/>
    <w:rsid w:val="00A14415"/>
    <w:rsid w:val="00A14674"/>
    <w:rsid w:val="00A14F43"/>
    <w:rsid w:val="00A15381"/>
    <w:rsid w:val="00A1575D"/>
    <w:rsid w:val="00A163EE"/>
    <w:rsid w:val="00A16CD1"/>
    <w:rsid w:val="00A210C8"/>
    <w:rsid w:val="00A212E8"/>
    <w:rsid w:val="00A2166D"/>
    <w:rsid w:val="00A23386"/>
    <w:rsid w:val="00A26AA0"/>
    <w:rsid w:val="00A308C2"/>
    <w:rsid w:val="00A32A75"/>
    <w:rsid w:val="00A35291"/>
    <w:rsid w:val="00A356F8"/>
    <w:rsid w:val="00A35F1E"/>
    <w:rsid w:val="00A365D2"/>
    <w:rsid w:val="00A37059"/>
    <w:rsid w:val="00A42749"/>
    <w:rsid w:val="00A45A62"/>
    <w:rsid w:val="00A47B39"/>
    <w:rsid w:val="00A503E4"/>
    <w:rsid w:val="00A5068E"/>
    <w:rsid w:val="00A53B57"/>
    <w:rsid w:val="00A55D71"/>
    <w:rsid w:val="00A56EA9"/>
    <w:rsid w:val="00A6262B"/>
    <w:rsid w:val="00A636EF"/>
    <w:rsid w:val="00A63B35"/>
    <w:rsid w:val="00A668E2"/>
    <w:rsid w:val="00A67284"/>
    <w:rsid w:val="00A67FA8"/>
    <w:rsid w:val="00A70A67"/>
    <w:rsid w:val="00A71D67"/>
    <w:rsid w:val="00A742FF"/>
    <w:rsid w:val="00A74344"/>
    <w:rsid w:val="00A74C6D"/>
    <w:rsid w:val="00A753D1"/>
    <w:rsid w:val="00A75F47"/>
    <w:rsid w:val="00A76920"/>
    <w:rsid w:val="00A76E8A"/>
    <w:rsid w:val="00A77B5C"/>
    <w:rsid w:val="00A80284"/>
    <w:rsid w:val="00A80345"/>
    <w:rsid w:val="00A8045D"/>
    <w:rsid w:val="00A80CE4"/>
    <w:rsid w:val="00A810CE"/>
    <w:rsid w:val="00A81C87"/>
    <w:rsid w:val="00A82633"/>
    <w:rsid w:val="00A84CE3"/>
    <w:rsid w:val="00A85639"/>
    <w:rsid w:val="00A940A4"/>
    <w:rsid w:val="00A95EF3"/>
    <w:rsid w:val="00A95FA4"/>
    <w:rsid w:val="00A967A5"/>
    <w:rsid w:val="00A97156"/>
    <w:rsid w:val="00A97988"/>
    <w:rsid w:val="00AA0912"/>
    <w:rsid w:val="00AA0C7E"/>
    <w:rsid w:val="00AA0E9B"/>
    <w:rsid w:val="00AA2BC0"/>
    <w:rsid w:val="00AA34A4"/>
    <w:rsid w:val="00AA3925"/>
    <w:rsid w:val="00AA3CB3"/>
    <w:rsid w:val="00AA6A91"/>
    <w:rsid w:val="00AA6D7A"/>
    <w:rsid w:val="00AA7432"/>
    <w:rsid w:val="00AB01CE"/>
    <w:rsid w:val="00AB0DFA"/>
    <w:rsid w:val="00AB418F"/>
    <w:rsid w:val="00AB46C2"/>
    <w:rsid w:val="00AB50CB"/>
    <w:rsid w:val="00AC2C49"/>
    <w:rsid w:val="00AC37C9"/>
    <w:rsid w:val="00AC483A"/>
    <w:rsid w:val="00AD4060"/>
    <w:rsid w:val="00AD60FD"/>
    <w:rsid w:val="00AE098C"/>
    <w:rsid w:val="00AE3D53"/>
    <w:rsid w:val="00AE44CB"/>
    <w:rsid w:val="00AE7CC4"/>
    <w:rsid w:val="00AF0321"/>
    <w:rsid w:val="00AF11D5"/>
    <w:rsid w:val="00AF2102"/>
    <w:rsid w:val="00AF3496"/>
    <w:rsid w:val="00AF4089"/>
    <w:rsid w:val="00AF600B"/>
    <w:rsid w:val="00AF6130"/>
    <w:rsid w:val="00B01BC0"/>
    <w:rsid w:val="00B025CE"/>
    <w:rsid w:val="00B0281F"/>
    <w:rsid w:val="00B02F95"/>
    <w:rsid w:val="00B038B8"/>
    <w:rsid w:val="00B04D68"/>
    <w:rsid w:val="00B05722"/>
    <w:rsid w:val="00B05970"/>
    <w:rsid w:val="00B05E45"/>
    <w:rsid w:val="00B06309"/>
    <w:rsid w:val="00B06DAA"/>
    <w:rsid w:val="00B076AD"/>
    <w:rsid w:val="00B10041"/>
    <w:rsid w:val="00B10D9C"/>
    <w:rsid w:val="00B10FA4"/>
    <w:rsid w:val="00B12949"/>
    <w:rsid w:val="00B137CC"/>
    <w:rsid w:val="00B148AD"/>
    <w:rsid w:val="00B15A11"/>
    <w:rsid w:val="00B17281"/>
    <w:rsid w:val="00B1750B"/>
    <w:rsid w:val="00B23F2F"/>
    <w:rsid w:val="00B269C6"/>
    <w:rsid w:val="00B27CD2"/>
    <w:rsid w:val="00B310C8"/>
    <w:rsid w:val="00B3113D"/>
    <w:rsid w:val="00B317A0"/>
    <w:rsid w:val="00B3408E"/>
    <w:rsid w:val="00B351DF"/>
    <w:rsid w:val="00B36154"/>
    <w:rsid w:val="00B369BE"/>
    <w:rsid w:val="00B36CBD"/>
    <w:rsid w:val="00B375A4"/>
    <w:rsid w:val="00B4087E"/>
    <w:rsid w:val="00B40D0D"/>
    <w:rsid w:val="00B4102B"/>
    <w:rsid w:val="00B4321D"/>
    <w:rsid w:val="00B432E9"/>
    <w:rsid w:val="00B439CE"/>
    <w:rsid w:val="00B471FD"/>
    <w:rsid w:val="00B475AA"/>
    <w:rsid w:val="00B52C88"/>
    <w:rsid w:val="00B53E8C"/>
    <w:rsid w:val="00B5422D"/>
    <w:rsid w:val="00B54DAF"/>
    <w:rsid w:val="00B563D9"/>
    <w:rsid w:val="00B568A5"/>
    <w:rsid w:val="00B6041C"/>
    <w:rsid w:val="00B61211"/>
    <w:rsid w:val="00B61869"/>
    <w:rsid w:val="00B6192D"/>
    <w:rsid w:val="00B61F44"/>
    <w:rsid w:val="00B6376F"/>
    <w:rsid w:val="00B63B2C"/>
    <w:rsid w:val="00B64633"/>
    <w:rsid w:val="00B649F4"/>
    <w:rsid w:val="00B64AAF"/>
    <w:rsid w:val="00B70969"/>
    <w:rsid w:val="00B70D96"/>
    <w:rsid w:val="00B70ED1"/>
    <w:rsid w:val="00B72173"/>
    <w:rsid w:val="00B72724"/>
    <w:rsid w:val="00B77D12"/>
    <w:rsid w:val="00B802CF"/>
    <w:rsid w:val="00B81374"/>
    <w:rsid w:val="00B81A39"/>
    <w:rsid w:val="00B8536C"/>
    <w:rsid w:val="00B854D4"/>
    <w:rsid w:val="00B855A9"/>
    <w:rsid w:val="00B86C9B"/>
    <w:rsid w:val="00B93BDB"/>
    <w:rsid w:val="00B957E1"/>
    <w:rsid w:val="00B971F5"/>
    <w:rsid w:val="00B975A5"/>
    <w:rsid w:val="00B97FBC"/>
    <w:rsid w:val="00BA1353"/>
    <w:rsid w:val="00BA14F8"/>
    <w:rsid w:val="00BA2A3F"/>
    <w:rsid w:val="00BA34C6"/>
    <w:rsid w:val="00BA35FA"/>
    <w:rsid w:val="00BA3BBB"/>
    <w:rsid w:val="00BA424B"/>
    <w:rsid w:val="00BA7C59"/>
    <w:rsid w:val="00BB0D18"/>
    <w:rsid w:val="00BB10D6"/>
    <w:rsid w:val="00BB276E"/>
    <w:rsid w:val="00BB37D7"/>
    <w:rsid w:val="00BB3A0F"/>
    <w:rsid w:val="00BB40D1"/>
    <w:rsid w:val="00BB53D1"/>
    <w:rsid w:val="00BB5B5C"/>
    <w:rsid w:val="00BB60EE"/>
    <w:rsid w:val="00BB6FD0"/>
    <w:rsid w:val="00BC0D30"/>
    <w:rsid w:val="00BC1F4D"/>
    <w:rsid w:val="00BC26BF"/>
    <w:rsid w:val="00BC51FC"/>
    <w:rsid w:val="00BC563B"/>
    <w:rsid w:val="00BC69BB"/>
    <w:rsid w:val="00BD05E6"/>
    <w:rsid w:val="00BD1332"/>
    <w:rsid w:val="00BD21FB"/>
    <w:rsid w:val="00BD405D"/>
    <w:rsid w:val="00BD47D8"/>
    <w:rsid w:val="00BD70D1"/>
    <w:rsid w:val="00BE0E3E"/>
    <w:rsid w:val="00BE1739"/>
    <w:rsid w:val="00BE352C"/>
    <w:rsid w:val="00BE3787"/>
    <w:rsid w:val="00BE6425"/>
    <w:rsid w:val="00BE67FD"/>
    <w:rsid w:val="00BE6DA5"/>
    <w:rsid w:val="00BF1C2B"/>
    <w:rsid w:val="00BF1D88"/>
    <w:rsid w:val="00BF2CA3"/>
    <w:rsid w:val="00BF36F5"/>
    <w:rsid w:val="00BF4B29"/>
    <w:rsid w:val="00BF4C03"/>
    <w:rsid w:val="00BF6CEE"/>
    <w:rsid w:val="00BF77A1"/>
    <w:rsid w:val="00C02EAE"/>
    <w:rsid w:val="00C04BEC"/>
    <w:rsid w:val="00C060BA"/>
    <w:rsid w:val="00C11C73"/>
    <w:rsid w:val="00C130C5"/>
    <w:rsid w:val="00C131FC"/>
    <w:rsid w:val="00C13C25"/>
    <w:rsid w:val="00C14488"/>
    <w:rsid w:val="00C1512D"/>
    <w:rsid w:val="00C155E2"/>
    <w:rsid w:val="00C15C44"/>
    <w:rsid w:val="00C163B5"/>
    <w:rsid w:val="00C226A4"/>
    <w:rsid w:val="00C23E69"/>
    <w:rsid w:val="00C30561"/>
    <w:rsid w:val="00C31A92"/>
    <w:rsid w:val="00C33A4D"/>
    <w:rsid w:val="00C35EC9"/>
    <w:rsid w:val="00C43108"/>
    <w:rsid w:val="00C434A8"/>
    <w:rsid w:val="00C43C9A"/>
    <w:rsid w:val="00C46424"/>
    <w:rsid w:val="00C51CB6"/>
    <w:rsid w:val="00C52325"/>
    <w:rsid w:val="00C55300"/>
    <w:rsid w:val="00C56D4D"/>
    <w:rsid w:val="00C57702"/>
    <w:rsid w:val="00C604D1"/>
    <w:rsid w:val="00C6161D"/>
    <w:rsid w:val="00C623A3"/>
    <w:rsid w:val="00C62C3D"/>
    <w:rsid w:val="00C6409E"/>
    <w:rsid w:val="00C64FE1"/>
    <w:rsid w:val="00C6573E"/>
    <w:rsid w:val="00C719F2"/>
    <w:rsid w:val="00C72336"/>
    <w:rsid w:val="00C72A25"/>
    <w:rsid w:val="00C7425D"/>
    <w:rsid w:val="00C80E7F"/>
    <w:rsid w:val="00C82C7B"/>
    <w:rsid w:val="00C83276"/>
    <w:rsid w:val="00C84800"/>
    <w:rsid w:val="00C85441"/>
    <w:rsid w:val="00C85C1A"/>
    <w:rsid w:val="00C85FF9"/>
    <w:rsid w:val="00C86F5E"/>
    <w:rsid w:val="00C8712A"/>
    <w:rsid w:val="00C87667"/>
    <w:rsid w:val="00C8772B"/>
    <w:rsid w:val="00C9360A"/>
    <w:rsid w:val="00C942B2"/>
    <w:rsid w:val="00C950D7"/>
    <w:rsid w:val="00C956E4"/>
    <w:rsid w:val="00C966E4"/>
    <w:rsid w:val="00C96D90"/>
    <w:rsid w:val="00CA083D"/>
    <w:rsid w:val="00CA0F24"/>
    <w:rsid w:val="00CA133F"/>
    <w:rsid w:val="00CA14B6"/>
    <w:rsid w:val="00CA4082"/>
    <w:rsid w:val="00CA52ED"/>
    <w:rsid w:val="00CA54DC"/>
    <w:rsid w:val="00CA59D5"/>
    <w:rsid w:val="00CA6631"/>
    <w:rsid w:val="00CB0A2D"/>
    <w:rsid w:val="00CB0F92"/>
    <w:rsid w:val="00CB332E"/>
    <w:rsid w:val="00CB3671"/>
    <w:rsid w:val="00CB3827"/>
    <w:rsid w:val="00CB4BD3"/>
    <w:rsid w:val="00CB59F0"/>
    <w:rsid w:val="00CB6777"/>
    <w:rsid w:val="00CB68D5"/>
    <w:rsid w:val="00CC0147"/>
    <w:rsid w:val="00CC08B4"/>
    <w:rsid w:val="00CC4B8F"/>
    <w:rsid w:val="00CC5039"/>
    <w:rsid w:val="00CC60F4"/>
    <w:rsid w:val="00CC6D89"/>
    <w:rsid w:val="00CC72DC"/>
    <w:rsid w:val="00CD1530"/>
    <w:rsid w:val="00CD3011"/>
    <w:rsid w:val="00CD5390"/>
    <w:rsid w:val="00CD6B02"/>
    <w:rsid w:val="00CE281E"/>
    <w:rsid w:val="00CE2A4B"/>
    <w:rsid w:val="00CE30D1"/>
    <w:rsid w:val="00CE3618"/>
    <w:rsid w:val="00CE3E2D"/>
    <w:rsid w:val="00CE64BA"/>
    <w:rsid w:val="00CE6A47"/>
    <w:rsid w:val="00CE7619"/>
    <w:rsid w:val="00CF644D"/>
    <w:rsid w:val="00CF6C14"/>
    <w:rsid w:val="00CF7680"/>
    <w:rsid w:val="00CF7B71"/>
    <w:rsid w:val="00D00659"/>
    <w:rsid w:val="00D01098"/>
    <w:rsid w:val="00D02895"/>
    <w:rsid w:val="00D0338B"/>
    <w:rsid w:val="00D04B13"/>
    <w:rsid w:val="00D05E63"/>
    <w:rsid w:val="00D06560"/>
    <w:rsid w:val="00D10304"/>
    <w:rsid w:val="00D11791"/>
    <w:rsid w:val="00D11B32"/>
    <w:rsid w:val="00D12B80"/>
    <w:rsid w:val="00D12CC3"/>
    <w:rsid w:val="00D1385A"/>
    <w:rsid w:val="00D13BBA"/>
    <w:rsid w:val="00D145DF"/>
    <w:rsid w:val="00D17167"/>
    <w:rsid w:val="00D234AA"/>
    <w:rsid w:val="00D25455"/>
    <w:rsid w:val="00D26856"/>
    <w:rsid w:val="00D272C6"/>
    <w:rsid w:val="00D311B0"/>
    <w:rsid w:val="00D34F84"/>
    <w:rsid w:val="00D35B1C"/>
    <w:rsid w:val="00D37F47"/>
    <w:rsid w:val="00D40383"/>
    <w:rsid w:val="00D42C25"/>
    <w:rsid w:val="00D4544F"/>
    <w:rsid w:val="00D47267"/>
    <w:rsid w:val="00D47952"/>
    <w:rsid w:val="00D502AE"/>
    <w:rsid w:val="00D541A3"/>
    <w:rsid w:val="00D543EF"/>
    <w:rsid w:val="00D54EC9"/>
    <w:rsid w:val="00D55709"/>
    <w:rsid w:val="00D56DF6"/>
    <w:rsid w:val="00D600E6"/>
    <w:rsid w:val="00D616F5"/>
    <w:rsid w:val="00D6198E"/>
    <w:rsid w:val="00D6214E"/>
    <w:rsid w:val="00D625A6"/>
    <w:rsid w:val="00D63008"/>
    <w:rsid w:val="00D64DB8"/>
    <w:rsid w:val="00D64FE9"/>
    <w:rsid w:val="00D6642A"/>
    <w:rsid w:val="00D6742F"/>
    <w:rsid w:val="00D70DD5"/>
    <w:rsid w:val="00D70F1F"/>
    <w:rsid w:val="00D71205"/>
    <w:rsid w:val="00D715DB"/>
    <w:rsid w:val="00D717A0"/>
    <w:rsid w:val="00D7593B"/>
    <w:rsid w:val="00D7665B"/>
    <w:rsid w:val="00D771E1"/>
    <w:rsid w:val="00D80CC2"/>
    <w:rsid w:val="00D8132A"/>
    <w:rsid w:val="00D83B0B"/>
    <w:rsid w:val="00D84156"/>
    <w:rsid w:val="00D85168"/>
    <w:rsid w:val="00D86290"/>
    <w:rsid w:val="00D9359F"/>
    <w:rsid w:val="00D93D7D"/>
    <w:rsid w:val="00D944B2"/>
    <w:rsid w:val="00DA1260"/>
    <w:rsid w:val="00DA296C"/>
    <w:rsid w:val="00DA3E1D"/>
    <w:rsid w:val="00DA4568"/>
    <w:rsid w:val="00DA4729"/>
    <w:rsid w:val="00DA628A"/>
    <w:rsid w:val="00DA6E04"/>
    <w:rsid w:val="00DB0042"/>
    <w:rsid w:val="00DB0407"/>
    <w:rsid w:val="00DB0758"/>
    <w:rsid w:val="00DB31B2"/>
    <w:rsid w:val="00DB41BA"/>
    <w:rsid w:val="00DB47EB"/>
    <w:rsid w:val="00DB6ACC"/>
    <w:rsid w:val="00DC0CE7"/>
    <w:rsid w:val="00DC1AAE"/>
    <w:rsid w:val="00DC22C6"/>
    <w:rsid w:val="00DC3104"/>
    <w:rsid w:val="00DC3202"/>
    <w:rsid w:val="00DC33AB"/>
    <w:rsid w:val="00DC3989"/>
    <w:rsid w:val="00DC3CCF"/>
    <w:rsid w:val="00DD2F75"/>
    <w:rsid w:val="00DD3017"/>
    <w:rsid w:val="00DD3C19"/>
    <w:rsid w:val="00DD4372"/>
    <w:rsid w:val="00DD448E"/>
    <w:rsid w:val="00DD4870"/>
    <w:rsid w:val="00DD4D93"/>
    <w:rsid w:val="00DD559B"/>
    <w:rsid w:val="00DD600B"/>
    <w:rsid w:val="00DD74F0"/>
    <w:rsid w:val="00DE132F"/>
    <w:rsid w:val="00DE1B82"/>
    <w:rsid w:val="00DE5376"/>
    <w:rsid w:val="00DE55AE"/>
    <w:rsid w:val="00DE6FF6"/>
    <w:rsid w:val="00DE7696"/>
    <w:rsid w:val="00DF0A3E"/>
    <w:rsid w:val="00DF6944"/>
    <w:rsid w:val="00DF78FD"/>
    <w:rsid w:val="00E001DF"/>
    <w:rsid w:val="00E01A76"/>
    <w:rsid w:val="00E01AB9"/>
    <w:rsid w:val="00E020D4"/>
    <w:rsid w:val="00E023CC"/>
    <w:rsid w:val="00E03AB9"/>
    <w:rsid w:val="00E04386"/>
    <w:rsid w:val="00E05AFA"/>
    <w:rsid w:val="00E06AE3"/>
    <w:rsid w:val="00E07C2B"/>
    <w:rsid w:val="00E10516"/>
    <w:rsid w:val="00E1068F"/>
    <w:rsid w:val="00E1069F"/>
    <w:rsid w:val="00E11471"/>
    <w:rsid w:val="00E115AA"/>
    <w:rsid w:val="00E11DB3"/>
    <w:rsid w:val="00E1482B"/>
    <w:rsid w:val="00E14D1F"/>
    <w:rsid w:val="00E1536A"/>
    <w:rsid w:val="00E2045E"/>
    <w:rsid w:val="00E2192E"/>
    <w:rsid w:val="00E23AED"/>
    <w:rsid w:val="00E23D04"/>
    <w:rsid w:val="00E24E0D"/>
    <w:rsid w:val="00E25D08"/>
    <w:rsid w:val="00E26450"/>
    <w:rsid w:val="00E26DB3"/>
    <w:rsid w:val="00E2754B"/>
    <w:rsid w:val="00E27EB9"/>
    <w:rsid w:val="00E3009B"/>
    <w:rsid w:val="00E33222"/>
    <w:rsid w:val="00E3490D"/>
    <w:rsid w:val="00E34A73"/>
    <w:rsid w:val="00E3552E"/>
    <w:rsid w:val="00E35E42"/>
    <w:rsid w:val="00E369D1"/>
    <w:rsid w:val="00E36EBB"/>
    <w:rsid w:val="00E37937"/>
    <w:rsid w:val="00E430D5"/>
    <w:rsid w:val="00E43388"/>
    <w:rsid w:val="00E43E63"/>
    <w:rsid w:val="00E45477"/>
    <w:rsid w:val="00E45DD3"/>
    <w:rsid w:val="00E45EA1"/>
    <w:rsid w:val="00E475EC"/>
    <w:rsid w:val="00E51C4A"/>
    <w:rsid w:val="00E546C4"/>
    <w:rsid w:val="00E57CD5"/>
    <w:rsid w:val="00E57FA9"/>
    <w:rsid w:val="00E603E4"/>
    <w:rsid w:val="00E60A80"/>
    <w:rsid w:val="00E60FC9"/>
    <w:rsid w:val="00E6171A"/>
    <w:rsid w:val="00E61C81"/>
    <w:rsid w:val="00E61FC3"/>
    <w:rsid w:val="00E622A6"/>
    <w:rsid w:val="00E6269C"/>
    <w:rsid w:val="00E627A6"/>
    <w:rsid w:val="00E629FD"/>
    <w:rsid w:val="00E63319"/>
    <w:rsid w:val="00E639D1"/>
    <w:rsid w:val="00E63D89"/>
    <w:rsid w:val="00E641B2"/>
    <w:rsid w:val="00E64663"/>
    <w:rsid w:val="00E64F33"/>
    <w:rsid w:val="00E64F7F"/>
    <w:rsid w:val="00E65E4F"/>
    <w:rsid w:val="00E664E4"/>
    <w:rsid w:val="00E669C6"/>
    <w:rsid w:val="00E70725"/>
    <w:rsid w:val="00E70D0B"/>
    <w:rsid w:val="00E71C37"/>
    <w:rsid w:val="00E71C57"/>
    <w:rsid w:val="00E72B30"/>
    <w:rsid w:val="00E72BDF"/>
    <w:rsid w:val="00E75FA3"/>
    <w:rsid w:val="00E7721F"/>
    <w:rsid w:val="00E80446"/>
    <w:rsid w:val="00E82442"/>
    <w:rsid w:val="00E836A8"/>
    <w:rsid w:val="00E87E7B"/>
    <w:rsid w:val="00E9016C"/>
    <w:rsid w:val="00E9354C"/>
    <w:rsid w:val="00E93865"/>
    <w:rsid w:val="00E93928"/>
    <w:rsid w:val="00E94B4E"/>
    <w:rsid w:val="00E94F3D"/>
    <w:rsid w:val="00E95244"/>
    <w:rsid w:val="00E96CB2"/>
    <w:rsid w:val="00E96EE6"/>
    <w:rsid w:val="00EA2636"/>
    <w:rsid w:val="00EA318C"/>
    <w:rsid w:val="00EA3640"/>
    <w:rsid w:val="00EA4494"/>
    <w:rsid w:val="00EA54F8"/>
    <w:rsid w:val="00EA65CB"/>
    <w:rsid w:val="00EB17B8"/>
    <w:rsid w:val="00EB4B73"/>
    <w:rsid w:val="00EB4CB3"/>
    <w:rsid w:val="00EB5C93"/>
    <w:rsid w:val="00EC1053"/>
    <w:rsid w:val="00EC1143"/>
    <w:rsid w:val="00EC1BEB"/>
    <w:rsid w:val="00EC1D14"/>
    <w:rsid w:val="00EC2B2E"/>
    <w:rsid w:val="00EC43FD"/>
    <w:rsid w:val="00EC5AA9"/>
    <w:rsid w:val="00EC7C87"/>
    <w:rsid w:val="00ED00E6"/>
    <w:rsid w:val="00ED1217"/>
    <w:rsid w:val="00ED304C"/>
    <w:rsid w:val="00ED5420"/>
    <w:rsid w:val="00ED605C"/>
    <w:rsid w:val="00ED623D"/>
    <w:rsid w:val="00ED77C1"/>
    <w:rsid w:val="00ED77FE"/>
    <w:rsid w:val="00ED7BAC"/>
    <w:rsid w:val="00EE1D68"/>
    <w:rsid w:val="00EE343B"/>
    <w:rsid w:val="00EE46FC"/>
    <w:rsid w:val="00EE4F0A"/>
    <w:rsid w:val="00EE58D5"/>
    <w:rsid w:val="00EF3B20"/>
    <w:rsid w:val="00EF51BA"/>
    <w:rsid w:val="00F008E7"/>
    <w:rsid w:val="00F01C12"/>
    <w:rsid w:val="00F01F04"/>
    <w:rsid w:val="00F01FB0"/>
    <w:rsid w:val="00F049ED"/>
    <w:rsid w:val="00F04E30"/>
    <w:rsid w:val="00F13FB5"/>
    <w:rsid w:val="00F143FB"/>
    <w:rsid w:val="00F1473D"/>
    <w:rsid w:val="00F14798"/>
    <w:rsid w:val="00F175C2"/>
    <w:rsid w:val="00F20B45"/>
    <w:rsid w:val="00F21263"/>
    <w:rsid w:val="00F219C8"/>
    <w:rsid w:val="00F226BB"/>
    <w:rsid w:val="00F2328C"/>
    <w:rsid w:val="00F2364A"/>
    <w:rsid w:val="00F23AE5"/>
    <w:rsid w:val="00F2537C"/>
    <w:rsid w:val="00F260B0"/>
    <w:rsid w:val="00F26BD0"/>
    <w:rsid w:val="00F27817"/>
    <w:rsid w:val="00F33AC7"/>
    <w:rsid w:val="00F344AD"/>
    <w:rsid w:val="00F34A79"/>
    <w:rsid w:val="00F36C62"/>
    <w:rsid w:val="00F374B2"/>
    <w:rsid w:val="00F405EC"/>
    <w:rsid w:val="00F4073F"/>
    <w:rsid w:val="00F40A92"/>
    <w:rsid w:val="00F41B2E"/>
    <w:rsid w:val="00F4316A"/>
    <w:rsid w:val="00F43313"/>
    <w:rsid w:val="00F43A24"/>
    <w:rsid w:val="00F44DEF"/>
    <w:rsid w:val="00F502B4"/>
    <w:rsid w:val="00F51373"/>
    <w:rsid w:val="00F517C1"/>
    <w:rsid w:val="00F51882"/>
    <w:rsid w:val="00F53153"/>
    <w:rsid w:val="00F60AC9"/>
    <w:rsid w:val="00F61312"/>
    <w:rsid w:val="00F6179A"/>
    <w:rsid w:val="00F647D2"/>
    <w:rsid w:val="00F649B9"/>
    <w:rsid w:val="00F64D04"/>
    <w:rsid w:val="00F6722C"/>
    <w:rsid w:val="00F71D21"/>
    <w:rsid w:val="00F7410D"/>
    <w:rsid w:val="00F769D7"/>
    <w:rsid w:val="00F76FCD"/>
    <w:rsid w:val="00F77B21"/>
    <w:rsid w:val="00F80704"/>
    <w:rsid w:val="00F80AB0"/>
    <w:rsid w:val="00F81DCF"/>
    <w:rsid w:val="00F822E3"/>
    <w:rsid w:val="00F8241F"/>
    <w:rsid w:val="00F841E1"/>
    <w:rsid w:val="00F85156"/>
    <w:rsid w:val="00F90967"/>
    <w:rsid w:val="00F918BB"/>
    <w:rsid w:val="00F94E2B"/>
    <w:rsid w:val="00F9530B"/>
    <w:rsid w:val="00FA0436"/>
    <w:rsid w:val="00FA0EAF"/>
    <w:rsid w:val="00FA1118"/>
    <w:rsid w:val="00FA1352"/>
    <w:rsid w:val="00FA1EC9"/>
    <w:rsid w:val="00FA2045"/>
    <w:rsid w:val="00FA2BDC"/>
    <w:rsid w:val="00FA7CCA"/>
    <w:rsid w:val="00FB0033"/>
    <w:rsid w:val="00FB05FF"/>
    <w:rsid w:val="00FB5855"/>
    <w:rsid w:val="00FB5972"/>
    <w:rsid w:val="00FB5CFD"/>
    <w:rsid w:val="00FB6BAB"/>
    <w:rsid w:val="00FC1F51"/>
    <w:rsid w:val="00FC2FD1"/>
    <w:rsid w:val="00FC449D"/>
    <w:rsid w:val="00FC4BF8"/>
    <w:rsid w:val="00FC6B09"/>
    <w:rsid w:val="00FC6FF1"/>
    <w:rsid w:val="00FC724F"/>
    <w:rsid w:val="00FC74F6"/>
    <w:rsid w:val="00FC76C1"/>
    <w:rsid w:val="00FD1ECB"/>
    <w:rsid w:val="00FD3353"/>
    <w:rsid w:val="00FD3464"/>
    <w:rsid w:val="00FD3838"/>
    <w:rsid w:val="00FD4686"/>
    <w:rsid w:val="00FD5BA0"/>
    <w:rsid w:val="00FD629A"/>
    <w:rsid w:val="00FD7169"/>
    <w:rsid w:val="00FD7979"/>
    <w:rsid w:val="00FD7ACB"/>
    <w:rsid w:val="00FE21C4"/>
    <w:rsid w:val="00FE37CF"/>
    <w:rsid w:val="00FE3B23"/>
    <w:rsid w:val="00FE41D2"/>
    <w:rsid w:val="00FE4706"/>
    <w:rsid w:val="00FE57E1"/>
    <w:rsid w:val="00FE58C5"/>
    <w:rsid w:val="00FE5B82"/>
    <w:rsid w:val="00FE6147"/>
    <w:rsid w:val="00FE6291"/>
    <w:rsid w:val="00FF0D33"/>
    <w:rsid w:val="00FF1AAF"/>
    <w:rsid w:val="00FF1E00"/>
    <w:rsid w:val="00FF34A5"/>
    <w:rsid w:val="00FF50DC"/>
    <w:rsid w:val="00FF61C5"/>
    <w:rsid w:val="00FF70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F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AB3"/>
  </w:style>
  <w:style w:type="paragraph" w:styleId="Heading1">
    <w:name w:val="heading 1"/>
    <w:basedOn w:val="Normal"/>
    <w:next w:val="Normal"/>
    <w:link w:val="Heading1Char"/>
    <w:uiPriority w:val="9"/>
    <w:qFormat/>
    <w:rsid w:val="00783AB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83AB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83AB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83AB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83AB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83AB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83AB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83AB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83AB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74344"/>
    <w:pPr>
      <w:spacing w:after="0" w:line="240" w:lineRule="auto"/>
    </w:pPr>
    <w:rPr>
      <w:sz w:val="20"/>
      <w:szCs w:val="20"/>
    </w:rPr>
  </w:style>
  <w:style w:type="character" w:customStyle="1" w:styleId="FootnoteTextChar">
    <w:name w:val="Footnote Text Char"/>
    <w:basedOn w:val="DefaultParagraphFont"/>
    <w:link w:val="FootnoteText"/>
    <w:uiPriority w:val="99"/>
    <w:rsid w:val="00A74344"/>
    <w:rPr>
      <w:sz w:val="20"/>
      <w:szCs w:val="20"/>
    </w:rPr>
  </w:style>
  <w:style w:type="character" w:styleId="FootnoteReference">
    <w:name w:val="footnote reference"/>
    <w:basedOn w:val="DefaultParagraphFont"/>
    <w:uiPriority w:val="99"/>
    <w:semiHidden/>
    <w:unhideWhenUsed/>
    <w:rsid w:val="00A74344"/>
    <w:rPr>
      <w:vertAlign w:val="superscript"/>
    </w:rPr>
  </w:style>
  <w:style w:type="character" w:styleId="Hyperlink">
    <w:name w:val="Hyperlink"/>
    <w:basedOn w:val="DefaultParagraphFont"/>
    <w:uiPriority w:val="99"/>
    <w:unhideWhenUsed/>
    <w:rsid w:val="00A74344"/>
    <w:rPr>
      <w:color w:val="0563C1" w:themeColor="hyperlink"/>
      <w:u w:val="single"/>
    </w:rPr>
  </w:style>
  <w:style w:type="character" w:styleId="FollowedHyperlink">
    <w:name w:val="FollowedHyperlink"/>
    <w:basedOn w:val="DefaultParagraphFont"/>
    <w:uiPriority w:val="99"/>
    <w:semiHidden/>
    <w:unhideWhenUsed/>
    <w:rsid w:val="00A74344"/>
    <w:rPr>
      <w:color w:val="954F72" w:themeColor="followedHyperlink"/>
      <w:u w:val="single"/>
    </w:rPr>
  </w:style>
  <w:style w:type="character" w:styleId="CommentReference">
    <w:name w:val="annotation reference"/>
    <w:basedOn w:val="DefaultParagraphFont"/>
    <w:uiPriority w:val="99"/>
    <w:semiHidden/>
    <w:unhideWhenUsed/>
    <w:rsid w:val="000C50F0"/>
    <w:rPr>
      <w:sz w:val="16"/>
      <w:szCs w:val="16"/>
    </w:rPr>
  </w:style>
  <w:style w:type="paragraph" w:styleId="CommentText">
    <w:name w:val="annotation text"/>
    <w:basedOn w:val="Normal"/>
    <w:link w:val="CommentTextChar"/>
    <w:uiPriority w:val="99"/>
    <w:unhideWhenUsed/>
    <w:rsid w:val="000C50F0"/>
    <w:pPr>
      <w:spacing w:line="240" w:lineRule="auto"/>
    </w:pPr>
    <w:rPr>
      <w:sz w:val="20"/>
      <w:szCs w:val="20"/>
    </w:rPr>
  </w:style>
  <w:style w:type="character" w:customStyle="1" w:styleId="CommentTextChar">
    <w:name w:val="Comment Text Char"/>
    <w:basedOn w:val="DefaultParagraphFont"/>
    <w:link w:val="CommentText"/>
    <w:uiPriority w:val="99"/>
    <w:rsid w:val="000C50F0"/>
    <w:rPr>
      <w:sz w:val="20"/>
      <w:szCs w:val="20"/>
    </w:rPr>
  </w:style>
  <w:style w:type="paragraph" w:styleId="CommentSubject">
    <w:name w:val="annotation subject"/>
    <w:basedOn w:val="CommentText"/>
    <w:next w:val="CommentText"/>
    <w:link w:val="CommentSubjectChar"/>
    <w:uiPriority w:val="99"/>
    <w:semiHidden/>
    <w:unhideWhenUsed/>
    <w:rsid w:val="000C50F0"/>
    <w:rPr>
      <w:b/>
      <w:bCs/>
    </w:rPr>
  </w:style>
  <w:style w:type="character" w:customStyle="1" w:styleId="CommentSubjectChar">
    <w:name w:val="Comment Subject Char"/>
    <w:basedOn w:val="CommentTextChar"/>
    <w:link w:val="CommentSubject"/>
    <w:uiPriority w:val="99"/>
    <w:semiHidden/>
    <w:rsid w:val="000C50F0"/>
    <w:rPr>
      <w:b/>
      <w:bCs/>
      <w:sz w:val="20"/>
      <w:szCs w:val="20"/>
    </w:rPr>
  </w:style>
  <w:style w:type="paragraph" w:styleId="BalloonText">
    <w:name w:val="Balloon Text"/>
    <w:basedOn w:val="Normal"/>
    <w:link w:val="BalloonTextChar"/>
    <w:uiPriority w:val="99"/>
    <w:semiHidden/>
    <w:unhideWhenUsed/>
    <w:rsid w:val="000C5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0F0"/>
    <w:rPr>
      <w:rFonts w:ascii="Segoe UI" w:hAnsi="Segoe UI" w:cs="Segoe UI"/>
      <w:sz w:val="18"/>
      <w:szCs w:val="18"/>
    </w:rPr>
  </w:style>
  <w:style w:type="paragraph" w:styleId="Header">
    <w:name w:val="header"/>
    <w:basedOn w:val="Normal"/>
    <w:link w:val="HeaderChar"/>
    <w:uiPriority w:val="99"/>
    <w:unhideWhenUsed/>
    <w:rsid w:val="00FD79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7979"/>
  </w:style>
  <w:style w:type="paragraph" w:styleId="Footer">
    <w:name w:val="footer"/>
    <w:basedOn w:val="Normal"/>
    <w:link w:val="FooterChar"/>
    <w:uiPriority w:val="99"/>
    <w:unhideWhenUsed/>
    <w:rsid w:val="00FD79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7979"/>
  </w:style>
  <w:style w:type="paragraph" w:styleId="ListParagraph">
    <w:name w:val="List Paragraph"/>
    <w:basedOn w:val="Normal"/>
    <w:uiPriority w:val="34"/>
    <w:qFormat/>
    <w:rsid w:val="00783AB3"/>
    <w:pPr>
      <w:ind w:left="720"/>
      <w:contextualSpacing/>
    </w:pPr>
  </w:style>
  <w:style w:type="table" w:styleId="TableGrid">
    <w:name w:val="Table Grid"/>
    <w:basedOn w:val="TableNormal"/>
    <w:uiPriority w:val="39"/>
    <w:rsid w:val="00D2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343B"/>
    <w:pPr>
      <w:spacing w:before="100" w:beforeAutospacing="1" w:after="100" w:afterAutospacing="1" w:line="240" w:lineRule="auto"/>
    </w:pPr>
    <w:rPr>
      <w:rFonts w:ascii="Times New Roman" w:hAnsi="Times New Roman" w:cs="Times New Roman"/>
      <w:sz w:val="24"/>
      <w:szCs w:val="24"/>
      <w:lang w:eastAsia="fr-BE"/>
    </w:rPr>
  </w:style>
  <w:style w:type="table" w:styleId="LightShading">
    <w:name w:val="Light Shading"/>
    <w:basedOn w:val="TableNormal"/>
    <w:uiPriority w:val="60"/>
    <w:rsid w:val="00E2754B"/>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E2754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E2754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5">
    <w:name w:val="Medium Shading 1 Accent 5"/>
    <w:basedOn w:val="TableNormal"/>
    <w:uiPriority w:val="63"/>
    <w:rsid w:val="00E2754B"/>
    <w:pPr>
      <w:spacing w:after="0" w:line="240" w:lineRule="auto"/>
    </w:pPr>
    <w:rPr>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83664"/>
    <w:rPr>
      <w:color w:val="808080"/>
    </w:rPr>
  </w:style>
  <w:style w:type="table" w:customStyle="1" w:styleId="TableauGrille41">
    <w:name w:val="Tableau Grille 41"/>
    <w:basedOn w:val="TableNormal"/>
    <w:uiPriority w:val="49"/>
    <w:rsid w:val="000054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645B78"/>
  </w:style>
  <w:style w:type="character" w:customStyle="1" w:styleId="Heading1Char">
    <w:name w:val="Heading 1 Char"/>
    <w:basedOn w:val="DefaultParagraphFont"/>
    <w:link w:val="Heading1"/>
    <w:uiPriority w:val="9"/>
    <w:rsid w:val="00783AB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83AB3"/>
    <w:rPr>
      <w:rFonts w:asciiTheme="majorHAnsi" w:eastAsiaTheme="majorEastAsia" w:hAnsiTheme="majorHAnsi" w:cstheme="majorBidi"/>
      <w:b/>
      <w:bCs/>
      <w:sz w:val="26"/>
      <w:szCs w:val="26"/>
    </w:rPr>
  </w:style>
  <w:style w:type="paragraph" w:styleId="NoSpacing">
    <w:name w:val="No Spacing"/>
    <w:basedOn w:val="Normal"/>
    <w:link w:val="NoSpacingChar"/>
    <w:uiPriority w:val="1"/>
    <w:qFormat/>
    <w:rsid w:val="00783AB3"/>
    <w:pPr>
      <w:spacing w:after="0" w:line="240" w:lineRule="auto"/>
    </w:pPr>
  </w:style>
  <w:style w:type="character" w:customStyle="1" w:styleId="Heading3Char">
    <w:name w:val="Heading 3 Char"/>
    <w:basedOn w:val="DefaultParagraphFont"/>
    <w:link w:val="Heading3"/>
    <w:uiPriority w:val="9"/>
    <w:semiHidden/>
    <w:rsid w:val="00783AB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83AB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83AB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83AB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83AB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83AB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83AB3"/>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643156"/>
    <w:rPr>
      <w:caps/>
      <w:spacing w:val="10"/>
      <w:sz w:val="18"/>
      <w:szCs w:val="18"/>
    </w:rPr>
  </w:style>
  <w:style w:type="paragraph" w:styleId="Title">
    <w:name w:val="Title"/>
    <w:basedOn w:val="Normal"/>
    <w:next w:val="Normal"/>
    <w:link w:val="TitleChar"/>
    <w:uiPriority w:val="10"/>
    <w:qFormat/>
    <w:rsid w:val="00783AB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83AB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83AB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83AB3"/>
    <w:rPr>
      <w:rFonts w:asciiTheme="majorHAnsi" w:eastAsiaTheme="majorEastAsia" w:hAnsiTheme="majorHAnsi" w:cstheme="majorBidi"/>
      <w:i/>
      <w:iCs/>
      <w:spacing w:val="13"/>
      <w:sz w:val="24"/>
      <w:szCs w:val="24"/>
    </w:rPr>
  </w:style>
  <w:style w:type="character" w:styleId="Strong">
    <w:name w:val="Strong"/>
    <w:uiPriority w:val="22"/>
    <w:qFormat/>
    <w:rsid w:val="00783AB3"/>
    <w:rPr>
      <w:b/>
      <w:bCs/>
    </w:rPr>
  </w:style>
  <w:style w:type="character" w:styleId="Emphasis">
    <w:name w:val="Emphasis"/>
    <w:uiPriority w:val="20"/>
    <w:qFormat/>
    <w:rsid w:val="00783AB3"/>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643156"/>
  </w:style>
  <w:style w:type="paragraph" w:styleId="Quote">
    <w:name w:val="Quote"/>
    <w:basedOn w:val="Normal"/>
    <w:next w:val="Normal"/>
    <w:link w:val="QuoteChar"/>
    <w:uiPriority w:val="29"/>
    <w:qFormat/>
    <w:rsid w:val="00783AB3"/>
    <w:pPr>
      <w:spacing w:before="200" w:after="0"/>
      <w:ind w:left="360" w:right="360"/>
    </w:pPr>
    <w:rPr>
      <w:i/>
      <w:iCs/>
    </w:rPr>
  </w:style>
  <w:style w:type="character" w:customStyle="1" w:styleId="QuoteChar">
    <w:name w:val="Quote Char"/>
    <w:basedOn w:val="DefaultParagraphFont"/>
    <w:link w:val="Quote"/>
    <w:uiPriority w:val="29"/>
    <w:rsid w:val="00783AB3"/>
    <w:rPr>
      <w:i/>
      <w:iCs/>
    </w:rPr>
  </w:style>
  <w:style w:type="paragraph" w:styleId="IntenseQuote">
    <w:name w:val="Intense Quote"/>
    <w:basedOn w:val="Normal"/>
    <w:next w:val="Normal"/>
    <w:link w:val="IntenseQuoteChar"/>
    <w:uiPriority w:val="30"/>
    <w:qFormat/>
    <w:rsid w:val="00783AB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83AB3"/>
    <w:rPr>
      <w:b/>
      <w:bCs/>
      <w:i/>
      <w:iCs/>
    </w:rPr>
  </w:style>
  <w:style w:type="character" w:styleId="SubtleEmphasis">
    <w:name w:val="Subtle Emphasis"/>
    <w:uiPriority w:val="19"/>
    <w:qFormat/>
    <w:rsid w:val="00783AB3"/>
    <w:rPr>
      <w:i/>
      <w:iCs/>
    </w:rPr>
  </w:style>
  <w:style w:type="character" w:styleId="IntenseEmphasis">
    <w:name w:val="Intense Emphasis"/>
    <w:uiPriority w:val="21"/>
    <w:qFormat/>
    <w:rsid w:val="00783AB3"/>
    <w:rPr>
      <w:b/>
      <w:bCs/>
    </w:rPr>
  </w:style>
  <w:style w:type="character" w:styleId="SubtleReference">
    <w:name w:val="Subtle Reference"/>
    <w:uiPriority w:val="31"/>
    <w:qFormat/>
    <w:rsid w:val="00783AB3"/>
    <w:rPr>
      <w:smallCaps/>
    </w:rPr>
  </w:style>
  <w:style w:type="character" w:styleId="IntenseReference">
    <w:name w:val="Intense Reference"/>
    <w:uiPriority w:val="32"/>
    <w:qFormat/>
    <w:rsid w:val="00783AB3"/>
    <w:rPr>
      <w:smallCaps/>
      <w:spacing w:val="5"/>
      <w:u w:val="single"/>
    </w:rPr>
  </w:style>
  <w:style w:type="character" w:styleId="BookTitle">
    <w:name w:val="Book Title"/>
    <w:uiPriority w:val="33"/>
    <w:qFormat/>
    <w:rsid w:val="00783AB3"/>
    <w:rPr>
      <w:i/>
      <w:iCs/>
      <w:smallCaps/>
      <w:spacing w:val="5"/>
    </w:rPr>
  </w:style>
  <w:style w:type="paragraph" w:styleId="TOCHeading">
    <w:name w:val="TOC Heading"/>
    <w:basedOn w:val="Heading1"/>
    <w:next w:val="Normal"/>
    <w:uiPriority w:val="39"/>
    <w:semiHidden/>
    <w:unhideWhenUsed/>
    <w:qFormat/>
    <w:rsid w:val="00783AB3"/>
    <w:pPr>
      <w:outlineLvl w:val="9"/>
    </w:pPr>
    <w:rPr>
      <w:lang w:bidi="en-US"/>
    </w:rPr>
  </w:style>
  <w:style w:type="paragraph" w:styleId="EndnoteText">
    <w:name w:val="endnote text"/>
    <w:basedOn w:val="Normal"/>
    <w:link w:val="EndnoteTextChar"/>
    <w:uiPriority w:val="99"/>
    <w:semiHidden/>
    <w:unhideWhenUsed/>
    <w:rsid w:val="00E27E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7EB9"/>
    <w:rPr>
      <w:sz w:val="20"/>
      <w:szCs w:val="20"/>
    </w:rPr>
  </w:style>
  <w:style w:type="character" w:styleId="EndnoteReference">
    <w:name w:val="endnote reference"/>
    <w:basedOn w:val="DefaultParagraphFont"/>
    <w:uiPriority w:val="99"/>
    <w:semiHidden/>
    <w:unhideWhenUsed/>
    <w:rsid w:val="00E27EB9"/>
    <w:rPr>
      <w:vertAlign w:val="superscript"/>
    </w:rPr>
  </w:style>
  <w:style w:type="character" w:styleId="LineNumber">
    <w:name w:val="line number"/>
    <w:basedOn w:val="DefaultParagraphFont"/>
    <w:uiPriority w:val="99"/>
    <w:semiHidden/>
    <w:unhideWhenUsed/>
    <w:rsid w:val="00AA39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AB3"/>
  </w:style>
  <w:style w:type="paragraph" w:styleId="Heading1">
    <w:name w:val="heading 1"/>
    <w:basedOn w:val="Normal"/>
    <w:next w:val="Normal"/>
    <w:link w:val="Heading1Char"/>
    <w:uiPriority w:val="9"/>
    <w:qFormat/>
    <w:rsid w:val="00783AB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83AB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83AB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83AB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83AB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83AB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83AB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83AB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83AB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74344"/>
    <w:pPr>
      <w:spacing w:after="0" w:line="240" w:lineRule="auto"/>
    </w:pPr>
    <w:rPr>
      <w:sz w:val="20"/>
      <w:szCs w:val="20"/>
    </w:rPr>
  </w:style>
  <w:style w:type="character" w:customStyle="1" w:styleId="FootnoteTextChar">
    <w:name w:val="Footnote Text Char"/>
    <w:basedOn w:val="DefaultParagraphFont"/>
    <w:link w:val="FootnoteText"/>
    <w:uiPriority w:val="99"/>
    <w:rsid w:val="00A74344"/>
    <w:rPr>
      <w:sz w:val="20"/>
      <w:szCs w:val="20"/>
    </w:rPr>
  </w:style>
  <w:style w:type="character" w:styleId="FootnoteReference">
    <w:name w:val="footnote reference"/>
    <w:basedOn w:val="DefaultParagraphFont"/>
    <w:uiPriority w:val="99"/>
    <w:semiHidden/>
    <w:unhideWhenUsed/>
    <w:rsid w:val="00A74344"/>
    <w:rPr>
      <w:vertAlign w:val="superscript"/>
    </w:rPr>
  </w:style>
  <w:style w:type="character" w:styleId="Hyperlink">
    <w:name w:val="Hyperlink"/>
    <w:basedOn w:val="DefaultParagraphFont"/>
    <w:uiPriority w:val="99"/>
    <w:unhideWhenUsed/>
    <w:rsid w:val="00A74344"/>
    <w:rPr>
      <w:color w:val="0563C1" w:themeColor="hyperlink"/>
      <w:u w:val="single"/>
    </w:rPr>
  </w:style>
  <w:style w:type="character" w:styleId="FollowedHyperlink">
    <w:name w:val="FollowedHyperlink"/>
    <w:basedOn w:val="DefaultParagraphFont"/>
    <w:uiPriority w:val="99"/>
    <w:semiHidden/>
    <w:unhideWhenUsed/>
    <w:rsid w:val="00A74344"/>
    <w:rPr>
      <w:color w:val="954F72" w:themeColor="followedHyperlink"/>
      <w:u w:val="single"/>
    </w:rPr>
  </w:style>
  <w:style w:type="character" w:styleId="CommentReference">
    <w:name w:val="annotation reference"/>
    <w:basedOn w:val="DefaultParagraphFont"/>
    <w:uiPriority w:val="99"/>
    <w:semiHidden/>
    <w:unhideWhenUsed/>
    <w:rsid w:val="000C50F0"/>
    <w:rPr>
      <w:sz w:val="16"/>
      <w:szCs w:val="16"/>
    </w:rPr>
  </w:style>
  <w:style w:type="paragraph" w:styleId="CommentText">
    <w:name w:val="annotation text"/>
    <w:basedOn w:val="Normal"/>
    <w:link w:val="CommentTextChar"/>
    <w:uiPriority w:val="99"/>
    <w:unhideWhenUsed/>
    <w:rsid w:val="000C50F0"/>
    <w:pPr>
      <w:spacing w:line="240" w:lineRule="auto"/>
    </w:pPr>
    <w:rPr>
      <w:sz w:val="20"/>
      <w:szCs w:val="20"/>
    </w:rPr>
  </w:style>
  <w:style w:type="character" w:customStyle="1" w:styleId="CommentTextChar">
    <w:name w:val="Comment Text Char"/>
    <w:basedOn w:val="DefaultParagraphFont"/>
    <w:link w:val="CommentText"/>
    <w:uiPriority w:val="99"/>
    <w:rsid w:val="000C50F0"/>
    <w:rPr>
      <w:sz w:val="20"/>
      <w:szCs w:val="20"/>
    </w:rPr>
  </w:style>
  <w:style w:type="paragraph" w:styleId="CommentSubject">
    <w:name w:val="annotation subject"/>
    <w:basedOn w:val="CommentText"/>
    <w:next w:val="CommentText"/>
    <w:link w:val="CommentSubjectChar"/>
    <w:uiPriority w:val="99"/>
    <w:semiHidden/>
    <w:unhideWhenUsed/>
    <w:rsid w:val="000C50F0"/>
    <w:rPr>
      <w:b/>
      <w:bCs/>
    </w:rPr>
  </w:style>
  <w:style w:type="character" w:customStyle="1" w:styleId="CommentSubjectChar">
    <w:name w:val="Comment Subject Char"/>
    <w:basedOn w:val="CommentTextChar"/>
    <w:link w:val="CommentSubject"/>
    <w:uiPriority w:val="99"/>
    <w:semiHidden/>
    <w:rsid w:val="000C50F0"/>
    <w:rPr>
      <w:b/>
      <w:bCs/>
      <w:sz w:val="20"/>
      <w:szCs w:val="20"/>
    </w:rPr>
  </w:style>
  <w:style w:type="paragraph" w:styleId="BalloonText">
    <w:name w:val="Balloon Text"/>
    <w:basedOn w:val="Normal"/>
    <w:link w:val="BalloonTextChar"/>
    <w:uiPriority w:val="99"/>
    <w:semiHidden/>
    <w:unhideWhenUsed/>
    <w:rsid w:val="000C5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0F0"/>
    <w:rPr>
      <w:rFonts w:ascii="Segoe UI" w:hAnsi="Segoe UI" w:cs="Segoe UI"/>
      <w:sz w:val="18"/>
      <w:szCs w:val="18"/>
    </w:rPr>
  </w:style>
  <w:style w:type="paragraph" w:styleId="Header">
    <w:name w:val="header"/>
    <w:basedOn w:val="Normal"/>
    <w:link w:val="HeaderChar"/>
    <w:uiPriority w:val="99"/>
    <w:unhideWhenUsed/>
    <w:rsid w:val="00FD79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7979"/>
  </w:style>
  <w:style w:type="paragraph" w:styleId="Footer">
    <w:name w:val="footer"/>
    <w:basedOn w:val="Normal"/>
    <w:link w:val="FooterChar"/>
    <w:uiPriority w:val="99"/>
    <w:unhideWhenUsed/>
    <w:rsid w:val="00FD79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7979"/>
  </w:style>
  <w:style w:type="paragraph" w:styleId="ListParagraph">
    <w:name w:val="List Paragraph"/>
    <w:basedOn w:val="Normal"/>
    <w:uiPriority w:val="34"/>
    <w:qFormat/>
    <w:rsid w:val="00783AB3"/>
    <w:pPr>
      <w:ind w:left="720"/>
      <w:contextualSpacing/>
    </w:pPr>
  </w:style>
  <w:style w:type="table" w:styleId="TableGrid">
    <w:name w:val="Table Grid"/>
    <w:basedOn w:val="TableNormal"/>
    <w:uiPriority w:val="39"/>
    <w:rsid w:val="00D2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343B"/>
    <w:pPr>
      <w:spacing w:before="100" w:beforeAutospacing="1" w:after="100" w:afterAutospacing="1" w:line="240" w:lineRule="auto"/>
    </w:pPr>
    <w:rPr>
      <w:rFonts w:ascii="Times New Roman" w:hAnsi="Times New Roman" w:cs="Times New Roman"/>
      <w:sz w:val="24"/>
      <w:szCs w:val="24"/>
      <w:lang w:eastAsia="fr-BE"/>
    </w:rPr>
  </w:style>
  <w:style w:type="table" w:styleId="LightShading">
    <w:name w:val="Light Shading"/>
    <w:basedOn w:val="TableNormal"/>
    <w:uiPriority w:val="60"/>
    <w:rsid w:val="00E2754B"/>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E2754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E2754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5">
    <w:name w:val="Medium Shading 1 Accent 5"/>
    <w:basedOn w:val="TableNormal"/>
    <w:uiPriority w:val="63"/>
    <w:rsid w:val="00E2754B"/>
    <w:pPr>
      <w:spacing w:after="0" w:line="240" w:lineRule="auto"/>
    </w:pPr>
    <w:rPr>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83664"/>
    <w:rPr>
      <w:color w:val="808080"/>
    </w:rPr>
  </w:style>
  <w:style w:type="table" w:customStyle="1" w:styleId="TableauGrille41">
    <w:name w:val="Tableau Grille 41"/>
    <w:basedOn w:val="TableNormal"/>
    <w:uiPriority w:val="49"/>
    <w:rsid w:val="000054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645B78"/>
  </w:style>
  <w:style w:type="character" w:customStyle="1" w:styleId="Heading1Char">
    <w:name w:val="Heading 1 Char"/>
    <w:basedOn w:val="DefaultParagraphFont"/>
    <w:link w:val="Heading1"/>
    <w:uiPriority w:val="9"/>
    <w:rsid w:val="00783AB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83AB3"/>
    <w:rPr>
      <w:rFonts w:asciiTheme="majorHAnsi" w:eastAsiaTheme="majorEastAsia" w:hAnsiTheme="majorHAnsi" w:cstheme="majorBidi"/>
      <w:b/>
      <w:bCs/>
      <w:sz w:val="26"/>
      <w:szCs w:val="26"/>
    </w:rPr>
  </w:style>
  <w:style w:type="paragraph" w:styleId="NoSpacing">
    <w:name w:val="No Spacing"/>
    <w:basedOn w:val="Normal"/>
    <w:link w:val="NoSpacingChar"/>
    <w:uiPriority w:val="1"/>
    <w:qFormat/>
    <w:rsid w:val="00783AB3"/>
    <w:pPr>
      <w:spacing w:after="0" w:line="240" w:lineRule="auto"/>
    </w:pPr>
  </w:style>
  <w:style w:type="character" w:customStyle="1" w:styleId="Heading3Char">
    <w:name w:val="Heading 3 Char"/>
    <w:basedOn w:val="DefaultParagraphFont"/>
    <w:link w:val="Heading3"/>
    <w:uiPriority w:val="9"/>
    <w:semiHidden/>
    <w:rsid w:val="00783AB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83AB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83AB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83AB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83AB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83AB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83AB3"/>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643156"/>
    <w:rPr>
      <w:caps/>
      <w:spacing w:val="10"/>
      <w:sz w:val="18"/>
      <w:szCs w:val="18"/>
    </w:rPr>
  </w:style>
  <w:style w:type="paragraph" w:styleId="Title">
    <w:name w:val="Title"/>
    <w:basedOn w:val="Normal"/>
    <w:next w:val="Normal"/>
    <w:link w:val="TitleChar"/>
    <w:uiPriority w:val="10"/>
    <w:qFormat/>
    <w:rsid w:val="00783AB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83AB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83AB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83AB3"/>
    <w:rPr>
      <w:rFonts w:asciiTheme="majorHAnsi" w:eastAsiaTheme="majorEastAsia" w:hAnsiTheme="majorHAnsi" w:cstheme="majorBidi"/>
      <w:i/>
      <w:iCs/>
      <w:spacing w:val="13"/>
      <w:sz w:val="24"/>
      <w:szCs w:val="24"/>
    </w:rPr>
  </w:style>
  <w:style w:type="character" w:styleId="Strong">
    <w:name w:val="Strong"/>
    <w:uiPriority w:val="22"/>
    <w:qFormat/>
    <w:rsid w:val="00783AB3"/>
    <w:rPr>
      <w:b/>
      <w:bCs/>
    </w:rPr>
  </w:style>
  <w:style w:type="character" w:styleId="Emphasis">
    <w:name w:val="Emphasis"/>
    <w:uiPriority w:val="20"/>
    <w:qFormat/>
    <w:rsid w:val="00783AB3"/>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643156"/>
  </w:style>
  <w:style w:type="paragraph" w:styleId="Quote">
    <w:name w:val="Quote"/>
    <w:basedOn w:val="Normal"/>
    <w:next w:val="Normal"/>
    <w:link w:val="QuoteChar"/>
    <w:uiPriority w:val="29"/>
    <w:qFormat/>
    <w:rsid w:val="00783AB3"/>
    <w:pPr>
      <w:spacing w:before="200" w:after="0"/>
      <w:ind w:left="360" w:right="360"/>
    </w:pPr>
    <w:rPr>
      <w:i/>
      <w:iCs/>
    </w:rPr>
  </w:style>
  <w:style w:type="character" w:customStyle="1" w:styleId="QuoteChar">
    <w:name w:val="Quote Char"/>
    <w:basedOn w:val="DefaultParagraphFont"/>
    <w:link w:val="Quote"/>
    <w:uiPriority w:val="29"/>
    <w:rsid w:val="00783AB3"/>
    <w:rPr>
      <w:i/>
      <w:iCs/>
    </w:rPr>
  </w:style>
  <w:style w:type="paragraph" w:styleId="IntenseQuote">
    <w:name w:val="Intense Quote"/>
    <w:basedOn w:val="Normal"/>
    <w:next w:val="Normal"/>
    <w:link w:val="IntenseQuoteChar"/>
    <w:uiPriority w:val="30"/>
    <w:qFormat/>
    <w:rsid w:val="00783AB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83AB3"/>
    <w:rPr>
      <w:b/>
      <w:bCs/>
      <w:i/>
      <w:iCs/>
    </w:rPr>
  </w:style>
  <w:style w:type="character" w:styleId="SubtleEmphasis">
    <w:name w:val="Subtle Emphasis"/>
    <w:uiPriority w:val="19"/>
    <w:qFormat/>
    <w:rsid w:val="00783AB3"/>
    <w:rPr>
      <w:i/>
      <w:iCs/>
    </w:rPr>
  </w:style>
  <w:style w:type="character" w:styleId="IntenseEmphasis">
    <w:name w:val="Intense Emphasis"/>
    <w:uiPriority w:val="21"/>
    <w:qFormat/>
    <w:rsid w:val="00783AB3"/>
    <w:rPr>
      <w:b/>
      <w:bCs/>
    </w:rPr>
  </w:style>
  <w:style w:type="character" w:styleId="SubtleReference">
    <w:name w:val="Subtle Reference"/>
    <w:uiPriority w:val="31"/>
    <w:qFormat/>
    <w:rsid w:val="00783AB3"/>
    <w:rPr>
      <w:smallCaps/>
    </w:rPr>
  </w:style>
  <w:style w:type="character" w:styleId="IntenseReference">
    <w:name w:val="Intense Reference"/>
    <w:uiPriority w:val="32"/>
    <w:qFormat/>
    <w:rsid w:val="00783AB3"/>
    <w:rPr>
      <w:smallCaps/>
      <w:spacing w:val="5"/>
      <w:u w:val="single"/>
    </w:rPr>
  </w:style>
  <w:style w:type="character" w:styleId="BookTitle">
    <w:name w:val="Book Title"/>
    <w:uiPriority w:val="33"/>
    <w:qFormat/>
    <w:rsid w:val="00783AB3"/>
    <w:rPr>
      <w:i/>
      <w:iCs/>
      <w:smallCaps/>
      <w:spacing w:val="5"/>
    </w:rPr>
  </w:style>
  <w:style w:type="paragraph" w:styleId="TOCHeading">
    <w:name w:val="TOC Heading"/>
    <w:basedOn w:val="Heading1"/>
    <w:next w:val="Normal"/>
    <w:uiPriority w:val="39"/>
    <w:semiHidden/>
    <w:unhideWhenUsed/>
    <w:qFormat/>
    <w:rsid w:val="00783AB3"/>
    <w:pPr>
      <w:outlineLvl w:val="9"/>
    </w:pPr>
    <w:rPr>
      <w:lang w:bidi="en-US"/>
    </w:rPr>
  </w:style>
  <w:style w:type="paragraph" w:styleId="EndnoteText">
    <w:name w:val="endnote text"/>
    <w:basedOn w:val="Normal"/>
    <w:link w:val="EndnoteTextChar"/>
    <w:uiPriority w:val="99"/>
    <w:semiHidden/>
    <w:unhideWhenUsed/>
    <w:rsid w:val="00E27E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7EB9"/>
    <w:rPr>
      <w:sz w:val="20"/>
      <w:szCs w:val="20"/>
    </w:rPr>
  </w:style>
  <w:style w:type="character" w:styleId="EndnoteReference">
    <w:name w:val="endnote reference"/>
    <w:basedOn w:val="DefaultParagraphFont"/>
    <w:uiPriority w:val="99"/>
    <w:semiHidden/>
    <w:unhideWhenUsed/>
    <w:rsid w:val="00E27EB9"/>
    <w:rPr>
      <w:vertAlign w:val="superscript"/>
    </w:rPr>
  </w:style>
  <w:style w:type="character" w:styleId="LineNumber">
    <w:name w:val="line number"/>
    <w:basedOn w:val="DefaultParagraphFont"/>
    <w:uiPriority w:val="99"/>
    <w:semiHidden/>
    <w:unhideWhenUsed/>
    <w:rsid w:val="00AA3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0649">
      <w:bodyDiv w:val="1"/>
      <w:marLeft w:val="0"/>
      <w:marRight w:val="0"/>
      <w:marTop w:val="0"/>
      <w:marBottom w:val="0"/>
      <w:divBdr>
        <w:top w:val="none" w:sz="0" w:space="0" w:color="auto"/>
        <w:left w:val="none" w:sz="0" w:space="0" w:color="auto"/>
        <w:bottom w:val="none" w:sz="0" w:space="0" w:color="auto"/>
        <w:right w:val="none" w:sz="0" w:space="0" w:color="auto"/>
      </w:divBdr>
    </w:div>
    <w:div w:id="63837147">
      <w:bodyDiv w:val="1"/>
      <w:marLeft w:val="0"/>
      <w:marRight w:val="0"/>
      <w:marTop w:val="0"/>
      <w:marBottom w:val="0"/>
      <w:divBdr>
        <w:top w:val="none" w:sz="0" w:space="0" w:color="auto"/>
        <w:left w:val="none" w:sz="0" w:space="0" w:color="auto"/>
        <w:bottom w:val="none" w:sz="0" w:space="0" w:color="auto"/>
        <w:right w:val="none" w:sz="0" w:space="0" w:color="auto"/>
      </w:divBdr>
    </w:div>
    <w:div w:id="229729685">
      <w:bodyDiv w:val="1"/>
      <w:marLeft w:val="0"/>
      <w:marRight w:val="0"/>
      <w:marTop w:val="0"/>
      <w:marBottom w:val="0"/>
      <w:divBdr>
        <w:top w:val="none" w:sz="0" w:space="0" w:color="auto"/>
        <w:left w:val="none" w:sz="0" w:space="0" w:color="auto"/>
        <w:bottom w:val="none" w:sz="0" w:space="0" w:color="auto"/>
        <w:right w:val="none" w:sz="0" w:space="0" w:color="auto"/>
      </w:divBdr>
    </w:div>
    <w:div w:id="410010539">
      <w:bodyDiv w:val="1"/>
      <w:marLeft w:val="0"/>
      <w:marRight w:val="0"/>
      <w:marTop w:val="0"/>
      <w:marBottom w:val="0"/>
      <w:divBdr>
        <w:top w:val="none" w:sz="0" w:space="0" w:color="auto"/>
        <w:left w:val="none" w:sz="0" w:space="0" w:color="auto"/>
        <w:bottom w:val="none" w:sz="0" w:space="0" w:color="auto"/>
        <w:right w:val="none" w:sz="0" w:space="0" w:color="auto"/>
      </w:divBdr>
    </w:div>
    <w:div w:id="471600003">
      <w:bodyDiv w:val="1"/>
      <w:marLeft w:val="0"/>
      <w:marRight w:val="0"/>
      <w:marTop w:val="0"/>
      <w:marBottom w:val="0"/>
      <w:divBdr>
        <w:top w:val="none" w:sz="0" w:space="0" w:color="auto"/>
        <w:left w:val="none" w:sz="0" w:space="0" w:color="auto"/>
        <w:bottom w:val="none" w:sz="0" w:space="0" w:color="auto"/>
        <w:right w:val="none" w:sz="0" w:space="0" w:color="auto"/>
      </w:divBdr>
    </w:div>
    <w:div w:id="541359306">
      <w:bodyDiv w:val="1"/>
      <w:marLeft w:val="0"/>
      <w:marRight w:val="0"/>
      <w:marTop w:val="0"/>
      <w:marBottom w:val="0"/>
      <w:divBdr>
        <w:top w:val="none" w:sz="0" w:space="0" w:color="auto"/>
        <w:left w:val="none" w:sz="0" w:space="0" w:color="auto"/>
        <w:bottom w:val="none" w:sz="0" w:space="0" w:color="auto"/>
        <w:right w:val="none" w:sz="0" w:space="0" w:color="auto"/>
      </w:divBdr>
    </w:div>
    <w:div w:id="652149657">
      <w:bodyDiv w:val="1"/>
      <w:marLeft w:val="0"/>
      <w:marRight w:val="0"/>
      <w:marTop w:val="0"/>
      <w:marBottom w:val="0"/>
      <w:divBdr>
        <w:top w:val="none" w:sz="0" w:space="0" w:color="auto"/>
        <w:left w:val="none" w:sz="0" w:space="0" w:color="auto"/>
        <w:bottom w:val="none" w:sz="0" w:space="0" w:color="auto"/>
        <w:right w:val="none" w:sz="0" w:space="0" w:color="auto"/>
      </w:divBdr>
    </w:div>
    <w:div w:id="679936628">
      <w:bodyDiv w:val="1"/>
      <w:marLeft w:val="0"/>
      <w:marRight w:val="0"/>
      <w:marTop w:val="0"/>
      <w:marBottom w:val="0"/>
      <w:divBdr>
        <w:top w:val="none" w:sz="0" w:space="0" w:color="auto"/>
        <w:left w:val="none" w:sz="0" w:space="0" w:color="auto"/>
        <w:bottom w:val="none" w:sz="0" w:space="0" w:color="auto"/>
        <w:right w:val="none" w:sz="0" w:space="0" w:color="auto"/>
      </w:divBdr>
    </w:div>
    <w:div w:id="714932398">
      <w:bodyDiv w:val="1"/>
      <w:marLeft w:val="0"/>
      <w:marRight w:val="0"/>
      <w:marTop w:val="0"/>
      <w:marBottom w:val="0"/>
      <w:divBdr>
        <w:top w:val="none" w:sz="0" w:space="0" w:color="auto"/>
        <w:left w:val="none" w:sz="0" w:space="0" w:color="auto"/>
        <w:bottom w:val="none" w:sz="0" w:space="0" w:color="auto"/>
        <w:right w:val="none" w:sz="0" w:space="0" w:color="auto"/>
      </w:divBdr>
    </w:div>
    <w:div w:id="807163845">
      <w:bodyDiv w:val="1"/>
      <w:marLeft w:val="0"/>
      <w:marRight w:val="0"/>
      <w:marTop w:val="0"/>
      <w:marBottom w:val="0"/>
      <w:divBdr>
        <w:top w:val="none" w:sz="0" w:space="0" w:color="auto"/>
        <w:left w:val="none" w:sz="0" w:space="0" w:color="auto"/>
        <w:bottom w:val="none" w:sz="0" w:space="0" w:color="auto"/>
        <w:right w:val="none" w:sz="0" w:space="0" w:color="auto"/>
      </w:divBdr>
    </w:div>
    <w:div w:id="938875687">
      <w:bodyDiv w:val="1"/>
      <w:marLeft w:val="0"/>
      <w:marRight w:val="0"/>
      <w:marTop w:val="0"/>
      <w:marBottom w:val="0"/>
      <w:divBdr>
        <w:top w:val="none" w:sz="0" w:space="0" w:color="auto"/>
        <w:left w:val="none" w:sz="0" w:space="0" w:color="auto"/>
        <w:bottom w:val="none" w:sz="0" w:space="0" w:color="auto"/>
        <w:right w:val="none" w:sz="0" w:space="0" w:color="auto"/>
      </w:divBdr>
    </w:div>
    <w:div w:id="992029551">
      <w:bodyDiv w:val="1"/>
      <w:marLeft w:val="0"/>
      <w:marRight w:val="0"/>
      <w:marTop w:val="0"/>
      <w:marBottom w:val="0"/>
      <w:divBdr>
        <w:top w:val="none" w:sz="0" w:space="0" w:color="auto"/>
        <w:left w:val="none" w:sz="0" w:space="0" w:color="auto"/>
        <w:bottom w:val="none" w:sz="0" w:space="0" w:color="auto"/>
        <w:right w:val="none" w:sz="0" w:space="0" w:color="auto"/>
      </w:divBdr>
    </w:div>
    <w:div w:id="1033268349">
      <w:bodyDiv w:val="1"/>
      <w:marLeft w:val="0"/>
      <w:marRight w:val="0"/>
      <w:marTop w:val="0"/>
      <w:marBottom w:val="0"/>
      <w:divBdr>
        <w:top w:val="none" w:sz="0" w:space="0" w:color="auto"/>
        <w:left w:val="none" w:sz="0" w:space="0" w:color="auto"/>
        <w:bottom w:val="none" w:sz="0" w:space="0" w:color="auto"/>
        <w:right w:val="none" w:sz="0" w:space="0" w:color="auto"/>
      </w:divBdr>
    </w:div>
    <w:div w:id="1197889373">
      <w:bodyDiv w:val="1"/>
      <w:marLeft w:val="0"/>
      <w:marRight w:val="0"/>
      <w:marTop w:val="0"/>
      <w:marBottom w:val="0"/>
      <w:divBdr>
        <w:top w:val="none" w:sz="0" w:space="0" w:color="auto"/>
        <w:left w:val="none" w:sz="0" w:space="0" w:color="auto"/>
        <w:bottom w:val="none" w:sz="0" w:space="0" w:color="auto"/>
        <w:right w:val="none" w:sz="0" w:space="0" w:color="auto"/>
      </w:divBdr>
    </w:div>
    <w:div w:id="1201474584">
      <w:bodyDiv w:val="1"/>
      <w:marLeft w:val="0"/>
      <w:marRight w:val="0"/>
      <w:marTop w:val="0"/>
      <w:marBottom w:val="0"/>
      <w:divBdr>
        <w:top w:val="none" w:sz="0" w:space="0" w:color="auto"/>
        <w:left w:val="none" w:sz="0" w:space="0" w:color="auto"/>
        <w:bottom w:val="none" w:sz="0" w:space="0" w:color="auto"/>
        <w:right w:val="none" w:sz="0" w:space="0" w:color="auto"/>
      </w:divBdr>
    </w:div>
    <w:div w:id="1241138823">
      <w:bodyDiv w:val="1"/>
      <w:marLeft w:val="0"/>
      <w:marRight w:val="0"/>
      <w:marTop w:val="0"/>
      <w:marBottom w:val="0"/>
      <w:divBdr>
        <w:top w:val="none" w:sz="0" w:space="0" w:color="auto"/>
        <w:left w:val="none" w:sz="0" w:space="0" w:color="auto"/>
        <w:bottom w:val="none" w:sz="0" w:space="0" w:color="auto"/>
        <w:right w:val="none" w:sz="0" w:space="0" w:color="auto"/>
      </w:divBdr>
    </w:div>
    <w:div w:id="1298072365">
      <w:bodyDiv w:val="1"/>
      <w:marLeft w:val="0"/>
      <w:marRight w:val="0"/>
      <w:marTop w:val="0"/>
      <w:marBottom w:val="0"/>
      <w:divBdr>
        <w:top w:val="none" w:sz="0" w:space="0" w:color="auto"/>
        <w:left w:val="none" w:sz="0" w:space="0" w:color="auto"/>
        <w:bottom w:val="none" w:sz="0" w:space="0" w:color="auto"/>
        <w:right w:val="none" w:sz="0" w:space="0" w:color="auto"/>
      </w:divBdr>
    </w:div>
    <w:div w:id="1384216269">
      <w:bodyDiv w:val="1"/>
      <w:marLeft w:val="0"/>
      <w:marRight w:val="0"/>
      <w:marTop w:val="0"/>
      <w:marBottom w:val="0"/>
      <w:divBdr>
        <w:top w:val="none" w:sz="0" w:space="0" w:color="auto"/>
        <w:left w:val="none" w:sz="0" w:space="0" w:color="auto"/>
        <w:bottom w:val="none" w:sz="0" w:space="0" w:color="auto"/>
        <w:right w:val="none" w:sz="0" w:space="0" w:color="auto"/>
      </w:divBdr>
    </w:div>
    <w:div w:id="1389571481">
      <w:bodyDiv w:val="1"/>
      <w:marLeft w:val="0"/>
      <w:marRight w:val="0"/>
      <w:marTop w:val="0"/>
      <w:marBottom w:val="0"/>
      <w:divBdr>
        <w:top w:val="none" w:sz="0" w:space="0" w:color="auto"/>
        <w:left w:val="none" w:sz="0" w:space="0" w:color="auto"/>
        <w:bottom w:val="none" w:sz="0" w:space="0" w:color="auto"/>
        <w:right w:val="none" w:sz="0" w:space="0" w:color="auto"/>
      </w:divBdr>
    </w:div>
    <w:div w:id="1557936677">
      <w:bodyDiv w:val="1"/>
      <w:marLeft w:val="0"/>
      <w:marRight w:val="0"/>
      <w:marTop w:val="0"/>
      <w:marBottom w:val="0"/>
      <w:divBdr>
        <w:top w:val="none" w:sz="0" w:space="0" w:color="auto"/>
        <w:left w:val="none" w:sz="0" w:space="0" w:color="auto"/>
        <w:bottom w:val="none" w:sz="0" w:space="0" w:color="auto"/>
        <w:right w:val="none" w:sz="0" w:space="0" w:color="auto"/>
      </w:divBdr>
    </w:div>
    <w:div w:id="1636370355">
      <w:bodyDiv w:val="1"/>
      <w:marLeft w:val="0"/>
      <w:marRight w:val="0"/>
      <w:marTop w:val="0"/>
      <w:marBottom w:val="0"/>
      <w:divBdr>
        <w:top w:val="none" w:sz="0" w:space="0" w:color="auto"/>
        <w:left w:val="none" w:sz="0" w:space="0" w:color="auto"/>
        <w:bottom w:val="none" w:sz="0" w:space="0" w:color="auto"/>
        <w:right w:val="none" w:sz="0" w:space="0" w:color="auto"/>
      </w:divBdr>
    </w:div>
    <w:div w:id="1654288983">
      <w:bodyDiv w:val="1"/>
      <w:marLeft w:val="0"/>
      <w:marRight w:val="0"/>
      <w:marTop w:val="0"/>
      <w:marBottom w:val="0"/>
      <w:divBdr>
        <w:top w:val="none" w:sz="0" w:space="0" w:color="auto"/>
        <w:left w:val="none" w:sz="0" w:space="0" w:color="auto"/>
        <w:bottom w:val="none" w:sz="0" w:space="0" w:color="auto"/>
        <w:right w:val="none" w:sz="0" w:space="0" w:color="auto"/>
      </w:divBdr>
    </w:div>
    <w:div w:id="1803107902">
      <w:bodyDiv w:val="1"/>
      <w:marLeft w:val="0"/>
      <w:marRight w:val="0"/>
      <w:marTop w:val="0"/>
      <w:marBottom w:val="0"/>
      <w:divBdr>
        <w:top w:val="none" w:sz="0" w:space="0" w:color="auto"/>
        <w:left w:val="none" w:sz="0" w:space="0" w:color="auto"/>
        <w:bottom w:val="none" w:sz="0" w:space="0" w:color="auto"/>
        <w:right w:val="none" w:sz="0" w:space="0" w:color="auto"/>
      </w:divBdr>
    </w:div>
    <w:div w:id="1814329445">
      <w:bodyDiv w:val="1"/>
      <w:marLeft w:val="0"/>
      <w:marRight w:val="0"/>
      <w:marTop w:val="0"/>
      <w:marBottom w:val="0"/>
      <w:divBdr>
        <w:top w:val="none" w:sz="0" w:space="0" w:color="auto"/>
        <w:left w:val="none" w:sz="0" w:space="0" w:color="auto"/>
        <w:bottom w:val="none" w:sz="0" w:space="0" w:color="auto"/>
        <w:right w:val="none" w:sz="0" w:space="0" w:color="auto"/>
      </w:divBdr>
    </w:div>
    <w:div w:id="1904366523">
      <w:bodyDiv w:val="1"/>
      <w:marLeft w:val="0"/>
      <w:marRight w:val="0"/>
      <w:marTop w:val="0"/>
      <w:marBottom w:val="0"/>
      <w:divBdr>
        <w:top w:val="none" w:sz="0" w:space="0" w:color="auto"/>
        <w:left w:val="none" w:sz="0" w:space="0" w:color="auto"/>
        <w:bottom w:val="none" w:sz="0" w:space="0" w:color="auto"/>
        <w:right w:val="none" w:sz="0" w:space="0" w:color="auto"/>
      </w:divBdr>
    </w:div>
    <w:div w:id="1983193238">
      <w:bodyDiv w:val="1"/>
      <w:marLeft w:val="0"/>
      <w:marRight w:val="0"/>
      <w:marTop w:val="0"/>
      <w:marBottom w:val="0"/>
      <w:divBdr>
        <w:top w:val="none" w:sz="0" w:space="0" w:color="auto"/>
        <w:left w:val="none" w:sz="0" w:space="0" w:color="auto"/>
        <w:bottom w:val="none" w:sz="0" w:space="0" w:color="auto"/>
        <w:right w:val="none" w:sz="0" w:space="0" w:color="auto"/>
      </w:divBdr>
    </w:div>
    <w:div w:id="1984697090">
      <w:bodyDiv w:val="1"/>
      <w:marLeft w:val="0"/>
      <w:marRight w:val="0"/>
      <w:marTop w:val="0"/>
      <w:marBottom w:val="0"/>
      <w:divBdr>
        <w:top w:val="none" w:sz="0" w:space="0" w:color="auto"/>
        <w:left w:val="none" w:sz="0" w:space="0" w:color="auto"/>
        <w:bottom w:val="none" w:sz="0" w:space="0" w:color="auto"/>
        <w:right w:val="none" w:sz="0" w:space="0" w:color="auto"/>
      </w:divBdr>
    </w:div>
    <w:div w:id="1992708915">
      <w:bodyDiv w:val="1"/>
      <w:marLeft w:val="0"/>
      <w:marRight w:val="0"/>
      <w:marTop w:val="0"/>
      <w:marBottom w:val="0"/>
      <w:divBdr>
        <w:top w:val="none" w:sz="0" w:space="0" w:color="auto"/>
        <w:left w:val="none" w:sz="0" w:space="0" w:color="auto"/>
        <w:bottom w:val="none" w:sz="0" w:space="0" w:color="auto"/>
        <w:right w:val="none" w:sz="0" w:space="0" w:color="auto"/>
      </w:divBdr>
    </w:div>
    <w:div w:id="2009357260">
      <w:bodyDiv w:val="1"/>
      <w:marLeft w:val="0"/>
      <w:marRight w:val="0"/>
      <w:marTop w:val="0"/>
      <w:marBottom w:val="0"/>
      <w:divBdr>
        <w:top w:val="none" w:sz="0" w:space="0" w:color="auto"/>
        <w:left w:val="none" w:sz="0" w:space="0" w:color="auto"/>
        <w:bottom w:val="none" w:sz="0" w:space="0" w:color="auto"/>
        <w:right w:val="none" w:sz="0" w:space="0" w:color="auto"/>
      </w:divBdr>
    </w:div>
    <w:div w:id="2029256863">
      <w:bodyDiv w:val="1"/>
      <w:marLeft w:val="0"/>
      <w:marRight w:val="0"/>
      <w:marTop w:val="0"/>
      <w:marBottom w:val="0"/>
      <w:divBdr>
        <w:top w:val="none" w:sz="0" w:space="0" w:color="auto"/>
        <w:left w:val="none" w:sz="0" w:space="0" w:color="auto"/>
        <w:bottom w:val="none" w:sz="0" w:space="0" w:color="auto"/>
        <w:right w:val="none" w:sz="0" w:space="0" w:color="auto"/>
      </w:divBdr>
    </w:div>
    <w:div w:id="2042438209">
      <w:bodyDiv w:val="1"/>
      <w:marLeft w:val="0"/>
      <w:marRight w:val="0"/>
      <w:marTop w:val="0"/>
      <w:marBottom w:val="0"/>
      <w:divBdr>
        <w:top w:val="none" w:sz="0" w:space="0" w:color="auto"/>
        <w:left w:val="none" w:sz="0" w:space="0" w:color="auto"/>
        <w:bottom w:val="none" w:sz="0" w:space="0" w:color="auto"/>
        <w:right w:val="none" w:sz="0" w:space="0" w:color="auto"/>
      </w:divBdr>
    </w:div>
    <w:div w:id="2094665809">
      <w:bodyDiv w:val="1"/>
      <w:marLeft w:val="0"/>
      <w:marRight w:val="0"/>
      <w:marTop w:val="0"/>
      <w:marBottom w:val="0"/>
      <w:divBdr>
        <w:top w:val="none" w:sz="0" w:space="0" w:color="auto"/>
        <w:left w:val="none" w:sz="0" w:space="0" w:color="auto"/>
        <w:bottom w:val="none" w:sz="0" w:space="0" w:color="auto"/>
        <w:right w:val="none" w:sz="0" w:space="0" w:color="auto"/>
      </w:divBdr>
    </w:div>
    <w:div w:id="210214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6.wmf"/><Relationship Id="rId42" Type="http://schemas.openxmlformats.org/officeDocument/2006/relationships/oleObject" Target="embeddings/oleObject17.bin"/><Relationship Id="rId63" Type="http://schemas.openxmlformats.org/officeDocument/2006/relationships/image" Target="media/image27.wmf"/><Relationship Id="rId84" Type="http://schemas.openxmlformats.org/officeDocument/2006/relationships/image" Target="media/image37.wmf"/><Relationship Id="rId138" Type="http://schemas.openxmlformats.org/officeDocument/2006/relationships/image" Target="media/image63.wmf"/><Relationship Id="rId159" Type="http://schemas.openxmlformats.org/officeDocument/2006/relationships/oleObject" Target="embeddings/oleObject77.bin"/><Relationship Id="rId170" Type="http://schemas.openxmlformats.org/officeDocument/2006/relationships/theme" Target="theme/theme1.xml"/><Relationship Id="rId107" Type="http://schemas.openxmlformats.org/officeDocument/2006/relationships/oleObject" Target="embeddings/oleObject51.bin"/><Relationship Id="rId11" Type="http://schemas.openxmlformats.org/officeDocument/2006/relationships/oleObject" Target="embeddings/oleObject1.bin"/><Relationship Id="rId32" Type="http://schemas.openxmlformats.org/officeDocument/2006/relationships/oleObject" Target="embeddings/oleObject12.bin"/><Relationship Id="rId53" Type="http://schemas.openxmlformats.org/officeDocument/2006/relationships/image" Target="media/image22.wmf"/><Relationship Id="rId74" Type="http://schemas.openxmlformats.org/officeDocument/2006/relationships/image" Target="media/image32.wmf"/><Relationship Id="rId128" Type="http://schemas.openxmlformats.org/officeDocument/2006/relationships/image" Target="media/image58.wmf"/><Relationship Id="rId149" Type="http://schemas.openxmlformats.org/officeDocument/2006/relationships/oleObject" Target="embeddings/oleObject72.bin"/><Relationship Id="rId5" Type="http://schemas.openxmlformats.org/officeDocument/2006/relationships/settings" Target="settings.xml"/><Relationship Id="rId95" Type="http://schemas.openxmlformats.org/officeDocument/2006/relationships/oleObject" Target="embeddings/oleObject44.bin"/><Relationship Id="rId160" Type="http://schemas.openxmlformats.org/officeDocument/2006/relationships/image" Target="media/image74.wmf"/><Relationship Id="rId22" Type="http://schemas.openxmlformats.org/officeDocument/2006/relationships/oleObject" Target="embeddings/oleObject7.bin"/><Relationship Id="rId43" Type="http://schemas.openxmlformats.org/officeDocument/2006/relationships/image" Target="media/image17.wmf"/><Relationship Id="rId64" Type="http://schemas.openxmlformats.org/officeDocument/2006/relationships/oleObject" Target="embeddings/oleObject28.bin"/><Relationship Id="rId118" Type="http://schemas.openxmlformats.org/officeDocument/2006/relationships/image" Target="media/image53.wmf"/><Relationship Id="rId139" Type="http://schemas.openxmlformats.org/officeDocument/2006/relationships/oleObject" Target="embeddings/oleObject67.bin"/><Relationship Id="rId85" Type="http://schemas.openxmlformats.org/officeDocument/2006/relationships/oleObject" Target="embeddings/oleObject39.bin"/><Relationship Id="rId150" Type="http://schemas.openxmlformats.org/officeDocument/2006/relationships/image" Target="media/image69.wmf"/><Relationship Id="rId12" Type="http://schemas.openxmlformats.org/officeDocument/2006/relationships/image" Target="media/image2.wmf"/><Relationship Id="rId33" Type="http://schemas.openxmlformats.org/officeDocument/2006/relationships/image" Target="media/image12.wmf"/><Relationship Id="rId108" Type="http://schemas.openxmlformats.org/officeDocument/2006/relationships/image" Target="media/image48.wmf"/><Relationship Id="rId129" Type="http://schemas.openxmlformats.org/officeDocument/2006/relationships/oleObject" Target="embeddings/oleObject62.bin"/><Relationship Id="rId54" Type="http://schemas.openxmlformats.org/officeDocument/2006/relationships/oleObject" Target="embeddings/oleObject23.bin"/><Relationship Id="rId70" Type="http://schemas.openxmlformats.org/officeDocument/2006/relationships/image" Target="media/image30.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3.wmf"/><Relationship Id="rId140" Type="http://schemas.openxmlformats.org/officeDocument/2006/relationships/image" Target="media/image64.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hyperlink" Target="http://www.consilium.europa.eu/uedocs/cms_data/docs/pressdata/en/ec/68827.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7.wmf"/><Relationship Id="rId28" Type="http://schemas.openxmlformats.org/officeDocument/2006/relationships/oleObject" Target="embeddings/oleObject10.bin"/><Relationship Id="rId49" Type="http://schemas.openxmlformats.org/officeDocument/2006/relationships/image" Target="media/image20.wmf"/><Relationship Id="rId114" Type="http://schemas.openxmlformats.org/officeDocument/2006/relationships/image" Target="media/image51.wmf"/><Relationship Id="rId119" Type="http://schemas.openxmlformats.org/officeDocument/2006/relationships/oleObject" Target="embeddings/oleObject57.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8.wmf"/><Relationship Id="rId81" Type="http://schemas.openxmlformats.org/officeDocument/2006/relationships/oleObject" Target="embeddings/oleObject37.bin"/><Relationship Id="rId86" Type="http://schemas.openxmlformats.org/officeDocument/2006/relationships/image" Target="media/image38.wmf"/><Relationship Id="rId130" Type="http://schemas.openxmlformats.org/officeDocument/2006/relationships/image" Target="media/image59.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2.wmf"/><Relationship Id="rId13" Type="http://schemas.openxmlformats.org/officeDocument/2006/relationships/oleObject" Target="embeddings/oleObject2.bin"/><Relationship Id="rId18" Type="http://schemas.openxmlformats.org/officeDocument/2006/relationships/oleObject" Target="embeddings/oleObject5.bin"/><Relationship Id="rId39" Type="http://schemas.openxmlformats.org/officeDocument/2006/relationships/image" Target="media/image15.wmf"/><Relationship Id="rId109" Type="http://schemas.openxmlformats.org/officeDocument/2006/relationships/oleObject" Target="embeddings/oleObject52.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3.wmf"/><Relationship Id="rId76" Type="http://schemas.openxmlformats.org/officeDocument/2006/relationships/image" Target="media/image33.wmf"/><Relationship Id="rId97" Type="http://schemas.openxmlformats.org/officeDocument/2006/relationships/oleObject" Target="embeddings/oleObject45.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67.wmf"/><Relationship Id="rId167" Type="http://schemas.openxmlformats.org/officeDocument/2006/relationships/hyperlink" Target="http://europa.eu/ey2012" TargetMode="External"/><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1.wmf"/><Relationship Id="rId162" Type="http://schemas.openxmlformats.org/officeDocument/2006/relationships/image" Target="media/image75.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8.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49.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2.wmf"/><Relationship Id="rId157" Type="http://schemas.openxmlformats.org/officeDocument/2006/relationships/oleObject" Target="embeddings/oleObject76.bin"/><Relationship Id="rId61" Type="http://schemas.openxmlformats.org/officeDocument/2006/relationships/image" Target="media/image26.wmf"/><Relationship Id="rId82" Type="http://schemas.openxmlformats.org/officeDocument/2006/relationships/image" Target="media/image36.wmf"/><Relationship Id="rId152" Type="http://schemas.openxmlformats.org/officeDocument/2006/relationships/image" Target="media/image70.wmf"/><Relationship Id="rId19" Type="http://schemas.openxmlformats.org/officeDocument/2006/relationships/image" Target="media/image5.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5.wmf"/><Relationship Id="rId105" Type="http://schemas.openxmlformats.org/officeDocument/2006/relationships/oleObject" Target="embeddings/oleObject50.bin"/><Relationship Id="rId126" Type="http://schemas.openxmlformats.org/officeDocument/2006/relationships/image" Target="media/image57.wmf"/><Relationship Id="rId147" Type="http://schemas.openxmlformats.org/officeDocument/2006/relationships/oleObject" Target="embeddings/oleObject71.bin"/><Relationship Id="rId16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oleObject" Target="embeddings/oleObject43.bin"/><Relationship Id="rId98" Type="http://schemas.openxmlformats.org/officeDocument/2006/relationships/image" Target="media/image44.wmf"/><Relationship Id="rId121" Type="http://schemas.openxmlformats.org/officeDocument/2006/relationships/oleObject" Target="embeddings/oleObject58.bin"/><Relationship Id="rId142" Type="http://schemas.openxmlformats.org/officeDocument/2006/relationships/image" Target="media/image65.wmf"/><Relationship Id="rId163" Type="http://schemas.openxmlformats.org/officeDocument/2006/relationships/oleObject" Target="embeddings/oleObject79.bin"/><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19.bin"/><Relationship Id="rId67" Type="http://schemas.openxmlformats.org/officeDocument/2006/relationships/image" Target="media/image29.wmf"/><Relationship Id="rId116" Type="http://schemas.openxmlformats.org/officeDocument/2006/relationships/image" Target="media/image52.wmf"/><Relationship Id="rId137" Type="http://schemas.openxmlformats.org/officeDocument/2006/relationships/oleObject" Target="embeddings/oleObject66.bin"/><Relationship Id="rId158" Type="http://schemas.openxmlformats.org/officeDocument/2006/relationships/image" Target="media/image73.wmf"/><Relationship Id="rId20" Type="http://schemas.openxmlformats.org/officeDocument/2006/relationships/oleObject" Target="embeddings/oleObject6.bin"/><Relationship Id="rId41" Type="http://schemas.openxmlformats.org/officeDocument/2006/relationships/image" Target="media/image16.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9.wmf"/><Relationship Id="rId111" Type="http://schemas.openxmlformats.org/officeDocument/2006/relationships/oleObject" Target="embeddings/oleObject53.bin"/><Relationship Id="rId132" Type="http://schemas.openxmlformats.org/officeDocument/2006/relationships/image" Target="media/image60.wmf"/><Relationship Id="rId153" Type="http://schemas.openxmlformats.org/officeDocument/2006/relationships/oleObject" Target="embeddings/oleObject74.bin"/><Relationship Id="rId15" Type="http://schemas.openxmlformats.org/officeDocument/2006/relationships/image" Target="media/image3.wmf"/><Relationship Id="rId36" Type="http://schemas.openxmlformats.org/officeDocument/2006/relationships/oleObject" Target="embeddings/oleObject14.bin"/><Relationship Id="rId57" Type="http://schemas.openxmlformats.org/officeDocument/2006/relationships/image" Target="media/image24.wmf"/><Relationship Id="rId106" Type="http://schemas.openxmlformats.org/officeDocument/2006/relationships/image" Target="media/image47.wmf"/><Relationship Id="rId127" Type="http://schemas.openxmlformats.org/officeDocument/2006/relationships/oleObject" Target="embeddings/oleObject61.bin"/><Relationship Id="rId10" Type="http://schemas.openxmlformats.org/officeDocument/2006/relationships/image" Target="media/image1.wmf"/><Relationship Id="rId31" Type="http://schemas.openxmlformats.org/officeDocument/2006/relationships/image" Target="media/image11.wmf"/><Relationship Id="rId52" Type="http://schemas.openxmlformats.org/officeDocument/2006/relationships/oleObject" Target="embeddings/oleObject22.bin"/><Relationship Id="rId73" Type="http://schemas.openxmlformats.org/officeDocument/2006/relationships/oleObject" Target="embeddings/oleObject33.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5.wmf"/><Relationship Id="rId143" Type="http://schemas.openxmlformats.org/officeDocument/2006/relationships/oleObject" Target="embeddings/oleObject69.bin"/><Relationship Id="rId148" Type="http://schemas.openxmlformats.org/officeDocument/2006/relationships/image" Target="media/image68.wmf"/><Relationship Id="rId164" Type="http://schemas.openxmlformats.org/officeDocument/2006/relationships/hyperlink" Target="http://ec.europa.eu/employment_social/social_situation/docs/com221_en.pdf" TargetMode="External"/><Relationship Id="rId16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jousten@ulg.ac.be" TargetMode="External"/><Relationship Id="rId392" Type="http://schemas.microsoft.com/office/2011/relationships/commentsExtended" Target="commentsExtended.xml"/><Relationship Id="rId26" Type="http://schemas.openxmlformats.org/officeDocument/2006/relationships/oleObject" Target="embeddings/oleObject9.bin"/><Relationship Id="rId47" Type="http://schemas.openxmlformats.org/officeDocument/2006/relationships/image" Target="media/image19.wmf"/><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image" Target="media/image50.wmf"/><Relationship Id="rId133" Type="http://schemas.openxmlformats.org/officeDocument/2006/relationships/oleObject" Target="embeddings/oleObject64.bin"/><Relationship Id="rId154" Type="http://schemas.openxmlformats.org/officeDocument/2006/relationships/image" Target="media/image71.wmf"/><Relationship Id="rId16" Type="http://schemas.openxmlformats.org/officeDocument/2006/relationships/oleObject" Target="embeddings/oleObject4.bin"/><Relationship Id="rId37" Type="http://schemas.openxmlformats.org/officeDocument/2006/relationships/image" Target="media/image14.wmf"/><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6.wmf"/><Relationship Id="rId90" Type="http://schemas.openxmlformats.org/officeDocument/2006/relationships/image" Target="media/image40.wmf"/><Relationship Id="rId165" Type="http://schemas.openxmlformats.org/officeDocument/2006/relationships/hyperlink" Target="http://www.consilium.europa.eu/uedocs/cms_data/docs/pressdata/en/ec/00100-r1.en0.htm%20%20%20" TargetMode="External"/><Relationship Id="rId393" Type="http://schemas.microsoft.com/office/2011/relationships/people" Target="people.xml"/><Relationship Id="rId27" Type="http://schemas.openxmlformats.org/officeDocument/2006/relationships/image" Target="media/image9.wmf"/><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oleObject" Target="embeddings/oleObject54.bin"/><Relationship Id="rId134" Type="http://schemas.openxmlformats.org/officeDocument/2006/relationships/image" Target="media/image61.wmf"/><Relationship Id="rId80" Type="http://schemas.openxmlformats.org/officeDocument/2006/relationships/image" Target="media/image35.wmf"/><Relationship Id="rId155" Type="http://schemas.openxmlformats.org/officeDocument/2006/relationships/oleObject" Target="embeddings/oleObject75.bin"/><Relationship Id="rId17" Type="http://schemas.openxmlformats.org/officeDocument/2006/relationships/image" Target="media/image4.wmf"/><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oleObject" Target="embeddings/oleObject49.bin"/><Relationship Id="rId124" Type="http://schemas.openxmlformats.org/officeDocument/2006/relationships/image" Target="media/image56.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3880C-4D33-4AA7-90DC-B6C6591A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6746</Words>
  <Characters>37106</Characters>
  <Application>Microsoft Office Word</Application>
  <DocSecurity>0</DocSecurity>
  <Lines>309</Lines>
  <Paragraphs>87</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Old-age employment and hours of work trends: empirical analysis for four Europea</vt:lpstr>
    </vt:vector>
  </TitlesOfParts>
  <Company>Microsoft</Company>
  <LinksUpToDate>false</LinksUpToDate>
  <CharactersWithSpaces>43765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Flawinne</dc:creator>
  <cp:lastModifiedBy>blah</cp:lastModifiedBy>
  <cp:revision>5</cp:revision>
  <cp:lastPrinted>2016-08-17T07:08:00Z</cp:lastPrinted>
  <dcterms:created xsi:type="dcterms:W3CDTF">2016-08-19T13:11:00Z</dcterms:created>
  <dcterms:modified xsi:type="dcterms:W3CDTF">2016-08-19T13:21:00Z</dcterms:modified>
</cp:coreProperties>
</file>