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22" w:rsidRPr="001066AE" w:rsidRDefault="007B6722" w:rsidP="007B6722">
      <w:pPr>
        <w:spacing w:line="480" w:lineRule="auto"/>
        <w:jc w:val="center"/>
        <w:rPr>
          <w:b/>
          <w:u w:val="single"/>
          <w:lang w:val="en-GB"/>
        </w:rPr>
      </w:pPr>
      <w:r w:rsidRPr="001066AE">
        <w:rPr>
          <w:b/>
          <w:u w:val="single"/>
          <w:lang w:val="en-GB"/>
        </w:rPr>
        <w:t>Inter-method variability in bone alkaline phosphatase measurement: clinical impact on the management of dialysis patients</w:t>
      </w:r>
    </w:p>
    <w:p w:rsidR="007B6722" w:rsidRPr="001066AE" w:rsidRDefault="007B6722" w:rsidP="007B6722">
      <w:pPr>
        <w:spacing w:line="480" w:lineRule="auto"/>
        <w:jc w:val="center"/>
        <w:rPr>
          <w:b/>
          <w:u w:val="single"/>
          <w:lang w:val="en-GB"/>
        </w:rPr>
      </w:pPr>
    </w:p>
    <w:p w:rsidR="004A0C47" w:rsidRPr="001066AE" w:rsidRDefault="004A0C47" w:rsidP="004A0C47">
      <w:pPr>
        <w:spacing w:line="480" w:lineRule="auto"/>
        <w:rPr>
          <w:b/>
          <w:lang w:val="fr-BE"/>
        </w:rPr>
      </w:pPr>
      <w:r w:rsidRPr="001066AE">
        <w:rPr>
          <w:b/>
          <w:lang w:val="fr-BE"/>
        </w:rPr>
        <w:t>Etienne Cavalier</w:t>
      </w:r>
      <w:r w:rsidRPr="001066AE">
        <w:rPr>
          <w:b/>
          <w:vertAlign w:val="superscript"/>
          <w:lang w:val="fr-BE"/>
        </w:rPr>
        <w:t>*</w:t>
      </w:r>
      <w:r>
        <w:rPr>
          <w:b/>
          <w:lang w:val="fr-BE"/>
        </w:rPr>
        <w:t xml:space="preserve"> </w:t>
      </w:r>
      <w:r w:rsidRPr="00AF47B6">
        <w:rPr>
          <w:b/>
          <w:vertAlign w:val="superscript"/>
          <w:lang w:val="fr-BE"/>
        </w:rPr>
        <w:t>1</w:t>
      </w:r>
      <w:r>
        <w:rPr>
          <w:b/>
          <w:lang w:val="fr-BE"/>
        </w:rPr>
        <w:t>, Jean-Claude Souberbielle</w:t>
      </w:r>
      <w:r w:rsidRPr="00AF47B6">
        <w:rPr>
          <w:b/>
          <w:vertAlign w:val="superscript"/>
          <w:lang w:val="fr-BE"/>
        </w:rPr>
        <w:t>2</w:t>
      </w:r>
      <w:r w:rsidRPr="001066AE">
        <w:rPr>
          <w:b/>
          <w:lang w:val="fr-BE"/>
        </w:rPr>
        <w:t>, Romy Gadisseur</w:t>
      </w:r>
      <w:r w:rsidRPr="00AF47B6">
        <w:rPr>
          <w:b/>
          <w:vertAlign w:val="superscript"/>
          <w:lang w:val="fr-BE"/>
        </w:rPr>
        <w:t>1</w:t>
      </w:r>
      <w:r w:rsidRPr="001066AE">
        <w:rPr>
          <w:b/>
          <w:lang w:val="fr-BE"/>
        </w:rPr>
        <w:t>, Bernard Dubois</w:t>
      </w:r>
      <w:r w:rsidRPr="00AF47B6">
        <w:rPr>
          <w:b/>
          <w:vertAlign w:val="superscript"/>
          <w:lang w:val="fr-BE"/>
        </w:rPr>
        <w:t>3</w:t>
      </w:r>
      <w:r w:rsidRPr="001066AE">
        <w:rPr>
          <w:b/>
          <w:lang w:val="fr-BE"/>
        </w:rPr>
        <w:t>, Jean-Marie Krzesinski</w:t>
      </w:r>
      <w:r w:rsidRPr="00AF47B6">
        <w:rPr>
          <w:b/>
          <w:vertAlign w:val="superscript"/>
          <w:lang w:val="fr-BE"/>
        </w:rPr>
        <w:t>3</w:t>
      </w:r>
      <w:r w:rsidRPr="001066AE">
        <w:rPr>
          <w:b/>
          <w:lang w:val="fr-BE"/>
        </w:rPr>
        <w:t xml:space="preserve"> </w:t>
      </w:r>
      <w:r>
        <w:rPr>
          <w:b/>
          <w:lang w:val="fr-BE"/>
        </w:rPr>
        <w:t xml:space="preserve">and </w:t>
      </w:r>
      <w:r w:rsidRPr="001066AE">
        <w:rPr>
          <w:b/>
          <w:lang w:val="fr-BE"/>
        </w:rPr>
        <w:t>Pierre Delanaye</w:t>
      </w:r>
      <w:r w:rsidRPr="00AF47B6">
        <w:rPr>
          <w:b/>
          <w:vertAlign w:val="superscript"/>
          <w:lang w:val="fr-BE"/>
        </w:rPr>
        <w:t>3</w:t>
      </w:r>
      <w:r w:rsidRPr="001066AE">
        <w:rPr>
          <w:b/>
          <w:lang w:val="fr-BE"/>
        </w:rPr>
        <w:t>.</w:t>
      </w:r>
    </w:p>
    <w:p w:rsidR="004A0C47" w:rsidRDefault="004A0C47" w:rsidP="007B6722">
      <w:pPr>
        <w:spacing w:line="480" w:lineRule="auto"/>
        <w:rPr>
          <w:lang w:val="fr-BE"/>
        </w:rPr>
      </w:pPr>
    </w:p>
    <w:p w:rsidR="007B6722" w:rsidRPr="001066AE" w:rsidRDefault="007B6722" w:rsidP="007B6722">
      <w:pPr>
        <w:spacing w:line="480" w:lineRule="auto"/>
        <w:rPr>
          <w:lang w:val="en-US"/>
        </w:rPr>
      </w:pPr>
      <w:r w:rsidRPr="001066AE">
        <w:rPr>
          <w:lang w:val="en-US"/>
        </w:rPr>
        <w:t>Departments of (1) Clinical Chemistry and (3) Nephrology, Dialysis and Hypertension, University of Liège, CHU Sart-Tilman, Liège, Belgium.</w:t>
      </w:r>
    </w:p>
    <w:p w:rsidR="007B6722" w:rsidRPr="001066AE" w:rsidRDefault="007B6722" w:rsidP="007B6722">
      <w:pPr>
        <w:spacing w:line="480" w:lineRule="auto"/>
        <w:rPr>
          <w:lang w:val="fr-BE"/>
        </w:rPr>
      </w:pPr>
      <w:r w:rsidRPr="001066AE">
        <w:rPr>
          <w:lang w:val="fr-BE"/>
        </w:rPr>
        <w:t>(2) Laboratoire d’Explorations fonctionnelles, Hôpital Necker-Enfants maladies, Inserm U845, Paris, France.</w:t>
      </w:r>
    </w:p>
    <w:p w:rsidR="007B6722" w:rsidRPr="001066AE" w:rsidRDefault="007B6722" w:rsidP="007B6722">
      <w:pPr>
        <w:spacing w:line="480" w:lineRule="auto"/>
        <w:rPr>
          <w:lang w:val="fr-BE"/>
        </w:rPr>
      </w:pPr>
    </w:p>
    <w:p w:rsidR="007B6722" w:rsidRPr="001066AE" w:rsidRDefault="007B6722" w:rsidP="007B6722">
      <w:pPr>
        <w:spacing w:line="480" w:lineRule="auto"/>
        <w:jc w:val="both"/>
        <w:rPr>
          <w:lang w:val="en-US"/>
        </w:rPr>
      </w:pPr>
      <w:r w:rsidRPr="001066AE">
        <w:rPr>
          <w:lang w:val="en-US"/>
        </w:rPr>
        <w:t>* Corresponding Author:</w:t>
      </w:r>
    </w:p>
    <w:p w:rsidR="007B6722" w:rsidRPr="001066AE" w:rsidRDefault="007B6722" w:rsidP="007B6722">
      <w:pPr>
        <w:spacing w:line="480" w:lineRule="auto"/>
        <w:jc w:val="both"/>
        <w:rPr>
          <w:lang w:val="en-US"/>
        </w:rPr>
      </w:pPr>
      <w:r w:rsidRPr="001066AE">
        <w:rPr>
          <w:lang w:val="en-US"/>
        </w:rPr>
        <w:t>Prof. Etienne Cavalier</w:t>
      </w:r>
    </w:p>
    <w:p w:rsidR="007B6722" w:rsidRPr="001066AE" w:rsidRDefault="007B6722" w:rsidP="007B6722">
      <w:pPr>
        <w:spacing w:line="480" w:lineRule="auto"/>
        <w:jc w:val="both"/>
        <w:rPr>
          <w:lang w:val="en-US"/>
        </w:rPr>
      </w:pPr>
      <w:r w:rsidRPr="001066AE">
        <w:rPr>
          <w:lang w:val="en-US"/>
        </w:rPr>
        <w:t>Department of Clinical Chemistry</w:t>
      </w:r>
    </w:p>
    <w:p w:rsidR="007B6722" w:rsidRPr="001066AE" w:rsidRDefault="007B6722" w:rsidP="007B6722">
      <w:pPr>
        <w:spacing w:line="480" w:lineRule="auto"/>
        <w:jc w:val="both"/>
        <w:rPr>
          <w:lang w:val="en-US"/>
        </w:rPr>
      </w:pPr>
      <w:r w:rsidRPr="001066AE">
        <w:rPr>
          <w:lang w:val="en-US"/>
        </w:rPr>
        <w:t>University of Liège, CHU Sart-Tilman</w:t>
      </w:r>
    </w:p>
    <w:p w:rsidR="007B6722" w:rsidRPr="001066AE" w:rsidRDefault="007B6722" w:rsidP="007B6722">
      <w:pPr>
        <w:spacing w:line="480" w:lineRule="auto"/>
        <w:jc w:val="both"/>
        <w:rPr>
          <w:lang w:val="de-DE"/>
        </w:rPr>
      </w:pPr>
      <w:r w:rsidRPr="001066AE">
        <w:rPr>
          <w:lang w:val="de-DE"/>
        </w:rPr>
        <w:t>B-4000 Liège, Belgium</w:t>
      </w:r>
    </w:p>
    <w:p w:rsidR="007B6722" w:rsidRPr="001066AE" w:rsidRDefault="007B6722" w:rsidP="007B6722">
      <w:pPr>
        <w:spacing w:line="480" w:lineRule="auto"/>
        <w:jc w:val="both"/>
        <w:rPr>
          <w:lang w:val="de-DE"/>
        </w:rPr>
      </w:pPr>
      <w:r w:rsidRPr="001066AE">
        <w:rPr>
          <w:lang w:val="de-DE"/>
        </w:rPr>
        <w:t>Tel: +32 4 3668822</w:t>
      </w:r>
    </w:p>
    <w:p w:rsidR="007B6722" w:rsidRPr="001066AE" w:rsidRDefault="007B6722" w:rsidP="007B6722">
      <w:pPr>
        <w:spacing w:line="480" w:lineRule="auto"/>
        <w:jc w:val="both"/>
        <w:rPr>
          <w:lang w:val="de-DE"/>
        </w:rPr>
      </w:pPr>
      <w:r w:rsidRPr="001066AE">
        <w:rPr>
          <w:lang w:val="de-DE"/>
        </w:rPr>
        <w:t>Fax: +32 4 3668823</w:t>
      </w:r>
    </w:p>
    <w:p w:rsidR="007B6722" w:rsidRPr="001066AE" w:rsidRDefault="00CA413B" w:rsidP="007B6722">
      <w:pPr>
        <w:spacing w:line="480" w:lineRule="auto"/>
        <w:jc w:val="both"/>
        <w:outlineLvl w:val="0"/>
        <w:rPr>
          <w:lang w:val="de-DE"/>
        </w:rPr>
      </w:pPr>
      <w:hyperlink r:id="rId4" w:history="1">
        <w:r w:rsidR="007B6722" w:rsidRPr="001066AE">
          <w:rPr>
            <w:rStyle w:val="Lienhypertexte"/>
            <w:lang w:val="de-DE"/>
          </w:rPr>
          <w:t>Etienne.cavalier@chu.ulg.ac.be</w:t>
        </w:r>
      </w:hyperlink>
    </w:p>
    <w:p w:rsidR="007B6722" w:rsidRPr="001066AE" w:rsidRDefault="007B6722" w:rsidP="007B6722">
      <w:pPr>
        <w:spacing w:line="480" w:lineRule="auto"/>
        <w:jc w:val="both"/>
        <w:outlineLvl w:val="0"/>
        <w:rPr>
          <w:lang w:val="en-US"/>
        </w:rPr>
      </w:pPr>
      <w:r w:rsidRPr="001066AE">
        <w:rPr>
          <w:lang w:val="de-DE"/>
        </w:rPr>
        <w:t xml:space="preserve"> </w:t>
      </w:r>
      <w:r w:rsidRPr="001066AE">
        <w:rPr>
          <w:lang w:val="en-US"/>
        </w:rPr>
        <w:t>Running title : variation of BAP measurement</w:t>
      </w:r>
    </w:p>
    <w:p w:rsidR="007B6722" w:rsidRPr="001066AE" w:rsidRDefault="007B6722" w:rsidP="007B6722">
      <w:pPr>
        <w:spacing w:line="480" w:lineRule="auto"/>
        <w:jc w:val="both"/>
        <w:rPr>
          <w:lang w:val="en-US"/>
        </w:rPr>
      </w:pPr>
    </w:p>
    <w:p w:rsidR="007B6722" w:rsidRPr="001066AE" w:rsidRDefault="007B6722" w:rsidP="007B6722">
      <w:pPr>
        <w:spacing w:line="480" w:lineRule="auto"/>
        <w:rPr>
          <w:lang w:val="en-US"/>
        </w:rPr>
      </w:pPr>
    </w:p>
    <w:p w:rsidR="007B6722" w:rsidRPr="001066AE" w:rsidRDefault="007B6722" w:rsidP="007B6722">
      <w:pPr>
        <w:spacing w:line="480" w:lineRule="auto"/>
        <w:rPr>
          <w:lang w:val="en-US"/>
        </w:rPr>
      </w:pPr>
    </w:p>
    <w:p w:rsidR="007B6722" w:rsidRPr="001066AE" w:rsidRDefault="007B6722" w:rsidP="007B6722">
      <w:pPr>
        <w:spacing w:line="480" w:lineRule="auto"/>
        <w:rPr>
          <w:b/>
          <w:u w:val="single"/>
          <w:lang w:val="en-US"/>
        </w:rPr>
      </w:pPr>
    </w:p>
    <w:p w:rsidR="007B6722" w:rsidRDefault="007B6722" w:rsidP="007B6722">
      <w:pPr>
        <w:spacing w:line="480" w:lineRule="auto"/>
        <w:rPr>
          <w:b/>
          <w:lang w:val="en-US"/>
        </w:rPr>
      </w:pPr>
      <w:r w:rsidRPr="001066AE">
        <w:rPr>
          <w:b/>
          <w:u w:val="single"/>
          <w:lang w:val="en-US"/>
        </w:rPr>
        <w:t>Abstract</w:t>
      </w:r>
    </w:p>
    <w:p w:rsidR="007F398E" w:rsidRDefault="007F398E" w:rsidP="007F398E">
      <w:pPr>
        <w:spacing w:line="480" w:lineRule="auto"/>
        <w:rPr>
          <w:lang w:val="en-US"/>
        </w:rPr>
      </w:pPr>
      <w:r w:rsidRPr="00703636">
        <w:rPr>
          <w:b/>
          <w:lang w:val="en-US"/>
        </w:rPr>
        <w:lastRenderedPageBreak/>
        <w:t>Background</w:t>
      </w:r>
      <w:r>
        <w:rPr>
          <w:lang w:val="en-US"/>
        </w:rPr>
        <w:t xml:space="preserve">: Bone-specific alkaline phosphatase (BAP) is now recommended to assess bone turnover in hemodialysis (HD) patients. However, little is known about potential variability between methods available to measure BAP. </w:t>
      </w:r>
    </w:p>
    <w:p w:rsidR="007F398E" w:rsidRDefault="007F398E" w:rsidP="007F398E">
      <w:pPr>
        <w:spacing w:line="480" w:lineRule="auto"/>
        <w:rPr>
          <w:lang w:val="en-US"/>
        </w:rPr>
      </w:pPr>
      <w:r w:rsidRPr="00EB4D3E">
        <w:rPr>
          <w:b/>
          <w:lang w:val="en-US"/>
        </w:rPr>
        <w:t>Methods</w:t>
      </w:r>
      <w:r>
        <w:rPr>
          <w:lang w:val="en-US"/>
        </w:rPr>
        <w:t xml:space="preserve">: We measured BAP in 76 HD patients with six different </w:t>
      </w:r>
      <w:r w:rsidRPr="00C641FE">
        <w:rPr>
          <w:lang w:val="en-US"/>
        </w:rPr>
        <w:t>assays (</w:t>
      </w:r>
      <w:r w:rsidRPr="00C641FE">
        <w:rPr>
          <w:lang w:val="en-GB"/>
        </w:rPr>
        <w:t>Beckman-Coulter Ostase IRMA, IDS iSYS Ostase</w:t>
      </w:r>
      <w:r w:rsidRPr="00C641FE">
        <w:rPr>
          <w:lang w:val="en-US"/>
        </w:rPr>
        <w:t xml:space="preserve">, </w:t>
      </w:r>
      <w:r w:rsidRPr="00C641FE">
        <w:rPr>
          <w:lang w:val="en-GB"/>
        </w:rPr>
        <w:t>IDS Ostase enzyme immunoassay, DiaSorin Liaison Ostase and Quidel MicroVue BAP).</w:t>
      </w:r>
      <w:r>
        <w:rPr>
          <w:lang w:val="en-US"/>
        </w:rPr>
        <w:t xml:space="preserve"> </w:t>
      </w:r>
    </w:p>
    <w:p w:rsidR="007F398E" w:rsidRDefault="007F398E" w:rsidP="007F398E">
      <w:pPr>
        <w:spacing w:line="480" w:lineRule="auto"/>
        <w:rPr>
          <w:lang w:val="en-US"/>
        </w:rPr>
      </w:pPr>
      <w:r w:rsidRPr="00703636">
        <w:rPr>
          <w:b/>
          <w:lang w:val="en-US"/>
        </w:rPr>
        <w:t>Results</w:t>
      </w:r>
      <w:r>
        <w:rPr>
          <w:lang w:val="en-US"/>
        </w:rPr>
        <w:t>: We observed a high correlation between all the assays</w:t>
      </w:r>
      <w:r w:rsidRPr="00C641FE">
        <w:rPr>
          <w:lang w:val="en-US"/>
        </w:rPr>
        <w:t xml:space="preserve"> </w:t>
      </w:r>
      <w:r w:rsidRPr="001066AE">
        <w:rPr>
          <w:lang w:val="en-US"/>
        </w:rPr>
        <w:t>ranging from 0.9948 (IDS iSYS vs. IDS EIA) to 0.9215 (DiaSorin Liaison vs. Quidel Microvue).</w:t>
      </w:r>
      <w:r>
        <w:rPr>
          <w:lang w:val="en-US"/>
        </w:rPr>
        <w:t xml:space="preserve"> However, u</w:t>
      </w:r>
      <w:r w:rsidRPr="001066AE">
        <w:rPr>
          <w:lang w:val="en-US"/>
        </w:rPr>
        <w:t>sing the regression equations</w:t>
      </w:r>
      <w:r>
        <w:rPr>
          <w:lang w:val="en-US"/>
        </w:rPr>
        <w:t xml:space="preserve">, </w:t>
      </w:r>
      <w:r w:rsidRPr="001066AE">
        <w:rPr>
          <w:lang w:val="en-US"/>
        </w:rPr>
        <w:t xml:space="preserve">the equivalent concentration </w:t>
      </w:r>
      <w:r>
        <w:rPr>
          <w:lang w:val="en-US"/>
        </w:rPr>
        <w:t xml:space="preserve">of a </w:t>
      </w:r>
      <w:r w:rsidRPr="001066AE">
        <w:rPr>
          <w:lang w:val="en-US"/>
        </w:rPr>
        <w:t xml:space="preserve">Beckman-Coulter Access </w:t>
      </w:r>
      <w:r>
        <w:rPr>
          <w:lang w:val="en-US"/>
        </w:rPr>
        <w:t xml:space="preserve">value of 10 </w:t>
      </w:r>
      <w:r w:rsidRPr="001066AE">
        <w:rPr>
          <w:lang w:val="en-US"/>
        </w:rPr>
        <w:t xml:space="preserve">µg/L can range to 7.7 – 14.4 µg/L and </w:t>
      </w:r>
      <w:r>
        <w:rPr>
          <w:lang w:val="en-US"/>
        </w:rPr>
        <w:t>of 20 µg/L can</w:t>
      </w:r>
      <w:r w:rsidRPr="001066AE">
        <w:rPr>
          <w:lang w:val="en-US"/>
        </w:rPr>
        <w:t xml:space="preserve"> </w:t>
      </w:r>
      <w:r>
        <w:rPr>
          <w:lang w:val="en-US"/>
        </w:rPr>
        <w:t xml:space="preserve">range </w:t>
      </w:r>
      <w:r w:rsidRPr="001066AE">
        <w:rPr>
          <w:lang w:val="en-US"/>
        </w:rPr>
        <w:t>to 16.9 – 27.9 µg/L</w:t>
      </w:r>
      <w:r>
        <w:rPr>
          <w:lang w:val="en-US"/>
        </w:rPr>
        <w:t xml:space="preserve"> with other assays</w:t>
      </w:r>
      <w:r w:rsidRPr="001066AE">
        <w:rPr>
          <w:lang w:val="en-US"/>
        </w:rPr>
        <w:t>.</w:t>
      </w:r>
      <w:r>
        <w:rPr>
          <w:lang w:val="en-US"/>
        </w:rPr>
        <w:t xml:space="preserve"> </w:t>
      </w:r>
      <w:r w:rsidRPr="001066AE">
        <w:rPr>
          <w:lang w:val="en-US"/>
        </w:rPr>
        <w:t xml:space="preserve">According to Beckman-Coulter Access, 13%, 50% and 37% of the patients presented BAP values ≤10, between 10 and 20 and ≥20 µg/L, respectively. </w:t>
      </w:r>
      <w:r>
        <w:rPr>
          <w:lang w:val="en-US"/>
        </w:rPr>
        <w:t xml:space="preserve">Discrepancies are observed when other assays are used (concordance from 10 to 100%). </w:t>
      </w:r>
    </w:p>
    <w:p w:rsidR="007F398E" w:rsidRPr="001066AE" w:rsidRDefault="007F398E" w:rsidP="007F398E">
      <w:pPr>
        <w:spacing w:line="480" w:lineRule="auto"/>
        <w:rPr>
          <w:lang w:val="en-US"/>
        </w:rPr>
      </w:pPr>
      <w:r w:rsidRPr="00703636">
        <w:rPr>
          <w:b/>
          <w:lang w:val="en-US"/>
        </w:rPr>
        <w:t>Conclusions</w:t>
      </w:r>
      <w:r>
        <w:rPr>
          <w:lang w:val="en-US"/>
        </w:rPr>
        <w:t>: A</w:t>
      </w:r>
      <w:r w:rsidRPr="001066AE">
        <w:rPr>
          <w:lang w:val="en-US"/>
        </w:rPr>
        <w:t xml:space="preserve">nalytical problems leading to inter-method variation should be overcome to improve the usefulness of this marker in </w:t>
      </w:r>
      <w:r>
        <w:rPr>
          <w:lang w:val="en-US"/>
        </w:rPr>
        <w:t>clinical practice. According to correlation results, recalibration of BAP assays is necessary but should not be a major issue.</w:t>
      </w:r>
      <w:r w:rsidRPr="001066AE">
        <w:rPr>
          <w:lang w:val="en-US"/>
        </w:rPr>
        <w:t xml:space="preserve">      </w:t>
      </w:r>
    </w:p>
    <w:p w:rsidR="001848B4" w:rsidRPr="007B6722" w:rsidRDefault="001848B4">
      <w:pPr>
        <w:rPr>
          <w:lang w:val="en-US"/>
        </w:rPr>
      </w:pPr>
    </w:p>
    <w:sectPr w:rsidR="001848B4" w:rsidRPr="007B6722" w:rsidSect="0018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B6722"/>
    <w:rsid w:val="001848B4"/>
    <w:rsid w:val="001F7854"/>
    <w:rsid w:val="004276BB"/>
    <w:rsid w:val="004A0C47"/>
    <w:rsid w:val="007B6722"/>
    <w:rsid w:val="007F398E"/>
    <w:rsid w:val="00B71A90"/>
    <w:rsid w:val="00CA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22"/>
    <w:pPr>
      <w:spacing w:after="0" w:line="240" w:lineRule="auto"/>
    </w:pPr>
    <w:rPr>
      <w:rFonts w:ascii="Cambria" w:eastAsia="MS ??" w:hAnsi="Cambria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7B67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ienne.cavalier@chu.ulg.a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4</cp:revision>
  <dcterms:created xsi:type="dcterms:W3CDTF">2014-01-21T17:36:00Z</dcterms:created>
  <dcterms:modified xsi:type="dcterms:W3CDTF">2014-01-22T13:04:00Z</dcterms:modified>
</cp:coreProperties>
</file>