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3B" w:rsidRPr="0086281A" w:rsidRDefault="00847C86" w:rsidP="003C3581">
      <w:pPr>
        <w:pStyle w:val="Titre"/>
        <w:rPr>
          <w:rFonts w:ascii="Calibri" w:hAnsi="Calibri"/>
          <w:lang w:val="en-GB"/>
        </w:rPr>
      </w:pPr>
      <w:r w:rsidRPr="0086281A">
        <w:rPr>
          <w:rFonts w:ascii="Calibri" w:hAnsi="Calibri"/>
          <w:lang w:val="en-GB"/>
        </w:rPr>
        <w:t>Creatinine-based equations for the adjustment of drug dosage</w:t>
      </w:r>
      <w:r w:rsidR="003C3581" w:rsidRPr="0086281A">
        <w:rPr>
          <w:rFonts w:ascii="Calibri" w:hAnsi="Calibri"/>
          <w:lang w:val="en-GB"/>
        </w:rPr>
        <w:t xml:space="preserve"> in an obese population</w:t>
      </w:r>
    </w:p>
    <w:p w:rsidR="0010333B" w:rsidRPr="0086281A" w:rsidRDefault="0010333B" w:rsidP="00D40856">
      <w:pPr>
        <w:rPr>
          <w:rFonts w:ascii="Calibri" w:hAnsi="Calibri"/>
          <w:b/>
          <w:u w:val="single"/>
          <w:lang w:val="en-GB"/>
        </w:rPr>
      </w:pPr>
    </w:p>
    <w:p w:rsidR="0010333B" w:rsidRPr="00727535" w:rsidRDefault="00510BFF" w:rsidP="00D40856">
      <w:pPr>
        <w:rPr>
          <w:rFonts w:ascii="Calibri" w:hAnsi="Calibri"/>
          <w:b/>
          <w:u w:val="single"/>
          <w:lang w:val="fr-BE"/>
        </w:rPr>
      </w:pPr>
      <w:r w:rsidRPr="00727535">
        <w:rPr>
          <w:rFonts w:ascii="Calibri" w:hAnsi="Calibri"/>
          <w:b/>
          <w:u w:val="single"/>
          <w:lang w:val="fr-BE"/>
        </w:rPr>
        <w:t>Bouquegneau</w:t>
      </w:r>
      <w:r w:rsidR="00411D9F" w:rsidRPr="00727535">
        <w:rPr>
          <w:rFonts w:ascii="Calibri" w:hAnsi="Calibri"/>
          <w:b/>
          <w:u w:val="single"/>
          <w:lang w:val="fr-BE"/>
        </w:rPr>
        <w:t xml:space="preserve"> Antoine</w:t>
      </w:r>
      <w:r w:rsidR="00FE3AA3" w:rsidRPr="00727535">
        <w:rPr>
          <w:rFonts w:ascii="Calibri" w:hAnsi="Calibri"/>
          <w:b/>
          <w:u w:val="single"/>
          <w:lang w:val="fr-BE"/>
        </w:rPr>
        <w:t xml:space="preserve"> </w:t>
      </w:r>
      <w:r w:rsidR="00DC4E40" w:rsidRPr="00727535">
        <w:rPr>
          <w:rFonts w:ascii="Calibri" w:hAnsi="Calibri" w:cs="Times"/>
          <w:b/>
          <w:color w:val="3C3D3C"/>
          <w:vertAlign w:val="superscript"/>
          <w:lang w:val="fr-BE"/>
        </w:rPr>
        <w:t>1</w:t>
      </w:r>
      <w:r w:rsidRPr="00727535">
        <w:rPr>
          <w:rFonts w:ascii="Calibri" w:hAnsi="Calibri"/>
          <w:b/>
          <w:u w:val="single"/>
          <w:lang w:val="fr-BE"/>
        </w:rPr>
        <w:t>, Vidal-Petiot</w:t>
      </w:r>
      <w:r w:rsidR="00DC4E40" w:rsidRPr="00727535">
        <w:rPr>
          <w:rFonts w:ascii="Calibri" w:hAnsi="Calibri"/>
          <w:b/>
          <w:u w:val="single"/>
          <w:lang w:val="fr-BE"/>
        </w:rPr>
        <w:t xml:space="preserve"> </w:t>
      </w:r>
      <w:r w:rsidR="00411D9F" w:rsidRPr="00727535">
        <w:rPr>
          <w:rFonts w:ascii="Calibri" w:hAnsi="Calibri"/>
          <w:b/>
          <w:u w:val="single"/>
          <w:lang w:val="fr-BE"/>
        </w:rPr>
        <w:t>Em</w:t>
      </w:r>
      <w:r w:rsidR="001870CF" w:rsidRPr="00727535">
        <w:rPr>
          <w:rFonts w:ascii="Calibri" w:hAnsi="Calibri"/>
          <w:b/>
          <w:u w:val="single"/>
          <w:lang w:val="fr-BE"/>
        </w:rPr>
        <w:t>m</w:t>
      </w:r>
      <w:r w:rsidR="00411D9F" w:rsidRPr="00727535">
        <w:rPr>
          <w:rFonts w:ascii="Calibri" w:hAnsi="Calibri"/>
          <w:b/>
          <w:u w:val="single"/>
          <w:lang w:val="fr-BE"/>
        </w:rPr>
        <w:t xml:space="preserve">anuelle </w:t>
      </w:r>
      <w:r w:rsidR="00DC4E40" w:rsidRPr="00727535">
        <w:rPr>
          <w:rFonts w:ascii="Calibri" w:hAnsi="Calibri"/>
          <w:b/>
          <w:u w:val="single"/>
          <w:vertAlign w:val="superscript"/>
          <w:lang w:val="fr-BE"/>
        </w:rPr>
        <w:t>2</w:t>
      </w:r>
      <w:r w:rsidRPr="00727535">
        <w:rPr>
          <w:rFonts w:ascii="Calibri" w:hAnsi="Calibri"/>
          <w:b/>
          <w:u w:val="single"/>
          <w:lang w:val="fr-BE"/>
        </w:rPr>
        <w:t xml:space="preserve">, Moranne </w:t>
      </w:r>
      <w:r w:rsidR="00411D9F" w:rsidRPr="00727535">
        <w:rPr>
          <w:rFonts w:ascii="Calibri" w:hAnsi="Calibri"/>
          <w:b/>
          <w:u w:val="single"/>
          <w:lang w:val="fr-BE"/>
        </w:rPr>
        <w:t xml:space="preserve">Olivier </w:t>
      </w:r>
      <w:r w:rsidR="00DC4E40" w:rsidRPr="00727535">
        <w:rPr>
          <w:rFonts w:ascii="Calibri" w:hAnsi="Calibri"/>
          <w:b/>
          <w:u w:val="single"/>
          <w:vertAlign w:val="superscript"/>
          <w:lang w:val="fr-BE"/>
        </w:rPr>
        <w:t>3</w:t>
      </w:r>
      <w:r w:rsidRPr="00727535">
        <w:rPr>
          <w:rFonts w:ascii="Calibri" w:hAnsi="Calibri"/>
          <w:b/>
          <w:u w:val="single"/>
          <w:lang w:val="fr-BE"/>
        </w:rPr>
        <w:t>,</w:t>
      </w:r>
      <w:r w:rsidR="00FE3AA3" w:rsidRPr="00727535">
        <w:rPr>
          <w:rFonts w:ascii="Calibri" w:hAnsi="Calibri"/>
          <w:b/>
          <w:u w:val="single"/>
          <w:lang w:val="fr-BE"/>
        </w:rPr>
        <w:t xml:space="preserve"> Mariat Christophe </w:t>
      </w:r>
      <w:r w:rsidR="00FE3AA3" w:rsidRPr="00727535">
        <w:rPr>
          <w:rFonts w:ascii="Calibri" w:hAnsi="Calibri"/>
          <w:b/>
          <w:u w:val="single"/>
          <w:vertAlign w:val="superscript"/>
          <w:lang w:val="fr-BE"/>
        </w:rPr>
        <w:t>4</w:t>
      </w:r>
      <w:r w:rsidRPr="00727535">
        <w:rPr>
          <w:rFonts w:ascii="Calibri" w:hAnsi="Calibri"/>
          <w:b/>
          <w:u w:val="single"/>
          <w:lang w:val="fr-BE"/>
        </w:rPr>
        <w:t xml:space="preserve"> </w:t>
      </w:r>
      <w:r w:rsidR="00A51968" w:rsidRPr="00727535">
        <w:rPr>
          <w:rFonts w:ascii="Calibri" w:hAnsi="Calibri"/>
          <w:b/>
          <w:u w:val="single"/>
          <w:lang w:val="fr-BE"/>
        </w:rPr>
        <w:t xml:space="preserve">Boffa </w:t>
      </w:r>
      <w:r w:rsidR="001870CF" w:rsidRPr="00727535">
        <w:rPr>
          <w:rFonts w:ascii="Calibri" w:hAnsi="Calibri"/>
          <w:b/>
          <w:u w:val="single"/>
          <w:lang w:val="fr-BE"/>
        </w:rPr>
        <w:t xml:space="preserve">Jean-Jacques </w:t>
      </w:r>
      <w:r w:rsidR="001870CF" w:rsidRPr="00727535">
        <w:rPr>
          <w:rFonts w:ascii="Calibri" w:hAnsi="Calibri"/>
          <w:b/>
          <w:u w:val="single"/>
          <w:vertAlign w:val="superscript"/>
          <w:lang w:val="fr-BE"/>
        </w:rPr>
        <w:t>5</w:t>
      </w:r>
      <w:r w:rsidR="00A51968" w:rsidRPr="00727535">
        <w:rPr>
          <w:rFonts w:ascii="Calibri" w:hAnsi="Calibri"/>
          <w:b/>
          <w:u w:val="single"/>
          <w:lang w:val="fr-BE"/>
        </w:rPr>
        <w:t xml:space="preserve">, </w:t>
      </w:r>
      <w:r w:rsidRPr="00727535">
        <w:rPr>
          <w:rFonts w:ascii="Calibri" w:hAnsi="Calibri"/>
          <w:b/>
          <w:u w:val="single"/>
          <w:lang w:val="fr-BE"/>
        </w:rPr>
        <w:t>Vrt</w:t>
      </w:r>
      <w:r w:rsidR="005D00AF" w:rsidRPr="00727535">
        <w:rPr>
          <w:rFonts w:ascii="Calibri" w:hAnsi="Calibri"/>
          <w:b/>
          <w:u w:val="single"/>
          <w:lang w:val="fr-BE"/>
        </w:rPr>
        <w:t>o</w:t>
      </w:r>
      <w:r w:rsidRPr="00727535">
        <w:rPr>
          <w:rFonts w:ascii="Calibri" w:hAnsi="Calibri"/>
          <w:b/>
          <w:u w:val="single"/>
          <w:lang w:val="fr-BE"/>
        </w:rPr>
        <w:t>vsnik</w:t>
      </w:r>
      <w:r w:rsidR="00411D9F" w:rsidRPr="00727535">
        <w:rPr>
          <w:rFonts w:ascii="Calibri" w:hAnsi="Calibri"/>
          <w:b/>
          <w:u w:val="single"/>
          <w:lang w:val="fr-BE"/>
        </w:rPr>
        <w:t xml:space="preserve"> François</w:t>
      </w:r>
      <w:r w:rsidRPr="00727535">
        <w:rPr>
          <w:rFonts w:ascii="Calibri" w:hAnsi="Calibri"/>
          <w:b/>
          <w:u w:val="single"/>
          <w:lang w:val="fr-BE"/>
        </w:rPr>
        <w:t xml:space="preserve"> </w:t>
      </w:r>
      <w:r w:rsidR="001870CF" w:rsidRPr="00727535">
        <w:rPr>
          <w:rFonts w:ascii="Calibri" w:hAnsi="Calibri"/>
          <w:b/>
          <w:u w:val="single"/>
          <w:vertAlign w:val="superscript"/>
          <w:lang w:val="fr-BE"/>
        </w:rPr>
        <w:t>6</w:t>
      </w:r>
      <w:r w:rsidR="00584D6F" w:rsidRPr="00727535">
        <w:rPr>
          <w:rFonts w:ascii="Calibri" w:hAnsi="Calibri"/>
          <w:b/>
          <w:u w:val="single"/>
          <w:lang w:val="fr-BE"/>
        </w:rPr>
        <w:t xml:space="preserve">, </w:t>
      </w:r>
      <w:r w:rsidR="002D1C6E" w:rsidRPr="00727535">
        <w:rPr>
          <w:rFonts w:ascii="Calibri" w:hAnsi="Calibri"/>
          <w:b/>
          <w:u w:val="single"/>
          <w:lang w:val="fr-BE"/>
        </w:rPr>
        <w:t>Scheen André</w:t>
      </w:r>
      <w:r w:rsidR="005F3F4C" w:rsidRPr="00727535">
        <w:rPr>
          <w:rFonts w:ascii="Calibri" w:hAnsi="Calibri"/>
          <w:b/>
          <w:u w:val="single"/>
          <w:lang w:val="fr-BE"/>
        </w:rPr>
        <w:t xml:space="preserve"> </w:t>
      </w:r>
      <w:r w:rsidR="005D2644" w:rsidRPr="00727535">
        <w:rPr>
          <w:rFonts w:ascii="Calibri" w:hAnsi="Calibri"/>
          <w:b/>
          <w:u w:val="single"/>
          <w:lang w:val="fr-BE"/>
        </w:rPr>
        <w:t>J</w:t>
      </w:r>
      <w:r w:rsidR="005F3F4C" w:rsidRPr="00727535">
        <w:rPr>
          <w:rFonts w:ascii="Calibri" w:hAnsi="Calibri"/>
          <w:b/>
          <w:u w:val="single"/>
          <w:lang w:val="fr-BE"/>
        </w:rPr>
        <w:t>.</w:t>
      </w:r>
      <w:r w:rsidR="002D1C6E" w:rsidRPr="00727535">
        <w:rPr>
          <w:rFonts w:ascii="Calibri" w:hAnsi="Calibri"/>
          <w:b/>
          <w:u w:val="single"/>
          <w:lang w:val="fr-BE"/>
        </w:rPr>
        <w:t xml:space="preserve"> </w:t>
      </w:r>
      <w:r w:rsidR="001870CF" w:rsidRPr="00727535">
        <w:rPr>
          <w:rFonts w:ascii="Calibri" w:hAnsi="Calibri" w:cs="Arial"/>
          <w:b/>
          <w:vertAlign w:val="superscript"/>
          <w:lang w:val="fr-BE"/>
        </w:rPr>
        <w:t>7</w:t>
      </w:r>
      <w:r w:rsidR="00584D6F" w:rsidRPr="00727535">
        <w:rPr>
          <w:rFonts w:ascii="Calibri" w:hAnsi="Calibri"/>
          <w:b/>
          <w:u w:val="single"/>
          <w:lang w:val="fr-BE"/>
        </w:rPr>
        <w:t>,</w:t>
      </w:r>
      <w:r w:rsidR="004468F6" w:rsidRPr="00727535">
        <w:rPr>
          <w:rFonts w:ascii="Calibri" w:hAnsi="Calibri"/>
          <w:b/>
          <w:u w:val="single"/>
          <w:lang w:val="fr-BE"/>
        </w:rPr>
        <w:t xml:space="preserve"> </w:t>
      </w:r>
      <w:r w:rsidR="0052482A" w:rsidRPr="00727535">
        <w:rPr>
          <w:rFonts w:ascii="Calibri" w:hAnsi="Calibri"/>
          <w:b/>
          <w:u w:val="single"/>
          <w:lang w:val="fr-BE"/>
        </w:rPr>
        <w:t xml:space="preserve">Rorive </w:t>
      </w:r>
      <w:r w:rsidR="00836AB9" w:rsidRPr="00727535">
        <w:rPr>
          <w:rFonts w:ascii="Calibri" w:hAnsi="Calibri"/>
          <w:b/>
          <w:u w:val="single"/>
          <w:lang w:val="fr-BE"/>
        </w:rPr>
        <w:t xml:space="preserve">Marcelle </w:t>
      </w:r>
      <w:r w:rsidR="001870CF" w:rsidRPr="00727535">
        <w:rPr>
          <w:rFonts w:ascii="Calibri" w:hAnsi="Calibri"/>
          <w:b/>
          <w:u w:val="single"/>
          <w:vertAlign w:val="superscript"/>
          <w:lang w:val="fr-BE"/>
        </w:rPr>
        <w:t>7</w:t>
      </w:r>
      <w:r w:rsidR="0052482A" w:rsidRPr="00727535">
        <w:rPr>
          <w:rFonts w:ascii="Calibri" w:hAnsi="Calibri"/>
          <w:b/>
          <w:u w:val="single"/>
          <w:lang w:val="fr-BE"/>
        </w:rPr>
        <w:t xml:space="preserve">, </w:t>
      </w:r>
      <w:r w:rsidRPr="00727535">
        <w:rPr>
          <w:rFonts w:ascii="Calibri" w:hAnsi="Calibri"/>
          <w:b/>
          <w:u w:val="single"/>
          <w:lang w:val="fr-BE"/>
        </w:rPr>
        <w:t>Krzesinski J</w:t>
      </w:r>
      <w:r w:rsidR="00411D9F" w:rsidRPr="00727535">
        <w:rPr>
          <w:rFonts w:ascii="Calibri" w:hAnsi="Calibri"/>
          <w:b/>
          <w:u w:val="single"/>
          <w:lang w:val="fr-BE"/>
        </w:rPr>
        <w:t>ean-</w:t>
      </w:r>
      <w:r w:rsidRPr="00727535">
        <w:rPr>
          <w:rFonts w:ascii="Calibri" w:hAnsi="Calibri"/>
          <w:b/>
          <w:u w:val="single"/>
          <w:lang w:val="fr-BE"/>
        </w:rPr>
        <w:t>M</w:t>
      </w:r>
      <w:r w:rsidR="00411D9F" w:rsidRPr="00727535">
        <w:rPr>
          <w:rFonts w:ascii="Calibri" w:hAnsi="Calibri"/>
          <w:b/>
          <w:u w:val="single"/>
          <w:lang w:val="fr-BE"/>
        </w:rPr>
        <w:t>arie</w:t>
      </w:r>
      <w:r w:rsidR="00DC4E40" w:rsidRPr="00727535">
        <w:rPr>
          <w:rFonts w:ascii="Calibri" w:hAnsi="Calibri" w:cs="Times"/>
          <w:b/>
          <w:color w:val="3C3D3C"/>
          <w:vertAlign w:val="superscript"/>
          <w:lang w:val="fr-BE"/>
        </w:rPr>
        <w:t>1</w:t>
      </w:r>
      <w:r w:rsidRPr="00727535">
        <w:rPr>
          <w:rFonts w:ascii="Calibri" w:hAnsi="Calibri"/>
          <w:b/>
          <w:u w:val="single"/>
          <w:lang w:val="fr-BE"/>
        </w:rPr>
        <w:t>, Flamant M</w:t>
      </w:r>
      <w:r w:rsidR="00411D9F" w:rsidRPr="00727535">
        <w:rPr>
          <w:rFonts w:ascii="Calibri" w:hAnsi="Calibri"/>
          <w:b/>
          <w:u w:val="single"/>
          <w:lang w:val="fr-BE"/>
        </w:rPr>
        <w:t>artin</w:t>
      </w:r>
      <w:r w:rsidR="00DC4E40" w:rsidRPr="00727535">
        <w:rPr>
          <w:rFonts w:ascii="Calibri" w:hAnsi="Calibri"/>
          <w:b/>
          <w:u w:val="single"/>
          <w:lang w:val="fr-BE"/>
        </w:rPr>
        <w:t xml:space="preserve"> </w:t>
      </w:r>
      <w:r w:rsidR="00DC4E40" w:rsidRPr="00727535">
        <w:rPr>
          <w:rFonts w:ascii="Calibri" w:hAnsi="Calibri"/>
          <w:b/>
          <w:u w:val="single"/>
          <w:vertAlign w:val="superscript"/>
          <w:lang w:val="fr-BE"/>
        </w:rPr>
        <w:t>2</w:t>
      </w:r>
      <w:r w:rsidRPr="00727535">
        <w:rPr>
          <w:rFonts w:ascii="Calibri" w:hAnsi="Calibri"/>
          <w:b/>
          <w:u w:val="single"/>
          <w:lang w:val="fr-BE"/>
        </w:rPr>
        <w:t>, Delanaye P</w:t>
      </w:r>
      <w:r w:rsidR="00411D9F" w:rsidRPr="00727535">
        <w:rPr>
          <w:rFonts w:ascii="Calibri" w:hAnsi="Calibri"/>
          <w:b/>
          <w:u w:val="single"/>
          <w:lang w:val="fr-BE"/>
        </w:rPr>
        <w:t>ierre</w:t>
      </w:r>
      <w:r w:rsidR="00FE3AA3" w:rsidRPr="00727535">
        <w:rPr>
          <w:rFonts w:ascii="Calibri" w:hAnsi="Calibri"/>
          <w:b/>
          <w:u w:val="single"/>
          <w:lang w:val="fr-BE"/>
        </w:rPr>
        <w:t xml:space="preserve"> </w:t>
      </w:r>
      <w:r w:rsidR="00DC4E40" w:rsidRPr="00727535">
        <w:rPr>
          <w:rFonts w:ascii="Calibri" w:hAnsi="Calibri" w:cs="Times"/>
          <w:b/>
          <w:color w:val="3C3D3C"/>
          <w:vertAlign w:val="superscript"/>
          <w:lang w:val="fr-BE"/>
        </w:rPr>
        <w:t>1</w:t>
      </w:r>
      <w:r w:rsidR="00411D9F" w:rsidRPr="00727535">
        <w:rPr>
          <w:rFonts w:ascii="Calibri" w:hAnsi="Calibri" w:cs="Times"/>
          <w:b/>
          <w:color w:val="3C3D3C"/>
          <w:lang w:val="fr-BE"/>
        </w:rPr>
        <w:t>.</w:t>
      </w:r>
    </w:p>
    <w:p w:rsidR="0005310A" w:rsidRPr="00727535" w:rsidRDefault="0005310A" w:rsidP="00D40856">
      <w:pPr>
        <w:rPr>
          <w:rFonts w:ascii="Calibri" w:hAnsi="Calibri"/>
          <w:b/>
          <w:u w:val="single"/>
          <w:lang w:val="fr-BE"/>
        </w:rPr>
      </w:pPr>
    </w:p>
    <w:p w:rsidR="0005310A" w:rsidRPr="00727535" w:rsidRDefault="0005310A" w:rsidP="00D40856">
      <w:pPr>
        <w:rPr>
          <w:rFonts w:ascii="Calibri" w:hAnsi="Calibri"/>
          <w:b/>
          <w:u w:val="single"/>
          <w:lang w:val="fr-BE"/>
        </w:rPr>
      </w:pPr>
    </w:p>
    <w:p w:rsidR="0005310A" w:rsidRPr="00727535" w:rsidRDefault="0005310A" w:rsidP="00D40856">
      <w:pPr>
        <w:rPr>
          <w:rFonts w:ascii="Calibri" w:hAnsi="Calibri"/>
          <w:b/>
          <w:u w:val="single"/>
          <w:lang w:val="fr-BE"/>
        </w:rPr>
      </w:pPr>
    </w:p>
    <w:p w:rsidR="0005310A" w:rsidRPr="00727535" w:rsidRDefault="0005310A" w:rsidP="00D40856">
      <w:pPr>
        <w:rPr>
          <w:rFonts w:ascii="Calibri" w:hAnsi="Calibri"/>
          <w:b/>
          <w:u w:val="single"/>
          <w:lang w:val="fr-BE"/>
        </w:rPr>
      </w:pPr>
    </w:p>
    <w:p w:rsidR="0005310A" w:rsidRPr="00727535" w:rsidRDefault="0005310A" w:rsidP="00D40856">
      <w:pPr>
        <w:rPr>
          <w:rFonts w:ascii="Calibri" w:hAnsi="Calibri"/>
          <w:b/>
          <w:u w:val="single"/>
          <w:lang w:val="fr-BE"/>
        </w:rPr>
      </w:pPr>
    </w:p>
    <w:p w:rsidR="0005310A" w:rsidRPr="00727535" w:rsidRDefault="0005310A" w:rsidP="00D40856">
      <w:pPr>
        <w:rPr>
          <w:rFonts w:ascii="Calibri" w:hAnsi="Calibri"/>
          <w:b/>
          <w:u w:val="single"/>
          <w:lang w:val="fr-BE"/>
        </w:rPr>
      </w:pPr>
    </w:p>
    <w:p w:rsidR="0005310A" w:rsidRPr="00727535" w:rsidRDefault="0005310A" w:rsidP="00D40856">
      <w:pPr>
        <w:rPr>
          <w:rFonts w:ascii="Calibri" w:hAnsi="Calibri"/>
          <w:b/>
          <w:u w:val="single"/>
          <w:lang w:val="fr-BE"/>
        </w:rPr>
      </w:pPr>
    </w:p>
    <w:p w:rsidR="0005310A" w:rsidRPr="00727535" w:rsidRDefault="0005310A" w:rsidP="00D40856">
      <w:pPr>
        <w:rPr>
          <w:rFonts w:ascii="Calibri" w:hAnsi="Calibri"/>
          <w:b/>
          <w:u w:val="single"/>
          <w:lang w:val="fr-BE"/>
        </w:rPr>
      </w:pPr>
    </w:p>
    <w:p w:rsidR="0005310A" w:rsidRPr="00727535" w:rsidRDefault="0005310A" w:rsidP="00D40856">
      <w:pPr>
        <w:rPr>
          <w:rFonts w:ascii="Calibri" w:hAnsi="Calibri"/>
          <w:b/>
          <w:u w:val="single"/>
          <w:lang w:val="fr-BE"/>
        </w:rPr>
      </w:pPr>
    </w:p>
    <w:p w:rsidR="0005310A" w:rsidRPr="00727535" w:rsidRDefault="0005310A" w:rsidP="00D40856">
      <w:pPr>
        <w:rPr>
          <w:rFonts w:ascii="Calibri" w:hAnsi="Calibri"/>
          <w:b/>
          <w:u w:val="single"/>
          <w:lang w:val="fr-BE"/>
        </w:rPr>
      </w:pPr>
    </w:p>
    <w:p w:rsidR="00DC4E40" w:rsidRPr="0086281A" w:rsidRDefault="00DC4E40" w:rsidP="00DC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6281A">
        <w:rPr>
          <w:rFonts w:ascii="Calibri" w:hAnsi="Calibri" w:cs="Times"/>
          <w:vertAlign w:val="superscript"/>
          <w:lang w:val="en-GB"/>
        </w:rPr>
        <w:t>1</w:t>
      </w:r>
      <w:r w:rsidRPr="0086281A">
        <w:rPr>
          <w:rFonts w:ascii="Calibri" w:hAnsi="Calibri" w:cs="Times"/>
          <w:lang w:val="en-GB"/>
        </w:rPr>
        <w:t xml:space="preserve"> Department of Nephrology-Dialysis-Transplantation, University of Liège, CHU Sart Tilman, Liège, Belgium, </w:t>
      </w:r>
    </w:p>
    <w:p w:rsidR="00DC4E40" w:rsidRPr="0086281A" w:rsidRDefault="00DC4E40" w:rsidP="00DC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6281A">
        <w:rPr>
          <w:rFonts w:ascii="Calibri" w:hAnsi="Calibri" w:cs="Times"/>
          <w:vertAlign w:val="superscript"/>
          <w:lang w:val="en-GB"/>
        </w:rPr>
        <w:t>2</w:t>
      </w:r>
      <w:r w:rsidRPr="0086281A">
        <w:rPr>
          <w:rFonts w:ascii="Calibri" w:hAnsi="Calibri" w:cs="Times"/>
          <w:lang w:val="en-GB"/>
        </w:rPr>
        <w:t xml:space="preserve"> Department of Renal Physiology, </w:t>
      </w:r>
      <w:r w:rsidR="00B71791">
        <w:rPr>
          <w:rFonts w:ascii="Calibri" w:hAnsi="Calibri" w:cs="Times"/>
          <w:lang w:val="en-GB"/>
        </w:rPr>
        <w:t xml:space="preserve">DHU Fire, </w:t>
      </w:r>
      <w:r w:rsidRPr="0086281A">
        <w:rPr>
          <w:rFonts w:ascii="Calibri" w:hAnsi="Calibri" w:cs="Times"/>
          <w:lang w:val="en-GB"/>
        </w:rPr>
        <w:t xml:space="preserve">Hôpital Bichat, AP-HP and </w:t>
      </w:r>
      <w:r w:rsidR="00B71791">
        <w:rPr>
          <w:rFonts w:ascii="Calibri" w:hAnsi="Calibri" w:cs="Times"/>
          <w:lang w:val="en-GB"/>
        </w:rPr>
        <w:t xml:space="preserve">Paris </w:t>
      </w:r>
      <w:r w:rsidRPr="0086281A">
        <w:rPr>
          <w:rFonts w:ascii="Calibri" w:hAnsi="Calibri" w:cs="Times"/>
          <w:lang w:val="en-GB"/>
        </w:rPr>
        <w:t>Diderot University, Paris, France,</w:t>
      </w:r>
    </w:p>
    <w:p w:rsidR="00DC4E40" w:rsidRPr="0086281A" w:rsidRDefault="00DC4E40" w:rsidP="00DC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6281A">
        <w:rPr>
          <w:rFonts w:ascii="Calibri" w:hAnsi="Calibri" w:cs="Times"/>
          <w:vertAlign w:val="superscript"/>
          <w:lang w:val="en-GB"/>
        </w:rPr>
        <w:t>3</w:t>
      </w:r>
      <w:r w:rsidRPr="0086281A">
        <w:rPr>
          <w:rFonts w:ascii="Calibri" w:hAnsi="Calibri" w:cs="Times"/>
          <w:lang w:val="en-GB"/>
        </w:rPr>
        <w:t xml:space="preserve"> </w:t>
      </w:r>
      <w:r w:rsidR="00411D9F" w:rsidRPr="0086281A">
        <w:rPr>
          <w:rFonts w:ascii="Calibri" w:hAnsi="Calibri" w:cs="Times"/>
          <w:lang w:val="en-GB"/>
        </w:rPr>
        <w:t>Department of Nephrology-Dialysis-Transplantation</w:t>
      </w:r>
      <w:r w:rsidRPr="0086281A">
        <w:rPr>
          <w:rFonts w:ascii="Calibri" w:hAnsi="Calibri" w:cs="Arial"/>
          <w:lang w:val="en-GB"/>
        </w:rPr>
        <w:t>, CHU Nice, Nice, France</w:t>
      </w:r>
      <w:r w:rsidRPr="0086281A">
        <w:rPr>
          <w:rFonts w:ascii="Calibri" w:hAnsi="Calibri" w:cs="Times"/>
          <w:lang w:val="en-GB"/>
        </w:rPr>
        <w:t xml:space="preserve">, </w:t>
      </w:r>
    </w:p>
    <w:p w:rsidR="00836AB9" w:rsidRPr="00836AB9" w:rsidRDefault="00DC4E40" w:rsidP="00DC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6281A">
        <w:rPr>
          <w:rFonts w:ascii="Calibri" w:hAnsi="Calibri" w:cs="Times"/>
          <w:vertAlign w:val="superscript"/>
          <w:lang w:val="en-GB"/>
        </w:rPr>
        <w:t>4</w:t>
      </w:r>
      <w:r w:rsidRPr="0086281A">
        <w:rPr>
          <w:rFonts w:ascii="Calibri" w:hAnsi="Calibri" w:cs="Times"/>
          <w:lang w:val="en-GB"/>
        </w:rPr>
        <w:t xml:space="preserve"> </w:t>
      </w:r>
      <w:r w:rsidR="00FE3AA3" w:rsidRPr="0086281A">
        <w:rPr>
          <w:rFonts w:ascii="Calibri" w:hAnsi="Calibri" w:cs="Times"/>
          <w:lang w:val="en-GB"/>
        </w:rPr>
        <w:t>Department of Nephrology, University Jean Monnet, Saint-Etienne, France,</w:t>
      </w:r>
    </w:p>
    <w:p w:rsidR="00836AB9" w:rsidRPr="0086281A" w:rsidRDefault="00836AB9" w:rsidP="00836A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36AB9">
        <w:rPr>
          <w:rFonts w:ascii="Calibri" w:hAnsi="Calibri" w:cs="Times"/>
          <w:vertAlign w:val="superscript"/>
          <w:lang w:val="en-GB"/>
        </w:rPr>
        <w:t>5</w:t>
      </w:r>
      <w:r w:rsidRPr="00836AB9">
        <w:rPr>
          <w:rFonts w:ascii="Calibri" w:hAnsi="Calibri" w:cs="Times"/>
          <w:lang w:val="en-GB"/>
        </w:rPr>
        <w:t xml:space="preserve"> Department of Nephrology, </w:t>
      </w:r>
      <w:r w:rsidRPr="00727535">
        <w:rPr>
          <w:rFonts w:ascii="Calibri" w:hAnsi="Calibri" w:cs="Lucida Grande"/>
          <w:bCs/>
        </w:rPr>
        <w:t>CHU - Hôpital Tenon</w:t>
      </w:r>
      <w:r w:rsidRPr="00836AB9">
        <w:rPr>
          <w:rFonts w:ascii="Calibri" w:hAnsi="Calibri" w:cs="Times"/>
          <w:lang w:val="en-GB"/>
        </w:rPr>
        <w:t>, Paris,</w:t>
      </w:r>
      <w:r w:rsidRPr="0086281A">
        <w:rPr>
          <w:rFonts w:ascii="Calibri" w:hAnsi="Calibri" w:cs="Times"/>
          <w:lang w:val="en-GB"/>
        </w:rPr>
        <w:t xml:space="preserve"> France,</w:t>
      </w:r>
    </w:p>
    <w:p w:rsidR="00DC4E40" w:rsidRPr="0086281A" w:rsidRDefault="00836AB9" w:rsidP="00DC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Pr>
          <w:rFonts w:ascii="Calibri" w:hAnsi="Calibri" w:cs="Times"/>
          <w:vertAlign w:val="superscript"/>
          <w:lang w:val="en-GB"/>
        </w:rPr>
        <w:t>6</w:t>
      </w:r>
      <w:r w:rsidR="00FE3AA3" w:rsidRPr="0086281A">
        <w:rPr>
          <w:rFonts w:ascii="Calibri" w:hAnsi="Calibri" w:cs="Times"/>
          <w:lang w:val="en-GB"/>
        </w:rPr>
        <w:t xml:space="preserve"> </w:t>
      </w:r>
      <w:r w:rsidR="00DC4E40" w:rsidRPr="0086281A">
        <w:rPr>
          <w:rFonts w:ascii="Calibri" w:hAnsi="Calibri" w:cs="Times"/>
          <w:lang w:val="en-GB"/>
        </w:rPr>
        <w:t xml:space="preserve">Department of Nephrology, Hôpital Bichat, AP-HP and </w:t>
      </w:r>
      <w:r>
        <w:rPr>
          <w:rFonts w:ascii="Calibri" w:hAnsi="Calibri" w:cs="Times"/>
          <w:lang w:val="en-GB"/>
        </w:rPr>
        <w:t>Paris</w:t>
      </w:r>
      <w:r w:rsidR="00B71791">
        <w:rPr>
          <w:rFonts w:ascii="Calibri" w:hAnsi="Calibri" w:cs="Times"/>
          <w:lang w:val="en-GB"/>
        </w:rPr>
        <w:t xml:space="preserve"> </w:t>
      </w:r>
      <w:r w:rsidR="00DC4E40" w:rsidRPr="0086281A">
        <w:rPr>
          <w:rFonts w:ascii="Calibri" w:hAnsi="Calibri" w:cs="Times"/>
          <w:lang w:val="en-GB"/>
        </w:rPr>
        <w:t xml:space="preserve">Diderot University, Paris, France, </w:t>
      </w:r>
    </w:p>
    <w:p w:rsidR="00FD4827" w:rsidRPr="0086281A" w:rsidRDefault="00836AB9" w:rsidP="00DC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Pr>
          <w:rFonts w:ascii="Calibri" w:hAnsi="Calibri" w:cs="Times"/>
          <w:vertAlign w:val="superscript"/>
          <w:lang w:val="en-GB"/>
        </w:rPr>
        <w:t>7</w:t>
      </w:r>
      <w:r w:rsidR="00FD4827" w:rsidRPr="0086281A">
        <w:rPr>
          <w:rFonts w:ascii="Calibri" w:hAnsi="Calibri" w:cs="Times"/>
          <w:lang w:val="en-GB"/>
        </w:rPr>
        <w:t xml:space="preserve"> </w:t>
      </w:r>
      <w:r w:rsidR="00FD4827" w:rsidRPr="0086281A">
        <w:rPr>
          <w:rFonts w:ascii="Calibri" w:hAnsi="Calibri" w:cs="Arial"/>
          <w:lang w:val="en-GB"/>
        </w:rPr>
        <w:t>Department of Diabetes, Nutrition and Metabolic Disorders, Department of Medicine, University of Liège, CHU Sart Tilman, Liège, Belgium.</w:t>
      </w:r>
    </w:p>
    <w:p w:rsidR="0005310A" w:rsidRPr="0086281A" w:rsidRDefault="0005310A" w:rsidP="00D40856">
      <w:pPr>
        <w:rPr>
          <w:rFonts w:ascii="Calibri" w:hAnsi="Calibri"/>
          <w:b/>
          <w:u w:val="single"/>
          <w:lang w:val="en-GB"/>
        </w:rPr>
      </w:pPr>
    </w:p>
    <w:p w:rsidR="0005310A" w:rsidRPr="0086281A" w:rsidRDefault="0005310A" w:rsidP="00D40856">
      <w:pPr>
        <w:rPr>
          <w:rFonts w:ascii="Calibri" w:hAnsi="Calibri"/>
          <w:b/>
          <w:u w:val="single"/>
          <w:lang w:val="en-GB"/>
        </w:rPr>
      </w:pPr>
    </w:p>
    <w:p w:rsidR="0005310A" w:rsidRPr="0086281A" w:rsidRDefault="0005310A" w:rsidP="00D40856">
      <w:pPr>
        <w:rPr>
          <w:rFonts w:ascii="Calibri" w:hAnsi="Calibri"/>
          <w:b/>
          <w:u w:val="single"/>
          <w:lang w:val="en-GB"/>
        </w:rPr>
      </w:pPr>
    </w:p>
    <w:p w:rsidR="0005310A" w:rsidRPr="0086281A" w:rsidRDefault="0005310A"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10333B" w:rsidRPr="0086281A" w:rsidRDefault="0010333B" w:rsidP="00D40856">
      <w:pPr>
        <w:rPr>
          <w:rFonts w:ascii="Calibri" w:hAnsi="Calibri"/>
          <w:b/>
          <w:u w:val="single"/>
          <w:lang w:val="en-GB"/>
        </w:rPr>
      </w:pPr>
    </w:p>
    <w:p w:rsidR="0045089A" w:rsidRPr="0086281A" w:rsidRDefault="0045089A" w:rsidP="00D40856">
      <w:pPr>
        <w:rPr>
          <w:rFonts w:ascii="Calibri" w:hAnsi="Calibri"/>
          <w:b/>
          <w:u w:val="single"/>
          <w:lang w:val="en-GB"/>
        </w:rPr>
      </w:pPr>
    </w:p>
    <w:p w:rsidR="00D40856" w:rsidRPr="0086281A" w:rsidRDefault="008707C1" w:rsidP="008707C1">
      <w:pPr>
        <w:pStyle w:val="Titre1"/>
        <w:rPr>
          <w:rFonts w:ascii="Calibri" w:hAnsi="Calibri"/>
          <w:color w:val="FF0000"/>
          <w:lang w:val="en-GB"/>
        </w:rPr>
      </w:pPr>
      <w:r w:rsidRPr="0086281A">
        <w:rPr>
          <w:rFonts w:ascii="Calibri" w:hAnsi="Calibri"/>
          <w:lang w:val="en-GB"/>
        </w:rPr>
        <w:t>Abstract</w:t>
      </w:r>
    </w:p>
    <w:p w:rsidR="008707C1" w:rsidRPr="0086281A" w:rsidRDefault="008707C1" w:rsidP="00870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color w:val="141413"/>
          <w:sz w:val="20"/>
          <w:szCs w:val="20"/>
          <w:lang w:val="en-GB"/>
        </w:rPr>
      </w:pPr>
      <w:r w:rsidRPr="0086281A">
        <w:rPr>
          <w:rStyle w:val="Titre2Car"/>
          <w:rFonts w:ascii="Calibri" w:hAnsi="Calibri"/>
          <w:lang w:val="en-GB"/>
        </w:rPr>
        <w:t>Background.</w:t>
      </w:r>
      <w:r w:rsidRPr="0086281A">
        <w:rPr>
          <w:rFonts w:ascii="Calibri" w:hAnsi="Calibri" w:cs="Times"/>
          <w:color w:val="141413"/>
          <w:sz w:val="20"/>
          <w:szCs w:val="20"/>
          <w:lang w:val="en-GB"/>
        </w:rPr>
        <w:t xml:space="preserve"> </w:t>
      </w:r>
    </w:p>
    <w:p w:rsidR="002849BB" w:rsidRPr="0086281A" w:rsidRDefault="002849BB" w:rsidP="00870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color w:val="000000"/>
          <w:lang w:val="en-GB"/>
        </w:rPr>
      </w:pPr>
      <w:r w:rsidRPr="0086281A">
        <w:rPr>
          <w:rFonts w:ascii="Calibri" w:hAnsi="Calibri" w:cs="Times"/>
          <w:color w:val="000000"/>
          <w:lang w:val="en-GB"/>
        </w:rPr>
        <w:t xml:space="preserve">The prevalence of obesity is dramatically rising worldwide. </w:t>
      </w:r>
      <w:r w:rsidR="00B71791">
        <w:rPr>
          <w:rFonts w:ascii="Calibri" w:hAnsi="Calibri" w:cs="Times"/>
          <w:color w:val="000000"/>
          <w:lang w:val="en-GB"/>
        </w:rPr>
        <w:t>For</w:t>
      </w:r>
      <w:r w:rsidRPr="0086281A">
        <w:rPr>
          <w:rFonts w:ascii="Calibri" w:hAnsi="Calibri" w:cs="Times"/>
          <w:color w:val="000000"/>
          <w:lang w:val="en-GB"/>
        </w:rPr>
        <w:t xml:space="preserve"> drug dosing</w:t>
      </w:r>
      <w:r w:rsidR="00B71791">
        <w:rPr>
          <w:rFonts w:ascii="Calibri" w:hAnsi="Calibri" w:cs="Times"/>
          <w:color w:val="000000"/>
          <w:lang w:val="en-GB"/>
        </w:rPr>
        <w:t xml:space="preserve"> adaptation, the </w:t>
      </w:r>
      <w:r w:rsidRPr="0086281A">
        <w:rPr>
          <w:rFonts w:ascii="Calibri" w:hAnsi="Calibri" w:cs="Times"/>
          <w:color w:val="000000"/>
          <w:lang w:val="en-GB"/>
        </w:rPr>
        <w:t xml:space="preserve">KDIGO </w:t>
      </w:r>
      <w:r w:rsidR="00B71791">
        <w:rPr>
          <w:rFonts w:ascii="Calibri" w:hAnsi="Calibri" w:cs="Times"/>
          <w:color w:val="000000"/>
          <w:lang w:val="en-GB"/>
        </w:rPr>
        <w:t xml:space="preserve">guidelines </w:t>
      </w:r>
      <w:r w:rsidRPr="0086281A">
        <w:rPr>
          <w:rFonts w:ascii="Calibri" w:hAnsi="Calibri" w:cs="Times"/>
          <w:color w:val="000000"/>
          <w:lang w:val="en-GB"/>
        </w:rPr>
        <w:t>recommend using estimated glomerular filtration rate (</w:t>
      </w:r>
      <w:r w:rsidR="00F5245E" w:rsidRPr="0086281A">
        <w:rPr>
          <w:rFonts w:ascii="Calibri" w:hAnsi="Calibri" w:cs="Times"/>
          <w:color w:val="000000"/>
          <w:lang w:val="en-GB"/>
        </w:rPr>
        <w:t>eGFR</w:t>
      </w:r>
      <w:r w:rsidRPr="0086281A">
        <w:rPr>
          <w:rFonts w:ascii="Calibri" w:hAnsi="Calibri" w:cs="Times"/>
          <w:color w:val="000000"/>
          <w:lang w:val="en-GB"/>
        </w:rPr>
        <w:t>),</w:t>
      </w:r>
      <w:r w:rsidR="005F54BA">
        <w:rPr>
          <w:rFonts w:ascii="Calibri" w:hAnsi="Calibri" w:cs="Times"/>
          <w:color w:val="000000"/>
          <w:lang w:val="en-GB"/>
        </w:rPr>
        <w:t xml:space="preserve"> the CKD-EPI equation,</w:t>
      </w:r>
      <w:r w:rsidRPr="0086281A">
        <w:rPr>
          <w:rFonts w:ascii="Calibri" w:hAnsi="Calibri" w:cs="Times"/>
          <w:color w:val="000000"/>
          <w:lang w:val="en-GB"/>
        </w:rPr>
        <w:t xml:space="preserve"> which is not adjusted to t</w:t>
      </w:r>
      <w:r w:rsidR="00B71791">
        <w:rPr>
          <w:rFonts w:ascii="Calibri" w:hAnsi="Calibri" w:cs="Times"/>
          <w:color w:val="000000"/>
          <w:lang w:val="en-GB"/>
        </w:rPr>
        <w:t>he body surface area (BSA). In p</w:t>
      </w:r>
      <w:r w:rsidRPr="0086281A">
        <w:rPr>
          <w:rFonts w:ascii="Calibri" w:hAnsi="Calibri" w:cs="Times"/>
          <w:color w:val="000000"/>
          <w:lang w:val="en-GB"/>
        </w:rPr>
        <w:t>harmacology, the Cockcroft</w:t>
      </w:r>
      <w:r w:rsidR="0010333B" w:rsidRPr="0086281A">
        <w:rPr>
          <w:rFonts w:ascii="Calibri" w:hAnsi="Calibri" w:cs="Times"/>
          <w:color w:val="000000"/>
          <w:lang w:val="en-GB"/>
        </w:rPr>
        <w:t xml:space="preserve"> </w:t>
      </w:r>
      <w:r w:rsidRPr="0086281A">
        <w:rPr>
          <w:rFonts w:ascii="Calibri" w:hAnsi="Calibri" w:cs="Times"/>
          <w:color w:val="000000"/>
          <w:lang w:val="en-GB"/>
        </w:rPr>
        <w:t>&amp;</w:t>
      </w:r>
      <w:r w:rsidR="0010333B" w:rsidRPr="0086281A">
        <w:rPr>
          <w:rFonts w:ascii="Calibri" w:hAnsi="Calibri" w:cs="Times"/>
          <w:color w:val="000000"/>
          <w:lang w:val="en-GB"/>
        </w:rPr>
        <w:t xml:space="preserve"> </w:t>
      </w:r>
      <w:r w:rsidRPr="0086281A">
        <w:rPr>
          <w:rFonts w:ascii="Calibri" w:hAnsi="Calibri" w:cs="Times"/>
          <w:color w:val="000000"/>
          <w:lang w:val="en-GB"/>
        </w:rPr>
        <w:t>Gault (CG) equation is still recommended to adapt drug dosage</w:t>
      </w:r>
      <w:r w:rsidR="00B71791">
        <w:rPr>
          <w:rFonts w:ascii="Calibri" w:hAnsi="Calibri" w:cs="Times"/>
          <w:color w:val="000000"/>
          <w:lang w:val="en-GB"/>
        </w:rPr>
        <w:t>. I</w:t>
      </w:r>
      <w:r w:rsidR="00B71791" w:rsidRPr="00B45922">
        <w:rPr>
          <w:rFonts w:ascii="Calibri" w:hAnsi="Calibri" w:cs="Times"/>
          <w:color w:val="000000"/>
          <w:lang w:val="en-GB"/>
        </w:rPr>
        <w:t>n the context of obesity</w:t>
      </w:r>
      <w:r w:rsidR="00B71791">
        <w:rPr>
          <w:rFonts w:ascii="Calibri" w:hAnsi="Calibri" w:cs="Times"/>
          <w:color w:val="000000"/>
          <w:lang w:val="en-GB"/>
        </w:rPr>
        <w:t>,</w:t>
      </w:r>
      <w:r w:rsidR="00B71791" w:rsidRPr="00C06039">
        <w:rPr>
          <w:rFonts w:ascii="Calibri" w:hAnsi="Calibri" w:cs="Times"/>
          <w:color w:val="000000"/>
          <w:lang w:val="en-GB"/>
        </w:rPr>
        <w:t xml:space="preserve"> </w:t>
      </w:r>
      <w:r w:rsidR="00B71791" w:rsidRPr="00B45922">
        <w:rPr>
          <w:rFonts w:ascii="Calibri" w:hAnsi="Calibri" w:cs="Times"/>
          <w:color w:val="000000"/>
          <w:lang w:val="en-GB"/>
        </w:rPr>
        <w:t>adjusted ideal body weight (AIBW) is sometimes preferred to actual body weight (ABW)</w:t>
      </w:r>
      <w:r w:rsidR="00B71791">
        <w:rPr>
          <w:rFonts w:ascii="Calibri" w:hAnsi="Calibri" w:cs="Times"/>
          <w:color w:val="000000"/>
          <w:lang w:val="en-GB"/>
        </w:rPr>
        <w:t xml:space="preserve"> </w:t>
      </w:r>
      <w:r w:rsidR="00B71791" w:rsidRPr="00B45922">
        <w:rPr>
          <w:rFonts w:ascii="Calibri" w:hAnsi="Calibri" w:cs="Times"/>
          <w:color w:val="000000"/>
          <w:lang w:val="en-GB"/>
        </w:rPr>
        <w:t xml:space="preserve">for the CG equation. </w:t>
      </w:r>
      <w:r w:rsidR="00B71791">
        <w:rPr>
          <w:rFonts w:ascii="Calibri" w:hAnsi="Calibri" w:cs="Times"/>
          <w:color w:val="000000"/>
          <w:lang w:val="en-GB"/>
        </w:rPr>
        <w:t>The aim of our study was to evaluate to performances of creatinine-based GFR estimating equations in obese patients and their implication in terms of drug-dosage adjustment.</w:t>
      </w:r>
    </w:p>
    <w:p w:rsidR="008707C1" w:rsidRPr="0086281A" w:rsidRDefault="008707C1" w:rsidP="00870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color w:val="141413"/>
          <w:sz w:val="20"/>
          <w:szCs w:val="20"/>
          <w:lang w:val="en-GB"/>
        </w:rPr>
      </w:pPr>
      <w:r w:rsidRPr="0086281A">
        <w:rPr>
          <w:rStyle w:val="Titre2Car"/>
          <w:rFonts w:ascii="Calibri" w:hAnsi="Calibri"/>
          <w:lang w:val="en-GB"/>
        </w:rPr>
        <w:t>Methods.</w:t>
      </w:r>
      <w:r w:rsidRPr="0086281A">
        <w:rPr>
          <w:rFonts w:ascii="Calibri" w:hAnsi="Calibri" w:cs="Times"/>
          <w:color w:val="141413"/>
          <w:sz w:val="20"/>
          <w:szCs w:val="20"/>
          <w:lang w:val="en-GB"/>
        </w:rPr>
        <w:t xml:space="preserve"> </w:t>
      </w:r>
    </w:p>
    <w:p w:rsidR="00B71791" w:rsidRPr="005F54BA" w:rsidRDefault="00B71791" w:rsidP="005F54BA">
      <w:pPr>
        <w:widowControl w:val="0"/>
        <w:autoSpaceDE w:val="0"/>
        <w:autoSpaceDN w:val="0"/>
        <w:adjustRightInd w:val="0"/>
        <w:rPr>
          <w:rFonts w:ascii="Calibri" w:hAnsi="Calibri" w:cs="Times"/>
          <w:lang w:val="en-GB"/>
        </w:rPr>
      </w:pPr>
      <w:r w:rsidRPr="005F54BA">
        <w:rPr>
          <w:rFonts w:ascii="Calibri" w:hAnsi="Calibri" w:cs="Times"/>
          <w:color w:val="000000"/>
          <w:lang w:val="en-GB"/>
        </w:rPr>
        <w:t>We retrospectively analysed the data from patients with a body mass index (BMI) higher than 30 kg/m</w:t>
      </w:r>
      <w:r w:rsidRPr="005F54BA">
        <w:rPr>
          <w:rFonts w:ascii="Calibri" w:hAnsi="Calibri" w:cs="Times"/>
          <w:color w:val="000000"/>
          <w:vertAlign w:val="superscript"/>
          <w:lang w:val="en-GB"/>
        </w:rPr>
        <w:t>2</w:t>
      </w:r>
      <w:r w:rsidRPr="005F54BA">
        <w:rPr>
          <w:rFonts w:ascii="Calibri" w:hAnsi="Calibri" w:cs="Times"/>
          <w:color w:val="000000"/>
          <w:lang w:val="en-GB"/>
        </w:rPr>
        <w:t xml:space="preserve"> who underwent a GFR measurement with plasma clearance of </w:t>
      </w:r>
      <w:r w:rsidRPr="005F54BA">
        <w:rPr>
          <w:rFonts w:ascii="Calibri" w:hAnsi="Calibri" w:cs="Times"/>
          <w:color w:val="000000"/>
          <w:vertAlign w:val="superscript"/>
          <w:lang w:val="en-GB"/>
        </w:rPr>
        <w:t>51</w:t>
      </w:r>
      <w:r w:rsidRPr="005F54BA">
        <w:rPr>
          <w:rFonts w:ascii="Calibri" w:hAnsi="Calibri" w:cs="Times"/>
          <w:color w:val="000000"/>
          <w:lang w:val="en-GB"/>
        </w:rPr>
        <w:t>Cr-EDTA in Paris or Liège Hospitals. eGFR was calculated with the Chronic Kidney Disease Epidemiology Collaboration (CKD-EPI) and Modification in Diet in Renal Disease (MDRD) equations, « de-indexed » by BSA</w:t>
      </w:r>
      <w:r w:rsidR="005F54BA">
        <w:rPr>
          <w:rFonts w:ascii="Calibri" w:hAnsi="Calibri" w:cs="Times"/>
          <w:color w:val="000000"/>
          <w:lang w:val="en-GB"/>
        </w:rPr>
        <w:t xml:space="preserve"> (CKD-</w:t>
      </w:r>
      <w:r w:rsidR="005F54BA" w:rsidRPr="0086281A">
        <w:rPr>
          <w:rFonts w:ascii="Calibri" w:hAnsi="Calibri" w:cs="Times"/>
          <w:color w:val="000000"/>
          <w:lang w:val="en-GB"/>
        </w:rPr>
        <w:t xml:space="preserve">EPI </w:t>
      </w:r>
      <w:r w:rsidR="005F54BA" w:rsidRPr="0086281A">
        <w:rPr>
          <w:rFonts w:ascii="Calibri" w:hAnsi="Calibri" w:cs="Times"/>
          <w:color w:val="000000"/>
          <w:vertAlign w:val="subscript"/>
          <w:lang w:val="en-GB"/>
        </w:rPr>
        <w:t>deindexed</w:t>
      </w:r>
      <w:r w:rsidR="005F54BA" w:rsidRPr="0086281A">
        <w:rPr>
          <w:rFonts w:ascii="Calibri" w:hAnsi="Calibri" w:cs="Times"/>
          <w:color w:val="000000"/>
          <w:lang w:val="en-GB"/>
        </w:rPr>
        <w:t xml:space="preserve"> and MDRD </w:t>
      </w:r>
      <w:r w:rsidR="005F54BA" w:rsidRPr="0086281A">
        <w:rPr>
          <w:rFonts w:ascii="Calibri" w:hAnsi="Calibri" w:cs="Times"/>
          <w:color w:val="000000"/>
          <w:vertAlign w:val="subscript"/>
          <w:lang w:val="en-GB"/>
        </w:rPr>
        <w:t>deindexed</w:t>
      </w:r>
      <w:r w:rsidR="005F54BA">
        <w:rPr>
          <w:rFonts w:ascii="Calibri" w:hAnsi="Calibri" w:cs="Times"/>
          <w:color w:val="000000"/>
          <w:lang w:val="en-GB"/>
        </w:rPr>
        <w:t>)</w:t>
      </w:r>
      <w:r w:rsidRPr="005F54BA">
        <w:rPr>
          <w:rFonts w:ascii="Calibri" w:hAnsi="Calibri" w:cs="Times"/>
          <w:color w:val="000000"/>
          <w:lang w:val="en-GB"/>
        </w:rPr>
        <w:t>, and the CG equation (non-indexed by BSA), using either ABW or AIBW</w:t>
      </w:r>
      <w:r w:rsidR="005F54BA" w:rsidRPr="005F54BA">
        <w:rPr>
          <w:rFonts w:ascii="Calibri" w:hAnsi="Calibri" w:cs="Times"/>
          <w:color w:val="000000"/>
          <w:lang w:val="en-GB"/>
        </w:rPr>
        <w:t xml:space="preserve"> for the weight variable</w:t>
      </w:r>
      <w:r w:rsidRPr="005F54BA">
        <w:rPr>
          <w:rFonts w:ascii="Calibri" w:hAnsi="Calibri" w:cs="Times"/>
          <w:color w:val="000000"/>
          <w:lang w:val="en-GB"/>
        </w:rPr>
        <w:t>.</w:t>
      </w:r>
      <w:r w:rsidR="005F54BA" w:rsidRPr="005F54BA">
        <w:rPr>
          <w:rFonts w:ascii="Calibri" w:hAnsi="Calibri" w:cs="Times"/>
          <w:color w:val="000000"/>
          <w:lang w:val="en-GB"/>
        </w:rPr>
        <w:t xml:space="preserve"> </w:t>
      </w:r>
      <w:r>
        <w:rPr>
          <w:rFonts w:ascii="Calibri" w:hAnsi="Calibri" w:cs="Times"/>
          <w:color w:val="000000"/>
          <w:lang w:val="en-GB"/>
        </w:rPr>
        <w:t xml:space="preserve">The performances of each equation were evaluated by </w:t>
      </w:r>
      <w:r w:rsidR="005F54BA">
        <w:rPr>
          <w:rFonts w:ascii="Calibri" w:hAnsi="Calibri" w:cs="Times"/>
          <w:color w:val="000000"/>
          <w:lang w:val="en-GB"/>
        </w:rPr>
        <w:t xml:space="preserve">the </w:t>
      </w:r>
      <w:r w:rsidRPr="00B45922">
        <w:rPr>
          <w:rFonts w:ascii="Calibri" w:hAnsi="Calibri" w:cs="Times"/>
          <w:color w:val="000000"/>
          <w:lang w:val="en-GB"/>
        </w:rPr>
        <w:t xml:space="preserve">bias, </w:t>
      </w:r>
      <w:r w:rsidR="005F54BA">
        <w:rPr>
          <w:rFonts w:ascii="Calibri" w:hAnsi="Calibri" w:cs="Times"/>
          <w:color w:val="000000"/>
          <w:lang w:val="en-GB"/>
        </w:rPr>
        <w:t xml:space="preserve">the </w:t>
      </w:r>
      <w:r w:rsidRPr="00B45922">
        <w:rPr>
          <w:rFonts w:ascii="Calibri" w:hAnsi="Calibri" w:cs="Times"/>
          <w:color w:val="000000"/>
          <w:lang w:val="en-GB"/>
        </w:rPr>
        <w:t xml:space="preserve">precision </w:t>
      </w:r>
      <w:r w:rsidR="005F54BA" w:rsidRPr="00B45922">
        <w:rPr>
          <w:rFonts w:ascii="Calibri" w:hAnsi="Calibri" w:cs="Times"/>
          <w:color w:val="000000"/>
          <w:lang w:val="en-GB"/>
        </w:rPr>
        <w:t xml:space="preserve">and </w:t>
      </w:r>
      <w:r w:rsidR="005F54BA">
        <w:rPr>
          <w:rFonts w:ascii="Calibri" w:hAnsi="Calibri" w:cs="Times"/>
          <w:color w:val="000000"/>
          <w:lang w:val="en-GB"/>
        </w:rPr>
        <w:t xml:space="preserve">the </w:t>
      </w:r>
      <w:r w:rsidRPr="00B45922">
        <w:rPr>
          <w:rFonts w:ascii="Calibri" w:hAnsi="Calibri" w:cs="Times"/>
          <w:color w:val="000000"/>
          <w:lang w:val="en-GB"/>
        </w:rPr>
        <w:t xml:space="preserve">accuracy 30%. </w:t>
      </w:r>
    </w:p>
    <w:p w:rsidR="002849BB" w:rsidRPr="0086281A" w:rsidRDefault="008707C1" w:rsidP="002849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Titre2Car"/>
          <w:rFonts w:ascii="Calibri" w:hAnsi="Calibri"/>
          <w:lang w:val="en-GB"/>
        </w:rPr>
      </w:pPr>
      <w:r w:rsidRPr="0086281A">
        <w:rPr>
          <w:rStyle w:val="Titre2Car"/>
          <w:rFonts w:ascii="Calibri" w:hAnsi="Calibri"/>
          <w:lang w:val="en-GB"/>
        </w:rPr>
        <w:t xml:space="preserve">Results. </w:t>
      </w:r>
    </w:p>
    <w:p w:rsidR="002849BB" w:rsidRPr="0086281A" w:rsidRDefault="002849BB" w:rsidP="002849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Titre2Car"/>
          <w:rFonts w:ascii="Calibri" w:hAnsi="Calibri"/>
          <w:sz w:val="24"/>
          <w:szCs w:val="24"/>
          <w:lang w:val="en-GB"/>
        </w:rPr>
      </w:pPr>
      <w:r w:rsidRPr="0086281A">
        <w:rPr>
          <w:rFonts w:ascii="Calibri" w:hAnsi="Calibri" w:cs="Times"/>
          <w:color w:val="000000"/>
          <w:lang w:val="en-GB"/>
        </w:rPr>
        <w:t>366 patients (185 women)</w:t>
      </w:r>
      <w:r w:rsidR="00B71791">
        <w:rPr>
          <w:rFonts w:ascii="Calibri" w:hAnsi="Calibri" w:cs="Times"/>
          <w:color w:val="000000"/>
          <w:lang w:val="en-GB"/>
        </w:rPr>
        <w:t xml:space="preserve"> were included in the study.</w:t>
      </w:r>
      <w:r w:rsidRPr="0086281A">
        <w:rPr>
          <w:rFonts w:ascii="Calibri" w:hAnsi="Calibri" w:cs="Times"/>
          <w:color w:val="000000"/>
          <w:lang w:val="en-GB"/>
        </w:rPr>
        <w:t xml:space="preserve"> Mean age was 55 ± 14 years and mean BMI was 36 ± 7 kg/m</w:t>
      </w:r>
      <w:r w:rsidRPr="0086281A">
        <w:rPr>
          <w:rFonts w:ascii="Calibri" w:hAnsi="Calibri" w:cs="Times"/>
          <w:color w:val="000000"/>
          <w:vertAlign w:val="superscript"/>
          <w:lang w:val="en-GB"/>
        </w:rPr>
        <w:t>2</w:t>
      </w:r>
      <w:r w:rsidRPr="0086281A">
        <w:rPr>
          <w:rFonts w:ascii="Calibri" w:hAnsi="Calibri" w:cs="Times"/>
          <w:color w:val="000000"/>
          <w:lang w:val="en-GB"/>
        </w:rPr>
        <w:t>. Mean mGFR was 71 ± 35 mL/min. In the global population, bias of CG</w:t>
      </w:r>
      <w:r w:rsidR="008B5658" w:rsidRPr="0086281A">
        <w:rPr>
          <w:rFonts w:ascii="Calibri" w:hAnsi="Calibri" w:cs="Times"/>
          <w:color w:val="000000"/>
          <w:vertAlign w:val="subscript"/>
          <w:lang w:val="en-GB"/>
        </w:rPr>
        <w:t>ABW</w:t>
      </w:r>
      <w:r w:rsidRPr="0086281A">
        <w:rPr>
          <w:rFonts w:ascii="Calibri" w:hAnsi="Calibri" w:cs="Times"/>
          <w:color w:val="000000"/>
          <w:lang w:val="en-GB"/>
        </w:rPr>
        <w:t xml:space="preserve"> and CG</w:t>
      </w:r>
      <w:r w:rsidRPr="0086281A">
        <w:rPr>
          <w:rFonts w:ascii="Calibri" w:hAnsi="Calibri" w:cs="Times"/>
          <w:color w:val="000000"/>
          <w:vertAlign w:val="subscript"/>
          <w:lang w:val="en-GB"/>
        </w:rPr>
        <w:t>AIBW</w:t>
      </w:r>
      <w:r w:rsidR="0065100B" w:rsidRPr="0086281A">
        <w:rPr>
          <w:rFonts w:ascii="Calibri" w:hAnsi="Calibri" w:cs="Times"/>
          <w:color w:val="000000"/>
          <w:lang w:val="en-GB"/>
        </w:rPr>
        <w:t xml:space="preserve"> </w:t>
      </w:r>
      <w:r w:rsidR="005F54BA">
        <w:rPr>
          <w:rFonts w:ascii="Calibri" w:hAnsi="Calibri" w:cs="Times"/>
          <w:color w:val="000000"/>
          <w:lang w:val="en-GB"/>
        </w:rPr>
        <w:t>displayed a mean bias of</w:t>
      </w:r>
      <w:r w:rsidR="0065100B" w:rsidRPr="0086281A">
        <w:rPr>
          <w:rFonts w:ascii="Calibri" w:hAnsi="Calibri" w:cs="Times"/>
          <w:color w:val="000000"/>
          <w:lang w:val="en-GB"/>
        </w:rPr>
        <w:t xml:space="preserve"> + 25 ± 39.8 mL/min and + 1</w:t>
      </w:r>
      <w:r w:rsidRPr="0086281A">
        <w:rPr>
          <w:rFonts w:ascii="Calibri" w:hAnsi="Calibri" w:cs="Times"/>
          <w:color w:val="000000"/>
          <w:lang w:val="en-GB"/>
        </w:rPr>
        <w:t>.6 ± 21.</w:t>
      </w:r>
      <w:r w:rsidR="00F5245E" w:rsidRPr="0086281A">
        <w:rPr>
          <w:rFonts w:ascii="Calibri" w:hAnsi="Calibri" w:cs="Times"/>
          <w:color w:val="000000"/>
          <w:lang w:val="en-GB"/>
        </w:rPr>
        <w:t>4</w:t>
      </w:r>
      <w:r w:rsidRPr="0086281A">
        <w:rPr>
          <w:rFonts w:ascii="Calibri" w:hAnsi="Calibri" w:cs="Times"/>
          <w:color w:val="000000"/>
          <w:lang w:val="en-GB"/>
        </w:rPr>
        <w:t xml:space="preserve"> mL/min, respectively</w:t>
      </w:r>
      <w:r w:rsidR="005F54BA">
        <w:rPr>
          <w:rFonts w:ascii="Calibri" w:hAnsi="Calibri" w:cs="Times"/>
          <w:color w:val="000000"/>
          <w:lang w:val="en-GB"/>
        </w:rPr>
        <w:t xml:space="preserve"> (p&lt;0.05) and a</w:t>
      </w:r>
      <w:r w:rsidRPr="0086281A">
        <w:rPr>
          <w:rFonts w:ascii="Calibri" w:hAnsi="Calibri" w:cs="Times"/>
          <w:color w:val="000000"/>
          <w:lang w:val="en-GB"/>
        </w:rPr>
        <w:t xml:space="preserve">ccuracy 30% </w:t>
      </w:r>
      <w:r w:rsidR="005F54BA">
        <w:rPr>
          <w:rFonts w:ascii="Calibri" w:hAnsi="Calibri" w:cs="Times"/>
          <w:color w:val="000000"/>
          <w:lang w:val="en-GB"/>
        </w:rPr>
        <w:t>of</w:t>
      </w:r>
      <w:r w:rsidRPr="0086281A">
        <w:rPr>
          <w:rFonts w:ascii="Calibri" w:hAnsi="Calibri" w:cs="Times"/>
          <w:color w:val="000000"/>
          <w:lang w:val="en-GB"/>
        </w:rPr>
        <w:t xml:space="preserve"> 57% and </w:t>
      </w:r>
      <w:r w:rsidR="00F5245E" w:rsidRPr="0086281A">
        <w:rPr>
          <w:rFonts w:ascii="Calibri" w:hAnsi="Calibri" w:cs="Times"/>
          <w:color w:val="000000"/>
          <w:lang w:val="en-GB"/>
        </w:rPr>
        <w:t>79</w:t>
      </w:r>
      <w:r w:rsidR="0069690F" w:rsidRPr="0086281A">
        <w:rPr>
          <w:rFonts w:ascii="Calibri" w:hAnsi="Calibri" w:cs="Times"/>
          <w:color w:val="000000"/>
          <w:lang w:val="en-GB"/>
        </w:rPr>
        <w:t>%, respectively (p&lt;</w:t>
      </w:r>
      <w:r w:rsidRPr="0086281A">
        <w:rPr>
          <w:rFonts w:ascii="Calibri" w:hAnsi="Calibri" w:cs="Times"/>
          <w:color w:val="000000"/>
          <w:lang w:val="en-GB"/>
        </w:rPr>
        <w:t>0.05). For the CKD-EPI</w:t>
      </w:r>
      <w:r w:rsidR="0010333B" w:rsidRPr="0086281A">
        <w:rPr>
          <w:rFonts w:ascii="Calibri" w:hAnsi="Calibri" w:cs="Times"/>
          <w:color w:val="000000"/>
          <w:lang w:val="en-GB"/>
        </w:rPr>
        <w:t xml:space="preserve"> </w:t>
      </w:r>
      <w:r w:rsidRPr="0086281A">
        <w:rPr>
          <w:rFonts w:ascii="Calibri" w:hAnsi="Calibri" w:cs="Times"/>
          <w:color w:val="000000"/>
          <w:vertAlign w:val="subscript"/>
          <w:lang w:val="en-GB"/>
        </w:rPr>
        <w:t>deindexed</w:t>
      </w:r>
      <w:r w:rsidRPr="0086281A">
        <w:rPr>
          <w:rFonts w:ascii="Calibri" w:hAnsi="Calibri" w:cs="Times"/>
          <w:color w:val="000000"/>
          <w:lang w:val="en-GB"/>
        </w:rPr>
        <w:t xml:space="preserve"> and MDRD </w:t>
      </w:r>
      <w:r w:rsidRPr="0086281A">
        <w:rPr>
          <w:rFonts w:ascii="Calibri" w:hAnsi="Calibri" w:cs="Times"/>
          <w:color w:val="000000"/>
          <w:vertAlign w:val="subscript"/>
          <w:lang w:val="en-GB"/>
        </w:rPr>
        <w:t>deindexed</w:t>
      </w:r>
      <w:r w:rsidRPr="0086281A">
        <w:rPr>
          <w:rFonts w:ascii="Calibri" w:hAnsi="Calibri" w:cs="Times"/>
          <w:color w:val="000000"/>
          <w:lang w:val="en-GB"/>
        </w:rPr>
        <w:t xml:space="preserve"> equation</w:t>
      </w:r>
      <w:r w:rsidR="005F54BA">
        <w:rPr>
          <w:rFonts w:ascii="Calibri" w:hAnsi="Calibri" w:cs="Times"/>
          <w:color w:val="000000"/>
          <w:lang w:val="en-GB"/>
        </w:rPr>
        <w:t>s</w:t>
      </w:r>
      <w:r w:rsidRPr="0086281A">
        <w:rPr>
          <w:rFonts w:ascii="Calibri" w:hAnsi="Calibri" w:cs="Times"/>
          <w:color w:val="000000"/>
          <w:lang w:val="en-GB"/>
        </w:rPr>
        <w:t xml:space="preserve">, the bias was + 6.2 ± 19.7 and </w:t>
      </w:r>
      <w:r w:rsidRPr="0086281A">
        <w:rPr>
          <w:rFonts w:ascii="Calibri" w:hAnsi="Calibri" w:cs="Times New Roman"/>
          <w:color w:val="141413"/>
          <w:lang w:val="en-GB"/>
        </w:rPr>
        <w:t>2.8 ± 19.5</w:t>
      </w:r>
      <w:r w:rsidRPr="0086281A">
        <w:rPr>
          <w:rFonts w:ascii="Calibri" w:hAnsi="Calibri" w:cs="Times"/>
          <w:color w:val="000000"/>
          <w:lang w:val="en-GB"/>
        </w:rPr>
        <w:t xml:space="preserve"> mL/min</w:t>
      </w:r>
      <w:r w:rsidRPr="0086281A">
        <w:rPr>
          <w:rFonts w:ascii="Calibri" w:hAnsi="Calibri" w:cs="Times New Roman"/>
          <w:color w:val="141413"/>
          <w:lang w:val="en-GB"/>
        </w:rPr>
        <w:t xml:space="preserve"> respectively</w:t>
      </w:r>
      <w:r w:rsidRPr="0086281A">
        <w:rPr>
          <w:rFonts w:ascii="Calibri" w:hAnsi="Calibri" w:cs="Times"/>
          <w:color w:val="000000"/>
          <w:lang w:val="en-GB"/>
        </w:rPr>
        <w:t xml:space="preserve"> </w:t>
      </w:r>
      <w:r w:rsidR="00EF530B" w:rsidRPr="0086281A">
        <w:rPr>
          <w:rFonts w:ascii="Calibri" w:hAnsi="Calibri" w:cs="Times"/>
          <w:color w:val="000000"/>
          <w:lang w:val="en-GB"/>
        </w:rPr>
        <w:t xml:space="preserve">(p&lt;0.05) </w:t>
      </w:r>
      <w:r w:rsidRPr="0086281A">
        <w:rPr>
          <w:rFonts w:ascii="Calibri" w:hAnsi="Calibri" w:cs="Times"/>
          <w:color w:val="000000"/>
          <w:lang w:val="en-GB"/>
        </w:rPr>
        <w:t>and the accuracy 30% was 76% and 80%</w:t>
      </w:r>
      <w:r w:rsidR="009010BB" w:rsidRPr="0086281A">
        <w:rPr>
          <w:rFonts w:ascii="Calibri" w:hAnsi="Calibri" w:cs="Times"/>
          <w:color w:val="000000"/>
          <w:lang w:val="en-GB"/>
        </w:rPr>
        <w:t xml:space="preserve"> (p&lt;0.05)</w:t>
      </w:r>
      <w:r w:rsidRPr="0086281A">
        <w:rPr>
          <w:rFonts w:ascii="Calibri" w:hAnsi="Calibri" w:cs="Times"/>
          <w:color w:val="000000"/>
          <w:lang w:val="en-GB"/>
        </w:rPr>
        <w:t xml:space="preserve">. </w:t>
      </w:r>
    </w:p>
    <w:p w:rsidR="004E40F5" w:rsidRPr="0086281A" w:rsidRDefault="008707C1" w:rsidP="002849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Titre2Car"/>
          <w:rFonts w:ascii="Calibri" w:hAnsi="Calibri"/>
          <w:lang w:val="en-GB"/>
        </w:rPr>
      </w:pPr>
      <w:r w:rsidRPr="0086281A">
        <w:rPr>
          <w:rStyle w:val="Titre2Car"/>
          <w:rFonts w:ascii="Calibri" w:hAnsi="Calibri"/>
          <w:lang w:val="en-GB"/>
        </w:rPr>
        <w:t xml:space="preserve">Conclusions. </w:t>
      </w:r>
    </w:p>
    <w:p w:rsidR="003F251A" w:rsidRPr="0086281A" w:rsidRDefault="0063241A" w:rsidP="00D40856">
      <w:pPr>
        <w:rPr>
          <w:rFonts w:ascii="Calibri" w:hAnsi="Calibri" w:cs="Times"/>
          <w:color w:val="000000"/>
          <w:lang w:val="en-GB"/>
        </w:rPr>
      </w:pPr>
      <w:r w:rsidRPr="0086281A">
        <w:rPr>
          <w:rFonts w:ascii="Calibri" w:hAnsi="Calibri" w:cs="Times"/>
          <w:color w:val="000000"/>
          <w:lang w:val="en-GB"/>
        </w:rPr>
        <w:t xml:space="preserve">In </w:t>
      </w:r>
      <w:r w:rsidR="005F54BA">
        <w:rPr>
          <w:rFonts w:ascii="Calibri" w:hAnsi="Calibri" w:cs="Times"/>
          <w:color w:val="000000"/>
          <w:lang w:val="en-GB"/>
        </w:rPr>
        <w:t>our</w:t>
      </w:r>
      <w:r w:rsidRPr="0086281A">
        <w:rPr>
          <w:rFonts w:ascii="Calibri" w:hAnsi="Calibri" w:cs="Times"/>
          <w:color w:val="000000"/>
          <w:lang w:val="en-GB"/>
        </w:rPr>
        <w:t xml:space="preserve"> population of obese patients</w:t>
      </w:r>
      <w:r w:rsidR="000A1220" w:rsidRPr="0086281A">
        <w:rPr>
          <w:rFonts w:ascii="Calibri" w:hAnsi="Calibri" w:cs="Times"/>
          <w:color w:val="000000"/>
          <w:lang w:val="en-GB"/>
        </w:rPr>
        <w:t>,</w:t>
      </w:r>
      <w:r w:rsidRPr="0086281A">
        <w:rPr>
          <w:rFonts w:ascii="Calibri" w:hAnsi="Calibri" w:cs="Times"/>
          <w:color w:val="000000"/>
          <w:lang w:val="en-GB"/>
        </w:rPr>
        <w:t xml:space="preserve"> </w:t>
      </w:r>
      <w:r w:rsidR="002849BB" w:rsidRPr="0086281A">
        <w:rPr>
          <w:rFonts w:ascii="Calibri" w:hAnsi="Calibri" w:cs="Times"/>
          <w:color w:val="000000"/>
          <w:lang w:val="en-GB"/>
        </w:rPr>
        <w:t xml:space="preserve">CG </w:t>
      </w:r>
      <w:r w:rsidR="004133DA">
        <w:rPr>
          <w:rFonts w:ascii="Calibri" w:hAnsi="Calibri" w:cs="Times"/>
          <w:color w:val="000000"/>
          <w:lang w:val="en-GB"/>
        </w:rPr>
        <w:t>u</w:t>
      </w:r>
      <w:r w:rsidR="005F54BA">
        <w:rPr>
          <w:rFonts w:ascii="Calibri" w:hAnsi="Calibri" w:cs="Times"/>
          <w:color w:val="000000"/>
          <w:lang w:val="en-GB"/>
        </w:rPr>
        <w:t>sing the AIBW instead of the ABW in the CG equation, which is generally used for drug dosage, markedly improved the overall accuracy of this equation.</w:t>
      </w:r>
      <w:r w:rsidR="004133DA">
        <w:rPr>
          <w:rFonts w:ascii="Calibri" w:hAnsi="Calibri" w:cs="Times"/>
          <w:color w:val="000000"/>
          <w:lang w:val="en-GB"/>
        </w:rPr>
        <w:t xml:space="preserve"> T</w:t>
      </w:r>
      <w:r w:rsidR="004133DA" w:rsidRPr="0086281A">
        <w:rPr>
          <w:rFonts w:ascii="Calibri" w:hAnsi="Calibri" w:cs="Times"/>
          <w:color w:val="000000"/>
          <w:lang w:val="en-GB"/>
        </w:rPr>
        <w:t xml:space="preserve">he </w:t>
      </w:r>
      <w:r w:rsidR="004133DA">
        <w:rPr>
          <w:rFonts w:ascii="Calibri" w:hAnsi="Calibri" w:cs="Times"/>
          <w:color w:val="000000"/>
          <w:lang w:val="en-GB"/>
        </w:rPr>
        <w:t>eGFR equations deindexed by the BSA (</w:t>
      </w:r>
      <w:r w:rsidR="004133DA" w:rsidRPr="0086281A">
        <w:rPr>
          <w:rFonts w:ascii="Calibri" w:hAnsi="Calibri" w:cs="Times"/>
          <w:color w:val="000000"/>
          <w:lang w:val="en-GB"/>
        </w:rPr>
        <w:t>MDRD</w:t>
      </w:r>
      <w:r w:rsidR="004133DA" w:rsidRPr="0086281A">
        <w:rPr>
          <w:rFonts w:ascii="Calibri" w:hAnsi="Calibri" w:cs="Times"/>
          <w:color w:val="000000"/>
          <w:vertAlign w:val="subscript"/>
          <w:lang w:val="en-GB"/>
        </w:rPr>
        <w:t xml:space="preserve"> deindexed </w:t>
      </w:r>
      <w:r w:rsidR="004133DA">
        <w:rPr>
          <w:rFonts w:ascii="Calibri" w:hAnsi="Calibri" w:cs="Times"/>
          <w:color w:val="000000"/>
          <w:lang w:val="en-GB"/>
        </w:rPr>
        <w:t xml:space="preserve">and </w:t>
      </w:r>
      <w:r w:rsidR="004133DA" w:rsidRPr="0086281A">
        <w:rPr>
          <w:rFonts w:ascii="Calibri" w:hAnsi="Calibri" w:cs="Times"/>
          <w:color w:val="000000"/>
          <w:lang w:val="en-GB"/>
        </w:rPr>
        <w:t xml:space="preserve">CKD-EPI </w:t>
      </w:r>
      <w:r w:rsidR="004133DA" w:rsidRPr="0086281A">
        <w:rPr>
          <w:rFonts w:ascii="Calibri" w:hAnsi="Calibri" w:cs="Times"/>
          <w:color w:val="000000"/>
          <w:vertAlign w:val="subscript"/>
          <w:lang w:val="en-GB"/>
        </w:rPr>
        <w:t>deindexed</w:t>
      </w:r>
      <w:r w:rsidR="004133DA" w:rsidRPr="0086281A">
        <w:rPr>
          <w:rFonts w:ascii="Calibri" w:hAnsi="Calibri" w:cs="Times"/>
          <w:color w:val="000000"/>
          <w:lang w:val="en-GB"/>
        </w:rPr>
        <w:t xml:space="preserve"> equation</w:t>
      </w:r>
      <w:r w:rsidR="004133DA">
        <w:rPr>
          <w:rFonts w:ascii="Calibri" w:hAnsi="Calibri" w:cs="Times"/>
          <w:color w:val="000000"/>
          <w:lang w:val="en-GB"/>
        </w:rPr>
        <w:t xml:space="preserve">s) have also good performances with an overall better performance for the MDRD </w:t>
      </w:r>
      <w:r w:rsidR="004133DA" w:rsidRPr="0086281A">
        <w:rPr>
          <w:rFonts w:ascii="Calibri" w:hAnsi="Calibri" w:cs="Times"/>
          <w:color w:val="000000"/>
          <w:vertAlign w:val="subscript"/>
          <w:lang w:val="en-GB"/>
        </w:rPr>
        <w:t>deindexed</w:t>
      </w:r>
      <w:r w:rsidR="004133DA">
        <w:rPr>
          <w:rFonts w:ascii="Calibri" w:hAnsi="Calibri" w:cs="Times"/>
          <w:color w:val="000000"/>
          <w:vertAlign w:val="subscript"/>
          <w:lang w:val="en-GB"/>
        </w:rPr>
        <w:t xml:space="preserve"> </w:t>
      </w:r>
      <w:r w:rsidR="004133DA">
        <w:rPr>
          <w:rFonts w:ascii="Calibri" w:hAnsi="Calibri" w:cs="Times"/>
          <w:color w:val="000000"/>
          <w:lang w:val="en-GB"/>
        </w:rPr>
        <w:t>equation.</w:t>
      </w:r>
      <w:r w:rsidR="005F54BA">
        <w:rPr>
          <w:rFonts w:ascii="Calibri" w:hAnsi="Calibri" w:cs="Times"/>
          <w:color w:val="000000"/>
          <w:lang w:val="en-GB"/>
        </w:rPr>
        <w:t xml:space="preserve"> In conclusion, both de-indexed MDRD and the CG equation using AIBW appear suitable to estimated non-indexed GFR and hence to adequately adjust drug dosage in obese patients.</w:t>
      </w:r>
    </w:p>
    <w:p w:rsidR="008707C1" w:rsidRPr="0086281A" w:rsidRDefault="0087099C" w:rsidP="00D40856">
      <w:pPr>
        <w:rPr>
          <w:rFonts w:ascii="Calibri" w:hAnsi="Calibri" w:cs="Times"/>
          <w:color w:val="000000"/>
          <w:lang w:val="en-GB"/>
        </w:rPr>
      </w:pPr>
      <w:r w:rsidRPr="0086281A">
        <w:rPr>
          <w:rFonts w:ascii="Calibri" w:hAnsi="Calibri" w:cs="Times"/>
          <w:color w:val="000000"/>
          <w:lang w:val="en-GB"/>
        </w:rPr>
        <w:t xml:space="preserve"> </w:t>
      </w:r>
    </w:p>
    <w:p w:rsidR="00EF530B" w:rsidRPr="0086281A" w:rsidRDefault="00EF530B" w:rsidP="00D40856">
      <w:pPr>
        <w:rPr>
          <w:rFonts w:ascii="Calibri" w:hAnsi="Calibri" w:cs="Times"/>
          <w:color w:val="000000"/>
          <w:lang w:val="en-GB"/>
        </w:rPr>
      </w:pPr>
    </w:p>
    <w:p w:rsidR="0069690F" w:rsidRDefault="0069690F" w:rsidP="00D40856">
      <w:pPr>
        <w:rPr>
          <w:rFonts w:ascii="Calibri" w:hAnsi="Calibri" w:cs="Times"/>
          <w:color w:val="000000"/>
          <w:lang w:val="en-GB"/>
        </w:rPr>
      </w:pPr>
    </w:p>
    <w:p w:rsidR="005F54BA" w:rsidRDefault="005F54BA" w:rsidP="00D40856">
      <w:pPr>
        <w:rPr>
          <w:rFonts w:ascii="Calibri" w:hAnsi="Calibri" w:cs="Times"/>
          <w:color w:val="000000"/>
          <w:lang w:val="en-GB"/>
        </w:rPr>
      </w:pPr>
    </w:p>
    <w:p w:rsidR="005F54BA" w:rsidRDefault="005F54BA" w:rsidP="00D40856">
      <w:pPr>
        <w:rPr>
          <w:rFonts w:ascii="Calibri" w:hAnsi="Calibri" w:cs="Times"/>
          <w:color w:val="000000"/>
          <w:lang w:val="en-GB"/>
        </w:rPr>
      </w:pPr>
    </w:p>
    <w:p w:rsidR="005F54BA" w:rsidRPr="0086281A" w:rsidRDefault="005F54BA" w:rsidP="00D40856">
      <w:pPr>
        <w:rPr>
          <w:rFonts w:ascii="Calibri" w:hAnsi="Calibri" w:cs="Times"/>
          <w:color w:val="000000"/>
          <w:lang w:val="en-GB"/>
        </w:rPr>
      </w:pPr>
    </w:p>
    <w:p w:rsidR="00EF530B" w:rsidRPr="0086281A" w:rsidRDefault="00EF530B" w:rsidP="00D40856">
      <w:pPr>
        <w:rPr>
          <w:rFonts w:ascii="Calibri" w:hAnsi="Calibri" w:cs="Times"/>
          <w:color w:val="000000"/>
          <w:lang w:val="en-GB"/>
        </w:rPr>
      </w:pPr>
    </w:p>
    <w:p w:rsidR="00EF530B" w:rsidRPr="0086281A" w:rsidRDefault="00EF530B" w:rsidP="00D40856">
      <w:pPr>
        <w:rPr>
          <w:rFonts w:ascii="Calibri" w:hAnsi="Calibri" w:cs="Times"/>
          <w:color w:val="000000"/>
          <w:lang w:val="en-GB"/>
        </w:rPr>
      </w:pPr>
    </w:p>
    <w:p w:rsidR="00D40856" w:rsidRPr="0086281A" w:rsidRDefault="00D40856" w:rsidP="00D40856">
      <w:pPr>
        <w:pStyle w:val="Titre1"/>
        <w:rPr>
          <w:rFonts w:ascii="Calibri" w:hAnsi="Calibri"/>
          <w:lang w:val="en-GB"/>
        </w:rPr>
      </w:pPr>
      <w:r w:rsidRPr="0086281A">
        <w:rPr>
          <w:rFonts w:ascii="Calibri" w:hAnsi="Calibri"/>
          <w:lang w:val="en-GB"/>
        </w:rPr>
        <w:lastRenderedPageBreak/>
        <w:t>Introduction</w:t>
      </w:r>
    </w:p>
    <w:p w:rsidR="00241F6A" w:rsidRPr="0086281A" w:rsidRDefault="00241F6A" w:rsidP="00241F6A">
      <w:pPr>
        <w:rPr>
          <w:rFonts w:ascii="Calibri" w:hAnsi="Calibri"/>
          <w:lang w:val="en-GB"/>
        </w:rPr>
      </w:pPr>
    </w:p>
    <w:p w:rsidR="00D40856" w:rsidRPr="0086281A" w:rsidRDefault="00241F6A" w:rsidP="00D40856">
      <w:pPr>
        <w:rPr>
          <w:rFonts w:ascii="Calibri" w:hAnsi="Calibri"/>
          <w:lang w:val="en-GB"/>
        </w:rPr>
      </w:pPr>
      <w:r w:rsidRPr="0086281A">
        <w:rPr>
          <w:rFonts w:ascii="Calibri" w:hAnsi="Calibri"/>
          <w:lang w:val="en-GB"/>
        </w:rPr>
        <w:t xml:space="preserve">Obesity has become one of the most important public health problems all over the world </w:t>
      </w:r>
      <w:r w:rsidR="00777D1E" w:rsidRPr="0086281A">
        <w:rPr>
          <w:rFonts w:ascii="Calibri" w:hAnsi="Calibri"/>
          <w:lang w:val="en-GB"/>
        </w:rPr>
        <w:fldChar w:fldCharType="begin"/>
      </w:r>
      <w:r w:rsidR="005D00AF" w:rsidRPr="0086281A">
        <w:rPr>
          <w:rFonts w:ascii="Calibri" w:hAnsi="Calibri"/>
          <w:lang w:val="en-GB"/>
        </w:rPr>
        <w:instrText xml:space="preserve"> ADDIN ZOTERO_ITEM CSL_CITATION {"citationID":"5ankFXP6","properties":{"formattedCitation":"(1)","plainCitation":"(1)"},"citationItems":[{"id":48,"uris":["http://zotero.org/users/2405774/items/QJPTZA7W"],"uri":["http://zotero.org/users/2405774/items/QJPTZA7W"],"itemData":{"id":48,"type":"article-journal","title":"Continuous and robust measures of the overweight epidemic: 1971-2000","container-title":"Demography","page":"303-314","volume":"41","issue":"2","source":"NCBI PubMed","abstract":"This article considers alternate measures of the overweight epidemic that are more robust to measurement error, continuous in the body-mass index (BMI) at the overweight threshold, and sensitive to changes in the BMI distribution. The measures suggest that prevalence rates may understate the severity of the overweight problem. Since 1971, the prevalence of overweight has increased by 37%, while the distribution-sensitive measure has increased by 173%. Furthermore, although Hispanics have the highest prevalence of overweight, the distribution-sensitive measures reveal that overweight Hispanics exceed the overweight threshold by the smallest proportion (21%), whereas overweight non-Hispanic blacks exceed the threshold by 33%, on average.","ISSN":"0070-3370","note":"PMID: 15209042","shortTitle":"Continuous and robust measures of the overweight epidemic","journalAbbreviation":"Demography","language":"eng","author":[{"family":"Jolliffe","given":"Dean"}],"issued":{"date-parts":[["2004",5]]},"PMID":"15209042"}}],"schema":"https://github.com/citation-style-language/schema/raw/master/csl-citation.json"} </w:instrText>
      </w:r>
      <w:r w:rsidR="00777D1E" w:rsidRPr="0086281A">
        <w:rPr>
          <w:rFonts w:ascii="Calibri" w:hAnsi="Calibri"/>
          <w:lang w:val="en-GB"/>
        </w:rPr>
        <w:fldChar w:fldCharType="separate"/>
      </w:r>
      <w:r w:rsidRPr="0086281A">
        <w:rPr>
          <w:rFonts w:ascii="Calibri" w:hAnsi="Calibri"/>
          <w:lang w:val="en-GB"/>
        </w:rPr>
        <w:t>(1)</w:t>
      </w:r>
      <w:r w:rsidR="00777D1E" w:rsidRPr="0086281A">
        <w:rPr>
          <w:rFonts w:ascii="Calibri" w:hAnsi="Calibri"/>
          <w:lang w:val="en-GB"/>
        </w:rPr>
        <w:fldChar w:fldCharType="end"/>
      </w:r>
      <w:r w:rsidRPr="0086281A">
        <w:rPr>
          <w:rFonts w:ascii="Calibri" w:hAnsi="Calibri"/>
          <w:lang w:val="en-GB"/>
        </w:rPr>
        <w:t xml:space="preserve">. </w:t>
      </w:r>
      <w:r w:rsidR="005A7117" w:rsidRPr="0086281A">
        <w:rPr>
          <w:rFonts w:ascii="Calibri" w:hAnsi="Calibri"/>
          <w:lang w:val="en-GB"/>
        </w:rPr>
        <w:t>The World Health Organisation (WHO</w:t>
      </w:r>
      <w:r w:rsidR="000B0A94" w:rsidRPr="0086281A">
        <w:rPr>
          <w:rFonts w:ascii="Calibri" w:hAnsi="Calibri"/>
          <w:lang w:val="en-GB"/>
        </w:rPr>
        <w:t>)</w:t>
      </w:r>
      <w:r w:rsidR="005A7117" w:rsidRPr="0086281A">
        <w:rPr>
          <w:rFonts w:ascii="Calibri" w:hAnsi="Calibri"/>
          <w:lang w:val="en-GB"/>
        </w:rPr>
        <w:t xml:space="preserve"> </w:t>
      </w:r>
      <w:r w:rsidR="004133DA">
        <w:rPr>
          <w:rFonts w:ascii="Calibri" w:hAnsi="Calibri"/>
          <w:lang w:val="en-GB"/>
        </w:rPr>
        <w:t>recommends using</w:t>
      </w:r>
      <w:r w:rsidR="005A7117" w:rsidRPr="0086281A">
        <w:rPr>
          <w:rFonts w:ascii="Calibri" w:hAnsi="Calibri"/>
          <w:lang w:val="en-GB"/>
        </w:rPr>
        <w:t xml:space="preserve"> </w:t>
      </w:r>
      <w:r w:rsidR="005A7117" w:rsidRPr="0086281A">
        <w:rPr>
          <w:rFonts w:ascii="Calibri" w:hAnsi="Calibri" w:cs="Arial"/>
          <w:lang w:val="en-GB"/>
        </w:rPr>
        <w:t xml:space="preserve">body mass index (BMI) </w:t>
      </w:r>
      <w:r w:rsidR="004133DA">
        <w:rPr>
          <w:rFonts w:ascii="Calibri" w:hAnsi="Calibri" w:cs="Arial"/>
          <w:lang w:val="en-GB"/>
        </w:rPr>
        <w:t>as</w:t>
      </w:r>
      <w:r w:rsidR="005A7117" w:rsidRPr="0086281A">
        <w:rPr>
          <w:rFonts w:ascii="Calibri" w:hAnsi="Calibri" w:cs="Arial"/>
          <w:lang w:val="en-GB"/>
        </w:rPr>
        <w:t xml:space="preserve"> the standard measure of overweight and obesity. Adults with a BMI between 25 and 30 kg/m</w:t>
      </w:r>
      <w:r w:rsidR="005A7117" w:rsidRPr="0086281A">
        <w:rPr>
          <w:rFonts w:ascii="Calibri" w:hAnsi="Calibri" w:cs="Arial"/>
          <w:vertAlign w:val="superscript"/>
          <w:lang w:val="en-GB"/>
        </w:rPr>
        <w:t xml:space="preserve">2 </w:t>
      </w:r>
      <w:r w:rsidR="005A7117" w:rsidRPr="0086281A">
        <w:rPr>
          <w:rFonts w:ascii="Calibri" w:hAnsi="Calibri" w:cs="Arial"/>
          <w:lang w:val="en-GB"/>
        </w:rPr>
        <w:t>are considered overweight; those with a BMI ≥ 30 kg/m</w:t>
      </w:r>
      <w:r w:rsidR="005A7117" w:rsidRPr="0086281A">
        <w:rPr>
          <w:rFonts w:ascii="Calibri" w:hAnsi="Calibri" w:cs="Arial"/>
          <w:vertAlign w:val="superscript"/>
          <w:lang w:val="en-GB"/>
        </w:rPr>
        <w:t>2</w:t>
      </w:r>
      <w:r w:rsidR="005A7117" w:rsidRPr="0086281A">
        <w:rPr>
          <w:rFonts w:ascii="Calibri" w:hAnsi="Calibri" w:cs="Arial"/>
          <w:lang w:val="en-GB"/>
        </w:rPr>
        <w:t xml:space="preserve"> are considered to be obese</w:t>
      </w:r>
      <w:r w:rsidR="00B33987" w:rsidRPr="0086281A">
        <w:rPr>
          <w:rFonts w:ascii="Calibri" w:hAnsi="Calibri" w:cs="Arial"/>
          <w:lang w:val="en-GB"/>
        </w:rPr>
        <w:t xml:space="preserve"> </w:t>
      </w:r>
      <w:r w:rsidR="00777D1E" w:rsidRPr="0086281A">
        <w:rPr>
          <w:rFonts w:ascii="Calibri" w:hAnsi="Calibri" w:cs="Arial"/>
          <w:lang w:val="en-GB"/>
        </w:rPr>
        <w:fldChar w:fldCharType="begin"/>
      </w:r>
      <w:r w:rsidR="005D00AF" w:rsidRPr="0086281A">
        <w:rPr>
          <w:rFonts w:ascii="Calibri" w:hAnsi="Calibri" w:cs="Arial"/>
          <w:lang w:val="en-GB"/>
        </w:rPr>
        <w:instrText xml:space="preserve"> ADDIN ZOTERO_ITEM CSL_CITATION {"citationID":"MhA8iG16","properties":{"formattedCitation":"(2)","plainCitation":"(2)"},"citationItems":[{"id":1046,"uris":["http://zotero.org/users/2405774/items/2M3XGQ4K"],"uri":["http://zotero.org/users/2405774/items/2M3XGQ4K"],"itemData":{"id":1046,"type":"article-journal","title":"Obesity: preventing and managing the global epidemic. Report of a WHO consultation","container-title":"World Health Organization Technical Report Series","page":"i-xii, 1-253","volume":"894","source":"NCBI PubMed","abstract":"Overweight and obesity represent a rapidly growing threat to the health of populations in an increasing number of countries. Indeed they are now so common that they are replacing more traditional problems such as undernutrition and infectious diseases as the most significant causes of ill-health. Obesity comorbidities include coronary heart disease, hypertension and stroke, certain types of cancer, non-insulin-dependent diabetes mellitus, gallbladder disease, dyslipidaemia, osteoarthritis and gout, and pulmonary diseases, including sleep apnoea. In addition, the obese suffer from social bias, prejudice and discrimination, on the part not only of the general public but also of health professionals, and this may make them reluctant to seek medical assistance. WHO therefore convened a Consultation on obesity to review current epidemiological information, contributing factors and associated consequences, and this report presents its conclusions and recommendations. In particular, the Consultation considered the system for classifying overweight and obesity based on the body mass index, and concluded that a coherent system is now available and should be adopted internationally. The Consultation also concluded that the fundamental causes of the obesity epidemic are sedentary lifestyles and high-fat energy-dense diets, both resulting from the profound changes taking place in society and the behavioural patterns of communities as a consequence of increased urbanization and industrialization and the disappearance of traditional lifestyles. A reduction in fat intake to around 20-25% of energy is necessary to minimize energy imbalance and weight gain in sedentary individuals. While there is strong evidence that certain genes have an influence on body mass and body fat, most do not qualify as necessary genes, i.e. genes that cause obesity whenever two copies of the defective allele are present; it is likely to be many years before the results of genetic research can be applied to the problem. Methods for the treatment of obesity are described, including dietary management, physical activity and exercise, and antiobesity drugs, with gastrointestinal surgery being reserved for extreme cases.","ISSN":"0512-3054","note":"PMID: 11234459","shortTitle":"Obesity","journalAbbreviation":"World Health Organ Tech Rep Ser","language":"eng","issued":{"date-parts":[["2000"]]},"PMID":"11234459"}}],"schema":"https://github.com/citation-style-language/schema/raw/master/csl-citation.json"} </w:instrText>
      </w:r>
      <w:r w:rsidR="00777D1E" w:rsidRPr="0086281A">
        <w:rPr>
          <w:rFonts w:ascii="Calibri" w:hAnsi="Calibri" w:cs="Arial"/>
          <w:lang w:val="en-GB"/>
        </w:rPr>
        <w:fldChar w:fldCharType="separate"/>
      </w:r>
      <w:r w:rsidR="00400579" w:rsidRPr="0086281A">
        <w:rPr>
          <w:rFonts w:ascii="Calibri" w:hAnsi="Calibri" w:cs="Arial"/>
          <w:noProof/>
          <w:lang w:val="en-GB"/>
        </w:rPr>
        <w:t>(2)</w:t>
      </w:r>
      <w:r w:rsidR="00777D1E" w:rsidRPr="0086281A">
        <w:rPr>
          <w:rFonts w:ascii="Calibri" w:hAnsi="Calibri" w:cs="Arial"/>
          <w:lang w:val="en-GB"/>
        </w:rPr>
        <w:fldChar w:fldCharType="end"/>
      </w:r>
      <w:r w:rsidR="005A7117" w:rsidRPr="0086281A">
        <w:rPr>
          <w:rFonts w:ascii="Calibri" w:hAnsi="Calibri" w:cs="Arial"/>
          <w:lang w:val="en-GB"/>
        </w:rPr>
        <w:t>.</w:t>
      </w:r>
      <w:r w:rsidR="005A7117" w:rsidRPr="0086281A">
        <w:rPr>
          <w:rFonts w:ascii="Calibri" w:hAnsi="Calibri"/>
          <w:lang w:val="en-GB"/>
        </w:rPr>
        <w:t xml:space="preserve"> </w:t>
      </w:r>
      <w:r w:rsidR="000B0A94" w:rsidRPr="0086281A">
        <w:rPr>
          <w:rFonts w:ascii="Calibri" w:hAnsi="Calibri"/>
          <w:lang w:val="en-GB"/>
        </w:rPr>
        <w:t>T</w:t>
      </w:r>
      <w:r w:rsidRPr="0086281A">
        <w:rPr>
          <w:rFonts w:ascii="Calibri" w:hAnsi="Calibri" w:cs="Trebuchet MS"/>
          <w:lang w:val="en-GB"/>
        </w:rPr>
        <w:t xml:space="preserve">he </w:t>
      </w:r>
      <w:r w:rsidRPr="0086281A">
        <w:rPr>
          <w:rFonts w:ascii="Calibri" w:hAnsi="Calibri" w:cs="Arial"/>
          <w:lang w:val="en-GB"/>
        </w:rPr>
        <w:t>rate of obesity reache</w:t>
      </w:r>
      <w:r w:rsidR="004133DA">
        <w:rPr>
          <w:rFonts w:ascii="Calibri" w:hAnsi="Calibri" w:cs="Arial"/>
          <w:lang w:val="en-GB"/>
        </w:rPr>
        <w:t>s</w:t>
      </w:r>
      <w:r w:rsidRPr="0086281A">
        <w:rPr>
          <w:rFonts w:ascii="Calibri" w:hAnsi="Calibri" w:cs="Arial"/>
          <w:lang w:val="en-GB"/>
        </w:rPr>
        <w:t xml:space="preserve"> 25% of </w:t>
      </w:r>
      <w:r w:rsidR="004133DA">
        <w:rPr>
          <w:rFonts w:ascii="Calibri" w:hAnsi="Calibri" w:cs="Arial"/>
          <w:lang w:val="en-GB"/>
        </w:rPr>
        <w:t>the population</w:t>
      </w:r>
      <w:r w:rsidR="0077030D">
        <w:rPr>
          <w:rFonts w:ascii="Calibri" w:hAnsi="Calibri" w:cs="Arial"/>
          <w:lang w:val="en-GB"/>
        </w:rPr>
        <w:t xml:space="preserve"> in </w:t>
      </w:r>
      <w:r w:rsidRPr="0086281A">
        <w:rPr>
          <w:rFonts w:ascii="Calibri" w:hAnsi="Calibri" w:cs="Arial"/>
          <w:lang w:val="en-GB"/>
        </w:rPr>
        <w:t xml:space="preserve">Europe </w:t>
      </w:r>
      <w:r w:rsidR="00777D1E" w:rsidRPr="0086281A">
        <w:rPr>
          <w:rFonts w:ascii="Calibri" w:hAnsi="Calibri" w:cs="Arial"/>
          <w:lang w:val="en-GB"/>
        </w:rPr>
        <w:fldChar w:fldCharType="begin"/>
      </w:r>
      <w:r w:rsidR="005D00AF" w:rsidRPr="0086281A">
        <w:rPr>
          <w:rFonts w:ascii="Calibri" w:hAnsi="Calibri" w:cs="Arial"/>
          <w:lang w:val="en-GB"/>
        </w:rPr>
        <w:instrText xml:space="preserve"> ADDIN ZOTERO_ITEM CSL_CITATION {"citationID":"2fcp3jcr7i","properties":{"formattedCitation":"(3)","plainCitation":"(3)"},"citationItems":[{"id":219,"uris":["http://zotero.org/users/2405774/items/MEAEA9BI"],"uri":["http://zotero.org/users/2405774/items/MEAEA9BI"],"itemData":{"id":219,"type":"article-journal","title":"Global, regional, and national prevalence of overweight and obesity in children and adults during 1980-2013: a systematic analysis for the Global Burden of Disease Study 2013","container-title":"Lancet","page":"766-781","volume":"384","issue":"9945","source":"NCBI PubMed","abstract":"BACKGROUND: In 2010, overweight and obesity were estimated to cause 3·4 million deaths, 3·9% of years of life lost, and 3·8% of disability-adjusted life-years (DALYs) worldwide. The rise in obesity has led to widespread calls for regular monitoring of changes in overweight and obesity prevalence in all populations. Comparable, up-to-date information about levels and trends is essential to quantify population health effects and to prompt decision makers to prioritise action. We estimate the global, regional, and national prevalence of overweight and obesity in children and adults during 1980-2013.\nMETHODS: We systematically identified surveys, reports, and published studies (n=1769) that included data for height and weight, both through physical measurements and self-reports. We used mixed effects linear regression to correct for bias in self-reports. We obtained data for prevalence of obesity and overweight by age, sex, country, and year (n=19,244) with a spatiotemporal Gaussian process regression model to estimate prevalence with 95% uncertainty intervals (UIs).\nFINDINGS: Worldwide, the proportion of adults with a body-mass index (BMI) of 25 kg/m(2) or greater increased between 1980 and 2013 from 28·8% (95% UI 28·4-29·3) to 36·9% (36·3-37·4) in men, and from 29·8% (29·3-30·2) to 38·0% (37·5-38·5) in women. Prevalence has increased substantially in children and adolescents in developed countries; 23·8% (22·9-24·7) of boys and 22·6% (21·7-23·6) of girls were overweight or obese in 2013. The prevalence of overweight and obesity has also increased in children and adolescents in developing countries, from 8·1% (7·7-8·6) to 12·9% (12·3-13·5) in 2013 for boys and from 8·4% (8·1-8·8) to 13·4% (13·0-13·9) in girls. In adults, estimated prevalence of obesity exceeded 50% in men in Tonga and in women in Kuwait, Kiribati, Federated States of Micronesia, Libya, Qatar, Tonga, and Samoa. Since 2006, the increase in adult obesity in developed countries has slowed down.\nINTERPRETATION: Because of the established health risks and substantial increases in prevalence, obesity has become a major global health challenge. Not only is obesity increasing, but no national success stories have been reported in the past 33 years. Urgent global action and leadership is needed to help countries to more effectively intervene.\nFUNDING: Bill &amp; Melinda Gates Foundation.","DOI":"10.1016/S0140-6736(14)60460-8","ISSN":"1474-547X","note":"PMID: 24880830","shortTitle":"Global, regional, and national prevalence of overweight and obesity in children and adults during 1980-2013","journalAbbreviation":"Lancet","language":"eng","author":[{"family":"Ng","given":"Marie"},{"family":"Fleming","given":"Tom"},{"family":"Robinson","given":"Margaret"},{"family":"Thomson","given":"Blake"},{"family":"Graetz","given":"Nicholas"},{"family":"Margono","given":"Christopher"},{"family":"Mullany","given":"Erin C."},{"family":"Biryukov","given":"Stan"},{"family":"Abbafati","given":"Cristiana"},{"family":"Abera","given":"Semaw Ferede"},{"family":"Abraham","given":"Jerry P."},{"family":"Abu-Rmeileh","given":"Niveen M. E."},{"family":"Achoki","given":"Tom"},{"family":"AlBuhairan","given":"Fadia S."},{"family":"Alemu","given":"Zewdie A."},{"family":"Alfonso","given":"Rafael"},{"family":"Ali","given":"Mohammed K."},{"family":"Ali","given":"Raghib"},{"family":"Guzman","given":"Nelson Alvis"},{"family":"Ammar","given":"Walid"},{"family":"Anwari","given":"Palwasha"},{"family":"Banerjee","given":"Amitava"},{"family":"Barquera","given":"Simon"},{"family":"Basu","given":"Sanjay"},{"family":"Bennett","given":"Derrick A."},{"family":"Bhutta","given":"Zulfiqar"},{"family":"Blore","given":"Jed"},{"family":"Cabral","given":"Norberto"},{"family":"Nonato","given":"Ismael Campos"},{"family":"Chang","given":"Jung-Chen"},{"family":"Chowdhury","given":"Rajiv"},{"family":"Courville","given":"Karen J."},{"family":"Criqui","given":"Michael H."},{"family":"Cundiff","given":"David K."},{"family":"Dabhadkar","given":"Kaustubh C."},{"family":"Dandona","given":"Lalit"},{"family":"Davis","given":"Adrian"},{"family":"Dayama","given":"Anand"},{"family":"Dharmaratne","given":"Samath D."},{"family":"Ding","given":"Eric L."},{"family":"Durrani","given":"Adnan M."},{"family":"Esteghamati","given":"Alireza"},{"family":"Farzadfar","given":"Farshad"},{"family":"Fay","given":"Derek F. J."},{"family":"Feigin","given":"Valery L."},{"family":"Flaxman","given":"Abraham"},{"family":"Forouzanfar","given":"Mohammad H."},{"family":"Goto","given":"Atsushi"},{"family":"Green","given":"Mark A."},{"family":"Gupta","given":"Rajeev"},{"family":"Hafezi-Nejad","given":"Nima"},{"family":"Hankey","given":"Graeme J."},{"family":"Harewood","given":"Heather C."},{"family":"Havmoeller","given":"Rasmus"},{"family":"Hay","given":"Simon"},{"family":"Hernandez","given":"Lucia"},{"family":"Husseini","given":"Abdullatif"},{"family":"Idrisov","given":"Bulat T."},{"family":"Ikeda","given":"Nayu"},{"family":"Islami","given":"Farhad"},{"family":"Jahangir","given":"Eiman"},{"family":"Jassal","given":"Simerjot K."},{"family":"Jee","given":"Sun Ha"},{"family":"Jeffreys","given":"Mona"},{"family":"Jonas","given":"Jost B."},{"family":"Kabagambe","given":"Edmond K."},{"family":"Khalifa","given":"Shams Eldin Ali Hassan"},{"family":"Kengne","given":"Andre Pascal"},{"family":"Khader","given":"Yousef Saleh"},{"family":"Khang","given":"Young-Ho"},{"family":"Kim","given":"Daniel"},{"family":"Kimokoti","given":"Ruth W."},{"family":"Kinge","given":"Jonas M."},{"family":"Kokubo","given":"Yoshihiro"},{"family":"Kosen","given":"Soewarta"},{"family":"Kwan","given":"Gene"},{"family":"Lai","given":"Taavi"},{"family":"Leinsalu","given":"Mall"},{"family":"Li","given":"Yichong"},{"family":"Liang","given":"Xiaofeng"},{"family":"Liu","given":"Shiwei"},{"family":"Logroscino","given":"Giancarlo"},{"family":"Lotufo","given":"Paulo A."},{"family":"Lu","given":"Yuan"},{"family":"Ma","given":"Jixiang"},{"family":"Mainoo","given":"Nana Kwaku"},{"family":"Mensah","given":"George A."},{"family":"Merriman","given":"Tony R."},{"family":"Mokdad","given":"Ali H."},{"family":"Moschandreas","given":"Joanna"},{"family":"Naghavi","given":"Mohsen"},{"family":"Naheed","given":"Aliya"},{"family":"Nand","given":"Devina"},{"family":"Narayan","given":"K. M. Venkat"},{"family":"Nelson","given":"Erica Leigh"},{"family":"Neuhouser","given":"Marian L."},{"family":"Nisar","given":"Muhammad Imran"},{"family":"Ohkubo","given":"Takayoshi"},{"family":"Oti","given":"Samuel O."},{"family":"Pedroza","given":"Andrea"},{"family":"Prabhakaran","given":"Dorairaj"},{"family":"Roy","given":"Nobhojit"},{"family":"Sampson","given":"Uchechukwu"},{"family":"Seo","given":"Hyeyoung"},{"family":"Sepanlou","given":"Sadaf G."},{"family":"Shibuya","given":"Kenji"},{"family":"Shiri","given":"Rahman"},{"family":"Shiue","given":"Ivy"},{"family":"Singh","given":"Gitanjali M."},{"family":"Singh","given":"Jasvinder A."},{"family":"Skirbekk","given":"Vegard"},{"family":"Stapelberg","given":"Nicolas J. C."},{"family":"Sturua","given":"Lela"},{"family":"Sykes","given":"Bryan L."},{"family":"Tobias","given":"Martin"},{"family":"Tran","given":"Bach X."},{"family":"Trasande","given":"Leonardo"},{"family":"Toyoshima","given":"Hideaki"},{"family":"van de Vijver","given":"Steven"},{"family":"Vasankari","given":"Tommi J."},{"family":"Veerman","given":"J. Lennert"},{"family":"Velasquez-Melendez","given":"Gustavo"},{"family":"Vlassov","given":"Vasiliy Victorovich"},{"family":"Vollset","given":"Stein Emil"},{"family":"Vos","given":"Theo"},{"family":"Wang","given":"Claire"},{"family":"Wang","given":"XiaoRong"},{"family":"Weiderpass","given":"Elisabete"},{"family":"Werdecker","given":"Andrea"},{"family":"Wright","given":"Jonathan L."},{"family":"Yang","given":"Y. Claire"},{"family":"Yatsuya","given":"Hiroshi"},{"family":"Yoon","given":"Jihyun"},{"family":"Yoon","given":"Seok-Jun"},{"family":"Zhao","given":"Yong"},{"family":"Zhou","given":"Maigeng"},{"family":"Zhu","given":"Shankuan"},{"family":"Lopez","given":"Alan D."},{"family":"Murray","given":"Christopher J. L."},{"family":"Gakidou","given":"Emmanuela"}],"issued":{"date-parts":[["2014",8]]},"PMID":"24880830"}}],"schema":"https://github.com/citation-style-language/schema/raw/master/csl-citation.json"} </w:instrText>
      </w:r>
      <w:r w:rsidR="00777D1E" w:rsidRPr="0086281A">
        <w:rPr>
          <w:rFonts w:ascii="Calibri" w:hAnsi="Calibri" w:cs="Arial"/>
          <w:lang w:val="en-GB"/>
        </w:rPr>
        <w:fldChar w:fldCharType="separate"/>
      </w:r>
      <w:r w:rsidR="000B0A94" w:rsidRPr="0086281A">
        <w:rPr>
          <w:rFonts w:ascii="Calibri" w:hAnsi="Calibri" w:cs="Arial"/>
          <w:lang w:val="en-GB"/>
        </w:rPr>
        <w:t>(3)</w:t>
      </w:r>
      <w:r w:rsidR="00777D1E" w:rsidRPr="0086281A">
        <w:rPr>
          <w:rFonts w:ascii="Calibri" w:hAnsi="Calibri" w:cs="Arial"/>
          <w:lang w:val="en-GB"/>
        </w:rPr>
        <w:fldChar w:fldCharType="end"/>
      </w:r>
      <w:r w:rsidRPr="0086281A">
        <w:rPr>
          <w:rFonts w:ascii="Calibri" w:hAnsi="Calibri" w:cs="Arial"/>
          <w:lang w:val="en-GB"/>
        </w:rPr>
        <w:t xml:space="preserve">. </w:t>
      </w:r>
      <w:r w:rsidRPr="0086281A">
        <w:rPr>
          <w:rFonts w:ascii="Calibri" w:hAnsi="Calibri"/>
          <w:lang w:val="en-GB"/>
        </w:rPr>
        <w:t>With the increasing prevalence of obesity, there is also an increasing prevalence of the co-morbidities</w:t>
      </w:r>
      <w:r w:rsidR="00BE70E8" w:rsidRPr="0086281A">
        <w:rPr>
          <w:rFonts w:ascii="Calibri" w:hAnsi="Calibri"/>
          <w:lang w:val="en-GB"/>
        </w:rPr>
        <w:t xml:space="preserve"> associated with this condition, such as diabetes, hypertension,</w:t>
      </w:r>
      <w:r w:rsidR="00BE70E8" w:rsidRPr="0086281A">
        <w:rPr>
          <w:rFonts w:ascii="Calibri" w:hAnsi="Calibri" w:cs="Times"/>
          <w:lang w:val="en-GB"/>
        </w:rPr>
        <w:t xml:space="preserve"> dyslipidaemia</w:t>
      </w:r>
      <w:r w:rsidR="004E79B7" w:rsidRPr="0086281A">
        <w:rPr>
          <w:rFonts w:ascii="Calibri" w:hAnsi="Calibri"/>
          <w:lang w:val="en-GB"/>
        </w:rPr>
        <w:t xml:space="preserve">, </w:t>
      </w:r>
      <w:r w:rsidRPr="0086281A">
        <w:rPr>
          <w:rFonts w:ascii="Calibri" w:hAnsi="Calibri"/>
          <w:lang w:val="en-GB"/>
        </w:rPr>
        <w:t>cardiovascular disease (CVD)</w:t>
      </w:r>
      <w:r w:rsidR="00E03FC4" w:rsidRPr="0086281A">
        <w:rPr>
          <w:rFonts w:ascii="Calibri" w:hAnsi="Calibri"/>
          <w:lang w:val="en-GB"/>
        </w:rPr>
        <w:t>,</w:t>
      </w:r>
      <w:r w:rsidR="00536A8E" w:rsidRPr="0086281A">
        <w:rPr>
          <w:rFonts w:ascii="Calibri" w:hAnsi="Calibri" w:cs="Times"/>
          <w:lang w:val="en-GB"/>
        </w:rPr>
        <w:t xml:space="preserve"> </w:t>
      </w:r>
      <w:r w:rsidR="00B67D72" w:rsidRPr="0086281A">
        <w:rPr>
          <w:rFonts w:ascii="Calibri" w:hAnsi="Calibri" w:cs="Times"/>
          <w:lang w:val="en-GB"/>
        </w:rPr>
        <w:t>osteoarthritis and</w:t>
      </w:r>
      <w:r w:rsidR="008E13C8" w:rsidRPr="0086281A">
        <w:rPr>
          <w:rFonts w:ascii="Calibri" w:hAnsi="Calibri" w:cs="Times"/>
          <w:lang w:val="en-GB"/>
        </w:rPr>
        <w:t xml:space="preserve"> </w:t>
      </w:r>
      <w:r w:rsidR="00B67D72" w:rsidRPr="0086281A">
        <w:rPr>
          <w:rFonts w:ascii="Calibri" w:hAnsi="Calibri" w:cs="Times"/>
          <w:lang w:val="en-GB"/>
        </w:rPr>
        <w:t>cancers</w:t>
      </w:r>
      <w:r w:rsidRPr="0086281A">
        <w:rPr>
          <w:rFonts w:ascii="Calibri" w:hAnsi="Calibri"/>
          <w:lang w:val="en-GB"/>
        </w:rPr>
        <w:t xml:space="preserve"> </w:t>
      </w:r>
      <w:r w:rsidR="00777D1E" w:rsidRPr="0086281A">
        <w:rPr>
          <w:rFonts w:ascii="Calibri" w:hAnsi="Calibri"/>
          <w:lang w:val="en-GB"/>
        </w:rPr>
        <w:fldChar w:fldCharType="begin"/>
      </w:r>
      <w:r w:rsidR="005D00AF" w:rsidRPr="0086281A">
        <w:rPr>
          <w:rFonts w:ascii="Calibri" w:hAnsi="Calibri"/>
          <w:lang w:val="en-GB"/>
        </w:rPr>
        <w:instrText xml:space="preserve"> ADDIN ZOTERO_ITEM CSL_CITATION {"citationID":"3m8ExjYH","properties":{"formattedCitation":"(4)","plainCitation":"(4)"},"citationItems":[{"id":56,"uris":["http://zotero.org/users/2405774/items/ASQDWIRN"],"uri":["http://zotero.org/users/2405774/items/ASQDWIRN"],"itemData":{"id":56,"type":"article-journal","title":"Obesity and cardiovascular disease: risk factor, paradox, and impact of weight loss","container-title":"Journal of the American College of Cardiology","page":"1925-1932","volume":"53","issue":"21","source":"NCBI PubMed","abstract":"Obesity has reached global epidemic proportions in both adults and children and is associated with numerous comorbidities, including hypertension (HTN), type II diabetes mellitus, dyslipidemia, obstructive sleep apnea and sleep-disordered breathing, certain cancers, and major cardiovascular (CV) diseases. Because of its maladaptive effects on various CV risk factors and its adverse effects on CV structure and function, obesity has a major impact on CV diseases, such as heart failure (HF), coronary heart disease (CHD), sudden cardiac death, and atrial fibrillation, and is associated with reduced overall survival. Despite this adverse association, numerous studies have documented an obesity paradox in which overweight and obese people with established CV disease, including HTN, HF, CHD, and peripheral arterial disease, have a better prognosis compared with nonoverweight/nonobese patients. This review summarizes the adverse effects of obesity on CV disease risk factors and its role in the pathogenesis of various CV diseases, reviews the obesity paradox and potential explanations for these puzzling data, and concludes with a discussion regarding the current state of weight reduction in the prevention and treatment of CV diseases.","DOI":"10.1016/j.jacc.2008.12.068","ISSN":"1558-3597","note":"PMID: 19460605","shortTitle":"Obesity and cardiovascular disease","journalAbbreviation":"J. Am. Coll. Cardiol.","language":"eng","author":[{"family":"Lavie","given":"Carl J."},{"family":"Milani","given":"Richard V."},{"family":"Ventura","given":"Hector O."}],"issued":{"date-parts":[["2009",5]]},"PMID":"19460605"}}],"schema":"https://github.com/citation-style-language/schema/raw/master/csl-citation.json"} </w:instrText>
      </w:r>
      <w:r w:rsidR="00777D1E" w:rsidRPr="0086281A">
        <w:rPr>
          <w:rFonts w:ascii="Calibri" w:hAnsi="Calibri"/>
          <w:lang w:val="en-GB"/>
        </w:rPr>
        <w:fldChar w:fldCharType="separate"/>
      </w:r>
      <w:r w:rsidR="000B0A94" w:rsidRPr="0086281A">
        <w:rPr>
          <w:rFonts w:ascii="Calibri" w:hAnsi="Calibri"/>
          <w:lang w:val="en-GB"/>
        </w:rPr>
        <w:t>(4)</w:t>
      </w:r>
      <w:r w:rsidR="00777D1E" w:rsidRPr="0086281A">
        <w:rPr>
          <w:rFonts w:ascii="Calibri" w:hAnsi="Calibri"/>
          <w:lang w:val="en-GB"/>
        </w:rPr>
        <w:fldChar w:fldCharType="end"/>
      </w:r>
      <w:r w:rsidR="00B67D72" w:rsidRPr="0086281A">
        <w:rPr>
          <w:rFonts w:ascii="Calibri" w:hAnsi="Calibri" w:cs="Times"/>
          <w:lang w:val="en-GB"/>
        </w:rPr>
        <w:t>.</w:t>
      </w:r>
      <w:r w:rsidR="00192341" w:rsidRPr="0086281A">
        <w:rPr>
          <w:rFonts w:ascii="Calibri" w:hAnsi="Calibri" w:cs="Times"/>
          <w:lang w:val="en-GB"/>
        </w:rPr>
        <w:t xml:space="preserve"> </w:t>
      </w:r>
      <w:r w:rsidR="00352530" w:rsidRPr="0086281A">
        <w:rPr>
          <w:rFonts w:ascii="Calibri" w:hAnsi="Calibri" w:cs="Times"/>
          <w:lang w:val="en-GB"/>
        </w:rPr>
        <w:t>Most of these comorbidities may alter renal function.</w:t>
      </w:r>
    </w:p>
    <w:p w:rsidR="00AB2B25" w:rsidRPr="0086281A" w:rsidRDefault="00AB2B25" w:rsidP="00D40856">
      <w:pPr>
        <w:rPr>
          <w:rFonts w:ascii="Calibri" w:hAnsi="Calibri"/>
          <w:lang w:val="en-GB"/>
        </w:rPr>
      </w:pPr>
    </w:p>
    <w:p w:rsidR="00D40856" w:rsidRPr="00F87B56" w:rsidRDefault="005A7117" w:rsidP="00F87B56">
      <w:pPr>
        <w:autoSpaceDE w:val="0"/>
        <w:autoSpaceDN w:val="0"/>
        <w:adjustRightInd w:val="0"/>
        <w:rPr>
          <w:rFonts w:ascii="Calibri" w:eastAsiaTheme="minorHAnsi" w:hAnsi="Calibri"/>
          <w:iCs/>
          <w:lang w:val="en-GB" w:eastAsia="en-US"/>
        </w:rPr>
      </w:pPr>
      <w:r w:rsidRPr="0086281A">
        <w:rPr>
          <w:rFonts w:ascii="Calibri" w:eastAsiaTheme="minorHAnsi" w:hAnsi="Calibri"/>
          <w:iCs/>
          <w:lang w:val="en-GB" w:eastAsia="en-US"/>
        </w:rPr>
        <w:t>Obesity</w:t>
      </w:r>
      <w:r w:rsidR="00D40856" w:rsidRPr="0086281A">
        <w:rPr>
          <w:rFonts w:ascii="Calibri" w:eastAsiaTheme="minorHAnsi" w:hAnsi="Calibri"/>
          <w:iCs/>
          <w:lang w:val="en-GB" w:eastAsia="en-US"/>
        </w:rPr>
        <w:t xml:space="preserve"> </w:t>
      </w:r>
      <w:r w:rsidR="00536A8E" w:rsidRPr="0086281A">
        <w:rPr>
          <w:rFonts w:ascii="Calibri" w:eastAsiaTheme="minorHAnsi" w:hAnsi="Calibri"/>
          <w:iCs/>
          <w:lang w:val="en-GB" w:eastAsia="en-US"/>
        </w:rPr>
        <w:t>is</w:t>
      </w:r>
      <w:r w:rsidR="00D40856" w:rsidRPr="0086281A">
        <w:rPr>
          <w:rFonts w:ascii="Calibri" w:eastAsiaTheme="minorHAnsi" w:hAnsi="Calibri"/>
          <w:iCs/>
          <w:lang w:val="en-GB" w:eastAsia="en-US"/>
        </w:rPr>
        <w:t xml:space="preserve"> a significant ris</w:t>
      </w:r>
      <w:r w:rsidR="004133DA">
        <w:rPr>
          <w:rFonts w:ascii="Calibri" w:eastAsiaTheme="minorHAnsi" w:hAnsi="Calibri"/>
          <w:iCs/>
          <w:lang w:val="en-GB" w:eastAsia="en-US"/>
        </w:rPr>
        <w:t>k factor for</w:t>
      </w:r>
      <w:r w:rsidR="004E79B7" w:rsidRPr="0086281A">
        <w:rPr>
          <w:rFonts w:ascii="Calibri" w:eastAsiaTheme="minorHAnsi" w:hAnsi="Calibri"/>
          <w:iCs/>
          <w:lang w:val="en-GB" w:eastAsia="en-US"/>
        </w:rPr>
        <w:t xml:space="preserve"> </w:t>
      </w:r>
      <w:r w:rsidR="004133DA" w:rsidRPr="0086281A">
        <w:rPr>
          <w:rFonts w:ascii="Calibri" w:eastAsiaTheme="minorHAnsi" w:hAnsi="Calibri"/>
          <w:iCs/>
          <w:lang w:val="en-GB" w:eastAsia="en-US"/>
        </w:rPr>
        <w:t>chronic kidney disease</w:t>
      </w:r>
      <w:r w:rsidR="004133DA">
        <w:rPr>
          <w:rFonts w:ascii="Calibri" w:eastAsiaTheme="minorHAnsi" w:hAnsi="Calibri"/>
          <w:iCs/>
          <w:lang w:val="en-GB" w:eastAsia="en-US"/>
        </w:rPr>
        <w:t xml:space="preserve"> (CKD)</w:t>
      </w:r>
      <w:r w:rsidR="004E79B7" w:rsidRPr="0086281A">
        <w:rPr>
          <w:rFonts w:ascii="Calibri" w:eastAsiaTheme="minorHAnsi" w:hAnsi="Calibri"/>
          <w:iCs/>
          <w:lang w:val="en-GB" w:eastAsia="en-US"/>
        </w:rPr>
        <w:t xml:space="preserve"> </w:t>
      </w:r>
      <w:r w:rsidR="004133DA">
        <w:rPr>
          <w:rFonts w:ascii="Calibri" w:eastAsiaTheme="minorHAnsi" w:hAnsi="Calibri"/>
          <w:iCs/>
          <w:lang w:val="en-GB" w:eastAsia="en-US"/>
        </w:rPr>
        <w:t xml:space="preserve">independently </w:t>
      </w:r>
      <w:r w:rsidR="004E79B7" w:rsidRPr="0086281A">
        <w:rPr>
          <w:rFonts w:ascii="Calibri" w:eastAsiaTheme="minorHAnsi" w:hAnsi="Calibri"/>
          <w:iCs/>
          <w:lang w:val="en-GB" w:eastAsia="en-US"/>
        </w:rPr>
        <w:t xml:space="preserve">of </w:t>
      </w:r>
      <w:r w:rsidR="004133DA">
        <w:rPr>
          <w:rFonts w:ascii="Calibri" w:eastAsiaTheme="minorHAnsi" w:hAnsi="Calibri"/>
          <w:iCs/>
          <w:lang w:val="en-GB" w:eastAsia="en-US"/>
        </w:rPr>
        <w:t xml:space="preserve">other </w:t>
      </w:r>
      <w:r w:rsidR="00601FBA" w:rsidRPr="0086281A">
        <w:rPr>
          <w:rFonts w:ascii="Calibri" w:hAnsi="Calibri" w:cs="Times"/>
          <w:lang w:val="en-GB"/>
        </w:rPr>
        <w:t xml:space="preserve">known risk factors </w:t>
      </w:r>
      <w:r w:rsidR="00C31BB4">
        <w:rPr>
          <w:rFonts w:ascii="Calibri" w:hAnsi="Calibri" w:cs="Times"/>
          <w:lang w:val="en-GB"/>
        </w:rPr>
        <w:t xml:space="preserve">and also a risk factor of progression of kidney disease </w:t>
      </w:r>
      <w:r w:rsidR="00777D1E" w:rsidRPr="0086281A">
        <w:rPr>
          <w:rFonts w:ascii="Calibri" w:hAnsi="Calibri" w:cs="Times"/>
          <w:lang w:val="en-GB"/>
        </w:rPr>
        <w:fldChar w:fldCharType="begin"/>
      </w:r>
      <w:r w:rsidR="005D00AF" w:rsidRPr="0086281A">
        <w:rPr>
          <w:rFonts w:ascii="Calibri" w:hAnsi="Calibri" w:cs="Times"/>
          <w:lang w:val="en-GB"/>
        </w:rPr>
        <w:instrText xml:space="preserve"> ADDIN ZOTERO_ITEM CSL_CITATION {"citationID":"19b4gmbo3l","properties":{"formattedCitation":"{\\rtf (5\\uc0\\u8211{}7)}","plainCitation":"(5–7)"},"citationItems":[{"id":1119,"uris":["http://zotero.org/users/2405774/items/PNKQPMNB"],"uri":["http://zotero.org/users/2405774/items/PNKQPMNB"],"itemData":{"id":1119,"type":"article-journal","title":"Body mass index and risk for end-stage renal disease","container-title":"Annals of Internal Medicine","page":"21-28","volume":"144","issue":"1","source":"NCBI PubMed","abstract":"BACKGROUND: Although interest in the relationship between obesity and kidney disease is increasing, few epidemiologic studies have examined whether excess weight is an independent risk factor for end-stage renal disease (ESRD).\nOBJECTIVE: To determine the association between increased body mass index (BMI) and risk for ESRD.\nDESIGN: Historical (nonconcurrent) cohort study.\nSETTING: A large integrated health care delivery system in northern California.\nPARTICIPANTS: 320,252 adult members of Kaiser Permanente who volunteered for screening health checkups between 1964 and 1985 and who had height and weight measured.\nMEASUREMENTS: The authors ascertained ESRD cases by matching data with the U.S. Renal Data System registry through 2000.\nRESULTS: A total of 1471 cases of ESRD occurred during 8,347,955 person-years of follow-up. Higher BMI was a risk factor for ESRD in multivariable models that adjusted for age, sex, race, education level, smoking status, history of myocardial infarction, serum cholesterol level, urinalysis proteinuria, urinalysis hematuria, and serum creatinine level. Compared with persons who had normal weight (BMI, 18.5 to 24.9 kg/m2), the adjusted relative risk for ESRD was 1.87 (95% CI, 1.64 to 2.14) for those who were overweight (BMI, 25.0 to 29.9 kg/m2), 3.57 (CI, 3.05 to 4.18) for those with class I obesity (BMI, 30.0 to 34.9 kg/m2), 6.12 (CI, 4.97 to 7.54) for those with class II obesity (BMI, 35.0 to 39.9 kg/m2), and 7.07 (CI, 5.37 to 9.31) for those with extreme obesity (BMI &gt; or = 40 kg/m2). Higher baseline BMI remained an independent predictor for ESRD after additional adjustments for baseline blood pressure level and presence or absence of diabetes mellitus.\nLIMITATIONS: Primary analyses were based on single measurements of exposures.\nCONCLUSIONS: High BMI is a common, strong, and potentially modifiable risk factor for ESRD.","ISSN":"1539-3704","note":"PMID: 16389251","journalAbbreviation":"Ann. Intern. Med.","language":"eng","author":[{"family":"Hsu","given":"Chi-yuan"},{"family":"McCulloch","given":"Charles E."},{"family":"Iribarren","given":"Carlos"},{"family":"Darbinian","given":"Jeanne"},{"family":"Go","given":"Alan S."}],"issued":{"date-parts":[["2006",1]]},"PMID":"16389251"},"label":"page"},{"id":1259,"uris":["http://zotero.org/users/2405774/items/Q2R3CNXW"],"uri":["http://zotero.org/users/2405774/items/Q2R3CNXW"],"itemData":{"id":1259,"type":"article-journal","title":"Predictors of new-onset kidney disease in a community-based population","container-title":"JAMA","page":"844-850","volume":"291","issue":"7","source":"NCBI PubMed","abstract":"CONTEXT: Kidney disease is associated with an increased risk for the development of cardiovascular disease and end-stage renal disease; however, risk factors for kidney disease have not been well studied.\nOBJECTIVE: To identify predictors of the development of new-onset kidney disease.\nDESIGN, SETTING, AND PARTICIPANTS: A community-based, longitudinal cohort study of 2585 participants who attended both a baseline examination in 1978-1982 and a follow-up examination in 1998-2001, and who were free of kidney disease at baseline.\nMAIN OUTCOME MEASURES: Kidney disease was assessed by the Modification of Diet in Renal Disease Study equation and defined by a glomerular filtration rate (GFR) in the fifth or lower percentile (&lt; or =59.25 mL/min per 1.73 m2 in women, &lt; or =64.25 mL/min per 1.73 m2 in men). Stepwise logistic regression was used to determine the impact of risk factors on the occurrence of new-onset kidney disease. Baseline and long-term, 12-year, averaged risk factor models were explored.\nRESULTS: At baseline, there were 1223 men and 1362 women, with a mean age of 43 years, who were free of preexisting kidney disease. After a mean follow-up of 18.5 years, 244 participants (9.4%) had developed kidney disease. In multivariable models, baseline age (odds ratio [OR], 2.36 per 10-year increment; 95% confidence interval [CI], 2.00-2.78), GFR (&lt;90 mL/min per 1.73 m2: OR, 3.01; 95% CI, 1.98-4.58; 90-119 mL/min per 1.73 m2: OR, 1.84; 95% CI, 1.16-2.93), body mass index (OR, 1.23 per 1 SD; 95% CI, 1.08-1.41), diabetes (OR, 2.60; 95% CI, 1.44-4.70), and smoking (OR, 1.42; 95% CI, 1.06-1.91) were related to the development of kidney disease. In addition to baseline age and GFR, the long-term, averaged risk factors that were predictive of kidney disease included hypertension (OR, 1.57; 95% CI, 1.17-2.12), high-density lipoprotein cholesterol level (OR, 0.80 per 1 SD; 95% CI, 0.69-0.92), and diabetes (OR, 2.38; 95% CI, 1.45-3.92). Compared with a normal GFR (&gt; or =120 mL/min per 1.73 m2), a mildly reduced GFR (&lt;90 mL/min per 1.73 m2) predicted a 3-fold odds of progression to kidney disease (OR, 2.95; 95% CI, 1.94-4.49).\nCONCLUSIONS: Established cardiovascular disease risk factors are associated with the development of new-onset kidney disease. Patients with a mildly reduced GFR should be monitored for progression to kidney disease.","DOI":"10.1001/jama.291.7.844","ISSN":"1538-3598","note":"PMID: 14970063","journalAbbreviation":"JAMA","language":"eng","author":[{"family":"Fox","given":"Caroline S."},{"family":"Larson","given":"Martin G."},{"family":"Leip","given":"Eric P."},{"family":"Culleton","given":"Bruce"},{"family":"Wilson","given":"Peter W. F."},{"family":"Levy","given":"Daniel"}],"issued":{"date-parts":[["2004",2]]},"PMID":"14970063"},"label":"page"},{"id":1121,"uris":["http://zotero.org/users/2405774/items/E72VSP9S"],"uri":["http://zotero.org/users/2405774/items/E72VSP9S"],"itemData":{"id":1121,"type":"article-journal","title":"Body mass index and the risk of development of end-stage renal disease in a screened cohort","container-title":"Kidney International","page":"1870-1876","volume":"65","issue":"5","source":"NCBI PubMed","abstract":"BACKGROUND: Obesity is associated with proteinuria and could be a risk factor for end-stage renal disease (ESRD). However, few studies have examined the significance of body mass index (BMI) as a risk factor for the development of ESRD in the general population.\nMETHODS: We examined the relationship between BMI and the development of ESRD using data from a 1983 community-based screening in Okinawa, Japan. Screenees who developed ESRD by the end of 2000 were identified through the Okinawa Dialysis Study registry. BMI data were available for 100,753 screenees (47,504 men and 53,249 women) aged &gt;/=20 years. The cumulative incidence of ESRD was analyzed according to the quartile of BMI: &lt;21.0, 21.0 to 23.1, 23.2 to 25.4, and &gt;/=25.5 kg/m(2).\nRESULTS: The mean (SD) BMI of the screenees was 23.4 (3.3) kg/m(2) (range 7.9 to 59.1 kg/m(2)); the mean was 23.4 kg/m(2) for both men and women. During the follow-up period, 404 screenees (232 men and 172 women) developed ESRD. The cumulative incidences of ESRD per 1000 screenees were, from the lowest to highest BMI quartile, 2.48, 3.79, 3.86, and 5.81. The odds ratio (95% CI) of BMI for developing ESRD, after adjustment for age, sex, systolic blood pressure, and proteinuria, was 1.273 (1.121-1.446, P= 0.0002) for men and 0.950 (0.825-1.094, not significant) for women.\nCONCLUSION: We found that BMI was associated with an increased risk of the development of ESRD in men in the general population in Okinawa. The maintenance of optimal body weight may reduce the risk of ESRD.","DOI":"10.1111/j.1523-1755.2004.00582.x","ISSN":"0085-2538","note":"PMID: 15086929","journalAbbreviation":"Kidney Int.","language":"eng","author":[{"family":"Iseki","given":"Kunitoshi"},{"family":"Ikemiya","given":"Yoshiharu"},{"family":"Kinjo","given":"Kozen"},{"family":"Inoue","given":"Taku"},{"family":"Iseki","given":"Chiho"},{"family":"Takishita","given":"Shuichi"}],"issued":{"date-parts":[["2004",5]]},"PMID":"15086929"},"label":"page"}],"schema":"https://github.com/citation-style-language/schema/raw/master/csl-citation.json"} </w:instrText>
      </w:r>
      <w:r w:rsidR="00777D1E" w:rsidRPr="0086281A">
        <w:rPr>
          <w:rFonts w:ascii="Calibri" w:hAnsi="Calibri" w:cs="Times"/>
          <w:lang w:val="en-GB"/>
        </w:rPr>
        <w:fldChar w:fldCharType="separate"/>
      </w:r>
      <w:r w:rsidR="000B0A94" w:rsidRPr="0086281A">
        <w:rPr>
          <w:rFonts w:ascii="Calibri" w:hAnsi="Calibri"/>
          <w:lang w:val="en-GB"/>
        </w:rPr>
        <w:t>(5–7)</w:t>
      </w:r>
      <w:r w:rsidR="00777D1E" w:rsidRPr="0086281A">
        <w:rPr>
          <w:rFonts w:ascii="Calibri" w:hAnsi="Calibri" w:cs="Times"/>
          <w:lang w:val="en-GB"/>
        </w:rPr>
        <w:fldChar w:fldCharType="end"/>
      </w:r>
      <w:r w:rsidR="00D40856" w:rsidRPr="0086281A">
        <w:rPr>
          <w:rFonts w:ascii="Calibri" w:eastAsiaTheme="minorHAnsi" w:hAnsi="Calibri"/>
          <w:iCs/>
          <w:lang w:val="en-GB" w:eastAsia="en-US"/>
        </w:rPr>
        <w:t>.</w:t>
      </w:r>
      <w:r w:rsidR="004E79B7" w:rsidRPr="0086281A">
        <w:rPr>
          <w:rFonts w:ascii="Calibri" w:eastAsiaTheme="minorHAnsi" w:hAnsi="Calibri"/>
          <w:iCs/>
          <w:lang w:val="en-GB" w:eastAsia="en-US"/>
        </w:rPr>
        <w:t xml:space="preserve"> Studies reported that </w:t>
      </w:r>
      <w:r w:rsidR="004133DA">
        <w:rPr>
          <w:rFonts w:ascii="Calibri" w:eastAsiaTheme="minorHAnsi" w:hAnsi="Calibri"/>
          <w:iCs/>
          <w:lang w:val="en-GB" w:eastAsia="en-US"/>
        </w:rPr>
        <w:t>an</w:t>
      </w:r>
      <w:r w:rsidR="004E79B7" w:rsidRPr="0086281A">
        <w:rPr>
          <w:rFonts w:ascii="Calibri" w:eastAsiaTheme="minorHAnsi" w:hAnsi="Calibri"/>
          <w:iCs/>
          <w:lang w:val="en-GB" w:eastAsia="en-US"/>
        </w:rPr>
        <w:t xml:space="preserve"> increased BMI </w:t>
      </w:r>
      <w:r w:rsidR="00EF530B" w:rsidRPr="0086281A">
        <w:rPr>
          <w:rFonts w:ascii="Calibri" w:eastAsiaTheme="minorHAnsi" w:hAnsi="Calibri"/>
          <w:iCs/>
          <w:lang w:val="en-GB" w:eastAsia="en-US"/>
        </w:rPr>
        <w:t>w</w:t>
      </w:r>
      <w:r w:rsidR="004133DA">
        <w:rPr>
          <w:rFonts w:ascii="Calibri" w:eastAsiaTheme="minorHAnsi" w:hAnsi="Calibri"/>
          <w:iCs/>
          <w:lang w:val="en-GB" w:eastAsia="en-US"/>
        </w:rPr>
        <w:t>as associated with an increased</w:t>
      </w:r>
      <w:r w:rsidR="00EF530B" w:rsidRPr="0086281A">
        <w:rPr>
          <w:rFonts w:ascii="Calibri" w:eastAsiaTheme="minorHAnsi" w:hAnsi="Calibri"/>
          <w:iCs/>
          <w:lang w:val="en-GB" w:eastAsia="en-US"/>
        </w:rPr>
        <w:t xml:space="preserve"> risk </w:t>
      </w:r>
      <w:r w:rsidR="004E79B7" w:rsidRPr="0086281A">
        <w:rPr>
          <w:rFonts w:ascii="Calibri" w:eastAsiaTheme="minorHAnsi" w:hAnsi="Calibri"/>
          <w:iCs/>
          <w:lang w:val="en-GB" w:eastAsia="en-US"/>
        </w:rPr>
        <w:t xml:space="preserve">of end stage renal disease (ESRD) </w:t>
      </w:r>
      <w:r w:rsidR="00777D1E" w:rsidRPr="0086281A">
        <w:rPr>
          <w:rFonts w:ascii="Calibri" w:eastAsiaTheme="minorHAnsi" w:hAnsi="Calibri"/>
          <w:iCs/>
          <w:lang w:val="en-GB" w:eastAsia="en-US"/>
        </w:rPr>
        <w:fldChar w:fldCharType="begin"/>
      </w:r>
      <w:r w:rsidR="005D00AF" w:rsidRPr="0086281A">
        <w:rPr>
          <w:rFonts w:ascii="Calibri" w:eastAsiaTheme="minorHAnsi" w:hAnsi="Calibri"/>
          <w:iCs/>
          <w:lang w:val="en-GB" w:eastAsia="en-US"/>
        </w:rPr>
        <w:instrText xml:space="preserve"> ADDIN ZOTERO_ITEM CSL_CITATION {"citationID":"mnau41ti2","properties":{"formattedCitation":"(5,7,8)","plainCitation":"(5,7,8)"},"citationItems":[{"id":1121,"uris":["http://zotero.org/users/2405774/items/E72VSP9S"],"uri":["http://zotero.org/users/2405774/items/E72VSP9S"],"itemData":{"id":1121,"type":"article-journal","title":"Body mass index and the risk of development of end-stage renal disease in a screened cohort","container-title":"Kidney International","page":"1870-1876","volume":"65","issue":"5","source":"NCBI PubMed","abstract":"BACKGROUND: Obesity is associated with proteinuria and could be a risk factor for end-stage renal disease (ESRD). However, few studies have examined the significance of body mass index (BMI) as a risk factor for the development of ESRD in the general population.\nMETHODS: We examined the relationship between BMI and the development of ESRD using data from a 1983 community-based screening in Okinawa, Japan. Screenees who developed ESRD by the end of 2000 were identified through the Okinawa Dialysis Study registry. BMI data were available for 100,753 screenees (47,504 men and 53,249 women) aged &gt;/=20 years. The cumulative incidence of ESRD was analyzed according to the quartile of BMI: &lt;21.0, 21.0 to 23.1, 23.2 to 25.4, and &gt;/=25.5 kg/m(2).\nRESULTS: The mean (SD) BMI of the screenees was 23.4 (3.3) kg/m(2) (range 7.9 to 59.1 kg/m(2)); the mean was 23.4 kg/m(2) for both men and women. During the follow-up period, 404 screenees (232 men and 172 women) developed ESRD. The cumulative incidences of ESRD per 1000 screenees were, from the lowest to highest BMI quartile, 2.48, 3.79, 3.86, and 5.81. The odds ratio (95% CI) of BMI for developing ESRD, after adjustment for age, sex, systolic blood pressure, and proteinuria, was 1.273 (1.121-1.446, P= 0.0002) for men and 0.950 (0.825-1.094, not significant) for women.\nCONCLUSION: We found that BMI was associated with an increased risk of the development of ESRD in men in the general population in Okinawa. The maintenance of optimal body weight may reduce the risk of ESRD.","DOI":"10.1111/j.1523-1755.2004.00582.x","ISSN":"0085-2538","note":"PMID: 15086929","journalAbbreviation":"Kidney Int.","language":"eng","author":[{"family":"Iseki","given":"Kunitoshi"},{"family":"Ikemiya","given":"Yoshiharu"},{"family":"Kinjo","given":"Kozen"},{"family":"Inoue","given":"Taku"},{"family":"Iseki","given":"Chiho"},{"family":"Takishita","given":"Shuichi"}],"issued":{"date-parts":[["2004",5]]},"PMID":"15086929"},"label":"page"},{"id":1117,"uris":["http://zotero.org/users/2405774/items/AH7HP9QB"],"uri":["http://zotero.org/users/2405774/items/AH7HP9QB"],"itemData":{"id":1117,"type":"article-journal","title":"Association between body mass index and CKD in apparently healthy men","container-title":"American Journal of Kidney Diseases","page":"871-880","volume":"46","issue":"5","source":"NCBI PubMed","abstract":"BACKGROUND: Overweight and obesity are well-established risk factors for cardiovascular disease and decline in kidney function in individuals with existing chronic kidney disease (CKD). Conversely, their association with the development of CKD is less clear.\nMETHODS: We evaluated the association between body mass index (BMI) and risk for CKD in a cohort of 11,104 initially healthy men who participated in the Physicians' Health Study and provided a blood sample after 14 years. BMI was calculated from self-reported weight and height. We estimated glomerular filtration rate (GFR) by using the abbreviated equation from the Modification of Diet in Renal Disease Study and defined CKD as GFR less than 60 mL/min/1.73 m2 (&lt;1 mL/s/1.73 m2).\nRESULTS: After an average 14-year follow-up, 1,377 participants (12.4%) had a GFR less than 60 mL/min/1.73 m2 (&lt;1 mL/s/1.73 m2). Higher baseline BMI was associated consistently with increased risk for CKD. Compared with participants in the lowest BMI quintile (&lt;22.7 kg/m2), those in the highest quintile (&gt;26.6 kg/m2) had an odds ratio (OR) of 1.45 (95% confidence interval [CI], 1.19 to 1.76; P trend &lt;0.001) after adjusting for potential confounders. We found similar associations by using different categories of BMI. Compared with men who remained within a +/-5% range of their baseline BMI, those who reported a BMI increase greater than 10% had a significant increase in risk for CKD (OR, 1.27; 95% CI, 1.06 to 1.53).\nCONCLUSION: In this large cohort of initially healthy men, BMI was associated significantly with increased risk for CKD after 14 years. Strategies to decrease CKD risk might include prevention of overweight and obesity.","DOI":"10.1053/j.ajkd.2005.08.015","ISSN":"1523-6838","note":"PMID: 16253727","journalAbbreviation":"Am. J. Kidney Dis.","language":"eng","author":[{"family":"Gelber","given":"Rebecca P."},{"family":"Kurth","given":"Tobias"},{"family":"Kausz","given":"Annamaria T."},{"family":"Manson","given":"Joann E."},{"family":"Buring","given":"Julie E."},{"family":"Levey","given":"Andrew S."},{"family":"Gaziano","given":"J. Michael"}],"issued":{"date-parts":[["2005",11]]},"PMID":"16253727"},"label":"page"},{"id":1119,"uris":["http://zotero.org/users/2405774/items/PNKQPMNB"],"uri":["http://zotero.org/users/2405774/items/PNKQPMNB"],"itemData":{"id":1119,"type":"article-journal","title":"Body mass index and risk for end-stage renal disease","container-title":"Annals of Internal Medicine","page":"21-28","volume":"144","issue":"1","source":"NCBI PubMed","abstract":"BACKGROUND: Although interest in the relationship between obesity and kidney disease is increasing, few epidemiologic studies have examined whether excess weight is an independent risk factor for end-stage renal disease (ESRD).\nOBJECTIVE: To determine the association between increased body mass index (BMI) and risk for ESRD.\nDESIGN: Historical (nonconcurrent) cohort study.\nSETTING: A large integrated health care delivery system in northern California.\nPARTICIPANTS: 320,252 adult members of Kaiser Permanente who volunteered for screening health checkups between 1964 and 1985 and who had height and weight measured.\nMEASUREMENTS: The authors ascertained ESRD cases by matching data with the U.S. Renal Data System registry through 2000.\nRESULTS: A total of 1471 cases of ESRD occurred during 8,347,955 person-years of follow-up. Higher BMI was a risk factor for ESRD in multivariable models that adjusted for age, sex, race, education level, smoking status, history of myocardial infarction, serum cholesterol level, urinalysis proteinuria, urinalysis hematuria, and serum creatinine level. Compared with persons who had normal weight (BMI, 18.5 to 24.9 kg/m2), the adjusted relative risk for ESRD was 1.87 (95% CI, 1.64 to 2.14) for those who were overweight (BMI, 25.0 to 29.9 kg/m2), 3.57 (CI, 3.05 to 4.18) for those with class I obesity (BMI, 30.0 to 34.9 kg/m2), 6.12 (CI, 4.97 to 7.54) for those with class II obesity (BMI, 35.0 to 39.9 kg/m2), and 7.07 (CI, 5.37 to 9.31) for those with extreme obesity (BMI &gt; or = 40 kg/m2). Higher baseline BMI remained an independent predictor for ESRD after additional adjustments for baseline blood pressure level and presence or absence of diabetes mellitus.\nLIMITATIONS: Primary analyses were based on single measurements of exposures.\nCONCLUSIONS: High BMI is a common, strong, and potentially modifiable risk factor for ESRD.","ISSN":"1539-3704","note":"PMID: 16389251","journalAbbreviation":"Ann. Intern. Med.","language":"eng","author":[{"family":"Hsu","given":"Chi-yuan"},{"family":"McCulloch","given":"Charles E."},{"family":"Iribarren","given":"Carlos"},{"family":"Darbinian","given":"Jeanne"},{"family":"Go","given":"Alan S."}],"issued":{"date-parts":[["2006",1]]},"PMID":"16389251"},"label":"page"}],"schema":"https://github.com/citation-style-language/schema/raw/master/csl-citation.json"} </w:instrText>
      </w:r>
      <w:r w:rsidR="00777D1E" w:rsidRPr="0086281A">
        <w:rPr>
          <w:rFonts w:ascii="Calibri" w:eastAsiaTheme="minorHAnsi" w:hAnsi="Calibri"/>
          <w:iCs/>
          <w:lang w:val="en-GB" w:eastAsia="en-US"/>
        </w:rPr>
        <w:fldChar w:fldCharType="separate"/>
      </w:r>
      <w:r w:rsidR="000B0A94" w:rsidRPr="0086281A">
        <w:rPr>
          <w:rFonts w:ascii="Calibri" w:hAnsi="Calibri"/>
          <w:lang w:val="en-GB"/>
        </w:rPr>
        <w:t>(5,7,8)</w:t>
      </w:r>
      <w:r w:rsidR="00777D1E" w:rsidRPr="0086281A">
        <w:rPr>
          <w:rFonts w:ascii="Calibri" w:eastAsiaTheme="minorHAnsi" w:hAnsi="Calibri"/>
          <w:iCs/>
          <w:lang w:val="en-GB" w:eastAsia="en-US"/>
        </w:rPr>
        <w:fldChar w:fldCharType="end"/>
      </w:r>
      <w:r w:rsidR="004E79B7" w:rsidRPr="0086281A">
        <w:rPr>
          <w:rFonts w:ascii="Calibri" w:eastAsiaTheme="minorHAnsi" w:hAnsi="Calibri"/>
          <w:iCs/>
          <w:lang w:val="en-GB" w:eastAsia="en-US"/>
        </w:rPr>
        <w:t>.</w:t>
      </w:r>
      <w:r w:rsidR="00D40856" w:rsidRPr="0086281A">
        <w:rPr>
          <w:rFonts w:ascii="Calibri" w:eastAsiaTheme="minorHAnsi" w:hAnsi="Calibri"/>
          <w:iCs/>
          <w:lang w:val="en-GB" w:eastAsia="en-US"/>
        </w:rPr>
        <w:t xml:space="preserve"> </w:t>
      </w:r>
      <w:r w:rsidR="005D2644" w:rsidRPr="0086281A">
        <w:rPr>
          <w:rFonts w:ascii="Calibri" w:eastAsiaTheme="minorHAnsi" w:hAnsi="Calibri"/>
          <w:iCs/>
          <w:lang w:val="en-GB" w:eastAsia="en-US"/>
        </w:rPr>
        <w:t>The association of obesity with the rate of progres</w:t>
      </w:r>
      <w:r w:rsidR="0069690F" w:rsidRPr="0086281A">
        <w:rPr>
          <w:rFonts w:ascii="Calibri" w:eastAsiaTheme="minorHAnsi" w:hAnsi="Calibri"/>
          <w:iCs/>
          <w:lang w:val="en-GB" w:eastAsia="en-US"/>
        </w:rPr>
        <w:t xml:space="preserve">sion of </w:t>
      </w:r>
      <w:r w:rsidR="00727535">
        <w:rPr>
          <w:rFonts w:ascii="Calibri" w:eastAsiaTheme="minorHAnsi" w:hAnsi="Calibri"/>
          <w:iCs/>
          <w:lang w:val="en-GB" w:eastAsia="en-US"/>
        </w:rPr>
        <w:t>chronic kidney disease (</w:t>
      </w:r>
      <w:r w:rsidR="005D2644" w:rsidRPr="0086281A">
        <w:rPr>
          <w:rFonts w:ascii="Calibri" w:eastAsiaTheme="minorHAnsi" w:hAnsi="Calibri"/>
          <w:iCs/>
          <w:lang w:val="en-GB" w:eastAsia="en-US"/>
        </w:rPr>
        <w:t>CKD</w:t>
      </w:r>
      <w:r w:rsidR="00727535">
        <w:rPr>
          <w:rFonts w:ascii="Calibri" w:eastAsiaTheme="minorHAnsi" w:hAnsi="Calibri"/>
          <w:iCs/>
          <w:lang w:val="en-GB" w:eastAsia="en-US"/>
        </w:rPr>
        <w:t>)</w:t>
      </w:r>
      <w:r w:rsidR="005D2644" w:rsidRPr="0086281A">
        <w:rPr>
          <w:rFonts w:ascii="Calibri" w:eastAsiaTheme="minorHAnsi" w:hAnsi="Calibri"/>
          <w:iCs/>
          <w:lang w:val="en-GB" w:eastAsia="en-US"/>
        </w:rPr>
        <w:t xml:space="preserve"> is assumed to be related to</w:t>
      </w:r>
      <w:r w:rsidR="008730C9" w:rsidRPr="0086281A">
        <w:rPr>
          <w:rFonts w:ascii="Calibri" w:eastAsiaTheme="minorHAnsi" w:hAnsi="Calibri"/>
          <w:iCs/>
          <w:lang w:val="en-GB" w:eastAsia="en-US"/>
        </w:rPr>
        <w:t xml:space="preserve"> many different</w:t>
      </w:r>
      <w:r w:rsidR="005D2644" w:rsidRPr="0086281A">
        <w:rPr>
          <w:rFonts w:ascii="Calibri" w:eastAsiaTheme="minorHAnsi" w:hAnsi="Calibri"/>
          <w:iCs/>
          <w:lang w:val="en-GB" w:eastAsia="en-US"/>
        </w:rPr>
        <w:t xml:space="preserve"> </w:t>
      </w:r>
      <w:r w:rsidR="004F6334" w:rsidRPr="0086281A">
        <w:rPr>
          <w:rFonts w:ascii="Calibri" w:eastAsiaTheme="minorHAnsi" w:hAnsi="Calibri"/>
          <w:iCs/>
          <w:lang w:val="en-GB" w:eastAsia="en-US"/>
        </w:rPr>
        <w:t>factors</w:t>
      </w:r>
      <w:r w:rsidR="005D2644" w:rsidRPr="0086281A">
        <w:rPr>
          <w:rFonts w:ascii="Calibri" w:eastAsiaTheme="minorHAnsi" w:hAnsi="Calibri"/>
          <w:iCs/>
          <w:lang w:val="en-GB" w:eastAsia="en-US"/>
        </w:rPr>
        <w:t xml:space="preserve"> </w:t>
      </w:r>
      <w:r w:rsidR="008730C9" w:rsidRPr="0086281A">
        <w:rPr>
          <w:rFonts w:ascii="Calibri" w:eastAsiaTheme="minorHAnsi" w:hAnsi="Calibri"/>
          <w:iCs/>
          <w:lang w:val="en-GB" w:eastAsia="en-US"/>
        </w:rPr>
        <w:t>including, among others</w:t>
      </w:r>
      <w:r w:rsidR="009937F8" w:rsidRPr="0086281A">
        <w:rPr>
          <w:rFonts w:ascii="Calibri" w:eastAsiaTheme="minorHAnsi" w:hAnsi="Calibri"/>
          <w:iCs/>
          <w:lang w:val="en-GB" w:eastAsia="en-US"/>
        </w:rPr>
        <w:t>,</w:t>
      </w:r>
      <w:r w:rsidR="008730C9" w:rsidRPr="0086281A">
        <w:rPr>
          <w:rFonts w:ascii="Calibri" w:eastAsiaTheme="minorHAnsi" w:hAnsi="Calibri"/>
          <w:iCs/>
          <w:lang w:val="en-GB" w:eastAsia="en-US"/>
        </w:rPr>
        <w:t xml:space="preserve"> </w:t>
      </w:r>
      <w:r w:rsidR="005D2644" w:rsidRPr="0086281A">
        <w:rPr>
          <w:rFonts w:ascii="Calibri" w:eastAsiaTheme="minorHAnsi" w:hAnsi="Calibri"/>
          <w:iCs/>
          <w:lang w:val="en-GB" w:eastAsia="en-US"/>
        </w:rPr>
        <w:t>hyperfiltration, glomerular hypertension</w:t>
      </w:r>
      <w:r w:rsidR="00D40856" w:rsidRPr="0086281A">
        <w:rPr>
          <w:rFonts w:ascii="Calibri" w:eastAsiaTheme="minorHAnsi" w:hAnsi="Calibri"/>
          <w:iCs/>
          <w:lang w:val="en-GB" w:eastAsia="en-US"/>
        </w:rPr>
        <w:t xml:space="preserve"> and </w:t>
      </w:r>
      <w:r w:rsidR="00536A8E" w:rsidRPr="0086281A">
        <w:rPr>
          <w:rFonts w:ascii="Calibri" w:eastAsiaTheme="minorHAnsi" w:hAnsi="Calibri"/>
          <w:iCs/>
          <w:lang w:val="en-GB" w:eastAsia="en-US"/>
        </w:rPr>
        <w:t>over</w:t>
      </w:r>
      <w:r w:rsidR="008730C9" w:rsidRPr="0086281A">
        <w:rPr>
          <w:rFonts w:ascii="Calibri" w:eastAsiaTheme="minorHAnsi" w:hAnsi="Calibri"/>
          <w:iCs/>
          <w:lang w:val="en-GB" w:eastAsia="en-US"/>
        </w:rPr>
        <w:t>-</w:t>
      </w:r>
      <w:r w:rsidR="00D40856" w:rsidRPr="0086281A">
        <w:rPr>
          <w:rFonts w:ascii="Calibri" w:eastAsiaTheme="minorHAnsi" w:hAnsi="Calibri"/>
          <w:iCs/>
          <w:lang w:val="en-GB" w:eastAsia="en-US"/>
        </w:rPr>
        <w:t>activat</w:t>
      </w:r>
      <w:r w:rsidR="00153880" w:rsidRPr="0086281A">
        <w:rPr>
          <w:rFonts w:ascii="Calibri" w:eastAsiaTheme="minorHAnsi" w:hAnsi="Calibri"/>
          <w:iCs/>
          <w:lang w:val="en-GB" w:eastAsia="en-US"/>
        </w:rPr>
        <w:t>ion</w:t>
      </w:r>
      <w:r w:rsidR="00D40856" w:rsidRPr="0086281A">
        <w:rPr>
          <w:rFonts w:ascii="Calibri" w:eastAsiaTheme="minorHAnsi" w:hAnsi="Calibri"/>
          <w:iCs/>
          <w:lang w:val="en-GB" w:eastAsia="en-US"/>
        </w:rPr>
        <w:t xml:space="preserve"> </w:t>
      </w:r>
      <w:r w:rsidR="000A1220" w:rsidRPr="0086281A">
        <w:rPr>
          <w:rFonts w:ascii="Calibri" w:eastAsiaTheme="minorHAnsi" w:hAnsi="Calibri"/>
          <w:iCs/>
          <w:lang w:val="en-GB" w:eastAsia="en-US"/>
        </w:rPr>
        <w:t xml:space="preserve">of the </w:t>
      </w:r>
      <w:r w:rsidR="00D40856" w:rsidRPr="0086281A">
        <w:rPr>
          <w:rFonts w:ascii="Calibri" w:eastAsiaTheme="minorHAnsi" w:hAnsi="Calibri"/>
          <w:iCs/>
          <w:lang w:val="en-GB" w:eastAsia="en-US"/>
        </w:rPr>
        <w:t>renin-angiotensin system</w:t>
      </w:r>
      <w:r w:rsidR="0069690F" w:rsidRPr="0086281A">
        <w:rPr>
          <w:rFonts w:ascii="Calibri" w:eastAsiaTheme="minorHAnsi" w:hAnsi="Calibri"/>
          <w:iCs/>
          <w:lang w:val="en-GB" w:eastAsia="en-US"/>
        </w:rPr>
        <w:t xml:space="preserve"> (RAS)</w:t>
      </w:r>
      <w:r w:rsidR="00241F6A" w:rsidRPr="0086281A">
        <w:rPr>
          <w:rFonts w:ascii="Calibri" w:eastAsiaTheme="minorHAnsi" w:hAnsi="Calibri"/>
          <w:iCs/>
          <w:lang w:val="en-GB" w:eastAsia="en-US"/>
        </w:rPr>
        <w:t xml:space="preserve"> </w:t>
      </w:r>
      <w:r w:rsidR="00777D1E" w:rsidRPr="0086281A">
        <w:rPr>
          <w:rFonts w:ascii="Calibri" w:eastAsiaTheme="minorHAnsi" w:hAnsi="Calibri"/>
          <w:iCs/>
          <w:lang w:val="en-GB" w:eastAsia="en-US"/>
        </w:rPr>
        <w:fldChar w:fldCharType="begin"/>
      </w:r>
      <w:r w:rsidR="005D00AF" w:rsidRPr="0086281A">
        <w:rPr>
          <w:rFonts w:ascii="Calibri" w:eastAsiaTheme="minorHAnsi" w:hAnsi="Calibri"/>
          <w:iCs/>
          <w:lang w:val="en-GB" w:eastAsia="en-US"/>
        </w:rPr>
        <w:instrText xml:space="preserve"> ADDIN ZOTERO_ITEM CSL_CITATION {"citationID":"b629j9lus","properties":{"formattedCitation":"(9)","plainCitation":"(9)"},"citationItems":[{"id":1133,"uris":["http://zotero.org/users/2405774/items/QRK5NFH6"],"uri":["http://zotero.org/users/2405774/items/QRK5NFH6"],"itemData":{"id":1133,"type":"article-journal","title":"Hypertension, hyperlipidemia, and abdominal obesity and the development of microalbuminuria in patients with non-insulin-dependent diabetes mellitus","container-title":"The Journal of the American Board of Family Practice","page":"1-6","volume":"9","issue":"1","source":"NCBI PubMed","abstract":"BACKGROUND: The hyperlipidemia syndrome (also called syndrome X or the deadly quartet) is a recognized constellation known to increase cardiovascular mortality, but its effect on renal decline is not well-described. This study examined the differential effects of hypertension, hyperlipidemia, and abdominal obesity on overnight urinary albumin excretion ratios (UAERs) among patients with non-insulin-dependent diabetes mellitus (NIDDM), who by definition possess the remaining component of the syndrome, insulin resistance.\nMETHODS: We conducted a survey of 317 primary care NIDDM patients measuring waist-to-hip ratios, fasting lipid levels and glycemic values, and overnight UAERs. The study was carried out between January 1989 and June 1991.\nRESULTS: Using logistic regression controlling for age, race, sex, duration of NIDDM, and smoking status, elevated glycosylated hemoglobin (odds ratio [OR] = 1.95, 95 percent confidence interval [CI] = 1.16-3.27) or the addition of one component of the deadly quartet to pure diabetes doubled or tripled the odds of an elevated UAER (NIDDM plus obesity OR = 2.00, 95 percent CI = 1.02-3.93; NIDDM plus hypertension OR = 3.45, 95 percent CI = 1.38-8.63; NIDDM plus hyperlipidemia OR = 1.60, 95 percent CI = 0.53-4.81). In a dose-response manner, two additional factors exerted additive effects; all three additional factors combined with pure NIDDM multiplied the effect, with an odds ratio of 9.34 (95 percent CI = 2.24-38.9).\nCONCLUSIONS: These data quantify the incremental effects of abdominal obesity, hypertension, and hyperlipidemia on abnormal UAERs among NIDDM patients and strongly suggest the need for aggressive and simultaneous correction of multiple risk factors to prevent end organ damage in this population.","ISSN":"0893-8652","note":"PMID: 8770803","journalAbbreviation":"J Am Board Fam Pract","language":"eng","author":[{"family":"Spangler","given":"J. G."},{"family":"Konen","given":"J. C."}],"issued":{"date-parts":[["1996",2]]},"PMID":"8770803"}}],"schema":"https://github.com/citation-style-language/schema/raw/master/csl-citation.json"} </w:instrText>
      </w:r>
      <w:r w:rsidR="00777D1E" w:rsidRPr="0086281A">
        <w:rPr>
          <w:rFonts w:ascii="Calibri" w:eastAsiaTheme="minorHAnsi" w:hAnsi="Calibri"/>
          <w:iCs/>
          <w:lang w:val="en-GB" w:eastAsia="en-US"/>
        </w:rPr>
        <w:fldChar w:fldCharType="separate"/>
      </w:r>
      <w:r w:rsidR="005D2644" w:rsidRPr="0086281A">
        <w:rPr>
          <w:rFonts w:ascii="Calibri" w:eastAsiaTheme="minorHAnsi" w:hAnsi="Calibri"/>
          <w:iCs/>
          <w:noProof/>
          <w:lang w:val="en-GB" w:eastAsia="en-US"/>
        </w:rPr>
        <w:t>(9)</w:t>
      </w:r>
      <w:r w:rsidR="00777D1E" w:rsidRPr="0086281A">
        <w:rPr>
          <w:rFonts w:ascii="Calibri" w:eastAsiaTheme="minorHAnsi" w:hAnsi="Calibri"/>
          <w:iCs/>
          <w:lang w:val="en-GB" w:eastAsia="en-US"/>
        </w:rPr>
        <w:fldChar w:fldCharType="end"/>
      </w:r>
      <w:r w:rsidR="00D40856" w:rsidRPr="0086281A">
        <w:rPr>
          <w:rFonts w:ascii="Calibri" w:eastAsiaTheme="minorHAnsi" w:hAnsi="Calibri"/>
          <w:iCs/>
          <w:lang w:val="en-GB" w:eastAsia="en-US"/>
        </w:rPr>
        <w:t>.</w:t>
      </w:r>
      <w:r w:rsidR="00F87B56">
        <w:rPr>
          <w:rFonts w:ascii="Calibri" w:eastAsiaTheme="minorHAnsi" w:hAnsi="Calibri"/>
          <w:iCs/>
          <w:lang w:val="en-GB" w:eastAsia="en-US"/>
        </w:rPr>
        <w:t xml:space="preserve"> </w:t>
      </w:r>
      <w:r w:rsidR="00F87B56">
        <w:rPr>
          <w:rFonts w:ascii="Calibri" w:hAnsi="Calibri"/>
          <w:lang w:val="en-GB"/>
        </w:rPr>
        <w:t>E</w:t>
      </w:r>
      <w:r w:rsidR="00BE1320" w:rsidRPr="0086281A">
        <w:rPr>
          <w:rFonts w:ascii="Calibri" w:hAnsi="Calibri" w:cs="Times"/>
          <w:lang w:val="en-GB"/>
        </w:rPr>
        <w:t>stimating</w:t>
      </w:r>
      <w:r w:rsidR="00727535">
        <w:rPr>
          <w:rFonts w:ascii="Calibri" w:hAnsi="Calibri" w:cs="Times"/>
          <w:lang w:val="en-GB"/>
        </w:rPr>
        <w:t xml:space="preserve"> glomerular filtration rate</w:t>
      </w:r>
      <w:r w:rsidR="00BE1320" w:rsidRPr="0086281A">
        <w:rPr>
          <w:rFonts w:ascii="Calibri" w:hAnsi="Calibri" w:cs="Times"/>
          <w:lang w:val="en-GB"/>
        </w:rPr>
        <w:t xml:space="preserve"> </w:t>
      </w:r>
      <w:r w:rsidR="00727535">
        <w:rPr>
          <w:rFonts w:ascii="Calibri" w:hAnsi="Calibri" w:cs="Times"/>
          <w:lang w:val="en-GB"/>
        </w:rPr>
        <w:t>(</w:t>
      </w:r>
      <w:r w:rsidR="00BE1320" w:rsidRPr="0086281A">
        <w:rPr>
          <w:rFonts w:ascii="Calibri" w:hAnsi="Calibri" w:cs="Times"/>
          <w:lang w:val="en-GB"/>
        </w:rPr>
        <w:t>GFR</w:t>
      </w:r>
      <w:r w:rsidR="00727535">
        <w:rPr>
          <w:rFonts w:ascii="Calibri" w:hAnsi="Calibri" w:cs="Times"/>
          <w:lang w:val="en-GB"/>
        </w:rPr>
        <w:t>)</w:t>
      </w:r>
      <w:r w:rsidR="00BE1320" w:rsidRPr="0086281A">
        <w:rPr>
          <w:rFonts w:ascii="Calibri" w:hAnsi="Calibri" w:cs="Times"/>
          <w:lang w:val="en-GB"/>
        </w:rPr>
        <w:t xml:space="preserve"> in the obese population is challenging</w:t>
      </w:r>
      <w:r w:rsidR="00BE1320" w:rsidRPr="0086281A">
        <w:rPr>
          <w:rFonts w:ascii="Calibri" w:hAnsi="Calibri"/>
          <w:lang w:val="en-GB"/>
        </w:rPr>
        <w:t xml:space="preserve"> and </w:t>
      </w:r>
      <w:r w:rsidR="00153880" w:rsidRPr="0086281A">
        <w:rPr>
          <w:rFonts w:ascii="Calibri" w:hAnsi="Calibri"/>
          <w:lang w:val="en-GB"/>
        </w:rPr>
        <w:t xml:space="preserve">creatinine-based equations are </w:t>
      </w:r>
      <w:r w:rsidR="00BE1320" w:rsidRPr="0086281A">
        <w:rPr>
          <w:rFonts w:ascii="Calibri" w:hAnsi="Calibri"/>
          <w:lang w:val="en-GB"/>
        </w:rPr>
        <w:t>less</w:t>
      </w:r>
      <w:r w:rsidR="00153880" w:rsidRPr="0086281A">
        <w:rPr>
          <w:rFonts w:ascii="Calibri" w:hAnsi="Calibri"/>
          <w:lang w:val="en-GB"/>
        </w:rPr>
        <w:t xml:space="preserve"> accurate in this </w:t>
      </w:r>
      <w:r w:rsidR="00BE1320" w:rsidRPr="0086281A">
        <w:rPr>
          <w:rFonts w:ascii="Calibri" w:hAnsi="Calibri"/>
          <w:lang w:val="en-GB"/>
        </w:rPr>
        <w:t xml:space="preserve">specific </w:t>
      </w:r>
      <w:r w:rsidR="00153880" w:rsidRPr="0086281A">
        <w:rPr>
          <w:rFonts w:ascii="Calibri" w:hAnsi="Calibri"/>
          <w:lang w:val="en-GB"/>
        </w:rPr>
        <w:t>population</w:t>
      </w:r>
      <w:r w:rsidR="00727535">
        <w:rPr>
          <w:rFonts w:ascii="Calibri" w:hAnsi="Calibri"/>
          <w:lang w:val="en-GB"/>
        </w:rPr>
        <w:t xml:space="preserve">, </w:t>
      </w:r>
      <w:r w:rsidR="004133DA">
        <w:rPr>
          <w:rFonts w:ascii="Calibri" w:hAnsi="Calibri"/>
          <w:lang w:val="en-GB"/>
        </w:rPr>
        <w:t>as they have not been developed in an obese population specifically</w:t>
      </w:r>
      <w:r w:rsidR="00153880"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2njqmp3l8","properties":{"formattedCitation":"(10,11)","plainCitation":"(10,11)"},"citationItems":[{"id":1005,"uris":["http://zotero.org/users/2405774/items/43Z94I57"],"uri":["http://zotero.org/users/2405774/items/43Z94I57"],"itemData":{"id":1005,"type":"article-journal","title":"Modification of Diet in Renal Disease versus Chronic Kidney Disease Epidemiology Collaboration equation to estimate glomerular filtration rate in obese patients","container-title":"Nephrology, Dialysis, Transplantation","page":"122-130","volume":"28","issue":"Suppl 4","source":"NCBI PubMed","abstract":"BACKGROUND: Obesity is a recognized risk factor for both the development and progression of chronic kidney disease (CKD). Accurate estimation of glomerular filtration rate (GFR) is thus important in these patients. We tested the performances of two creatinine-based GFR estimates, the Modification of Diet in Renal Disease (MDRD) and the Chronic Kidney Disease Epidemiology Collaboration (CKD-EPI) equations, in an obese population.\nMETHODS: Patients with body mass index (BMI) &gt; 30 kg/m(2) were included. The reference method for measured GFR (mGFR) was (51)Cr-EDTA (single-injection method, two blood samples at 120 and 240 min). Both indexed and non-indexed results were considered. Serum creatinine was measured using the IDMS-traceable compensated Jaffe method. Mean bias (eGFR-mGFR), precision (SD around the bias) and accuracy within 30% (percentage of estimations within 30% of mGFR) were calculated for both equations.\nRESULTS: The population included 366 patients (185 women) from two different areas. Mean age was 55 ± 14 years, and mean BMI was 36 ± 7 kg/m(2). Mean mGFR was 56 ± 26 mL/min/1.73 m(2) (71 ± 35 mL/min without indexation). In the total population, mean bias was +1.9 ± 14.3 and +4.6 ± 14.7 mL/min/1.73 m(2) (P &lt; 0.05), and accuracy 30% was 80 and 76% for the MDRD and CKD-EPI equations (P &lt; 0.05), respectively. In patients with mGFR &gt; 60 mL/min/1.73 m(2), mean bias was +4.6 ± 18.4 and +9.3 ± 17.2 mL/min/1.73 m(2) (P &lt; 0.05), and accuracy 30% was 81 and 79% (NS) for the MDRD and CKD-EPI equations, respectively.\nCONCLUSIONS: The CKD-EPI equation did not outperform the MDRD study equation in this population of obese patients.","DOI":"10.1093/ndt/gft329","ISSN":"1460-2385","note":"PMID: 24026245","journalAbbreviation":"Nephrol. Dial. Transplant.","language":"eng","author":[{"family":"Bouquegneau","given":"Antoine"},{"family":"Vidal-Petiot","given":"Emmanuelle"},{"family":"Vrtovsnik","given":"François"},{"family":"Cavalier","given":"Etienne"},{"family":"Rorive","given":"Marcelle"},{"family":"Krzesinski","given":"Jean-Marie"},{"family":"Delanaye","given":"Pierre"},{"family":"Flamant","given":"Martin"}],"issued":{"date-parts":[["2013",11]]},"PMID":"24026245"},"label":"page"},{"id":993,"uris":["http://zotero.org/users/2405774/items/NNQNITST"],"uri":["http://zotero.org/users/2405774/items/NNQNITST"],"itemData":{"id":993,"type":"article-journal","title":"Accuracy of GFR estimation in obese patients","container-title":"Clinical journal of the American Society of Nephrology","page":"720-727","volume":"9","issue":"4","source":"NCBI PubMed","abstract":"BACKGROUND AND OBJECTIVES: Adequate estimation of renal function in obese patients is essential for the classification of patients in CKD category as well as the dose adjustment of drugs. However, the body size descriptor for GFR indexation is still debatable, and formulas are not validated in patients with extreme variations of weight.\nDESIGN, SETTING, PARTICIPANTS, &amp; MEASUREMENTS: This study included 209 stages 1-5 CKD obese patients referred to the Department of Renal Function Study at the University Hospital in Lyon between 2010 and 2013 because of suspected renal dysfunction. GFR was estimated with the Chronic Kidney Disease and Epidemiology equation (CKD-EPI) and measured with a gold standard method (inulin or iohexol) not indexed (mGFR) or indexed to body surface area determined by the Dubois and Dubois formula with either real (mGFRr) or ideal (mGFRi) body weight. Mean bias (eGFR-mGFR), precision, and accuracy of mGFR were compared with the results obtained for nonobese participants (body mass index between 18.5 and 24.9) who had a GFR measurement during the same period of time.\nRESULTS: Mean mGFRr (51.6 ± 24.2 ml/min per 1.73 m(2)) was significantly lower than mGFR, mGFRi, and eGFRCKD-EPI. eGFRCKD-EPI had less bias with mGFR (0.29; -1.7 to 2.3) and mGFRi (-1.62; -3.1 to 0.45) compared with mGFRr (8.7; 7 to 10). This result was confirmed with better accuracy for the whole cohort (78% for mGFR, 84% for mGFRi, and 72% for mGFRr) and participants with CKD stages 3-5. Moreover, the Bland Altman plot showed better agreement between mGFR and eGFRCKD-EPI. The bias between eGFRCKD-EPI and mGFRr was greater in obese than nonobese participants (8.7 versus 0.58, P&lt;0.001).\nCONCLUSIONS: This study shows that, in obese CKD patients, the performance of eGFRCKD-EPI is good for GFR ≤ 60 ml/min per 1.73 m(2). Indexation of mGFR with body surface area using ideal body weight gives less bias than mGFR scaled with body surface area using real body weight.","DOI":"10.2215/CJN.03610413","ISSN":"1555-905X","note":"PMID: 24482068 \nPMCID: PMC3974350","journalAbbreviation":"Clin J Am Soc Nephrol","language":"eng","author":[{"family":"Lemoine","given":"Sandrine"},{"family":"Guebre-Egziabher","given":"Fitsum"},{"family":"Sens","given":"Florence"},{"family":"Nguyen-Tu","given":"Marie-Sophie"},{"family":"Juillard","given":"Laurent"},{"family":"Dubourg","given":"Laurence"},{"family":"Hadj-Aissa","given":"Aoumeur"}],"issued":{"date-parts":[["2014",4]]},"PMID":"24482068","PMCID":"PMC3974350"},"label":"page"}],"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(10,11)</w:t>
      </w:r>
      <w:r w:rsidR="00777D1E" w:rsidRPr="0086281A">
        <w:rPr>
          <w:rFonts w:ascii="Calibri" w:hAnsi="Calibri"/>
          <w:lang w:val="en-GB"/>
        </w:rPr>
        <w:fldChar w:fldCharType="end"/>
      </w:r>
      <w:r w:rsidR="00CB48B9" w:rsidRPr="0086281A">
        <w:rPr>
          <w:rFonts w:ascii="Calibri" w:hAnsi="Calibri"/>
          <w:lang w:val="en-GB"/>
        </w:rPr>
        <w:t>.</w:t>
      </w:r>
      <w:r w:rsidR="0058758B" w:rsidRPr="0086281A">
        <w:rPr>
          <w:rFonts w:ascii="Calibri" w:hAnsi="Calibri" w:cs="Times"/>
          <w:lang w:val="en-GB"/>
        </w:rPr>
        <w:t xml:space="preserve"> </w:t>
      </w:r>
    </w:p>
    <w:p w:rsidR="00344150" w:rsidRPr="0086281A" w:rsidRDefault="00344150" w:rsidP="00D40856">
      <w:pPr>
        <w:rPr>
          <w:rFonts w:ascii="Calibri" w:hAnsi="Calibri"/>
          <w:lang w:val="en-GB"/>
        </w:rPr>
      </w:pPr>
    </w:p>
    <w:p w:rsidR="00B6230B" w:rsidRPr="0086281A" w:rsidRDefault="004133DA" w:rsidP="00C947CE">
      <w:pPr>
        <w:rPr>
          <w:rFonts w:ascii="Calibri" w:hAnsi="Calibri"/>
          <w:lang w:val="en-GB"/>
        </w:rPr>
      </w:pPr>
      <w:r w:rsidRPr="00B45922">
        <w:rPr>
          <w:rFonts w:ascii="Calibri" w:hAnsi="Calibri"/>
          <w:lang w:val="en-GB"/>
        </w:rPr>
        <w:t xml:space="preserve">The </w:t>
      </w:r>
      <w:r w:rsidRPr="00B7329B">
        <w:rPr>
          <w:rFonts w:ascii="Calibri" w:eastAsia="Cambria" w:hAnsi="Calibri"/>
          <w:lang w:val="en-GB" w:eastAsia="en-US"/>
        </w:rPr>
        <w:t>Kidney Disease Improving Global Outcome (</w:t>
      </w:r>
      <w:r w:rsidRPr="00B45922">
        <w:rPr>
          <w:rFonts w:ascii="Calibri" w:hAnsi="Calibri"/>
          <w:lang w:val="en-GB"/>
        </w:rPr>
        <w:t xml:space="preserve">KDIGO) guidelines for the “Definition and Classification of CKD” </w:t>
      </w:r>
      <w:r>
        <w:rPr>
          <w:rFonts w:ascii="Calibri" w:hAnsi="Calibri"/>
          <w:lang w:val="en-GB"/>
        </w:rPr>
        <w:t>clearly state that the</w:t>
      </w:r>
      <w:r w:rsidRPr="00B45922">
        <w:rPr>
          <w:rFonts w:ascii="Calibri" w:hAnsi="Calibri"/>
          <w:lang w:val="en-GB"/>
        </w:rPr>
        <w:t xml:space="preserve"> </w:t>
      </w:r>
      <w:r w:rsidR="00727535" w:rsidRPr="005F54BA">
        <w:rPr>
          <w:rFonts w:ascii="Calibri" w:hAnsi="Calibri" w:cs="Times"/>
          <w:color w:val="000000"/>
          <w:lang w:val="en-GB"/>
        </w:rPr>
        <w:t xml:space="preserve">Chronic Kidney Disease Epidemiology Collaboration (CKD-EPI) </w:t>
      </w:r>
      <w:r w:rsidRPr="00B45922">
        <w:rPr>
          <w:rFonts w:ascii="Calibri" w:hAnsi="Calibri"/>
          <w:lang w:val="en-GB"/>
        </w:rPr>
        <w:t xml:space="preserve">equation </w:t>
      </w:r>
      <w:r>
        <w:rPr>
          <w:rFonts w:ascii="Calibri" w:hAnsi="Calibri"/>
          <w:lang w:val="en-GB"/>
        </w:rPr>
        <w:t>should be used preferentially for GFR estimation</w:t>
      </w:r>
      <w:r w:rsidR="00A76F09"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1ckIcsfU","properties":{"formattedCitation":"(12)","plainCitation":"(12)"},"citationItems":[{"id":1537,"uris":["http://zotero.org/users/2405774/items/Q6HAFXF7"],"uri":["http://zotero.org/users/2405774/items/Q6HAFXF7"],"itemData":{"id":1537,"type":"article","title":"KDIGO, CKD Evaluation &amp; Management","URL":"http://kdigo.org/home/guidelines/ckd-evaluation-management/"}}],"schema":"https://github.com/citation-style-language/schema/raw/master/csl-citation.json"}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(12)</w:t>
      </w:r>
      <w:r w:rsidR="00777D1E" w:rsidRPr="0086281A">
        <w:rPr>
          <w:rFonts w:ascii="Calibri" w:hAnsi="Calibri"/>
          <w:lang w:val="en-GB"/>
        </w:rPr>
        <w:fldChar w:fldCharType="end"/>
      </w:r>
      <w:r w:rsidR="00A76F09" w:rsidRPr="0086281A">
        <w:rPr>
          <w:rFonts w:ascii="Calibri" w:hAnsi="Calibri"/>
          <w:lang w:val="en-GB"/>
        </w:rPr>
        <w:t>.</w:t>
      </w:r>
      <w:r w:rsidR="00BE1320" w:rsidRPr="0086281A">
        <w:rPr>
          <w:rFonts w:ascii="Calibri" w:hAnsi="Calibri"/>
          <w:lang w:val="en-GB"/>
        </w:rPr>
        <w:t xml:space="preserve"> The added value of the CKD-EPI </w:t>
      </w:r>
      <w:r w:rsidR="00DA6246" w:rsidRPr="0086281A">
        <w:rPr>
          <w:rFonts w:ascii="Calibri" w:hAnsi="Calibri"/>
          <w:lang w:val="en-GB"/>
        </w:rPr>
        <w:t>equation</w:t>
      </w:r>
      <w:r w:rsidR="00BE1320" w:rsidRPr="0086281A">
        <w:rPr>
          <w:rFonts w:ascii="Calibri" w:hAnsi="Calibri"/>
          <w:lang w:val="en-GB"/>
        </w:rPr>
        <w:t xml:space="preserve"> over the prior </w:t>
      </w:r>
      <w:r w:rsidR="00727535">
        <w:rPr>
          <w:rFonts w:ascii="Calibri" w:hAnsi="Calibri"/>
          <w:lang w:val="en-GB"/>
        </w:rPr>
        <w:t>“</w:t>
      </w:r>
      <w:r w:rsidR="00727535" w:rsidRPr="005F54BA">
        <w:rPr>
          <w:rFonts w:ascii="Calibri" w:hAnsi="Calibri" w:cs="Times"/>
          <w:color w:val="000000"/>
          <w:lang w:val="en-GB"/>
        </w:rPr>
        <w:t>Modification in Diet in Renal Disease</w:t>
      </w:r>
      <w:r w:rsidR="00727535">
        <w:rPr>
          <w:rFonts w:ascii="Calibri" w:hAnsi="Calibri" w:cs="Times"/>
          <w:color w:val="000000"/>
          <w:lang w:val="en-GB"/>
        </w:rPr>
        <w:t>”</w:t>
      </w:r>
      <w:r w:rsidR="00727535" w:rsidRPr="005F54BA">
        <w:rPr>
          <w:rFonts w:ascii="Calibri" w:hAnsi="Calibri" w:cs="Times"/>
          <w:color w:val="000000"/>
          <w:lang w:val="en-GB"/>
        </w:rPr>
        <w:t xml:space="preserve"> (MDRD)</w:t>
      </w:r>
      <w:r w:rsidR="00BE1320" w:rsidRPr="0086281A">
        <w:rPr>
          <w:rFonts w:ascii="Calibri" w:hAnsi="Calibri"/>
          <w:lang w:val="en-GB"/>
        </w:rPr>
        <w:t xml:space="preserve"> </w:t>
      </w:r>
      <w:r w:rsidR="00DA6246" w:rsidRPr="0086281A">
        <w:rPr>
          <w:rFonts w:ascii="Calibri" w:hAnsi="Calibri"/>
          <w:lang w:val="en-GB"/>
        </w:rPr>
        <w:t>study</w:t>
      </w:r>
      <w:r w:rsidR="00BE1320" w:rsidRPr="0086281A">
        <w:rPr>
          <w:rFonts w:ascii="Calibri" w:hAnsi="Calibri"/>
          <w:lang w:val="en-GB"/>
        </w:rPr>
        <w:t xml:space="preserve"> equation has</w:t>
      </w:r>
      <w:r w:rsidR="004372CC" w:rsidRPr="0086281A">
        <w:rPr>
          <w:rFonts w:ascii="Calibri" w:hAnsi="Calibri"/>
          <w:lang w:val="en-GB"/>
        </w:rPr>
        <w:t>,</w:t>
      </w:r>
      <w:r w:rsidR="00BE1320" w:rsidRPr="0086281A">
        <w:rPr>
          <w:rFonts w:ascii="Calibri" w:hAnsi="Calibri"/>
          <w:lang w:val="en-GB"/>
        </w:rPr>
        <w:t xml:space="preserve"> however</w:t>
      </w:r>
      <w:r w:rsidR="004372CC" w:rsidRPr="0086281A">
        <w:rPr>
          <w:rFonts w:ascii="Calibri" w:hAnsi="Calibri"/>
          <w:lang w:val="en-GB"/>
        </w:rPr>
        <w:t>,</w:t>
      </w:r>
      <w:r w:rsidR="00BE1320" w:rsidRPr="0086281A">
        <w:rPr>
          <w:rFonts w:ascii="Calibri" w:hAnsi="Calibri"/>
          <w:lang w:val="en-GB"/>
        </w:rPr>
        <w:t xml:space="preserve"> been </w:t>
      </w:r>
      <w:r w:rsidR="00DA6246" w:rsidRPr="0086281A">
        <w:rPr>
          <w:rFonts w:ascii="Calibri" w:hAnsi="Calibri"/>
          <w:lang w:val="en-GB"/>
        </w:rPr>
        <w:t>challenged</w:t>
      </w:r>
      <w:r w:rsidR="00BE1320" w:rsidRPr="0086281A">
        <w:rPr>
          <w:rFonts w:ascii="Calibri" w:hAnsi="Calibri"/>
          <w:lang w:val="en-GB"/>
        </w:rPr>
        <w:t xml:space="preserve"> </w:t>
      </w:r>
      <w:r w:rsidR="000A1220" w:rsidRPr="0086281A">
        <w:rPr>
          <w:rFonts w:ascii="Calibri" w:hAnsi="Calibri"/>
          <w:lang w:val="en-GB"/>
        </w:rPr>
        <w:t>in the literature</w:t>
      </w:r>
      <w:r w:rsidR="00BE1320"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q92g2ve11","properties":{"formattedCitation":"(13)","plainCitation":"(13)"},"citationItems":[{"id":1169,"uris":["http://zotero.org/users/2405774/items/BF7J869Z"],"uri":["http://zotero.org/users/2405774/items/BF7J869Z"],"itemData":{"id":1169,"type":"article-journal","title":"Con: Should we abandon the use of the MDRD equation in favour of the CKD-EPI equation?","container-title":"Nephrology, Dialysis, Transplantation","page":"1396-1403","volume":"28","issue":"6","source":"NCBI PubMed","DOI":"10.1093/ndt/gft006","ISSN":"1460-2385","note":"PMID: 23780677","shortTitle":"Con","journalAbbreviation":"Nephrol. Dial. Transplant.","language":"eng","author":[{"family":"Delanaye","given":"Pierre"},{"family":"Pottel","given":"Hans"},{"family":"Botev","given":"Rossini"},{"family":"Inker","given":"Lesley A."},{"family":"Levey","given":"Andrew S."}],"issued":{"date-parts":[["2013",6]]},"PMID":"23780677"}}],"schema":"https://github.com/citation-style-language/schema/raw/master/csl-citation.json"}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(13)</w:t>
      </w:r>
      <w:r w:rsidR="00777D1E" w:rsidRPr="0086281A">
        <w:rPr>
          <w:rFonts w:ascii="Calibri" w:hAnsi="Calibri"/>
          <w:lang w:val="en-GB"/>
        </w:rPr>
        <w:fldChar w:fldCharType="end"/>
      </w:r>
      <w:r w:rsidR="00BE1320" w:rsidRPr="0086281A">
        <w:rPr>
          <w:rFonts w:ascii="Calibri" w:hAnsi="Calibri"/>
          <w:lang w:val="en-GB"/>
        </w:rPr>
        <w:t xml:space="preserve">, including </w:t>
      </w:r>
      <w:r w:rsidR="00C31BB4">
        <w:rPr>
          <w:rFonts w:ascii="Calibri" w:hAnsi="Calibri"/>
          <w:lang w:val="en-GB"/>
        </w:rPr>
        <w:t xml:space="preserve">in </w:t>
      </w:r>
      <w:r w:rsidR="000A1220" w:rsidRPr="0086281A">
        <w:rPr>
          <w:rFonts w:ascii="Calibri" w:hAnsi="Calibri"/>
          <w:lang w:val="en-GB"/>
        </w:rPr>
        <w:t>studies about</w:t>
      </w:r>
      <w:r w:rsidR="00BE1320" w:rsidRPr="0086281A">
        <w:rPr>
          <w:rFonts w:ascii="Calibri" w:hAnsi="Calibri"/>
          <w:lang w:val="en-GB"/>
        </w:rPr>
        <w:t xml:space="preserve"> obese patients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2qkb5opksj","properties":{"formattedCitation":"(10,11)","plainCitation":"(10,11)"},"citationItems":[{"id":1005,"uris":["http://zotero.org/users/2405774/items/43Z94I57"],"uri":["http://zotero.org/users/2405774/items/43Z94I57"],"itemData":{"id":1005,"type":"article-journal","title":"Modification of Diet in Renal Disease versus Chronic Kidney Disease Epidemiology Collaboration equation to estimate glomerular filtration rate in obese patients","container-title":"Nephrology, Dialysis, Transplantation","page":"122-130","volume":"28","issue":"Suppl 4","source":"NCBI PubMed","abstract":"BACKGROUND: Obesity is a recognized risk factor for both the development and progression of chronic kidney disease (CKD). Accurate estimation of glomerular filtration rate (GFR) is thus important in these patients. We tested the performances of two creatinine-based GFR estimates, the Modification of Diet in Renal Disease (MDRD) and the Chronic Kidney Disease Epidemiology Collaboration (CKD-EPI) equations, in an obese population.\nMETHODS: Patients with body mass index (BMI) &gt; 30 kg/m(2) were included. The reference method for measured GFR (mGFR) was (51)Cr-EDTA (single-injection method, two blood samples at 120 and 240 min). Both indexed and non-indexed results were considered. Serum creatinine was measured using the IDMS-traceable compensated Jaffe method. Mean bias (eGFR-mGFR), precision (SD around the bias) and accuracy within 30% (percentage of estimations within 30% of mGFR) were calculated for both equations.\nRESULTS: The population included 366 patients (185 women) from two different areas. Mean age was 55 ± 14 years, and mean BMI was 36 ± 7 kg/m(2). Mean mGFR was 56 ± 26 mL/min/1.73 m(2) (71 ± 35 mL/min without indexation). In the total population, mean bias was +1.9 ± 14.3 and +4.6 ± 14.7 mL/min/1.73 m(2) (P &lt; 0.05), and accuracy 30% was 80 and 76% for the MDRD and CKD-EPI equations (P &lt; 0.05), respectively. In patients with mGFR &gt; 60 mL/min/1.73 m(2), mean bias was +4.6 ± 18.4 and +9.3 ± 17.2 mL/min/1.73 m(2) (P &lt; 0.05), and accuracy 30% was 81 and 79% (NS) for the MDRD and CKD-EPI equations, respectively.\nCONCLUSIONS: The CKD-EPI equation did not outperform the MDRD study equation in this population of obese patients.","DOI":"10.1093/ndt/gft329","ISSN":"1460-2385","note":"PMID: 24026245","journalAbbreviation":"Nephrol. Dial. Transplant.","language":"eng","author":[{"family":"Bouquegneau","given":"Antoine"},{"family":"Vidal-Petiot","given":"Emmanuelle"},{"family":"Vrtovsnik","given":"François"},{"family":"Cavalier","given":"Etienne"},{"family":"Rorive","given":"Marcelle"},{"family":"Krzesinski","given":"Jean-Marie"},{"family":"Delanaye","given":"Pierre"},{"family":"Flamant","given":"Martin"}],"issued":{"date-parts":[["2013",11]]},"PMID":"24026245"},"label":"page"},{"id":993,"uris":["http://zotero.org/users/2405774/items/NNQNITST"],"uri":["http://zotero.org/users/2405774/items/NNQNITST"],"itemData":{"id":993,"type":"article-journal","title":"Accuracy of GFR estimation in obese patients","container-title":"Clinical journal of the American Society of Nephrology","page":"720-727","volume":"9","issue":"4","source":"NCBI PubMed","abstract":"BACKGROUND AND OBJECTIVES: Adequate estimation of renal function in obese patients is essential for the classification of patients in CKD category as well as the dose adjustment of drugs. However, the body size descriptor for GFR indexation is still debatable, and formulas are not validated in patients with extreme variations of weight.\nDESIGN, SETTING, PARTICIPANTS, &amp; MEASUREMENTS: This study included 209 stages 1-5 CKD obese patients referred to the Department of Renal Function Study at the University Hospital in Lyon between 2010 and 2013 because of suspected renal dysfunction. GFR was estimated with the Chronic Kidney Disease and Epidemiology equation (CKD-EPI) and measured with a gold standard method (inulin or iohexol) not indexed (mGFR) or indexed to body surface area determined by the Dubois and Dubois formula with either real (mGFRr) or ideal (mGFRi) body weight. Mean bias (eGFR-mGFR), precision, and accuracy of mGFR were compared with the results obtained for nonobese participants (body mass index between 18.5 and 24.9) who had a GFR measurement during the same period of time.\nRESULTS: Mean mGFRr (51.6 ± 24.2 ml/min per 1.73 m(2)) was significantly lower than mGFR, mGFRi, and eGFRCKD-EPI. eGFRCKD-EPI had less bias with mGFR (0.29; -1.7 to 2.3) and mGFRi (-1.62; -3.1 to 0.45) compared with mGFRr (8.7; 7 to 10). This result was confirmed with better accuracy for the whole cohort (78% for mGFR, 84% for mGFRi, and 72% for mGFRr) and participants with CKD stages 3-5. Moreover, the Bland Altman plot showed better agreement between mGFR and eGFRCKD-EPI. The bias between eGFRCKD-EPI and mGFRr was greater in obese than nonobese participants (8.7 versus 0.58, P&lt;0.001).\nCONCLUSIONS: This study shows that, in obese CKD patients, the performance of eGFRCKD-EPI is good for GFR ≤ 60 ml/min per 1.73 m(2). Indexation of mGFR with body surface area using ideal body weight gives less bias than mGFR scaled with body surface area using real body weight.","DOI":"10.2215/CJN.03610413","ISSN":"1555-905X","note":"PMID: 24482068 \nPMCID: PMC3974350","journalAbbreviation":"Clin J Am Soc Nephrol","language":"eng","author":[{"family":"Lemoine","given":"Sandrine"},{"family":"Guebre-Egziabher","given":"Fitsum"},{"family":"Sens","given":"Florence"},{"family":"Nguyen-Tu","given":"Marie-Sophie"},{"family":"Juillard","given":"Laurent"},{"family":"Dubourg","given":"Laurence"},{"family":"Hadj-Aissa","given":"Aoumeur"}],"issued":{"date-parts":[["2014",4]]},"PMID":"24482068","PMCID":"PMC3974350"},"label":"page"}],"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(10,11)</w:t>
      </w:r>
      <w:r w:rsidR="00777D1E" w:rsidRPr="0086281A">
        <w:rPr>
          <w:rFonts w:ascii="Calibri" w:hAnsi="Calibri"/>
          <w:lang w:val="en-GB"/>
        </w:rPr>
        <w:fldChar w:fldCharType="end"/>
      </w:r>
      <w:r w:rsidR="00C25C60" w:rsidRPr="0086281A">
        <w:rPr>
          <w:rFonts w:ascii="Calibri" w:hAnsi="Calibri"/>
          <w:lang w:val="en-GB"/>
        </w:rPr>
        <w:t>.</w:t>
      </w:r>
      <w:r w:rsidR="008C0281">
        <w:rPr>
          <w:rFonts w:ascii="Calibri" w:hAnsi="Calibri"/>
          <w:lang w:val="en-GB"/>
        </w:rPr>
        <w:t xml:space="preserve"> In fact, we have already demonstrated the good performances of</w:t>
      </w:r>
      <w:r w:rsidR="009852DE">
        <w:rPr>
          <w:rFonts w:ascii="Calibri" w:hAnsi="Calibri"/>
          <w:lang w:val="en-GB"/>
        </w:rPr>
        <w:t xml:space="preserve"> the creatinine-based equations indexed by the</w:t>
      </w:r>
      <w:r w:rsidR="00727535">
        <w:rPr>
          <w:rFonts w:ascii="Calibri" w:hAnsi="Calibri"/>
          <w:lang w:val="en-GB"/>
        </w:rPr>
        <w:t xml:space="preserve"> body surface area</w:t>
      </w:r>
      <w:r w:rsidR="009852DE">
        <w:rPr>
          <w:rFonts w:ascii="Calibri" w:hAnsi="Calibri"/>
          <w:lang w:val="en-GB"/>
        </w:rPr>
        <w:t xml:space="preserve"> </w:t>
      </w:r>
      <w:r w:rsidR="00727535">
        <w:rPr>
          <w:rFonts w:ascii="Calibri" w:hAnsi="Calibri"/>
          <w:lang w:val="en-GB"/>
        </w:rPr>
        <w:t>(</w:t>
      </w:r>
      <w:r w:rsidR="009852DE">
        <w:rPr>
          <w:rFonts w:ascii="Calibri" w:hAnsi="Calibri"/>
          <w:lang w:val="en-GB"/>
        </w:rPr>
        <w:t>BSA</w:t>
      </w:r>
      <w:r w:rsidR="00727535">
        <w:rPr>
          <w:rFonts w:ascii="Calibri" w:hAnsi="Calibri"/>
          <w:lang w:val="en-GB"/>
        </w:rPr>
        <w:t>)</w:t>
      </w:r>
      <w:r w:rsidR="009852DE">
        <w:rPr>
          <w:rFonts w:ascii="Calibri" w:hAnsi="Calibri"/>
          <w:lang w:val="en-GB"/>
        </w:rPr>
        <w:t xml:space="preserve"> in an obese population </w:t>
      </w:r>
      <w:r w:rsidR="00777D1E">
        <w:rPr>
          <w:rFonts w:ascii="Calibri" w:hAnsi="Calibri"/>
          <w:lang w:val="en-GB"/>
        </w:rPr>
        <w:fldChar w:fldCharType="begin"/>
      </w:r>
      <w:r w:rsidR="009852DE">
        <w:rPr>
          <w:rFonts w:ascii="Calibri" w:hAnsi="Calibri"/>
          <w:lang w:val="en-GB"/>
        </w:rPr>
        <w:instrText xml:space="preserve"> ADDIN ZOTERO_ITEM CSL_CITATION {"citationID":"1id63e2q0e","properties":{"formattedCitation":"(10)","plainCitation":"(10)"},"citationItems":[{"id":1005,"uris":["http://zotero.org/users/2405774/items/43Z94I57"],"uri":["http://zotero.org/users/2405774/items/43Z94I57"],"itemData":{"id":1005,"type":"article-journal","title":"Modification of Diet in Renal Disease versus Chronic Kidney Disease Epidemiology Collaboration equation to estimate glomerular filtration rate in obese patients","container-title":"Nephrology, Dialysis, Transplantation","page":"122-130","volume":"28","issue":"Suppl 4","source":"NCBI PubMed","abstract":"BACKGROUND: Obesity is a recognized risk factor for both the development and progression of chronic kidney disease (CKD). Accurate estimation of glomerular filtration rate (GFR) is thus important in these patients. We tested the performances of two creatinine-based GFR estimates, the Modification of Diet in Renal Disease (MDRD) and the Chronic Kidney Disease Epidemiology Collaboration (CKD-EPI) equations, in an obese population.\nMETHODS: Patients with body mass index (BMI) &gt; 30 kg/m(2) were included. The reference method for measured GFR (mGFR) was (51)Cr-EDTA (single-injection method, two blood samples at 120 and 240 min). Both indexed and non-indexed results were considered. Serum creatinine was measured using the IDMS-traceable compensated Jaffe method. Mean bias (eGFR-mGFR), precision (SD around the bias) and accuracy within 30% (percentage of estimations within 30% of mGFR) were calculated for both equations.\nRESULTS: The population included 366 patients (185 women) from two different areas. Mean age was 55 ± 14 years, and mean BMI was 36 ± 7 kg/m(2). Mean mGFR was 56 ± 26 mL/min/1.73 m(2) (71 ± 35 mL/min without indexation). In the total population, mean bias was +1.9 ± 14.3 and +4.6 ± 14.7 mL/min/1.73 m(2) (P &lt; 0.05), and accuracy 30% was 80 and 76% for the MDRD and CKD-EPI equations (P &lt; 0.05), respectively. In patients with mGFR &gt; 60 mL/min/1.73 m(2), mean bias was +4.6 ± 18.4 and +9.3 ± 17.2 mL/min/1.73 m(2) (P &lt; 0.05), and accuracy 30% was 81 and 79% (NS) for the MDRD and CKD-EPI equations, respectively.\nCONCLUSIONS: The CKD-EPI equation did not outperform the MDRD study equation in this population of obese patients.","DOI":"10.1093/ndt/gft329","ISSN":"1460-2385","note":"PMID: 24026245","journalAbbreviation":"Nephrol. Dial. Transplant.","language":"eng","author":[{"family":"Bouquegneau","given":"Antoine"},{"family":"Vidal-Petiot","given":"Emmanuelle"},{"family":"Vrtovsnik","given":"François"},{"family":"Cavalier","given":"Etienne"},{"family":"Rorive","given":"Marcelle"},{"family":"Krzesinski","given":"Jean-Marie"},{"family":"Delanaye","given":"Pierre"},{"family":"Flamant","given":"Martin"}],"issued":{"date-parts":[["2013",11]]},"PMID":"24026245"}}],"schema":"https://github.com/citation-style-language/schema/raw/master/csl-citation.json"} </w:instrText>
      </w:r>
      <w:r w:rsidR="00777D1E">
        <w:rPr>
          <w:rFonts w:ascii="Calibri" w:hAnsi="Calibri"/>
          <w:lang w:val="en-GB"/>
        </w:rPr>
        <w:fldChar w:fldCharType="separate"/>
      </w:r>
      <w:r w:rsidR="009852DE">
        <w:rPr>
          <w:rFonts w:ascii="Calibri" w:hAnsi="Calibri"/>
          <w:noProof/>
          <w:lang w:val="en-GB"/>
        </w:rPr>
        <w:t>(10)</w:t>
      </w:r>
      <w:r w:rsidR="00777D1E">
        <w:rPr>
          <w:rFonts w:ascii="Calibri" w:hAnsi="Calibri"/>
          <w:lang w:val="en-GB"/>
        </w:rPr>
        <w:fldChar w:fldCharType="end"/>
      </w:r>
      <w:r w:rsidR="009852DE">
        <w:rPr>
          <w:rFonts w:ascii="Calibri" w:hAnsi="Calibri"/>
          <w:lang w:val="en-GB"/>
        </w:rPr>
        <w:t>.</w:t>
      </w:r>
      <w:r w:rsidR="00BE1320" w:rsidRPr="0086281A">
        <w:rPr>
          <w:rFonts w:ascii="Calibri" w:hAnsi="Calibri"/>
          <w:lang w:val="en-GB"/>
        </w:rPr>
        <w:t xml:space="preserve"> Beyond this debate, there is a clea</w:t>
      </w:r>
      <w:r w:rsidR="00D01826" w:rsidRPr="0086281A">
        <w:rPr>
          <w:rFonts w:ascii="Calibri" w:hAnsi="Calibri"/>
          <w:lang w:val="en-GB"/>
        </w:rPr>
        <w:t>r consensus in the nephrology</w:t>
      </w:r>
      <w:r w:rsidR="00BE1320" w:rsidRPr="0086281A">
        <w:rPr>
          <w:rFonts w:ascii="Calibri" w:hAnsi="Calibri"/>
          <w:lang w:val="en-GB"/>
        </w:rPr>
        <w:t xml:space="preserve"> </w:t>
      </w:r>
      <w:r w:rsidR="00DA6246" w:rsidRPr="0086281A">
        <w:rPr>
          <w:rFonts w:ascii="Calibri" w:hAnsi="Calibri"/>
          <w:lang w:val="en-GB"/>
        </w:rPr>
        <w:t>community</w:t>
      </w:r>
      <w:r w:rsidR="00BE1320" w:rsidRPr="0086281A">
        <w:rPr>
          <w:rFonts w:ascii="Calibri" w:hAnsi="Calibri"/>
          <w:lang w:val="en-GB"/>
        </w:rPr>
        <w:t xml:space="preserve"> to </w:t>
      </w:r>
      <w:r w:rsidR="00AD513B" w:rsidRPr="0086281A">
        <w:rPr>
          <w:rFonts w:ascii="Calibri" w:hAnsi="Calibri"/>
          <w:lang w:val="en-GB"/>
        </w:rPr>
        <w:t>promote</w:t>
      </w:r>
      <w:r w:rsidR="00BE1320" w:rsidRPr="0086281A">
        <w:rPr>
          <w:rFonts w:ascii="Calibri" w:hAnsi="Calibri"/>
          <w:lang w:val="en-GB"/>
        </w:rPr>
        <w:t xml:space="preserve"> the MDRD or</w:t>
      </w:r>
      <w:r w:rsidR="00C31BB4">
        <w:rPr>
          <w:rFonts w:ascii="Calibri" w:hAnsi="Calibri"/>
          <w:lang w:val="en-GB"/>
        </w:rPr>
        <w:t xml:space="preserve"> the</w:t>
      </w:r>
      <w:r w:rsidR="00BE1320" w:rsidRPr="0086281A">
        <w:rPr>
          <w:rFonts w:ascii="Calibri" w:hAnsi="Calibri"/>
          <w:lang w:val="en-GB"/>
        </w:rPr>
        <w:t xml:space="preserve"> CKD-EPI equation over the Cockcroft</w:t>
      </w:r>
      <w:r w:rsidR="00D01826" w:rsidRPr="0086281A">
        <w:rPr>
          <w:rFonts w:ascii="Calibri" w:hAnsi="Calibri"/>
          <w:lang w:val="en-GB"/>
        </w:rPr>
        <w:t xml:space="preserve"> &amp; Gault (CG)</w:t>
      </w:r>
      <w:r w:rsidR="00BE1320" w:rsidRPr="0086281A">
        <w:rPr>
          <w:rFonts w:ascii="Calibri" w:hAnsi="Calibri"/>
          <w:lang w:val="en-GB"/>
        </w:rPr>
        <w:t xml:space="preserve"> equation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2n15b3lj0c","properties":{"formattedCitation":"(14,15)","plainCitation":"(14,15)"},"citationItems":[{"id":1229,"uris":["http://zotero.org/users/local/gLwvffvk/items/XQ6KJF7D"],"uri":["http://zotero.org/users/local/gLwvffvk/items/XQ6KJF7D"],"itemData":{"id":1229,"type":"article-journal","title":"Predictive performance of the modification of diet in renal disease and Cockcroft-Gault equations for estimating renal function","container-title":"Journal of the American Society of Nephrology: JASN","page":"763-773","volume":"16","issue":"3","source":"NCBI PubMed","abstract":"Recent recommendations emphasize the need to assess kidney function using creatinine-based predictive equations to optimize the care of patients with chronic kidney disease. The most widely used equations are the Cockcroft-Gault (CG) and the simplified Modification of Diet in Renal Disease (MDRD) formulas. However, they still need to be validated in large samples of subjects, including large non-U.S. cohorts. Renal clearance of (51)Cr-EDTA was compared with GFR estimated using either the CG equation or the MDRD formula in a cohort of 2095 adult Europeans (863 female and 1232 male; median age, 53.2 yr; median measured GFR, 59.8 ml/min per 1.73 m(2)). When the entire study population was considered, the CG and MDRD equations showed very limited bias. They overestimated measured GFR by 1.94 ml/min per 1.73 m(2) and underestimated it by 0.99 ml/min per 1.73 m(2), respectively. However, analysis of subgroups defined by age, gender, body mass index, and GFR level showed that the biases of the two formulas could be much larger in selected populations. Furthermore, analysis of the SD of the mean difference between estimated and measured GFR showed that both formulas lacked precision; the CG formula was less precise than the MDRD one in most cases. In the whole study population, the SD was 15.1 and 13.5 ml/min per 1.73 m(2) for the CG and MDRD formulas, respectively. Finally, 29.2 and 32.4% of subjects were misclassified when the CG and MDRD formulas were used to categorize subjects according to the Kidney Disease Outcomes Quality Initiative chronic kidney disease classification, respectively.","DOI":"10.1681/ASN.2004070549","ISSN":"1046-6673","note":"PMID: 15659562","journalAbbreviation":"J. Am. Soc. Nephrol.","language":"eng","author":[{"family":"Froissart","given":"Marc"},{"family":"Rossert","given":"Jerome"},{"family":"Jacquot","given":"Christian"},{"family":"Paillard","given":"Michel"},{"family":"Houillier","given":"Pascal"}],"issued":{"date-parts":[["2005",3]]},"PMID":"15659562"},"label":"page"},{"id":1275,"uris":["http://zotero.org/users/2405774/items/4M89FM68"],"uri":["http://zotero.org/users/2405774/items/4M89FM68"],"itemData":{"id":1275,"type":"article-journal","title":"The applicability of eGFR equations to different populations","container-title":"Nature Reviews. Nephrology","page":"513-522","volume":"9","issue":"9","source":"NCBI PubMed","abstract":"The Cockcroft-Gault equation for estimating glomerular filtration rate has been learnt by every generation of medical students over the decades. Since the publication of the Modification of Diet in Renal Disease (MDRD) study equation in 1999, however, the supremacy of the Cockcroft-Gault equation has been relentlessly disputed. More recently, the Chronic Kidney Disease Epidemiology (CKD-EPI) consortium has proposed a group of novel equations for estimating glomerular filtration rate (GFR). The MDRD and CKD-EPI equations were developed following a rigorous process, are expressed in a way in which they can be used with standardized biomarkers of GFR (serum creatinine and/or serum cystatin C) and have been evaluated in different populations of patients. Today, the MDRD Study equation and the CKD-EPI equation based on serum creatinine level have supplanted the Cockcroft-Gault equation. In many regards, these equations are superior to the Cockcroft-Gault equation and are now specifically recommended by international guidelines. With their generalized use, however, it has become apparent that those equations are not infallible and that they fail to provide an accurate estimate of GFR in certain situations frequently encountered in clinical practice. After describing the processes that led to the development of the new GFR-estimating equations, this Review discusses the clinical situations in which the applicability of these equations is questioned.","DOI":"10.1038/nrneph.2013.143","ISSN":"1759-507X","note":"PMID: 23856996","journalAbbreviation":"Nat Rev Nephrol","language":"eng","author":[{"family":"Delanaye","given":"Pierre"},{"family":"Mariat","given":"Christophe"}],"issued":{"date-parts":[["2013",9]]},"PMID":"23856996"},"label":"page"}],"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(14,15)</w:t>
      </w:r>
      <w:r w:rsidR="00777D1E" w:rsidRPr="0086281A">
        <w:rPr>
          <w:rFonts w:ascii="Calibri" w:hAnsi="Calibri"/>
          <w:lang w:val="en-GB"/>
        </w:rPr>
        <w:fldChar w:fldCharType="end"/>
      </w:r>
      <w:r w:rsidR="00BE1320" w:rsidRPr="0086281A">
        <w:rPr>
          <w:rFonts w:ascii="Calibri" w:hAnsi="Calibri"/>
          <w:lang w:val="en-GB"/>
        </w:rPr>
        <w:t>.</w:t>
      </w:r>
      <w:r w:rsidR="00B61B34" w:rsidRPr="0086281A">
        <w:rPr>
          <w:rFonts w:ascii="Calibri" w:hAnsi="Calibri"/>
          <w:lang w:val="en-GB"/>
        </w:rPr>
        <w:t xml:space="preserve"> In the context of pharmacology and “drug </w:t>
      </w:r>
      <w:r w:rsidR="00AD513B" w:rsidRPr="0086281A">
        <w:rPr>
          <w:rFonts w:ascii="Calibri" w:hAnsi="Calibri"/>
          <w:lang w:val="en-GB"/>
        </w:rPr>
        <w:t>adjustment</w:t>
      </w:r>
      <w:r w:rsidR="00B61B34" w:rsidRPr="0086281A">
        <w:rPr>
          <w:rFonts w:ascii="Calibri" w:hAnsi="Calibri"/>
          <w:lang w:val="en-GB"/>
        </w:rPr>
        <w:t>”, the evidence is</w:t>
      </w:r>
      <w:r w:rsidR="004372CC" w:rsidRPr="0086281A">
        <w:rPr>
          <w:rFonts w:ascii="Calibri" w:hAnsi="Calibri"/>
          <w:lang w:val="en-GB"/>
        </w:rPr>
        <w:t>,</w:t>
      </w:r>
      <w:r w:rsidR="00B61B34" w:rsidRPr="0086281A">
        <w:rPr>
          <w:rFonts w:ascii="Calibri" w:hAnsi="Calibri"/>
          <w:lang w:val="en-GB"/>
        </w:rPr>
        <w:t xml:space="preserve"> however</w:t>
      </w:r>
      <w:r w:rsidR="004372CC" w:rsidRPr="0086281A">
        <w:rPr>
          <w:rFonts w:ascii="Calibri" w:hAnsi="Calibri"/>
          <w:lang w:val="en-GB"/>
        </w:rPr>
        <w:t>,</w:t>
      </w:r>
      <w:r w:rsidR="00B61B34" w:rsidRPr="0086281A">
        <w:rPr>
          <w:rFonts w:ascii="Calibri" w:hAnsi="Calibri"/>
          <w:lang w:val="en-GB"/>
        </w:rPr>
        <w:t xml:space="preserve"> </w:t>
      </w:r>
      <w:r w:rsidR="000A1220" w:rsidRPr="0086281A">
        <w:rPr>
          <w:rFonts w:ascii="Calibri" w:hAnsi="Calibri"/>
          <w:lang w:val="en-GB"/>
        </w:rPr>
        <w:t>not as</w:t>
      </w:r>
      <w:r w:rsidR="00B61B34" w:rsidRPr="0086281A">
        <w:rPr>
          <w:rFonts w:ascii="Calibri" w:hAnsi="Calibri"/>
          <w:lang w:val="en-GB"/>
        </w:rPr>
        <w:t xml:space="preserve"> clear.</w:t>
      </w:r>
      <w:r w:rsidR="00BE1320" w:rsidRPr="0086281A">
        <w:rPr>
          <w:rFonts w:ascii="Calibri" w:hAnsi="Calibri"/>
          <w:lang w:val="en-GB"/>
        </w:rPr>
        <w:t xml:space="preserve"> </w:t>
      </w:r>
      <w:r w:rsidR="00D01826" w:rsidRPr="0086281A">
        <w:rPr>
          <w:rFonts w:ascii="Calibri" w:hAnsi="Calibri"/>
          <w:lang w:val="en-GB"/>
        </w:rPr>
        <w:t>Until 2008, the CG</w:t>
      </w:r>
      <w:r w:rsidR="00A24270" w:rsidRPr="0086281A">
        <w:rPr>
          <w:rFonts w:ascii="Calibri" w:hAnsi="Calibri"/>
          <w:lang w:val="en-GB"/>
        </w:rPr>
        <w:t xml:space="preserve"> equation</w:t>
      </w:r>
      <w:r w:rsidR="00344150" w:rsidRPr="0086281A">
        <w:rPr>
          <w:rFonts w:ascii="Calibri" w:hAnsi="Calibri"/>
          <w:lang w:val="en-GB"/>
        </w:rPr>
        <w:t xml:space="preserve"> was still the only equation recommended by the </w:t>
      </w:r>
      <w:r w:rsidR="00727535">
        <w:rPr>
          <w:rFonts w:ascii="Calibri" w:hAnsi="Calibri"/>
          <w:lang w:val="en-GB"/>
        </w:rPr>
        <w:t>Food and Drug Administration (</w:t>
      </w:r>
      <w:r w:rsidR="00344150" w:rsidRPr="0086281A">
        <w:rPr>
          <w:rFonts w:ascii="Calibri" w:hAnsi="Calibri"/>
          <w:lang w:val="en-GB"/>
        </w:rPr>
        <w:t>FDA</w:t>
      </w:r>
      <w:r w:rsidR="00727535">
        <w:rPr>
          <w:rFonts w:ascii="Calibri" w:hAnsi="Calibri"/>
          <w:lang w:val="en-GB"/>
        </w:rPr>
        <w:t>)</w:t>
      </w:r>
      <w:r w:rsidR="00344150" w:rsidRPr="0086281A">
        <w:rPr>
          <w:rFonts w:ascii="Calibri" w:hAnsi="Calibri"/>
          <w:lang w:val="en-GB"/>
        </w:rPr>
        <w:t xml:space="preserve"> for </w:t>
      </w:r>
      <w:r w:rsidR="00E20244" w:rsidRPr="0086281A">
        <w:rPr>
          <w:rFonts w:ascii="Calibri" w:hAnsi="Calibri"/>
          <w:lang w:val="en-GB"/>
        </w:rPr>
        <w:t>t</w:t>
      </w:r>
      <w:r w:rsidR="00A24270" w:rsidRPr="0086281A">
        <w:rPr>
          <w:rFonts w:ascii="Calibri" w:hAnsi="Calibri"/>
          <w:lang w:val="en-GB"/>
        </w:rPr>
        <w:t>he determination of</w:t>
      </w:r>
      <w:r w:rsidR="00E20244" w:rsidRPr="0086281A">
        <w:rPr>
          <w:rFonts w:ascii="Calibri" w:hAnsi="Calibri"/>
          <w:lang w:val="en-GB"/>
        </w:rPr>
        <w:t xml:space="preserve"> </w:t>
      </w:r>
      <w:r w:rsidR="00344150" w:rsidRPr="0086281A">
        <w:rPr>
          <w:rFonts w:ascii="Calibri" w:hAnsi="Calibri"/>
          <w:lang w:val="en-GB"/>
        </w:rPr>
        <w:t xml:space="preserve">dose adjustments </w:t>
      </w:r>
      <w:r w:rsidR="00E20244" w:rsidRPr="0086281A">
        <w:rPr>
          <w:rFonts w:ascii="Calibri" w:hAnsi="Calibri"/>
          <w:lang w:val="en-GB"/>
        </w:rPr>
        <w:t xml:space="preserve">studies </w:t>
      </w:r>
      <w:r w:rsidR="00A24270" w:rsidRPr="0086281A">
        <w:rPr>
          <w:rFonts w:ascii="Calibri" w:hAnsi="Calibri"/>
          <w:lang w:val="en-GB"/>
        </w:rPr>
        <w:t>for</w:t>
      </w:r>
      <w:r w:rsidR="00344150" w:rsidRPr="0086281A">
        <w:rPr>
          <w:rFonts w:ascii="Calibri" w:hAnsi="Calibri"/>
          <w:lang w:val="en-GB"/>
        </w:rPr>
        <w:t xml:space="preserve"> a new drug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2bo1gdido1","properties":{"formattedCitation":"(16)","plainCitation":"(16)"},"citationItems":[{"id":1390,"uris":["http://zotero.org/users/2405774/items/NWKE4E77"],"uri":["http://zotero.org/users/2405774/items/NWKE4E77"],"itemData":{"id":1390,"type":"article-journal","title":"When to conduct a renal impairment study during drug development: US Food and Drug Administration perspective","container-title":"Clinical Pharmacology and Therapeutics","page":"475-479","volume":"86","issue":"5","source":"NCBI PubMed","abstract":"To optimize drug therapy for individuals, it is critical to understand how various intrinsic (e.g., age, gender, race, genetics, organ impairment) and extrinsic factors (e.g., diet, smoking, concomitantly administered drugs) affect drug exposure and response.(1) Up to now, it has been far easier to discover effects on exposure caused by these factors, and the US Food and Drug Administration (FDA) has published several guidance documents with recommendations on how to evaluate these factors during drug development.","DOI":"10.1038/clpt.2009.190","ISSN":"1532-6535","note":"PMID: 19844224","shortTitle":"When to conduct a renal impairment study during drug development","journalAbbreviation":"Clin. Pharmacol. Ther.","language":"eng","author":[{"family":"Huang","given":"S.-M."},{"family":"Temple","given":"R."},{"family":"Xiao","given":"S."},{"family":"Zhang","given":"L."},{"family":"Lesko","given":"L. J."}],"issued":{"date-parts":[["2009",11]]},"PMID":"19844224"}}],"schema":"https://github.com/citation-style-language/schema/raw/master/csl-citation.json"}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(16)</w:t>
      </w:r>
      <w:r w:rsidR="00777D1E" w:rsidRPr="0086281A">
        <w:rPr>
          <w:rFonts w:ascii="Calibri" w:hAnsi="Calibri" w:cs="Times"/>
          <w:lang w:val="en-GB"/>
        </w:rPr>
        <w:fldChar w:fldCharType="end"/>
      </w:r>
      <w:r w:rsidR="00344150" w:rsidRPr="0086281A">
        <w:rPr>
          <w:rFonts w:ascii="Calibri" w:hAnsi="Calibri" w:cs="Times"/>
          <w:lang w:val="en-GB"/>
        </w:rPr>
        <w:t>.</w:t>
      </w:r>
      <w:r w:rsidR="00344150" w:rsidRPr="0086281A">
        <w:rPr>
          <w:rFonts w:ascii="Calibri" w:hAnsi="Calibri"/>
          <w:lang w:val="en-GB"/>
        </w:rPr>
        <w:t xml:space="preserve"> Since 2008, the FDA </w:t>
      </w:r>
      <w:r w:rsidR="00C31BB4">
        <w:rPr>
          <w:rFonts w:ascii="Calibri" w:hAnsi="Calibri"/>
          <w:lang w:val="en-GB"/>
        </w:rPr>
        <w:t xml:space="preserve">has </w:t>
      </w:r>
      <w:r w:rsidR="00344150" w:rsidRPr="0086281A">
        <w:rPr>
          <w:rFonts w:ascii="Calibri" w:hAnsi="Calibri"/>
          <w:lang w:val="en-GB"/>
        </w:rPr>
        <w:t>accept</w:t>
      </w:r>
      <w:r w:rsidR="00C31BB4">
        <w:rPr>
          <w:rFonts w:ascii="Calibri" w:hAnsi="Calibri"/>
          <w:lang w:val="en-GB"/>
        </w:rPr>
        <w:t>ed</w:t>
      </w:r>
      <w:r w:rsidR="00344150" w:rsidRPr="0086281A">
        <w:rPr>
          <w:rFonts w:ascii="Calibri" w:hAnsi="Calibri"/>
          <w:lang w:val="en-GB"/>
        </w:rPr>
        <w:t xml:space="preserve"> the use of</w:t>
      </w:r>
      <w:r w:rsidR="00C31BB4">
        <w:rPr>
          <w:rFonts w:ascii="Calibri" w:hAnsi="Calibri"/>
          <w:lang w:val="en-GB"/>
        </w:rPr>
        <w:t xml:space="preserve"> the </w:t>
      </w:r>
      <w:r w:rsidR="00344150" w:rsidRPr="0086281A">
        <w:rPr>
          <w:rFonts w:ascii="Calibri" w:hAnsi="Calibri"/>
          <w:lang w:val="en-GB"/>
        </w:rPr>
        <w:t xml:space="preserve">MDRD </w:t>
      </w:r>
      <w:r w:rsidR="00C31BB4">
        <w:rPr>
          <w:rFonts w:ascii="Calibri" w:hAnsi="Calibri"/>
          <w:lang w:val="en-GB"/>
        </w:rPr>
        <w:t xml:space="preserve">equation </w:t>
      </w:r>
      <w:r w:rsidR="00344150" w:rsidRPr="0086281A">
        <w:rPr>
          <w:rFonts w:ascii="Calibri" w:hAnsi="Calibri"/>
          <w:lang w:val="en-GB"/>
        </w:rPr>
        <w:t>in the dose adjustment studies</w:t>
      </w:r>
      <w:r w:rsidR="008730C9" w:rsidRPr="0086281A">
        <w:rPr>
          <w:rFonts w:ascii="Calibri" w:hAnsi="Calibri"/>
          <w:lang w:val="en-GB"/>
        </w:rPr>
        <w:t xml:space="preserve"> and</w:t>
      </w:r>
      <w:r w:rsidR="00344150" w:rsidRPr="0086281A">
        <w:rPr>
          <w:rFonts w:ascii="Calibri" w:hAnsi="Calibri"/>
          <w:lang w:val="en-GB"/>
        </w:rPr>
        <w:t xml:space="preserve"> leaves the door open to other formula</w:t>
      </w:r>
      <w:r w:rsidR="00AD513B" w:rsidRPr="0086281A">
        <w:rPr>
          <w:rFonts w:ascii="Calibri" w:hAnsi="Calibri"/>
          <w:lang w:val="en-GB"/>
        </w:rPr>
        <w:t>e</w:t>
      </w:r>
      <w:r w:rsidR="00344150" w:rsidRPr="0086281A">
        <w:rPr>
          <w:rFonts w:ascii="Calibri" w:hAnsi="Calibri"/>
          <w:lang w:val="en-GB"/>
        </w:rPr>
        <w:t xml:space="preserve"> that would prove their superiority in the future to estimate the GFR</w:t>
      </w:r>
      <w:r w:rsidR="00903260" w:rsidRPr="0086281A">
        <w:rPr>
          <w:rFonts w:ascii="Calibri" w:hAnsi="Calibri"/>
          <w:lang w:val="en-GB"/>
        </w:rPr>
        <w:t>,</w:t>
      </w:r>
      <w:r w:rsidR="00E5572A" w:rsidRPr="0086281A">
        <w:rPr>
          <w:rFonts w:ascii="Calibri" w:hAnsi="Calibri"/>
          <w:lang w:val="en-GB"/>
        </w:rPr>
        <w:t xml:space="preserve"> such as the CKD-EPI equation</w:t>
      </w:r>
      <w:r w:rsidR="00344150" w:rsidRPr="0086281A">
        <w:rPr>
          <w:rFonts w:ascii="Calibri" w:hAnsi="Calibri"/>
          <w:lang w:val="en-GB"/>
        </w:rPr>
        <w:t xml:space="preserve">. </w:t>
      </w:r>
      <w:r w:rsidR="00727535">
        <w:rPr>
          <w:rFonts w:ascii="Calibri" w:hAnsi="Calibri"/>
          <w:lang w:val="en-GB"/>
        </w:rPr>
        <w:t>European Medecines Agency (</w:t>
      </w:r>
      <w:r w:rsidR="00344150" w:rsidRPr="0086281A">
        <w:rPr>
          <w:rFonts w:ascii="Calibri" w:hAnsi="Calibri"/>
          <w:lang w:val="en-GB"/>
        </w:rPr>
        <w:t>EMA</w:t>
      </w:r>
      <w:r w:rsidR="00727535">
        <w:rPr>
          <w:rFonts w:ascii="Calibri" w:hAnsi="Calibri"/>
          <w:lang w:val="en-GB"/>
        </w:rPr>
        <w:t>)</w:t>
      </w:r>
      <w:r w:rsidR="00344150" w:rsidRPr="0086281A">
        <w:rPr>
          <w:rFonts w:ascii="Calibri" w:hAnsi="Calibri"/>
          <w:lang w:val="en-GB"/>
        </w:rPr>
        <w:t xml:space="preserve"> and </w:t>
      </w:r>
      <w:r w:rsidR="00E5572A" w:rsidRPr="0086281A">
        <w:rPr>
          <w:rFonts w:ascii="Calibri" w:eastAsiaTheme="minorHAnsi" w:hAnsi="Calibri"/>
          <w:lang w:val="en-GB" w:eastAsia="en-US"/>
        </w:rPr>
        <w:t xml:space="preserve">the </w:t>
      </w:r>
      <w:r w:rsidR="00AD513B" w:rsidRPr="0086281A">
        <w:rPr>
          <w:rFonts w:ascii="Calibri" w:eastAsiaTheme="minorHAnsi" w:hAnsi="Calibri"/>
          <w:lang w:val="en-GB" w:eastAsia="en-US"/>
        </w:rPr>
        <w:t xml:space="preserve">KDIGO </w:t>
      </w:r>
      <w:r w:rsidR="00903260" w:rsidRPr="0086281A">
        <w:rPr>
          <w:rFonts w:ascii="Calibri" w:hAnsi="Calibri"/>
          <w:lang w:val="en-GB"/>
        </w:rPr>
        <w:t>guidelines</w:t>
      </w:r>
      <w:r w:rsidR="00344150" w:rsidRPr="0086281A">
        <w:rPr>
          <w:rFonts w:ascii="Calibri" w:hAnsi="Calibri"/>
          <w:lang w:val="en-GB"/>
        </w:rPr>
        <w:t xml:space="preserve"> are on the same wavelength</w:t>
      </w:r>
      <w:r w:rsidR="00A76F09"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22ni079a8g","properties":{"formattedCitation":"(17,18)","plainCitation":"(17,18)"},"citationItems":[{"id":1532,"uris":["http://zotero.org/users/2405774/items/8W4RP6K7"],"uri":["http://zotero.org/users/2405774/items/8W4RP6K7"],"itemData":{"id":1532,"type":"article","title":"EMA: http://www.ema.europa.eu/docs/en_GB/document_library/Scientific_guideline/2014/02/WC500162133.pdf; 2014."},"label":"page"},{"id":1283,"uris":["http://zotero.org/users/2405774/items/94RFVWR6"],"uri":["http://zotero.org/users/2405774/items/94RFVWR6"],"itemData":{"id":1283,"type":"article-journal","title":"Drug dosing consideration in patients with acute and chronic kidney disease-a clinical update from Kidney Disease: Improving Global Outcomes (KDIGO)","container-title":"Kidney International","page":"1122-1137","volume":"80","issue":"11","source":"NCBI PubMed","abstract":"Drug dosage adjustment for patients with acute or chronic kidney disease is an accepted standard of practice. The challenge is how to accurately estimate a patient's kidney function in both acute and chronic kidney disease and determine the influence of renal replacement therapies on drug disposition. Kidney Disease: Improving Global Outcomes (KDIGO) held a conference to investigate these issues and propose recommendations for practitioners, researchers, and those involved in the drug development and regulatory arenas. The conference attendees discussed the major challenges facing drug dosage adjustment for patients with kidney disease. In particular, although glomerular filtration rate is the metric used to guide dose adjustment, kidney disease does affect nonrenal clearances, and this is not adequately considered in most pharmacokinetic studies. There are also inadequate studies in patients receiving all forms of renal replacement therapy and in the pediatric population. The conference generated 37 recommendations for clinical practice, 32 recommendations for future research directions, and 24 recommendations for regulatory agencies (US Food and Drug Administration and European Medicines Agency) to enhance the quality of pharmacokinetic and pharmacodynamic information available to clinicians. The KDIGO Conference highlighted the gaps and focused on crafting paths to the future that will stimulate research and improve the global outcomes of patients with acute and chronic kidney disease.","DOI":"10.1038/ki.2011.322","ISSN":"1523-1755","note":"PMID: 21918498","shortTitle":"Drug dosing consideration in patients with acute and chronic kidney disease-a clinical update from Kidney Disease","journalAbbreviation":"Kidney Int.","language":"eng","author":[{"family":"Matzke","given":"Gary R."},{"family":"Aronoff","given":"George R."},{"family":"Atkinson","given":"Arthur J."},{"family":"Bennett","given":"William M."},{"family":"Decker","given":"Brian S."},{"family":"Eckardt","given":"Kai-Uwe"},{"family":"Golper","given":"Thomas"},{"family":"Grabe","given":"Darren W."},{"family":"Kasiske","given":"Bertram"},{"family":"Keller","given":"Frieder"},{"family":"Kielstein","given":"Jan T."},{"family":"Mehta","given":"Ravindra"},{"family":"Mueller","given":"Bruce A."},{"family":"Pasko","given":"Deborah A."},{"family":"Schaefer","given":"Franz"},{"family":"Sica","given":"Domenic A."},{"family":"Inker","given":"Lesley A."},{"family":"Umans","given":"Jason G."},{"family":"Murray","given":"Patrick"}],"issued":{"date-parts":[["2011",12]]},"PMID":"21918498"},"label":"page"}],"schema":"https://github.com/citation-style-language/schema/raw/master/csl-citation.json"}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(17,18)</w:t>
      </w:r>
      <w:r w:rsidR="00777D1E" w:rsidRPr="0086281A">
        <w:rPr>
          <w:rFonts w:ascii="Calibri" w:hAnsi="Calibri"/>
          <w:lang w:val="en-GB"/>
        </w:rPr>
        <w:fldChar w:fldCharType="end"/>
      </w:r>
      <w:r w:rsidR="00344150" w:rsidRPr="0086281A">
        <w:rPr>
          <w:rFonts w:ascii="Calibri" w:hAnsi="Calibri"/>
          <w:lang w:val="en-GB"/>
        </w:rPr>
        <w:t xml:space="preserve">. </w:t>
      </w:r>
      <w:r w:rsidR="008730C9" w:rsidRPr="0086281A">
        <w:rPr>
          <w:rFonts w:ascii="Calibri" w:hAnsi="Calibri"/>
          <w:lang w:val="en-GB"/>
        </w:rPr>
        <w:t xml:space="preserve">However, </w:t>
      </w:r>
      <w:r w:rsidR="00344150" w:rsidRPr="0086281A">
        <w:rPr>
          <w:rFonts w:ascii="Calibri" w:hAnsi="Calibri"/>
          <w:lang w:val="en-GB"/>
        </w:rPr>
        <w:t xml:space="preserve">there </w:t>
      </w:r>
      <w:r w:rsidR="000A1220" w:rsidRPr="0086281A">
        <w:rPr>
          <w:rFonts w:ascii="Calibri" w:hAnsi="Calibri"/>
          <w:lang w:val="en-GB"/>
        </w:rPr>
        <w:t xml:space="preserve">is </w:t>
      </w:r>
      <w:r w:rsidR="00344150" w:rsidRPr="0086281A">
        <w:rPr>
          <w:rFonts w:ascii="Calibri" w:hAnsi="Calibri"/>
          <w:lang w:val="en-GB"/>
        </w:rPr>
        <w:t xml:space="preserve">no clear data </w:t>
      </w:r>
      <w:r w:rsidR="000A1220" w:rsidRPr="0086281A">
        <w:rPr>
          <w:rFonts w:ascii="Calibri" w:hAnsi="Calibri"/>
          <w:lang w:val="en-GB"/>
        </w:rPr>
        <w:t>to choose</w:t>
      </w:r>
      <w:r w:rsidR="00344150" w:rsidRPr="0086281A">
        <w:rPr>
          <w:rFonts w:ascii="Calibri" w:hAnsi="Calibri"/>
          <w:lang w:val="en-GB"/>
        </w:rPr>
        <w:t xml:space="preserve"> between MDRD </w:t>
      </w:r>
      <w:r w:rsidR="00E5572A" w:rsidRPr="0086281A">
        <w:rPr>
          <w:rFonts w:ascii="Calibri" w:hAnsi="Calibri"/>
          <w:lang w:val="en-GB"/>
        </w:rPr>
        <w:t>and</w:t>
      </w:r>
      <w:r w:rsidR="00344150" w:rsidRPr="0086281A">
        <w:rPr>
          <w:rFonts w:ascii="Calibri" w:hAnsi="Calibri"/>
          <w:lang w:val="en-GB"/>
        </w:rPr>
        <w:t xml:space="preserve"> CKD-EPI</w:t>
      </w:r>
      <w:r w:rsidR="004372CC" w:rsidRPr="0086281A">
        <w:rPr>
          <w:rFonts w:ascii="Calibri" w:hAnsi="Calibri"/>
          <w:lang w:val="en-GB"/>
        </w:rPr>
        <w:t>,</w:t>
      </w:r>
      <w:r w:rsidR="00344150" w:rsidRPr="0086281A">
        <w:rPr>
          <w:rFonts w:ascii="Calibri" w:hAnsi="Calibri"/>
          <w:lang w:val="en-GB"/>
        </w:rPr>
        <w:t xml:space="preserve"> on one side</w:t>
      </w:r>
      <w:r w:rsidR="004372CC" w:rsidRPr="0086281A">
        <w:rPr>
          <w:rFonts w:ascii="Calibri" w:hAnsi="Calibri"/>
          <w:lang w:val="en-GB"/>
        </w:rPr>
        <w:t>,</w:t>
      </w:r>
      <w:r w:rsidR="00344150" w:rsidRPr="0086281A">
        <w:rPr>
          <w:rFonts w:ascii="Calibri" w:hAnsi="Calibri"/>
          <w:lang w:val="en-GB"/>
        </w:rPr>
        <w:t xml:space="preserve"> and the </w:t>
      </w:r>
      <w:r w:rsidR="00A24270" w:rsidRPr="0086281A">
        <w:rPr>
          <w:rFonts w:ascii="Calibri" w:hAnsi="Calibri"/>
          <w:lang w:val="en-GB"/>
        </w:rPr>
        <w:t>CG equation</w:t>
      </w:r>
      <w:r w:rsidR="004372CC" w:rsidRPr="0086281A">
        <w:rPr>
          <w:rFonts w:ascii="Calibri" w:hAnsi="Calibri"/>
          <w:lang w:val="en-GB"/>
        </w:rPr>
        <w:t>,</w:t>
      </w:r>
      <w:r w:rsidR="00344150" w:rsidRPr="0086281A">
        <w:rPr>
          <w:rFonts w:ascii="Calibri" w:hAnsi="Calibri"/>
          <w:lang w:val="en-GB"/>
        </w:rPr>
        <w:t xml:space="preserve"> on the other</w:t>
      </w:r>
      <w:r w:rsidR="000A1220" w:rsidRPr="0086281A">
        <w:rPr>
          <w:rFonts w:ascii="Calibri" w:hAnsi="Calibri"/>
          <w:lang w:val="en-GB"/>
        </w:rPr>
        <w:t xml:space="preserve"> side,</w:t>
      </w:r>
      <w:r w:rsidR="004454D8" w:rsidRPr="0086281A">
        <w:rPr>
          <w:rFonts w:ascii="Calibri" w:hAnsi="Calibri"/>
          <w:lang w:val="en-GB"/>
        </w:rPr>
        <w:t xml:space="preserve"> in the field of drug dosage adjustment</w:t>
      </w:r>
      <w:r w:rsidR="00B42DDB" w:rsidRPr="0086281A">
        <w:rPr>
          <w:rFonts w:ascii="Calibri" w:hAnsi="Calibri"/>
          <w:lang w:val="en-GB"/>
        </w:rPr>
        <w:t xml:space="preserve"> in obese patients</w:t>
      </w:r>
      <w:r w:rsidR="00344150" w:rsidRPr="0086281A">
        <w:rPr>
          <w:rFonts w:ascii="Calibri" w:hAnsi="Calibri"/>
          <w:lang w:val="en-GB"/>
        </w:rPr>
        <w:t>.</w:t>
      </w:r>
      <w:r w:rsidR="00A24270" w:rsidRPr="0086281A">
        <w:rPr>
          <w:rFonts w:ascii="Calibri" w:hAnsi="Calibri"/>
          <w:lang w:val="en-GB"/>
        </w:rPr>
        <w:t xml:space="preserve"> </w:t>
      </w:r>
    </w:p>
    <w:p w:rsidR="00344150" w:rsidRPr="0086281A" w:rsidRDefault="00344150" w:rsidP="00D40856">
      <w:pPr>
        <w:rPr>
          <w:rFonts w:ascii="Calibri" w:hAnsi="Calibri" w:cs="Times"/>
          <w:lang w:val="en-GB"/>
        </w:rPr>
      </w:pPr>
    </w:p>
    <w:p w:rsidR="003C3581" w:rsidRPr="0086281A" w:rsidRDefault="00B61B34" w:rsidP="00A55209">
      <w:pPr>
        <w:rPr>
          <w:rFonts w:ascii="Calibri" w:hAnsi="Calibri" w:cs="Verdana"/>
          <w:lang w:val="en-GB"/>
        </w:rPr>
      </w:pPr>
      <w:r w:rsidRPr="0086281A">
        <w:rPr>
          <w:rFonts w:ascii="Calibri" w:hAnsi="Calibri" w:cs="Times"/>
          <w:lang w:val="en-GB"/>
        </w:rPr>
        <w:t>There is another specificity in the context of GFR and renal dose adaptation. Indeed</w:t>
      </w:r>
      <w:r w:rsidR="00D01826" w:rsidRPr="0086281A">
        <w:rPr>
          <w:rFonts w:ascii="Calibri" w:hAnsi="Calibri" w:cs="Times"/>
          <w:lang w:val="en-GB"/>
        </w:rPr>
        <w:t>, w</w:t>
      </w:r>
      <w:r w:rsidR="003C3581" w:rsidRPr="0086281A">
        <w:rPr>
          <w:rFonts w:ascii="Calibri" w:hAnsi="Calibri" w:cs="Times"/>
          <w:lang w:val="en-GB"/>
        </w:rPr>
        <w:t xml:space="preserve">hen drug dosing is </w:t>
      </w:r>
      <w:r w:rsidR="00C3066B" w:rsidRPr="0086281A">
        <w:rPr>
          <w:rFonts w:ascii="Calibri" w:hAnsi="Calibri" w:cs="Times"/>
          <w:lang w:val="en-GB"/>
        </w:rPr>
        <w:t xml:space="preserve">considered, the </w:t>
      </w:r>
      <w:r w:rsidR="00E5572A" w:rsidRPr="0086281A">
        <w:rPr>
          <w:rFonts w:ascii="Calibri" w:eastAsiaTheme="minorHAnsi" w:hAnsi="Calibri"/>
          <w:lang w:val="en-GB" w:eastAsia="en-US"/>
        </w:rPr>
        <w:t>KDIGO</w:t>
      </w:r>
      <w:r w:rsidRPr="0086281A">
        <w:rPr>
          <w:rFonts w:ascii="Calibri" w:eastAsiaTheme="minorHAnsi" w:hAnsi="Calibri"/>
          <w:lang w:val="en-GB" w:eastAsia="en-US"/>
        </w:rPr>
        <w:t>, FDA</w:t>
      </w:r>
      <w:r w:rsidR="003C3581" w:rsidRPr="0086281A">
        <w:rPr>
          <w:rFonts w:ascii="Calibri" w:hAnsi="Calibri" w:cs="Times"/>
          <w:lang w:val="en-GB"/>
        </w:rPr>
        <w:t xml:space="preserve"> </w:t>
      </w:r>
      <w:r w:rsidR="00CF169B" w:rsidRPr="0086281A">
        <w:rPr>
          <w:rFonts w:ascii="Calibri" w:hAnsi="Calibri" w:cs="Times"/>
          <w:lang w:val="en-GB"/>
        </w:rPr>
        <w:t>and EMA</w:t>
      </w:r>
      <w:r w:rsidR="00C3066B" w:rsidRPr="0086281A">
        <w:rPr>
          <w:rFonts w:ascii="Calibri" w:hAnsi="Calibri" w:cs="Times"/>
          <w:lang w:val="en-GB"/>
        </w:rPr>
        <w:t xml:space="preserve"> recommend</w:t>
      </w:r>
      <w:r w:rsidR="003C3581" w:rsidRPr="0086281A">
        <w:rPr>
          <w:rFonts w:ascii="Calibri" w:hAnsi="Calibri" w:cs="Times"/>
          <w:lang w:val="en-GB"/>
        </w:rPr>
        <w:t xml:space="preserve"> using eGFR, which is not adjusted to the BSA</w:t>
      </w:r>
      <w:r w:rsidR="00A76F09" w:rsidRPr="0086281A">
        <w:rPr>
          <w:rFonts w:ascii="Calibri" w:hAnsi="Calibri" w:cs="Times"/>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2917e7hime","properties":{"formattedCitation":"(19,17,12)","plainCitation":"(19,17,12)"},"citationItems":[{"id":1531,"uris":["http://zotero.org/users/2405774/items/JE8W37SV"],"uri":["http://zotero.org/users/2405774/items/JE8W37SV"],"itemData":{"id":1531,"type":"article","title":"FDA: http://www.fda.gov/downloads/Drugs/Guidances/UCM204959.pdf; 2010."},"label":"page"},{"id":1532,"uris":["http://zotero.org/users/2405774/items/8W4RP6K7"],"uri":["http://zotero.org/users/2405774/items/8W4RP6K7"],"itemData":{"id":1532,"type":"article","title":"EMA: http://www.ema.europa.eu/docs/en_GB/document_library/Scientific_guideline/2014/02/WC500162133.pdf; 2014."},"label":"page"},{"id":1537,"uris":["http://zotero.org/users/2405774/items/Q6HAFXF7"],"uri":["http://zotero.org/users/2405774/items/Q6HAFXF7"],"itemData":{"id":1537,"type":"article","title":"KDIGO, CKD Evaluation &amp; Management","URL":"http://kdigo.org/home/guidelines/ckd-evaluation-management/"},"label":"page"}],"schema":"https://github.com/citation-style-language/schema/raw/master/csl-citation.json"}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(19,17,12)</w:t>
      </w:r>
      <w:r w:rsidR="00777D1E" w:rsidRPr="0086281A">
        <w:rPr>
          <w:rFonts w:ascii="Calibri" w:hAnsi="Calibri" w:cs="Times"/>
          <w:lang w:val="en-GB"/>
        </w:rPr>
        <w:fldChar w:fldCharType="end"/>
      </w:r>
      <w:r w:rsidR="00A55209" w:rsidRPr="0086281A">
        <w:rPr>
          <w:rFonts w:ascii="Calibri" w:hAnsi="Calibri" w:cs="Times"/>
          <w:lang w:val="en-GB"/>
        </w:rPr>
        <w:t>.</w:t>
      </w:r>
      <w:r w:rsidR="008D529F" w:rsidRPr="0086281A">
        <w:rPr>
          <w:rFonts w:ascii="Calibri" w:hAnsi="Calibri" w:cs="Times"/>
          <w:lang w:val="en-GB"/>
        </w:rPr>
        <w:t xml:space="preserve"> </w:t>
      </w:r>
      <w:r w:rsidR="00D01826" w:rsidRPr="0086281A">
        <w:rPr>
          <w:rFonts w:ascii="Calibri" w:hAnsi="Calibri" w:cs="Verdana"/>
          <w:lang w:val="en-GB"/>
        </w:rPr>
        <w:t>Hence formulae</w:t>
      </w:r>
      <w:r w:rsidR="008D529F" w:rsidRPr="0086281A">
        <w:rPr>
          <w:rFonts w:ascii="Calibri" w:hAnsi="Calibri" w:cs="Verdana"/>
          <w:lang w:val="en-GB"/>
        </w:rPr>
        <w:t xml:space="preserve"> providing BSA-adjusted GFR (mL/min/1.73 m</w:t>
      </w:r>
      <w:r w:rsidR="008D529F" w:rsidRPr="0086281A">
        <w:rPr>
          <w:rFonts w:ascii="Calibri" w:hAnsi="Calibri" w:cs="Verdana"/>
          <w:vertAlign w:val="superscript"/>
          <w:lang w:val="en-GB"/>
        </w:rPr>
        <w:t>2</w:t>
      </w:r>
      <w:r w:rsidR="008D529F" w:rsidRPr="0086281A">
        <w:rPr>
          <w:rFonts w:ascii="Calibri" w:hAnsi="Calibri" w:cs="Verdana"/>
          <w:lang w:val="en-GB"/>
        </w:rPr>
        <w:t xml:space="preserve">) </w:t>
      </w:r>
      <w:r w:rsidR="0001787C" w:rsidRPr="0086281A">
        <w:rPr>
          <w:rFonts w:ascii="Calibri" w:hAnsi="Calibri" w:cs="Verdana"/>
          <w:lang w:val="en-GB"/>
        </w:rPr>
        <w:t>must be adapted to give the</w:t>
      </w:r>
      <w:r w:rsidR="008D529F" w:rsidRPr="0086281A">
        <w:rPr>
          <w:rFonts w:ascii="Calibri" w:hAnsi="Calibri" w:cs="Verdana"/>
          <w:lang w:val="en-GB"/>
        </w:rPr>
        <w:t xml:space="preserve"> absolute GFR in </w:t>
      </w:r>
      <w:r w:rsidR="00AD513B" w:rsidRPr="0086281A">
        <w:rPr>
          <w:rFonts w:ascii="Calibri" w:hAnsi="Calibri" w:cs="Verdana"/>
          <w:lang w:val="en-GB"/>
        </w:rPr>
        <w:t>mL</w:t>
      </w:r>
      <w:r w:rsidR="008D529F" w:rsidRPr="0086281A">
        <w:rPr>
          <w:rFonts w:ascii="Calibri" w:hAnsi="Calibri" w:cs="Verdana"/>
          <w:lang w:val="en-GB"/>
        </w:rPr>
        <w:t xml:space="preserve">/min </w:t>
      </w:r>
      <w:r w:rsidR="00E20244" w:rsidRPr="0086281A">
        <w:rPr>
          <w:rFonts w:ascii="Calibri" w:hAnsi="Calibri" w:cs="Verdana"/>
          <w:lang w:val="en-GB"/>
        </w:rPr>
        <w:t>for</w:t>
      </w:r>
      <w:r w:rsidR="008D529F" w:rsidRPr="0086281A">
        <w:rPr>
          <w:rFonts w:ascii="Calibri" w:hAnsi="Calibri" w:cs="Verdana"/>
          <w:lang w:val="en-GB"/>
        </w:rPr>
        <w:t xml:space="preserve"> each individual. This </w:t>
      </w:r>
      <w:r w:rsidR="003C3581" w:rsidRPr="0086281A">
        <w:rPr>
          <w:rFonts w:ascii="Calibri" w:hAnsi="Calibri" w:cs="Times"/>
          <w:lang w:val="en-GB"/>
        </w:rPr>
        <w:t xml:space="preserve">“de-indexation” </w:t>
      </w:r>
      <w:r w:rsidRPr="0086281A">
        <w:rPr>
          <w:rFonts w:ascii="Calibri" w:hAnsi="Calibri" w:cs="Times"/>
          <w:lang w:val="en-GB"/>
        </w:rPr>
        <w:t xml:space="preserve">has obviously very little impact in the general population. On the contrary, the impact is highly relevant in obese patients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93bh7lg3s","properties":{"formattedCitation":"(20)","plainCitation":"(20)"},"citationItems":[{"id":1173,"uris":["http://zotero.org/users/local/gLwvffvk/items/6M6XPXIG"],"uri":["http://zotero.org/users/local/gLwvffvk/items/6M6XPXIG"],"itemData":{"id":1173,"type":"article-journal","title":"Errors induced by indexing glomerular filtration rate for body surface area: reductio ad absurdum","container-title":"Nephrology, Dialysis, Transplantation: Official Publication of the European Dialysis and Transplant Association - European Renal Association","page":"3593-3596","volume":"24","issue":"12","source":"NCBI PubMed","DOI":"10.1093/ndt/gfp431","ISSN":"1460-2385","note":"PMID: 19734136","shortTitle":"Errors induced by indexing glomerular filtration rate for body surface area","journalAbbreviation":"Nephrol. Dial. Transplant.","language":"eng","author":[{"family":"Delanaye","given":"Pierre"},{"family":"Mariat","given":"Christophe"},{"family":"Cavalier","given":"Etienne"},{"family":"Krzesinski","given":"Jean-Marie"}],"issued":{"date-parts":[["2009",12]]},"PMID":"19734136"}}],"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(20)</w:t>
      </w:r>
      <w:r w:rsidR="00777D1E" w:rsidRPr="0086281A">
        <w:rPr>
          <w:rFonts w:ascii="Calibri" w:hAnsi="Calibri" w:cs="Times"/>
          <w:lang w:val="en-GB"/>
        </w:rPr>
        <w:fldChar w:fldCharType="end"/>
      </w:r>
      <w:r w:rsidR="00AD513B" w:rsidRPr="0086281A">
        <w:rPr>
          <w:rFonts w:ascii="Calibri" w:hAnsi="Calibri" w:cs="Times"/>
          <w:lang w:val="en-GB"/>
        </w:rPr>
        <w:t>.</w:t>
      </w:r>
      <w:r w:rsidR="003C3581" w:rsidRPr="0086281A">
        <w:rPr>
          <w:rFonts w:ascii="Calibri" w:hAnsi="Calibri" w:cs="Times"/>
          <w:lang w:val="en-GB"/>
        </w:rPr>
        <w:t xml:space="preserve"> </w:t>
      </w:r>
      <w:r w:rsidR="006A0445" w:rsidRPr="0086281A">
        <w:rPr>
          <w:rFonts w:ascii="Calibri" w:hAnsi="Calibri" w:cs="Times"/>
          <w:lang w:val="en-GB"/>
        </w:rPr>
        <w:t xml:space="preserve">The use of the ABW in the computation of </w:t>
      </w:r>
      <w:r w:rsidR="006A0445" w:rsidRPr="0086281A">
        <w:rPr>
          <w:rFonts w:ascii="Calibri" w:hAnsi="Calibri" w:cs="Times"/>
          <w:lang w:val="en-GB"/>
        </w:rPr>
        <w:lastRenderedPageBreak/>
        <w:t xml:space="preserve">the BSA in obese patients leads to a decrease </w:t>
      </w:r>
      <w:r w:rsidR="000F19CD" w:rsidRPr="0086281A">
        <w:rPr>
          <w:rFonts w:ascii="Calibri" w:hAnsi="Calibri" w:cs="Times"/>
          <w:lang w:val="en-GB"/>
        </w:rPr>
        <w:t>of its absolute value, and therefore decreases the</w:t>
      </w:r>
      <w:r w:rsidR="006A0445" w:rsidRPr="0086281A">
        <w:rPr>
          <w:rFonts w:ascii="Calibri" w:hAnsi="Calibri" w:cs="Times"/>
          <w:lang w:val="en-GB"/>
        </w:rPr>
        <w:t xml:space="preserve"> impact </w:t>
      </w:r>
      <w:r w:rsidR="000F19CD" w:rsidRPr="0086281A">
        <w:rPr>
          <w:rFonts w:ascii="Calibri" w:hAnsi="Calibri" w:cs="Times"/>
          <w:lang w:val="en-GB"/>
        </w:rPr>
        <w:t xml:space="preserve">on the </w:t>
      </w:r>
      <w:r w:rsidR="006A0445" w:rsidRPr="0086281A">
        <w:rPr>
          <w:rFonts w:ascii="Calibri" w:hAnsi="Calibri" w:cs="Times"/>
          <w:lang w:val="en-GB"/>
        </w:rPr>
        <w:t xml:space="preserve"> </w:t>
      </w:r>
      <w:r w:rsidR="000F19CD" w:rsidRPr="0086281A">
        <w:rPr>
          <w:rFonts w:ascii="Calibri" w:hAnsi="Calibri" w:cs="Times"/>
          <w:lang w:val="en-GB"/>
        </w:rPr>
        <w:t>“de-</w:t>
      </w:r>
      <w:r w:rsidR="006A0445" w:rsidRPr="0086281A">
        <w:rPr>
          <w:rFonts w:ascii="Calibri" w:hAnsi="Calibri" w:cs="Times"/>
          <w:lang w:val="en-GB"/>
        </w:rPr>
        <w:t>indexation</w:t>
      </w:r>
      <w:r w:rsidR="000F19CD" w:rsidRPr="0086281A">
        <w:rPr>
          <w:rFonts w:ascii="Calibri" w:hAnsi="Calibri" w:cs="Times"/>
          <w:lang w:val="en-GB"/>
        </w:rPr>
        <w:t>”</w:t>
      </w:r>
      <w:r w:rsidR="006A0445" w:rsidRPr="0086281A">
        <w:rPr>
          <w:rFonts w:ascii="Calibri" w:hAnsi="Calibri" w:cs="Times"/>
          <w:lang w:val="en-GB"/>
        </w:rPr>
        <w:t xml:space="preserve"> </w:t>
      </w:r>
      <w:r w:rsidR="000F19CD" w:rsidRPr="0086281A">
        <w:rPr>
          <w:rFonts w:ascii="Calibri" w:hAnsi="Calibri" w:cs="Times"/>
          <w:lang w:val="en-GB"/>
        </w:rPr>
        <w:t>of</w:t>
      </w:r>
      <w:r w:rsidR="006A0445" w:rsidRPr="0086281A">
        <w:rPr>
          <w:rFonts w:ascii="Calibri" w:hAnsi="Calibri" w:cs="Times"/>
          <w:lang w:val="en-GB"/>
        </w:rPr>
        <w:t xml:space="preserve"> eGFR.</w:t>
      </w:r>
    </w:p>
    <w:p w:rsidR="00253B55" w:rsidRPr="0086281A" w:rsidRDefault="00253B55" w:rsidP="007575C7">
      <w:pPr>
        <w:widowControl w:val="0"/>
        <w:autoSpaceDE w:val="0"/>
        <w:autoSpaceDN w:val="0"/>
        <w:adjustRightInd w:val="0"/>
        <w:rPr>
          <w:rFonts w:ascii="Calibri" w:hAnsi="Calibri" w:cs="Calibri"/>
          <w:lang w:val="en-GB"/>
        </w:rPr>
      </w:pPr>
    </w:p>
    <w:p w:rsidR="003B3D43" w:rsidRPr="0086281A" w:rsidRDefault="00727535" w:rsidP="009B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color w:val="1F497D" w:themeColor="text2"/>
          <w:lang w:val="en-GB"/>
        </w:rPr>
      </w:pPr>
      <w:r>
        <w:rPr>
          <w:rFonts w:ascii="Calibri" w:hAnsi="Calibri" w:cs="Times"/>
          <w:color w:val="000000"/>
          <w:lang w:val="en-GB"/>
        </w:rPr>
        <w:t xml:space="preserve">We </w:t>
      </w:r>
      <w:r w:rsidR="008C0281" w:rsidRPr="008C0281">
        <w:rPr>
          <w:rFonts w:ascii="Calibri" w:hAnsi="Calibri" w:cs="Times"/>
          <w:color w:val="000000"/>
          <w:lang w:val="en-GB"/>
        </w:rPr>
        <w:t xml:space="preserve">have </w:t>
      </w:r>
      <w:r>
        <w:rPr>
          <w:rFonts w:ascii="Calibri" w:hAnsi="Calibri" w:cs="Times"/>
          <w:color w:val="000000"/>
          <w:lang w:val="en-GB"/>
        </w:rPr>
        <w:t xml:space="preserve">already </w:t>
      </w:r>
      <w:r w:rsidR="008C0281" w:rsidRPr="008C0281">
        <w:rPr>
          <w:rFonts w:ascii="Calibri" w:hAnsi="Calibri" w:cs="Times"/>
          <w:color w:val="000000"/>
          <w:lang w:val="en-GB"/>
        </w:rPr>
        <w:t>studied the performances of the creatinine-based equations (CKD-EPI and MDRD) in the obese population, but in the context of drug dosing adaptation, it seemed crucial to evaluate the performances of those equations de-indexed by the BSA and also the CG equation compared to a reference method of GFR.</w:t>
      </w:r>
      <w:r w:rsidR="00E92ED6" w:rsidRPr="0086281A">
        <w:rPr>
          <w:rFonts w:ascii="Calibri" w:hAnsi="Calibri" w:cs="Times"/>
          <w:lang w:val="en-GB"/>
        </w:rPr>
        <w:t xml:space="preserve"> </w:t>
      </w:r>
      <w:r w:rsidR="008C0281">
        <w:rPr>
          <w:rFonts w:ascii="Calibri" w:hAnsi="Calibri" w:cs="Times"/>
          <w:lang w:val="en-GB"/>
        </w:rPr>
        <w:t>Therefore, w</w:t>
      </w:r>
      <w:r w:rsidR="004E40F5" w:rsidRPr="0086281A">
        <w:rPr>
          <w:rFonts w:ascii="Calibri" w:hAnsi="Calibri" w:cs="Times"/>
          <w:lang w:val="en-GB"/>
        </w:rPr>
        <w:t>e have tested</w:t>
      </w:r>
      <w:r w:rsidR="00B61B34" w:rsidRPr="0086281A">
        <w:rPr>
          <w:rFonts w:ascii="Calibri" w:hAnsi="Calibri" w:cs="Times"/>
          <w:lang w:val="en-GB"/>
        </w:rPr>
        <w:t xml:space="preserve"> and compared with a measured GFR</w:t>
      </w:r>
      <w:r w:rsidR="004E40F5" w:rsidRPr="0086281A">
        <w:rPr>
          <w:rFonts w:ascii="Calibri" w:hAnsi="Calibri" w:cs="Times"/>
          <w:lang w:val="en-GB"/>
        </w:rPr>
        <w:t xml:space="preserve"> </w:t>
      </w:r>
      <w:r w:rsidR="00AD513B" w:rsidRPr="0086281A">
        <w:rPr>
          <w:rFonts w:ascii="Calibri" w:hAnsi="Calibri" w:cs="Times"/>
          <w:lang w:val="en-GB"/>
        </w:rPr>
        <w:t>(mGFR)</w:t>
      </w:r>
      <w:r w:rsidR="004454D8" w:rsidRPr="0086281A">
        <w:rPr>
          <w:rFonts w:ascii="Calibri" w:hAnsi="Calibri" w:cs="Times"/>
          <w:lang w:val="en-GB"/>
        </w:rPr>
        <w:t>,</w:t>
      </w:r>
      <w:r w:rsidR="00AD513B" w:rsidRPr="0086281A">
        <w:rPr>
          <w:rFonts w:ascii="Calibri" w:hAnsi="Calibri" w:cs="Times"/>
          <w:lang w:val="en-GB"/>
        </w:rPr>
        <w:t xml:space="preserve"> </w:t>
      </w:r>
      <w:r w:rsidR="004E40F5" w:rsidRPr="0086281A">
        <w:rPr>
          <w:rFonts w:ascii="Calibri" w:hAnsi="Calibri" w:cs="Times"/>
          <w:lang w:val="en-GB"/>
        </w:rPr>
        <w:t>the performances of two creatinine-based equations</w:t>
      </w:r>
      <w:r w:rsidR="009B7754" w:rsidRPr="0086281A">
        <w:rPr>
          <w:rFonts w:ascii="Calibri" w:hAnsi="Calibri" w:cs="Times"/>
          <w:lang w:val="en-GB"/>
        </w:rPr>
        <w:t xml:space="preserve"> “de-indexed” by BSA</w:t>
      </w:r>
      <w:r w:rsidR="000F19CD" w:rsidRPr="0086281A">
        <w:rPr>
          <w:rFonts w:ascii="Calibri" w:hAnsi="Calibri" w:cs="Times"/>
          <w:lang w:val="en-GB"/>
        </w:rPr>
        <w:t xml:space="preserve"> (using the ABW)</w:t>
      </w:r>
      <w:r w:rsidR="004E40F5" w:rsidRPr="0086281A">
        <w:rPr>
          <w:rFonts w:ascii="Calibri" w:hAnsi="Calibri" w:cs="Times"/>
          <w:lang w:val="en-GB"/>
        </w:rPr>
        <w:t xml:space="preserve">: </w:t>
      </w:r>
      <w:r w:rsidR="00603D66" w:rsidRPr="0086281A">
        <w:rPr>
          <w:rFonts w:ascii="Calibri" w:hAnsi="Calibri" w:cs="Times"/>
          <w:lang w:val="en-GB"/>
        </w:rPr>
        <w:t xml:space="preserve">CKD-EPI </w:t>
      </w:r>
      <w:r w:rsidR="00603D66" w:rsidRPr="0086281A">
        <w:rPr>
          <w:rFonts w:ascii="Calibri" w:hAnsi="Calibri" w:cs="Times"/>
          <w:vertAlign w:val="subscript"/>
          <w:lang w:val="en-GB"/>
        </w:rPr>
        <w:t>deindexed</w:t>
      </w:r>
      <w:r w:rsidR="00603D66" w:rsidRPr="0086281A">
        <w:rPr>
          <w:rFonts w:ascii="Calibri" w:hAnsi="Calibri" w:cs="Times"/>
          <w:lang w:val="en-GB"/>
        </w:rPr>
        <w:t xml:space="preserve"> and</w:t>
      </w:r>
      <w:r w:rsidR="004E40F5" w:rsidRPr="0086281A">
        <w:rPr>
          <w:rFonts w:ascii="Calibri" w:hAnsi="Calibri" w:cs="Times"/>
          <w:lang w:val="en-GB"/>
        </w:rPr>
        <w:t xml:space="preserve"> MDRD</w:t>
      </w:r>
      <w:r w:rsidR="00603D66" w:rsidRPr="0086281A">
        <w:rPr>
          <w:rFonts w:ascii="Calibri" w:hAnsi="Calibri" w:cs="Times"/>
          <w:vertAlign w:val="subscript"/>
          <w:lang w:val="en-GB"/>
        </w:rPr>
        <w:t xml:space="preserve"> deindexed</w:t>
      </w:r>
      <w:r w:rsidR="004E40F5" w:rsidRPr="0086281A">
        <w:rPr>
          <w:rFonts w:ascii="Calibri" w:hAnsi="Calibri" w:cs="Times"/>
          <w:lang w:val="en-GB"/>
        </w:rPr>
        <w:t>,</w:t>
      </w:r>
      <w:r w:rsidR="009B7754" w:rsidRPr="0086281A">
        <w:rPr>
          <w:rFonts w:ascii="Calibri" w:hAnsi="Calibri" w:cs="Times"/>
          <w:lang w:val="en-GB"/>
        </w:rPr>
        <w:t xml:space="preserve"> expressed in mL/min</w:t>
      </w:r>
      <w:r w:rsidR="00D01826" w:rsidRPr="0086281A">
        <w:rPr>
          <w:rFonts w:ascii="Calibri" w:hAnsi="Calibri" w:cs="Times"/>
          <w:lang w:val="en-GB"/>
        </w:rPr>
        <w:t xml:space="preserve">. We have also evaluated the performances of the </w:t>
      </w:r>
      <w:r w:rsidR="003B3D43" w:rsidRPr="0086281A">
        <w:rPr>
          <w:rFonts w:ascii="Calibri" w:hAnsi="Calibri" w:cs="Times"/>
          <w:lang w:val="en-GB"/>
        </w:rPr>
        <w:t>CG</w:t>
      </w:r>
      <w:r w:rsidR="003C3581" w:rsidRPr="0086281A">
        <w:rPr>
          <w:rFonts w:ascii="Calibri" w:hAnsi="Calibri" w:cs="Times"/>
          <w:lang w:val="en-GB"/>
        </w:rPr>
        <w:t xml:space="preserve"> equation (non-</w:t>
      </w:r>
      <w:r w:rsidR="004E40F5" w:rsidRPr="0086281A">
        <w:rPr>
          <w:rFonts w:ascii="Calibri" w:hAnsi="Calibri" w:cs="Times"/>
          <w:lang w:val="en-GB"/>
        </w:rPr>
        <w:t>indexed by BSA) with</w:t>
      </w:r>
      <w:r w:rsidR="00D01826" w:rsidRPr="0086281A">
        <w:rPr>
          <w:rFonts w:ascii="Calibri" w:hAnsi="Calibri" w:cs="Times"/>
          <w:lang w:val="en-GB"/>
        </w:rPr>
        <w:t xml:space="preserve"> actual bo</w:t>
      </w:r>
      <w:r w:rsidR="002E1400" w:rsidRPr="0086281A">
        <w:rPr>
          <w:rFonts w:ascii="Calibri" w:hAnsi="Calibri" w:cs="Times"/>
          <w:lang w:val="en-GB"/>
        </w:rPr>
        <w:t>d</w:t>
      </w:r>
      <w:r w:rsidR="00D01826" w:rsidRPr="0086281A">
        <w:rPr>
          <w:rFonts w:ascii="Calibri" w:hAnsi="Calibri" w:cs="Times"/>
          <w:lang w:val="en-GB"/>
        </w:rPr>
        <w:t>y weight</w:t>
      </w:r>
      <w:r w:rsidR="004E40F5" w:rsidRPr="0086281A">
        <w:rPr>
          <w:rFonts w:ascii="Calibri" w:hAnsi="Calibri" w:cs="Times"/>
          <w:lang w:val="en-GB"/>
        </w:rPr>
        <w:t xml:space="preserve"> </w:t>
      </w:r>
      <w:r w:rsidR="00D01826" w:rsidRPr="0086281A">
        <w:rPr>
          <w:rFonts w:ascii="Calibri" w:hAnsi="Calibri" w:cs="Times"/>
          <w:lang w:val="en-GB"/>
        </w:rPr>
        <w:t>(</w:t>
      </w:r>
      <w:r w:rsidR="00B27096" w:rsidRPr="0086281A">
        <w:rPr>
          <w:rFonts w:ascii="Calibri" w:hAnsi="Calibri" w:cs="Times"/>
          <w:lang w:val="en-GB"/>
        </w:rPr>
        <w:t>ABW</w:t>
      </w:r>
      <w:r w:rsidR="00D01826" w:rsidRPr="0086281A">
        <w:rPr>
          <w:rFonts w:ascii="Calibri" w:hAnsi="Calibri" w:cs="Times"/>
          <w:lang w:val="en-GB"/>
        </w:rPr>
        <w:t>)</w:t>
      </w:r>
      <w:r w:rsidR="00B27096" w:rsidRPr="0086281A">
        <w:rPr>
          <w:rFonts w:ascii="Calibri" w:hAnsi="Calibri" w:cs="Times"/>
          <w:lang w:val="en-GB"/>
        </w:rPr>
        <w:t xml:space="preserve"> </w:t>
      </w:r>
      <w:r w:rsidR="003B3D43" w:rsidRPr="0086281A">
        <w:rPr>
          <w:rFonts w:ascii="Calibri" w:hAnsi="Calibri" w:cs="Times"/>
          <w:lang w:val="en-GB"/>
        </w:rPr>
        <w:t>(CG</w:t>
      </w:r>
      <w:r w:rsidR="00E92ED6" w:rsidRPr="0086281A">
        <w:rPr>
          <w:rFonts w:ascii="Calibri" w:hAnsi="Calibri" w:cs="Times"/>
          <w:vertAlign w:val="subscript"/>
          <w:lang w:val="en-GB"/>
        </w:rPr>
        <w:t>ABW</w:t>
      </w:r>
      <w:r w:rsidR="003B3D43" w:rsidRPr="0086281A">
        <w:rPr>
          <w:rFonts w:ascii="Calibri" w:hAnsi="Calibri" w:cs="Times"/>
          <w:lang w:val="en-GB"/>
        </w:rPr>
        <w:t xml:space="preserve">) </w:t>
      </w:r>
      <w:r w:rsidR="004E40F5" w:rsidRPr="0086281A">
        <w:rPr>
          <w:rFonts w:ascii="Calibri" w:hAnsi="Calibri" w:cs="Times"/>
          <w:lang w:val="en-GB"/>
        </w:rPr>
        <w:t xml:space="preserve">or </w:t>
      </w:r>
      <w:r w:rsidR="00895D11" w:rsidRPr="0086281A">
        <w:rPr>
          <w:rFonts w:ascii="Calibri" w:hAnsi="Calibri" w:cs="Times"/>
          <w:lang w:val="en-GB"/>
        </w:rPr>
        <w:t xml:space="preserve">with </w:t>
      </w:r>
      <w:r w:rsidR="00AD513B" w:rsidRPr="0086281A">
        <w:rPr>
          <w:rFonts w:ascii="Calibri" w:hAnsi="Calibri" w:cs="Times"/>
          <w:lang w:val="en-GB"/>
        </w:rPr>
        <w:t>adjusted ideal body weight (</w:t>
      </w:r>
      <w:r w:rsidR="00B27096" w:rsidRPr="0086281A">
        <w:rPr>
          <w:rFonts w:ascii="Calibri" w:hAnsi="Calibri" w:cs="Times"/>
          <w:lang w:val="en-GB"/>
        </w:rPr>
        <w:t>AIBW</w:t>
      </w:r>
      <w:r w:rsidR="00AD513B" w:rsidRPr="0086281A">
        <w:rPr>
          <w:rFonts w:ascii="Calibri" w:hAnsi="Calibri" w:cs="Times"/>
          <w:lang w:val="en-GB"/>
        </w:rPr>
        <w:t>)</w:t>
      </w:r>
      <w:r w:rsidR="004E40F5" w:rsidRPr="0086281A">
        <w:rPr>
          <w:rFonts w:ascii="Calibri" w:hAnsi="Calibri" w:cs="Times"/>
          <w:lang w:val="en-GB"/>
        </w:rPr>
        <w:t xml:space="preserve"> (</w:t>
      </w:r>
      <w:r w:rsidR="003B3D43" w:rsidRPr="0086281A">
        <w:rPr>
          <w:rFonts w:ascii="Calibri" w:hAnsi="Calibri" w:cs="Times"/>
          <w:lang w:val="en-GB"/>
        </w:rPr>
        <w:t>CG</w:t>
      </w:r>
      <w:r w:rsidR="004E40F5" w:rsidRPr="0086281A">
        <w:rPr>
          <w:rFonts w:ascii="Calibri" w:hAnsi="Calibri" w:cs="Times"/>
          <w:vertAlign w:val="subscript"/>
          <w:lang w:val="en-GB"/>
        </w:rPr>
        <w:t>AIBW</w:t>
      </w:r>
      <w:r w:rsidR="004E40F5" w:rsidRPr="0086281A">
        <w:rPr>
          <w:rFonts w:ascii="Calibri" w:hAnsi="Calibri" w:cs="Times"/>
          <w:lang w:val="en-GB"/>
        </w:rPr>
        <w:t>)</w:t>
      </w:r>
      <w:r w:rsidR="00895D11" w:rsidRPr="0086281A">
        <w:rPr>
          <w:rFonts w:ascii="Calibri" w:hAnsi="Calibri" w:cs="Times"/>
          <w:lang w:val="en-GB"/>
        </w:rPr>
        <w:t>, expressed</w:t>
      </w:r>
      <w:r w:rsidR="009B7754" w:rsidRPr="0086281A">
        <w:rPr>
          <w:rFonts w:ascii="Calibri" w:hAnsi="Calibri" w:cs="Times"/>
          <w:lang w:val="en-GB"/>
        </w:rPr>
        <w:t xml:space="preserve"> in mL/min. </w:t>
      </w:r>
      <w:r w:rsidR="00603D66" w:rsidRPr="0086281A">
        <w:rPr>
          <w:rFonts w:ascii="Calibri" w:hAnsi="Calibri" w:cs="Times"/>
          <w:lang w:val="en-GB"/>
        </w:rPr>
        <w:t xml:space="preserve">All patients </w:t>
      </w:r>
      <w:r w:rsidR="0077030D">
        <w:rPr>
          <w:rFonts w:ascii="Calibri" w:hAnsi="Calibri" w:cs="Times"/>
          <w:lang w:val="en-GB"/>
        </w:rPr>
        <w:t>have been</w:t>
      </w:r>
      <w:r w:rsidR="00603D66" w:rsidRPr="0086281A">
        <w:rPr>
          <w:rFonts w:ascii="Calibri" w:hAnsi="Calibri" w:cs="Times"/>
          <w:lang w:val="en-GB"/>
        </w:rPr>
        <w:t xml:space="preserve"> classified according to the</w:t>
      </w:r>
      <w:r w:rsidR="00B61B34" w:rsidRPr="0086281A">
        <w:rPr>
          <w:rFonts w:ascii="Calibri" w:hAnsi="Calibri" w:cs="Times"/>
          <w:lang w:val="en-GB"/>
        </w:rPr>
        <w:t xml:space="preserve"> five</w:t>
      </w:r>
      <w:r w:rsidR="00603D66" w:rsidRPr="0086281A">
        <w:rPr>
          <w:rFonts w:ascii="Calibri" w:hAnsi="Calibri" w:cs="Times"/>
          <w:lang w:val="en-GB"/>
        </w:rPr>
        <w:t xml:space="preserve"> </w:t>
      </w:r>
      <w:r w:rsidR="003C3581" w:rsidRPr="0086281A">
        <w:rPr>
          <w:rFonts w:ascii="Calibri" w:hAnsi="Calibri" w:cs="Times"/>
          <w:lang w:val="en-GB"/>
        </w:rPr>
        <w:t xml:space="preserve">KDIGO </w:t>
      </w:r>
      <w:r w:rsidR="005D2644" w:rsidRPr="0086281A">
        <w:rPr>
          <w:rFonts w:ascii="Calibri" w:hAnsi="Calibri" w:cs="Times"/>
          <w:lang w:val="en-GB"/>
        </w:rPr>
        <w:t>stages</w:t>
      </w:r>
      <w:r w:rsidR="00603D66" w:rsidRPr="0086281A">
        <w:rPr>
          <w:rFonts w:ascii="Calibri" w:hAnsi="Calibri" w:cs="Times"/>
          <w:lang w:val="en-GB"/>
        </w:rPr>
        <w:t xml:space="preserve"> </w:t>
      </w:r>
      <w:r w:rsidR="00B61B34" w:rsidRPr="0086281A">
        <w:rPr>
          <w:rFonts w:ascii="Calibri" w:hAnsi="Calibri" w:cs="Times"/>
          <w:lang w:val="en-GB"/>
        </w:rPr>
        <w:t xml:space="preserve">and we </w:t>
      </w:r>
      <w:r w:rsidR="0077030D">
        <w:rPr>
          <w:rFonts w:ascii="Calibri" w:hAnsi="Calibri" w:cs="Times"/>
          <w:lang w:val="en-GB"/>
        </w:rPr>
        <w:t xml:space="preserve">have </w:t>
      </w:r>
      <w:r w:rsidR="00B61B34" w:rsidRPr="0086281A">
        <w:rPr>
          <w:rFonts w:ascii="Calibri" w:hAnsi="Calibri" w:cs="Times"/>
          <w:lang w:val="en-GB"/>
        </w:rPr>
        <w:t>compare</w:t>
      </w:r>
      <w:r w:rsidR="0001787C" w:rsidRPr="0086281A">
        <w:rPr>
          <w:rFonts w:ascii="Calibri" w:hAnsi="Calibri" w:cs="Times"/>
          <w:lang w:val="en-GB"/>
        </w:rPr>
        <w:t>d</w:t>
      </w:r>
      <w:r w:rsidR="00B61B34" w:rsidRPr="0086281A">
        <w:rPr>
          <w:rFonts w:ascii="Calibri" w:hAnsi="Calibri" w:cs="Times"/>
          <w:lang w:val="en-GB"/>
        </w:rPr>
        <w:t xml:space="preserve"> the concordance of the different equation</w:t>
      </w:r>
      <w:r w:rsidR="00D01826" w:rsidRPr="0086281A">
        <w:rPr>
          <w:rFonts w:ascii="Calibri" w:hAnsi="Calibri" w:cs="Times"/>
          <w:lang w:val="en-GB"/>
        </w:rPr>
        <w:t>s</w:t>
      </w:r>
      <w:r w:rsidR="00B61B34" w:rsidRPr="0086281A">
        <w:rPr>
          <w:rFonts w:ascii="Calibri" w:hAnsi="Calibri" w:cs="Times"/>
          <w:lang w:val="en-GB"/>
        </w:rPr>
        <w:t xml:space="preserve"> for such a staging.</w:t>
      </w:r>
      <w:r w:rsidR="009B7754" w:rsidRPr="0086281A">
        <w:rPr>
          <w:rFonts w:ascii="Calibri" w:hAnsi="Calibri" w:cs="Times"/>
          <w:lang w:val="en-GB"/>
        </w:rPr>
        <w:t xml:space="preserve"> </w:t>
      </w:r>
      <w:r w:rsidR="005D2644" w:rsidRPr="0086281A">
        <w:rPr>
          <w:rFonts w:ascii="Calibri" w:hAnsi="Calibri" w:cs="Times"/>
          <w:lang w:val="en-GB"/>
        </w:rPr>
        <w:t xml:space="preserve">Lastly, we </w:t>
      </w:r>
      <w:r w:rsidR="0077030D">
        <w:rPr>
          <w:rFonts w:ascii="Calibri" w:hAnsi="Calibri" w:cs="Times"/>
          <w:lang w:val="en-GB"/>
        </w:rPr>
        <w:t xml:space="preserve">have </w:t>
      </w:r>
      <w:r w:rsidR="005D2644" w:rsidRPr="0086281A">
        <w:rPr>
          <w:rFonts w:ascii="Calibri" w:hAnsi="Calibri" w:cs="Times"/>
          <w:lang w:val="en-GB"/>
        </w:rPr>
        <w:t>compare</w:t>
      </w:r>
      <w:r w:rsidR="0001787C" w:rsidRPr="0086281A">
        <w:rPr>
          <w:rFonts w:ascii="Calibri" w:hAnsi="Calibri" w:cs="Times"/>
          <w:lang w:val="en-GB"/>
        </w:rPr>
        <w:t>d</w:t>
      </w:r>
      <w:r w:rsidR="005D2644" w:rsidRPr="0086281A">
        <w:rPr>
          <w:rFonts w:ascii="Calibri" w:hAnsi="Calibri" w:cs="Times"/>
          <w:lang w:val="en-GB"/>
        </w:rPr>
        <w:t xml:space="preserve"> the results of the different equations to classify the patients according to the different GFR levels recommended </w:t>
      </w:r>
      <w:r w:rsidR="00C25C60" w:rsidRPr="0086281A">
        <w:rPr>
          <w:rFonts w:ascii="Calibri" w:hAnsi="Calibri" w:cs="Times"/>
          <w:lang w:val="en-GB"/>
        </w:rPr>
        <w:t xml:space="preserve">by the KDIGO </w:t>
      </w:r>
      <w:r w:rsidR="005D2644" w:rsidRPr="0086281A">
        <w:rPr>
          <w:rFonts w:ascii="Calibri" w:hAnsi="Calibri" w:cs="Times"/>
          <w:lang w:val="en-GB"/>
        </w:rPr>
        <w:t xml:space="preserve">for </w:t>
      </w:r>
      <w:r w:rsidR="00C25C60" w:rsidRPr="0086281A">
        <w:rPr>
          <w:rFonts w:ascii="Calibri" w:hAnsi="Calibri" w:cs="Times"/>
          <w:lang w:val="en-GB"/>
        </w:rPr>
        <w:t>adaptation</w:t>
      </w:r>
      <w:r w:rsidR="005D2644" w:rsidRPr="0086281A">
        <w:rPr>
          <w:rFonts w:ascii="Calibri" w:hAnsi="Calibri" w:cs="Times"/>
          <w:lang w:val="en-GB"/>
        </w:rPr>
        <w:t xml:space="preserve"> of metformin </w:t>
      </w:r>
      <w:r w:rsidR="00777D1E" w:rsidRPr="0086281A">
        <w:rPr>
          <w:rFonts w:ascii="Calibri" w:hAnsi="Calibri"/>
          <w:lang w:val="en-GB" w:eastAsia="en-US"/>
        </w:rPr>
        <w:fldChar w:fldCharType="begin"/>
      </w:r>
      <w:r w:rsidR="009852DE">
        <w:rPr>
          <w:rFonts w:ascii="Calibri" w:hAnsi="Calibri"/>
          <w:lang w:val="en-GB" w:eastAsia="en-US"/>
        </w:rPr>
        <w:instrText xml:space="preserve"> ADDIN ZOTERO_ITEM CSL_CITATION {"citationID":"13tcanv5qi","properties":{"formattedCitation":"(18)","plainCitation":"(18)"},"citationItems":[{"id":1283,"uris":["http://zotero.org/users/2405774/items/94RFVWR6"],"uri":["http://zotero.org/users/2405774/items/94RFVWR6"],"itemData":{"id":1283,"type":"article-journal","title":"Drug dosing consideration in patients with acute and chronic kidney disease-a clinical update from Kidney Disease: Improving Global Outcomes (KDIGO)","container-title":"Kidney International","page":"1122-1137","volume":"80","issue":"11","source":"NCBI PubMed","abstract":"Drug dosage adjustment for patients with acute or chronic kidney disease is an accepted standard of practice. The challenge is how to accurately estimate a patient's kidney function in both acute and chronic kidney disease and determine the influence of renal replacement therapies on drug disposition. Kidney Disease: Improving Global Outcomes (KDIGO) held a conference to investigate these issues and propose recommendations for practitioners, researchers, and those involved in the drug development and regulatory arenas. The conference attendees discussed the major challenges facing drug dosage adjustment for patients with kidney disease. In particular, although glomerular filtration rate is the metric used to guide dose adjustment, kidney disease does affect nonrenal clearances, and this is not adequately considered in most pharmacokinetic studies. There are also inadequate studies in patients receiving all forms of renal replacement therapy and in the pediatric population. The conference generated 37 recommendations for clinical practice, 32 recommendations for future research directions, and 24 recommendations for regulatory agencies (US Food and Drug Administration and European Medicines Agency) to enhance the quality of pharmacokinetic and pharmacodynamic information available to clinicians. The KDIGO Conference highlighted the gaps and focused on crafting paths to the future that will stimulate research and improve the global outcomes of patients with acute and chronic kidney disease.","DOI":"10.1038/ki.2011.322","ISSN":"1523-1755","note":"PMID: 21918498","shortTitle":"Drug dosing consideration in patients with acute and chronic kidney disease-a clinical update from Kidney Disease","journalAbbreviation":"Kidney Int.","language":"eng","author":[{"family":"Matzke","given":"Gary R."},{"family":"Aronoff","given":"George R."},{"family":"Atkinson","given":"Arthur J."},{"family":"Bennett","given":"William M."},{"family":"Decker","given":"Brian S."},{"family":"Eckardt","given":"Kai-Uwe"},{"family":"Golper","given":"Thomas"},{"family":"Grabe","given":"Darren W."},{"family":"Kasiske","given":"Bertram"},{"family":"Keller","given":"Frieder"},{"family":"Kielstein","given":"Jan T."},{"family":"Mehta","given":"Ravindra"},{"family":"Mueller","given":"Bruce A."},{"family":"Pasko","given":"Deborah A."},{"family":"Schaefer","given":"Franz"},{"family":"Sica","given":"Domenic A."},{"family":"Inker","given":"Lesley A."},{"family":"Umans","given":"Jason G."},{"family":"Murray","given":"Patrick"}],"issued":{"date-parts":[["2011",12]]},"PMID":"21918498"}}],"schema":"https://github.com/citation-style-language/schema/raw/master/csl-citation.json"} </w:instrText>
      </w:r>
      <w:r w:rsidR="00777D1E" w:rsidRPr="0086281A">
        <w:rPr>
          <w:rFonts w:ascii="Calibri" w:hAnsi="Calibri"/>
          <w:lang w:val="en-GB" w:eastAsia="en-US"/>
        </w:rPr>
        <w:fldChar w:fldCharType="separate"/>
      </w:r>
      <w:r w:rsidR="009852DE">
        <w:rPr>
          <w:rFonts w:ascii="Calibri" w:hAnsi="Calibri"/>
          <w:noProof/>
          <w:lang w:val="en-GB" w:eastAsia="en-US"/>
        </w:rPr>
        <w:t>(18)</w:t>
      </w:r>
      <w:r w:rsidR="00777D1E" w:rsidRPr="0086281A">
        <w:rPr>
          <w:rFonts w:ascii="Calibri" w:hAnsi="Calibri"/>
          <w:lang w:val="en-GB" w:eastAsia="en-US"/>
        </w:rPr>
        <w:fldChar w:fldCharType="end"/>
      </w:r>
      <w:r w:rsidR="005D2644" w:rsidRPr="0086281A">
        <w:rPr>
          <w:rFonts w:ascii="Calibri" w:hAnsi="Calibri"/>
          <w:lang w:val="en-GB" w:eastAsia="en-US"/>
        </w:rPr>
        <w:t>.</w:t>
      </w:r>
    </w:p>
    <w:p w:rsidR="007575C7" w:rsidRPr="0086281A" w:rsidRDefault="007575C7" w:rsidP="00241F6A">
      <w:pPr>
        <w:pStyle w:val="Titre1"/>
        <w:rPr>
          <w:rFonts w:ascii="Calibri" w:hAnsi="Calibri"/>
          <w:lang w:val="en-GB" w:eastAsia="fr-BE"/>
        </w:rPr>
      </w:pPr>
      <w:r w:rsidRPr="0086281A">
        <w:rPr>
          <w:rFonts w:ascii="Calibri" w:hAnsi="Calibri"/>
          <w:lang w:val="en-GB" w:eastAsia="fr-BE"/>
        </w:rPr>
        <w:t>Population and Methods</w:t>
      </w:r>
    </w:p>
    <w:p w:rsidR="007575C7" w:rsidRPr="0086281A" w:rsidRDefault="007575C7" w:rsidP="007575C7">
      <w:pPr>
        <w:rPr>
          <w:rFonts w:ascii="Calibri" w:hAnsi="Calibri"/>
          <w:lang w:val="en-GB"/>
        </w:rPr>
      </w:pPr>
    </w:p>
    <w:p w:rsidR="00095398" w:rsidRPr="0086281A" w:rsidRDefault="00F87B56" w:rsidP="009A13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Pr>
          <w:rFonts w:ascii="Calibri" w:hAnsi="Calibri" w:cs="Times"/>
          <w:lang w:val="en-GB"/>
        </w:rPr>
        <w:t>The studied population is the same as we have already published in 2013. As a reminder, e</w:t>
      </w:r>
      <w:r w:rsidR="007575C7" w:rsidRPr="0086281A">
        <w:rPr>
          <w:rFonts w:ascii="Calibri" w:hAnsi="Calibri" w:cs="Times"/>
          <w:lang w:val="en-GB"/>
        </w:rPr>
        <w:t>ligible patients were &gt;</w:t>
      </w:r>
      <w:r w:rsidR="00D01826" w:rsidRPr="0086281A">
        <w:rPr>
          <w:rFonts w:ascii="Calibri" w:hAnsi="Calibri" w:cs="Times"/>
          <w:lang w:val="en-GB"/>
        </w:rPr>
        <w:t xml:space="preserve"> </w:t>
      </w:r>
      <w:r w:rsidR="007575C7" w:rsidRPr="0086281A">
        <w:rPr>
          <w:rFonts w:ascii="Calibri" w:hAnsi="Calibri" w:cs="Times"/>
          <w:lang w:val="en-GB"/>
        </w:rPr>
        <w:t>18 years and had a BMI &gt; 30 kg/m</w:t>
      </w:r>
      <w:r w:rsidR="007575C7" w:rsidRPr="0086281A">
        <w:rPr>
          <w:rFonts w:ascii="Calibri" w:hAnsi="Calibri" w:cs="Times"/>
          <w:vertAlign w:val="superscript"/>
          <w:lang w:val="en-GB"/>
        </w:rPr>
        <w:t>2</w:t>
      </w:r>
      <w:r w:rsidR="007575C7" w:rsidRPr="0086281A">
        <w:rPr>
          <w:rFonts w:ascii="Calibri" w:hAnsi="Calibri" w:cs="Times"/>
          <w:lang w:val="en-GB"/>
        </w:rPr>
        <w:t>. Patients treated with steroids, cimetidine or trimethoprim were excluded. In the non-CKD obese population, indication for GFR measurement was before a potential living kidney donation or before a slimming diet. In CKD obese patients, GFR was measured in the context of CKD follow-up, and not because of obesity.</w:t>
      </w:r>
      <w:r w:rsidR="00E74E8E" w:rsidRPr="0086281A">
        <w:rPr>
          <w:rFonts w:ascii="Calibri" w:hAnsi="Calibri" w:cs="Times"/>
          <w:lang w:val="en-GB"/>
        </w:rPr>
        <w:t xml:space="preserve"> </w:t>
      </w:r>
      <w:r w:rsidR="007575C7" w:rsidRPr="0086281A">
        <w:rPr>
          <w:rFonts w:ascii="Calibri" w:hAnsi="Calibri" w:cs="Times"/>
          <w:lang w:val="en-GB"/>
        </w:rPr>
        <w:t xml:space="preserve">GFR was measured by plasma clearance of </w:t>
      </w:r>
      <w:r w:rsidR="007575C7" w:rsidRPr="0086281A">
        <w:rPr>
          <w:rFonts w:ascii="Calibri" w:hAnsi="Calibri" w:cs="Times"/>
          <w:vertAlign w:val="subscript"/>
          <w:lang w:val="en-GB"/>
        </w:rPr>
        <w:t>51</w:t>
      </w:r>
      <w:r w:rsidR="007575C7" w:rsidRPr="0086281A">
        <w:rPr>
          <w:rFonts w:ascii="Calibri" w:hAnsi="Calibri" w:cs="Times"/>
          <w:lang w:val="en-GB"/>
        </w:rPr>
        <w:t>Cr-EDTA: single-injection method with two samples at 120 and 240 min and Bröchner</w:t>
      </w:r>
      <w:r w:rsidR="007575C7" w:rsidRPr="0086281A">
        <w:rPr>
          <w:rFonts w:ascii="Calibri" w:hAnsi="Calibri" w:cs="Helvetica"/>
          <w:lang w:val="en-GB"/>
        </w:rPr>
        <w:t>–</w:t>
      </w:r>
      <w:r w:rsidR="007575C7" w:rsidRPr="0086281A">
        <w:rPr>
          <w:rFonts w:ascii="Calibri" w:hAnsi="Calibri" w:cs="Times"/>
          <w:lang w:val="en-GB"/>
        </w:rPr>
        <w:t xml:space="preserve">Mortensen correction. BSA was calculated with the equation developed by Gehan and George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mtlal3cp3","properties":{"formattedCitation":"(21)","plainCitation":"(21)"},"citationItems":[{"id":1183,"uris":["http://zotero.org/users/local/gLwvffvk/items/K4QNKUNK"],"uri":["http://zotero.org/users/local/gLwvffvk/items/K4QNKUNK"],"itemData":{"id":1183,"type":"article-journal","title":"Estimation of human body surface area from height and weight","container-title":"Cancer Chemotherapy Reports. Part 1","page":"225-235","volume":"54","issue":"4","source":"NCBI PubMed","ISSN":"0069-0112","note":"PMID: 5527019","journalAbbreviation":"Cancer Chemother Rep","language":"eng","author":[{"family":"Gehan","given":"E. A."},{"family":"George","given":"S. L."}],"issued":{"date-parts":[["1970",8]]},"PMID":"5527019"}}],"schema":"https://github.com/citation-style-language/schema/raw/master/csl-citation.json"}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(21)</w:t>
      </w:r>
      <w:r w:rsidR="00777D1E" w:rsidRPr="0086281A">
        <w:rPr>
          <w:rFonts w:ascii="Calibri" w:hAnsi="Calibri" w:cs="Times"/>
          <w:lang w:val="en-GB"/>
        </w:rPr>
        <w:fldChar w:fldCharType="end"/>
      </w:r>
      <w:r w:rsidR="007575C7" w:rsidRPr="0086281A">
        <w:rPr>
          <w:rFonts w:ascii="Calibri" w:hAnsi="Calibri" w:cs="Times"/>
          <w:lang w:val="en-GB"/>
        </w:rPr>
        <w:t xml:space="preserve">. Serum creatinine was sampled the same day as GFR determination and measured using </w:t>
      </w:r>
      <w:r w:rsidR="007575C7" w:rsidRPr="00727535">
        <w:rPr>
          <w:rFonts w:ascii="Calibri" w:hAnsi="Calibri" w:cs="Times"/>
          <w:lang w:val="en-GB"/>
        </w:rPr>
        <w:t xml:space="preserve">the </w:t>
      </w:r>
      <w:r w:rsidR="005F3F4C" w:rsidRPr="00727535">
        <w:rPr>
          <w:rFonts w:ascii="Calibri" w:hAnsi="Calibri" w:cs="Times"/>
          <w:lang w:val="en-GB"/>
        </w:rPr>
        <w:t>IDMS-traceable</w:t>
      </w:r>
      <w:r w:rsidR="005F3F4C" w:rsidRPr="0077030D">
        <w:rPr>
          <w:rFonts w:ascii="Calibri" w:hAnsi="Calibri" w:cs="Times"/>
          <w:u w:val="single"/>
          <w:lang w:val="en-GB"/>
        </w:rPr>
        <w:t xml:space="preserve"> </w:t>
      </w:r>
      <w:r w:rsidR="005F3F4C" w:rsidRPr="0086281A">
        <w:rPr>
          <w:rFonts w:ascii="Calibri" w:hAnsi="Calibri" w:cs="Times"/>
          <w:lang w:val="en-GB"/>
        </w:rPr>
        <w:t>compensated Jaffe</w:t>
      </w:r>
      <w:r w:rsidR="007575C7" w:rsidRPr="0086281A">
        <w:rPr>
          <w:rFonts w:ascii="Calibri" w:hAnsi="Calibri" w:cs="Times"/>
          <w:lang w:val="en-GB"/>
        </w:rPr>
        <w:t xml:space="preserve"> method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2jkafq5lic","properties":{"formattedCitation":"(22)","plainCitation":"(22)"},"citationItems":[{"id":1191,"uris":["http://zotero.org/users/local/gLwvffvk/items/P4X3NBTP"],"uri":["http://zotero.org/users/local/gLwvffvk/items/P4X3NBTP"],"itemData":{"id":1191,"type":"article-journal","title":"Reference range and method comparison studies for enzymatic and Jaffé creatinine assays in plasma and serum and early morning urine","container-title":"Clinical Laboratory","page":"53-55","volume":"46","issue":"1-2","source":"NCBI PubMed","ISSN":"1433-6510","note":"PMID: 10745982","journalAbbreviation":"Clin. Lab.","language":"eng","author":[{"family":"Mazzachi","given":"B. C."},{"family":"Peake","given":"M. J."},{"family":"Ehrhardt","given":"V."}],"issued":{"date-parts":[["2000"]]},"PMID":"10745982"}}],"schema":"https://github.com/citation-style-language/schema/raw/master/csl-citation.json"}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(22)</w:t>
      </w:r>
      <w:r w:rsidR="00777D1E" w:rsidRPr="0086281A">
        <w:rPr>
          <w:rFonts w:ascii="Calibri" w:hAnsi="Calibri" w:cs="Times"/>
          <w:lang w:val="en-GB"/>
        </w:rPr>
        <w:fldChar w:fldCharType="end"/>
      </w:r>
      <w:r w:rsidR="007575C7" w:rsidRPr="0086281A">
        <w:rPr>
          <w:rFonts w:ascii="Calibri" w:hAnsi="Calibri" w:cs="Times"/>
          <w:lang w:val="en-GB"/>
        </w:rPr>
        <w:t>.</w:t>
      </w:r>
      <w:r w:rsidR="00603D66" w:rsidRPr="0086281A">
        <w:rPr>
          <w:rFonts w:ascii="Calibri" w:hAnsi="Calibri" w:cs="Times"/>
          <w:lang w:val="en-GB"/>
        </w:rPr>
        <w:t xml:space="preserve"> The CG and</w:t>
      </w:r>
      <w:r w:rsidR="007575C7" w:rsidRPr="0086281A">
        <w:rPr>
          <w:rFonts w:ascii="Calibri" w:hAnsi="Calibri" w:cs="Times"/>
          <w:lang w:val="en-GB"/>
        </w:rPr>
        <w:t xml:space="preserve"> eGFR w</w:t>
      </w:r>
      <w:r w:rsidR="0001787C" w:rsidRPr="0086281A">
        <w:rPr>
          <w:rFonts w:ascii="Calibri" w:hAnsi="Calibri" w:cs="Times"/>
          <w:lang w:val="en-GB"/>
        </w:rPr>
        <w:t>ere</w:t>
      </w:r>
      <w:r w:rsidR="007575C7" w:rsidRPr="0086281A">
        <w:rPr>
          <w:rFonts w:ascii="Calibri" w:hAnsi="Calibri" w:cs="Times"/>
          <w:lang w:val="en-GB"/>
        </w:rPr>
        <w:t xml:space="preserve"> calculated with the CKD-EPI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1fv195ng07","properties":{"formattedCitation":"(23)","plainCitation":"(23)"},"citationItems":[{"id":1167,"uris":["http://zotero.org/users/local/gLwvffvk/items/6GWBPQF3"],"uri":["http://zotero.org/users/local/gLwvffvk/items/6GWBPQF3"],"itemData":{"id":1167,"type":"article-journal","title":"A new equation to estimate glomerular filtration rate","container-title":"Annals of Internal Medicine","page":"604-612","volume":"150","issue":"9","source":"NCBI PubMed","abstract":"BACKGROUND: Equations to estimate glomerular filtration rate (GFR) are routinely used to assess kidney function. Current equations have limited precision and systematically underestimate measured GFR at higher values.\nOBJECTIVE: To develop a new estimating equation for GFR: the Chronic Kidney Disease Epidemiology Collaboration (CKD-EPI) equation.\nDESIGN: Cross-sectional analysis with separate pooled data sets for equation development and validation and a representative sample of the U.S. population for prevalence estimates.\nSETTING: Research studies and clinical populations (\"studies\") with measured GFR and NHANES (National Health and Nutrition Examination Survey), 1999 to 2006.\nPARTICIPANTS: 8254 participants in 10 studies (equation development data set) and 3896 participants in 16 studies (validation data set). Prevalence estimates were based on 16,032 participants in NHANES.\nMEASUREMENTS: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age.\nRESULTS: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14.0%).\nLIMITATION: The sample contained a limited number of elderly people and racial and ethnic minorities with measured GFR.\nCONCLUSION: The CKD-EPI creatinine equation is more accurate than the Modification of Diet in Renal Disease Study equation and could replace it for routine clinical use.\nPRIMARY FUNDING SOURCE: National Institute of Diabetes and Digestive and Kidney Diseases.","ISSN":"1539-3704","note":"PMID: 19414839 \nPMCID: PMC2763564","journalAbbreviation":"Ann. Intern. Med.","language":"eng","author":[{"family":"Levey","given":"Andrew S."},{"family":"Stevens","given":"Lesley A."},{"family":"Schmid","given":"Christopher H."},{"family":"Zhang","given":"Yaping Lucy"},{"family":"Castro","given":"Alejandro F."},{"family":"Feldman","given":"Harold I."},{"family":"Kusek","given":"John W."},{"family":"Eggers","given":"Paul"},{"family":"Van Lente","given":"Frederick"},{"family":"Greene","given":"Tom"},{"family":"Coresh","given":"Josef"},{"family":"CKD-EPI (Chronic Kidney Disease Epidemiology Collaboration)","given":""}],"issued":{"date-parts":[["2009",5,5]]},"PMID":"19414839","PMCID":"PMC2763564"}}],"schema":"https://github.com/citation-style-language/schema/raw/master/csl-citation.json"}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(23)</w:t>
      </w:r>
      <w:r w:rsidR="00777D1E" w:rsidRPr="0086281A">
        <w:rPr>
          <w:rFonts w:ascii="Calibri" w:hAnsi="Calibri" w:cs="Times"/>
          <w:lang w:val="en-GB"/>
        </w:rPr>
        <w:fldChar w:fldCharType="end"/>
      </w:r>
      <w:r w:rsidR="007575C7" w:rsidRPr="0086281A">
        <w:rPr>
          <w:rFonts w:ascii="Calibri" w:hAnsi="Calibri" w:cs="Times"/>
          <w:lang w:val="en-GB"/>
        </w:rPr>
        <w:t xml:space="preserve"> and MDRD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2mlel40dik","properties":{"formattedCitation":"(24)","plainCitation":"(24)"},"citationItems":[{"id":1195,"uris":["http://zotero.org/users/2405774/items/KRASKVXP"],"uri":["http://zotero.org/users/2405774/items/KRASKVXP"],"itemData":{"id":1195,"type":"article-journal","title":"Using standardized serum creatinine values in the modification of diet in renal disease study equation for estimating glomerular filtration rate","container-title":"Annals of Internal Medicine","page":"247-254","volume":"145","issue":"4","source":"NCBI PubMed","abstract":"BACKGROUND: Glomerular filtration rate (GFR) estimates facilitate detection of chronic kidney disease but require calibration of the serum creatinine assay to the laboratory that developed the equation. The 4-variable equation from the Modification of Diet in Renal Disease (MDRD) Study has been reexpressed for use with a standardized assay.\nOBJECTIVE: To describe the performance of the revised 4-variable MDRD Study equation and compare it with the performance of the 6-variable MDRD Study and Cockcroft-Gault equations.\nDESIGN: Comparison of estimated and measured GFR.\nSETTING: 15 clinical centers participating in a randomized, controlled trial.\nPATIENTS: 1628 patients with chronic kidney disease participating in the MDRD Study.\nMEASUREMENTS: Serum creatinine levels were calibrated to an assay traceable to isotope-dilution mass spectrometry. Glomerular filtration rate was measured as urinary clearance of 125I-iothalamate.\nRESULTS: Mean measured GFR was 39.8 mL/min per 1.73 m2 (SD, 21.2). Accuracy and precision of the revised 4-variable equation were similar to those of the original 6-variable equation and better than in the Cockcroft-Gault equation, even when the latter was corrected for bias, with 90%, 91%, 60%, and 83% of estimates within 30% of measured GFR, respectively. Differences between measured and estimated GFR were greater for all equations when the estimated GFR was 60 mL/min per 1.73 m2 or greater.\nLIMITATIONS: The MDRD Study included few patients with a GFR greater than 90 mL/min per 1.73 m2. Equations were not compared in a separate study sample.\nCONCLUSIONS: The 4-variable MDRD Study equation provides reasonably accurate GFR estimates in patients with chronic kidney disease and a measured GFR of less than 90 mL/min per 1.73 m2. By using the reexpressed MDRD Study equation with the standardized serum creatinine assay, clinical laboratories can report more accurate GFR estimates.","ISSN":"1539-3704","note":"PMID: 16908915","journalAbbreviation":"Ann. Intern. Med.","language":"eng","author":[{"family":"Levey","given":"Andrew S."},{"family":"Coresh","given":"Josef"},{"family":"Greene","given":"Tom"},{"family":"Stevens","given":"Lesley A."},{"family":"Zhang","given":"Yaping Lucy"},{"family":"Hendriksen","given":"Stephen"},{"family":"Kusek","given":"John W."},{"family":"Van Lente","given":"Frederick"},{"family":"Chronic Kidney Disease Epidemiology Collaboration","given":""}],"issued":{"date-parts":[["2006",8,15]]},"PMID":"16908915"}}],"schema":"https://github.com/citation-style-language/schema/raw/master/csl-citation.json"}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(24)</w:t>
      </w:r>
      <w:r w:rsidR="00777D1E" w:rsidRPr="0086281A">
        <w:rPr>
          <w:rFonts w:ascii="Calibri" w:hAnsi="Calibri" w:cs="Times"/>
          <w:lang w:val="en-GB"/>
        </w:rPr>
        <w:fldChar w:fldCharType="end"/>
      </w:r>
      <w:r w:rsidR="007575C7" w:rsidRPr="0086281A">
        <w:rPr>
          <w:rFonts w:ascii="Calibri" w:hAnsi="Calibri" w:cs="Times"/>
          <w:lang w:val="en-GB"/>
        </w:rPr>
        <w:t xml:space="preserve"> study equations as follows</w:t>
      </w:r>
      <w:r w:rsidR="00095398" w:rsidRPr="0086281A">
        <w:rPr>
          <w:rFonts w:ascii="Calibri" w:hAnsi="Calibri" w:cs="Times"/>
          <w:lang w:val="en-GB"/>
        </w:rPr>
        <w:t>. The CKD-EPI and MDRD « de-indexed » recommended by the KDIGO w</w:t>
      </w:r>
      <w:r w:rsidR="0001787C" w:rsidRPr="0086281A">
        <w:rPr>
          <w:rFonts w:ascii="Calibri" w:hAnsi="Calibri" w:cs="Times"/>
          <w:lang w:val="en-GB"/>
        </w:rPr>
        <w:t>ere</w:t>
      </w:r>
      <w:r w:rsidR="00095398" w:rsidRPr="0086281A">
        <w:rPr>
          <w:rFonts w:ascii="Calibri" w:hAnsi="Calibri" w:cs="Times"/>
          <w:lang w:val="en-GB"/>
        </w:rPr>
        <w:t xml:space="preserve"> computed by multiplying eGFR by each individual’s body surface area</w:t>
      </w:r>
      <w:r w:rsidR="00BA2438" w:rsidRPr="0086281A">
        <w:rPr>
          <w:rFonts w:ascii="Calibri" w:hAnsi="Calibri" w:cs="Times"/>
          <w:lang w:val="en-GB"/>
        </w:rPr>
        <w:t>, using actual body weight,</w:t>
      </w:r>
      <w:r w:rsidR="00095398" w:rsidRPr="0086281A">
        <w:rPr>
          <w:rFonts w:ascii="Calibri" w:hAnsi="Calibri" w:cs="Times"/>
          <w:lang w:val="en-GB"/>
        </w:rPr>
        <w:t xml:space="preserve"> and by dividing this intermediate result by 1.73 m</w:t>
      </w:r>
      <w:r w:rsidR="00095398" w:rsidRPr="0086281A">
        <w:rPr>
          <w:rFonts w:ascii="Calibri" w:hAnsi="Calibri" w:cs="Times"/>
          <w:vertAlign w:val="superscript"/>
          <w:lang w:val="en-GB"/>
        </w:rPr>
        <w:t>2</w:t>
      </w:r>
      <w:r w:rsidR="00095398" w:rsidRPr="0086281A">
        <w:rPr>
          <w:rFonts w:ascii="Calibri" w:hAnsi="Calibri" w:cs="Times"/>
          <w:lang w:val="en-GB"/>
        </w:rPr>
        <w:t>.</w:t>
      </w:r>
      <w:r w:rsidR="00883001" w:rsidRPr="0086281A">
        <w:rPr>
          <w:rFonts w:ascii="Calibri" w:hAnsi="Calibri" w:cs="Times"/>
          <w:lang w:val="en-GB"/>
        </w:rPr>
        <w:t xml:space="preserve"> </w:t>
      </w:r>
    </w:p>
    <w:p w:rsidR="00A55209" w:rsidRPr="0086281A" w:rsidRDefault="00A55209" w:rsidP="00A33CD7">
      <w:pPr>
        <w:widowControl w:val="0"/>
        <w:autoSpaceDE w:val="0"/>
        <w:autoSpaceDN w:val="0"/>
        <w:adjustRightInd w:val="0"/>
        <w:rPr>
          <w:rFonts w:ascii="Calibri" w:hAnsi="Calibri"/>
          <w:lang w:val="en-GB"/>
        </w:rPr>
      </w:pPr>
    </w:p>
    <w:p w:rsidR="004E40F5" w:rsidRPr="0086281A" w:rsidRDefault="004E40F5" w:rsidP="004E40F5">
      <w:pPr>
        <w:pStyle w:val="Paragraphedeliste"/>
        <w:widowControl w:val="0"/>
        <w:numPr>
          <w:ilvl w:val="0"/>
          <w:numId w:val="1"/>
        </w:numPr>
        <w:autoSpaceDE w:val="0"/>
        <w:autoSpaceDN w:val="0"/>
        <w:adjustRightInd w:val="0"/>
        <w:rPr>
          <w:rFonts w:ascii="Calibri" w:hAnsi="Calibri" w:cs="Times"/>
          <w:lang w:val="en-GB"/>
        </w:rPr>
      </w:pPr>
      <w:r w:rsidRPr="0086281A">
        <w:rPr>
          <w:rFonts w:ascii="Calibri" w:hAnsi="Calibri" w:cs="Times New Roman"/>
          <w:lang w:val="en-GB"/>
        </w:rPr>
        <w:t>Cockcro</w:t>
      </w:r>
      <w:r w:rsidR="00215E7F" w:rsidRPr="0086281A">
        <w:rPr>
          <w:rFonts w:ascii="Calibri" w:hAnsi="Calibri" w:cs="Times New Roman"/>
          <w:lang w:val="en-GB"/>
        </w:rPr>
        <w:t>ft and Gault mL/min</w:t>
      </w:r>
    </w:p>
    <w:p w:rsidR="006478D0" w:rsidRPr="0086281A" w:rsidRDefault="004E40F5" w:rsidP="006478D0">
      <w:pPr>
        <w:pStyle w:val="Paragraphedeliste"/>
        <w:widowControl w:val="0"/>
        <w:numPr>
          <w:ilvl w:val="1"/>
          <w:numId w:val="1"/>
        </w:numPr>
        <w:autoSpaceDE w:val="0"/>
        <w:autoSpaceDN w:val="0"/>
        <w:adjustRightInd w:val="0"/>
        <w:rPr>
          <w:rFonts w:ascii="Calibri" w:hAnsi="Calibri" w:cs="Times"/>
          <w:lang w:val="en-GB"/>
        </w:rPr>
      </w:pPr>
      <w:r w:rsidRPr="0086281A">
        <w:rPr>
          <w:rFonts w:ascii="Calibri" w:hAnsi="Calibri" w:cs="Times New Roman"/>
          <w:lang w:val="en-GB"/>
        </w:rPr>
        <w:t xml:space="preserve"> [(140-age) / (72×SCr)]× </w:t>
      </w:r>
      <w:r w:rsidR="00215E7F" w:rsidRPr="0086281A">
        <w:rPr>
          <w:rFonts w:ascii="Calibri" w:hAnsi="Calibri" w:cs="Times New Roman"/>
          <w:lang w:val="en-GB"/>
        </w:rPr>
        <w:t>W</w:t>
      </w:r>
      <w:r w:rsidRPr="0086281A">
        <w:rPr>
          <w:rFonts w:ascii="Calibri" w:hAnsi="Calibri" w:cs="Times New Roman"/>
          <w:lang w:val="en-GB"/>
        </w:rPr>
        <w:t>eight (kg) × (0</w:t>
      </w:r>
      <w:r w:rsidR="00215E7F" w:rsidRPr="0086281A">
        <w:rPr>
          <w:rFonts w:ascii="Calibri" w:hAnsi="Calibri" w:cs="Times New Roman"/>
          <w:lang w:val="en-GB"/>
        </w:rPr>
        <w:t>.</w:t>
      </w:r>
      <w:r w:rsidRPr="0086281A">
        <w:rPr>
          <w:rFonts w:ascii="Calibri" w:hAnsi="Calibri" w:cs="Times New Roman"/>
          <w:lang w:val="en-GB"/>
        </w:rPr>
        <w:t xml:space="preserve">85 </w:t>
      </w:r>
      <w:r w:rsidR="00E74E8E" w:rsidRPr="0086281A">
        <w:rPr>
          <w:rFonts w:ascii="Calibri" w:hAnsi="Calibri" w:cs="Times New Roman"/>
          <w:lang w:val="en-GB"/>
        </w:rPr>
        <w:t xml:space="preserve">in </w:t>
      </w:r>
      <w:r w:rsidRPr="0086281A">
        <w:rPr>
          <w:rFonts w:ascii="Calibri" w:hAnsi="Calibri" w:cs="Times New Roman"/>
          <w:lang w:val="en-GB"/>
        </w:rPr>
        <w:t>female</w:t>
      </w:r>
      <w:r w:rsidR="00E74E8E" w:rsidRPr="0086281A">
        <w:rPr>
          <w:rFonts w:ascii="Calibri" w:hAnsi="Calibri" w:cs="Times New Roman"/>
          <w:lang w:val="en-GB"/>
        </w:rPr>
        <w:t>s</w:t>
      </w:r>
      <w:r w:rsidRPr="0086281A">
        <w:rPr>
          <w:rFonts w:ascii="Calibri" w:hAnsi="Calibri" w:cs="Times New Roman"/>
          <w:lang w:val="en-GB"/>
        </w:rPr>
        <w:t>)</w:t>
      </w:r>
    </w:p>
    <w:p w:rsidR="00215E7F" w:rsidRPr="0086281A" w:rsidRDefault="00215E7F" w:rsidP="00215E7F">
      <w:pPr>
        <w:pStyle w:val="Paragraphedeliste"/>
        <w:widowControl w:val="0"/>
        <w:numPr>
          <w:ilvl w:val="2"/>
          <w:numId w:val="1"/>
        </w:numPr>
        <w:autoSpaceDE w:val="0"/>
        <w:autoSpaceDN w:val="0"/>
        <w:adjustRightInd w:val="0"/>
        <w:rPr>
          <w:rFonts w:ascii="Calibri" w:hAnsi="Calibri" w:cs="Times"/>
          <w:lang w:val="en-GB"/>
        </w:rPr>
      </w:pPr>
      <w:r w:rsidRPr="0086281A">
        <w:rPr>
          <w:rFonts w:ascii="Calibri" w:hAnsi="Calibri" w:cs="Times New Roman"/>
          <w:lang w:val="en-GB"/>
        </w:rPr>
        <w:t>SCr = Serum Creatinine in mg/dL</w:t>
      </w:r>
    </w:p>
    <w:p w:rsidR="00215E7F" w:rsidRPr="0086281A" w:rsidRDefault="00215E7F" w:rsidP="00215E7F">
      <w:pPr>
        <w:pStyle w:val="Paragraphedeliste"/>
        <w:widowControl w:val="0"/>
        <w:numPr>
          <w:ilvl w:val="2"/>
          <w:numId w:val="1"/>
        </w:numPr>
        <w:autoSpaceDE w:val="0"/>
        <w:autoSpaceDN w:val="0"/>
        <w:adjustRightInd w:val="0"/>
        <w:rPr>
          <w:rFonts w:ascii="Calibri" w:hAnsi="Calibri" w:cs="Times"/>
          <w:lang w:val="en-GB"/>
        </w:rPr>
      </w:pPr>
      <w:r w:rsidRPr="0086281A">
        <w:rPr>
          <w:rFonts w:ascii="Calibri" w:hAnsi="Calibri" w:cs="Times New Roman"/>
          <w:lang w:val="en-GB"/>
        </w:rPr>
        <w:t>Weight is the actual body weight (ABW)</w:t>
      </w:r>
    </w:p>
    <w:p w:rsidR="00215E7F" w:rsidRPr="0086281A" w:rsidRDefault="00215E7F" w:rsidP="00215E7F">
      <w:pPr>
        <w:pStyle w:val="Paragraphedeliste"/>
        <w:widowControl w:val="0"/>
        <w:numPr>
          <w:ilvl w:val="1"/>
          <w:numId w:val="1"/>
        </w:numPr>
        <w:autoSpaceDE w:val="0"/>
        <w:autoSpaceDN w:val="0"/>
        <w:adjustRightInd w:val="0"/>
        <w:rPr>
          <w:rFonts w:ascii="Calibri" w:hAnsi="Calibri" w:cs="Times"/>
          <w:lang w:val="en-GB"/>
        </w:rPr>
      </w:pPr>
      <w:r w:rsidRPr="0086281A">
        <w:rPr>
          <w:rFonts w:ascii="Calibri" w:hAnsi="Calibri" w:cs="Times New Roman"/>
          <w:lang w:val="en-GB"/>
        </w:rPr>
        <w:t>Cockcroft and Gault is also computed with the adjusted ideal body weight (AIBW)</w:t>
      </w:r>
    </w:p>
    <w:p w:rsidR="006478D0" w:rsidRPr="0086281A" w:rsidRDefault="00215E7F" w:rsidP="00215E7F">
      <w:pPr>
        <w:pStyle w:val="Paragraphedeliste"/>
        <w:widowControl w:val="0"/>
        <w:numPr>
          <w:ilvl w:val="2"/>
          <w:numId w:val="1"/>
        </w:numPr>
        <w:autoSpaceDE w:val="0"/>
        <w:autoSpaceDN w:val="0"/>
        <w:adjustRightInd w:val="0"/>
        <w:rPr>
          <w:rFonts w:ascii="Calibri" w:hAnsi="Calibri" w:cs="Times"/>
          <w:lang w:val="en-GB"/>
        </w:rPr>
      </w:pPr>
      <w:r w:rsidRPr="0086281A">
        <w:rPr>
          <w:rFonts w:ascii="Calibri" w:hAnsi="Calibri" w:cs="Times"/>
          <w:lang w:val="en-GB"/>
        </w:rPr>
        <w:t>A</w:t>
      </w:r>
      <w:r w:rsidR="0077030D">
        <w:rPr>
          <w:rFonts w:ascii="Calibri" w:hAnsi="Calibri" w:cs="Times"/>
          <w:lang w:val="en-GB"/>
        </w:rPr>
        <w:t xml:space="preserve">djusted </w:t>
      </w:r>
      <w:r w:rsidRPr="0086281A">
        <w:rPr>
          <w:rFonts w:ascii="Calibri" w:hAnsi="Calibri" w:cs="Times"/>
          <w:lang w:val="en-GB"/>
        </w:rPr>
        <w:t>I</w:t>
      </w:r>
      <w:r w:rsidR="0077030D">
        <w:rPr>
          <w:rFonts w:ascii="Calibri" w:hAnsi="Calibri" w:cs="Times"/>
          <w:lang w:val="en-GB"/>
        </w:rPr>
        <w:t xml:space="preserve">deal </w:t>
      </w:r>
      <w:r w:rsidRPr="0086281A">
        <w:rPr>
          <w:rFonts w:ascii="Calibri" w:hAnsi="Calibri" w:cs="Times"/>
          <w:lang w:val="en-GB"/>
        </w:rPr>
        <w:t>B</w:t>
      </w:r>
      <w:r w:rsidR="0077030D">
        <w:rPr>
          <w:rFonts w:ascii="Calibri" w:hAnsi="Calibri" w:cs="Times"/>
          <w:lang w:val="en-GB"/>
        </w:rPr>
        <w:t xml:space="preserve">ody </w:t>
      </w:r>
      <w:r w:rsidRPr="0086281A">
        <w:rPr>
          <w:rFonts w:ascii="Calibri" w:hAnsi="Calibri" w:cs="Times"/>
          <w:lang w:val="en-GB"/>
        </w:rPr>
        <w:t>W</w:t>
      </w:r>
      <w:r w:rsidR="0077030D">
        <w:rPr>
          <w:rFonts w:ascii="Calibri" w:hAnsi="Calibri" w:cs="Times"/>
          <w:lang w:val="en-GB"/>
        </w:rPr>
        <w:t>eight (AIBW)</w:t>
      </w:r>
      <w:r w:rsidR="006478D0" w:rsidRPr="0086281A">
        <w:rPr>
          <w:rFonts w:ascii="Calibri" w:hAnsi="Calibri" w:cs="Times"/>
          <w:lang w:val="en-GB"/>
        </w:rPr>
        <w:t xml:space="preserve"> was calculate</w:t>
      </w:r>
      <w:r w:rsidR="0001787C" w:rsidRPr="0086281A">
        <w:rPr>
          <w:rFonts w:ascii="Calibri" w:hAnsi="Calibri" w:cs="Times"/>
          <w:lang w:val="en-GB"/>
        </w:rPr>
        <w:t>d</w:t>
      </w:r>
      <w:r w:rsidR="006478D0" w:rsidRPr="0086281A">
        <w:rPr>
          <w:rFonts w:ascii="Calibri" w:hAnsi="Calibri" w:cs="Times"/>
          <w:lang w:val="en-GB"/>
        </w:rPr>
        <w:t xml:space="preserve"> as follow:</w:t>
      </w:r>
    </w:p>
    <w:p w:rsidR="006478D0" w:rsidRPr="0086281A" w:rsidRDefault="006478D0" w:rsidP="00215E7F">
      <w:pPr>
        <w:pStyle w:val="Paragraphedeliste"/>
        <w:widowControl w:val="0"/>
        <w:numPr>
          <w:ilvl w:val="3"/>
          <w:numId w:val="1"/>
        </w:numPr>
        <w:autoSpaceDE w:val="0"/>
        <w:autoSpaceDN w:val="0"/>
        <w:adjustRightInd w:val="0"/>
        <w:rPr>
          <w:rFonts w:ascii="Calibri" w:hAnsi="Calibri" w:cs="Times"/>
          <w:lang w:val="en-GB"/>
        </w:rPr>
      </w:pPr>
      <w:r w:rsidRPr="0086281A">
        <w:rPr>
          <w:rFonts w:ascii="Calibri" w:hAnsi="Calibri" w:cs="Times"/>
          <w:lang w:val="en-GB"/>
        </w:rPr>
        <w:t>Ideal Weight + (0.4 *(</w:t>
      </w:r>
      <w:r w:rsidR="0077030D">
        <w:rPr>
          <w:rFonts w:ascii="Calibri" w:hAnsi="Calibri" w:cs="Times"/>
          <w:lang w:val="en-GB"/>
        </w:rPr>
        <w:t>ABW</w:t>
      </w:r>
      <w:r w:rsidR="00A33CD7" w:rsidRPr="0086281A">
        <w:rPr>
          <w:rFonts w:ascii="Calibri" w:hAnsi="Calibri" w:cs="Times"/>
          <w:lang w:val="en-GB"/>
        </w:rPr>
        <w:t xml:space="preserve"> (kg)</w:t>
      </w:r>
      <w:r w:rsidR="00215E7F" w:rsidRPr="0086281A">
        <w:rPr>
          <w:rFonts w:ascii="Calibri" w:hAnsi="Calibri" w:cs="Times"/>
          <w:lang w:val="en-GB"/>
        </w:rPr>
        <w:t xml:space="preserve"> -</w:t>
      </w:r>
      <w:r w:rsidRPr="0086281A">
        <w:rPr>
          <w:rFonts w:ascii="Calibri" w:hAnsi="Calibri" w:cs="Times"/>
          <w:lang w:val="en-GB"/>
        </w:rPr>
        <w:t xml:space="preserve"> Ideal Weight))</w:t>
      </w:r>
      <w:r w:rsidR="006E7E7C" w:rsidRPr="0086281A">
        <w:rPr>
          <w:rFonts w:ascii="Calibri" w:hAnsi="Calibri" w:cs="Times"/>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2ji1p7ajds","properties":{"formattedCitation":"(25)","plainCitation":"(25)"},"citationItems":[{"id":17,"uris":["http://zotero.org/users/2405774/items/8G8757Q6"],"uri":["http://zotero.org/users/2405774/items/8G8757Q6"],"itemData":{"id":17,"type":"article-journal","title":"Dosing of medications in morbidly obese patients in the intensive care unit setting","container-title":"Intensive Care Medicine","page":"18-32","volume":"30","issue":"1","source":"NCBI PubMed","abstract":"OBJECTIVE: To derive recommendations for the dosing of commonly used medications in the morbidly obese patient in the ICU.\nDATA SOURCES: Articles were obtained through computerized searches involving MEDLINE. The bibliographies of retrieved publications and textbooks were reviewed for additional references.\nSTUDY SELECTION: All studies involving the pharmacokinetics or pharmacodynamics of medications in obese subjects or patients.\nDATA EXTRACTION: The emphasis was on studies involving morbidly obese patients but, in the absence of such data, investigations involving lesser forms of obesity were extracted.\nDATA SYNTHESIS: There is a paucity of data upon which to make recommendations for dosing commonly used medications in the morbidly obese patient in the ICU, although recommendations were provided based on the available information.\nCONCLUSIONS: There is clearly a need for more investigations involving dosing regimens of medications in the morbidly obese population. Until such studies are available, the clinician must try to derive the best dosing regimens for medications based on the limited pharmacokinetic data available for some agents and clinical judgement.","DOI":"10.1007/s00134-003-2059-6","ISSN":"0342-4642","note":"PMID: 14625670","journalAbbreviation":"Intensive Care Med","language":"eng","author":[{"family":"Erstad","given":"Brian L."}],"issued":{"date-parts":[["2004",1]]},"PMID":"14625670"}}],"schema":"https://github.com/citation-style-language/schema/raw/master/csl-citation.json"}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(25)</w:t>
      </w:r>
      <w:r w:rsidR="00777D1E" w:rsidRPr="0086281A">
        <w:rPr>
          <w:rFonts w:ascii="Calibri" w:hAnsi="Calibri" w:cs="Times"/>
          <w:lang w:val="en-GB"/>
        </w:rPr>
        <w:fldChar w:fldCharType="end"/>
      </w:r>
    </w:p>
    <w:p w:rsidR="00215E7F" w:rsidRPr="0086281A" w:rsidRDefault="006478D0" w:rsidP="004B541D">
      <w:pPr>
        <w:pStyle w:val="Paragraphedeliste"/>
        <w:widowControl w:val="0"/>
        <w:numPr>
          <w:ilvl w:val="3"/>
          <w:numId w:val="1"/>
        </w:numPr>
        <w:autoSpaceDE w:val="0"/>
        <w:autoSpaceDN w:val="0"/>
        <w:adjustRightInd w:val="0"/>
        <w:rPr>
          <w:rFonts w:ascii="Calibri" w:hAnsi="Calibri" w:cs="Times"/>
          <w:lang w:val="en-GB"/>
        </w:rPr>
      </w:pPr>
      <w:r w:rsidRPr="0086281A">
        <w:rPr>
          <w:rFonts w:ascii="Calibri" w:hAnsi="Calibri" w:cs="Times"/>
          <w:lang w:val="en-GB"/>
        </w:rPr>
        <w:t xml:space="preserve">Ideal Weight = </w:t>
      </w:r>
      <w:r w:rsidRPr="0086281A">
        <w:rPr>
          <w:rFonts w:ascii="Calibri" w:hAnsi="Calibri" w:cs="Lucida Grande"/>
          <w:lang w:val="en-GB"/>
        </w:rPr>
        <w:t>(Height</w:t>
      </w:r>
      <w:r w:rsidR="00A33CD7" w:rsidRPr="0086281A">
        <w:rPr>
          <w:rFonts w:ascii="Calibri" w:hAnsi="Calibri" w:cs="Lucida Grande"/>
          <w:lang w:val="en-GB"/>
        </w:rPr>
        <w:t xml:space="preserve"> (cm)</w:t>
      </w:r>
      <w:r w:rsidR="00215E7F" w:rsidRPr="0086281A">
        <w:rPr>
          <w:rFonts w:ascii="Calibri" w:hAnsi="Calibri" w:cs="Lucida Grande"/>
          <w:lang w:val="en-GB"/>
        </w:rPr>
        <w:t xml:space="preserve"> </w:t>
      </w:r>
      <w:r w:rsidR="00FC4226" w:rsidRPr="0086281A">
        <w:rPr>
          <w:rFonts w:ascii="Calibri" w:hAnsi="Calibri" w:cs="Lucida Grande"/>
          <w:lang w:val="en-GB"/>
        </w:rPr>
        <w:t>-</w:t>
      </w:r>
      <w:r w:rsidR="00215E7F" w:rsidRPr="0086281A">
        <w:rPr>
          <w:rFonts w:ascii="Calibri" w:hAnsi="Calibri" w:cs="Lucida Grande"/>
          <w:lang w:val="en-GB"/>
        </w:rPr>
        <w:t xml:space="preserve"> </w:t>
      </w:r>
      <w:r w:rsidR="00FC4226" w:rsidRPr="0086281A">
        <w:rPr>
          <w:rFonts w:ascii="Calibri" w:hAnsi="Calibri" w:cs="Lucida Grande"/>
          <w:lang w:val="en-GB"/>
        </w:rPr>
        <w:t>152</w:t>
      </w:r>
      <w:r w:rsidR="00215E7F" w:rsidRPr="0086281A">
        <w:rPr>
          <w:rFonts w:ascii="Calibri" w:hAnsi="Calibri" w:cs="Lucida Grande"/>
          <w:lang w:val="en-GB"/>
        </w:rPr>
        <w:t>.</w:t>
      </w:r>
      <w:r w:rsidR="00FC4226" w:rsidRPr="0086281A">
        <w:rPr>
          <w:rFonts w:ascii="Calibri" w:hAnsi="Calibri" w:cs="Lucida Grande"/>
          <w:lang w:val="en-GB"/>
        </w:rPr>
        <w:t>4</w:t>
      </w:r>
      <w:r w:rsidRPr="0086281A">
        <w:rPr>
          <w:rFonts w:ascii="Calibri" w:hAnsi="Calibri" w:cs="Lucida Grande"/>
          <w:lang w:val="en-GB"/>
        </w:rPr>
        <w:t>)*0</w:t>
      </w:r>
      <w:r w:rsidR="00215E7F" w:rsidRPr="0086281A">
        <w:rPr>
          <w:rFonts w:ascii="Calibri" w:hAnsi="Calibri" w:cs="Lucida Grande"/>
          <w:lang w:val="en-GB"/>
        </w:rPr>
        <w:t>.</w:t>
      </w:r>
      <w:r w:rsidRPr="0086281A">
        <w:rPr>
          <w:rFonts w:ascii="Calibri" w:hAnsi="Calibri" w:cs="Lucida Grande"/>
          <w:lang w:val="en-GB"/>
        </w:rPr>
        <w:t>9</w:t>
      </w:r>
      <w:r w:rsidR="00B33987" w:rsidRPr="0086281A">
        <w:rPr>
          <w:rFonts w:ascii="Calibri" w:hAnsi="Calibri" w:cs="Lucida Grande"/>
          <w:lang w:val="en-GB"/>
        </w:rPr>
        <w:t xml:space="preserve"> </w:t>
      </w:r>
      <w:r w:rsidRPr="0086281A">
        <w:rPr>
          <w:rFonts w:ascii="Calibri" w:hAnsi="Calibri" w:cs="Lucida Grande"/>
          <w:lang w:val="en-GB"/>
        </w:rPr>
        <w:t>+</w:t>
      </w:r>
      <w:r w:rsidR="00B33987" w:rsidRPr="0086281A">
        <w:rPr>
          <w:rFonts w:ascii="Calibri" w:hAnsi="Calibri" w:cs="Lucida Grande"/>
          <w:lang w:val="en-GB"/>
        </w:rPr>
        <w:t xml:space="preserve"> </w:t>
      </w:r>
      <w:r w:rsidRPr="0086281A">
        <w:rPr>
          <w:rFonts w:ascii="Calibri" w:hAnsi="Calibri" w:cs="Lucida Grande"/>
          <w:lang w:val="en-GB"/>
        </w:rPr>
        <w:t>45</w:t>
      </w:r>
      <w:r w:rsidR="00FC4226" w:rsidRPr="0086281A">
        <w:rPr>
          <w:rFonts w:ascii="Calibri" w:hAnsi="Calibri" w:cs="Lucida Grande"/>
          <w:lang w:val="en-GB"/>
        </w:rPr>
        <w:t>.5</w:t>
      </w:r>
      <w:r w:rsidR="00B33987" w:rsidRPr="0086281A">
        <w:rPr>
          <w:rFonts w:ascii="Calibri" w:hAnsi="Calibri" w:cs="Lucida Grande"/>
          <w:lang w:val="en-GB"/>
        </w:rPr>
        <w:t xml:space="preserve"> </w:t>
      </w:r>
      <w:r w:rsidRPr="0086281A">
        <w:rPr>
          <w:rFonts w:ascii="Calibri" w:hAnsi="Calibri" w:cs="Lucida Grande"/>
          <w:lang w:val="en-GB"/>
        </w:rPr>
        <w:t xml:space="preserve">+ </w:t>
      </w:r>
      <w:r w:rsidR="00FC4226" w:rsidRPr="0086281A">
        <w:rPr>
          <w:rFonts w:ascii="Calibri" w:hAnsi="Calibri" w:cs="Lucida Grande"/>
          <w:lang w:val="en-GB"/>
        </w:rPr>
        <w:t>4.5</w:t>
      </w:r>
      <w:r w:rsidRPr="0086281A">
        <w:rPr>
          <w:rFonts w:ascii="Calibri" w:hAnsi="Calibri" w:cs="Lucida Grande"/>
          <w:lang w:val="en-GB"/>
        </w:rPr>
        <w:t xml:space="preserve"> (in males)</w:t>
      </w:r>
      <w:r w:rsidRPr="0086281A">
        <w:rPr>
          <w:rFonts w:ascii="Calibri" w:hAnsi="Calibri" w:cs="Times"/>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16r2ct6gm9","properties":{"formattedCitation":"(26)","plainCitation":"(26)"},"citationItems":[{"id":1382,"uris":["http://zotero.org/users/2405774/items/7DR7W43N"],"uri":["http://zotero.org/users/2405774/items/7DR7W43N"],"itemData":{"id":1382,"type":"article-journal","title":"The origin of the \"ideal\" body weight equations","container-title":"The Annals of Pharmacotherapy","page":"1066-1069","volume":"34","issue":"9","source":"NCBI PubMed","abstract":"OBJECTIVE: To provide a historical perspective on the origin and similarity of the \"ideal\" body weight (IBW) equations, and clarify the terms ideal and lean body weight (LBW).\nDATA SOURCES: Primary and review literature were identified using MEDLINE (1966-November 1999) and International Pharmaceutical Abstracts (1970-November 1999) pertaining to ideal and lean weight, height-weight tables, and obesity. In addition, textbooks and relevant reference lists were reviewed.\nDATA EXTRACTION: All articles identified through the data sources were evaluated. Information deemed to be relevant to the objectives of the review were included.\nDATA SYNTHESIS: Height-weight tables were generated to provide a means of comparing a population with respect to their relative weight. The weight data were found to correlate with mortality and resulted in the use of the terms desirable or ideal to describe these weights. Over the years, IBW was interpreted to represent a \"fat-free\" weight and thus was used as a surrogate for LBW. In addition, the pharmacokinetics of certain drugs were found to correlate with IBW and resulted in the use of IBW equations published by Devine. These equations were consistent with an old rule that was developed from height-weight tables to estimate IBW. Efforts to improve the IBW equations through regression analyses of height-weight data resulted in equations similar to those published by Devine.\nCONCLUSIONS: The similarity between the IBW equations was a result of the general agreement among the various height-weight tables from which they were derived. Therefore, any one of these equations may be used to estimate IBW.","ISSN":"1060-0280","note":"PMID: 10981254","journalAbbreviation":"Ann Pharmacother","language":"eng","author":[{"family":"Pai","given":"M. P."},{"family":"Paloucek","given":"F. P."}],"issued":{"date-parts":[["2000",9]]},"PMID":"10981254"}}],"schema":"https://github.com/citation-style-language/schema/raw/master/csl-citation.json"}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(26)</w:t>
      </w:r>
      <w:r w:rsidR="00777D1E" w:rsidRPr="0086281A">
        <w:rPr>
          <w:rFonts w:ascii="Calibri" w:hAnsi="Calibri" w:cs="Times"/>
          <w:lang w:val="en-GB"/>
        </w:rPr>
        <w:fldChar w:fldCharType="end"/>
      </w:r>
    </w:p>
    <w:p w:rsidR="00095398" w:rsidRPr="0086281A" w:rsidRDefault="00603D66" w:rsidP="007575C7">
      <w:pPr>
        <w:pStyle w:val="Paragraphedeliste"/>
        <w:widowControl w:val="0"/>
        <w:numPr>
          <w:ilvl w:val="0"/>
          <w:numId w:val="1"/>
        </w:numPr>
        <w:autoSpaceDE w:val="0"/>
        <w:autoSpaceDN w:val="0"/>
        <w:adjustRightInd w:val="0"/>
        <w:rPr>
          <w:rFonts w:ascii="Calibri" w:hAnsi="Calibri" w:cs="Times"/>
          <w:lang w:val="en-GB"/>
        </w:rPr>
      </w:pPr>
      <w:r w:rsidRPr="0086281A">
        <w:rPr>
          <w:rFonts w:ascii="Calibri" w:hAnsi="Calibri" w:cs="Times"/>
          <w:lang w:val="en-GB"/>
        </w:rPr>
        <w:t>MDRD</w:t>
      </w:r>
      <w:r w:rsidR="00215E7F" w:rsidRPr="0086281A">
        <w:rPr>
          <w:rFonts w:ascii="Calibri" w:hAnsi="Calibri" w:cs="Times"/>
          <w:lang w:val="en-GB"/>
        </w:rPr>
        <w:t xml:space="preserve"> </w:t>
      </w:r>
    </w:p>
    <w:p w:rsidR="00215E7F" w:rsidRPr="0086281A" w:rsidRDefault="007575C7" w:rsidP="00095398">
      <w:pPr>
        <w:pStyle w:val="Paragraphedeliste"/>
        <w:widowControl w:val="0"/>
        <w:numPr>
          <w:ilvl w:val="1"/>
          <w:numId w:val="1"/>
        </w:numPr>
        <w:autoSpaceDE w:val="0"/>
        <w:autoSpaceDN w:val="0"/>
        <w:adjustRightInd w:val="0"/>
        <w:rPr>
          <w:rFonts w:ascii="Calibri" w:hAnsi="Calibri" w:cs="Times"/>
          <w:lang w:val="en-GB"/>
        </w:rPr>
      </w:pPr>
      <w:r w:rsidRPr="0086281A">
        <w:rPr>
          <w:rFonts w:ascii="Calibri" w:hAnsi="Calibri" w:cs="Times"/>
          <w:lang w:val="en-GB"/>
        </w:rPr>
        <w:t xml:space="preserve">eGFR </w:t>
      </w:r>
      <w:r w:rsidR="00215E7F" w:rsidRPr="0086281A">
        <w:rPr>
          <w:rFonts w:ascii="Calibri" w:hAnsi="Calibri" w:cs="Times"/>
          <w:lang w:val="en-GB"/>
        </w:rPr>
        <w:t>in mL/min/1.73m</w:t>
      </w:r>
      <w:r w:rsidR="00215E7F" w:rsidRPr="0086281A">
        <w:rPr>
          <w:rFonts w:ascii="Calibri" w:hAnsi="Calibri" w:cs="Times"/>
          <w:vertAlign w:val="superscript"/>
          <w:lang w:val="en-GB"/>
        </w:rPr>
        <w:t xml:space="preserve">2 </w:t>
      </w:r>
    </w:p>
    <w:p w:rsidR="007575C7" w:rsidRPr="0086281A" w:rsidRDefault="007575C7" w:rsidP="00095398">
      <w:pPr>
        <w:pStyle w:val="Paragraphedeliste"/>
        <w:widowControl w:val="0"/>
        <w:numPr>
          <w:ilvl w:val="1"/>
          <w:numId w:val="1"/>
        </w:numPr>
        <w:autoSpaceDE w:val="0"/>
        <w:autoSpaceDN w:val="0"/>
        <w:adjustRightInd w:val="0"/>
        <w:rPr>
          <w:rFonts w:ascii="Calibri" w:hAnsi="Calibri" w:cs="Times"/>
          <w:lang w:val="en-GB"/>
        </w:rPr>
      </w:pPr>
      <w:r w:rsidRPr="0086281A">
        <w:rPr>
          <w:rFonts w:ascii="Calibri" w:hAnsi="Calibri" w:cs="Times"/>
          <w:lang w:val="en-GB"/>
        </w:rPr>
        <w:t>175</w:t>
      </w:r>
      <w:r w:rsidR="00215E7F" w:rsidRPr="0086281A">
        <w:rPr>
          <w:rFonts w:ascii="Calibri" w:hAnsi="Calibri" w:cs="Times"/>
          <w:lang w:val="en-GB"/>
        </w:rPr>
        <w:t xml:space="preserve"> ×</w:t>
      </w:r>
      <w:r w:rsidRPr="0086281A">
        <w:rPr>
          <w:rFonts w:ascii="Calibri" w:hAnsi="Calibri" w:cs="Times"/>
          <w:lang w:val="en-GB"/>
        </w:rPr>
        <w:t xml:space="preserve"> (</w:t>
      </w:r>
      <w:r w:rsidR="00215E7F" w:rsidRPr="0086281A">
        <w:rPr>
          <w:rFonts w:ascii="Calibri" w:hAnsi="Calibri" w:cs="Times"/>
          <w:lang w:val="en-GB"/>
        </w:rPr>
        <w:t>SCr</w:t>
      </w:r>
      <w:r w:rsidR="00603D66" w:rsidRPr="0086281A">
        <w:rPr>
          <w:rFonts w:ascii="Calibri" w:hAnsi="Calibri" w:cs="Times"/>
          <w:lang w:val="en-GB"/>
        </w:rPr>
        <w:t xml:space="preserve"> (</w:t>
      </w:r>
      <w:r w:rsidRPr="0086281A">
        <w:rPr>
          <w:rFonts w:ascii="Calibri" w:hAnsi="Calibri" w:cs="Times"/>
          <w:lang w:val="en-GB"/>
        </w:rPr>
        <w:t>mg/d</w:t>
      </w:r>
      <w:r w:rsidR="00215E7F" w:rsidRPr="0086281A">
        <w:rPr>
          <w:rFonts w:ascii="Calibri" w:hAnsi="Calibri" w:cs="Times"/>
          <w:lang w:val="en-GB"/>
        </w:rPr>
        <w:t>L</w:t>
      </w:r>
      <w:r w:rsidRPr="0086281A">
        <w:rPr>
          <w:rFonts w:ascii="Calibri" w:hAnsi="Calibri" w:cs="Times"/>
          <w:lang w:val="en-GB"/>
        </w:rPr>
        <w:t xml:space="preserve">)) </w:t>
      </w:r>
      <w:r w:rsidRPr="0086281A">
        <w:rPr>
          <w:rFonts w:ascii="Calibri" w:hAnsi="Calibri" w:cs="Times"/>
          <w:vertAlign w:val="superscript"/>
          <w:lang w:val="en-GB"/>
        </w:rPr>
        <w:t>−1.154</w:t>
      </w:r>
      <w:r w:rsidRPr="0086281A">
        <w:rPr>
          <w:rFonts w:ascii="Calibri" w:hAnsi="Calibri" w:cs="Times"/>
          <w:lang w:val="en-GB"/>
        </w:rPr>
        <w:t xml:space="preserve"> × (age (</w:t>
      </w:r>
      <w:r w:rsidR="008D61FC" w:rsidRPr="0086281A">
        <w:rPr>
          <w:rFonts w:ascii="Calibri" w:hAnsi="Calibri" w:cs="Times"/>
          <w:lang w:val="en-GB"/>
        </w:rPr>
        <w:t>years</w:t>
      </w:r>
      <w:r w:rsidRPr="0086281A">
        <w:rPr>
          <w:rFonts w:ascii="Calibri" w:hAnsi="Calibri" w:cs="Times"/>
          <w:lang w:val="en-GB"/>
        </w:rPr>
        <w:t>))</w:t>
      </w:r>
      <w:r w:rsidRPr="0086281A">
        <w:rPr>
          <w:rFonts w:ascii="Calibri" w:hAnsi="Calibri" w:cs="Times"/>
          <w:vertAlign w:val="superscript"/>
          <w:lang w:val="en-GB"/>
        </w:rPr>
        <w:t xml:space="preserve"> −0.203</w:t>
      </w:r>
      <w:r w:rsidRPr="0086281A">
        <w:rPr>
          <w:rFonts w:ascii="Calibri" w:hAnsi="Calibri" w:cs="Times"/>
          <w:lang w:val="en-GB"/>
        </w:rPr>
        <w:t xml:space="preserve"> × (0</w:t>
      </w:r>
      <w:r w:rsidR="00BA2438" w:rsidRPr="0086281A">
        <w:rPr>
          <w:rFonts w:ascii="Calibri" w:hAnsi="Calibri" w:cs="Times"/>
          <w:lang w:val="en-GB"/>
        </w:rPr>
        <w:t>.</w:t>
      </w:r>
      <w:r w:rsidRPr="0086281A">
        <w:rPr>
          <w:rFonts w:ascii="Calibri" w:hAnsi="Calibri" w:cs="Times"/>
          <w:lang w:val="en-GB"/>
        </w:rPr>
        <w:t>742 in female</w:t>
      </w:r>
      <w:r w:rsidR="00E74E8E" w:rsidRPr="0086281A">
        <w:rPr>
          <w:rFonts w:ascii="Calibri" w:hAnsi="Calibri" w:cs="Times"/>
          <w:lang w:val="en-GB"/>
        </w:rPr>
        <w:t>s</w:t>
      </w:r>
      <w:r w:rsidRPr="0086281A">
        <w:rPr>
          <w:rFonts w:ascii="Calibri" w:hAnsi="Calibri" w:cs="Times"/>
          <w:lang w:val="en-GB"/>
        </w:rPr>
        <w:t>)</w:t>
      </w:r>
      <w:r w:rsidR="00A76F09" w:rsidRPr="0086281A">
        <w:rPr>
          <w:rFonts w:ascii="Calibri" w:hAnsi="Calibri" w:cs="Times"/>
          <w:lang w:val="en-GB"/>
        </w:rPr>
        <w:t xml:space="preserve"> x (1.21 in </w:t>
      </w:r>
      <w:r w:rsidR="00A76F09" w:rsidRPr="0086281A">
        <w:rPr>
          <w:rFonts w:ascii="Calibri" w:hAnsi="Calibri" w:cs="Times"/>
          <w:lang w:val="en-GB"/>
        </w:rPr>
        <w:lastRenderedPageBreak/>
        <w:t>black)</w:t>
      </w:r>
    </w:p>
    <w:p w:rsidR="00215E7F" w:rsidRPr="0086281A" w:rsidRDefault="00860444" w:rsidP="004B541D">
      <w:pPr>
        <w:pStyle w:val="Paragraphedeliste"/>
        <w:widowControl w:val="0"/>
        <w:numPr>
          <w:ilvl w:val="1"/>
          <w:numId w:val="1"/>
        </w:numPr>
        <w:autoSpaceDE w:val="0"/>
        <w:autoSpaceDN w:val="0"/>
        <w:adjustRightInd w:val="0"/>
        <w:rPr>
          <w:rFonts w:ascii="Calibri" w:hAnsi="Calibri" w:cs="Times"/>
          <w:lang w:val="en-GB"/>
        </w:rPr>
      </w:pPr>
      <w:r w:rsidRPr="0086281A">
        <w:rPr>
          <w:rFonts w:ascii="Calibri" w:hAnsi="Calibri" w:cs="Times"/>
          <w:lang w:val="en-GB"/>
        </w:rPr>
        <w:t xml:space="preserve">MDRD </w:t>
      </w:r>
      <w:r w:rsidRPr="0086281A">
        <w:rPr>
          <w:rFonts w:ascii="Calibri" w:hAnsi="Calibri" w:cs="Times"/>
          <w:vertAlign w:val="subscript"/>
          <w:lang w:val="en-GB"/>
        </w:rPr>
        <w:t>deindexed</w:t>
      </w:r>
      <w:r w:rsidRPr="0086281A">
        <w:rPr>
          <w:rFonts w:ascii="Calibri" w:hAnsi="Calibri" w:cs="Times"/>
          <w:lang w:val="en-GB"/>
        </w:rPr>
        <w:t xml:space="preserve"> </w:t>
      </w:r>
      <w:r w:rsidR="003A6E9F" w:rsidRPr="0086281A">
        <w:rPr>
          <w:rFonts w:ascii="Calibri" w:hAnsi="Calibri" w:cs="Times"/>
          <w:lang w:val="en-GB"/>
        </w:rPr>
        <w:t xml:space="preserve">in mL/min </w:t>
      </w:r>
      <w:r w:rsidRPr="0086281A">
        <w:rPr>
          <w:rFonts w:ascii="Calibri" w:hAnsi="Calibri" w:cs="Times"/>
          <w:lang w:val="en-GB"/>
        </w:rPr>
        <w:t>= (eGFR in mL/min/1.73m</w:t>
      </w:r>
      <w:r w:rsidRPr="0086281A">
        <w:rPr>
          <w:rFonts w:ascii="Calibri" w:hAnsi="Calibri" w:cs="Times"/>
          <w:vertAlign w:val="superscript"/>
          <w:lang w:val="en-GB"/>
        </w:rPr>
        <w:t>2</w:t>
      </w:r>
      <w:r w:rsidRPr="0086281A">
        <w:rPr>
          <w:rFonts w:ascii="Calibri" w:hAnsi="Calibri" w:cs="Times"/>
          <w:lang w:val="en-GB"/>
        </w:rPr>
        <w:t xml:space="preserve"> x BSA) / 1.73m</w:t>
      </w:r>
      <w:r w:rsidRPr="0086281A">
        <w:rPr>
          <w:rFonts w:ascii="Calibri" w:hAnsi="Calibri" w:cs="Times"/>
          <w:vertAlign w:val="superscript"/>
          <w:lang w:val="en-GB"/>
        </w:rPr>
        <w:t>2</w:t>
      </w:r>
    </w:p>
    <w:p w:rsidR="00095398" w:rsidRPr="0086281A" w:rsidRDefault="00215E7F" w:rsidP="007575C7">
      <w:pPr>
        <w:pStyle w:val="Paragraphedeliste"/>
        <w:widowControl w:val="0"/>
        <w:numPr>
          <w:ilvl w:val="0"/>
          <w:numId w:val="1"/>
        </w:numPr>
        <w:autoSpaceDE w:val="0"/>
        <w:autoSpaceDN w:val="0"/>
        <w:adjustRightInd w:val="0"/>
        <w:rPr>
          <w:rFonts w:ascii="Calibri" w:hAnsi="Calibri" w:cs="Cambria"/>
          <w:lang w:val="en-GB"/>
        </w:rPr>
      </w:pPr>
      <w:r w:rsidRPr="0086281A">
        <w:rPr>
          <w:rFonts w:ascii="Calibri" w:hAnsi="Calibri" w:cs="Times"/>
          <w:lang w:val="en-GB"/>
        </w:rPr>
        <w:t xml:space="preserve">CKD-EPI </w:t>
      </w:r>
    </w:p>
    <w:p w:rsidR="00215E7F" w:rsidRPr="0086281A" w:rsidRDefault="007575C7" w:rsidP="00215E7F">
      <w:pPr>
        <w:pStyle w:val="Paragraphedeliste"/>
        <w:widowControl w:val="0"/>
        <w:numPr>
          <w:ilvl w:val="1"/>
          <w:numId w:val="1"/>
        </w:numPr>
        <w:autoSpaceDE w:val="0"/>
        <w:autoSpaceDN w:val="0"/>
        <w:adjustRightInd w:val="0"/>
        <w:rPr>
          <w:rFonts w:ascii="Calibri" w:hAnsi="Calibri" w:cs="Times"/>
          <w:lang w:val="en-GB"/>
        </w:rPr>
      </w:pPr>
      <w:r w:rsidRPr="0086281A">
        <w:rPr>
          <w:rFonts w:ascii="Calibri" w:hAnsi="Calibri" w:cs="Times"/>
          <w:lang w:val="en-GB"/>
        </w:rPr>
        <w:t>eGFR</w:t>
      </w:r>
      <w:r w:rsidR="00095398" w:rsidRPr="0086281A">
        <w:rPr>
          <w:rFonts w:ascii="Calibri" w:hAnsi="Calibri" w:cs="Times"/>
          <w:lang w:val="en-GB"/>
        </w:rPr>
        <w:t xml:space="preserve"> </w:t>
      </w:r>
      <w:r w:rsidR="00215E7F" w:rsidRPr="0086281A">
        <w:rPr>
          <w:rFonts w:ascii="Calibri" w:hAnsi="Calibri" w:cs="Times"/>
          <w:lang w:val="en-GB"/>
        </w:rPr>
        <w:t>in mL/min/1.73m</w:t>
      </w:r>
      <w:r w:rsidR="00215E7F" w:rsidRPr="0086281A">
        <w:rPr>
          <w:rFonts w:ascii="Calibri" w:hAnsi="Calibri" w:cs="Times"/>
          <w:vertAlign w:val="superscript"/>
          <w:lang w:val="en-GB"/>
        </w:rPr>
        <w:t xml:space="preserve">2 </w:t>
      </w:r>
    </w:p>
    <w:p w:rsidR="007575C7" w:rsidRPr="0086281A" w:rsidRDefault="005754B8" w:rsidP="00095398">
      <w:pPr>
        <w:pStyle w:val="Paragraphedeliste"/>
        <w:widowControl w:val="0"/>
        <w:numPr>
          <w:ilvl w:val="1"/>
          <w:numId w:val="1"/>
        </w:numPr>
        <w:autoSpaceDE w:val="0"/>
        <w:autoSpaceDN w:val="0"/>
        <w:adjustRightInd w:val="0"/>
        <w:rPr>
          <w:rFonts w:ascii="Calibri" w:hAnsi="Calibri" w:cs="Cambria"/>
          <w:lang w:val="en-GB"/>
        </w:rPr>
      </w:pPr>
      <w:r w:rsidRPr="0086281A">
        <w:rPr>
          <w:rFonts w:ascii="Calibri" w:hAnsi="Calibri" w:cs="Helvetica"/>
          <w:lang w:val="en-GB"/>
        </w:rPr>
        <w:t xml:space="preserve">k1 </w:t>
      </w:r>
      <w:r w:rsidR="007575C7" w:rsidRPr="0086281A">
        <w:rPr>
          <w:rFonts w:ascii="Calibri" w:hAnsi="Calibri" w:cs="Times"/>
          <w:lang w:val="en-GB"/>
        </w:rPr>
        <w:t xml:space="preserve">× </w:t>
      </w:r>
      <w:r w:rsidR="00215E7F" w:rsidRPr="0086281A">
        <w:rPr>
          <w:rFonts w:ascii="Calibri" w:hAnsi="Calibri" w:cs="Times"/>
          <w:lang w:val="en-GB"/>
        </w:rPr>
        <w:t>(SCr</w:t>
      </w:r>
      <w:r w:rsidRPr="0086281A">
        <w:rPr>
          <w:rFonts w:ascii="Calibri" w:hAnsi="Calibri" w:cs="Times"/>
          <w:lang w:val="en-GB"/>
        </w:rPr>
        <w:t>/k2</w:t>
      </w:r>
      <w:r w:rsidR="007575C7" w:rsidRPr="0086281A">
        <w:rPr>
          <w:rFonts w:ascii="Calibri" w:hAnsi="Calibri" w:cs="Times"/>
          <w:lang w:val="en-GB"/>
        </w:rPr>
        <w:t>)</w:t>
      </w:r>
      <w:r w:rsidR="007575C7" w:rsidRPr="0086281A">
        <w:rPr>
          <w:rFonts w:ascii="Calibri" w:hAnsi="Calibri" w:cs="Times"/>
          <w:vertAlign w:val="superscript"/>
          <w:lang w:val="en-GB"/>
        </w:rPr>
        <w:t xml:space="preserve"> </w:t>
      </w:r>
      <w:r w:rsidRPr="0086281A">
        <w:rPr>
          <w:rFonts w:ascii="Calibri" w:hAnsi="Calibri" w:cs="Times"/>
          <w:vertAlign w:val="superscript"/>
          <w:lang w:val="en-GB"/>
        </w:rPr>
        <w:t>-</w:t>
      </w:r>
      <w:r w:rsidR="007575C7" w:rsidRPr="0086281A">
        <w:rPr>
          <w:rFonts w:ascii="Calibri" w:hAnsi="Calibri" w:cs="Times"/>
          <w:vertAlign w:val="superscript"/>
          <w:lang w:val="en-GB"/>
        </w:rPr>
        <w:t>α</w:t>
      </w:r>
      <w:r w:rsidR="007575C7" w:rsidRPr="0086281A">
        <w:rPr>
          <w:rFonts w:ascii="Calibri" w:hAnsi="Calibri" w:cs="Times"/>
          <w:lang w:val="en-GB"/>
        </w:rPr>
        <w:t xml:space="preserve">  × 0,993 </w:t>
      </w:r>
      <w:r w:rsidRPr="0086281A">
        <w:rPr>
          <w:rFonts w:ascii="Calibri" w:hAnsi="Calibri" w:cs="Times"/>
          <w:vertAlign w:val="superscript"/>
          <w:lang w:val="en-GB"/>
        </w:rPr>
        <w:t>age</w:t>
      </w:r>
      <w:r w:rsidR="007575C7" w:rsidRPr="0086281A">
        <w:rPr>
          <w:rFonts w:ascii="Calibri" w:hAnsi="Calibri" w:cs="Times"/>
          <w:lang w:val="en-GB"/>
        </w:rPr>
        <w:t xml:space="preserve"> </w:t>
      </w:r>
    </w:p>
    <w:p w:rsidR="007575C7" w:rsidRPr="0086281A" w:rsidRDefault="00215E7F" w:rsidP="00215E7F">
      <w:pPr>
        <w:pStyle w:val="Paragraphedeliste"/>
        <w:widowControl w:val="0"/>
        <w:numPr>
          <w:ilvl w:val="1"/>
          <w:numId w:val="1"/>
        </w:numPr>
        <w:autoSpaceDE w:val="0"/>
        <w:autoSpaceDN w:val="0"/>
        <w:adjustRightInd w:val="0"/>
        <w:rPr>
          <w:rFonts w:ascii="Calibri" w:hAnsi="Calibri" w:cs="Cambria"/>
          <w:lang w:val="en-GB"/>
        </w:rPr>
      </w:pPr>
      <w:r w:rsidRPr="0086281A">
        <w:rPr>
          <w:rFonts w:ascii="Calibri" w:hAnsi="Calibri" w:cs="Times"/>
          <w:lang w:val="en-GB"/>
        </w:rPr>
        <w:t>SCr</w:t>
      </w:r>
      <w:r w:rsidR="007575C7" w:rsidRPr="0086281A">
        <w:rPr>
          <w:rFonts w:ascii="Calibri" w:hAnsi="Calibri" w:cs="Times"/>
          <w:lang w:val="en-GB"/>
        </w:rPr>
        <w:t>: Serum creatinine</w:t>
      </w:r>
      <w:r w:rsidRPr="0086281A">
        <w:rPr>
          <w:rFonts w:ascii="Calibri" w:hAnsi="Calibri" w:cs="Times"/>
          <w:lang w:val="en-GB"/>
        </w:rPr>
        <w:t xml:space="preserve"> in mg/dL</w:t>
      </w:r>
    </w:p>
    <w:p w:rsidR="005754B8" w:rsidRPr="0086281A" w:rsidRDefault="00C1574B" w:rsidP="007575C7">
      <w:pPr>
        <w:pStyle w:val="Paragraphedeliste"/>
        <w:widowControl w:val="0"/>
        <w:numPr>
          <w:ilvl w:val="1"/>
          <w:numId w:val="1"/>
        </w:numPr>
        <w:autoSpaceDE w:val="0"/>
        <w:autoSpaceDN w:val="0"/>
        <w:adjustRightInd w:val="0"/>
        <w:rPr>
          <w:rFonts w:ascii="Calibri" w:hAnsi="Calibri" w:cs="Cambria"/>
          <w:lang w:val="en-GB"/>
        </w:rPr>
      </w:pPr>
      <w:r w:rsidRPr="0086281A">
        <w:rPr>
          <w:rFonts w:ascii="Calibri" w:hAnsi="Calibri" w:cs="Times"/>
          <w:lang w:val="en-GB"/>
        </w:rPr>
        <w:t>k1=141, 143, 163, and 166 for white men and women and bl</w:t>
      </w:r>
      <w:r w:rsidR="005754B8" w:rsidRPr="0086281A">
        <w:rPr>
          <w:rFonts w:ascii="Calibri" w:hAnsi="Calibri" w:cs="Times"/>
          <w:lang w:val="en-GB"/>
        </w:rPr>
        <w:t>ack men and women, respectively</w:t>
      </w:r>
    </w:p>
    <w:p w:rsidR="005754B8" w:rsidRPr="0086281A" w:rsidRDefault="00C1574B" w:rsidP="007575C7">
      <w:pPr>
        <w:pStyle w:val="Paragraphedeliste"/>
        <w:widowControl w:val="0"/>
        <w:numPr>
          <w:ilvl w:val="1"/>
          <w:numId w:val="1"/>
        </w:numPr>
        <w:autoSpaceDE w:val="0"/>
        <w:autoSpaceDN w:val="0"/>
        <w:adjustRightInd w:val="0"/>
        <w:rPr>
          <w:rFonts w:ascii="Calibri" w:hAnsi="Calibri" w:cs="Cambria"/>
          <w:lang w:val="en-GB"/>
        </w:rPr>
      </w:pPr>
      <w:r w:rsidRPr="0086281A">
        <w:rPr>
          <w:rFonts w:ascii="Calibri" w:hAnsi="Calibri" w:cs="Times"/>
          <w:lang w:val="en-GB"/>
        </w:rPr>
        <w:t>k2=0.7 and 0.9 f</w:t>
      </w:r>
      <w:r w:rsidR="005754B8" w:rsidRPr="0086281A">
        <w:rPr>
          <w:rFonts w:ascii="Calibri" w:hAnsi="Calibri" w:cs="Times"/>
          <w:lang w:val="en-GB"/>
        </w:rPr>
        <w:t>or women and men, respectively</w:t>
      </w:r>
    </w:p>
    <w:p w:rsidR="00C1574B" w:rsidRPr="0086281A" w:rsidRDefault="005754B8" w:rsidP="007575C7">
      <w:pPr>
        <w:pStyle w:val="Paragraphedeliste"/>
        <w:widowControl w:val="0"/>
        <w:numPr>
          <w:ilvl w:val="1"/>
          <w:numId w:val="1"/>
        </w:numPr>
        <w:autoSpaceDE w:val="0"/>
        <w:autoSpaceDN w:val="0"/>
        <w:adjustRightInd w:val="0"/>
        <w:rPr>
          <w:rFonts w:ascii="Calibri" w:hAnsi="Calibri" w:cs="Cambria"/>
          <w:lang w:val="en-GB"/>
        </w:rPr>
      </w:pPr>
      <w:r w:rsidRPr="0086281A">
        <w:rPr>
          <w:rFonts w:ascii="Calibri" w:hAnsi="Calibri" w:cs="Times"/>
          <w:lang w:val="en-GB"/>
        </w:rPr>
        <w:t xml:space="preserve">α </w:t>
      </w:r>
      <w:r w:rsidR="00C1574B" w:rsidRPr="0086281A">
        <w:rPr>
          <w:rFonts w:ascii="Calibri" w:hAnsi="Calibri" w:cs="Times"/>
          <w:lang w:val="en-GB"/>
        </w:rPr>
        <w:t xml:space="preserve">=1.209, 1.209, 0.411, and 0.329 for men with </w:t>
      </w:r>
      <w:r w:rsidRPr="0086281A">
        <w:rPr>
          <w:rFonts w:ascii="Calibri" w:hAnsi="Calibri" w:cs="Times"/>
          <w:lang w:val="en-GB"/>
        </w:rPr>
        <w:t>S</w:t>
      </w:r>
      <w:r w:rsidR="00C1574B" w:rsidRPr="0086281A">
        <w:rPr>
          <w:rFonts w:ascii="Calibri" w:hAnsi="Calibri" w:cs="Times"/>
          <w:lang w:val="en-GB"/>
        </w:rPr>
        <w:t>Cr</w:t>
      </w:r>
      <w:r w:rsidRPr="0086281A">
        <w:rPr>
          <w:rFonts w:ascii="Calibri" w:hAnsi="Calibri" w:cs="Helvetica"/>
          <w:lang w:val="en-GB"/>
        </w:rPr>
        <w:t xml:space="preserve"> &gt; </w:t>
      </w:r>
      <w:r w:rsidR="00C1574B" w:rsidRPr="0086281A">
        <w:rPr>
          <w:rFonts w:ascii="Calibri" w:hAnsi="Calibri" w:cs="Times"/>
          <w:lang w:val="en-GB"/>
        </w:rPr>
        <w:t xml:space="preserve">0.9 mg/dl, women with </w:t>
      </w:r>
      <w:r w:rsidRPr="0086281A">
        <w:rPr>
          <w:rFonts w:ascii="Calibri" w:hAnsi="Calibri" w:cs="Times"/>
          <w:lang w:val="en-GB"/>
        </w:rPr>
        <w:t>S</w:t>
      </w:r>
      <w:r w:rsidR="00C1574B" w:rsidRPr="0086281A">
        <w:rPr>
          <w:rFonts w:ascii="Calibri" w:hAnsi="Calibri" w:cs="Times"/>
          <w:lang w:val="en-GB"/>
        </w:rPr>
        <w:t>Cr</w:t>
      </w:r>
      <w:r w:rsidRPr="0086281A">
        <w:rPr>
          <w:rFonts w:ascii="Calibri" w:hAnsi="Calibri" w:cs="Times"/>
          <w:lang w:val="en-GB"/>
        </w:rPr>
        <w:t xml:space="preserve"> &gt;</w:t>
      </w:r>
      <w:r w:rsidRPr="0086281A">
        <w:rPr>
          <w:rFonts w:ascii="Calibri" w:hAnsi="Calibri" w:cs="Helvetica"/>
          <w:lang w:val="en-GB"/>
        </w:rPr>
        <w:t xml:space="preserve"> </w:t>
      </w:r>
      <w:r w:rsidRPr="0086281A">
        <w:rPr>
          <w:rFonts w:ascii="Calibri" w:hAnsi="Calibri" w:cs="Times"/>
          <w:lang w:val="en-GB"/>
        </w:rPr>
        <w:t>0.7 mg/dl, men with S</w:t>
      </w:r>
      <w:r w:rsidR="00C1574B" w:rsidRPr="0086281A">
        <w:rPr>
          <w:rFonts w:ascii="Calibri" w:hAnsi="Calibri" w:cs="Times"/>
          <w:lang w:val="en-GB"/>
        </w:rPr>
        <w:t>Cr</w:t>
      </w:r>
      <w:r w:rsidRPr="0086281A">
        <w:rPr>
          <w:rFonts w:ascii="Calibri" w:hAnsi="Calibri" w:cs="Helvetica"/>
          <w:lang w:val="en-GB"/>
        </w:rPr>
        <w:t xml:space="preserve"> </w:t>
      </w:r>
      <w:r w:rsidRPr="0086281A">
        <w:rPr>
          <w:rFonts w:ascii="Calibri" w:hAnsi="Calibri" w:cs="Helvetica"/>
          <w:lang w:val="en-GB"/>
        </w:rPr>
        <w:sym w:font="Symbol" w:char="F0A3"/>
      </w:r>
      <w:r w:rsidRPr="0086281A">
        <w:rPr>
          <w:rFonts w:ascii="Calibri" w:hAnsi="Calibri" w:cs="Helvetica"/>
          <w:lang w:val="en-GB"/>
        </w:rPr>
        <w:t xml:space="preserve"> </w:t>
      </w:r>
      <w:r w:rsidR="00C1574B" w:rsidRPr="0086281A">
        <w:rPr>
          <w:rFonts w:ascii="Calibri" w:hAnsi="Calibri" w:cs="Times"/>
          <w:lang w:val="en-GB"/>
        </w:rPr>
        <w:t>0.9 mg/dl, a</w:t>
      </w:r>
      <w:r w:rsidRPr="0086281A">
        <w:rPr>
          <w:rFonts w:ascii="Calibri" w:hAnsi="Calibri" w:cs="Times"/>
          <w:lang w:val="en-GB"/>
        </w:rPr>
        <w:t>nd women with S</w:t>
      </w:r>
      <w:r w:rsidR="00C1574B" w:rsidRPr="0086281A">
        <w:rPr>
          <w:rFonts w:ascii="Calibri" w:hAnsi="Calibri" w:cs="Times"/>
          <w:lang w:val="en-GB"/>
        </w:rPr>
        <w:t>Cr</w:t>
      </w:r>
      <w:r w:rsidRPr="0086281A">
        <w:rPr>
          <w:rFonts w:ascii="Calibri" w:hAnsi="Calibri" w:cs="Times"/>
          <w:lang w:val="en-GB"/>
        </w:rPr>
        <w:t xml:space="preserve"> </w:t>
      </w:r>
      <w:r w:rsidRPr="0086281A">
        <w:rPr>
          <w:rFonts w:ascii="Calibri" w:hAnsi="Calibri" w:cs="Helvetica"/>
          <w:lang w:val="en-GB"/>
        </w:rPr>
        <w:sym w:font="Symbol" w:char="F0A3"/>
      </w:r>
      <w:r w:rsidRPr="0086281A">
        <w:rPr>
          <w:rFonts w:ascii="Calibri" w:hAnsi="Calibri" w:cs="Helvetica"/>
          <w:lang w:val="en-GB"/>
        </w:rPr>
        <w:t xml:space="preserve"> </w:t>
      </w:r>
      <w:r w:rsidR="00C1574B" w:rsidRPr="0086281A">
        <w:rPr>
          <w:rFonts w:ascii="Calibri" w:hAnsi="Calibri" w:cs="Times"/>
          <w:lang w:val="en-GB"/>
        </w:rPr>
        <w:t>0.7 mg/dl, respectively</w:t>
      </w:r>
    </w:p>
    <w:p w:rsidR="003A6E9F" w:rsidRPr="0086281A" w:rsidRDefault="003A6E9F" w:rsidP="003A6E9F">
      <w:pPr>
        <w:pStyle w:val="Paragraphedeliste"/>
        <w:widowControl w:val="0"/>
        <w:numPr>
          <w:ilvl w:val="1"/>
          <w:numId w:val="1"/>
        </w:numPr>
        <w:autoSpaceDE w:val="0"/>
        <w:autoSpaceDN w:val="0"/>
        <w:adjustRightInd w:val="0"/>
        <w:rPr>
          <w:rFonts w:ascii="Calibri" w:hAnsi="Calibri" w:cs="Times"/>
          <w:lang w:val="en-GB"/>
        </w:rPr>
      </w:pPr>
      <w:r w:rsidRPr="0086281A">
        <w:rPr>
          <w:rFonts w:ascii="Calibri" w:hAnsi="Calibri" w:cs="Times"/>
          <w:lang w:val="en-GB"/>
        </w:rPr>
        <w:t xml:space="preserve">CKD-EPI </w:t>
      </w:r>
      <w:r w:rsidRPr="0086281A">
        <w:rPr>
          <w:rFonts w:ascii="Calibri" w:hAnsi="Calibri" w:cs="Times"/>
          <w:vertAlign w:val="subscript"/>
          <w:lang w:val="en-GB"/>
        </w:rPr>
        <w:t>deindexed</w:t>
      </w:r>
      <w:r w:rsidRPr="0086281A">
        <w:rPr>
          <w:rFonts w:ascii="Calibri" w:hAnsi="Calibri" w:cs="Times"/>
          <w:lang w:val="en-GB"/>
        </w:rPr>
        <w:t xml:space="preserve"> in mL/min = (eGFR in mL/min/</w:t>
      </w:r>
      <w:r w:rsidR="00961F3F" w:rsidRPr="0086281A">
        <w:rPr>
          <w:rFonts w:ascii="Calibri" w:hAnsi="Calibri" w:cs="Times"/>
          <w:lang w:val="en-GB"/>
        </w:rPr>
        <w:t>1.73m</w:t>
      </w:r>
      <w:r w:rsidR="00961F3F" w:rsidRPr="0086281A">
        <w:rPr>
          <w:rFonts w:ascii="Calibri" w:hAnsi="Calibri" w:cs="Times"/>
          <w:vertAlign w:val="superscript"/>
          <w:lang w:val="en-GB"/>
        </w:rPr>
        <w:t>2</w:t>
      </w:r>
      <w:r w:rsidR="00961F3F" w:rsidRPr="0086281A">
        <w:rPr>
          <w:rFonts w:ascii="Calibri" w:hAnsi="Calibri" w:cs="Times"/>
          <w:lang w:val="en-GB"/>
        </w:rPr>
        <w:t xml:space="preserve"> </w:t>
      </w:r>
      <w:r w:rsidRPr="0086281A">
        <w:rPr>
          <w:rFonts w:ascii="Calibri" w:hAnsi="Calibri" w:cs="Times"/>
          <w:lang w:val="en-GB"/>
        </w:rPr>
        <w:t>x BSA) / 1.73m</w:t>
      </w:r>
      <w:r w:rsidRPr="0086281A">
        <w:rPr>
          <w:rFonts w:ascii="Calibri" w:hAnsi="Calibri" w:cs="Times"/>
          <w:vertAlign w:val="superscript"/>
          <w:lang w:val="en-GB"/>
        </w:rPr>
        <w:t>2</w:t>
      </w:r>
    </w:p>
    <w:p w:rsidR="004E40F5" w:rsidRPr="0086281A" w:rsidRDefault="004E40F5" w:rsidP="0050478C">
      <w:pPr>
        <w:rPr>
          <w:rFonts w:ascii="Calibri" w:hAnsi="Calibri"/>
          <w:lang w:val="en-GB"/>
        </w:rPr>
      </w:pPr>
    </w:p>
    <w:p w:rsidR="008730C9" w:rsidRPr="0086281A" w:rsidRDefault="008730C9" w:rsidP="00873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6281A">
        <w:rPr>
          <w:rFonts w:ascii="Calibri" w:hAnsi="Calibri" w:cs="Times"/>
          <w:lang w:val="en-GB"/>
        </w:rPr>
        <w:t xml:space="preserve">We have also considered the performances of the two equations to classify the patients in the stages of CKD, as defined by the KDIGO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g2qlukgg1","properties":{"formattedCitation":"(12)","plainCitation":"(12)"},"citationItems":[{"id":1537,"uris":["http://zotero.org/users/2405774/items/Q6HAFXF7"],"uri":["http://zotero.org/users/2405774/items/Q6HAFXF7"],"itemData":{"id":1537,"type":"article","title":"KDIGO, CKD Evaluation &amp; Management","URL":"http://kdigo.org/home/guidelines/ckd-evaluation-management/"}}],"schema":"https://github.com/citation-style-language/schema/raw/master/csl-citation.json"}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(12)</w:t>
      </w:r>
      <w:r w:rsidR="00777D1E" w:rsidRPr="0086281A">
        <w:rPr>
          <w:rFonts w:ascii="Calibri" w:hAnsi="Calibri" w:cs="Times"/>
          <w:lang w:val="en-GB"/>
        </w:rPr>
        <w:fldChar w:fldCharType="end"/>
      </w:r>
      <w:r w:rsidRPr="0086281A">
        <w:rPr>
          <w:rFonts w:ascii="Calibri" w:hAnsi="Calibri" w:cs="Times"/>
          <w:lang w:val="en-GB"/>
        </w:rPr>
        <w:t>. The de</w:t>
      </w:r>
      <w:r w:rsidRPr="0086281A">
        <w:rPr>
          <w:rFonts w:ascii="Calibri" w:hAnsi="Calibri" w:cs="Helvetica"/>
          <w:lang w:val="en-GB"/>
        </w:rPr>
        <w:t>fi</w:t>
      </w:r>
      <w:r w:rsidRPr="0086281A">
        <w:rPr>
          <w:rFonts w:ascii="Calibri" w:hAnsi="Calibri" w:cs="Times"/>
          <w:lang w:val="en-GB"/>
        </w:rPr>
        <w:t>nition of the subgroups was set according to non-indexed values</w:t>
      </w:r>
      <w:r w:rsidR="00727535">
        <w:rPr>
          <w:rFonts w:ascii="Calibri" w:hAnsi="Calibri" w:cs="Times"/>
          <w:lang w:val="en-GB"/>
        </w:rPr>
        <w:t xml:space="preserve"> of mGFR</w:t>
      </w:r>
      <w:r w:rsidRPr="0086281A">
        <w:rPr>
          <w:rFonts w:ascii="Calibri" w:hAnsi="Calibri" w:cs="Times"/>
          <w:lang w:val="en-GB"/>
        </w:rPr>
        <w:t>. W</w:t>
      </w:r>
      <w:r w:rsidR="00727535">
        <w:rPr>
          <w:rFonts w:ascii="Calibri" w:hAnsi="Calibri" w:cs="Times"/>
          <w:lang w:val="en-GB"/>
        </w:rPr>
        <w:t xml:space="preserve">e added in this classification </w:t>
      </w:r>
      <w:r w:rsidRPr="0086281A">
        <w:rPr>
          <w:rFonts w:ascii="Calibri" w:hAnsi="Calibri" w:cs="Times"/>
          <w:lang w:val="en-GB"/>
        </w:rPr>
        <w:t xml:space="preserve">the </w:t>
      </w:r>
      <w:r w:rsidR="00727535">
        <w:rPr>
          <w:rFonts w:ascii="Calibri" w:hAnsi="Calibri" w:cs="Times"/>
          <w:lang w:val="en-GB"/>
        </w:rPr>
        <w:t>“</w:t>
      </w:r>
      <w:r w:rsidRPr="0086281A">
        <w:rPr>
          <w:rFonts w:ascii="Calibri" w:hAnsi="Calibri" w:cs="Times"/>
          <w:lang w:val="en-GB"/>
        </w:rPr>
        <w:t>hyp</w:t>
      </w:r>
      <w:r w:rsidR="00C25C60" w:rsidRPr="0086281A">
        <w:rPr>
          <w:rFonts w:ascii="Calibri" w:hAnsi="Calibri" w:cs="Times"/>
          <w:lang w:val="en-GB"/>
        </w:rPr>
        <w:t>erfiltration</w:t>
      </w:r>
      <w:r w:rsidR="00727535">
        <w:rPr>
          <w:rFonts w:ascii="Calibri" w:hAnsi="Calibri" w:cs="Times"/>
          <w:lang w:val="en-GB"/>
        </w:rPr>
        <w:t>”</w:t>
      </w:r>
      <w:r w:rsidR="00C25C60" w:rsidRPr="0086281A">
        <w:rPr>
          <w:rFonts w:ascii="Calibri" w:hAnsi="Calibri" w:cs="Times"/>
          <w:lang w:val="en-GB"/>
        </w:rPr>
        <w:t xml:space="preserve"> stage</w:t>
      </w:r>
      <w:r w:rsidR="00727535" w:rsidRPr="00727535">
        <w:rPr>
          <w:rFonts w:ascii="Calibri" w:hAnsi="Calibri" w:cs="Times"/>
          <w:lang w:val="en-GB"/>
        </w:rPr>
        <w:t xml:space="preserve"> </w:t>
      </w:r>
      <w:r w:rsidR="00727535" w:rsidRPr="0086281A">
        <w:rPr>
          <w:rFonts w:ascii="Calibri" w:hAnsi="Calibri" w:cs="Times"/>
          <w:lang w:val="en-GB"/>
        </w:rPr>
        <w:t>which is not included in the KDIGO guidelines</w:t>
      </w:r>
      <w:r w:rsidR="00C25C60" w:rsidRPr="0086281A">
        <w:rPr>
          <w:rFonts w:ascii="Calibri" w:hAnsi="Calibri" w:cs="Times"/>
          <w:lang w:val="en-GB"/>
        </w:rPr>
        <w:t>. This status</w:t>
      </w:r>
      <w:r w:rsidRPr="0086281A">
        <w:rPr>
          <w:rFonts w:ascii="Calibri" w:hAnsi="Calibri" w:cs="Times"/>
          <w:lang w:val="en-GB"/>
        </w:rPr>
        <w:t xml:space="preserve"> is more frequently seen in obese and diabetic patients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1g3dhpgrqc","properties":{"formattedCitation":"(27)","plainCitation":"(27)"},"citationItems":[{"id":1478,"uris":["http://zotero.org/users/2405774/items/SV2VGUT3"],"uri":["http://zotero.org/users/2405774/items/SV2VGUT3"],"itemData":{"id":1478,"type":"article-journal","title":"Renal hyperfiltration related to diabetes mellitus and obesity in human disease","container-title":"World Journal of Diabetes","page":"1-6","volume":"3","issue":"1","source":"NCBI PubMed","abstract":"High intraglomerular pressure is associated with renal hyperfiltration, leading to the initiation and progression of kidney disease in experimental models of diabetes mellitus (DM). In humans, hyperfiltration is observed in patients with type 1 and type 2 DM, and is also seen in patients with pre-diabetic conditions, such as the metabolic syndrome. From a mechanistic perspective, both vascular and tubular factors likely contribute to the pathogenesis of hyperfiltration. Until now, human studies have primarily focused on the use of medications that inhibit the renin angiotensin system to reduce efferent vasoconstriction and thereby improve hyperfiltration. More recent advances in the development of investigational adenosine antagonists and inhibitors of sodium glucose co-transport may help to elucidate tubular factors that contribute to afferent vasodilatation. In this review, we summarize available data from experimental and human studies of type 1 and type 2 DM and obesity to provide an overview of factors that contribute to the hyperfiltration state. We have focused on the renin angiotensin system, cyclooxygenase-2 system, nitric oxide, protein kinase C and endothelin as vascular determinants of hyperfiltration. We also discuss relevant tubular factors, since experimental models have suggested that inhibition of sodium-glucose cotransport may be renoprotective.","DOI":"10.4239/wjd.v3.i1.1","ISSN":"1948-9358","note":"PMID: 22253940 \nPMCID: PMC3258534","journalAbbreviation":"World J Diabetes","language":"eng","author":[{"family":"Sasson","given":"Alexa N."},{"family":"Cherney","given":"David Zi"}],"issued":{"date-parts":[["2012",1,15]]},"PMID":"22253940","PMCID":"PMC3258534"}}],"schema":"https://github.com/citation-style-language/schema/raw/master/csl-citation.json"}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(27)</w:t>
      </w:r>
      <w:r w:rsidR="00777D1E" w:rsidRPr="0086281A">
        <w:rPr>
          <w:rFonts w:ascii="Calibri" w:hAnsi="Calibri" w:cs="Times"/>
          <w:lang w:val="en-GB"/>
        </w:rPr>
        <w:fldChar w:fldCharType="end"/>
      </w:r>
      <w:r w:rsidRPr="0086281A">
        <w:rPr>
          <w:rFonts w:ascii="Calibri" w:hAnsi="Calibri" w:cs="Times"/>
          <w:lang w:val="en-GB"/>
        </w:rPr>
        <w:t>, and is characterized as a eGFR over 130</w:t>
      </w:r>
      <w:r w:rsidR="00F5007F" w:rsidRPr="0086281A">
        <w:rPr>
          <w:rFonts w:ascii="Calibri" w:hAnsi="Calibri" w:cs="Times"/>
          <w:lang w:val="en-GB"/>
        </w:rPr>
        <w:t xml:space="preserve"> </w:t>
      </w:r>
      <w:r w:rsidRPr="0086281A">
        <w:rPr>
          <w:rFonts w:ascii="Calibri" w:hAnsi="Calibri" w:cs="Times"/>
          <w:lang w:val="en-GB"/>
        </w:rPr>
        <w:t>mL/min/1.73m</w:t>
      </w:r>
      <w:r w:rsidRPr="0086281A">
        <w:rPr>
          <w:rFonts w:ascii="Calibri" w:hAnsi="Calibri" w:cs="Times"/>
          <w:vertAlign w:val="superscript"/>
          <w:lang w:val="en-GB"/>
        </w:rPr>
        <w:t>2</w:t>
      </w:r>
      <w:r w:rsidRPr="0086281A">
        <w:rPr>
          <w:rFonts w:ascii="Calibri" w:hAnsi="Calibri" w:cs="Times"/>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27kHP5SK","properties":{"formattedCitation":"(28)","plainCitation":"(28)"},"citationItems":[{"id":1480,"uris":["http://zotero.org/users/2405774/items/NWVPKR7J"],"uri":["http://zotero.org/users/2405774/items/NWVPKR7J"],"itemData":{"id":1480,"type":"article-journal","title":"A Systematic Review of Glomerular Hyperfiltration Assessment and Definition in the Medical Literature","container-title":"Clinical journal of the American Society of Nephrology","page":"382-389","volume":"10","issue":"3","source":"NCBI PubMed","abstract":"BACKGROUND AND OBJECTIVES: Evaluation of glomerular hyperfiltration (GH) is difficult; the variable reported definitions impede comparisons between studies. A clear and universal definition of GH would help in comparing results of trials aimed at reducing GH. This study assessed how GH is measured and defined in the literature.\nDESIGN, SETTING, PARTICIPANTS, &amp; MEASUREMENTS: Three databases (Embase, MEDLINE, CINAHL) were systematically searched using the terms \"hyperfiltration\" or \"glomerular hyperfiltration\". All studies reporting a GH threshold or studying the effect of a high GFR in a continuous manner against another outcome of interest were included.\nRESULTS: The literature search was performed from November 2012 to February 2013 and updated in August 2014. From 2013 retrieved studies, 405 studies were included. Threshold use to define GH was reported in 55.6% of studies. Of these, 88.4% used a single threshold and 11.6% used numerous thresholds adapted to participant sex or age. In 29.8% of the studies, the choice of a GH threshold was not based on a control group or literature references. After 2004, the use of GH threshold use increased (P&lt;0.001), but the use of a control group to precisely define that GH threshold decreased significantly (P&lt;0.001); the threshold did not differ among pediatric, adult, or mixed-age studies. The GH threshold ranged from 90.7 to 175 ml/min per 1.73 m(2) (median, 135 ml/min per 1.73 m(2)).\nCONCLUSION: Thirty percent of studies did not justify the choice of threshold values. The decrease of GFR in the elderly was rarely considered in defining GH. From a methodologic point of view, an age- and sex-matched control group should be used to define a GH threshold.","DOI":"10.2215/CJN.03080314","ISSN":"1555-905X","note":"PMID: 25568216","journalAbbreviation":"Clin J Am Soc Nephrol","language":"ENG","author":[{"family":"Cachat","given":"Francois"},{"family":"Combescure","given":"Christophe"},{"family":"Cauderay","given":"Michel"},{"family":"Girardin","given":"Eric"},{"family":"Chehade","given":"Hassib"}],"issued":{"date-parts":[["2015",3]]},"PMID":"25568216"}}],"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(28)</w:t>
      </w:r>
      <w:r w:rsidR="00777D1E" w:rsidRPr="0086281A">
        <w:rPr>
          <w:rFonts w:ascii="Calibri" w:hAnsi="Calibri" w:cs="Times"/>
          <w:lang w:val="en-GB"/>
        </w:rPr>
        <w:fldChar w:fldCharType="end"/>
      </w:r>
      <w:r w:rsidR="004B541D" w:rsidRPr="0086281A">
        <w:rPr>
          <w:rFonts w:ascii="Calibri" w:hAnsi="Calibri" w:cs="Times"/>
          <w:lang w:val="en-GB"/>
        </w:rPr>
        <w:t xml:space="preserve">. </w:t>
      </w:r>
      <w:r w:rsidRPr="0086281A">
        <w:rPr>
          <w:rFonts w:ascii="Calibri" w:hAnsi="Calibri" w:cs="Times"/>
          <w:lang w:val="en-GB"/>
        </w:rPr>
        <w:t xml:space="preserve">Also, we took a practical example of adaptation of drug dosage using the metformin. </w:t>
      </w:r>
      <w:r w:rsidRPr="0086281A">
        <w:rPr>
          <w:rFonts w:ascii="Calibri" w:hAnsi="Calibri" w:cs="Times"/>
          <w:color w:val="1A1718"/>
          <w:lang w:val="en-GB"/>
        </w:rPr>
        <w:t>As recommended by the KDIGO</w:t>
      </w:r>
      <w:r w:rsidR="00FB7454" w:rsidRPr="0086281A">
        <w:rPr>
          <w:rFonts w:ascii="Calibri" w:hAnsi="Calibri" w:cs="Times"/>
          <w:color w:val="1A1718"/>
          <w:lang w:val="en-GB"/>
        </w:rPr>
        <w:t xml:space="preserve"> </w:t>
      </w:r>
      <w:r w:rsidR="00777D1E" w:rsidRPr="0086281A">
        <w:rPr>
          <w:rFonts w:ascii="Calibri" w:hAnsi="Calibri" w:cs="Times"/>
          <w:color w:val="1A1718"/>
          <w:lang w:val="en-GB"/>
        </w:rPr>
        <w:fldChar w:fldCharType="begin"/>
      </w:r>
      <w:r w:rsidR="009852DE">
        <w:rPr>
          <w:rFonts w:ascii="Calibri" w:hAnsi="Calibri" w:cs="Times"/>
          <w:color w:val="1A1718"/>
          <w:lang w:val="en-GB"/>
        </w:rPr>
        <w:instrText xml:space="preserve"> ADDIN ZOTERO_ITEM CSL_CITATION {"citationID":"191enlmdke","properties":{"formattedCitation":"(12)","plainCitation":"(12)"},"citationItems":[{"id":1537,"uris":["http://zotero.org/users/2405774/items/Q6HAFXF7"],"uri":["http://zotero.org/users/2405774/items/Q6HAFXF7"],"itemData":{"id":1537,"type":"article","title":"KDIGO, CKD Evaluation &amp; Management","URL":"http://kdigo.org/home/guidelines/ckd-evaluation-management/"}}],"schema":"https://github.com/citation-style-language/schema/raw/master/csl-citation.json"} </w:instrText>
      </w:r>
      <w:r w:rsidR="00777D1E" w:rsidRPr="0086281A">
        <w:rPr>
          <w:rFonts w:ascii="Calibri" w:hAnsi="Calibri" w:cs="Times"/>
          <w:color w:val="1A1718"/>
          <w:lang w:val="en-GB"/>
        </w:rPr>
        <w:fldChar w:fldCharType="separate"/>
      </w:r>
      <w:r w:rsidR="009852DE">
        <w:rPr>
          <w:rFonts w:ascii="Calibri" w:hAnsi="Calibri" w:cs="Times"/>
          <w:noProof/>
          <w:color w:val="1A1718"/>
          <w:lang w:val="en-GB"/>
        </w:rPr>
        <w:t>(12)</w:t>
      </w:r>
      <w:r w:rsidR="00777D1E" w:rsidRPr="0086281A">
        <w:rPr>
          <w:rFonts w:ascii="Calibri" w:hAnsi="Calibri" w:cs="Times"/>
          <w:color w:val="1A1718"/>
          <w:lang w:val="en-GB"/>
        </w:rPr>
        <w:fldChar w:fldCharType="end"/>
      </w:r>
      <w:r w:rsidRPr="0086281A">
        <w:rPr>
          <w:rFonts w:ascii="Calibri" w:hAnsi="Calibri" w:cs="Times"/>
          <w:color w:val="1A1718"/>
          <w:lang w:val="en-GB"/>
        </w:rPr>
        <w:t>, it has to be continued in people with GFR &gt; 45 mL/mi</w:t>
      </w:r>
      <w:r w:rsidR="0071773E" w:rsidRPr="0086281A">
        <w:rPr>
          <w:rFonts w:ascii="Calibri" w:hAnsi="Calibri" w:cs="Times"/>
          <w:color w:val="1A1718"/>
          <w:lang w:val="en-GB"/>
        </w:rPr>
        <w:t>n,</w:t>
      </w:r>
      <w:r w:rsidRPr="0086281A">
        <w:rPr>
          <w:rFonts w:ascii="Calibri" w:hAnsi="Calibri" w:cs="Times"/>
          <w:color w:val="1A1718"/>
          <w:lang w:val="en-GB"/>
        </w:rPr>
        <w:t xml:space="preserve"> its use should be reviewed in those with GFR between 30 to 45 mL/min; and it should be discontinued in people with GFR </w:t>
      </w:r>
      <w:r w:rsidRPr="0086281A">
        <w:rPr>
          <w:rFonts w:ascii="Calibri" w:hAnsi="Calibri" w:cs="Helvetica"/>
          <w:color w:val="1A1718"/>
          <w:lang w:val="en-GB"/>
        </w:rPr>
        <w:t xml:space="preserve">&lt; </w:t>
      </w:r>
      <w:r w:rsidRPr="0086281A">
        <w:rPr>
          <w:rFonts w:ascii="Calibri" w:hAnsi="Calibri" w:cs="Times"/>
          <w:color w:val="1A1718"/>
          <w:lang w:val="en-GB"/>
        </w:rPr>
        <w:t xml:space="preserve">30 mL/min. We have </w:t>
      </w:r>
      <w:r w:rsidR="003A6E9F" w:rsidRPr="0086281A">
        <w:rPr>
          <w:rFonts w:ascii="Calibri" w:hAnsi="Calibri" w:cs="Times"/>
          <w:color w:val="1A1718"/>
          <w:lang w:val="en-GB"/>
        </w:rPr>
        <w:t>simulated</w:t>
      </w:r>
      <w:r w:rsidRPr="0086281A">
        <w:rPr>
          <w:rFonts w:ascii="Calibri" w:hAnsi="Calibri" w:cs="Times"/>
          <w:color w:val="1A1718"/>
          <w:lang w:val="en-GB"/>
        </w:rPr>
        <w:t xml:space="preserve"> the percentage of patients in each category according to the type of equations used, and the percentage of over</w:t>
      </w:r>
      <w:r w:rsidR="00C25C60" w:rsidRPr="0086281A">
        <w:rPr>
          <w:rFonts w:ascii="Calibri" w:hAnsi="Calibri" w:cs="Times"/>
          <w:color w:val="1A1718"/>
          <w:lang w:val="en-GB"/>
        </w:rPr>
        <w:t>-</w:t>
      </w:r>
      <w:r w:rsidRPr="0086281A">
        <w:rPr>
          <w:rFonts w:ascii="Calibri" w:hAnsi="Calibri" w:cs="Times"/>
          <w:color w:val="1A1718"/>
          <w:lang w:val="en-GB"/>
        </w:rPr>
        <w:t xml:space="preserve"> or underestimation using the different equations.</w:t>
      </w:r>
    </w:p>
    <w:p w:rsidR="003A6E9F" w:rsidRPr="0086281A" w:rsidRDefault="003A6E9F" w:rsidP="00873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p>
    <w:p w:rsidR="007575C7" w:rsidRPr="0086281A" w:rsidRDefault="0050478C" w:rsidP="005F3F4C">
      <w:pPr>
        <w:rPr>
          <w:rFonts w:ascii="Calibri" w:hAnsi="Calibri" w:cs="Times"/>
          <w:lang w:val="en-GB"/>
        </w:rPr>
      </w:pPr>
      <w:r w:rsidRPr="0086281A">
        <w:rPr>
          <w:rFonts w:ascii="Calibri" w:hAnsi="Calibri" w:cs="Times New Roman"/>
          <w:lang w:val="en-GB"/>
        </w:rPr>
        <w:t>Descriptive statistics for studied variables are presented as:</w:t>
      </w:r>
      <w:r w:rsidR="00095398" w:rsidRPr="0086281A">
        <w:rPr>
          <w:rFonts w:ascii="Calibri" w:hAnsi="Calibri" w:cs="Times New Roman"/>
          <w:lang w:val="en-GB"/>
        </w:rPr>
        <w:t xml:space="preserve"> </w:t>
      </w:r>
      <w:r w:rsidR="003A6E9F" w:rsidRPr="0086281A">
        <w:rPr>
          <w:rFonts w:ascii="Calibri" w:hAnsi="Calibri" w:cs="Times New Roman"/>
          <w:lang w:val="en-GB"/>
        </w:rPr>
        <w:t>m</w:t>
      </w:r>
      <w:r w:rsidRPr="0086281A">
        <w:rPr>
          <w:rFonts w:ascii="Calibri" w:hAnsi="Calibri" w:cs="Times New Roman"/>
          <w:lang w:val="en-GB"/>
        </w:rPr>
        <w:t xml:space="preserve">ean with </w:t>
      </w:r>
      <w:r w:rsidR="003A6E9F" w:rsidRPr="0086281A">
        <w:rPr>
          <w:rFonts w:ascii="Calibri" w:hAnsi="Calibri" w:cs="Times New Roman"/>
          <w:lang w:val="en-GB"/>
        </w:rPr>
        <w:t xml:space="preserve">standard </w:t>
      </w:r>
      <w:r w:rsidRPr="0086281A">
        <w:rPr>
          <w:rFonts w:ascii="Calibri" w:hAnsi="Calibri" w:cs="Times New Roman"/>
          <w:lang w:val="en-GB"/>
        </w:rPr>
        <w:t xml:space="preserve">deviation (SD) for normally distributed </w:t>
      </w:r>
      <w:r w:rsidR="004E40F5" w:rsidRPr="0086281A">
        <w:rPr>
          <w:rFonts w:ascii="Calibri" w:hAnsi="Calibri" w:cs="Times New Roman"/>
          <w:lang w:val="en-GB"/>
        </w:rPr>
        <w:t>variables</w:t>
      </w:r>
      <w:r w:rsidR="0001787C" w:rsidRPr="0086281A">
        <w:rPr>
          <w:rFonts w:ascii="Calibri" w:hAnsi="Calibri" w:cs="Times New Roman"/>
          <w:lang w:val="en-GB"/>
        </w:rPr>
        <w:t>, m</w:t>
      </w:r>
      <w:r w:rsidRPr="0086281A">
        <w:rPr>
          <w:rFonts w:ascii="Calibri" w:hAnsi="Calibri" w:cs="Times New Roman"/>
          <w:lang w:val="en-GB"/>
        </w:rPr>
        <w:t>edian with range for non-normally distributed variables</w:t>
      </w:r>
      <w:r w:rsidR="004E40F5" w:rsidRPr="0086281A">
        <w:rPr>
          <w:rFonts w:ascii="Calibri" w:hAnsi="Calibri" w:cs="Times New Roman"/>
          <w:lang w:val="en-GB"/>
        </w:rPr>
        <w:t>.</w:t>
      </w:r>
      <w:r w:rsidR="005F3F4C" w:rsidRPr="0086281A">
        <w:rPr>
          <w:rFonts w:ascii="Calibri" w:hAnsi="Calibri" w:cs="Times New Roman"/>
          <w:lang w:val="en-GB"/>
        </w:rPr>
        <w:t xml:space="preserve"> </w:t>
      </w:r>
      <w:r w:rsidR="00083ADC" w:rsidRPr="0086281A">
        <w:rPr>
          <w:rFonts w:ascii="Calibri" w:hAnsi="Calibri" w:cs="Times"/>
          <w:lang w:val="en-GB"/>
        </w:rPr>
        <w:t>The correlation between GFR estimated by the different equations and mGFR was done with the Pearson</w:t>
      </w:r>
      <w:r w:rsidR="00083ADC" w:rsidRPr="0086281A">
        <w:rPr>
          <w:rFonts w:ascii="Calibri" w:hAnsi="Calibri" w:cs="Helvetica"/>
          <w:lang w:val="en-GB"/>
        </w:rPr>
        <w:t>’</w:t>
      </w:r>
      <w:r w:rsidR="00083ADC" w:rsidRPr="0086281A">
        <w:rPr>
          <w:rFonts w:ascii="Calibri" w:hAnsi="Calibri" w:cs="Times"/>
          <w:lang w:val="en-GB"/>
        </w:rPr>
        <w:t xml:space="preserve">s analysis. </w:t>
      </w:r>
      <w:r w:rsidR="007575C7" w:rsidRPr="0086281A">
        <w:rPr>
          <w:rFonts w:ascii="Calibri" w:hAnsi="Calibri" w:cs="Times"/>
          <w:lang w:val="en-GB"/>
        </w:rPr>
        <w:t>The performances of GFR estimates were assessed with the following parameters:</w:t>
      </w:r>
      <w:r w:rsidR="005F3F4C" w:rsidRPr="0086281A">
        <w:rPr>
          <w:rFonts w:ascii="Calibri" w:hAnsi="Calibri" w:cs="Times"/>
          <w:lang w:val="en-GB"/>
        </w:rPr>
        <w:t xml:space="preserve"> </w:t>
      </w:r>
      <w:r w:rsidR="00F5007F" w:rsidRPr="0086281A">
        <w:rPr>
          <w:rFonts w:ascii="Calibri" w:hAnsi="Calibri" w:cs="Times"/>
          <w:lang w:val="en-GB"/>
        </w:rPr>
        <w:t>b</w:t>
      </w:r>
      <w:r w:rsidR="007575C7" w:rsidRPr="0086281A">
        <w:rPr>
          <w:rFonts w:ascii="Calibri" w:hAnsi="Calibri" w:cs="Times"/>
          <w:lang w:val="en-GB"/>
        </w:rPr>
        <w:t xml:space="preserve">ias </w:t>
      </w:r>
      <w:r w:rsidR="005D2644" w:rsidRPr="0086281A">
        <w:rPr>
          <w:rFonts w:ascii="Calibri" w:hAnsi="Calibri" w:cs="Times"/>
          <w:lang w:val="en-GB"/>
        </w:rPr>
        <w:t xml:space="preserve">(absolute and relative) </w:t>
      </w:r>
      <w:r w:rsidR="007575C7" w:rsidRPr="0086281A">
        <w:rPr>
          <w:rFonts w:ascii="Calibri" w:hAnsi="Calibri" w:cs="Times"/>
          <w:lang w:val="en-GB"/>
        </w:rPr>
        <w:t>expressed the systematic deviation from the mGFR and was calculated as the mean difference between eGFR and mGFR.</w:t>
      </w:r>
    </w:p>
    <w:p w:rsidR="007575C7" w:rsidRPr="0086281A" w:rsidRDefault="007575C7" w:rsidP="007575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6281A">
        <w:rPr>
          <w:rFonts w:ascii="Calibri" w:hAnsi="Calibri" w:cs="Times"/>
          <w:lang w:val="en-GB"/>
        </w:rPr>
        <w:t>Precision of the estimates was determined as SD of the mean difference between eGFR and mGFR.</w:t>
      </w:r>
      <w:r w:rsidR="00083ADC" w:rsidRPr="0086281A">
        <w:rPr>
          <w:rFonts w:ascii="Calibri" w:hAnsi="Calibri" w:cs="Times"/>
          <w:lang w:val="en-GB"/>
        </w:rPr>
        <w:t xml:space="preserve"> These paramet</w:t>
      </w:r>
      <w:r w:rsidR="00C25C60" w:rsidRPr="0086281A">
        <w:rPr>
          <w:rFonts w:ascii="Calibri" w:hAnsi="Calibri" w:cs="Times"/>
          <w:lang w:val="en-GB"/>
        </w:rPr>
        <w:t>ers are represented in</w:t>
      </w:r>
      <w:r w:rsidR="00083ADC" w:rsidRPr="0086281A">
        <w:rPr>
          <w:rFonts w:ascii="Calibri" w:hAnsi="Calibri" w:cs="Times"/>
          <w:lang w:val="en-GB"/>
        </w:rPr>
        <w:t xml:space="preserve"> Bland and Altman graphs.</w:t>
      </w:r>
    </w:p>
    <w:p w:rsidR="007575C7" w:rsidRPr="0086281A" w:rsidRDefault="007575C7" w:rsidP="007575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6281A">
        <w:rPr>
          <w:rFonts w:ascii="Calibri" w:hAnsi="Calibri" w:cs="Times"/>
          <w:lang w:val="en-GB"/>
        </w:rPr>
        <w:t>Accuracy was calculated as the percentage of eGFR values within 30% of mGFR.</w:t>
      </w:r>
    </w:p>
    <w:p w:rsidR="00253352" w:rsidRPr="0086281A" w:rsidRDefault="007575C7" w:rsidP="002533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6281A">
        <w:rPr>
          <w:rFonts w:ascii="Calibri" w:hAnsi="Calibri" w:cs="Times"/>
          <w:lang w:val="en-GB"/>
        </w:rPr>
        <w:t>Comparison of bias, precision and accuracy was performed using t-test, F-test and McNemar paired test, respectively.</w:t>
      </w:r>
      <w:r w:rsidR="008730C9" w:rsidRPr="0086281A">
        <w:rPr>
          <w:rFonts w:ascii="Calibri" w:hAnsi="Calibri" w:cs="Times"/>
          <w:lang w:val="en-GB"/>
        </w:rPr>
        <w:t xml:space="preserve"> </w:t>
      </w:r>
      <w:r w:rsidR="008730C9" w:rsidRPr="0086281A">
        <w:rPr>
          <w:rFonts w:ascii="Calibri" w:hAnsi="Calibri" w:cs="Times New Roman"/>
          <w:lang w:val="en-GB"/>
        </w:rPr>
        <w:t xml:space="preserve">Analysis was performed using IBM SPSS Statistics for </w:t>
      </w:r>
      <w:r w:rsidR="003A6E9F" w:rsidRPr="0086281A">
        <w:rPr>
          <w:rFonts w:ascii="Calibri" w:hAnsi="Calibri" w:cs="Times New Roman"/>
          <w:lang w:val="en-GB"/>
        </w:rPr>
        <w:t xml:space="preserve">Mac </w:t>
      </w:r>
      <w:r w:rsidR="008730C9" w:rsidRPr="0086281A">
        <w:rPr>
          <w:rFonts w:ascii="Calibri" w:hAnsi="Calibri" w:cs="Times New Roman"/>
          <w:lang w:val="en-GB"/>
        </w:rPr>
        <w:t>(Version 22.0. Armonk, NY: IBM Corp.).</w:t>
      </w:r>
    </w:p>
    <w:p w:rsidR="00AB303D" w:rsidRPr="0086281A" w:rsidRDefault="007575C7" w:rsidP="007B121C">
      <w:pPr>
        <w:pStyle w:val="Titre1"/>
        <w:rPr>
          <w:rFonts w:ascii="Calibri" w:hAnsi="Calibri"/>
          <w:lang w:val="en-GB"/>
        </w:rPr>
      </w:pPr>
      <w:r w:rsidRPr="0086281A">
        <w:rPr>
          <w:rFonts w:ascii="Calibri" w:hAnsi="Calibri"/>
          <w:lang w:val="en-GB"/>
        </w:rPr>
        <w:t>Results</w:t>
      </w:r>
    </w:p>
    <w:p w:rsidR="00AB303D" w:rsidRPr="0086281A" w:rsidRDefault="00C25C60" w:rsidP="007B121C">
      <w:pPr>
        <w:pStyle w:val="Titre2"/>
        <w:rPr>
          <w:lang w:val="en-GB"/>
        </w:rPr>
      </w:pPr>
      <w:r w:rsidRPr="0086281A">
        <w:rPr>
          <w:lang w:val="en-GB"/>
        </w:rPr>
        <w:t>Performance</w:t>
      </w:r>
      <w:r w:rsidR="00A56137" w:rsidRPr="0086281A">
        <w:rPr>
          <w:lang w:val="en-GB"/>
        </w:rPr>
        <w:t>s</w:t>
      </w:r>
      <w:r w:rsidRPr="0086281A">
        <w:rPr>
          <w:lang w:val="en-GB"/>
        </w:rPr>
        <w:t xml:space="preserve"> of </w:t>
      </w:r>
      <w:r w:rsidR="00AB303D" w:rsidRPr="0086281A">
        <w:rPr>
          <w:lang w:val="en-GB"/>
        </w:rPr>
        <w:t>equations to estimate mGFR</w:t>
      </w:r>
    </w:p>
    <w:p w:rsidR="006E668B" w:rsidRPr="0086281A" w:rsidRDefault="006E668B" w:rsidP="006E668B">
      <w:pPr>
        <w:rPr>
          <w:rFonts w:ascii="Calibri" w:hAnsi="Calibri" w:cs="Times"/>
          <w:color w:val="000000"/>
          <w:lang w:val="en-GB"/>
        </w:rPr>
      </w:pPr>
    </w:p>
    <w:p w:rsidR="006E668B" w:rsidRPr="0086281A" w:rsidRDefault="006E668B" w:rsidP="006E668B">
      <w:pPr>
        <w:rPr>
          <w:rFonts w:ascii="Calibri" w:hAnsi="Calibri" w:cs="Times"/>
          <w:color w:val="000000"/>
          <w:lang w:val="en-GB"/>
        </w:rPr>
      </w:pPr>
      <w:r w:rsidRPr="0086281A">
        <w:rPr>
          <w:rFonts w:ascii="Calibri" w:hAnsi="Calibri" w:cs="Times"/>
          <w:color w:val="000000"/>
          <w:lang w:val="en-GB"/>
        </w:rPr>
        <w:t>The population included 366 patients (185 women)</w:t>
      </w:r>
      <w:r w:rsidR="00AB303D" w:rsidRPr="0086281A">
        <w:rPr>
          <w:rFonts w:ascii="Calibri" w:hAnsi="Calibri" w:cs="Times"/>
          <w:color w:val="000000"/>
          <w:lang w:val="en-GB"/>
        </w:rPr>
        <w:t>. T</w:t>
      </w:r>
      <w:r w:rsidRPr="0086281A">
        <w:rPr>
          <w:rFonts w:ascii="Calibri" w:hAnsi="Calibri" w:cs="Times"/>
          <w:color w:val="000000"/>
          <w:lang w:val="en-GB"/>
        </w:rPr>
        <w:t>he characte</w:t>
      </w:r>
      <w:r w:rsidR="001D544B">
        <w:rPr>
          <w:rFonts w:ascii="Calibri" w:hAnsi="Calibri" w:cs="Times"/>
          <w:color w:val="000000"/>
          <w:lang w:val="en-GB"/>
        </w:rPr>
        <w:t>ristics of the population are shown</w:t>
      </w:r>
      <w:r w:rsidRPr="0086281A">
        <w:rPr>
          <w:rFonts w:ascii="Calibri" w:hAnsi="Calibri" w:cs="Times"/>
          <w:color w:val="000000"/>
          <w:lang w:val="en-GB"/>
        </w:rPr>
        <w:t xml:space="preserve"> in table 1. Mean age was 55</w:t>
      </w:r>
      <w:r w:rsidR="00FA071E" w:rsidRPr="0086281A">
        <w:rPr>
          <w:rFonts w:ascii="Calibri" w:hAnsi="Calibri" w:cs="Times"/>
          <w:color w:val="000000"/>
          <w:lang w:val="en-GB"/>
        </w:rPr>
        <w:t>±14 years and mean BMI was 36±</w:t>
      </w:r>
      <w:r w:rsidRPr="0086281A">
        <w:rPr>
          <w:rFonts w:ascii="Calibri" w:hAnsi="Calibri" w:cs="Times"/>
          <w:color w:val="000000"/>
          <w:lang w:val="en-GB"/>
        </w:rPr>
        <w:t>7 kg/m</w:t>
      </w:r>
      <w:r w:rsidRPr="0086281A">
        <w:rPr>
          <w:rFonts w:ascii="Calibri" w:hAnsi="Calibri" w:cs="Times"/>
          <w:color w:val="000000"/>
          <w:vertAlign w:val="superscript"/>
          <w:lang w:val="en-GB"/>
        </w:rPr>
        <w:t>2</w:t>
      </w:r>
      <w:r w:rsidRPr="0086281A">
        <w:rPr>
          <w:rFonts w:ascii="Calibri" w:hAnsi="Calibri" w:cs="Times"/>
          <w:color w:val="000000"/>
          <w:lang w:val="en-GB"/>
        </w:rPr>
        <w:t xml:space="preserve">. Mean mGFR was </w:t>
      </w:r>
      <w:r w:rsidR="00FA071E" w:rsidRPr="0086281A">
        <w:rPr>
          <w:rFonts w:ascii="Calibri" w:hAnsi="Calibri"/>
          <w:lang w:val="en-GB" w:eastAsia="en-US" w:bidi="fr-FR"/>
        </w:rPr>
        <w:t>71±</w:t>
      </w:r>
      <w:r w:rsidRPr="0086281A">
        <w:rPr>
          <w:rFonts w:ascii="Calibri" w:hAnsi="Calibri"/>
          <w:lang w:val="en-GB" w:eastAsia="en-US" w:bidi="fr-FR"/>
        </w:rPr>
        <w:t>35 mL/min</w:t>
      </w:r>
      <w:r w:rsidRPr="0086281A">
        <w:rPr>
          <w:rFonts w:ascii="Calibri" w:hAnsi="Calibri" w:cs="Times"/>
          <w:color w:val="000000"/>
          <w:lang w:val="en-GB"/>
        </w:rPr>
        <w:t>. Mean eGFR by CG</w:t>
      </w:r>
      <w:r w:rsidR="0071773E" w:rsidRPr="0086281A">
        <w:rPr>
          <w:rFonts w:ascii="Calibri" w:hAnsi="Calibri" w:cs="Times"/>
          <w:color w:val="000000"/>
          <w:vertAlign w:val="subscript"/>
          <w:lang w:val="en-GB"/>
        </w:rPr>
        <w:t>ABW</w:t>
      </w:r>
      <w:r w:rsidRPr="0086281A">
        <w:rPr>
          <w:rFonts w:ascii="Calibri" w:hAnsi="Calibri" w:cs="Times"/>
          <w:color w:val="000000"/>
          <w:lang w:val="en-GB"/>
        </w:rPr>
        <w:t xml:space="preserve"> and CG</w:t>
      </w:r>
      <w:r w:rsidRPr="0086281A">
        <w:rPr>
          <w:rFonts w:ascii="Calibri" w:hAnsi="Calibri" w:cs="Times"/>
          <w:color w:val="000000"/>
          <w:vertAlign w:val="subscript"/>
          <w:lang w:val="en-GB"/>
        </w:rPr>
        <w:t>AIBW</w:t>
      </w:r>
      <w:r w:rsidR="00FA071E" w:rsidRPr="0086281A">
        <w:rPr>
          <w:rFonts w:ascii="Calibri" w:hAnsi="Calibri" w:cs="Times"/>
          <w:color w:val="000000"/>
          <w:lang w:val="en-GB"/>
        </w:rPr>
        <w:t xml:space="preserve"> were 96</w:t>
      </w:r>
      <w:r w:rsidRPr="0086281A">
        <w:rPr>
          <w:rFonts w:ascii="Calibri" w:hAnsi="Calibri" w:cs="Times"/>
          <w:color w:val="000000"/>
          <w:lang w:val="en-GB"/>
        </w:rPr>
        <w:t>±</w:t>
      </w:r>
      <w:r w:rsidR="00FA071E" w:rsidRPr="0086281A">
        <w:rPr>
          <w:rFonts w:ascii="Calibri" w:hAnsi="Calibri" w:cs="Times"/>
          <w:color w:val="000000"/>
          <w:lang w:val="en-GB"/>
        </w:rPr>
        <w:t>64 and 72±</w:t>
      </w:r>
      <w:r w:rsidRPr="0086281A">
        <w:rPr>
          <w:rFonts w:ascii="Calibri" w:hAnsi="Calibri" w:cs="Times"/>
          <w:color w:val="000000"/>
          <w:lang w:val="en-GB"/>
        </w:rPr>
        <w:t xml:space="preserve">44 mL/min, </w:t>
      </w:r>
      <w:r w:rsidRPr="0086281A">
        <w:rPr>
          <w:rFonts w:ascii="Calibri" w:hAnsi="Calibri" w:cs="Times"/>
          <w:color w:val="000000"/>
          <w:lang w:val="en-GB"/>
        </w:rPr>
        <w:lastRenderedPageBreak/>
        <w:t xml:space="preserve">respectively. </w:t>
      </w:r>
      <w:r w:rsidR="00FA071E" w:rsidRPr="0086281A">
        <w:rPr>
          <w:rFonts w:ascii="Calibri" w:hAnsi="Calibri" w:cs="Times"/>
          <w:color w:val="000000"/>
          <w:lang w:val="en-GB"/>
        </w:rPr>
        <w:t>Mean eGFR was 77±44 mL/min and 73±</w:t>
      </w:r>
      <w:r w:rsidR="00AB303D" w:rsidRPr="0086281A">
        <w:rPr>
          <w:rFonts w:ascii="Calibri" w:hAnsi="Calibri" w:cs="Times"/>
          <w:color w:val="000000"/>
          <w:lang w:val="en-GB"/>
        </w:rPr>
        <w:t>43 mL/min for MDRD</w:t>
      </w:r>
      <w:r w:rsidR="00AB303D" w:rsidRPr="0086281A">
        <w:rPr>
          <w:rFonts w:ascii="Calibri" w:hAnsi="Calibri" w:cs="Times"/>
          <w:color w:val="000000"/>
          <w:vertAlign w:val="subscript"/>
          <w:lang w:val="en-GB"/>
        </w:rPr>
        <w:t>deindexed</w:t>
      </w:r>
      <w:r w:rsidR="00AB303D" w:rsidRPr="0086281A">
        <w:rPr>
          <w:rFonts w:ascii="Calibri" w:hAnsi="Calibri" w:cs="Times"/>
          <w:color w:val="000000"/>
          <w:lang w:val="en-GB"/>
        </w:rPr>
        <w:t xml:space="preserve"> and CKD-EPI</w:t>
      </w:r>
      <w:r w:rsidR="00AB303D" w:rsidRPr="0086281A">
        <w:rPr>
          <w:rFonts w:ascii="Calibri" w:hAnsi="Calibri" w:cs="Times"/>
          <w:color w:val="000000"/>
          <w:vertAlign w:val="subscript"/>
          <w:lang w:val="en-GB"/>
        </w:rPr>
        <w:t>deindexed</w:t>
      </w:r>
      <w:r w:rsidR="001D544B">
        <w:rPr>
          <w:rFonts w:ascii="Calibri" w:hAnsi="Calibri" w:cs="Times"/>
          <w:color w:val="000000"/>
          <w:lang w:val="en-GB"/>
        </w:rPr>
        <w:t>, r</w:t>
      </w:r>
      <w:r w:rsidR="00AB303D" w:rsidRPr="0086281A">
        <w:rPr>
          <w:rFonts w:ascii="Calibri" w:hAnsi="Calibri" w:cs="Times"/>
          <w:color w:val="000000"/>
          <w:lang w:val="en-GB"/>
        </w:rPr>
        <w:t>espectively.</w:t>
      </w:r>
    </w:p>
    <w:p w:rsidR="006E668B" w:rsidRPr="0086281A" w:rsidRDefault="006E668B" w:rsidP="006E668B">
      <w:pPr>
        <w:widowControl w:val="0"/>
        <w:autoSpaceDE w:val="0"/>
        <w:autoSpaceDN w:val="0"/>
        <w:adjustRightInd w:val="0"/>
        <w:rPr>
          <w:rFonts w:ascii="Calibri" w:hAnsi="Calibri" w:cs="Calibri"/>
          <w:i/>
          <w:iCs/>
          <w:color w:val="3F6AB4"/>
          <w:spacing w:val="20"/>
          <w:kern w:val="1"/>
          <w:lang w:val="en-GB"/>
        </w:rPr>
      </w:pPr>
    </w:p>
    <w:p w:rsidR="00453660" w:rsidRPr="0086281A" w:rsidRDefault="006E668B" w:rsidP="006E668B">
      <w:pPr>
        <w:widowControl w:val="0"/>
        <w:autoSpaceDE w:val="0"/>
        <w:autoSpaceDN w:val="0"/>
        <w:adjustRightInd w:val="0"/>
        <w:rPr>
          <w:rFonts w:ascii="Calibri" w:hAnsi="Calibri" w:cs="Times"/>
          <w:color w:val="FF0000"/>
          <w:lang w:val="en-GB"/>
        </w:rPr>
      </w:pPr>
      <w:r w:rsidRPr="0086281A">
        <w:rPr>
          <w:rFonts w:ascii="Calibri" w:hAnsi="Calibri" w:cs="Times"/>
          <w:color w:val="141413"/>
          <w:lang w:val="en-GB"/>
        </w:rPr>
        <w:t>A signi</w:t>
      </w:r>
      <w:r w:rsidRPr="0086281A">
        <w:rPr>
          <w:rFonts w:ascii="Calibri" w:hAnsi="Calibri" w:cs="Helvetica"/>
          <w:color w:val="141413"/>
          <w:lang w:val="en-GB"/>
        </w:rPr>
        <w:t>fi</w:t>
      </w:r>
      <w:r w:rsidRPr="0086281A">
        <w:rPr>
          <w:rFonts w:ascii="Calibri" w:hAnsi="Calibri" w:cs="Times"/>
          <w:color w:val="141413"/>
          <w:lang w:val="en-GB"/>
        </w:rPr>
        <w:t>cant correlation was</w:t>
      </w:r>
      <w:r w:rsidR="00FA071E" w:rsidRPr="0086281A">
        <w:rPr>
          <w:rFonts w:ascii="Calibri" w:hAnsi="Calibri" w:cs="Times"/>
          <w:color w:val="141413"/>
          <w:lang w:val="en-GB"/>
        </w:rPr>
        <w:t xml:space="preserve"> found</w:t>
      </w:r>
      <w:r w:rsidRPr="0086281A">
        <w:rPr>
          <w:rFonts w:ascii="Calibri" w:hAnsi="Calibri" w:cs="Times"/>
          <w:color w:val="141413"/>
          <w:lang w:val="en-GB"/>
        </w:rPr>
        <w:t xml:space="preserve"> between mGFR and </w:t>
      </w:r>
      <w:r w:rsidR="00FA071E" w:rsidRPr="0086281A">
        <w:rPr>
          <w:rFonts w:ascii="Calibri" w:hAnsi="Calibri" w:cs="Times"/>
          <w:color w:val="141413"/>
          <w:lang w:val="en-GB"/>
        </w:rPr>
        <w:t>CG</w:t>
      </w:r>
      <w:r w:rsidR="0071773E" w:rsidRPr="0086281A">
        <w:rPr>
          <w:rFonts w:ascii="Calibri" w:hAnsi="Calibri" w:cs="Times"/>
          <w:color w:val="000000"/>
          <w:vertAlign w:val="subscript"/>
          <w:lang w:val="en-GB"/>
        </w:rPr>
        <w:t>ABW</w:t>
      </w:r>
      <w:r w:rsidR="00FA071E" w:rsidRPr="0086281A">
        <w:rPr>
          <w:rFonts w:ascii="Calibri" w:hAnsi="Calibri" w:cs="Times"/>
          <w:color w:val="141413"/>
          <w:lang w:val="en-GB"/>
        </w:rPr>
        <w:t xml:space="preserve"> equation (</w:t>
      </w:r>
      <w:r w:rsidR="00FA071E" w:rsidRPr="0086281A">
        <w:rPr>
          <w:rFonts w:ascii="Calibri" w:hAnsi="Calibri" w:cs="Times"/>
          <w:i/>
          <w:color w:val="141413"/>
          <w:lang w:val="en-GB"/>
        </w:rPr>
        <w:t>r</w:t>
      </w:r>
      <w:r w:rsidR="00FA071E" w:rsidRPr="0086281A">
        <w:rPr>
          <w:rFonts w:ascii="Calibri" w:hAnsi="Calibri" w:cs="Times"/>
          <w:color w:val="141413"/>
          <w:lang w:val="en-GB"/>
        </w:rPr>
        <w:t xml:space="preserve"> = 0.83), </w:t>
      </w:r>
      <w:r w:rsidRPr="0086281A">
        <w:rPr>
          <w:rFonts w:ascii="Calibri" w:hAnsi="Calibri" w:cs="Times"/>
          <w:color w:val="141413"/>
          <w:lang w:val="en-GB"/>
        </w:rPr>
        <w:t>CG</w:t>
      </w:r>
      <w:r w:rsidRPr="0086281A">
        <w:rPr>
          <w:rFonts w:ascii="Calibri" w:hAnsi="Calibri" w:cs="Times"/>
          <w:color w:val="141413"/>
          <w:vertAlign w:val="subscript"/>
          <w:lang w:val="en-GB"/>
        </w:rPr>
        <w:t>AIBW</w:t>
      </w:r>
      <w:r w:rsidRPr="0086281A">
        <w:rPr>
          <w:rFonts w:ascii="Calibri" w:hAnsi="Calibri" w:cs="Times"/>
          <w:color w:val="141413"/>
          <w:lang w:val="en-GB"/>
        </w:rPr>
        <w:t xml:space="preserve"> (</w:t>
      </w:r>
      <w:r w:rsidR="00D53F82" w:rsidRPr="0086281A">
        <w:rPr>
          <w:rFonts w:ascii="Calibri" w:hAnsi="Calibri" w:cs="Times"/>
          <w:i/>
          <w:color w:val="141413"/>
          <w:lang w:val="en-GB"/>
        </w:rPr>
        <w:t>r</w:t>
      </w:r>
      <w:r w:rsidRPr="0086281A">
        <w:rPr>
          <w:rFonts w:ascii="Calibri" w:hAnsi="Calibri" w:cs="Times"/>
          <w:color w:val="141413"/>
          <w:lang w:val="en-GB"/>
        </w:rPr>
        <w:t xml:space="preserve"> = 0.</w:t>
      </w:r>
      <w:r w:rsidR="00D53F82" w:rsidRPr="0086281A">
        <w:rPr>
          <w:rFonts w:ascii="Calibri" w:hAnsi="Calibri" w:cs="Times"/>
          <w:color w:val="141413"/>
          <w:lang w:val="en-GB"/>
        </w:rPr>
        <w:t>8</w:t>
      </w:r>
      <w:r w:rsidR="005B1DAA" w:rsidRPr="0086281A">
        <w:rPr>
          <w:rFonts w:ascii="Calibri" w:hAnsi="Calibri" w:cs="Times"/>
          <w:color w:val="141413"/>
          <w:lang w:val="en-GB"/>
        </w:rPr>
        <w:t>79</w:t>
      </w:r>
      <w:r w:rsidRPr="0086281A">
        <w:rPr>
          <w:rFonts w:ascii="Calibri" w:hAnsi="Calibri" w:cs="Times"/>
          <w:color w:val="141413"/>
          <w:lang w:val="en-GB"/>
        </w:rPr>
        <w:t>)</w:t>
      </w:r>
      <w:r w:rsidR="00FA071E" w:rsidRPr="0086281A">
        <w:rPr>
          <w:rFonts w:ascii="Calibri" w:hAnsi="Calibri" w:cs="Times"/>
          <w:color w:val="141413"/>
          <w:lang w:val="en-GB"/>
        </w:rPr>
        <w:t xml:space="preserve">, </w:t>
      </w:r>
      <w:r w:rsidR="00FA071E" w:rsidRPr="0086281A">
        <w:rPr>
          <w:rFonts w:ascii="Calibri" w:hAnsi="Calibri" w:cs="Times"/>
          <w:lang w:val="en-GB"/>
        </w:rPr>
        <w:t>CKD-EPI</w:t>
      </w:r>
      <w:r w:rsidR="00FA071E" w:rsidRPr="0086281A">
        <w:rPr>
          <w:rFonts w:ascii="Calibri" w:hAnsi="Calibri" w:cs="Times"/>
          <w:vertAlign w:val="subscript"/>
          <w:lang w:val="en-GB"/>
        </w:rPr>
        <w:t>deindexed</w:t>
      </w:r>
      <w:r w:rsidR="00FA071E" w:rsidRPr="0086281A">
        <w:rPr>
          <w:rFonts w:ascii="Calibri" w:hAnsi="Calibri" w:cs="Times"/>
          <w:lang w:val="en-GB"/>
        </w:rPr>
        <w:t xml:space="preserve"> (</w:t>
      </w:r>
      <w:r w:rsidR="00FA071E" w:rsidRPr="0086281A">
        <w:rPr>
          <w:rFonts w:ascii="Calibri" w:hAnsi="Calibri" w:cs="Times"/>
          <w:i/>
          <w:lang w:val="en-GB"/>
        </w:rPr>
        <w:t>r</w:t>
      </w:r>
      <w:r w:rsidR="00FA071E" w:rsidRPr="0086281A">
        <w:rPr>
          <w:rFonts w:ascii="Calibri" w:hAnsi="Calibri" w:cs="Times"/>
          <w:lang w:val="en-GB"/>
        </w:rPr>
        <w:t xml:space="preserve"> = 0.905), and </w:t>
      </w:r>
      <w:r w:rsidR="00FA071E" w:rsidRPr="0086281A">
        <w:rPr>
          <w:rFonts w:ascii="Calibri" w:hAnsi="Calibri" w:cs="Calibri"/>
          <w:lang w:val="en-GB"/>
        </w:rPr>
        <w:t>MDRD</w:t>
      </w:r>
      <w:r w:rsidR="00FA071E" w:rsidRPr="0086281A">
        <w:rPr>
          <w:rFonts w:ascii="Calibri" w:hAnsi="Calibri" w:cs="Calibri"/>
          <w:vertAlign w:val="subscript"/>
          <w:lang w:val="en-GB"/>
        </w:rPr>
        <w:t>deindexed</w:t>
      </w:r>
      <w:r w:rsidR="00FA071E" w:rsidRPr="0086281A">
        <w:rPr>
          <w:rFonts w:ascii="Calibri" w:hAnsi="Calibri" w:cs="Calibri"/>
          <w:lang w:val="en-GB"/>
        </w:rPr>
        <w:t xml:space="preserve"> (</w:t>
      </w:r>
      <w:r w:rsidR="00FA071E" w:rsidRPr="0086281A">
        <w:rPr>
          <w:rFonts w:ascii="Calibri" w:hAnsi="Calibri" w:cs="Times"/>
          <w:i/>
          <w:lang w:val="en-GB"/>
        </w:rPr>
        <w:t>r</w:t>
      </w:r>
      <w:r w:rsidR="00FA071E" w:rsidRPr="0086281A">
        <w:rPr>
          <w:rFonts w:ascii="Calibri" w:hAnsi="Calibri" w:cs="Times"/>
          <w:lang w:val="en-GB"/>
        </w:rPr>
        <w:t xml:space="preserve"> = 0.893</w:t>
      </w:r>
      <w:r w:rsidR="00FA071E" w:rsidRPr="0086281A">
        <w:rPr>
          <w:rFonts w:ascii="Calibri" w:hAnsi="Calibri" w:cs="Calibri"/>
          <w:lang w:val="en-GB"/>
        </w:rPr>
        <w:t>)</w:t>
      </w:r>
      <w:r w:rsidR="00AB303D" w:rsidRPr="0086281A">
        <w:rPr>
          <w:rFonts w:ascii="Calibri" w:hAnsi="Calibri" w:cs="Times"/>
          <w:color w:val="141413"/>
          <w:lang w:val="en-GB"/>
        </w:rPr>
        <w:t>. T</w:t>
      </w:r>
      <w:r w:rsidR="0075233D" w:rsidRPr="0086281A">
        <w:rPr>
          <w:rFonts w:ascii="Calibri" w:hAnsi="Calibri" w:cs="Times"/>
          <w:color w:val="141413"/>
          <w:lang w:val="en-GB"/>
        </w:rPr>
        <w:t>hese correlations</w:t>
      </w:r>
      <w:r w:rsidR="00FA071E" w:rsidRPr="0086281A">
        <w:rPr>
          <w:rFonts w:ascii="Calibri" w:hAnsi="Calibri" w:cs="Times"/>
          <w:color w:val="141413"/>
          <w:lang w:val="en-GB"/>
        </w:rPr>
        <w:t xml:space="preserve"> </w:t>
      </w:r>
      <w:r w:rsidR="00F5007F" w:rsidRPr="0086281A">
        <w:rPr>
          <w:rFonts w:ascii="Calibri" w:hAnsi="Calibri" w:cs="Times"/>
          <w:color w:val="141413"/>
          <w:lang w:val="en-GB"/>
        </w:rPr>
        <w:t>we</w:t>
      </w:r>
      <w:r w:rsidR="00FA071E" w:rsidRPr="0086281A">
        <w:rPr>
          <w:rFonts w:ascii="Calibri" w:hAnsi="Calibri" w:cs="Times"/>
          <w:color w:val="141413"/>
          <w:lang w:val="en-GB"/>
        </w:rPr>
        <w:t xml:space="preserve">re </w:t>
      </w:r>
      <w:r w:rsidR="00F5007F" w:rsidRPr="0086281A">
        <w:rPr>
          <w:rFonts w:ascii="Calibri" w:hAnsi="Calibri" w:cs="Times"/>
          <w:color w:val="141413"/>
          <w:lang w:val="en-GB"/>
        </w:rPr>
        <w:t xml:space="preserve">almost </w:t>
      </w:r>
      <w:r w:rsidR="00FA071E" w:rsidRPr="0086281A">
        <w:rPr>
          <w:rFonts w:ascii="Calibri" w:hAnsi="Calibri" w:cs="Times"/>
          <w:color w:val="141413"/>
          <w:lang w:val="en-GB"/>
        </w:rPr>
        <w:t xml:space="preserve">similar, except for </w:t>
      </w:r>
      <w:r w:rsidR="00F5007F" w:rsidRPr="0086281A">
        <w:rPr>
          <w:rFonts w:ascii="Calibri" w:hAnsi="Calibri" w:cs="Times"/>
          <w:color w:val="141413"/>
          <w:lang w:val="en-GB"/>
        </w:rPr>
        <w:t xml:space="preserve">the </w:t>
      </w:r>
      <w:r w:rsidR="00FA071E" w:rsidRPr="0086281A">
        <w:rPr>
          <w:rFonts w:ascii="Calibri" w:hAnsi="Calibri" w:cs="Times"/>
          <w:color w:val="141413"/>
          <w:lang w:val="en-GB"/>
        </w:rPr>
        <w:t>correlation between CG</w:t>
      </w:r>
      <w:r w:rsidR="0071773E" w:rsidRPr="0086281A">
        <w:rPr>
          <w:rFonts w:ascii="Calibri" w:hAnsi="Calibri" w:cs="Times"/>
          <w:color w:val="000000"/>
          <w:vertAlign w:val="subscript"/>
          <w:lang w:val="en-GB"/>
        </w:rPr>
        <w:t>ABW</w:t>
      </w:r>
      <w:r w:rsidR="00FA071E" w:rsidRPr="0086281A">
        <w:rPr>
          <w:rFonts w:ascii="Calibri" w:hAnsi="Calibri" w:cs="Times"/>
          <w:color w:val="141413"/>
          <w:lang w:val="en-GB"/>
        </w:rPr>
        <w:t xml:space="preserve"> and mGFR </w:t>
      </w:r>
      <w:r w:rsidR="00F5007F" w:rsidRPr="0086281A">
        <w:rPr>
          <w:rFonts w:ascii="Calibri" w:hAnsi="Calibri" w:cs="Times"/>
          <w:color w:val="141413"/>
          <w:lang w:val="en-GB"/>
        </w:rPr>
        <w:t>that</w:t>
      </w:r>
      <w:r w:rsidR="00FA071E" w:rsidRPr="0086281A">
        <w:rPr>
          <w:rFonts w:ascii="Calibri" w:hAnsi="Calibri" w:cs="Times"/>
          <w:color w:val="141413"/>
          <w:lang w:val="en-GB"/>
        </w:rPr>
        <w:t xml:space="preserve"> </w:t>
      </w:r>
      <w:r w:rsidR="00F5007F" w:rsidRPr="0086281A">
        <w:rPr>
          <w:rFonts w:ascii="Calibri" w:hAnsi="Calibri" w:cs="Times"/>
          <w:color w:val="141413"/>
          <w:lang w:val="en-GB"/>
        </w:rPr>
        <w:t>wa</w:t>
      </w:r>
      <w:r w:rsidR="00FA071E" w:rsidRPr="0086281A">
        <w:rPr>
          <w:rFonts w:ascii="Calibri" w:hAnsi="Calibri" w:cs="Times"/>
          <w:color w:val="141413"/>
          <w:lang w:val="en-GB"/>
        </w:rPr>
        <w:t>s significantly lower (</w:t>
      </w:r>
      <w:r w:rsidR="00DD7B40" w:rsidRPr="0086281A">
        <w:rPr>
          <w:rFonts w:ascii="Calibri" w:hAnsi="Calibri" w:cs="Times"/>
          <w:color w:val="141413"/>
          <w:lang w:val="en-GB"/>
        </w:rPr>
        <w:t>p&lt;</w:t>
      </w:r>
      <w:r w:rsidR="0075233D" w:rsidRPr="0086281A">
        <w:rPr>
          <w:rFonts w:ascii="Calibri" w:hAnsi="Calibri" w:cs="Times"/>
          <w:color w:val="141413"/>
          <w:lang w:val="en-GB"/>
        </w:rPr>
        <w:t xml:space="preserve">0.05). </w:t>
      </w:r>
    </w:p>
    <w:p w:rsidR="006E668B" w:rsidRPr="0086281A" w:rsidRDefault="006E668B" w:rsidP="006E668B">
      <w:pPr>
        <w:widowControl w:val="0"/>
        <w:autoSpaceDE w:val="0"/>
        <w:autoSpaceDN w:val="0"/>
        <w:adjustRightInd w:val="0"/>
        <w:rPr>
          <w:rFonts w:ascii="Calibri" w:hAnsi="Calibri" w:cs="Calibri"/>
          <w:kern w:val="1"/>
          <w:lang w:val="en-GB"/>
        </w:rPr>
      </w:pPr>
    </w:p>
    <w:p w:rsidR="008017DF" w:rsidRPr="0086281A" w:rsidRDefault="006E668B" w:rsidP="006E668B">
      <w:pPr>
        <w:widowControl w:val="0"/>
        <w:autoSpaceDE w:val="0"/>
        <w:autoSpaceDN w:val="0"/>
        <w:adjustRightInd w:val="0"/>
        <w:rPr>
          <w:rFonts w:ascii="Calibri" w:hAnsi="Calibri" w:cs="Calibri"/>
          <w:kern w:val="1"/>
          <w:lang w:val="en-GB"/>
        </w:rPr>
      </w:pPr>
      <w:r w:rsidRPr="0086281A">
        <w:rPr>
          <w:rFonts w:ascii="Calibri" w:hAnsi="Calibri" w:cs="Times"/>
          <w:color w:val="000000"/>
          <w:lang w:val="en-GB"/>
        </w:rPr>
        <w:t xml:space="preserve">In the </w:t>
      </w:r>
      <w:r w:rsidR="0023063B">
        <w:rPr>
          <w:rFonts w:ascii="Calibri" w:hAnsi="Calibri" w:cs="Times"/>
          <w:color w:val="000000"/>
          <w:lang w:val="en-GB"/>
        </w:rPr>
        <w:t>whole</w:t>
      </w:r>
      <w:r w:rsidRPr="0086281A">
        <w:rPr>
          <w:rFonts w:ascii="Calibri" w:hAnsi="Calibri" w:cs="Times"/>
          <w:color w:val="000000"/>
          <w:lang w:val="en-GB"/>
        </w:rPr>
        <w:t xml:space="preserve"> population, </w:t>
      </w:r>
      <w:r w:rsidRPr="0086281A">
        <w:rPr>
          <w:rFonts w:ascii="Calibri" w:hAnsi="Calibri" w:cs="Calibri"/>
          <w:kern w:val="1"/>
          <w:lang w:val="en-GB"/>
        </w:rPr>
        <w:t>the bias</w:t>
      </w:r>
      <w:r w:rsidR="00083ADC" w:rsidRPr="0086281A">
        <w:rPr>
          <w:rFonts w:ascii="Calibri" w:hAnsi="Calibri" w:cs="Calibri"/>
          <w:kern w:val="1"/>
          <w:lang w:val="en-GB"/>
        </w:rPr>
        <w:t xml:space="preserve"> and precision</w:t>
      </w:r>
      <w:r w:rsidRPr="0086281A">
        <w:rPr>
          <w:rFonts w:ascii="Calibri" w:hAnsi="Calibri" w:cs="Calibri"/>
          <w:kern w:val="1"/>
          <w:lang w:val="en-GB"/>
        </w:rPr>
        <w:t xml:space="preserve"> for CG</w:t>
      </w:r>
      <w:r w:rsidR="0071773E" w:rsidRPr="0086281A">
        <w:rPr>
          <w:rFonts w:ascii="Calibri" w:hAnsi="Calibri" w:cs="Times"/>
          <w:color w:val="000000"/>
          <w:vertAlign w:val="subscript"/>
          <w:lang w:val="en-GB"/>
        </w:rPr>
        <w:t>ABW</w:t>
      </w:r>
      <w:r w:rsidRPr="0086281A">
        <w:rPr>
          <w:rFonts w:ascii="Calibri" w:hAnsi="Calibri" w:cs="Calibri"/>
          <w:kern w:val="1"/>
          <w:lang w:val="en-GB"/>
        </w:rPr>
        <w:t xml:space="preserve"> and CG</w:t>
      </w:r>
      <w:r w:rsidRPr="0086281A">
        <w:rPr>
          <w:rFonts w:ascii="Calibri" w:hAnsi="Calibri" w:cs="Calibri"/>
          <w:kern w:val="1"/>
          <w:vertAlign w:val="subscript"/>
          <w:lang w:val="en-GB"/>
        </w:rPr>
        <w:t>AIBW</w:t>
      </w:r>
      <w:r w:rsidRPr="0086281A">
        <w:rPr>
          <w:rFonts w:ascii="Calibri" w:hAnsi="Calibri" w:cs="Calibri"/>
          <w:kern w:val="1"/>
          <w:lang w:val="en-GB"/>
        </w:rPr>
        <w:t xml:space="preserve"> equation w</w:t>
      </w:r>
      <w:r w:rsidR="002A46FA" w:rsidRPr="0086281A">
        <w:rPr>
          <w:rFonts w:ascii="Calibri" w:hAnsi="Calibri" w:cs="Calibri"/>
          <w:kern w:val="1"/>
          <w:lang w:val="en-GB"/>
        </w:rPr>
        <w:t>ere</w:t>
      </w:r>
      <w:r w:rsidR="00FA071E" w:rsidRPr="0086281A">
        <w:rPr>
          <w:rFonts w:ascii="Calibri" w:hAnsi="Calibri" w:cs="Calibri"/>
          <w:kern w:val="1"/>
          <w:lang w:val="en-GB"/>
        </w:rPr>
        <w:t xml:space="preserve"> +25±</w:t>
      </w:r>
      <w:r w:rsidRPr="0086281A">
        <w:rPr>
          <w:rFonts w:ascii="Calibri" w:hAnsi="Calibri" w:cs="Calibri"/>
          <w:kern w:val="1"/>
          <w:lang w:val="en-GB"/>
        </w:rPr>
        <w:t>39.8 mL/min and +</w:t>
      </w:r>
      <w:r w:rsidR="00FA071E" w:rsidRPr="0086281A">
        <w:rPr>
          <w:rFonts w:ascii="Calibri" w:hAnsi="Calibri" w:cs="Times New Roman"/>
          <w:color w:val="141413"/>
          <w:lang w:val="en-GB"/>
        </w:rPr>
        <w:t>1.6±</w:t>
      </w:r>
      <w:r w:rsidRPr="0086281A">
        <w:rPr>
          <w:rFonts w:ascii="Calibri" w:hAnsi="Calibri" w:cs="Times New Roman"/>
          <w:color w:val="141413"/>
          <w:lang w:val="en-GB"/>
        </w:rPr>
        <w:t xml:space="preserve">21.4 </w:t>
      </w:r>
      <w:r w:rsidRPr="0086281A">
        <w:rPr>
          <w:rFonts w:ascii="Calibri" w:hAnsi="Calibri" w:cs="Calibri"/>
          <w:kern w:val="1"/>
          <w:lang w:val="en-GB"/>
        </w:rPr>
        <w:t>mL/min, respectively (p &lt; 0.05).</w:t>
      </w:r>
      <w:r w:rsidR="00083ADC" w:rsidRPr="0086281A">
        <w:rPr>
          <w:rFonts w:ascii="Calibri" w:hAnsi="Calibri" w:cs="Calibri"/>
          <w:kern w:val="1"/>
          <w:lang w:val="en-GB"/>
        </w:rPr>
        <w:t xml:space="preserve"> </w:t>
      </w:r>
      <w:r w:rsidR="00083ADC" w:rsidRPr="0086281A">
        <w:rPr>
          <w:rFonts w:ascii="Calibri" w:hAnsi="Calibri" w:cs="Times"/>
          <w:color w:val="000000"/>
          <w:lang w:val="en-GB"/>
        </w:rPr>
        <w:t>For the CKD-EPI</w:t>
      </w:r>
      <w:r w:rsidR="00083ADC" w:rsidRPr="0086281A">
        <w:rPr>
          <w:rFonts w:ascii="Calibri" w:hAnsi="Calibri" w:cs="Times"/>
          <w:color w:val="000000"/>
          <w:vertAlign w:val="subscript"/>
          <w:lang w:val="en-GB"/>
        </w:rPr>
        <w:t>deindexed</w:t>
      </w:r>
      <w:r w:rsidR="00083ADC" w:rsidRPr="0086281A">
        <w:rPr>
          <w:rFonts w:ascii="Calibri" w:hAnsi="Calibri" w:cs="Times"/>
          <w:color w:val="000000"/>
          <w:lang w:val="en-GB"/>
        </w:rPr>
        <w:t xml:space="preserve"> and the MDRD</w:t>
      </w:r>
      <w:r w:rsidR="00083ADC" w:rsidRPr="0086281A">
        <w:rPr>
          <w:rFonts w:ascii="Calibri" w:hAnsi="Calibri" w:cs="Times"/>
          <w:color w:val="000000"/>
          <w:vertAlign w:val="subscript"/>
          <w:lang w:val="en-GB"/>
        </w:rPr>
        <w:t xml:space="preserve">deindexed </w:t>
      </w:r>
      <w:r w:rsidR="00FA071E" w:rsidRPr="0086281A">
        <w:rPr>
          <w:rFonts w:ascii="Calibri" w:hAnsi="Calibri" w:cs="Times"/>
          <w:color w:val="000000"/>
          <w:lang w:val="en-GB"/>
        </w:rPr>
        <w:t xml:space="preserve">equations, the </w:t>
      </w:r>
      <w:r w:rsidR="00DD7B40" w:rsidRPr="0086281A">
        <w:rPr>
          <w:rFonts w:ascii="Calibri" w:hAnsi="Calibri" w:cs="Times"/>
          <w:color w:val="000000"/>
          <w:lang w:val="en-GB"/>
        </w:rPr>
        <w:t>biases were</w:t>
      </w:r>
      <w:r w:rsidR="00FA071E" w:rsidRPr="0086281A">
        <w:rPr>
          <w:rFonts w:ascii="Calibri" w:hAnsi="Calibri" w:cs="Times"/>
          <w:color w:val="000000"/>
          <w:lang w:val="en-GB"/>
        </w:rPr>
        <w:t xml:space="preserve"> +6.2</w:t>
      </w:r>
      <w:r w:rsidR="00083ADC" w:rsidRPr="0086281A">
        <w:rPr>
          <w:rFonts w:ascii="Calibri" w:hAnsi="Calibri" w:cs="Times"/>
          <w:color w:val="000000"/>
          <w:lang w:val="en-GB"/>
        </w:rPr>
        <w:t>±19.7mL/min and +</w:t>
      </w:r>
      <w:r w:rsidR="00FA071E" w:rsidRPr="0086281A">
        <w:rPr>
          <w:rFonts w:ascii="Calibri" w:hAnsi="Calibri" w:cs="Times New Roman"/>
          <w:color w:val="141413"/>
          <w:lang w:val="en-GB"/>
        </w:rPr>
        <w:t>2.8±</w:t>
      </w:r>
      <w:r w:rsidR="00083ADC" w:rsidRPr="0086281A">
        <w:rPr>
          <w:rFonts w:ascii="Calibri" w:hAnsi="Calibri" w:cs="Times New Roman"/>
          <w:color w:val="141413"/>
          <w:lang w:val="en-GB"/>
        </w:rPr>
        <w:t xml:space="preserve">19.5 </w:t>
      </w:r>
      <w:r w:rsidR="00083ADC" w:rsidRPr="0086281A">
        <w:rPr>
          <w:rFonts w:ascii="Calibri" w:hAnsi="Calibri" w:cs="Times"/>
          <w:color w:val="000000"/>
          <w:lang w:val="en-GB"/>
        </w:rPr>
        <w:t>mL/min</w:t>
      </w:r>
      <w:r w:rsidR="00F5007F" w:rsidRPr="0086281A">
        <w:rPr>
          <w:rFonts w:ascii="Calibri" w:hAnsi="Calibri" w:cs="Times"/>
          <w:color w:val="000000"/>
          <w:lang w:val="en-GB"/>
        </w:rPr>
        <w:t>,</w:t>
      </w:r>
      <w:r w:rsidR="00083ADC" w:rsidRPr="0086281A">
        <w:rPr>
          <w:rFonts w:ascii="Calibri" w:hAnsi="Calibri" w:cs="Times"/>
          <w:color w:val="000000"/>
          <w:lang w:val="en-GB"/>
        </w:rPr>
        <w:t xml:space="preserve"> respectively</w:t>
      </w:r>
      <w:r w:rsidR="00FA071E" w:rsidRPr="0086281A">
        <w:rPr>
          <w:rFonts w:ascii="Calibri" w:hAnsi="Calibri" w:cs="Times"/>
          <w:color w:val="000000"/>
          <w:lang w:val="en-GB"/>
        </w:rPr>
        <w:t xml:space="preserve">. The </w:t>
      </w:r>
      <w:r w:rsidR="00E72E9B" w:rsidRPr="0086281A">
        <w:rPr>
          <w:rFonts w:ascii="Calibri" w:hAnsi="Calibri" w:cs="Times"/>
          <w:color w:val="000000"/>
          <w:lang w:val="en-GB"/>
        </w:rPr>
        <w:t xml:space="preserve">bias of MDRD </w:t>
      </w:r>
      <w:r w:rsidR="00E72E9B" w:rsidRPr="0086281A">
        <w:rPr>
          <w:rFonts w:ascii="Calibri" w:hAnsi="Calibri" w:cs="Times"/>
          <w:color w:val="000000"/>
          <w:vertAlign w:val="subscript"/>
          <w:lang w:val="en-GB"/>
        </w:rPr>
        <w:t>deindexed</w:t>
      </w:r>
      <w:r w:rsidR="00E72E9B" w:rsidRPr="0086281A">
        <w:rPr>
          <w:rFonts w:ascii="Calibri" w:hAnsi="Calibri" w:cs="Times"/>
          <w:color w:val="000000"/>
          <w:lang w:val="en-GB"/>
        </w:rPr>
        <w:t xml:space="preserve"> </w:t>
      </w:r>
      <w:r w:rsidR="00FA071E" w:rsidRPr="0086281A">
        <w:rPr>
          <w:rFonts w:ascii="Calibri" w:hAnsi="Calibri" w:cs="Times"/>
          <w:color w:val="000000"/>
          <w:lang w:val="en-GB"/>
        </w:rPr>
        <w:t xml:space="preserve">is </w:t>
      </w:r>
      <w:r w:rsidR="00E72E9B" w:rsidRPr="0086281A">
        <w:rPr>
          <w:rFonts w:ascii="Calibri" w:hAnsi="Calibri" w:cs="Times"/>
          <w:color w:val="000000"/>
          <w:lang w:val="en-GB"/>
        </w:rPr>
        <w:t>better tha</w:t>
      </w:r>
      <w:r w:rsidR="00A556F4" w:rsidRPr="0086281A">
        <w:rPr>
          <w:rFonts w:ascii="Calibri" w:hAnsi="Calibri" w:cs="Times"/>
          <w:color w:val="000000"/>
          <w:lang w:val="en-GB"/>
        </w:rPr>
        <w:t xml:space="preserve">n </w:t>
      </w:r>
      <w:r w:rsidR="00E72E9B" w:rsidRPr="0086281A">
        <w:rPr>
          <w:rFonts w:ascii="Calibri" w:hAnsi="Calibri" w:cs="Times"/>
          <w:color w:val="000000"/>
          <w:lang w:val="en-GB"/>
        </w:rPr>
        <w:t>other equations</w:t>
      </w:r>
      <w:r w:rsidR="00FA071E" w:rsidRPr="0086281A">
        <w:rPr>
          <w:rFonts w:ascii="Calibri" w:hAnsi="Calibri" w:cs="Times"/>
          <w:color w:val="000000"/>
          <w:lang w:val="en-GB"/>
        </w:rPr>
        <w:t>,</w:t>
      </w:r>
      <w:r w:rsidR="00A556F4" w:rsidRPr="0086281A">
        <w:rPr>
          <w:rFonts w:ascii="Calibri" w:hAnsi="Calibri" w:cs="Times"/>
          <w:color w:val="000000"/>
          <w:lang w:val="en-GB"/>
        </w:rPr>
        <w:t xml:space="preserve"> except the CG</w:t>
      </w:r>
      <w:r w:rsidR="00A556F4" w:rsidRPr="0086281A">
        <w:rPr>
          <w:rFonts w:ascii="Calibri" w:hAnsi="Calibri" w:cs="Times"/>
          <w:color w:val="000000"/>
          <w:vertAlign w:val="subscript"/>
          <w:lang w:val="en-GB"/>
        </w:rPr>
        <w:t>AIBW</w:t>
      </w:r>
      <w:r w:rsidR="00A556F4" w:rsidRPr="0086281A">
        <w:rPr>
          <w:rFonts w:ascii="Calibri" w:hAnsi="Calibri" w:cs="Times"/>
          <w:color w:val="000000"/>
          <w:lang w:val="en-GB"/>
        </w:rPr>
        <w:t xml:space="preserve"> equation</w:t>
      </w:r>
      <w:r w:rsidR="00E72E9B" w:rsidRPr="0086281A">
        <w:rPr>
          <w:rFonts w:ascii="Calibri" w:hAnsi="Calibri" w:cs="Times"/>
          <w:color w:val="000000"/>
          <w:lang w:val="en-GB"/>
        </w:rPr>
        <w:t xml:space="preserve">. </w:t>
      </w:r>
      <w:r w:rsidR="00E72E9B" w:rsidRPr="0086281A">
        <w:rPr>
          <w:rFonts w:ascii="Calibri" w:hAnsi="Calibri" w:cs="Calibri"/>
          <w:kern w:val="1"/>
          <w:lang w:val="en-GB"/>
        </w:rPr>
        <w:t xml:space="preserve">The accuracy within 30% </w:t>
      </w:r>
      <w:r w:rsidRPr="0086281A">
        <w:rPr>
          <w:rFonts w:ascii="Calibri" w:hAnsi="Calibri" w:cs="Calibri"/>
          <w:kern w:val="1"/>
          <w:lang w:val="en-GB"/>
        </w:rPr>
        <w:t>was 56.8% and 79%</w:t>
      </w:r>
      <w:r w:rsidR="00083ADC" w:rsidRPr="0086281A">
        <w:rPr>
          <w:rFonts w:ascii="Calibri" w:hAnsi="Calibri" w:cs="Calibri"/>
          <w:kern w:val="1"/>
          <w:lang w:val="en-GB"/>
        </w:rPr>
        <w:t xml:space="preserve"> for the CG</w:t>
      </w:r>
      <w:r w:rsidR="0071773E" w:rsidRPr="0086281A">
        <w:rPr>
          <w:rFonts w:ascii="Calibri" w:hAnsi="Calibri" w:cs="Times"/>
          <w:color w:val="000000"/>
          <w:vertAlign w:val="subscript"/>
          <w:lang w:val="en-GB"/>
        </w:rPr>
        <w:t>ABW</w:t>
      </w:r>
      <w:r w:rsidR="00083ADC" w:rsidRPr="0086281A">
        <w:rPr>
          <w:rFonts w:ascii="Calibri" w:hAnsi="Calibri" w:cs="Calibri"/>
          <w:kern w:val="1"/>
          <w:lang w:val="en-GB"/>
        </w:rPr>
        <w:t xml:space="preserve"> and CG</w:t>
      </w:r>
      <w:r w:rsidR="00083ADC" w:rsidRPr="0086281A">
        <w:rPr>
          <w:rFonts w:ascii="Calibri" w:hAnsi="Calibri" w:cs="Calibri"/>
          <w:kern w:val="1"/>
          <w:vertAlign w:val="subscript"/>
          <w:lang w:val="en-GB"/>
        </w:rPr>
        <w:t xml:space="preserve">AIBW </w:t>
      </w:r>
      <w:r w:rsidR="00083ADC" w:rsidRPr="0086281A">
        <w:rPr>
          <w:rFonts w:ascii="Calibri" w:hAnsi="Calibri" w:cs="Calibri"/>
          <w:kern w:val="1"/>
          <w:lang w:val="en-GB"/>
        </w:rPr>
        <w:t>equation</w:t>
      </w:r>
      <w:r w:rsidR="00B87BED" w:rsidRPr="0086281A">
        <w:rPr>
          <w:rFonts w:ascii="Calibri" w:hAnsi="Calibri" w:cs="Calibri"/>
          <w:kern w:val="1"/>
          <w:lang w:val="en-GB"/>
        </w:rPr>
        <w:t>, respectively (p&lt;</w:t>
      </w:r>
      <w:r w:rsidRPr="0086281A">
        <w:rPr>
          <w:rFonts w:ascii="Calibri" w:hAnsi="Calibri" w:cs="Calibri"/>
          <w:kern w:val="1"/>
          <w:lang w:val="en-GB"/>
        </w:rPr>
        <w:t>0.05)</w:t>
      </w:r>
      <w:r w:rsidR="008017DF" w:rsidRPr="0086281A">
        <w:rPr>
          <w:rFonts w:ascii="Calibri" w:hAnsi="Calibri" w:cs="Calibri"/>
          <w:kern w:val="1"/>
          <w:lang w:val="en-GB"/>
        </w:rPr>
        <w:t xml:space="preserve">. </w:t>
      </w:r>
      <w:r w:rsidR="008017DF" w:rsidRPr="0086281A">
        <w:rPr>
          <w:rFonts w:ascii="Calibri" w:hAnsi="Calibri" w:cs="Times"/>
          <w:color w:val="000000"/>
          <w:lang w:val="en-GB"/>
        </w:rPr>
        <w:t>For the CKD-EPI</w:t>
      </w:r>
      <w:r w:rsidR="008017DF" w:rsidRPr="0086281A">
        <w:rPr>
          <w:rFonts w:ascii="Calibri" w:hAnsi="Calibri" w:cs="Times"/>
          <w:color w:val="000000"/>
          <w:vertAlign w:val="subscript"/>
          <w:lang w:val="en-GB"/>
        </w:rPr>
        <w:t>deindexed</w:t>
      </w:r>
      <w:r w:rsidR="008017DF" w:rsidRPr="0086281A">
        <w:rPr>
          <w:rFonts w:ascii="Calibri" w:hAnsi="Calibri" w:cs="Times"/>
          <w:color w:val="000000"/>
          <w:lang w:val="en-GB"/>
        </w:rPr>
        <w:t xml:space="preserve"> and the MDRD</w:t>
      </w:r>
      <w:r w:rsidR="008017DF" w:rsidRPr="0086281A">
        <w:rPr>
          <w:rFonts w:ascii="Calibri" w:hAnsi="Calibri" w:cs="Times"/>
          <w:color w:val="000000"/>
          <w:vertAlign w:val="subscript"/>
          <w:lang w:val="en-GB"/>
        </w:rPr>
        <w:t xml:space="preserve">deindexed </w:t>
      </w:r>
      <w:r w:rsidR="008017DF" w:rsidRPr="0086281A">
        <w:rPr>
          <w:rFonts w:ascii="Calibri" w:hAnsi="Calibri" w:cs="Times"/>
          <w:color w:val="000000"/>
          <w:lang w:val="en-GB"/>
        </w:rPr>
        <w:t>equations, accuracy 30% was 75.7% and 80.3%, respectively (p&lt;0.05) (table 2)</w:t>
      </w:r>
      <w:r w:rsidRPr="0086281A">
        <w:rPr>
          <w:rFonts w:ascii="Calibri" w:hAnsi="Calibri" w:cs="Calibri"/>
          <w:kern w:val="1"/>
          <w:lang w:val="en-GB"/>
        </w:rPr>
        <w:t>.</w:t>
      </w:r>
      <w:r w:rsidR="008017DF" w:rsidRPr="0086281A">
        <w:rPr>
          <w:rFonts w:ascii="Calibri" w:hAnsi="Calibri" w:cs="Calibri"/>
          <w:kern w:val="1"/>
          <w:lang w:val="en-GB"/>
        </w:rPr>
        <w:t xml:space="preserve"> The accuracy for the CG</w:t>
      </w:r>
      <w:r w:rsidR="008017DF" w:rsidRPr="0086281A">
        <w:rPr>
          <w:rFonts w:ascii="Calibri" w:hAnsi="Calibri" w:cs="Calibri"/>
          <w:kern w:val="1"/>
          <w:vertAlign w:val="subscript"/>
          <w:lang w:val="en-GB"/>
        </w:rPr>
        <w:t>AIBW</w:t>
      </w:r>
      <w:r w:rsidR="008017DF" w:rsidRPr="0086281A">
        <w:rPr>
          <w:rFonts w:ascii="Calibri" w:hAnsi="Calibri" w:cs="Calibri"/>
          <w:kern w:val="1"/>
          <w:lang w:val="en-GB"/>
        </w:rPr>
        <w:t xml:space="preserve"> </w:t>
      </w:r>
      <w:r w:rsidR="0040619C" w:rsidRPr="0086281A">
        <w:rPr>
          <w:rFonts w:ascii="Calibri" w:hAnsi="Calibri" w:cs="Calibri"/>
          <w:kern w:val="1"/>
          <w:lang w:val="en-GB"/>
        </w:rPr>
        <w:t>was</w:t>
      </w:r>
      <w:r w:rsidR="008017DF" w:rsidRPr="0086281A">
        <w:rPr>
          <w:rFonts w:ascii="Calibri" w:hAnsi="Calibri" w:cs="Calibri"/>
          <w:kern w:val="1"/>
          <w:lang w:val="en-GB"/>
        </w:rPr>
        <w:t xml:space="preserve"> not different </w:t>
      </w:r>
      <w:r w:rsidR="00972CA1" w:rsidRPr="0086281A">
        <w:rPr>
          <w:rFonts w:ascii="Calibri" w:hAnsi="Calibri" w:cs="Calibri"/>
          <w:kern w:val="1"/>
          <w:lang w:val="en-GB"/>
        </w:rPr>
        <w:t xml:space="preserve">from </w:t>
      </w:r>
      <w:r w:rsidR="008017DF" w:rsidRPr="0086281A">
        <w:rPr>
          <w:rFonts w:ascii="Calibri" w:hAnsi="Calibri" w:cs="Calibri"/>
          <w:kern w:val="1"/>
          <w:lang w:val="en-GB"/>
        </w:rPr>
        <w:t>the accuracy of the MDRD</w:t>
      </w:r>
      <w:r w:rsidR="008017DF" w:rsidRPr="0086281A">
        <w:rPr>
          <w:rFonts w:ascii="Calibri" w:hAnsi="Calibri" w:cs="Calibri"/>
          <w:kern w:val="1"/>
          <w:vertAlign w:val="subscript"/>
          <w:lang w:val="en-GB"/>
        </w:rPr>
        <w:t>deindexed</w:t>
      </w:r>
      <w:r w:rsidR="00972CA1" w:rsidRPr="0086281A">
        <w:rPr>
          <w:rFonts w:ascii="Calibri" w:hAnsi="Calibri" w:cs="Calibri"/>
          <w:kern w:val="1"/>
          <w:lang w:val="en-GB"/>
        </w:rPr>
        <w:t xml:space="preserve">, </w:t>
      </w:r>
      <w:r w:rsidR="0040619C" w:rsidRPr="0086281A">
        <w:rPr>
          <w:rFonts w:ascii="Calibri" w:hAnsi="Calibri" w:cs="Calibri"/>
          <w:kern w:val="1"/>
          <w:lang w:val="en-GB"/>
        </w:rPr>
        <w:t xml:space="preserve">but statistically </w:t>
      </w:r>
      <w:r w:rsidR="00543383" w:rsidRPr="0086281A">
        <w:rPr>
          <w:rFonts w:ascii="Calibri" w:hAnsi="Calibri" w:cs="Calibri"/>
          <w:kern w:val="1"/>
          <w:lang w:val="en-GB"/>
        </w:rPr>
        <w:t>better than</w:t>
      </w:r>
      <w:r w:rsidR="0040619C" w:rsidRPr="0086281A">
        <w:rPr>
          <w:rFonts w:ascii="Calibri" w:hAnsi="Calibri" w:cs="Calibri"/>
          <w:kern w:val="1"/>
          <w:lang w:val="en-GB"/>
        </w:rPr>
        <w:t xml:space="preserve"> CKD-EPI</w:t>
      </w:r>
      <w:r w:rsidR="0040619C" w:rsidRPr="0086281A">
        <w:rPr>
          <w:rFonts w:ascii="Calibri" w:hAnsi="Calibri" w:cs="Calibri"/>
          <w:kern w:val="1"/>
          <w:vertAlign w:val="subscript"/>
          <w:lang w:val="en-GB"/>
        </w:rPr>
        <w:t>deindexed</w:t>
      </w:r>
      <w:r w:rsidR="0040619C" w:rsidRPr="0086281A">
        <w:rPr>
          <w:rFonts w:ascii="Calibri" w:hAnsi="Calibri" w:cs="Calibri"/>
          <w:kern w:val="1"/>
          <w:lang w:val="en-GB"/>
        </w:rPr>
        <w:t>.</w:t>
      </w:r>
    </w:p>
    <w:p w:rsidR="008017DF" w:rsidRPr="0086281A" w:rsidRDefault="006E668B" w:rsidP="008017DF">
      <w:pPr>
        <w:widowControl w:val="0"/>
        <w:autoSpaceDE w:val="0"/>
        <w:autoSpaceDN w:val="0"/>
        <w:adjustRightInd w:val="0"/>
        <w:rPr>
          <w:rFonts w:ascii="Calibri" w:hAnsi="Calibri" w:cs="Calibri"/>
          <w:kern w:val="1"/>
          <w:lang w:val="en-GB"/>
        </w:rPr>
      </w:pPr>
      <w:r w:rsidRPr="0086281A">
        <w:rPr>
          <w:rFonts w:ascii="Calibri" w:hAnsi="Calibri" w:cs="Calibri"/>
          <w:kern w:val="1"/>
          <w:lang w:val="en-GB"/>
        </w:rPr>
        <w:t xml:space="preserve">Using AIBW in the CG equation </w:t>
      </w:r>
      <w:r w:rsidR="005E5537" w:rsidRPr="0086281A">
        <w:rPr>
          <w:rFonts w:ascii="Calibri" w:hAnsi="Calibri" w:cs="Calibri"/>
          <w:kern w:val="1"/>
          <w:lang w:val="en-GB"/>
        </w:rPr>
        <w:t>significantly</w:t>
      </w:r>
      <w:r w:rsidR="00CE33A0" w:rsidRPr="0086281A">
        <w:rPr>
          <w:rFonts w:ascii="Calibri" w:hAnsi="Calibri" w:cs="Calibri"/>
          <w:kern w:val="1"/>
          <w:lang w:val="en-GB"/>
        </w:rPr>
        <w:t xml:space="preserve"> </w:t>
      </w:r>
      <w:r w:rsidRPr="0086281A">
        <w:rPr>
          <w:rFonts w:ascii="Calibri" w:hAnsi="Calibri" w:cs="Calibri"/>
          <w:kern w:val="1"/>
          <w:lang w:val="en-GB"/>
        </w:rPr>
        <w:t>improv</w:t>
      </w:r>
      <w:r w:rsidR="00CE33A0" w:rsidRPr="0086281A">
        <w:rPr>
          <w:rFonts w:ascii="Calibri" w:hAnsi="Calibri" w:cs="Calibri"/>
          <w:kern w:val="1"/>
          <w:lang w:val="en-GB"/>
        </w:rPr>
        <w:t>e</w:t>
      </w:r>
      <w:r w:rsidR="00CC4528" w:rsidRPr="0086281A">
        <w:rPr>
          <w:rFonts w:ascii="Calibri" w:hAnsi="Calibri" w:cs="Calibri"/>
          <w:kern w:val="1"/>
          <w:lang w:val="en-GB"/>
        </w:rPr>
        <w:t>d</w:t>
      </w:r>
      <w:r w:rsidRPr="0086281A">
        <w:rPr>
          <w:rFonts w:ascii="Calibri" w:hAnsi="Calibri" w:cs="Calibri"/>
          <w:kern w:val="1"/>
          <w:lang w:val="en-GB"/>
        </w:rPr>
        <w:t xml:space="preserve"> the performance</w:t>
      </w:r>
      <w:r w:rsidR="008017DF" w:rsidRPr="0086281A">
        <w:rPr>
          <w:rFonts w:ascii="Calibri" w:hAnsi="Calibri" w:cs="Calibri"/>
          <w:kern w:val="1"/>
          <w:lang w:val="en-GB"/>
        </w:rPr>
        <w:t>s</w:t>
      </w:r>
      <w:r w:rsidR="0040619C" w:rsidRPr="0086281A">
        <w:rPr>
          <w:rFonts w:ascii="Calibri" w:hAnsi="Calibri" w:cs="Calibri"/>
          <w:kern w:val="1"/>
          <w:lang w:val="en-GB"/>
        </w:rPr>
        <w:t>,</w:t>
      </w:r>
      <w:r w:rsidR="008017DF" w:rsidRPr="0086281A">
        <w:rPr>
          <w:rFonts w:ascii="Calibri" w:hAnsi="Calibri" w:cs="Calibri"/>
          <w:kern w:val="1"/>
          <w:lang w:val="en-GB"/>
        </w:rPr>
        <w:t xml:space="preserve"> </w:t>
      </w:r>
      <w:r w:rsidR="0040619C" w:rsidRPr="0086281A">
        <w:rPr>
          <w:rFonts w:ascii="Calibri" w:hAnsi="Calibri" w:cs="Calibri"/>
          <w:kern w:val="1"/>
          <w:lang w:val="en-GB"/>
        </w:rPr>
        <w:t>especially in term</w:t>
      </w:r>
      <w:r w:rsidR="00972CA1" w:rsidRPr="0086281A">
        <w:rPr>
          <w:rFonts w:ascii="Calibri" w:hAnsi="Calibri" w:cs="Calibri"/>
          <w:kern w:val="1"/>
          <w:lang w:val="en-GB"/>
        </w:rPr>
        <w:t>s</w:t>
      </w:r>
      <w:r w:rsidR="00FA071E" w:rsidRPr="0086281A">
        <w:rPr>
          <w:rFonts w:ascii="Calibri" w:hAnsi="Calibri" w:cs="Calibri"/>
          <w:kern w:val="1"/>
          <w:lang w:val="en-GB"/>
        </w:rPr>
        <w:t xml:space="preserve"> of bias compared to</w:t>
      </w:r>
      <w:r w:rsidR="008017DF" w:rsidRPr="0086281A">
        <w:rPr>
          <w:rFonts w:ascii="Calibri" w:hAnsi="Calibri" w:cs="Calibri"/>
          <w:kern w:val="1"/>
          <w:lang w:val="en-GB"/>
        </w:rPr>
        <w:t xml:space="preserve"> CG equation </w:t>
      </w:r>
      <w:r w:rsidR="00EF798F" w:rsidRPr="0086281A">
        <w:rPr>
          <w:rFonts w:ascii="Calibri" w:hAnsi="Calibri" w:cs="Calibri"/>
          <w:kern w:val="1"/>
          <w:lang w:val="en-GB"/>
        </w:rPr>
        <w:t>with</w:t>
      </w:r>
      <w:r w:rsidR="008017DF" w:rsidRPr="0086281A">
        <w:rPr>
          <w:rFonts w:ascii="Calibri" w:hAnsi="Calibri" w:cs="Calibri"/>
          <w:kern w:val="1"/>
          <w:lang w:val="en-GB"/>
        </w:rPr>
        <w:t xml:space="preserve"> ABW, </w:t>
      </w:r>
      <w:r w:rsidR="004E7AC7" w:rsidRPr="0086281A">
        <w:rPr>
          <w:rFonts w:ascii="Calibri" w:hAnsi="Calibri" w:cs="Calibri"/>
          <w:kern w:val="1"/>
          <w:lang w:val="en-GB"/>
        </w:rPr>
        <w:t xml:space="preserve">and this </w:t>
      </w:r>
      <w:r w:rsidR="00CC4528" w:rsidRPr="0086281A">
        <w:rPr>
          <w:rFonts w:ascii="Calibri" w:hAnsi="Calibri" w:cs="Calibri"/>
          <w:kern w:val="1"/>
          <w:lang w:val="en-GB"/>
        </w:rPr>
        <w:t>wa</w:t>
      </w:r>
      <w:r w:rsidR="004E7AC7" w:rsidRPr="0086281A">
        <w:rPr>
          <w:rFonts w:ascii="Calibri" w:hAnsi="Calibri" w:cs="Calibri"/>
          <w:kern w:val="1"/>
          <w:lang w:val="en-GB"/>
        </w:rPr>
        <w:t>s true at every</w:t>
      </w:r>
      <w:r w:rsidR="001D544B">
        <w:rPr>
          <w:rFonts w:ascii="Calibri" w:hAnsi="Calibri" w:cs="Calibri"/>
          <w:kern w:val="1"/>
          <w:lang w:val="en-GB"/>
        </w:rPr>
        <w:t xml:space="preserve"> GFR</w:t>
      </w:r>
      <w:r w:rsidR="004E7AC7" w:rsidRPr="0086281A">
        <w:rPr>
          <w:rFonts w:ascii="Calibri" w:hAnsi="Calibri" w:cs="Calibri"/>
          <w:kern w:val="1"/>
          <w:lang w:val="en-GB"/>
        </w:rPr>
        <w:t xml:space="preserve"> level</w:t>
      </w:r>
      <w:r w:rsidR="008017DF" w:rsidRPr="0086281A">
        <w:rPr>
          <w:rFonts w:ascii="Calibri" w:hAnsi="Calibri" w:cs="Calibri"/>
          <w:kern w:val="1"/>
          <w:lang w:val="en-GB"/>
        </w:rPr>
        <w:t xml:space="preserve"> (table 2)</w:t>
      </w:r>
      <w:r w:rsidRPr="0086281A">
        <w:rPr>
          <w:rFonts w:ascii="Calibri" w:hAnsi="Calibri" w:cs="Calibri"/>
          <w:kern w:val="1"/>
          <w:lang w:val="en-GB"/>
        </w:rPr>
        <w:t xml:space="preserve">. </w:t>
      </w:r>
    </w:p>
    <w:p w:rsidR="006E668B" w:rsidRPr="0086281A" w:rsidRDefault="006E668B" w:rsidP="008017DF">
      <w:pPr>
        <w:widowControl w:val="0"/>
        <w:autoSpaceDE w:val="0"/>
        <w:autoSpaceDN w:val="0"/>
        <w:adjustRightInd w:val="0"/>
        <w:rPr>
          <w:rFonts w:ascii="Calibri" w:hAnsi="Calibri" w:cs="Times"/>
          <w:color w:val="141413"/>
          <w:lang w:val="en-GB"/>
        </w:rPr>
      </w:pPr>
      <w:r w:rsidRPr="0086281A">
        <w:rPr>
          <w:rFonts w:ascii="Calibri" w:hAnsi="Calibri" w:cs="Times"/>
          <w:color w:val="000000"/>
          <w:lang w:val="en-GB"/>
        </w:rPr>
        <w:t>The MDRD</w:t>
      </w:r>
      <w:r w:rsidRPr="0086281A">
        <w:rPr>
          <w:rFonts w:ascii="Calibri" w:hAnsi="Calibri" w:cs="Times"/>
          <w:color w:val="000000"/>
          <w:vertAlign w:val="subscript"/>
          <w:lang w:val="en-GB"/>
        </w:rPr>
        <w:t>deindexed</w:t>
      </w:r>
      <w:r w:rsidR="008017DF" w:rsidRPr="0086281A">
        <w:rPr>
          <w:rFonts w:ascii="Calibri" w:hAnsi="Calibri" w:cs="Times"/>
          <w:color w:val="000000"/>
          <w:lang w:val="en-GB"/>
        </w:rPr>
        <w:t xml:space="preserve"> equation outperform</w:t>
      </w:r>
      <w:r w:rsidR="00CC4528" w:rsidRPr="0086281A">
        <w:rPr>
          <w:rFonts w:ascii="Calibri" w:hAnsi="Calibri" w:cs="Times"/>
          <w:color w:val="000000"/>
          <w:lang w:val="en-GB"/>
        </w:rPr>
        <w:t>ed</w:t>
      </w:r>
      <w:r w:rsidR="00972CA1" w:rsidRPr="0086281A">
        <w:rPr>
          <w:rFonts w:ascii="Calibri" w:hAnsi="Calibri" w:cs="Times"/>
          <w:color w:val="000000"/>
          <w:lang w:val="en-GB"/>
        </w:rPr>
        <w:t xml:space="preserve"> the CKD-EPI</w:t>
      </w:r>
      <w:r w:rsidR="00972CA1" w:rsidRPr="0086281A">
        <w:rPr>
          <w:rFonts w:ascii="Calibri" w:hAnsi="Calibri" w:cs="Times"/>
          <w:color w:val="000000"/>
          <w:vertAlign w:val="subscript"/>
          <w:lang w:val="en-GB"/>
        </w:rPr>
        <w:t>deindexed</w:t>
      </w:r>
      <w:r w:rsidR="00972CA1" w:rsidRPr="0086281A">
        <w:rPr>
          <w:rFonts w:ascii="Calibri" w:hAnsi="Calibri" w:cs="Times"/>
          <w:color w:val="000000"/>
          <w:lang w:val="en-GB"/>
        </w:rPr>
        <w:t xml:space="preserve"> equation in the global population</w:t>
      </w:r>
      <w:r w:rsidRPr="0086281A">
        <w:rPr>
          <w:rFonts w:ascii="Calibri" w:hAnsi="Calibri" w:cs="Times"/>
          <w:color w:val="000000"/>
          <w:lang w:val="en-GB"/>
        </w:rPr>
        <w:t xml:space="preserve"> </w:t>
      </w:r>
      <w:r w:rsidR="008017DF" w:rsidRPr="0086281A">
        <w:rPr>
          <w:rFonts w:ascii="Calibri" w:hAnsi="Calibri" w:cs="Times"/>
          <w:color w:val="000000"/>
          <w:lang w:val="en-GB"/>
        </w:rPr>
        <w:t>in term</w:t>
      </w:r>
      <w:r w:rsidR="00972CA1" w:rsidRPr="0086281A">
        <w:rPr>
          <w:rFonts w:ascii="Calibri" w:hAnsi="Calibri" w:cs="Times"/>
          <w:color w:val="000000"/>
          <w:lang w:val="en-GB"/>
        </w:rPr>
        <w:t>s</w:t>
      </w:r>
      <w:r w:rsidR="008017DF" w:rsidRPr="0086281A">
        <w:rPr>
          <w:rFonts w:ascii="Calibri" w:hAnsi="Calibri" w:cs="Times"/>
          <w:color w:val="000000"/>
          <w:lang w:val="en-GB"/>
        </w:rPr>
        <w:t xml:space="preserve"> of bias and accuracy. </w:t>
      </w:r>
      <w:r w:rsidR="00543383" w:rsidRPr="0086281A">
        <w:rPr>
          <w:rFonts w:ascii="Calibri" w:hAnsi="Calibri" w:cs="Times"/>
          <w:color w:val="000000"/>
          <w:lang w:val="en-GB"/>
        </w:rPr>
        <w:t xml:space="preserve">Accuracy within 30% of </w:t>
      </w:r>
      <w:r w:rsidR="007B121C" w:rsidRPr="0086281A">
        <w:rPr>
          <w:rFonts w:ascii="Calibri" w:hAnsi="Calibri" w:cs="Calibri"/>
          <w:lang w:val="en-GB"/>
        </w:rPr>
        <w:t>CG</w:t>
      </w:r>
      <w:r w:rsidR="007B121C" w:rsidRPr="0086281A">
        <w:rPr>
          <w:rFonts w:ascii="Calibri" w:hAnsi="Calibri" w:cs="Calibri"/>
          <w:vertAlign w:val="subscript"/>
          <w:lang w:val="en-GB"/>
        </w:rPr>
        <w:t xml:space="preserve">AIBW </w:t>
      </w:r>
      <w:r w:rsidR="00543383" w:rsidRPr="0086281A">
        <w:rPr>
          <w:rFonts w:ascii="Calibri" w:hAnsi="Calibri" w:cs="Calibri"/>
          <w:lang w:val="en-GB"/>
        </w:rPr>
        <w:t xml:space="preserve">and </w:t>
      </w:r>
      <w:r w:rsidR="007B121C" w:rsidRPr="0086281A">
        <w:rPr>
          <w:rFonts w:ascii="Calibri" w:hAnsi="Calibri" w:cs="Calibri"/>
          <w:lang w:val="en-GB"/>
        </w:rPr>
        <w:t>MDRD</w:t>
      </w:r>
      <w:r w:rsidR="007B121C" w:rsidRPr="0086281A">
        <w:rPr>
          <w:rFonts w:ascii="Calibri" w:hAnsi="Calibri" w:cs="Calibri"/>
          <w:vertAlign w:val="subscript"/>
          <w:lang w:val="en-GB"/>
        </w:rPr>
        <w:t>deindexed</w:t>
      </w:r>
      <w:r w:rsidR="007B121C" w:rsidRPr="0086281A">
        <w:rPr>
          <w:rFonts w:ascii="Calibri" w:hAnsi="Calibri" w:cs="Calibri"/>
          <w:lang w:val="en-GB"/>
        </w:rPr>
        <w:t xml:space="preserve"> </w:t>
      </w:r>
      <w:r w:rsidR="00CC4528" w:rsidRPr="0086281A">
        <w:rPr>
          <w:rFonts w:ascii="Calibri" w:hAnsi="Calibri" w:cs="Calibri"/>
          <w:lang w:val="en-GB"/>
        </w:rPr>
        <w:t>we</w:t>
      </w:r>
      <w:r w:rsidR="00543383" w:rsidRPr="0086281A">
        <w:rPr>
          <w:rFonts w:ascii="Calibri" w:hAnsi="Calibri" w:cs="Calibri"/>
          <w:lang w:val="en-GB"/>
        </w:rPr>
        <w:t>re</w:t>
      </w:r>
      <w:r w:rsidR="007B121C" w:rsidRPr="0086281A">
        <w:rPr>
          <w:rFonts w:ascii="Calibri" w:hAnsi="Calibri" w:cs="Calibri"/>
          <w:lang w:val="en-GB"/>
        </w:rPr>
        <w:t xml:space="preserve"> similar.</w:t>
      </w:r>
      <w:r w:rsidRPr="0086281A">
        <w:rPr>
          <w:rFonts w:ascii="Calibri" w:hAnsi="Calibri" w:cs="Calibri"/>
          <w:lang w:val="en-GB"/>
        </w:rPr>
        <w:t xml:space="preserve"> </w:t>
      </w:r>
    </w:p>
    <w:p w:rsidR="00CE33A0" w:rsidRPr="0086281A" w:rsidRDefault="00CE33A0" w:rsidP="00CE3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color w:val="FF0000"/>
          <w:lang w:val="en-GB"/>
        </w:rPr>
      </w:pPr>
      <w:r w:rsidRPr="0086281A">
        <w:rPr>
          <w:rFonts w:ascii="Calibri" w:hAnsi="Calibri" w:cs="Times"/>
          <w:color w:val="141413"/>
          <w:lang w:val="en-GB"/>
        </w:rPr>
        <w:t xml:space="preserve">Bland and Altman analysis for the </w:t>
      </w:r>
      <w:r w:rsidR="005E5537" w:rsidRPr="0086281A">
        <w:rPr>
          <w:rFonts w:ascii="Calibri" w:hAnsi="Calibri" w:cs="Times"/>
          <w:color w:val="141413"/>
          <w:lang w:val="en-GB"/>
        </w:rPr>
        <w:t>CG</w:t>
      </w:r>
      <w:r w:rsidR="0071773E" w:rsidRPr="0086281A">
        <w:rPr>
          <w:rFonts w:ascii="Calibri" w:hAnsi="Calibri" w:cs="Times"/>
          <w:color w:val="000000"/>
          <w:vertAlign w:val="subscript"/>
          <w:lang w:val="en-GB"/>
        </w:rPr>
        <w:t>ABW</w:t>
      </w:r>
      <w:r w:rsidR="005E5537" w:rsidRPr="0086281A">
        <w:rPr>
          <w:rFonts w:ascii="Calibri" w:hAnsi="Calibri" w:cs="Times"/>
          <w:color w:val="141413"/>
          <w:lang w:val="en-GB"/>
        </w:rPr>
        <w:t xml:space="preserve">, </w:t>
      </w:r>
      <w:r w:rsidRPr="0086281A">
        <w:rPr>
          <w:rFonts w:ascii="Calibri" w:hAnsi="Calibri" w:cs="Times"/>
          <w:color w:val="141413"/>
          <w:lang w:val="en-GB"/>
        </w:rPr>
        <w:t>CG</w:t>
      </w:r>
      <w:r w:rsidRPr="0086281A">
        <w:rPr>
          <w:rFonts w:ascii="Calibri" w:hAnsi="Calibri" w:cs="Times"/>
          <w:color w:val="141413"/>
          <w:vertAlign w:val="subscript"/>
          <w:lang w:val="en-GB"/>
        </w:rPr>
        <w:t>AIBW</w:t>
      </w:r>
      <w:r w:rsidRPr="0086281A">
        <w:rPr>
          <w:rFonts w:ascii="Calibri" w:hAnsi="Calibri" w:cs="Times"/>
          <w:color w:val="141413"/>
          <w:lang w:val="en-GB"/>
        </w:rPr>
        <w:t>, MDRD</w:t>
      </w:r>
      <w:r w:rsidRPr="0086281A">
        <w:rPr>
          <w:rFonts w:ascii="Calibri" w:hAnsi="Calibri" w:cs="Times"/>
          <w:color w:val="141413"/>
          <w:vertAlign w:val="subscript"/>
          <w:lang w:val="en-GB"/>
        </w:rPr>
        <w:t>deindexed</w:t>
      </w:r>
      <w:r w:rsidRPr="0086281A">
        <w:rPr>
          <w:rFonts w:ascii="Calibri" w:hAnsi="Calibri" w:cs="Times"/>
          <w:color w:val="141413"/>
          <w:lang w:val="en-GB"/>
        </w:rPr>
        <w:t xml:space="preserve"> and CKD-EPI</w:t>
      </w:r>
      <w:r w:rsidRPr="0086281A">
        <w:rPr>
          <w:rFonts w:ascii="Calibri" w:hAnsi="Calibri" w:cs="Times"/>
          <w:color w:val="141413"/>
          <w:vertAlign w:val="subscript"/>
          <w:lang w:val="en-GB"/>
        </w:rPr>
        <w:t>deindexed</w:t>
      </w:r>
      <w:r w:rsidRPr="0086281A">
        <w:rPr>
          <w:rFonts w:ascii="Calibri" w:hAnsi="Calibri" w:cs="Times"/>
          <w:color w:val="141413"/>
          <w:lang w:val="en-GB"/>
        </w:rPr>
        <w:t xml:space="preserve"> are represented in Figure</w:t>
      </w:r>
      <w:r w:rsidR="00FD2E97" w:rsidRPr="0086281A">
        <w:rPr>
          <w:rFonts w:ascii="Calibri" w:hAnsi="Calibri" w:cs="Times"/>
          <w:color w:val="141413"/>
          <w:lang w:val="en-GB"/>
        </w:rPr>
        <w:t>s</w:t>
      </w:r>
      <w:r w:rsidRPr="0086281A">
        <w:rPr>
          <w:rFonts w:ascii="Calibri" w:hAnsi="Calibri" w:cs="Times"/>
          <w:color w:val="141413"/>
          <w:lang w:val="en-GB"/>
        </w:rPr>
        <w:t xml:space="preserve"> </w:t>
      </w:r>
      <w:r w:rsidR="005B25AF" w:rsidRPr="0086281A">
        <w:rPr>
          <w:rFonts w:ascii="Calibri" w:hAnsi="Calibri" w:cs="Times"/>
          <w:color w:val="1E1E65"/>
          <w:lang w:val="en-GB"/>
        </w:rPr>
        <w:t>1</w:t>
      </w:r>
      <w:r w:rsidRPr="0086281A">
        <w:rPr>
          <w:rFonts w:ascii="Calibri" w:hAnsi="Calibri" w:cs="Times"/>
          <w:color w:val="1E1E65"/>
          <w:lang w:val="en-GB"/>
        </w:rPr>
        <w:t>a</w:t>
      </w:r>
      <w:r w:rsidRPr="0086281A">
        <w:rPr>
          <w:rFonts w:ascii="Calibri" w:hAnsi="Calibri" w:cs="Times"/>
          <w:color w:val="141413"/>
          <w:lang w:val="en-GB"/>
        </w:rPr>
        <w:t xml:space="preserve"> and </w:t>
      </w:r>
      <w:r w:rsidR="005B25AF" w:rsidRPr="0086281A">
        <w:rPr>
          <w:rFonts w:ascii="Calibri" w:hAnsi="Calibri" w:cs="Times"/>
          <w:color w:val="141413"/>
          <w:lang w:val="en-GB"/>
        </w:rPr>
        <w:t>1</w:t>
      </w:r>
      <w:r w:rsidRPr="0086281A">
        <w:rPr>
          <w:rFonts w:ascii="Calibri" w:hAnsi="Calibri" w:cs="Times"/>
          <w:color w:val="141413"/>
          <w:lang w:val="en-GB"/>
        </w:rPr>
        <w:t>b.</w:t>
      </w:r>
      <w:r w:rsidR="00A7373D" w:rsidRPr="0086281A">
        <w:rPr>
          <w:rFonts w:ascii="Calibri" w:hAnsi="Calibri" w:cs="Times"/>
          <w:color w:val="141413"/>
          <w:lang w:val="en-GB"/>
        </w:rPr>
        <w:t xml:space="preserve"> </w:t>
      </w:r>
    </w:p>
    <w:p w:rsidR="006E668B" w:rsidRPr="0086281A" w:rsidRDefault="006E668B" w:rsidP="006E668B">
      <w:pPr>
        <w:rPr>
          <w:rFonts w:ascii="Calibri" w:hAnsi="Calibri" w:cs="Calibri"/>
          <w:lang w:val="en-GB"/>
        </w:rPr>
      </w:pPr>
    </w:p>
    <w:p w:rsidR="008F1237" w:rsidRPr="0086281A" w:rsidRDefault="00CE33A0" w:rsidP="006E668B">
      <w:pPr>
        <w:widowControl w:val="0"/>
        <w:autoSpaceDE w:val="0"/>
        <w:autoSpaceDN w:val="0"/>
        <w:adjustRightInd w:val="0"/>
        <w:rPr>
          <w:rFonts w:ascii="Calibri" w:hAnsi="Calibri" w:cs="Calibri"/>
          <w:color w:val="FF0000"/>
          <w:kern w:val="1"/>
          <w:lang w:val="en-GB"/>
        </w:rPr>
      </w:pPr>
      <w:r w:rsidRPr="0086281A">
        <w:rPr>
          <w:rFonts w:ascii="Calibri" w:hAnsi="Calibri" w:cs="Calibri"/>
          <w:kern w:val="1"/>
          <w:lang w:val="en-GB"/>
        </w:rPr>
        <w:t>The cut-off of 30 mL/min is particul</w:t>
      </w:r>
      <w:r w:rsidR="00072935" w:rsidRPr="0086281A">
        <w:rPr>
          <w:rFonts w:ascii="Calibri" w:hAnsi="Calibri" w:cs="Calibri"/>
          <w:kern w:val="1"/>
          <w:lang w:val="en-GB"/>
        </w:rPr>
        <w:t xml:space="preserve">arly relevant in pharmacology. It is usually the value under which drugs </w:t>
      </w:r>
      <w:r w:rsidR="0077030D">
        <w:rPr>
          <w:rFonts w:ascii="Calibri" w:hAnsi="Calibri" w:cs="Calibri"/>
          <w:kern w:val="1"/>
          <w:lang w:val="en-GB"/>
        </w:rPr>
        <w:t xml:space="preserve">eliminated by the kidneys </w:t>
      </w:r>
      <w:r w:rsidR="00072935" w:rsidRPr="0086281A">
        <w:rPr>
          <w:rFonts w:ascii="Calibri" w:hAnsi="Calibri" w:cs="Calibri"/>
          <w:kern w:val="1"/>
          <w:lang w:val="en-GB"/>
        </w:rPr>
        <w:t>need</w:t>
      </w:r>
      <w:r w:rsidR="006E668B" w:rsidRPr="0086281A">
        <w:rPr>
          <w:rFonts w:ascii="Calibri" w:hAnsi="Calibri" w:cs="Calibri"/>
          <w:kern w:val="1"/>
          <w:lang w:val="en-GB"/>
        </w:rPr>
        <w:t xml:space="preserve"> </w:t>
      </w:r>
      <w:r w:rsidRPr="0086281A">
        <w:rPr>
          <w:rFonts w:ascii="Calibri" w:hAnsi="Calibri" w:cs="Calibri"/>
          <w:kern w:val="1"/>
          <w:lang w:val="en-GB"/>
        </w:rPr>
        <w:t>a dose adaptation (or</w:t>
      </w:r>
      <w:r w:rsidR="00072935" w:rsidRPr="0086281A">
        <w:rPr>
          <w:rFonts w:ascii="Calibri" w:hAnsi="Calibri" w:cs="Calibri"/>
          <w:kern w:val="1"/>
          <w:lang w:val="en-GB"/>
        </w:rPr>
        <w:t xml:space="preserve"> are</w:t>
      </w:r>
      <w:r w:rsidRPr="0086281A">
        <w:rPr>
          <w:rFonts w:ascii="Calibri" w:hAnsi="Calibri" w:cs="Calibri"/>
          <w:kern w:val="1"/>
          <w:lang w:val="en-GB"/>
        </w:rPr>
        <w:t xml:space="preserve"> contra i</w:t>
      </w:r>
      <w:r w:rsidR="00072935" w:rsidRPr="0086281A">
        <w:rPr>
          <w:rFonts w:ascii="Calibri" w:hAnsi="Calibri" w:cs="Calibri"/>
          <w:kern w:val="1"/>
          <w:lang w:val="en-GB"/>
        </w:rPr>
        <w:t>ndicated)</w:t>
      </w:r>
      <w:r w:rsidR="005E5537" w:rsidRPr="0086281A">
        <w:rPr>
          <w:rFonts w:ascii="Calibri" w:hAnsi="Calibri" w:cs="Calibri"/>
          <w:kern w:val="1"/>
          <w:lang w:val="en-GB"/>
        </w:rPr>
        <w:t>.</w:t>
      </w:r>
      <w:r w:rsidR="006E668B" w:rsidRPr="0086281A">
        <w:rPr>
          <w:rFonts w:ascii="Calibri" w:hAnsi="Calibri" w:cs="Calibri"/>
          <w:kern w:val="1"/>
          <w:lang w:val="en-GB"/>
        </w:rPr>
        <w:t xml:space="preserve"> All </w:t>
      </w:r>
      <w:r w:rsidR="00072935" w:rsidRPr="0086281A">
        <w:rPr>
          <w:rFonts w:ascii="Calibri" w:hAnsi="Calibri" w:cs="Calibri"/>
          <w:kern w:val="1"/>
          <w:lang w:val="en-GB"/>
        </w:rPr>
        <w:t xml:space="preserve">the </w:t>
      </w:r>
      <w:r w:rsidR="006E668B" w:rsidRPr="0086281A">
        <w:rPr>
          <w:rFonts w:ascii="Calibri" w:hAnsi="Calibri" w:cs="Calibri"/>
          <w:kern w:val="1"/>
          <w:lang w:val="en-GB"/>
        </w:rPr>
        <w:t xml:space="preserve">equations </w:t>
      </w:r>
      <w:r w:rsidR="007B121C" w:rsidRPr="0086281A">
        <w:rPr>
          <w:rFonts w:ascii="Calibri" w:hAnsi="Calibri" w:cs="Calibri"/>
          <w:kern w:val="1"/>
          <w:lang w:val="en-GB"/>
        </w:rPr>
        <w:t xml:space="preserve">slightly </w:t>
      </w:r>
      <w:r w:rsidR="00072935" w:rsidRPr="0086281A">
        <w:rPr>
          <w:rFonts w:ascii="Calibri" w:hAnsi="Calibri" w:cs="Calibri"/>
          <w:kern w:val="1"/>
          <w:lang w:val="en-GB"/>
        </w:rPr>
        <w:t>underestimate</w:t>
      </w:r>
      <w:r w:rsidR="006E668B" w:rsidRPr="0086281A">
        <w:rPr>
          <w:rFonts w:ascii="Calibri" w:hAnsi="Calibri" w:cs="Calibri"/>
          <w:kern w:val="1"/>
          <w:lang w:val="en-GB"/>
        </w:rPr>
        <w:t xml:space="preserve"> the mGFR</w:t>
      </w:r>
      <w:r w:rsidR="00EC002E" w:rsidRPr="0086281A">
        <w:rPr>
          <w:rFonts w:ascii="Calibri" w:hAnsi="Calibri" w:cs="Calibri"/>
          <w:kern w:val="1"/>
          <w:lang w:val="en-GB"/>
        </w:rPr>
        <w:t xml:space="preserve"> below 30mL/min</w:t>
      </w:r>
      <w:r w:rsidR="00072935" w:rsidRPr="0086281A">
        <w:rPr>
          <w:rFonts w:ascii="Calibri" w:hAnsi="Calibri" w:cs="Calibri"/>
          <w:kern w:val="1"/>
          <w:lang w:val="en-GB"/>
        </w:rPr>
        <w:t>,</w:t>
      </w:r>
      <w:r w:rsidRPr="0086281A">
        <w:rPr>
          <w:rFonts w:ascii="Calibri" w:hAnsi="Calibri" w:cs="Calibri"/>
          <w:kern w:val="1"/>
          <w:lang w:val="en-GB"/>
        </w:rPr>
        <w:t xml:space="preserve"> </w:t>
      </w:r>
      <w:r w:rsidR="008679B8" w:rsidRPr="0086281A">
        <w:rPr>
          <w:rFonts w:ascii="Calibri" w:hAnsi="Calibri" w:cs="Calibri"/>
          <w:kern w:val="1"/>
          <w:lang w:val="en-GB"/>
        </w:rPr>
        <w:t>except</w:t>
      </w:r>
      <w:r w:rsidRPr="0086281A">
        <w:rPr>
          <w:rFonts w:ascii="Calibri" w:hAnsi="Calibri" w:cs="Calibri"/>
          <w:kern w:val="1"/>
          <w:lang w:val="en-GB"/>
        </w:rPr>
        <w:t xml:space="preserve"> </w:t>
      </w:r>
      <w:r w:rsidR="00EC002E" w:rsidRPr="0086281A">
        <w:rPr>
          <w:rFonts w:ascii="Calibri" w:hAnsi="Calibri" w:cs="Calibri"/>
          <w:kern w:val="1"/>
          <w:lang w:val="en-GB"/>
        </w:rPr>
        <w:t>CG</w:t>
      </w:r>
      <w:r w:rsidR="00794E4C" w:rsidRPr="008E6410">
        <w:rPr>
          <w:rFonts w:ascii="Calibri" w:hAnsi="Calibri" w:cs="Times"/>
          <w:color w:val="000000"/>
          <w:vertAlign w:val="subscript"/>
          <w:lang w:val="en-GB"/>
        </w:rPr>
        <w:t>ABW</w:t>
      </w:r>
      <w:r w:rsidR="00EC002E" w:rsidRPr="0086281A">
        <w:rPr>
          <w:rFonts w:ascii="Calibri" w:hAnsi="Calibri" w:cs="Calibri"/>
          <w:kern w:val="1"/>
          <w:lang w:val="en-GB"/>
        </w:rPr>
        <w:t>, which</w:t>
      </w:r>
      <w:r w:rsidR="008679B8" w:rsidRPr="0086281A">
        <w:rPr>
          <w:rFonts w:ascii="Calibri" w:hAnsi="Calibri" w:cs="Calibri"/>
          <w:kern w:val="1"/>
          <w:lang w:val="en-GB"/>
        </w:rPr>
        <w:t xml:space="preserve"> </w:t>
      </w:r>
      <w:r w:rsidRPr="0086281A">
        <w:rPr>
          <w:rFonts w:ascii="Calibri" w:hAnsi="Calibri" w:cs="Calibri"/>
          <w:kern w:val="1"/>
          <w:lang w:val="en-GB"/>
        </w:rPr>
        <w:t>strongly overestimate</w:t>
      </w:r>
      <w:r w:rsidR="00072935" w:rsidRPr="0086281A">
        <w:rPr>
          <w:rFonts w:ascii="Calibri" w:hAnsi="Calibri" w:cs="Calibri"/>
          <w:kern w:val="1"/>
          <w:lang w:val="en-GB"/>
        </w:rPr>
        <w:t>s</w:t>
      </w:r>
      <w:r w:rsidRPr="0086281A">
        <w:rPr>
          <w:rFonts w:ascii="Calibri" w:hAnsi="Calibri" w:cs="Calibri"/>
          <w:kern w:val="1"/>
          <w:lang w:val="en-GB"/>
        </w:rPr>
        <w:t xml:space="preserve"> mGFR</w:t>
      </w:r>
      <w:r w:rsidR="00EC002E" w:rsidRPr="0086281A">
        <w:rPr>
          <w:rFonts w:ascii="Calibri" w:hAnsi="Calibri" w:cs="Calibri"/>
          <w:kern w:val="1"/>
          <w:lang w:val="en-GB"/>
        </w:rPr>
        <w:t xml:space="preserve">. At </w:t>
      </w:r>
      <w:r w:rsidR="0053767B" w:rsidRPr="0086281A">
        <w:rPr>
          <w:rFonts w:ascii="Calibri" w:hAnsi="Calibri" w:cs="Calibri"/>
          <w:kern w:val="1"/>
          <w:lang w:val="en-GB"/>
        </w:rPr>
        <w:t>this</w:t>
      </w:r>
      <w:r w:rsidR="00EC002E" w:rsidRPr="0086281A">
        <w:rPr>
          <w:rFonts w:ascii="Calibri" w:hAnsi="Calibri" w:cs="Calibri"/>
          <w:kern w:val="1"/>
          <w:lang w:val="en-GB"/>
        </w:rPr>
        <w:t xml:space="preserve"> level, the bias for CG</w:t>
      </w:r>
      <w:r w:rsidR="00EC002E" w:rsidRPr="0086281A">
        <w:rPr>
          <w:rFonts w:ascii="Calibri" w:hAnsi="Calibri" w:cs="Calibri"/>
          <w:kern w:val="1"/>
          <w:vertAlign w:val="subscript"/>
          <w:lang w:val="en-GB"/>
        </w:rPr>
        <w:t xml:space="preserve">AIBW </w:t>
      </w:r>
      <w:r w:rsidR="00EC002E" w:rsidRPr="0086281A">
        <w:rPr>
          <w:rFonts w:ascii="Calibri" w:hAnsi="Calibri" w:cs="Calibri"/>
          <w:kern w:val="1"/>
          <w:lang w:val="en-GB"/>
        </w:rPr>
        <w:t>is better than the bias for MDRD</w:t>
      </w:r>
      <w:r w:rsidR="00EC002E" w:rsidRPr="0086281A">
        <w:rPr>
          <w:rFonts w:ascii="Calibri" w:hAnsi="Calibri" w:cs="Calibri"/>
          <w:kern w:val="1"/>
          <w:vertAlign w:val="subscript"/>
          <w:lang w:val="en-GB"/>
        </w:rPr>
        <w:t>deindexed</w:t>
      </w:r>
      <w:r w:rsidR="00EC002E" w:rsidRPr="0086281A">
        <w:rPr>
          <w:rFonts w:ascii="Calibri" w:hAnsi="Calibri" w:cs="Calibri"/>
          <w:kern w:val="1"/>
          <w:lang w:val="en-GB"/>
        </w:rPr>
        <w:t xml:space="preserve"> and CKD-EPI</w:t>
      </w:r>
      <w:r w:rsidR="00EC002E" w:rsidRPr="0086281A">
        <w:rPr>
          <w:rFonts w:ascii="Calibri" w:hAnsi="Calibri" w:cs="Calibri"/>
          <w:kern w:val="1"/>
          <w:vertAlign w:val="subscript"/>
          <w:lang w:val="en-GB"/>
        </w:rPr>
        <w:t>deindexed</w:t>
      </w:r>
      <w:r w:rsidR="00EC002E" w:rsidRPr="0086281A">
        <w:rPr>
          <w:rFonts w:ascii="Calibri" w:hAnsi="Calibri" w:cs="Calibri"/>
          <w:kern w:val="1"/>
          <w:lang w:val="en-GB"/>
        </w:rPr>
        <w:t>, which are no</w:t>
      </w:r>
      <w:r w:rsidR="00FD2E97" w:rsidRPr="0086281A">
        <w:rPr>
          <w:rFonts w:ascii="Calibri" w:hAnsi="Calibri" w:cs="Calibri"/>
          <w:kern w:val="1"/>
          <w:lang w:val="en-GB"/>
        </w:rPr>
        <w:t>t</w:t>
      </w:r>
      <w:r w:rsidR="00EC002E" w:rsidRPr="0086281A">
        <w:rPr>
          <w:rFonts w:ascii="Calibri" w:hAnsi="Calibri" w:cs="Calibri"/>
          <w:kern w:val="1"/>
          <w:lang w:val="en-GB"/>
        </w:rPr>
        <w:t xml:space="preserve"> different from one </w:t>
      </w:r>
      <w:r w:rsidR="00FD2E97" w:rsidRPr="0086281A">
        <w:rPr>
          <w:rFonts w:ascii="Calibri" w:hAnsi="Calibri" w:cs="Calibri"/>
          <w:kern w:val="1"/>
          <w:lang w:val="en-GB"/>
        </w:rPr>
        <w:t>an</w:t>
      </w:r>
      <w:r w:rsidR="00EC002E" w:rsidRPr="0086281A">
        <w:rPr>
          <w:rFonts w:ascii="Calibri" w:hAnsi="Calibri" w:cs="Calibri"/>
          <w:kern w:val="1"/>
          <w:lang w:val="en-GB"/>
        </w:rPr>
        <w:t>other. The accuracies are</w:t>
      </w:r>
      <w:r w:rsidR="00CC4528" w:rsidRPr="0086281A">
        <w:rPr>
          <w:rFonts w:ascii="Calibri" w:hAnsi="Calibri" w:cs="Calibri"/>
          <w:kern w:val="1"/>
          <w:lang w:val="en-GB"/>
        </w:rPr>
        <w:t>,</w:t>
      </w:r>
      <w:r w:rsidR="007B121C" w:rsidRPr="0086281A">
        <w:rPr>
          <w:rFonts w:ascii="Calibri" w:hAnsi="Calibri" w:cs="Calibri"/>
          <w:kern w:val="1"/>
          <w:lang w:val="en-GB"/>
        </w:rPr>
        <w:t xml:space="preserve"> however</w:t>
      </w:r>
      <w:r w:rsidR="00CC4528" w:rsidRPr="0086281A">
        <w:rPr>
          <w:rFonts w:ascii="Calibri" w:hAnsi="Calibri" w:cs="Calibri"/>
          <w:kern w:val="1"/>
          <w:lang w:val="en-GB"/>
        </w:rPr>
        <w:t>,</w:t>
      </w:r>
      <w:r w:rsidR="00EC002E" w:rsidRPr="0086281A">
        <w:rPr>
          <w:rFonts w:ascii="Calibri" w:hAnsi="Calibri" w:cs="Calibri"/>
          <w:kern w:val="1"/>
          <w:lang w:val="en-GB"/>
        </w:rPr>
        <w:t xml:space="preserve"> not statistically different (table 2).</w:t>
      </w:r>
    </w:p>
    <w:p w:rsidR="00EC002E" w:rsidRPr="0086281A" w:rsidRDefault="00EC002E" w:rsidP="006E668B">
      <w:pPr>
        <w:widowControl w:val="0"/>
        <w:autoSpaceDE w:val="0"/>
        <w:autoSpaceDN w:val="0"/>
        <w:adjustRightInd w:val="0"/>
        <w:rPr>
          <w:rFonts w:ascii="Calibri" w:hAnsi="Calibri" w:cs="Calibri"/>
          <w:kern w:val="1"/>
          <w:lang w:val="en-GB"/>
        </w:rPr>
      </w:pPr>
    </w:p>
    <w:p w:rsidR="008F1237" w:rsidRPr="0086281A" w:rsidRDefault="008679B8" w:rsidP="008F1237">
      <w:pPr>
        <w:widowControl w:val="0"/>
        <w:autoSpaceDE w:val="0"/>
        <w:autoSpaceDN w:val="0"/>
        <w:adjustRightInd w:val="0"/>
        <w:rPr>
          <w:rFonts w:ascii="Calibri" w:hAnsi="Calibri" w:cs="Times"/>
          <w:color w:val="141413"/>
          <w:lang w:val="en-GB"/>
        </w:rPr>
      </w:pPr>
      <w:r w:rsidRPr="0086281A">
        <w:rPr>
          <w:rFonts w:ascii="Calibri" w:hAnsi="Calibri" w:cs="Times"/>
          <w:color w:val="141413"/>
          <w:lang w:val="en-GB"/>
        </w:rPr>
        <w:t xml:space="preserve">At </w:t>
      </w:r>
      <w:r w:rsidR="008F1237" w:rsidRPr="0086281A">
        <w:rPr>
          <w:rFonts w:ascii="Calibri" w:hAnsi="Calibri" w:cs="Times"/>
          <w:color w:val="141413"/>
          <w:lang w:val="en-GB"/>
        </w:rPr>
        <w:t>stage 3b (</w:t>
      </w:r>
      <w:r w:rsidR="007B121C" w:rsidRPr="0086281A">
        <w:rPr>
          <w:rFonts w:ascii="Calibri" w:hAnsi="Calibri" w:cs="Times"/>
          <w:color w:val="141413"/>
          <w:lang w:val="en-GB"/>
        </w:rPr>
        <w:t>mGFR between 30-45</w:t>
      </w:r>
      <w:r w:rsidR="00CC6007" w:rsidRPr="0086281A">
        <w:rPr>
          <w:rFonts w:ascii="Calibri" w:hAnsi="Calibri" w:cs="Times"/>
          <w:color w:val="141413"/>
          <w:lang w:val="en-GB"/>
        </w:rPr>
        <w:t xml:space="preserve"> </w:t>
      </w:r>
      <w:r w:rsidR="007B121C" w:rsidRPr="0086281A">
        <w:rPr>
          <w:rFonts w:ascii="Calibri" w:hAnsi="Calibri" w:cs="Times"/>
          <w:color w:val="141413"/>
          <w:lang w:val="en-GB"/>
        </w:rPr>
        <w:t xml:space="preserve">mL/min), </w:t>
      </w:r>
      <w:r w:rsidR="008F1237" w:rsidRPr="0086281A">
        <w:rPr>
          <w:rFonts w:ascii="Calibri" w:hAnsi="Calibri" w:cs="Times"/>
          <w:color w:val="141413"/>
          <w:lang w:val="en-GB"/>
        </w:rPr>
        <w:t>MDRD</w:t>
      </w:r>
      <w:r w:rsidR="008F1237" w:rsidRPr="0086281A">
        <w:rPr>
          <w:rFonts w:ascii="Calibri" w:hAnsi="Calibri" w:cs="Times"/>
          <w:color w:val="141413"/>
          <w:vertAlign w:val="subscript"/>
          <w:lang w:val="en-GB"/>
        </w:rPr>
        <w:t xml:space="preserve">deindexed </w:t>
      </w:r>
      <w:r w:rsidR="008F1237" w:rsidRPr="0086281A">
        <w:rPr>
          <w:rFonts w:ascii="Calibri" w:hAnsi="Calibri" w:cs="Times"/>
          <w:color w:val="141413"/>
          <w:lang w:val="en-GB"/>
        </w:rPr>
        <w:t>and CKD-EPI</w:t>
      </w:r>
      <w:r w:rsidR="008F1237" w:rsidRPr="0086281A">
        <w:rPr>
          <w:rFonts w:ascii="Calibri" w:hAnsi="Calibri" w:cs="Times"/>
          <w:color w:val="141413"/>
          <w:vertAlign w:val="subscript"/>
          <w:lang w:val="en-GB"/>
        </w:rPr>
        <w:t xml:space="preserve">deindexed </w:t>
      </w:r>
      <w:r w:rsidR="008F1237" w:rsidRPr="0086281A">
        <w:rPr>
          <w:rFonts w:ascii="Calibri" w:hAnsi="Calibri" w:cs="Times"/>
          <w:color w:val="141413"/>
          <w:lang w:val="en-GB"/>
        </w:rPr>
        <w:t>have the same performances</w:t>
      </w:r>
      <w:r w:rsidRPr="0086281A">
        <w:rPr>
          <w:rFonts w:ascii="Calibri" w:hAnsi="Calibri" w:cs="Times"/>
          <w:color w:val="141413"/>
          <w:lang w:val="en-GB"/>
        </w:rPr>
        <w:t>. These equations have a better bias</w:t>
      </w:r>
      <w:r w:rsidR="008F1237" w:rsidRPr="0086281A">
        <w:rPr>
          <w:rFonts w:ascii="Calibri" w:hAnsi="Calibri" w:cs="Times"/>
          <w:color w:val="141413"/>
          <w:lang w:val="en-GB"/>
        </w:rPr>
        <w:t xml:space="preserve"> than CG</w:t>
      </w:r>
      <w:r w:rsidR="008F1237" w:rsidRPr="0086281A">
        <w:rPr>
          <w:rFonts w:ascii="Calibri" w:hAnsi="Calibri" w:cs="Times"/>
          <w:color w:val="141413"/>
          <w:vertAlign w:val="subscript"/>
          <w:lang w:val="en-GB"/>
        </w:rPr>
        <w:t>AIBW</w:t>
      </w:r>
      <w:r w:rsidR="008F1237" w:rsidRPr="0086281A">
        <w:rPr>
          <w:rFonts w:ascii="Calibri" w:hAnsi="Calibri" w:cs="Times"/>
          <w:color w:val="141413"/>
          <w:lang w:val="en-GB"/>
        </w:rPr>
        <w:t xml:space="preserve"> </w:t>
      </w:r>
      <w:r w:rsidRPr="0086281A">
        <w:rPr>
          <w:rFonts w:ascii="Calibri" w:hAnsi="Calibri" w:cs="Times"/>
          <w:color w:val="141413"/>
          <w:lang w:val="en-GB"/>
        </w:rPr>
        <w:t xml:space="preserve">but the accuracy is similar. Once again, </w:t>
      </w:r>
      <w:r w:rsidR="008F1237" w:rsidRPr="0086281A">
        <w:rPr>
          <w:rFonts w:ascii="Calibri" w:hAnsi="Calibri" w:cs="Times"/>
          <w:color w:val="141413"/>
          <w:lang w:val="en-GB"/>
        </w:rPr>
        <w:t>the CG</w:t>
      </w:r>
      <w:r w:rsidR="00794E4C" w:rsidRPr="008E6410">
        <w:rPr>
          <w:rFonts w:ascii="Calibri" w:hAnsi="Calibri" w:cs="Times"/>
          <w:color w:val="000000"/>
          <w:vertAlign w:val="subscript"/>
          <w:lang w:val="en-GB"/>
        </w:rPr>
        <w:t>ABW</w:t>
      </w:r>
      <w:r w:rsidR="008F1237" w:rsidRPr="0086281A">
        <w:rPr>
          <w:rFonts w:ascii="Calibri" w:hAnsi="Calibri" w:cs="Times"/>
          <w:color w:val="141413"/>
          <w:lang w:val="en-GB"/>
        </w:rPr>
        <w:t xml:space="preserve"> equation</w:t>
      </w:r>
      <w:r w:rsidRPr="0086281A">
        <w:rPr>
          <w:rFonts w:ascii="Calibri" w:hAnsi="Calibri" w:cs="Times"/>
          <w:color w:val="141413"/>
          <w:lang w:val="en-GB"/>
        </w:rPr>
        <w:t xml:space="preserve"> has the worse performances</w:t>
      </w:r>
      <w:r w:rsidR="008F1237" w:rsidRPr="0086281A">
        <w:rPr>
          <w:rFonts w:ascii="Calibri" w:hAnsi="Calibri" w:cs="Times"/>
          <w:color w:val="141413"/>
          <w:lang w:val="en-GB"/>
        </w:rPr>
        <w:t>.</w:t>
      </w:r>
    </w:p>
    <w:p w:rsidR="008F1237" w:rsidRPr="0086281A" w:rsidRDefault="008679B8" w:rsidP="008F1237">
      <w:pPr>
        <w:widowControl w:val="0"/>
        <w:autoSpaceDE w:val="0"/>
        <w:autoSpaceDN w:val="0"/>
        <w:adjustRightInd w:val="0"/>
        <w:rPr>
          <w:rFonts w:ascii="Calibri" w:hAnsi="Calibri" w:cs="Calibri"/>
          <w:lang w:val="en-GB"/>
        </w:rPr>
      </w:pPr>
      <w:r w:rsidRPr="0086281A">
        <w:rPr>
          <w:rFonts w:ascii="Calibri" w:hAnsi="Calibri" w:cs="Times"/>
          <w:color w:val="141413"/>
          <w:lang w:val="en-GB"/>
        </w:rPr>
        <w:t xml:space="preserve">At stage 3a, </w:t>
      </w:r>
      <w:r w:rsidR="00CC6007" w:rsidRPr="0086281A">
        <w:rPr>
          <w:rFonts w:ascii="Calibri" w:hAnsi="Calibri" w:cs="Times"/>
          <w:color w:val="141413"/>
          <w:lang w:val="en-GB"/>
        </w:rPr>
        <w:t>the CKD</w:t>
      </w:r>
      <w:r w:rsidR="008F1237" w:rsidRPr="0086281A">
        <w:rPr>
          <w:rFonts w:ascii="Calibri" w:hAnsi="Calibri" w:cs="Times"/>
          <w:color w:val="141413"/>
          <w:lang w:val="en-GB"/>
        </w:rPr>
        <w:t>-EPI</w:t>
      </w:r>
      <w:r w:rsidR="008F1237" w:rsidRPr="0086281A">
        <w:rPr>
          <w:rFonts w:ascii="Calibri" w:hAnsi="Calibri" w:cs="Times"/>
          <w:color w:val="141413"/>
          <w:vertAlign w:val="subscript"/>
          <w:lang w:val="en-GB"/>
        </w:rPr>
        <w:t>deindexed</w:t>
      </w:r>
      <w:r w:rsidR="008F1237" w:rsidRPr="0086281A">
        <w:rPr>
          <w:rFonts w:ascii="Calibri" w:hAnsi="Calibri" w:cs="Times"/>
          <w:color w:val="141413"/>
          <w:lang w:val="en-GB"/>
        </w:rPr>
        <w:t xml:space="preserve"> </w:t>
      </w:r>
      <w:r w:rsidRPr="0086281A">
        <w:rPr>
          <w:rFonts w:ascii="Calibri" w:hAnsi="Calibri" w:cs="Times"/>
          <w:color w:val="141413"/>
          <w:lang w:val="en-GB"/>
        </w:rPr>
        <w:t xml:space="preserve">has a slightly better bias </w:t>
      </w:r>
      <w:r w:rsidR="00FA071E" w:rsidRPr="0086281A">
        <w:rPr>
          <w:rFonts w:ascii="Calibri" w:hAnsi="Calibri" w:cs="Calibri"/>
          <w:lang w:val="en-GB"/>
        </w:rPr>
        <w:t>(-1.4±</w:t>
      </w:r>
      <w:r w:rsidR="007F17D8" w:rsidRPr="0086281A">
        <w:rPr>
          <w:rFonts w:ascii="Calibri" w:hAnsi="Calibri" w:cs="Calibri"/>
          <w:lang w:val="en-GB"/>
        </w:rPr>
        <w:t xml:space="preserve">9.4 mL/min) </w:t>
      </w:r>
      <w:r w:rsidRPr="0086281A">
        <w:rPr>
          <w:rFonts w:ascii="Calibri" w:hAnsi="Calibri" w:cs="Times"/>
          <w:color w:val="141413"/>
          <w:lang w:val="en-GB"/>
        </w:rPr>
        <w:t>tha</w:t>
      </w:r>
      <w:r w:rsidR="007F17D8" w:rsidRPr="0086281A">
        <w:rPr>
          <w:rFonts w:ascii="Calibri" w:hAnsi="Calibri" w:cs="Calibri"/>
          <w:lang w:val="en-GB"/>
        </w:rPr>
        <w:t>n</w:t>
      </w:r>
      <w:r w:rsidR="008F1237" w:rsidRPr="0086281A">
        <w:rPr>
          <w:rFonts w:ascii="Calibri" w:hAnsi="Calibri" w:cs="Calibri"/>
          <w:lang w:val="en-GB"/>
        </w:rPr>
        <w:t xml:space="preserve"> MDRD</w:t>
      </w:r>
      <w:r w:rsidR="008F1237" w:rsidRPr="0086281A">
        <w:rPr>
          <w:rFonts w:ascii="Calibri" w:hAnsi="Calibri" w:cs="Calibri"/>
          <w:vertAlign w:val="subscript"/>
          <w:lang w:val="en-GB"/>
        </w:rPr>
        <w:t xml:space="preserve">deindexed </w:t>
      </w:r>
      <w:r w:rsidR="00FA071E" w:rsidRPr="0086281A">
        <w:rPr>
          <w:rFonts w:ascii="Calibri" w:hAnsi="Calibri" w:cs="Calibri"/>
          <w:lang w:val="en-GB"/>
        </w:rPr>
        <w:t>(-</w:t>
      </w:r>
      <w:r w:rsidR="00B87BED" w:rsidRPr="0086281A">
        <w:rPr>
          <w:rFonts w:ascii="Calibri" w:hAnsi="Calibri" w:cs="Calibri"/>
          <w:lang w:val="en-GB"/>
        </w:rPr>
        <w:t>2.9</w:t>
      </w:r>
      <w:r w:rsidR="00FA071E" w:rsidRPr="0086281A">
        <w:rPr>
          <w:rFonts w:ascii="Calibri" w:hAnsi="Calibri" w:cs="Calibri"/>
          <w:lang w:val="en-GB"/>
        </w:rPr>
        <w:t>±</w:t>
      </w:r>
      <w:r w:rsidR="00B87BED" w:rsidRPr="0086281A">
        <w:rPr>
          <w:rFonts w:ascii="Calibri" w:hAnsi="Calibri" w:cs="Calibri"/>
          <w:lang w:val="en-GB"/>
        </w:rPr>
        <w:t>8.4 mL/min) (p&lt;</w:t>
      </w:r>
      <w:r w:rsidR="008F1237" w:rsidRPr="0086281A">
        <w:rPr>
          <w:rFonts w:ascii="Calibri" w:hAnsi="Calibri" w:cs="Calibri"/>
          <w:lang w:val="en-GB"/>
        </w:rPr>
        <w:t xml:space="preserve">0.05), </w:t>
      </w:r>
      <w:r w:rsidR="0040619C" w:rsidRPr="0086281A">
        <w:rPr>
          <w:rFonts w:ascii="Calibri" w:hAnsi="Calibri" w:cs="Calibri"/>
          <w:lang w:val="en-GB"/>
        </w:rPr>
        <w:t>but accuracies</w:t>
      </w:r>
      <w:r w:rsidRPr="0086281A">
        <w:rPr>
          <w:rFonts w:ascii="Calibri" w:hAnsi="Calibri" w:cs="Calibri"/>
          <w:lang w:val="en-GB"/>
        </w:rPr>
        <w:t xml:space="preserve"> </w:t>
      </w:r>
      <w:r w:rsidR="0040619C" w:rsidRPr="0086281A">
        <w:rPr>
          <w:rFonts w:ascii="Calibri" w:hAnsi="Calibri" w:cs="Calibri"/>
          <w:lang w:val="en-GB"/>
        </w:rPr>
        <w:t>are</w:t>
      </w:r>
      <w:r w:rsidRPr="0086281A">
        <w:rPr>
          <w:rFonts w:ascii="Calibri" w:hAnsi="Calibri" w:cs="Calibri"/>
          <w:lang w:val="en-GB"/>
        </w:rPr>
        <w:t xml:space="preserve"> not different</w:t>
      </w:r>
      <w:r w:rsidR="008F1237" w:rsidRPr="0086281A">
        <w:rPr>
          <w:rFonts w:ascii="Calibri" w:hAnsi="Calibri" w:cs="Calibri"/>
          <w:lang w:val="en-GB"/>
        </w:rPr>
        <w:t xml:space="preserve"> (91.8% and 95.9% for CKD-EPI</w:t>
      </w:r>
      <w:r w:rsidR="008F1237" w:rsidRPr="0086281A">
        <w:rPr>
          <w:rFonts w:ascii="Calibri" w:hAnsi="Calibri" w:cs="Calibri"/>
          <w:vertAlign w:val="subscript"/>
          <w:lang w:val="en-GB"/>
        </w:rPr>
        <w:t xml:space="preserve">deindexed </w:t>
      </w:r>
      <w:r w:rsidR="008F1237" w:rsidRPr="0086281A">
        <w:rPr>
          <w:rFonts w:ascii="Calibri" w:hAnsi="Calibri" w:cs="Calibri"/>
          <w:lang w:val="en-GB"/>
        </w:rPr>
        <w:t>and MDRD</w:t>
      </w:r>
      <w:r w:rsidR="008F1237" w:rsidRPr="0086281A">
        <w:rPr>
          <w:rFonts w:ascii="Calibri" w:hAnsi="Calibri" w:cs="Calibri"/>
          <w:vertAlign w:val="subscript"/>
          <w:lang w:val="en-GB"/>
        </w:rPr>
        <w:t>deindexed</w:t>
      </w:r>
      <w:r w:rsidR="00543383" w:rsidRPr="0086281A">
        <w:rPr>
          <w:rFonts w:ascii="Calibri" w:hAnsi="Calibri" w:cs="Calibri"/>
          <w:lang w:val="en-GB"/>
        </w:rPr>
        <w:t>, respectively</w:t>
      </w:r>
      <w:r w:rsidR="008F1237" w:rsidRPr="0086281A">
        <w:rPr>
          <w:rFonts w:ascii="Calibri" w:hAnsi="Calibri" w:cs="Calibri"/>
          <w:lang w:val="en-GB"/>
        </w:rPr>
        <w:t xml:space="preserve">). </w:t>
      </w:r>
      <w:r w:rsidRPr="0086281A">
        <w:rPr>
          <w:rFonts w:ascii="Calibri" w:hAnsi="Calibri" w:cs="Calibri"/>
          <w:lang w:val="en-GB"/>
        </w:rPr>
        <w:t>In this subgroup, the performance</w:t>
      </w:r>
      <w:r w:rsidR="007F17D8" w:rsidRPr="0086281A">
        <w:rPr>
          <w:rFonts w:ascii="Calibri" w:hAnsi="Calibri" w:cs="Calibri"/>
          <w:lang w:val="en-GB"/>
        </w:rPr>
        <w:t>s</w:t>
      </w:r>
      <w:r w:rsidRPr="0086281A">
        <w:rPr>
          <w:rFonts w:ascii="Calibri" w:hAnsi="Calibri" w:cs="Calibri"/>
          <w:lang w:val="en-GB"/>
        </w:rPr>
        <w:t xml:space="preserve"> (</w:t>
      </w:r>
      <w:r w:rsidR="00656205" w:rsidRPr="0086281A">
        <w:rPr>
          <w:rFonts w:ascii="Calibri" w:hAnsi="Calibri" w:cs="Calibri"/>
          <w:lang w:val="en-GB"/>
        </w:rPr>
        <w:t xml:space="preserve">both </w:t>
      </w:r>
      <w:r w:rsidRPr="0086281A">
        <w:rPr>
          <w:rFonts w:ascii="Calibri" w:hAnsi="Calibri" w:cs="Calibri"/>
          <w:lang w:val="en-GB"/>
        </w:rPr>
        <w:t>bias and</w:t>
      </w:r>
      <w:r w:rsidR="00656205" w:rsidRPr="0086281A">
        <w:rPr>
          <w:rFonts w:ascii="Calibri" w:hAnsi="Calibri" w:cs="Calibri"/>
          <w:lang w:val="en-GB"/>
        </w:rPr>
        <w:t xml:space="preserve"> accuracy) are better for CKD-EPI</w:t>
      </w:r>
      <w:r w:rsidR="00656205" w:rsidRPr="0086281A">
        <w:rPr>
          <w:rFonts w:ascii="Calibri" w:hAnsi="Calibri" w:cs="Calibri"/>
          <w:vertAlign w:val="subscript"/>
          <w:lang w:val="en-GB"/>
        </w:rPr>
        <w:t xml:space="preserve">deindexed </w:t>
      </w:r>
      <w:r w:rsidR="00656205" w:rsidRPr="0086281A">
        <w:rPr>
          <w:rFonts w:ascii="Calibri" w:hAnsi="Calibri" w:cs="Calibri"/>
          <w:lang w:val="en-GB"/>
        </w:rPr>
        <w:t>than for</w:t>
      </w:r>
      <w:r w:rsidR="00543383" w:rsidRPr="0086281A">
        <w:rPr>
          <w:rFonts w:ascii="Calibri" w:hAnsi="Calibri" w:cs="Calibri"/>
          <w:lang w:val="en-GB"/>
        </w:rPr>
        <w:t xml:space="preserve"> both</w:t>
      </w:r>
      <w:r w:rsidR="00656205" w:rsidRPr="0086281A">
        <w:rPr>
          <w:rFonts w:ascii="Calibri" w:hAnsi="Calibri" w:cs="Calibri"/>
          <w:lang w:val="en-GB"/>
        </w:rPr>
        <w:t xml:space="preserve"> CG</w:t>
      </w:r>
      <w:r w:rsidR="00794E4C" w:rsidRPr="008E6410">
        <w:rPr>
          <w:rFonts w:ascii="Calibri" w:hAnsi="Calibri" w:cs="Times"/>
          <w:color w:val="000000"/>
          <w:vertAlign w:val="subscript"/>
          <w:lang w:val="en-GB"/>
        </w:rPr>
        <w:t>ABW</w:t>
      </w:r>
      <w:r w:rsidR="00656205" w:rsidRPr="0086281A">
        <w:rPr>
          <w:rFonts w:ascii="Calibri" w:hAnsi="Calibri" w:cs="Calibri"/>
          <w:lang w:val="en-GB"/>
        </w:rPr>
        <w:t xml:space="preserve"> and CG</w:t>
      </w:r>
      <w:r w:rsidR="00656205" w:rsidRPr="0086281A">
        <w:rPr>
          <w:rFonts w:ascii="Calibri" w:hAnsi="Calibri" w:cs="Calibri"/>
          <w:vertAlign w:val="subscript"/>
          <w:lang w:val="en-GB"/>
        </w:rPr>
        <w:t>AIBW</w:t>
      </w:r>
      <w:r w:rsidR="00543383" w:rsidRPr="0086281A">
        <w:rPr>
          <w:rFonts w:ascii="Calibri" w:hAnsi="Calibri" w:cs="Calibri"/>
          <w:lang w:val="en-GB"/>
        </w:rPr>
        <w:t>.</w:t>
      </w:r>
      <w:r w:rsidR="00884A88" w:rsidRPr="0086281A">
        <w:rPr>
          <w:rFonts w:ascii="Calibri" w:hAnsi="Calibri" w:cs="Calibri"/>
          <w:vertAlign w:val="subscript"/>
          <w:lang w:val="en-GB"/>
        </w:rPr>
        <w:t xml:space="preserve"> </w:t>
      </w:r>
      <w:r w:rsidR="00656205" w:rsidRPr="0086281A">
        <w:rPr>
          <w:rFonts w:ascii="Calibri" w:hAnsi="Calibri" w:cs="Calibri"/>
          <w:lang w:val="en-GB"/>
        </w:rPr>
        <w:t>CG</w:t>
      </w:r>
      <w:r w:rsidR="00656205" w:rsidRPr="0086281A">
        <w:rPr>
          <w:rFonts w:ascii="Calibri" w:hAnsi="Calibri" w:cs="Calibri"/>
          <w:vertAlign w:val="subscript"/>
          <w:lang w:val="en-GB"/>
        </w:rPr>
        <w:t xml:space="preserve">AIBW </w:t>
      </w:r>
      <w:r w:rsidR="00543383" w:rsidRPr="0086281A">
        <w:rPr>
          <w:rFonts w:ascii="Calibri" w:hAnsi="Calibri" w:cs="Calibri"/>
          <w:lang w:val="en-GB"/>
        </w:rPr>
        <w:t xml:space="preserve">performance is </w:t>
      </w:r>
      <w:r w:rsidR="00884A88" w:rsidRPr="0086281A">
        <w:rPr>
          <w:rFonts w:ascii="Calibri" w:hAnsi="Calibri" w:cs="Calibri"/>
          <w:lang w:val="en-GB"/>
        </w:rPr>
        <w:t>the same compared to MDRD</w:t>
      </w:r>
      <w:r w:rsidR="00884A88" w:rsidRPr="0086281A">
        <w:rPr>
          <w:rFonts w:ascii="Calibri" w:hAnsi="Calibri" w:cs="Calibri"/>
          <w:vertAlign w:val="subscript"/>
          <w:lang w:val="en-GB"/>
        </w:rPr>
        <w:t>deindexed</w:t>
      </w:r>
      <w:r w:rsidR="00884A88" w:rsidRPr="0086281A">
        <w:rPr>
          <w:rFonts w:ascii="Calibri" w:hAnsi="Calibri" w:cs="Calibri"/>
          <w:lang w:val="en-GB"/>
        </w:rPr>
        <w:t xml:space="preserve"> and </w:t>
      </w:r>
      <w:r w:rsidR="00656205" w:rsidRPr="0086281A">
        <w:rPr>
          <w:rFonts w:ascii="Calibri" w:hAnsi="Calibri" w:cs="Calibri"/>
          <w:lang w:val="en-GB"/>
        </w:rPr>
        <w:t>better than CG</w:t>
      </w:r>
      <w:r w:rsidR="00794E4C" w:rsidRPr="008E6410">
        <w:rPr>
          <w:rFonts w:ascii="Calibri" w:hAnsi="Calibri" w:cs="Times"/>
          <w:color w:val="000000"/>
          <w:vertAlign w:val="subscript"/>
          <w:lang w:val="en-GB"/>
        </w:rPr>
        <w:t>ABW</w:t>
      </w:r>
      <w:r w:rsidR="00A7373D" w:rsidRPr="0086281A">
        <w:rPr>
          <w:rFonts w:ascii="Calibri" w:hAnsi="Calibri" w:cs="Calibri"/>
          <w:lang w:val="en-GB"/>
        </w:rPr>
        <w:t xml:space="preserve"> in term of </w:t>
      </w:r>
      <w:r w:rsidR="00EC002E" w:rsidRPr="0086281A">
        <w:rPr>
          <w:rFonts w:ascii="Calibri" w:hAnsi="Calibri" w:cs="Calibri"/>
          <w:lang w:val="en-GB"/>
        </w:rPr>
        <w:t>bias</w:t>
      </w:r>
      <w:r w:rsidR="00B87BED" w:rsidRPr="0086281A">
        <w:rPr>
          <w:rFonts w:ascii="Calibri" w:hAnsi="Calibri" w:cs="Calibri"/>
          <w:lang w:val="en-GB"/>
        </w:rPr>
        <w:t xml:space="preserve"> (p</w:t>
      </w:r>
      <w:r w:rsidR="0053767B" w:rsidRPr="0086281A">
        <w:rPr>
          <w:rFonts w:ascii="Calibri" w:hAnsi="Calibri" w:cs="Calibri"/>
          <w:lang w:val="en-GB"/>
        </w:rPr>
        <w:t>&lt;0.001). In term</w:t>
      </w:r>
      <w:r w:rsidR="00FD2E97" w:rsidRPr="0086281A">
        <w:rPr>
          <w:rFonts w:ascii="Calibri" w:hAnsi="Calibri" w:cs="Calibri"/>
          <w:lang w:val="en-GB"/>
        </w:rPr>
        <w:t>s</w:t>
      </w:r>
      <w:r w:rsidR="0053767B" w:rsidRPr="0086281A">
        <w:rPr>
          <w:rFonts w:ascii="Calibri" w:hAnsi="Calibri" w:cs="Calibri"/>
          <w:lang w:val="en-GB"/>
        </w:rPr>
        <w:t xml:space="preserve"> of accuracies</w:t>
      </w:r>
      <w:r w:rsidR="00FD2E97" w:rsidRPr="0086281A">
        <w:rPr>
          <w:rFonts w:ascii="Calibri" w:hAnsi="Calibri" w:cs="Calibri"/>
          <w:lang w:val="en-GB"/>
        </w:rPr>
        <w:t>,</w:t>
      </w:r>
      <w:r w:rsidR="0053767B" w:rsidRPr="0086281A">
        <w:rPr>
          <w:rFonts w:ascii="Calibri" w:hAnsi="Calibri" w:cs="Calibri"/>
          <w:lang w:val="en-GB"/>
        </w:rPr>
        <w:t xml:space="preserve"> there were statistical differences between </w:t>
      </w:r>
      <w:r w:rsidR="00884A88" w:rsidRPr="0086281A">
        <w:rPr>
          <w:rFonts w:ascii="Calibri" w:hAnsi="Calibri" w:cs="Calibri"/>
          <w:lang w:val="en-GB"/>
        </w:rPr>
        <w:t>MDRD</w:t>
      </w:r>
      <w:r w:rsidR="00884A88" w:rsidRPr="0086281A">
        <w:rPr>
          <w:rFonts w:ascii="Calibri" w:hAnsi="Calibri" w:cs="Calibri"/>
          <w:vertAlign w:val="subscript"/>
          <w:lang w:val="en-GB"/>
        </w:rPr>
        <w:t>deindexed</w:t>
      </w:r>
      <w:r w:rsidR="00884A88" w:rsidRPr="0086281A">
        <w:rPr>
          <w:rFonts w:ascii="Calibri" w:hAnsi="Calibri" w:cs="Calibri"/>
          <w:lang w:val="en-GB"/>
        </w:rPr>
        <w:t xml:space="preserve"> </w:t>
      </w:r>
      <w:r w:rsidR="0053767B" w:rsidRPr="0086281A">
        <w:rPr>
          <w:rFonts w:ascii="Calibri" w:hAnsi="Calibri" w:cs="Calibri"/>
          <w:lang w:val="en-GB"/>
        </w:rPr>
        <w:t>and CG</w:t>
      </w:r>
      <w:r w:rsidR="0053767B" w:rsidRPr="0086281A">
        <w:rPr>
          <w:rFonts w:ascii="Calibri" w:hAnsi="Calibri" w:cs="Calibri"/>
          <w:vertAlign w:val="subscript"/>
          <w:lang w:val="en-GB"/>
        </w:rPr>
        <w:t>AIBW</w:t>
      </w:r>
      <w:r w:rsidR="00FA071E" w:rsidRPr="0086281A">
        <w:rPr>
          <w:rFonts w:ascii="Calibri" w:hAnsi="Calibri" w:cs="Calibri"/>
          <w:lang w:val="en-GB"/>
        </w:rPr>
        <w:t>,</w:t>
      </w:r>
      <w:r w:rsidR="00CC4528" w:rsidRPr="0086281A">
        <w:rPr>
          <w:rFonts w:ascii="Calibri" w:hAnsi="Calibri" w:cs="Calibri"/>
          <w:lang w:val="en-GB"/>
        </w:rPr>
        <w:t xml:space="preserve"> </w:t>
      </w:r>
      <w:r w:rsidR="0053767B" w:rsidRPr="0086281A">
        <w:rPr>
          <w:rFonts w:ascii="Calibri" w:hAnsi="Calibri" w:cs="Calibri"/>
          <w:lang w:val="en-GB"/>
        </w:rPr>
        <w:t>but not between CG</w:t>
      </w:r>
      <w:r w:rsidR="00794E4C" w:rsidRPr="008E6410">
        <w:rPr>
          <w:rFonts w:ascii="Calibri" w:hAnsi="Calibri" w:cs="Times"/>
          <w:color w:val="000000"/>
          <w:vertAlign w:val="subscript"/>
          <w:lang w:val="en-GB"/>
        </w:rPr>
        <w:t>ABW</w:t>
      </w:r>
      <w:r w:rsidR="0053767B" w:rsidRPr="0086281A">
        <w:rPr>
          <w:rFonts w:ascii="Calibri" w:hAnsi="Calibri" w:cs="Calibri"/>
          <w:lang w:val="en-GB"/>
        </w:rPr>
        <w:t xml:space="preserve"> and CG</w:t>
      </w:r>
      <w:r w:rsidR="0053767B" w:rsidRPr="0086281A">
        <w:rPr>
          <w:rFonts w:ascii="Calibri" w:hAnsi="Calibri" w:cs="Calibri"/>
          <w:vertAlign w:val="subscript"/>
          <w:lang w:val="en-GB"/>
        </w:rPr>
        <w:t>AIBW</w:t>
      </w:r>
      <w:r w:rsidR="0053767B" w:rsidRPr="0086281A">
        <w:rPr>
          <w:rFonts w:ascii="Calibri" w:hAnsi="Calibri" w:cs="Calibri"/>
          <w:lang w:val="en-GB"/>
        </w:rPr>
        <w:t>.</w:t>
      </w:r>
    </w:p>
    <w:p w:rsidR="008F1237" w:rsidRPr="0086281A" w:rsidRDefault="008F1237" w:rsidP="006E668B">
      <w:pPr>
        <w:widowControl w:val="0"/>
        <w:autoSpaceDE w:val="0"/>
        <w:autoSpaceDN w:val="0"/>
        <w:adjustRightInd w:val="0"/>
        <w:rPr>
          <w:rFonts w:ascii="Calibri" w:hAnsi="Calibri" w:cs="Calibri"/>
          <w:kern w:val="1"/>
          <w:lang w:val="en-GB"/>
        </w:rPr>
      </w:pPr>
    </w:p>
    <w:p w:rsidR="004B0F3A" w:rsidRPr="0086281A" w:rsidRDefault="00C839DF" w:rsidP="009F76B6">
      <w:pPr>
        <w:widowControl w:val="0"/>
        <w:autoSpaceDE w:val="0"/>
        <w:autoSpaceDN w:val="0"/>
        <w:adjustRightInd w:val="0"/>
        <w:rPr>
          <w:rFonts w:ascii="Calibri" w:hAnsi="Calibri" w:cs="Calibri"/>
          <w:lang w:val="en-GB"/>
        </w:rPr>
      </w:pPr>
      <w:r w:rsidRPr="0086281A">
        <w:rPr>
          <w:rFonts w:ascii="Calibri" w:hAnsi="Calibri" w:cs="Calibri"/>
          <w:lang w:val="en-GB"/>
        </w:rPr>
        <w:t>In high GFR values</w:t>
      </w:r>
      <w:r w:rsidR="007B121C" w:rsidRPr="0086281A">
        <w:rPr>
          <w:rFonts w:ascii="Calibri" w:hAnsi="Calibri" w:cs="Calibri"/>
          <w:lang w:val="en-GB"/>
        </w:rPr>
        <w:t xml:space="preserve"> (mGFR &gt; 60</w:t>
      </w:r>
      <w:r w:rsidR="00CC6007" w:rsidRPr="0086281A">
        <w:rPr>
          <w:rFonts w:ascii="Calibri" w:hAnsi="Calibri" w:cs="Calibri"/>
          <w:lang w:val="en-GB"/>
        </w:rPr>
        <w:t xml:space="preserve"> </w:t>
      </w:r>
      <w:r w:rsidR="007B121C" w:rsidRPr="0086281A">
        <w:rPr>
          <w:rFonts w:ascii="Calibri" w:hAnsi="Calibri" w:cs="Calibri"/>
          <w:lang w:val="en-GB"/>
        </w:rPr>
        <w:t>mL/min)</w:t>
      </w:r>
      <w:r w:rsidRPr="0086281A">
        <w:rPr>
          <w:rFonts w:ascii="Calibri" w:hAnsi="Calibri" w:cs="Calibri"/>
          <w:lang w:val="en-GB"/>
        </w:rPr>
        <w:t>, performances of both the CG</w:t>
      </w:r>
      <w:r w:rsidRPr="0086281A">
        <w:rPr>
          <w:rFonts w:ascii="Calibri" w:hAnsi="Calibri" w:cs="Calibri"/>
          <w:vertAlign w:val="subscript"/>
          <w:lang w:val="en-GB"/>
        </w:rPr>
        <w:t xml:space="preserve">AIBW </w:t>
      </w:r>
      <w:r w:rsidRPr="0086281A">
        <w:rPr>
          <w:rFonts w:ascii="Calibri" w:hAnsi="Calibri" w:cs="Calibri"/>
          <w:lang w:val="en-GB"/>
        </w:rPr>
        <w:t>and MDRD</w:t>
      </w:r>
      <w:r w:rsidRPr="0086281A">
        <w:rPr>
          <w:rFonts w:ascii="Calibri" w:hAnsi="Calibri" w:cs="Calibri"/>
          <w:vertAlign w:val="subscript"/>
          <w:lang w:val="en-GB"/>
        </w:rPr>
        <w:t>deindexed</w:t>
      </w:r>
      <w:r w:rsidRPr="0086281A">
        <w:rPr>
          <w:rFonts w:ascii="Calibri" w:hAnsi="Calibri" w:cs="Calibri"/>
          <w:lang w:val="en-GB"/>
        </w:rPr>
        <w:t xml:space="preserve"> are globally slightly better than CKD-EPI</w:t>
      </w:r>
      <w:r w:rsidR="00A7373D" w:rsidRPr="0086281A">
        <w:rPr>
          <w:rFonts w:ascii="Calibri" w:hAnsi="Calibri" w:cs="Calibri"/>
          <w:vertAlign w:val="subscript"/>
          <w:lang w:val="en-GB"/>
        </w:rPr>
        <w:t>deindexed</w:t>
      </w:r>
      <w:r w:rsidRPr="0086281A">
        <w:rPr>
          <w:rFonts w:ascii="Calibri" w:hAnsi="Calibri" w:cs="Calibri"/>
          <w:lang w:val="en-GB"/>
        </w:rPr>
        <w:t xml:space="preserve">. </w:t>
      </w:r>
      <w:r w:rsidR="007B121C" w:rsidRPr="0086281A">
        <w:rPr>
          <w:rFonts w:ascii="Calibri" w:hAnsi="Calibri" w:cs="Calibri"/>
          <w:lang w:val="en-GB"/>
        </w:rPr>
        <w:t>The CG</w:t>
      </w:r>
      <w:r w:rsidR="00794E4C" w:rsidRPr="008E6410">
        <w:rPr>
          <w:rFonts w:ascii="Calibri" w:hAnsi="Calibri" w:cs="Times"/>
          <w:color w:val="000000"/>
          <w:vertAlign w:val="subscript"/>
          <w:lang w:val="en-GB"/>
        </w:rPr>
        <w:t>ABW</w:t>
      </w:r>
      <w:r w:rsidR="007B121C" w:rsidRPr="0086281A">
        <w:rPr>
          <w:rFonts w:ascii="Calibri" w:hAnsi="Calibri" w:cs="Calibri"/>
          <w:lang w:val="en-GB"/>
        </w:rPr>
        <w:t xml:space="preserve"> is</w:t>
      </w:r>
      <w:r w:rsidR="00CC4528" w:rsidRPr="0086281A">
        <w:rPr>
          <w:rFonts w:ascii="Calibri" w:hAnsi="Calibri" w:cs="Calibri"/>
          <w:lang w:val="en-GB"/>
        </w:rPr>
        <w:t>,</w:t>
      </w:r>
      <w:r w:rsidR="007B121C" w:rsidRPr="0086281A">
        <w:rPr>
          <w:rFonts w:ascii="Calibri" w:hAnsi="Calibri" w:cs="Calibri"/>
          <w:lang w:val="en-GB"/>
        </w:rPr>
        <w:t xml:space="preserve"> however</w:t>
      </w:r>
      <w:r w:rsidR="00CC4528" w:rsidRPr="0086281A">
        <w:rPr>
          <w:rFonts w:ascii="Calibri" w:hAnsi="Calibri" w:cs="Calibri"/>
          <w:lang w:val="en-GB"/>
        </w:rPr>
        <w:t>,</w:t>
      </w:r>
      <w:r w:rsidR="007B121C" w:rsidRPr="0086281A">
        <w:rPr>
          <w:rFonts w:ascii="Calibri" w:hAnsi="Calibri" w:cs="Calibri"/>
          <w:lang w:val="en-GB"/>
        </w:rPr>
        <w:t xml:space="preserve"> performing </w:t>
      </w:r>
      <w:r w:rsidR="00FD2E97" w:rsidRPr="0086281A">
        <w:rPr>
          <w:rFonts w:ascii="Calibri" w:hAnsi="Calibri" w:cs="Calibri"/>
          <w:lang w:val="en-GB"/>
        </w:rPr>
        <w:t>poorly compared to</w:t>
      </w:r>
      <w:r w:rsidR="007B121C" w:rsidRPr="0086281A">
        <w:rPr>
          <w:rFonts w:ascii="Calibri" w:hAnsi="Calibri" w:cs="Calibri"/>
          <w:lang w:val="en-GB"/>
        </w:rPr>
        <w:t xml:space="preserve"> the other three equations.</w:t>
      </w:r>
    </w:p>
    <w:p w:rsidR="007B121C" w:rsidRPr="0086281A" w:rsidRDefault="007B121C" w:rsidP="007B121C">
      <w:pPr>
        <w:pStyle w:val="Titre2"/>
        <w:rPr>
          <w:lang w:val="en-GB"/>
        </w:rPr>
      </w:pPr>
      <w:r w:rsidRPr="0086281A">
        <w:rPr>
          <w:lang w:val="en-GB"/>
        </w:rPr>
        <w:lastRenderedPageBreak/>
        <w:t xml:space="preserve">Difference in staging according to the KDIGO </w:t>
      </w:r>
      <w:r w:rsidR="00B87BED" w:rsidRPr="0086281A">
        <w:rPr>
          <w:lang w:val="en-GB"/>
        </w:rPr>
        <w:t xml:space="preserve">classification </w:t>
      </w:r>
      <w:r w:rsidR="003C4CB8" w:rsidRPr="0086281A">
        <w:rPr>
          <w:lang w:val="en-GB"/>
        </w:rPr>
        <w:t>using the different equations</w:t>
      </w:r>
    </w:p>
    <w:p w:rsidR="007B121C" w:rsidRPr="0086281A" w:rsidRDefault="007B121C" w:rsidP="009F76B6">
      <w:pPr>
        <w:widowControl w:val="0"/>
        <w:autoSpaceDE w:val="0"/>
        <w:autoSpaceDN w:val="0"/>
        <w:adjustRightInd w:val="0"/>
        <w:rPr>
          <w:rFonts w:ascii="Calibri" w:hAnsi="Calibri" w:cs="Calibri"/>
          <w:lang w:val="en-GB"/>
        </w:rPr>
      </w:pPr>
    </w:p>
    <w:p w:rsidR="0092030D" w:rsidRPr="0086281A" w:rsidRDefault="007B121C" w:rsidP="00E50926">
      <w:pPr>
        <w:widowControl w:val="0"/>
        <w:autoSpaceDE w:val="0"/>
        <w:autoSpaceDN w:val="0"/>
        <w:adjustRightInd w:val="0"/>
        <w:rPr>
          <w:rFonts w:ascii="Calibri" w:hAnsi="Calibri" w:cs="Times"/>
          <w:color w:val="141413"/>
          <w:lang w:val="en-GB"/>
        </w:rPr>
      </w:pPr>
      <w:r w:rsidRPr="0086281A">
        <w:rPr>
          <w:rFonts w:ascii="Calibri" w:hAnsi="Calibri" w:cs="Times"/>
          <w:color w:val="141413"/>
          <w:lang w:val="en-GB"/>
        </w:rPr>
        <w:t xml:space="preserve">Table 3 illustrates the </w:t>
      </w:r>
      <w:r w:rsidR="0092030D" w:rsidRPr="0086281A">
        <w:rPr>
          <w:rFonts w:ascii="Calibri" w:hAnsi="Calibri" w:cs="Times"/>
          <w:color w:val="141413"/>
          <w:lang w:val="en-GB"/>
        </w:rPr>
        <w:t xml:space="preserve">percentage of patients in </w:t>
      </w:r>
      <w:r w:rsidR="00B87BED" w:rsidRPr="0086281A">
        <w:rPr>
          <w:rFonts w:ascii="Calibri" w:hAnsi="Calibri" w:cs="Times"/>
          <w:color w:val="141413"/>
          <w:lang w:val="en-GB"/>
        </w:rPr>
        <w:t>t</w:t>
      </w:r>
      <w:r w:rsidR="0092030D" w:rsidRPr="0086281A">
        <w:rPr>
          <w:rFonts w:ascii="Calibri" w:hAnsi="Calibri" w:cs="Times"/>
          <w:color w:val="141413"/>
          <w:lang w:val="en-GB"/>
        </w:rPr>
        <w:t>he different CKD stages</w:t>
      </w:r>
      <w:r w:rsidR="00CC6007" w:rsidRPr="0086281A">
        <w:rPr>
          <w:rFonts w:ascii="Calibri" w:hAnsi="Calibri" w:cs="Times"/>
          <w:color w:val="141413"/>
          <w:lang w:val="en-GB"/>
        </w:rPr>
        <w:t xml:space="preserve"> according to the KDIGO classification and</w:t>
      </w:r>
      <w:r w:rsidR="0092030D" w:rsidRPr="0086281A">
        <w:rPr>
          <w:rFonts w:ascii="Calibri" w:hAnsi="Calibri" w:cs="Times"/>
          <w:color w:val="141413"/>
          <w:lang w:val="en-GB"/>
        </w:rPr>
        <w:t xml:space="preserve"> depending on the type of equations used. For each stage, the percentage of patients with an eGFR over</w:t>
      </w:r>
      <w:r w:rsidR="00FA071E" w:rsidRPr="0086281A">
        <w:rPr>
          <w:rFonts w:ascii="Calibri" w:hAnsi="Calibri" w:cs="Times"/>
          <w:color w:val="141413"/>
          <w:lang w:val="en-GB"/>
        </w:rPr>
        <w:t>-</w:t>
      </w:r>
      <w:r w:rsidR="0092030D" w:rsidRPr="0086281A">
        <w:rPr>
          <w:rFonts w:ascii="Calibri" w:hAnsi="Calibri" w:cs="Times"/>
          <w:color w:val="141413"/>
          <w:lang w:val="en-GB"/>
        </w:rPr>
        <w:t xml:space="preserve"> or un</w:t>
      </w:r>
      <w:r w:rsidR="00F72D7B" w:rsidRPr="0086281A">
        <w:rPr>
          <w:rFonts w:ascii="Calibri" w:hAnsi="Calibri" w:cs="Times"/>
          <w:color w:val="141413"/>
          <w:lang w:val="en-GB"/>
        </w:rPr>
        <w:t xml:space="preserve">der the mGFR is also </w:t>
      </w:r>
      <w:r w:rsidR="00CC4528" w:rsidRPr="0086281A">
        <w:rPr>
          <w:rFonts w:ascii="Calibri" w:hAnsi="Calibri" w:cs="Times"/>
          <w:color w:val="141413"/>
          <w:lang w:val="en-GB"/>
        </w:rPr>
        <w:t>shown</w:t>
      </w:r>
      <w:r w:rsidR="00F72D7B" w:rsidRPr="0086281A">
        <w:rPr>
          <w:rFonts w:ascii="Calibri" w:hAnsi="Calibri" w:cs="Times"/>
          <w:color w:val="141413"/>
          <w:lang w:val="en-GB"/>
        </w:rPr>
        <w:t xml:space="preserve">. Therefore, we </w:t>
      </w:r>
      <w:r w:rsidR="0092030D" w:rsidRPr="0086281A">
        <w:rPr>
          <w:rFonts w:ascii="Calibri" w:hAnsi="Calibri" w:cs="Times"/>
          <w:color w:val="141413"/>
          <w:lang w:val="en-GB"/>
        </w:rPr>
        <w:t>evaluate the proportion of patient</w:t>
      </w:r>
      <w:r w:rsidR="00FD2E97" w:rsidRPr="0086281A">
        <w:rPr>
          <w:rFonts w:ascii="Calibri" w:hAnsi="Calibri" w:cs="Times"/>
          <w:color w:val="141413"/>
          <w:lang w:val="en-GB"/>
        </w:rPr>
        <w:t xml:space="preserve">s </w:t>
      </w:r>
      <w:r w:rsidR="0092030D" w:rsidRPr="0086281A">
        <w:rPr>
          <w:rFonts w:ascii="Calibri" w:hAnsi="Calibri" w:cs="Times"/>
          <w:color w:val="141413"/>
          <w:lang w:val="en-GB"/>
        </w:rPr>
        <w:t>with a ris</w:t>
      </w:r>
      <w:r w:rsidR="00F72D7B" w:rsidRPr="0086281A">
        <w:rPr>
          <w:rFonts w:ascii="Calibri" w:hAnsi="Calibri" w:cs="Times"/>
          <w:color w:val="141413"/>
          <w:lang w:val="en-GB"/>
        </w:rPr>
        <w:t>k of over</w:t>
      </w:r>
      <w:r w:rsidR="00FA071E" w:rsidRPr="0086281A">
        <w:rPr>
          <w:rFonts w:ascii="Calibri" w:hAnsi="Calibri" w:cs="Times"/>
          <w:color w:val="141413"/>
          <w:lang w:val="en-GB"/>
        </w:rPr>
        <w:t>-</w:t>
      </w:r>
      <w:r w:rsidR="00F72D7B" w:rsidRPr="0086281A">
        <w:rPr>
          <w:rFonts w:ascii="Calibri" w:hAnsi="Calibri" w:cs="Times"/>
          <w:color w:val="141413"/>
          <w:lang w:val="en-GB"/>
        </w:rPr>
        <w:t xml:space="preserve"> or under</w:t>
      </w:r>
      <w:r w:rsidR="00FA071E" w:rsidRPr="0086281A">
        <w:rPr>
          <w:rFonts w:ascii="Calibri" w:hAnsi="Calibri" w:cs="Times"/>
          <w:color w:val="141413"/>
          <w:lang w:val="en-GB"/>
        </w:rPr>
        <w:t>-</w:t>
      </w:r>
      <w:r w:rsidR="00F72D7B" w:rsidRPr="0086281A">
        <w:rPr>
          <w:rFonts w:ascii="Calibri" w:hAnsi="Calibri" w:cs="Times"/>
          <w:color w:val="141413"/>
          <w:lang w:val="en-GB"/>
        </w:rPr>
        <w:t xml:space="preserve"> dosage</w:t>
      </w:r>
      <w:r w:rsidR="0092030D" w:rsidRPr="0086281A">
        <w:rPr>
          <w:rFonts w:ascii="Calibri" w:hAnsi="Calibri" w:cs="Times"/>
          <w:color w:val="141413"/>
          <w:lang w:val="en-GB"/>
        </w:rPr>
        <w:t xml:space="preserve"> of </w:t>
      </w:r>
      <w:r w:rsidR="007F4B14" w:rsidRPr="0086281A">
        <w:rPr>
          <w:rFonts w:ascii="Calibri" w:hAnsi="Calibri" w:cs="Times"/>
          <w:color w:val="141413"/>
          <w:lang w:val="en-GB"/>
        </w:rPr>
        <w:t xml:space="preserve">a </w:t>
      </w:r>
      <w:r w:rsidR="0092030D" w:rsidRPr="0086281A">
        <w:rPr>
          <w:rFonts w:ascii="Calibri" w:hAnsi="Calibri" w:cs="Times"/>
          <w:color w:val="141413"/>
          <w:lang w:val="en-GB"/>
        </w:rPr>
        <w:t xml:space="preserve">drug. For instance, 54.5%, 75%, 65.9% </w:t>
      </w:r>
      <w:r w:rsidR="00FD2E97" w:rsidRPr="0086281A">
        <w:rPr>
          <w:rFonts w:ascii="Calibri" w:hAnsi="Calibri" w:cs="Times"/>
          <w:color w:val="141413"/>
          <w:lang w:val="en-GB"/>
        </w:rPr>
        <w:t xml:space="preserve">or </w:t>
      </w:r>
      <w:r w:rsidR="0092030D" w:rsidRPr="0086281A">
        <w:rPr>
          <w:rFonts w:ascii="Calibri" w:hAnsi="Calibri" w:cs="Times"/>
          <w:color w:val="141413"/>
          <w:lang w:val="en-GB"/>
        </w:rPr>
        <w:t xml:space="preserve">72.7% of patients </w:t>
      </w:r>
      <w:r w:rsidR="00FD2E97" w:rsidRPr="0086281A">
        <w:rPr>
          <w:rFonts w:ascii="Calibri" w:hAnsi="Calibri" w:cs="Times"/>
          <w:color w:val="141413"/>
          <w:lang w:val="en-GB"/>
        </w:rPr>
        <w:t>are</w:t>
      </w:r>
      <w:r w:rsidR="0092030D" w:rsidRPr="0086281A">
        <w:rPr>
          <w:rFonts w:ascii="Calibri" w:hAnsi="Calibri" w:cs="Times"/>
          <w:color w:val="141413"/>
          <w:lang w:val="en-GB"/>
        </w:rPr>
        <w:t xml:space="preserve"> classified </w:t>
      </w:r>
      <w:r w:rsidR="00FD2E97" w:rsidRPr="0086281A">
        <w:rPr>
          <w:rFonts w:ascii="Calibri" w:hAnsi="Calibri" w:cs="Times"/>
          <w:color w:val="141413"/>
          <w:lang w:val="en-GB"/>
        </w:rPr>
        <w:t>as CKD stage 4 (mGFR between 15-30</w:t>
      </w:r>
      <w:r w:rsidR="00CC6007" w:rsidRPr="0086281A">
        <w:rPr>
          <w:rFonts w:ascii="Calibri" w:hAnsi="Calibri" w:cs="Times"/>
          <w:color w:val="141413"/>
          <w:lang w:val="en-GB"/>
        </w:rPr>
        <w:t xml:space="preserve"> </w:t>
      </w:r>
      <w:r w:rsidR="00FD2E97" w:rsidRPr="0086281A">
        <w:rPr>
          <w:rFonts w:ascii="Calibri" w:hAnsi="Calibri" w:cs="Times"/>
          <w:color w:val="141413"/>
          <w:lang w:val="en-GB"/>
        </w:rPr>
        <w:t xml:space="preserve">mL/min) </w:t>
      </w:r>
      <w:r w:rsidR="0092030D" w:rsidRPr="0086281A">
        <w:rPr>
          <w:rFonts w:ascii="Calibri" w:hAnsi="Calibri" w:cs="Times"/>
          <w:color w:val="141413"/>
          <w:lang w:val="en-GB"/>
        </w:rPr>
        <w:t>using CG</w:t>
      </w:r>
      <w:r w:rsidR="00794E4C" w:rsidRPr="008E6410">
        <w:rPr>
          <w:rFonts w:ascii="Calibri" w:hAnsi="Calibri" w:cs="Times"/>
          <w:color w:val="000000"/>
          <w:vertAlign w:val="subscript"/>
          <w:lang w:val="en-GB"/>
        </w:rPr>
        <w:t>ABW</w:t>
      </w:r>
      <w:r w:rsidR="0092030D" w:rsidRPr="0086281A">
        <w:rPr>
          <w:rFonts w:ascii="Calibri" w:hAnsi="Calibri" w:cs="Times"/>
          <w:color w:val="141413"/>
          <w:lang w:val="en-GB"/>
        </w:rPr>
        <w:t>, CG</w:t>
      </w:r>
      <w:r w:rsidR="0092030D" w:rsidRPr="0086281A">
        <w:rPr>
          <w:rFonts w:ascii="Calibri" w:hAnsi="Calibri" w:cs="Times"/>
          <w:color w:val="141413"/>
          <w:vertAlign w:val="subscript"/>
          <w:lang w:val="en-GB"/>
        </w:rPr>
        <w:t>AIBW</w:t>
      </w:r>
      <w:r w:rsidR="0092030D" w:rsidRPr="0086281A">
        <w:rPr>
          <w:rFonts w:ascii="Calibri" w:hAnsi="Calibri" w:cs="Times"/>
          <w:color w:val="141413"/>
          <w:lang w:val="en-GB"/>
        </w:rPr>
        <w:t>, CKD-EPI</w:t>
      </w:r>
      <w:r w:rsidR="0092030D" w:rsidRPr="0086281A">
        <w:rPr>
          <w:rFonts w:ascii="Calibri" w:hAnsi="Calibri" w:cs="Times"/>
          <w:color w:val="141413"/>
          <w:vertAlign w:val="subscript"/>
          <w:lang w:val="en-GB"/>
        </w:rPr>
        <w:t>deindexed</w:t>
      </w:r>
      <w:r w:rsidR="0092030D" w:rsidRPr="0086281A">
        <w:rPr>
          <w:rFonts w:ascii="Calibri" w:hAnsi="Calibri" w:cs="Times"/>
          <w:color w:val="141413"/>
          <w:lang w:val="en-GB"/>
        </w:rPr>
        <w:t xml:space="preserve"> and MDRD</w:t>
      </w:r>
      <w:r w:rsidR="0092030D" w:rsidRPr="0086281A">
        <w:rPr>
          <w:rFonts w:ascii="Calibri" w:hAnsi="Calibri" w:cs="Times"/>
          <w:color w:val="141413"/>
          <w:vertAlign w:val="subscript"/>
          <w:lang w:val="en-GB"/>
        </w:rPr>
        <w:t>deindexed</w:t>
      </w:r>
      <w:r w:rsidR="007F4B14" w:rsidRPr="0086281A">
        <w:rPr>
          <w:rFonts w:ascii="Calibri" w:hAnsi="Calibri" w:cs="Times"/>
          <w:color w:val="141413"/>
          <w:lang w:val="en-GB"/>
        </w:rPr>
        <w:t xml:space="preserve"> respectively (p&lt;</w:t>
      </w:r>
      <w:r w:rsidR="0092030D" w:rsidRPr="0086281A">
        <w:rPr>
          <w:rFonts w:ascii="Calibri" w:hAnsi="Calibri" w:cs="Times"/>
          <w:color w:val="141413"/>
          <w:lang w:val="en-GB"/>
        </w:rPr>
        <w:t>0.05 between CG</w:t>
      </w:r>
      <w:r w:rsidR="00794E4C" w:rsidRPr="008E6410">
        <w:rPr>
          <w:rFonts w:ascii="Calibri" w:hAnsi="Calibri" w:cs="Times"/>
          <w:color w:val="000000"/>
          <w:vertAlign w:val="subscript"/>
          <w:lang w:val="en-GB"/>
        </w:rPr>
        <w:t>ABW</w:t>
      </w:r>
      <w:r w:rsidR="0092030D" w:rsidRPr="0086281A">
        <w:rPr>
          <w:rFonts w:ascii="Calibri" w:hAnsi="Calibri" w:cs="Times"/>
          <w:color w:val="141413"/>
          <w:lang w:val="en-GB"/>
        </w:rPr>
        <w:t xml:space="preserve"> and CG</w:t>
      </w:r>
      <w:r w:rsidR="0092030D" w:rsidRPr="0086281A">
        <w:rPr>
          <w:rFonts w:ascii="Calibri" w:hAnsi="Calibri" w:cs="Times"/>
          <w:color w:val="141413"/>
          <w:vertAlign w:val="subscript"/>
          <w:lang w:val="en-GB"/>
        </w:rPr>
        <w:t>AIBW</w:t>
      </w:r>
      <w:r w:rsidR="0092030D" w:rsidRPr="0086281A">
        <w:rPr>
          <w:rFonts w:ascii="Calibri" w:hAnsi="Calibri" w:cs="Times"/>
          <w:color w:val="141413"/>
          <w:lang w:val="en-GB"/>
        </w:rPr>
        <w:t xml:space="preserve">). </w:t>
      </w:r>
      <w:r w:rsidR="00CC6007" w:rsidRPr="0086281A">
        <w:rPr>
          <w:rFonts w:ascii="Calibri" w:hAnsi="Calibri" w:cs="Times"/>
          <w:color w:val="141413"/>
          <w:lang w:val="en-GB"/>
        </w:rPr>
        <w:t xml:space="preserve">The eGFR will overestimate the mGFR </w:t>
      </w:r>
      <w:r w:rsidR="00F72D7B" w:rsidRPr="0086281A">
        <w:rPr>
          <w:rFonts w:ascii="Calibri" w:hAnsi="Calibri" w:cs="Times"/>
          <w:color w:val="141413"/>
          <w:lang w:val="en-GB"/>
        </w:rPr>
        <w:t>in 45.5%, 18.2%, 11.4% and 13.6% of patients respectively with CG</w:t>
      </w:r>
      <w:r w:rsidR="00794E4C" w:rsidRPr="008E6410">
        <w:rPr>
          <w:rFonts w:ascii="Calibri" w:hAnsi="Calibri" w:cs="Times"/>
          <w:color w:val="000000"/>
          <w:vertAlign w:val="subscript"/>
          <w:lang w:val="en-GB"/>
        </w:rPr>
        <w:t>ABW</w:t>
      </w:r>
      <w:r w:rsidR="00F72D7B" w:rsidRPr="0086281A">
        <w:rPr>
          <w:rFonts w:ascii="Calibri" w:hAnsi="Calibri" w:cs="Times"/>
          <w:color w:val="141413"/>
          <w:lang w:val="en-GB"/>
        </w:rPr>
        <w:t>, CG</w:t>
      </w:r>
      <w:r w:rsidR="00F72D7B" w:rsidRPr="0086281A">
        <w:rPr>
          <w:rFonts w:ascii="Calibri" w:hAnsi="Calibri" w:cs="Times"/>
          <w:color w:val="141413"/>
          <w:vertAlign w:val="subscript"/>
          <w:lang w:val="en-GB"/>
        </w:rPr>
        <w:t>AIBW</w:t>
      </w:r>
      <w:r w:rsidR="00CC6007" w:rsidRPr="0086281A">
        <w:rPr>
          <w:rFonts w:ascii="Calibri" w:hAnsi="Calibri" w:cs="Times"/>
          <w:color w:val="141413"/>
          <w:lang w:val="en-GB"/>
        </w:rPr>
        <w:t>, CKD-EPI</w:t>
      </w:r>
      <w:r w:rsidR="00F72D7B" w:rsidRPr="0086281A">
        <w:rPr>
          <w:rFonts w:ascii="Calibri" w:hAnsi="Calibri" w:cs="Times"/>
          <w:color w:val="141413"/>
          <w:vertAlign w:val="subscript"/>
          <w:lang w:val="en-GB"/>
        </w:rPr>
        <w:t xml:space="preserve">deindexed </w:t>
      </w:r>
      <w:r w:rsidR="00F72D7B" w:rsidRPr="0086281A">
        <w:rPr>
          <w:rFonts w:ascii="Calibri" w:hAnsi="Calibri" w:cs="Times"/>
          <w:color w:val="141413"/>
          <w:lang w:val="en-GB"/>
        </w:rPr>
        <w:t>and MDRD</w:t>
      </w:r>
      <w:r w:rsidR="00F72D7B" w:rsidRPr="0086281A">
        <w:rPr>
          <w:rFonts w:ascii="Calibri" w:hAnsi="Calibri" w:cs="Times"/>
          <w:color w:val="141413"/>
          <w:vertAlign w:val="subscript"/>
          <w:lang w:val="en-GB"/>
        </w:rPr>
        <w:t>deindexed</w:t>
      </w:r>
      <w:r w:rsidR="007F4B14" w:rsidRPr="0086281A">
        <w:rPr>
          <w:rFonts w:ascii="Calibri" w:hAnsi="Calibri" w:cs="Times"/>
          <w:color w:val="141413"/>
          <w:lang w:val="en-GB"/>
        </w:rPr>
        <w:t xml:space="preserve"> (p&lt;</w:t>
      </w:r>
      <w:r w:rsidR="00F72D7B" w:rsidRPr="0086281A">
        <w:rPr>
          <w:rFonts w:ascii="Calibri" w:hAnsi="Calibri" w:cs="Times"/>
          <w:color w:val="141413"/>
          <w:lang w:val="en-GB"/>
        </w:rPr>
        <w:t>0.05 between CG and the other three equations).</w:t>
      </w:r>
    </w:p>
    <w:p w:rsidR="0092030D" w:rsidRPr="0086281A" w:rsidRDefault="0092030D" w:rsidP="00E50926">
      <w:pPr>
        <w:widowControl w:val="0"/>
        <w:autoSpaceDE w:val="0"/>
        <w:autoSpaceDN w:val="0"/>
        <w:adjustRightInd w:val="0"/>
        <w:rPr>
          <w:rFonts w:ascii="Calibri" w:hAnsi="Calibri" w:cs="Times"/>
          <w:color w:val="141413"/>
          <w:lang w:val="en-GB"/>
        </w:rPr>
      </w:pPr>
    </w:p>
    <w:p w:rsidR="007B121C" w:rsidRPr="0086281A" w:rsidRDefault="007B121C" w:rsidP="00E50926">
      <w:pPr>
        <w:widowControl w:val="0"/>
        <w:autoSpaceDE w:val="0"/>
        <w:autoSpaceDN w:val="0"/>
        <w:adjustRightInd w:val="0"/>
        <w:rPr>
          <w:rFonts w:ascii="Calibri" w:hAnsi="Calibri" w:cs="Times"/>
          <w:color w:val="141413"/>
          <w:lang w:val="en-GB"/>
        </w:rPr>
      </w:pPr>
      <w:r w:rsidRPr="0086281A">
        <w:rPr>
          <w:rFonts w:ascii="Calibri" w:hAnsi="Calibri" w:cs="Times"/>
          <w:color w:val="1A1718"/>
          <w:lang w:val="en-GB"/>
        </w:rPr>
        <w:t xml:space="preserve">Table 4 </w:t>
      </w:r>
      <w:r w:rsidR="00B87BED" w:rsidRPr="0086281A">
        <w:rPr>
          <w:rFonts w:ascii="Calibri" w:hAnsi="Calibri" w:cs="Times"/>
          <w:color w:val="1A1718"/>
          <w:lang w:val="en-GB"/>
        </w:rPr>
        <w:t>represents</w:t>
      </w:r>
      <w:r w:rsidR="00BC3F16" w:rsidRPr="0086281A">
        <w:rPr>
          <w:rFonts w:ascii="Calibri" w:hAnsi="Calibri" w:cs="Times"/>
          <w:color w:val="1A1718"/>
          <w:lang w:val="en-GB"/>
        </w:rPr>
        <w:t xml:space="preserve"> </w:t>
      </w:r>
      <w:r w:rsidR="00BC3F16" w:rsidRPr="0086281A">
        <w:rPr>
          <w:rFonts w:ascii="Calibri" w:hAnsi="Calibri" w:cs="Times"/>
          <w:lang w:val="en-GB"/>
        </w:rPr>
        <w:t>the performances</w:t>
      </w:r>
      <w:r w:rsidR="00BC3F16" w:rsidRPr="0086281A">
        <w:rPr>
          <w:rFonts w:ascii="Calibri" w:hAnsi="Calibri" w:cs="Helvetica"/>
          <w:color w:val="000000"/>
          <w:lang w:val="en-GB"/>
        </w:rPr>
        <w:t xml:space="preserve"> of eGFR </w:t>
      </w:r>
      <w:r w:rsidR="00F72D7B" w:rsidRPr="0086281A">
        <w:rPr>
          <w:rFonts w:ascii="Calibri" w:hAnsi="Calibri" w:cs="Helvetica"/>
          <w:color w:val="000000"/>
          <w:lang w:val="en-GB"/>
        </w:rPr>
        <w:t>equations according</w:t>
      </w:r>
      <w:r w:rsidR="00E50926" w:rsidRPr="0086281A">
        <w:rPr>
          <w:rFonts w:ascii="Calibri" w:hAnsi="Calibri" w:cs="Helvetica"/>
          <w:color w:val="000000"/>
          <w:lang w:val="en-GB"/>
        </w:rPr>
        <w:t xml:space="preserve"> to the mGFR level </w:t>
      </w:r>
      <w:r w:rsidR="00F7478E" w:rsidRPr="0086281A">
        <w:rPr>
          <w:rFonts w:ascii="Calibri" w:hAnsi="Calibri" w:cs="Times"/>
          <w:color w:val="1A1718"/>
          <w:lang w:val="en-GB"/>
        </w:rPr>
        <w:t>when</w:t>
      </w:r>
      <w:r w:rsidR="00E50926" w:rsidRPr="0086281A">
        <w:rPr>
          <w:rFonts w:ascii="Calibri" w:hAnsi="Calibri" w:cs="Times"/>
          <w:color w:val="1A1718"/>
          <w:lang w:val="en-GB"/>
        </w:rPr>
        <w:t xml:space="preserve"> metformin </w:t>
      </w:r>
      <w:r w:rsidR="00F7478E" w:rsidRPr="0086281A">
        <w:rPr>
          <w:rFonts w:ascii="Calibri" w:hAnsi="Calibri" w:cs="Times"/>
          <w:color w:val="1A1718"/>
          <w:lang w:val="en-GB"/>
        </w:rPr>
        <w:t xml:space="preserve">is </w:t>
      </w:r>
      <w:r w:rsidR="00E50926" w:rsidRPr="0086281A">
        <w:rPr>
          <w:rFonts w:ascii="Calibri" w:hAnsi="Calibri" w:cs="Times"/>
          <w:color w:val="1A1718"/>
          <w:lang w:val="en-GB"/>
        </w:rPr>
        <w:t>used</w:t>
      </w:r>
      <w:r w:rsidR="00E50926" w:rsidRPr="0086281A">
        <w:rPr>
          <w:rFonts w:ascii="Calibri" w:hAnsi="Calibri" w:cs="Times"/>
          <w:lang w:val="en-GB"/>
        </w:rPr>
        <w:t xml:space="preserve">. </w:t>
      </w:r>
      <w:r w:rsidR="00BC3F16" w:rsidRPr="0086281A">
        <w:rPr>
          <w:rFonts w:ascii="Calibri" w:hAnsi="Calibri" w:cs="Times"/>
          <w:color w:val="000000"/>
          <w:lang w:val="en-GB"/>
        </w:rPr>
        <w:t>With</w:t>
      </w:r>
      <w:r w:rsidR="00E50926" w:rsidRPr="0086281A">
        <w:rPr>
          <w:rFonts w:ascii="Calibri" w:hAnsi="Calibri" w:cs="Times"/>
          <w:color w:val="000000"/>
          <w:lang w:val="en-GB"/>
        </w:rPr>
        <w:t xml:space="preserve"> CG</w:t>
      </w:r>
      <w:r w:rsidR="00E50926" w:rsidRPr="0086281A">
        <w:rPr>
          <w:rFonts w:ascii="Calibri" w:hAnsi="Calibri" w:cs="Times"/>
          <w:color w:val="000000"/>
          <w:vertAlign w:val="subscript"/>
          <w:lang w:val="en-GB"/>
        </w:rPr>
        <w:t>AIBW</w:t>
      </w:r>
      <w:r w:rsidR="00E50926" w:rsidRPr="0086281A">
        <w:rPr>
          <w:rFonts w:ascii="Calibri" w:hAnsi="Calibri" w:cs="Times"/>
          <w:color w:val="000000"/>
          <w:lang w:val="en-GB"/>
        </w:rPr>
        <w:t>,</w:t>
      </w:r>
      <w:r w:rsidR="00BC3F16" w:rsidRPr="0086281A">
        <w:rPr>
          <w:rFonts w:ascii="Calibri" w:hAnsi="Calibri" w:cs="Times"/>
          <w:color w:val="000000"/>
          <w:lang w:val="en-GB"/>
        </w:rPr>
        <w:t xml:space="preserve"> CKD-EPI</w:t>
      </w:r>
      <w:r w:rsidR="00E50926" w:rsidRPr="0086281A">
        <w:rPr>
          <w:rFonts w:ascii="Calibri" w:hAnsi="Calibri" w:cs="Times"/>
          <w:color w:val="000000"/>
          <w:vertAlign w:val="subscript"/>
          <w:lang w:val="en-GB"/>
        </w:rPr>
        <w:t>deindexed</w:t>
      </w:r>
      <w:r w:rsidR="00E50926" w:rsidRPr="0086281A">
        <w:rPr>
          <w:rFonts w:ascii="Calibri" w:hAnsi="Calibri" w:cs="Times"/>
          <w:color w:val="000000"/>
          <w:lang w:val="en-GB"/>
        </w:rPr>
        <w:t xml:space="preserve"> and MDRD</w:t>
      </w:r>
      <w:r w:rsidR="00E50926" w:rsidRPr="0086281A">
        <w:rPr>
          <w:rFonts w:ascii="Calibri" w:hAnsi="Calibri" w:cs="Times"/>
          <w:color w:val="000000"/>
          <w:vertAlign w:val="subscript"/>
          <w:lang w:val="en-GB"/>
        </w:rPr>
        <w:t>deindexed</w:t>
      </w:r>
      <w:r w:rsidR="00BC3F16" w:rsidRPr="0086281A">
        <w:rPr>
          <w:rFonts w:ascii="Calibri" w:hAnsi="Calibri" w:cs="Times"/>
          <w:color w:val="000000"/>
          <w:lang w:val="en-GB"/>
        </w:rPr>
        <w:t xml:space="preserve">, patients with </w:t>
      </w:r>
      <w:r w:rsidR="00E50926" w:rsidRPr="0086281A">
        <w:rPr>
          <w:rFonts w:ascii="Calibri" w:hAnsi="Calibri" w:cs="Times"/>
          <w:color w:val="000000"/>
          <w:lang w:val="en-GB"/>
        </w:rPr>
        <w:t xml:space="preserve">mGFR below 30 mL/min </w:t>
      </w:r>
      <w:r w:rsidR="00BC3F16" w:rsidRPr="0086281A">
        <w:rPr>
          <w:rFonts w:ascii="Calibri" w:hAnsi="Calibri" w:cs="Times"/>
          <w:color w:val="000000"/>
          <w:lang w:val="en-GB"/>
        </w:rPr>
        <w:t>are correctly classi</w:t>
      </w:r>
      <w:r w:rsidR="00BC3F16" w:rsidRPr="0086281A">
        <w:rPr>
          <w:rFonts w:ascii="Calibri" w:hAnsi="Calibri" w:cs="Helvetica"/>
          <w:color w:val="000000"/>
          <w:lang w:val="en-GB"/>
        </w:rPr>
        <w:t>fi</w:t>
      </w:r>
      <w:r w:rsidR="00E50926" w:rsidRPr="0086281A">
        <w:rPr>
          <w:rFonts w:ascii="Calibri" w:hAnsi="Calibri" w:cs="Times"/>
          <w:color w:val="000000"/>
          <w:lang w:val="en-GB"/>
        </w:rPr>
        <w:t>ed in 81.6</w:t>
      </w:r>
      <w:r w:rsidR="00BC3F16" w:rsidRPr="0086281A">
        <w:rPr>
          <w:rFonts w:ascii="Calibri" w:hAnsi="Calibri" w:cs="Times"/>
          <w:color w:val="000000"/>
          <w:lang w:val="en-GB"/>
        </w:rPr>
        <w:t>%</w:t>
      </w:r>
      <w:r w:rsidR="00E50926" w:rsidRPr="0086281A">
        <w:rPr>
          <w:rFonts w:ascii="Calibri" w:hAnsi="Calibri" w:cs="Times"/>
          <w:color w:val="000000"/>
          <w:lang w:val="en-GB"/>
        </w:rPr>
        <w:t>, 87.8</w:t>
      </w:r>
      <w:r w:rsidR="00BC3F16" w:rsidRPr="0086281A">
        <w:rPr>
          <w:rFonts w:ascii="Calibri" w:hAnsi="Calibri" w:cs="Times"/>
          <w:color w:val="000000"/>
          <w:lang w:val="en-GB"/>
        </w:rPr>
        <w:t xml:space="preserve">%, </w:t>
      </w:r>
      <w:r w:rsidR="00E50926" w:rsidRPr="0086281A">
        <w:rPr>
          <w:rFonts w:ascii="Calibri" w:hAnsi="Calibri" w:cs="Times"/>
          <w:color w:val="000000"/>
          <w:lang w:val="en-GB"/>
        </w:rPr>
        <w:t>and 85.7%</w:t>
      </w:r>
      <w:r w:rsidR="00F7478E" w:rsidRPr="0086281A">
        <w:rPr>
          <w:rFonts w:ascii="Calibri" w:hAnsi="Calibri" w:cs="Times"/>
          <w:color w:val="000000"/>
          <w:lang w:val="en-GB"/>
        </w:rPr>
        <w:t xml:space="preserve"> of the cases</w:t>
      </w:r>
      <w:r w:rsidR="002F2011" w:rsidRPr="0086281A">
        <w:rPr>
          <w:rFonts w:ascii="Calibri" w:hAnsi="Calibri" w:cs="Times"/>
          <w:color w:val="000000"/>
          <w:lang w:val="en-GB"/>
        </w:rPr>
        <w:t>,</w:t>
      </w:r>
      <w:r w:rsidR="00E50926" w:rsidRPr="0086281A">
        <w:rPr>
          <w:rFonts w:ascii="Calibri" w:hAnsi="Calibri" w:cs="Times"/>
          <w:color w:val="000000"/>
          <w:lang w:val="en-GB"/>
        </w:rPr>
        <w:t xml:space="preserve"> </w:t>
      </w:r>
      <w:r w:rsidR="00FA071E" w:rsidRPr="0086281A">
        <w:rPr>
          <w:rFonts w:ascii="Calibri" w:hAnsi="Calibri" w:cs="Times"/>
          <w:color w:val="000000"/>
          <w:lang w:val="en-GB"/>
        </w:rPr>
        <w:t xml:space="preserve">respectively. On the contrary, a correct staging occurs only in </w:t>
      </w:r>
      <w:r w:rsidR="0077030D">
        <w:rPr>
          <w:rFonts w:ascii="Calibri" w:hAnsi="Calibri" w:cs="Times"/>
          <w:color w:val="000000"/>
          <w:lang w:val="en-GB"/>
        </w:rPr>
        <w:t>5</w:t>
      </w:r>
      <w:r w:rsidR="00E50926" w:rsidRPr="0086281A">
        <w:rPr>
          <w:rFonts w:ascii="Calibri" w:hAnsi="Calibri" w:cs="Times"/>
          <w:color w:val="000000"/>
          <w:lang w:val="en-GB"/>
        </w:rPr>
        <w:t xml:space="preserve">7.1% </w:t>
      </w:r>
      <w:r w:rsidR="00FA071E" w:rsidRPr="0086281A">
        <w:rPr>
          <w:rFonts w:ascii="Calibri" w:hAnsi="Calibri" w:cs="Times"/>
          <w:color w:val="000000"/>
          <w:lang w:val="en-GB"/>
        </w:rPr>
        <w:t>of patients if CG</w:t>
      </w:r>
      <w:r w:rsidR="00794E4C" w:rsidRPr="008E6410">
        <w:rPr>
          <w:rFonts w:ascii="Calibri" w:hAnsi="Calibri" w:cs="Times"/>
          <w:color w:val="000000"/>
          <w:vertAlign w:val="subscript"/>
          <w:lang w:val="en-GB"/>
        </w:rPr>
        <w:t>ABW</w:t>
      </w:r>
      <w:r w:rsidR="00FA071E" w:rsidRPr="0086281A">
        <w:rPr>
          <w:rFonts w:ascii="Calibri" w:hAnsi="Calibri" w:cs="Times"/>
          <w:color w:val="000000"/>
          <w:lang w:val="en-GB"/>
        </w:rPr>
        <w:t xml:space="preserve"> is considered</w:t>
      </w:r>
      <w:r w:rsidR="007F4B14" w:rsidRPr="0086281A">
        <w:rPr>
          <w:rFonts w:ascii="Calibri" w:hAnsi="Calibri" w:cs="Times"/>
          <w:color w:val="000000"/>
          <w:lang w:val="en-GB"/>
        </w:rPr>
        <w:t xml:space="preserve"> (p&lt;0.05)</w:t>
      </w:r>
      <w:r w:rsidR="00E50926" w:rsidRPr="0086281A">
        <w:rPr>
          <w:rFonts w:ascii="Calibri" w:hAnsi="Calibri" w:cs="Times"/>
          <w:color w:val="000000"/>
          <w:lang w:val="en-GB"/>
        </w:rPr>
        <w:t>.</w:t>
      </w:r>
      <w:r w:rsidR="00E50926" w:rsidRPr="0086281A">
        <w:rPr>
          <w:rFonts w:ascii="Calibri" w:hAnsi="Calibri" w:cs="Times"/>
          <w:color w:val="141413"/>
          <w:lang w:val="en-GB"/>
        </w:rPr>
        <w:t xml:space="preserve"> </w:t>
      </w:r>
    </w:p>
    <w:p w:rsidR="00993902" w:rsidRPr="0086281A" w:rsidRDefault="00993902" w:rsidP="009F76B6">
      <w:pPr>
        <w:widowControl w:val="0"/>
        <w:autoSpaceDE w:val="0"/>
        <w:autoSpaceDN w:val="0"/>
        <w:adjustRightInd w:val="0"/>
        <w:rPr>
          <w:rFonts w:ascii="Calibri" w:hAnsi="Calibri" w:cs="Calibri"/>
          <w:lang w:val="en-GB"/>
        </w:rPr>
      </w:pPr>
    </w:p>
    <w:p w:rsidR="00780965" w:rsidRPr="0086281A" w:rsidRDefault="007B121C" w:rsidP="005B25AF">
      <w:pPr>
        <w:rPr>
          <w:rFonts w:ascii="Calibri" w:hAnsi="Calibri"/>
          <w:lang w:val="en-GB"/>
        </w:rPr>
      </w:pPr>
      <w:r w:rsidRPr="0086281A">
        <w:rPr>
          <w:rFonts w:ascii="Calibri" w:hAnsi="Calibri"/>
          <w:lang w:val="en-GB"/>
        </w:rPr>
        <w:t>All the equations give an overestimation of the mGFR</w:t>
      </w:r>
      <w:r w:rsidR="007F4B14" w:rsidRPr="0086281A">
        <w:rPr>
          <w:rFonts w:ascii="Calibri" w:hAnsi="Calibri"/>
          <w:lang w:val="en-GB"/>
        </w:rPr>
        <w:t>, for the high level of GFR (&gt; 60mL/min)</w:t>
      </w:r>
      <w:r w:rsidR="00F7478E" w:rsidRPr="0086281A">
        <w:rPr>
          <w:rFonts w:ascii="Calibri" w:hAnsi="Calibri"/>
          <w:lang w:val="en-GB"/>
        </w:rPr>
        <w:t>, t</w:t>
      </w:r>
      <w:r w:rsidRPr="0086281A">
        <w:rPr>
          <w:rFonts w:ascii="Calibri" w:hAnsi="Calibri"/>
          <w:lang w:val="en-GB"/>
        </w:rPr>
        <w:t>herefore overestimating the percentage of patient</w:t>
      </w:r>
      <w:r w:rsidR="00F7478E" w:rsidRPr="0086281A">
        <w:rPr>
          <w:rFonts w:ascii="Calibri" w:hAnsi="Calibri"/>
          <w:lang w:val="en-GB"/>
        </w:rPr>
        <w:t>s</w:t>
      </w:r>
      <w:r w:rsidRPr="0086281A">
        <w:rPr>
          <w:rFonts w:ascii="Calibri" w:hAnsi="Calibri"/>
          <w:lang w:val="en-GB"/>
        </w:rPr>
        <w:t xml:space="preserve"> with a hyperfiltration status. In our study, the eGFR equations detect hyperfiltration status in 90 (24.6%), 36 (9.8%), 50 (13.7%) and 31 (8.5%) patients with CG</w:t>
      </w:r>
      <w:r w:rsidR="00794E4C" w:rsidRPr="008E6410">
        <w:rPr>
          <w:rFonts w:ascii="Calibri" w:hAnsi="Calibri" w:cs="Times"/>
          <w:color w:val="000000"/>
          <w:vertAlign w:val="subscript"/>
          <w:lang w:val="en-GB"/>
        </w:rPr>
        <w:t>ABW</w:t>
      </w:r>
      <w:r w:rsidRPr="0086281A">
        <w:rPr>
          <w:rFonts w:ascii="Calibri" w:hAnsi="Calibri"/>
          <w:lang w:val="en-GB"/>
        </w:rPr>
        <w:t>, CG</w:t>
      </w:r>
      <w:r w:rsidRPr="0086281A">
        <w:rPr>
          <w:rFonts w:ascii="Calibri" w:hAnsi="Calibri"/>
          <w:vertAlign w:val="subscript"/>
          <w:lang w:val="en-GB"/>
        </w:rPr>
        <w:t>AIBW</w:t>
      </w:r>
      <w:r w:rsidRPr="0086281A">
        <w:rPr>
          <w:rFonts w:ascii="Calibri" w:hAnsi="Calibri"/>
          <w:lang w:val="en-GB"/>
        </w:rPr>
        <w:t>, CKD-EPI</w:t>
      </w:r>
      <w:r w:rsidRPr="0086281A">
        <w:rPr>
          <w:rFonts w:ascii="Calibri" w:hAnsi="Calibri"/>
          <w:vertAlign w:val="subscript"/>
          <w:lang w:val="en-GB"/>
        </w:rPr>
        <w:t>deindexed</w:t>
      </w:r>
      <w:r w:rsidRPr="0086281A">
        <w:rPr>
          <w:rFonts w:ascii="Calibri" w:hAnsi="Calibri"/>
          <w:lang w:val="en-GB"/>
        </w:rPr>
        <w:t xml:space="preserve"> and </w:t>
      </w:r>
      <w:r w:rsidR="00BD7C45" w:rsidRPr="0086281A">
        <w:rPr>
          <w:rFonts w:ascii="Calibri" w:hAnsi="Calibri"/>
          <w:lang w:val="en-GB"/>
        </w:rPr>
        <w:t>MDRD</w:t>
      </w:r>
      <w:r w:rsidR="00BD7C45" w:rsidRPr="0086281A">
        <w:rPr>
          <w:rFonts w:ascii="Calibri" w:hAnsi="Calibri"/>
          <w:vertAlign w:val="subscript"/>
          <w:lang w:val="en-GB"/>
        </w:rPr>
        <w:t>deindexed</w:t>
      </w:r>
      <w:r w:rsidR="00BD7C45" w:rsidRPr="0086281A">
        <w:rPr>
          <w:rFonts w:ascii="Calibri" w:hAnsi="Calibri"/>
          <w:lang w:val="en-GB"/>
        </w:rPr>
        <w:t xml:space="preserve">, </w:t>
      </w:r>
      <w:r w:rsidRPr="0086281A">
        <w:rPr>
          <w:rFonts w:ascii="Calibri" w:hAnsi="Calibri"/>
          <w:lang w:val="en-GB"/>
        </w:rPr>
        <w:t xml:space="preserve">respectively. </w:t>
      </w:r>
      <w:r w:rsidR="00BD7C45" w:rsidRPr="0086281A">
        <w:rPr>
          <w:rFonts w:ascii="Calibri" w:hAnsi="Calibri"/>
          <w:lang w:val="en-GB"/>
        </w:rPr>
        <w:t>Using this sub-group of population</w:t>
      </w:r>
      <w:r w:rsidRPr="0086281A">
        <w:rPr>
          <w:rFonts w:ascii="Calibri" w:hAnsi="Calibri"/>
          <w:lang w:val="en-GB"/>
        </w:rPr>
        <w:t xml:space="preserve"> </w:t>
      </w:r>
      <w:r w:rsidR="00E60F2B" w:rsidRPr="0086281A">
        <w:rPr>
          <w:rFonts w:ascii="Calibri" w:hAnsi="Calibri"/>
          <w:lang w:val="en-GB"/>
        </w:rPr>
        <w:t>2</w:t>
      </w:r>
      <w:r w:rsidRPr="0086281A">
        <w:rPr>
          <w:rFonts w:ascii="Calibri" w:hAnsi="Calibri"/>
          <w:lang w:val="en-GB"/>
        </w:rPr>
        <w:t>8 (31.1%), 21 (58.3%), 26 (52%) and 22 (</w:t>
      </w:r>
      <w:r w:rsidR="00E60F2B" w:rsidRPr="0086281A">
        <w:rPr>
          <w:rFonts w:ascii="Calibri" w:hAnsi="Calibri"/>
          <w:lang w:val="en-GB"/>
        </w:rPr>
        <w:t>71%)</w:t>
      </w:r>
      <w:r w:rsidR="002F2011" w:rsidRPr="0086281A">
        <w:rPr>
          <w:rFonts w:ascii="Calibri" w:hAnsi="Calibri"/>
          <w:lang w:val="en-GB"/>
        </w:rPr>
        <w:t xml:space="preserve"> </w:t>
      </w:r>
      <w:r w:rsidR="00BD7C45" w:rsidRPr="0086281A">
        <w:rPr>
          <w:rFonts w:ascii="Calibri" w:hAnsi="Calibri"/>
          <w:lang w:val="en-GB"/>
        </w:rPr>
        <w:t>patients</w:t>
      </w:r>
      <w:r w:rsidR="00E60F2B" w:rsidRPr="0086281A">
        <w:rPr>
          <w:rFonts w:ascii="Calibri" w:hAnsi="Calibri"/>
          <w:lang w:val="en-GB"/>
        </w:rPr>
        <w:t xml:space="preserve"> are misclassified as </w:t>
      </w:r>
      <w:r w:rsidR="001D544B">
        <w:rPr>
          <w:rFonts w:ascii="Calibri" w:hAnsi="Calibri"/>
          <w:lang w:val="en-GB"/>
        </w:rPr>
        <w:t>“</w:t>
      </w:r>
      <w:r w:rsidR="00E60F2B" w:rsidRPr="0086281A">
        <w:rPr>
          <w:rFonts w:ascii="Calibri" w:hAnsi="Calibri"/>
          <w:lang w:val="en-GB"/>
        </w:rPr>
        <w:t>hyper</w:t>
      </w:r>
      <w:r w:rsidRPr="0086281A">
        <w:rPr>
          <w:rFonts w:ascii="Calibri" w:hAnsi="Calibri"/>
          <w:lang w:val="en-GB"/>
        </w:rPr>
        <w:t>filtrating</w:t>
      </w:r>
      <w:r w:rsidR="001D544B">
        <w:rPr>
          <w:rFonts w:ascii="Calibri" w:hAnsi="Calibri"/>
          <w:lang w:val="en-GB"/>
        </w:rPr>
        <w:t>”</w:t>
      </w:r>
      <w:r w:rsidR="00E60F2B" w:rsidRPr="0086281A">
        <w:rPr>
          <w:rFonts w:ascii="Calibri" w:hAnsi="Calibri"/>
          <w:lang w:val="en-GB"/>
        </w:rPr>
        <w:t>, having actually</w:t>
      </w:r>
      <w:r w:rsidR="001D544B">
        <w:rPr>
          <w:rFonts w:ascii="Calibri" w:hAnsi="Calibri"/>
          <w:lang w:val="en-GB"/>
        </w:rPr>
        <w:t xml:space="preserve"> a</w:t>
      </w:r>
      <w:r w:rsidRPr="0086281A">
        <w:rPr>
          <w:rFonts w:ascii="Calibri" w:hAnsi="Calibri"/>
          <w:lang w:val="en-GB"/>
        </w:rPr>
        <w:t xml:space="preserve"> mGFR below 130</w:t>
      </w:r>
      <w:r w:rsidR="00BD7C45" w:rsidRPr="0086281A">
        <w:rPr>
          <w:rFonts w:ascii="Calibri" w:hAnsi="Calibri"/>
          <w:lang w:val="en-GB"/>
        </w:rPr>
        <w:t xml:space="preserve"> </w:t>
      </w:r>
      <w:r w:rsidRPr="0086281A">
        <w:rPr>
          <w:rFonts w:ascii="Calibri" w:hAnsi="Calibri"/>
          <w:lang w:val="en-GB"/>
        </w:rPr>
        <w:t>mL/min (table 5)</w:t>
      </w:r>
      <w:r w:rsidR="00993902" w:rsidRPr="0086281A">
        <w:rPr>
          <w:rFonts w:ascii="Calibri" w:hAnsi="Calibri"/>
          <w:lang w:val="en-GB"/>
        </w:rPr>
        <w:t>.</w:t>
      </w:r>
    </w:p>
    <w:p w:rsidR="00132546" w:rsidRPr="0086281A" w:rsidRDefault="00253B55" w:rsidP="008D35F6">
      <w:pPr>
        <w:pStyle w:val="Titre1"/>
        <w:tabs>
          <w:tab w:val="left" w:pos="3608"/>
        </w:tabs>
        <w:rPr>
          <w:rFonts w:ascii="Calibri" w:hAnsi="Calibri"/>
          <w:color w:val="FF0000"/>
          <w:lang w:val="en-GB"/>
        </w:rPr>
      </w:pPr>
      <w:r w:rsidRPr="0086281A">
        <w:rPr>
          <w:rFonts w:ascii="Calibri" w:hAnsi="Calibri"/>
          <w:lang w:val="en-GB"/>
        </w:rPr>
        <w:t>Discussion</w:t>
      </w:r>
      <w:r w:rsidR="00736BA7" w:rsidRPr="0086281A">
        <w:rPr>
          <w:rFonts w:ascii="Calibri" w:hAnsi="Calibri"/>
          <w:lang w:val="en-GB"/>
        </w:rPr>
        <w:t xml:space="preserve"> </w:t>
      </w:r>
    </w:p>
    <w:p w:rsidR="003028FD" w:rsidRPr="0086281A" w:rsidRDefault="003028FD" w:rsidP="003028FD">
      <w:pPr>
        <w:rPr>
          <w:rFonts w:ascii="Calibri" w:hAnsi="Calibri" w:cs="Times"/>
          <w:lang w:val="en-GB"/>
        </w:rPr>
      </w:pPr>
    </w:p>
    <w:p w:rsidR="007A1383" w:rsidRPr="0086281A" w:rsidRDefault="007A1383" w:rsidP="00C00421">
      <w:pPr>
        <w:rPr>
          <w:rFonts w:ascii="Calibri" w:hAnsi="Calibri" w:cs="Times"/>
          <w:lang w:val="en-GB"/>
        </w:rPr>
      </w:pPr>
      <w:r w:rsidRPr="0086281A">
        <w:rPr>
          <w:rFonts w:ascii="Calibri" w:hAnsi="Calibri" w:cs="Times"/>
          <w:lang w:val="en-GB"/>
        </w:rPr>
        <w:t>In our obese cohort, CG</w:t>
      </w:r>
      <w:r w:rsidR="00794E4C" w:rsidRPr="008E6410">
        <w:rPr>
          <w:rFonts w:ascii="Calibri" w:hAnsi="Calibri" w:cs="Times"/>
          <w:color w:val="000000"/>
          <w:vertAlign w:val="subscript"/>
          <w:lang w:val="en-GB"/>
        </w:rPr>
        <w:t>ABW</w:t>
      </w:r>
      <w:r w:rsidRPr="0086281A">
        <w:rPr>
          <w:rFonts w:ascii="Calibri" w:hAnsi="Calibri" w:cs="Times"/>
          <w:lang w:val="en-GB"/>
        </w:rPr>
        <w:t xml:space="preserve"> equation, </w:t>
      </w:r>
      <w:r w:rsidR="008730C9" w:rsidRPr="0086281A">
        <w:rPr>
          <w:rFonts w:ascii="Calibri" w:hAnsi="Calibri" w:cs="Times"/>
          <w:lang w:val="en-GB"/>
        </w:rPr>
        <w:t xml:space="preserve">still recommended </w:t>
      </w:r>
      <w:r w:rsidRPr="0086281A">
        <w:rPr>
          <w:rFonts w:ascii="Calibri" w:hAnsi="Calibri" w:cs="Times"/>
          <w:lang w:val="en-GB"/>
        </w:rPr>
        <w:t>by the FDA and the EMA for drug dosage</w:t>
      </w:r>
      <w:r w:rsidR="008730C9" w:rsidRPr="0086281A">
        <w:rPr>
          <w:rFonts w:ascii="Calibri" w:hAnsi="Calibri" w:cs="Times"/>
          <w:lang w:val="en-GB"/>
        </w:rPr>
        <w:t xml:space="preserve"> adaptation</w:t>
      </w:r>
      <w:r w:rsidRPr="0086281A">
        <w:rPr>
          <w:rFonts w:ascii="Calibri" w:hAnsi="Calibri" w:cs="Times"/>
          <w:lang w:val="en-GB"/>
        </w:rPr>
        <w:t>, is imprecise</w:t>
      </w:r>
      <w:r w:rsidR="005D2644" w:rsidRPr="0086281A">
        <w:rPr>
          <w:rFonts w:ascii="Calibri" w:hAnsi="Calibri" w:cs="Times"/>
          <w:lang w:val="en-GB"/>
        </w:rPr>
        <w:t xml:space="preserve"> and biased</w:t>
      </w:r>
      <w:r w:rsidR="00F7478E" w:rsidRPr="0086281A">
        <w:rPr>
          <w:rFonts w:ascii="Calibri" w:hAnsi="Calibri" w:cs="Times"/>
          <w:lang w:val="en-GB"/>
        </w:rPr>
        <w:t>,</w:t>
      </w:r>
      <w:r w:rsidRPr="0086281A">
        <w:rPr>
          <w:rFonts w:ascii="Calibri" w:hAnsi="Calibri" w:cs="Times"/>
          <w:lang w:val="en-GB"/>
        </w:rPr>
        <w:t xml:space="preserve"> and overestimates the mGFR in all CKD </w:t>
      </w:r>
      <w:r w:rsidR="005D2644" w:rsidRPr="0086281A">
        <w:rPr>
          <w:rFonts w:ascii="Calibri" w:hAnsi="Calibri" w:cs="Times"/>
          <w:lang w:val="en-GB"/>
        </w:rPr>
        <w:t>groups</w:t>
      </w:r>
      <w:r w:rsidR="00F7478E" w:rsidRPr="0086281A">
        <w:rPr>
          <w:rFonts w:ascii="Calibri" w:hAnsi="Calibri" w:cs="Times"/>
          <w:lang w:val="en-GB"/>
        </w:rPr>
        <w:t>.</w:t>
      </w:r>
      <w:r w:rsidRPr="0086281A">
        <w:rPr>
          <w:rFonts w:ascii="Calibri" w:hAnsi="Calibri" w:cs="Times"/>
          <w:lang w:val="en-GB"/>
        </w:rPr>
        <w:t xml:space="preserve"> </w:t>
      </w:r>
      <w:r w:rsidR="00E87642" w:rsidRPr="0086281A">
        <w:rPr>
          <w:rFonts w:ascii="Calibri" w:hAnsi="Calibri" w:cs="Times"/>
          <w:lang w:val="en-GB"/>
        </w:rPr>
        <w:t>I</w:t>
      </w:r>
      <w:r w:rsidRPr="0086281A">
        <w:rPr>
          <w:rFonts w:ascii="Calibri" w:hAnsi="Calibri" w:cs="Times"/>
          <w:lang w:val="en-GB"/>
        </w:rPr>
        <w:t xml:space="preserve">t is </w:t>
      </w:r>
      <w:r w:rsidR="00E87642" w:rsidRPr="0086281A">
        <w:rPr>
          <w:rFonts w:ascii="Calibri" w:hAnsi="Calibri" w:cs="Times"/>
          <w:lang w:val="en-GB"/>
        </w:rPr>
        <w:t xml:space="preserve">therefore </w:t>
      </w:r>
      <w:r w:rsidRPr="0086281A">
        <w:rPr>
          <w:rFonts w:ascii="Calibri" w:hAnsi="Calibri" w:cs="Times"/>
          <w:lang w:val="en-GB"/>
        </w:rPr>
        <w:t xml:space="preserve">not the </w:t>
      </w:r>
      <w:r w:rsidR="0077030D">
        <w:rPr>
          <w:rFonts w:ascii="Calibri" w:hAnsi="Calibri" w:cs="Times"/>
          <w:lang w:val="en-GB"/>
        </w:rPr>
        <w:t>m</w:t>
      </w:r>
      <w:r w:rsidR="002F2011" w:rsidRPr="0086281A">
        <w:rPr>
          <w:rFonts w:ascii="Calibri" w:hAnsi="Calibri" w:cs="Times"/>
          <w:lang w:val="en-GB"/>
        </w:rPr>
        <w:t>ost appropriate</w:t>
      </w:r>
      <w:r w:rsidRPr="0086281A">
        <w:rPr>
          <w:rFonts w:ascii="Calibri" w:hAnsi="Calibri" w:cs="Times"/>
          <w:lang w:val="en-GB"/>
        </w:rPr>
        <w:t xml:space="preserve"> e</w:t>
      </w:r>
      <w:r w:rsidR="00D63B3A" w:rsidRPr="0086281A">
        <w:rPr>
          <w:rFonts w:ascii="Calibri" w:hAnsi="Calibri" w:cs="Times"/>
          <w:lang w:val="en-GB"/>
        </w:rPr>
        <w:t xml:space="preserve">quation to </w:t>
      </w:r>
      <w:r w:rsidR="007C2BF1" w:rsidRPr="0086281A">
        <w:rPr>
          <w:rFonts w:ascii="Calibri" w:hAnsi="Calibri" w:cs="Times"/>
          <w:lang w:val="en-GB"/>
        </w:rPr>
        <w:t>use</w:t>
      </w:r>
      <w:r w:rsidR="00D63B3A" w:rsidRPr="0086281A">
        <w:rPr>
          <w:rFonts w:ascii="Calibri" w:hAnsi="Calibri" w:cs="Times"/>
          <w:lang w:val="en-GB"/>
        </w:rPr>
        <w:t xml:space="preserve"> for this purpose in this group of patient</w:t>
      </w:r>
      <w:r w:rsidR="0077030D">
        <w:rPr>
          <w:rFonts w:ascii="Calibri" w:hAnsi="Calibri" w:cs="Times"/>
          <w:lang w:val="en-GB"/>
        </w:rPr>
        <w:t>s</w:t>
      </w:r>
      <w:r w:rsidR="00D63B3A" w:rsidRPr="0086281A">
        <w:rPr>
          <w:rFonts w:ascii="Calibri" w:hAnsi="Calibri" w:cs="Times"/>
          <w:lang w:val="en-GB"/>
        </w:rPr>
        <w:t>.</w:t>
      </w:r>
      <w:r w:rsidR="007C2BF1" w:rsidRPr="0086281A">
        <w:rPr>
          <w:rFonts w:ascii="Calibri" w:hAnsi="Calibri" w:cs="Times"/>
          <w:lang w:val="en-GB"/>
        </w:rPr>
        <w:t xml:space="preserve"> Using the AIBW instead of the ABW in the CG equation increases the performances of this equation. For the other creatinine-based equations, MDRD</w:t>
      </w:r>
      <w:r w:rsidR="007C2BF1" w:rsidRPr="0086281A">
        <w:rPr>
          <w:rFonts w:ascii="Calibri" w:hAnsi="Calibri" w:cs="Times"/>
          <w:vertAlign w:val="subscript"/>
          <w:lang w:val="en-GB"/>
        </w:rPr>
        <w:t>deindexed</w:t>
      </w:r>
      <w:r w:rsidR="007C2BF1" w:rsidRPr="0086281A">
        <w:rPr>
          <w:rFonts w:ascii="Calibri" w:hAnsi="Calibri" w:cs="Times"/>
          <w:lang w:val="en-GB"/>
        </w:rPr>
        <w:t xml:space="preserve"> outperforms the CKD-EPI</w:t>
      </w:r>
      <w:r w:rsidR="007C2BF1" w:rsidRPr="0086281A">
        <w:rPr>
          <w:rFonts w:ascii="Calibri" w:hAnsi="Calibri" w:cs="Times"/>
          <w:vertAlign w:val="subscript"/>
          <w:lang w:val="en-GB"/>
        </w:rPr>
        <w:t>deindexed</w:t>
      </w:r>
      <w:r w:rsidR="007C2BF1" w:rsidRPr="0086281A">
        <w:rPr>
          <w:rFonts w:ascii="Calibri" w:hAnsi="Calibri" w:cs="Times"/>
          <w:lang w:val="en-GB"/>
        </w:rPr>
        <w:t xml:space="preserve"> equation </w:t>
      </w:r>
      <w:r w:rsidR="00E87642" w:rsidRPr="0086281A">
        <w:rPr>
          <w:rFonts w:ascii="Calibri" w:hAnsi="Calibri" w:cs="Times"/>
          <w:lang w:val="en-GB"/>
        </w:rPr>
        <w:t xml:space="preserve">in terms of bias and accuracy </w:t>
      </w:r>
      <w:r w:rsidR="007C2BF1" w:rsidRPr="0086281A">
        <w:rPr>
          <w:rFonts w:ascii="Calibri" w:hAnsi="Calibri" w:cs="Times"/>
          <w:lang w:val="en-GB"/>
        </w:rPr>
        <w:t xml:space="preserve">in the </w:t>
      </w:r>
      <w:r w:rsidR="009253D6" w:rsidRPr="0086281A">
        <w:rPr>
          <w:rFonts w:ascii="Calibri" w:hAnsi="Calibri" w:cs="Times"/>
          <w:lang w:val="en-GB"/>
        </w:rPr>
        <w:t>whole obese</w:t>
      </w:r>
      <w:r w:rsidR="007C2BF1" w:rsidRPr="0086281A">
        <w:rPr>
          <w:rFonts w:ascii="Calibri" w:hAnsi="Calibri" w:cs="Times"/>
          <w:lang w:val="en-GB"/>
        </w:rPr>
        <w:t xml:space="preserve"> population (table 2). </w:t>
      </w:r>
    </w:p>
    <w:p w:rsidR="007A1383" w:rsidRPr="0086281A" w:rsidRDefault="007A1383" w:rsidP="00C00421">
      <w:pPr>
        <w:rPr>
          <w:rFonts w:ascii="Calibri" w:hAnsi="Calibri" w:cs="Times"/>
          <w:lang w:val="en-GB"/>
        </w:rPr>
      </w:pPr>
    </w:p>
    <w:p w:rsidR="00895D9C" w:rsidRPr="0086281A" w:rsidRDefault="00C00421" w:rsidP="003028FD">
      <w:pPr>
        <w:rPr>
          <w:rFonts w:ascii="Calibri" w:hAnsi="Calibri" w:cs="Times"/>
          <w:lang w:val="en-GB"/>
        </w:rPr>
      </w:pPr>
      <w:r w:rsidRPr="0086281A">
        <w:rPr>
          <w:rFonts w:ascii="Calibri" w:hAnsi="Calibri" w:cs="Times"/>
          <w:lang w:val="en-GB"/>
        </w:rPr>
        <w:t>Estimating an individual’s renal function is a key step in the individualisation of the dosage of renal-cleared drugs. This is especially important wh</w:t>
      </w:r>
      <w:r w:rsidR="00951994" w:rsidRPr="0086281A">
        <w:rPr>
          <w:rFonts w:ascii="Calibri" w:hAnsi="Calibri" w:cs="Times"/>
          <w:lang w:val="en-GB"/>
        </w:rPr>
        <w:t xml:space="preserve">en choosing a maintenance dose </w:t>
      </w:r>
      <w:r w:rsidR="002A5F56" w:rsidRPr="0086281A">
        <w:rPr>
          <w:rFonts w:ascii="Calibri" w:hAnsi="Calibri" w:cs="Times"/>
          <w:lang w:val="en-GB"/>
        </w:rPr>
        <w:t>for</w:t>
      </w:r>
      <w:r w:rsidRPr="0086281A">
        <w:rPr>
          <w:rFonts w:ascii="Calibri" w:hAnsi="Calibri" w:cs="Times"/>
          <w:lang w:val="en-GB"/>
        </w:rPr>
        <w:t xml:space="preserve"> drugs with a narrow therapeutic </w:t>
      </w:r>
      <w:r w:rsidR="00895D9C" w:rsidRPr="0086281A">
        <w:rPr>
          <w:rFonts w:ascii="Calibri" w:hAnsi="Calibri" w:cs="Times"/>
          <w:lang w:val="en-GB"/>
        </w:rPr>
        <w:t>window</w:t>
      </w:r>
      <w:r w:rsidRPr="0086281A">
        <w:rPr>
          <w:rFonts w:ascii="Calibri" w:hAnsi="Calibri" w:cs="Times"/>
          <w:lang w:val="en-GB"/>
        </w:rPr>
        <w:t xml:space="preserve">, such as antibiotics (e.g. gentamicin) or </w:t>
      </w:r>
      <w:r w:rsidR="00895D9C" w:rsidRPr="0086281A">
        <w:rPr>
          <w:rFonts w:ascii="Calibri" w:hAnsi="Calibri" w:cs="Times"/>
          <w:lang w:val="en-GB"/>
        </w:rPr>
        <w:t>newer oral anticoagulants</w:t>
      </w:r>
      <w:r w:rsidRPr="0086281A">
        <w:rPr>
          <w:rFonts w:ascii="Calibri" w:hAnsi="Calibri" w:cs="Times"/>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24t2egaenm","properties":{"formattedCitation":"(29)","plainCitation":"(29)"},"citationItems":[{"id":1454,"uris":["http://zotero.org/users/2405774/items/SHW22RK2"],"uri":["http://zotero.org/users/2405774/items/SHW22RK2"],"itemData":{"id":1454,"type":"article-journal","title":"A unified pharmacokinetic approach to individualized drug dosing","container-title":"British Journal of Clinical Pharmacology","page":"335-339","volume":"73","issue":"3","source":"NCBI PubMed","DOI":"10.1111/j.1365-2125.2011.04089.x","ISSN":"1365-2125","note":"PMID: 21851378 \nPMCID: PMC3370338","journalAbbreviation":"Br J Clin Pharmacol","language":"eng","author":[{"family":"Begg","given":"Evan J."},{"family":"Chin","given":"Paul K. L."}],"issued":{"date-parts":[["2012",3]]},"PMID":"21851378","PMCID":"PMC3370338"}}],"schema":"https://github.com/citation-style-language/schema/raw/master/csl-citation.json"}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(29)</w:t>
      </w:r>
      <w:r w:rsidR="00777D1E" w:rsidRPr="0086281A">
        <w:rPr>
          <w:rFonts w:ascii="Calibri" w:hAnsi="Calibri" w:cs="Times"/>
          <w:lang w:val="en-GB"/>
        </w:rPr>
        <w:fldChar w:fldCharType="end"/>
      </w:r>
      <w:r w:rsidRPr="0086281A">
        <w:rPr>
          <w:rFonts w:ascii="Calibri" w:hAnsi="Calibri" w:cs="Times"/>
          <w:lang w:val="en-GB"/>
        </w:rPr>
        <w:t xml:space="preserve">. </w:t>
      </w:r>
      <w:r w:rsidR="00895D9C" w:rsidRPr="0086281A">
        <w:rPr>
          <w:rFonts w:ascii="Calibri" w:hAnsi="Calibri" w:cs="Times"/>
          <w:lang w:val="en-GB"/>
        </w:rPr>
        <w:t xml:space="preserve">A correct assessment of </w:t>
      </w:r>
      <w:r w:rsidR="00E87642" w:rsidRPr="0086281A">
        <w:rPr>
          <w:rFonts w:ascii="Calibri" w:hAnsi="Calibri" w:cs="Times"/>
          <w:lang w:val="en-GB"/>
        </w:rPr>
        <w:t xml:space="preserve">the </w:t>
      </w:r>
      <w:r w:rsidR="00895D9C" w:rsidRPr="0086281A">
        <w:rPr>
          <w:rFonts w:ascii="Calibri" w:hAnsi="Calibri" w:cs="Times"/>
          <w:lang w:val="en-GB"/>
        </w:rPr>
        <w:t xml:space="preserve">renal function is paramount in the group of obese individuals, who frequently need drug treatments </w:t>
      </w:r>
      <w:r w:rsidR="009253D6" w:rsidRPr="0086281A">
        <w:rPr>
          <w:rFonts w:ascii="Calibri" w:hAnsi="Calibri" w:cs="Times"/>
          <w:lang w:val="en-GB"/>
        </w:rPr>
        <w:t xml:space="preserve">for </w:t>
      </w:r>
      <w:r w:rsidR="00895D9C" w:rsidRPr="0086281A">
        <w:rPr>
          <w:rFonts w:ascii="Calibri" w:hAnsi="Calibri" w:cs="Times"/>
          <w:lang w:val="en-GB"/>
        </w:rPr>
        <w:t xml:space="preserve">obesity-associated co-morbidities. </w:t>
      </w:r>
      <w:r w:rsidR="00895D9C" w:rsidRPr="0086281A">
        <w:rPr>
          <w:rFonts w:ascii="Calibri" w:hAnsi="Calibri" w:cs="Times New Roman"/>
          <w:lang w:val="en-GB"/>
        </w:rPr>
        <w:t xml:space="preserve">Overestimated kidney function may lead to </w:t>
      </w:r>
      <w:r w:rsidR="00E87642" w:rsidRPr="0086281A">
        <w:rPr>
          <w:rFonts w:ascii="Calibri" w:hAnsi="Calibri" w:cs="Times New Roman"/>
          <w:lang w:val="en-GB"/>
        </w:rPr>
        <w:t xml:space="preserve">the </w:t>
      </w:r>
      <w:r w:rsidR="00895D9C" w:rsidRPr="0086281A">
        <w:rPr>
          <w:rFonts w:ascii="Calibri" w:hAnsi="Calibri" w:cs="Times New Roman"/>
          <w:lang w:val="en-GB"/>
        </w:rPr>
        <w:t>administration of inappropriately large doses and possible toxicity, and conversely</w:t>
      </w:r>
      <w:r w:rsidR="009253D6" w:rsidRPr="0086281A">
        <w:rPr>
          <w:rFonts w:ascii="Calibri" w:hAnsi="Calibri" w:cs="Times New Roman"/>
          <w:lang w:val="en-GB"/>
        </w:rPr>
        <w:t>,</w:t>
      </w:r>
      <w:r w:rsidR="00895D9C" w:rsidRPr="0086281A">
        <w:rPr>
          <w:rFonts w:ascii="Calibri" w:hAnsi="Calibri" w:cs="Times New Roman"/>
          <w:lang w:val="en-GB"/>
        </w:rPr>
        <w:t xml:space="preserve"> underestimated</w:t>
      </w:r>
      <w:r w:rsidR="002F2011" w:rsidRPr="0086281A">
        <w:rPr>
          <w:rFonts w:ascii="Calibri" w:hAnsi="Calibri" w:cs="Times New Roman"/>
          <w:lang w:val="en-GB"/>
        </w:rPr>
        <w:t xml:space="preserve"> kidney function</w:t>
      </w:r>
      <w:r w:rsidR="00895D9C" w:rsidRPr="0086281A">
        <w:rPr>
          <w:rFonts w:ascii="Calibri" w:hAnsi="Calibri" w:cs="Times New Roman"/>
          <w:lang w:val="en-GB"/>
        </w:rPr>
        <w:t xml:space="preserve"> (</w:t>
      </w:r>
      <w:r w:rsidR="00E60F2B" w:rsidRPr="0086281A">
        <w:rPr>
          <w:rFonts w:ascii="Calibri" w:hAnsi="Calibri" w:cs="Times New Roman"/>
          <w:lang w:val="en-GB"/>
        </w:rPr>
        <w:t xml:space="preserve">by the way </w:t>
      </w:r>
      <w:r w:rsidR="00951994" w:rsidRPr="0086281A">
        <w:rPr>
          <w:rFonts w:ascii="Calibri" w:hAnsi="Calibri" w:cs="Times New Roman"/>
          <w:lang w:val="en-GB"/>
        </w:rPr>
        <w:t>of</w:t>
      </w:r>
      <w:r w:rsidR="00E60F2B" w:rsidRPr="0086281A">
        <w:rPr>
          <w:rFonts w:ascii="Calibri" w:hAnsi="Calibri" w:cs="Times New Roman"/>
          <w:lang w:val="en-GB"/>
        </w:rPr>
        <w:t xml:space="preserve"> </w:t>
      </w:r>
      <w:r w:rsidR="00895D9C" w:rsidRPr="0086281A">
        <w:rPr>
          <w:rFonts w:ascii="Calibri" w:hAnsi="Calibri" w:cs="Times New Roman"/>
          <w:lang w:val="en-GB"/>
        </w:rPr>
        <w:t>hyperfiltration) may lead to sub-therapeutic dosing, treatment failures, and prolonged illness</w:t>
      </w:r>
      <w:r w:rsidR="00895D9C" w:rsidRPr="0086281A">
        <w:rPr>
          <w:rFonts w:ascii="Calibri" w:hAnsi="Calibri" w:cs="Times"/>
          <w:lang w:val="en-GB"/>
        </w:rPr>
        <w:t>.</w:t>
      </w:r>
    </w:p>
    <w:p w:rsidR="003028FD" w:rsidRPr="0086281A" w:rsidRDefault="003028FD" w:rsidP="003028FD">
      <w:pPr>
        <w:rPr>
          <w:rFonts w:ascii="Calibri" w:hAnsi="Calibri" w:cs="Times"/>
          <w:lang w:val="en-GB"/>
        </w:rPr>
      </w:pPr>
    </w:p>
    <w:p w:rsidR="008C391A" w:rsidRPr="0086281A" w:rsidRDefault="003028FD" w:rsidP="00E1761E">
      <w:pPr>
        <w:rPr>
          <w:rFonts w:ascii="Calibri" w:hAnsi="Calibri"/>
          <w:lang w:val="en-GB"/>
        </w:rPr>
      </w:pPr>
      <w:r w:rsidRPr="0086281A">
        <w:rPr>
          <w:rFonts w:ascii="Calibri" w:hAnsi="Calibri" w:cs="Times"/>
          <w:lang w:val="en-GB"/>
        </w:rPr>
        <w:t xml:space="preserve">The CG equation has been used for several decades and is </w:t>
      </w:r>
      <w:r w:rsidR="00C45C58" w:rsidRPr="0086281A">
        <w:rPr>
          <w:rFonts w:ascii="Calibri" w:hAnsi="Calibri" w:cs="Times"/>
          <w:lang w:val="en-GB"/>
        </w:rPr>
        <w:t xml:space="preserve">still </w:t>
      </w:r>
      <w:r w:rsidRPr="0086281A">
        <w:rPr>
          <w:rFonts w:ascii="Calibri" w:hAnsi="Calibri" w:cs="Times"/>
          <w:lang w:val="en-GB"/>
        </w:rPr>
        <w:t xml:space="preserve">part of the guidance </w:t>
      </w:r>
      <w:r w:rsidR="00D77A4A" w:rsidRPr="0086281A">
        <w:rPr>
          <w:rFonts w:ascii="Calibri" w:hAnsi="Calibri" w:cs="Times"/>
          <w:lang w:val="en-GB"/>
        </w:rPr>
        <w:t>for</w:t>
      </w:r>
      <w:r w:rsidRPr="0086281A">
        <w:rPr>
          <w:rFonts w:ascii="Calibri" w:hAnsi="Calibri" w:cs="Times"/>
          <w:lang w:val="en-GB"/>
        </w:rPr>
        <w:t xml:space="preserve"> the FDA and the EMA </w:t>
      </w:r>
      <w:r w:rsidR="00D77A4A" w:rsidRPr="0086281A">
        <w:rPr>
          <w:rFonts w:ascii="Calibri" w:hAnsi="Calibri" w:cs="Times"/>
          <w:lang w:val="en-GB"/>
        </w:rPr>
        <w:t>in</w:t>
      </w:r>
      <w:r w:rsidRPr="0086281A">
        <w:rPr>
          <w:rFonts w:ascii="Calibri" w:hAnsi="Calibri" w:cs="Times"/>
          <w:lang w:val="en-GB"/>
        </w:rPr>
        <w:t xml:space="preserve"> pharmacokinetic studies </w:t>
      </w:r>
      <w:r w:rsidR="009C6275" w:rsidRPr="0086281A">
        <w:rPr>
          <w:rFonts w:ascii="Calibri" w:hAnsi="Calibri" w:cs="Times"/>
          <w:lang w:val="en-GB"/>
        </w:rPr>
        <w:t xml:space="preserve">regarding </w:t>
      </w:r>
      <w:r w:rsidRPr="0086281A">
        <w:rPr>
          <w:rFonts w:ascii="Calibri" w:hAnsi="Calibri" w:cs="Times"/>
          <w:lang w:val="en-GB"/>
        </w:rPr>
        <w:t>the setting of renal impairment</w:t>
      </w:r>
      <w:r w:rsidR="000909CB" w:rsidRPr="0086281A">
        <w:rPr>
          <w:rFonts w:ascii="Calibri" w:hAnsi="Calibri" w:cs="Times"/>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18qne8ebc","properties":{"formattedCitation":"(19,17,30)","plainCitation":"(19,17,30)"},"citationItems":[{"id":1386,"uris":["http://zotero.org/users/2405774/items/X2CBNVHX"],"uri":["http://zotero.org/users/2405774/items/X2CBNVHX"],"itemData":{"id":1386,"type":"article-journal","title":"Drug development perspective on pharmacokinetic studies of new drugs in patients with renal impairment","container-title":"Clinical Pharmacology and Therapeutics","page":"557-561","volume":"86","issue":"5","source":"NCBI PubMed","abstract":"Severe renal impairment can, through diverse mechanisms, alter the pharmacokinetics (PK) of drugs that are renally eliminated and even of some drugs that are nonrenally eliminated. Consequently, dose adjustment for new molecular entities in patients with renal insufficiency is a critical issue in drug development. Clinical pharmacology studies undertaken in patients with renal impairment are generally quite small. We therefore recommend that all pertinent pharmacokinetic data relating to subjects with different degrees of renal impairment and from different clinical trials, including population pharmacokinetic evaluation, form the basis for dosage recommendations in renal impairment. The Modification of Diet in Renal Disease (MDRD) equation has gained popularity for renal insufficiency classification, but traditional equations such as the Cockcroft-Gault (C-G) formula should enjoy continued use so as to avoid confusion, particularly for drugs for which dosing guidelines have previously been developed.","DOI":"10.1038/clpt.2009.182","ISSN":"1532-6535","note":"PMID: 19776736","journalAbbreviation":"Clin. Pharmacol. Ther.","language":"eng","author":[{"family":"Lalonde","given":"R. L."},{"family":"Wagner","given":"J. A."}],"issued":{"date-parts":[["2009",11]]},"PMID":"19776736"},"label":"page"},{"id":1531,"uris":["http://zotero.org/users/2405774/items/JE8W37SV"],"uri":["http://zotero.org/users/2405774/items/JE8W37SV"],"itemData":{"id":1531,"type":"article","title":"FDA: http://www.fda.gov/downloads/Drugs/Guidances/UCM204959.pdf; 2010."},"label":"page"},{"id":1532,"uris":["http://zotero.org/users/2405774/items/8W4RP6K7"],"uri":["http://zotero.org/users/2405774/items/8W4RP6K7"],"itemData":{"id":1532,"type":"article","title":"EMA: http://www.ema.europa.eu/docs/en_GB/document_library/Scientific_guideline/2014/02/WC500162133.pdf; 2014."},"label":"page"}],"schema":"https://github.com/citation-style-language/schema/raw/master/csl-citation.json"}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(19,17,30)</w:t>
      </w:r>
      <w:r w:rsidR="00777D1E" w:rsidRPr="0086281A">
        <w:rPr>
          <w:rFonts w:ascii="Calibri" w:hAnsi="Calibri" w:cs="Times"/>
          <w:lang w:val="en-GB"/>
        </w:rPr>
        <w:fldChar w:fldCharType="end"/>
      </w:r>
      <w:r w:rsidRPr="0086281A">
        <w:rPr>
          <w:rFonts w:ascii="Calibri" w:hAnsi="Calibri" w:cs="Times"/>
          <w:lang w:val="en-GB"/>
        </w:rPr>
        <w:t xml:space="preserve">. </w:t>
      </w:r>
      <w:r w:rsidR="009947DC" w:rsidRPr="0086281A">
        <w:rPr>
          <w:rFonts w:ascii="Calibri" w:hAnsi="Calibri"/>
          <w:lang w:val="en-GB"/>
        </w:rPr>
        <w:t>Its accuracy to estimate GFR is</w:t>
      </w:r>
      <w:r w:rsidR="002F2011" w:rsidRPr="0086281A">
        <w:rPr>
          <w:rFonts w:ascii="Calibri" w:hAnsi="Calibri"/>
          <w:lang w:val="en-GB"/>
        </w:rPr>
        <w:t>,</w:t>
      </w:r>
      <w:r w:rsidR="009947DC" w:rsidRPr="0086281A">
        <w:rPr>
          <w:rFonts w:ascii="Calibri" w:hAnsi="Calibri"/>
          <w:lang w:val="en-GB"/>
        </w:rPr>
        <w:t xml:space="preserve"> however</w:t>
      </w:r>
      <w:r w:rsidR="002F2011" w:rsidRPr="0086281A">
        <w:rPr>
          <w:rFonts w:ascii="Calibri" w:hAnsi="Calibri"/>
          <w:lang w:val="en-GB"/>
        </w:rPr>
        <w:t>,</w:t>
      </w:r>
      <w:r w:rsidR="009947DC" w:rsidRPr="0086281A">
        <w:rPr>
          <w:rFonts w:ascii="Calibri" w:hAnsi="Calibri"/>
          <w:lang w:val="en-GB"/>
        </w:rPr>
        <w:t xml:space="preserve"> not optimal in obese patients, as expected by the bias induced by the ABW in the equation</w:t>
      </w:r>
      <w:r w:rsidR="00A75375"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{"citationID":"2l2hklapvm","properties":{"formattedCitation":"{\\rtf (14,31\\uc0\\u8211{}34)}","plainCitation":"(14,31–34)"},"citationItems":[{"id":1305,"uris":["http://zotero.org/users/2405774/items/QBE2E5S7"],"uri":["http://zotero.org/users/2405774/items/QBE2E5S7"],"itemData":{"id":1305,"type":"article-journal","title":"The performances of the Cockcroft-Gault, modification of diet in renal disease study and chronic kidney disease epidemiology collaboration equations in predicting gentamicin clearance","container-title":"Annals of Clinical Biochemistry","page":"546-557","volume":"50","issue":"6","source":"NCBI PubMed","abstract":"BACKGROUND: It is unclear which renal function equation, employing an isotope dilution mass spectrometry (IDMS)-aligned creatinine assay, best predicts gentamicin clearance.\nMETHODS: The performances of the Cockcroft-Gault, Modification of Diet in Renal Disease (MDRD) Study and Chronic Kidney Disease Epidemiology Collaboration (CKD-EPI) equations for predicting gentamicin clearances were assessed retrospectively in 240 patients treated with gentamicin during 2011-2012, when the local creatinine assay was IDMS-aligned. Comparisons were based on the percentage within 30% of gentamicin clearance (P 30) and the root-mean-square error (RMSE) of each equation. Gentamicin clearance was calculated from plasma concentrations using a one-compartment model.\nRESULTS: The Cockcroft-Gault equation and the CKD-EPI equation corrected for individual body surface area (BSA) were associated with the highest P 30 (69% and 67%, respectively) and lowest RMSE (39 and 36 mL/min, respectively) in the 240 patients. Correction for individual BSA improved the performances of the MDRD Study and CKD-EPI equations in patients with body mass indices &lt;18.5 or ≥30 kg/m(2). The equations systematically underestimated gentamicin clearance as gentamicin clearance increased, with performance being inferior with gentamicin clearance ≥90 versus &lt;90 mL/min.\nCONCLUSIONS: The CKD-EPI equation corrected for individual BSA, and the Cockcroft-Gault equation, provided the best estimates of gentamicin clearance. The CKD-EPI and MDRD Study equations should be corrected for individual BSA at the extremes of body size, if used for guiding gentamicin therapy. The performances of the equations were inferior in patients with higher values of gentamicin clearance.","DOI":"10.1177/0004563213492320","ISSN":"1758-1001","note":"PMID: 24045301","journalAbbreviation":"Ann. Clin. Biochem.","language":"eng","author":[{"family":"Chin","given":"P. K. L."},{"family":"Florkowski","given":"C. M."},{"family":"Begg","given":"E. J."}],"issued":{"date-parts":[["2013",11]]},"PMID":"24045301"},"label":"page"},{"id":1275,"uris":["http://zotero.org/users/2405774/items/4M89FM68"],"uri":["http://zotero.org/users/2405774/items/4M89FM68"],"itemData":{"id":1275,"type":"article-journal","title":"The applicability of eGFR equations to different populations","container-title":"Nature Reviews. Nephrology","page":"513-522","volume":"9","issue":"9","source":"NCBI PubMed","abstract":"The Cockcroft-Gault equation for estimating glomerular filtration rate has been learnt by every generation of medical students over the decades. Since the publication of the Modification of Diet in Renal Disease (MDRD) study equation in 1999, however, the supremacy of the Cockcroft-Gault equation has been relentlessly disputed. More recently, the Chronic Kidney Disease Epidemiology (CKD-EPI) consortium has proposed a group of novel equations for estimating glomerular filtration rate (GFR). The MDRD and CKD-EPI equations were developed following a rigorous process, are expressed in a way in which they can be used with standardized biomarkers of GFR (serum creatinine and/or serum cystatin C) and have been evaluated in different populations of patients. Today, the MDRD Study equation and the CKD-EPI equation based on serum creatinine level have supplanted the Cockcroft-Gault equation. In many regards, these equations are superior to the Cockcroft-Gault equation and are now specifically recommended by international guidelines. With their generalized use, however, it has become apparent that those equations are not infallible and that they fail to provide an accurate estimate of GFR in certain situations frequently encountered in clinical practice. After describing the processes that led to the development of the new GFR-estimating equations, this Review discusses the clinical situations in which the applicability of these equations is questioned.","DOI":"10.1038/nrneph.2013.143","ISSN":"1759-507X","note":"PMID: 23856996","journalAbbreviation":"Nat Rev Nephrol","language":"eng","author":[{"family":"Delanaye","given":"Pierre"},{"family":"Mariat","given":"Christophe"}],"issued":{"date-parts":[["2013",9]]},"PMID":"23856996"},"label":"page"},{"id":1295,"uris":["http://zotero.org/users/2405774/items/KMU2JSDJ"],"uri":["http://zotero.org/users/2405774/items/KMU2JSDJ"],"itemData":{"id":1295,"type":"article-journal","title":"Comparative evaluation of the Cockcroft-Gault Equation and the Modification of Diet in Renal Disease (MDRD) study equation for drug dosing: an opinion of the Nephrology Practice and Research Network of the American College of Clinical Pharmacy","container-title":"Pharmacotherapy","page":"1130-1144","volume":"31","issue":"11","source":"NCBI PubMed","abstract":"Accurate assessment of kidney function is an important component of determining appropriate drug dosing regimens. Nearly all manufacturer-recommended dosage adjustments are based on creatinine clearance ranges derived from clinical pharmacokinetic studies performed during the drug development process. The Cockcroft-Gault (CG) equation provides an estimate of creatinine clearance and is the equation most commonly used to determine drug dosages in patients with impaired kidney function. The Modification of Diet in Renal Disease (MDRD) study equation has also been proposed for this purpose. Published studies report that drug dosages determined by the two equations do not agree in 10-40% of cases. However, interpretation and comparison of these studies are complicated by the variable creatinine methods used for calculating CG and MDRD estimates, the patient populations studied, and a lack of outcomes data demonstrating the clinical significance of dosing discrepancies. Moreover, the impact of reporting standardized serum creatinine values on the accuracy of the CG equation and corresponding drug dosing regimens have been questioned. Currently, no prospective pharmacokinetic studies have been conducted with use of the MDRD equation to generate dosing recommendations, and limited data are available to support its use in some patient populations representing demographic extremes. Collectively, these issues have resulted in considerable confusion among clinicians and have fueled a healthy debate on whether or not to use the MDRD equation to determine drug dosages. Each of these issues is reviewed, and a proposed algorithm for using creatinine-based kidney function assessments in drug dosing is provided. Knowledge of the advantages, limitations, and clinical role of each equation will facilitate their safe and effective use in drug dosing.","DOI":"10.1592/phco.31.11.1130","ISSN":"1875-9114","note":"PMID: 22026399","shortTitle":"Comparative evaluation of the Cockcroft-Gault Equation and the Modification of Diet in Renal Disease (MDRD) study equation for drug dosing","journalAbbreviation":"Pharmacotherapy","language":"eng","author":[{"family":"Nyman","given":"Heather A."},{"family":"Dowling","given":"Thomas C."},{"family":"Hudson","given":"Joanna Q."},{"family":"Peter","given":"Wendy L. St"},{"family":"Joy","given":"Melanie S."},{"family":"Nolin","given":"Thomas D."}],"issued":{"date-parts":[["2011",11]]},"PMID":"22026399"},"label":"page"},{"id":1035,"uris":["http://zotero.org/users/local/gLwvffvk/items/IKAWKJMR"],"uri":["http://zotero.org/users/local/gLwvffvk/items/IKAWKJMR"],"itemData":{"id":1035,"type":"article-journal","title":"Measurement of glomerular filtration rate in obese patients: pitfalls and potential consequences on drug therapy","container-title":"Obesity Facts","page":"238-243","volume":"4","issue":"3","source":"NCBI PubMed","abstract":"Epidemiological studies have shown that obesity is associated with chronic kidney disease and end stage renal disease. These studies have used creatinine derived equations to estimate glomerular filtration rate (GFR) and have indexed GFR to body surface area (BSA). However, the use of equations using creatinine as a surrogate marker of glomerular filtration and the indexation of GFR for BSA can be questioned in the obese population. First, these equations lack precision when they are compared to gold standard GFR measurements such as inulin clearances; secondly, the indexation of GFR for 1.73 m(2) of BSA leads to a systematic underestimation of GFR compared to absolute GFR in obese patients who have BSA that usually exceed 1.73 m(2). Obesity is also associated with pathophysiological changes that can affect the pharmacokinetics of drugs. The effect of obesity on both renal function and drug pharmacokinetics raises the issue of correct drug dosage in obese individuals. This may be particularly relevant for drugs known to have a narrow therapeutic range or excreted by the kidney.","DOI":"10.1159/000329547","ISSN":"1662-4033","note":"PMID: 21701241","shortTitle":"Measurement of glomerular filtration rate in obese patients","journalAbbreviation":"Obes Facts","language":"eng","author":[{"family":"Wuerzner","given":"Grégoire"},{"family":"Bochud","given":"Murielle"},{"family":"Giusti","given":"Vittorio"},{"family":"Burnier","given":"Michel"}],"issued":{"date-parts":[["2011"]]},"PMID":"21701241"},"label":"page"},{"id":1476,"uris":["http://zotero.org/users/2405774/items/SPRXAEGR"],"uri":["http://zotero.org/users/2405774/items/SPRXAEGR"],"itemData":{"id":1476,"type":"article-journal","title":"A simple method for correcting overestimated glomerular filtration rate in obese subjects evaluated by the Cockcroft and Gault formula: a comparison with 51Cr EDTA clearance","container-title":"Clinical Nephrology","page":"97-103","volume":"62","issue":"2","source":"NCBI PubMed","abstract":"AIM: The Cockcroft and Gault formula is a quick and reliable method for calculating creatinine clearance without a 24-hour urine collection (CG-cl). In obese subjects an excess of fat mass provokes a reduction in daily creatinine urine excretion per body kilo weight and is responsible for overestimated renal function when calculated by CG-cl. The aim of this study was to devise a simple correction method which could also make use of CG-cl in obese subjects.\nPATIENTS AND METHODS: In 52 subjects with a body mass index (BMI) &gt; 25, renal function was assessed by simultaneously determining creatinine clearance using 24-hour urine collection (Cr-cl) and the CG-cl. The percentage difference between the 2 clearances (delta %) was correlated with BMI for each patient using simple linear regression analysis. The estimated regression model (delta% = 1.217 BMI-- 24.81) provided the following CG-cl correction formula for obese subjects: Corrected CG-cl = CG-cl (1.25 - 0.012 BMI). Its validity was evaluated in another group of 20 subjects with BMI &gt; 25 by comparing the results obtained with Corrected CG-cl to those obtained by CG-cl and MDRD formula (MDRD-cl) using the clearance of 51Cr-EDTA (5 Cr-EDTA-cl) as the GFR measurement gold standard.\nRESULTS AND CONCLUSION: Linear regression analysis of CG-cl, MDRD-cl and Corrected CG-cl compared to 5tCr-EDTA-cl (considered as the independent variable) resulted in the following determination coefficients (R2): 0.687; 0.818; 0.947, respectively. In conclusion, this formula can be considered a quick and reliable method for CG-cl correction in obese subjects.","ISSN":"0301-0430","note":"PMID: 15356966","shortTitle":"A simple method for correcting overestimated glomerular filtration rate in obese subjects evaluated by the Cockcroft and Gault formula","journalAbbreviation":"Clin. Nephrol.","language":"eng","author":[{"family":"Saracino","given":"A."},{"family":"Morrone","given":"L. F."},{"family":"Suriano","given":"V."},{"family":"Niccoli-Asabella","given":"A."},{"family":"Ramunni","given":"A."},{"family":"Fanelli","given":"M."},{"family":"Rubini","given":"G."},{"family":"Coratelli","given":"P."}],"issued":{"date-parts":[["2004",8]]},"PMID":"15356966"},"label":"page"}],"schema":"https://github.com/citation-style-language/schema/raw/master/csl-citation.json"} </w:instrText>
      </w:r>
      <w:r w:rsidR="00777D1E" w:rsidRPr="0086281A">
        <w:rPr>
          <w:rFonts w:ascii="Calibri" w:hAnsi="Calibri"/>
          <w:lang w:val="en-GB"/>
        </w:rPr>
        <w:fldChar w:fldCharType="separate"/>
      </w:r>
      <w:r w:rsidR="009852DE" w:rsidRPr="00727535">
        <w:rPr>
          <w:rFonts w:ascii="Calibri" w:hAnsi="Calibri"/>
        </w:rPr>
        <w:t>(14,31–34)</w:t>
      </w:r>
      <w:r w:rsidR="00777D1E" w:rsidRPr="0086281A">
        <w:rPr>
          <w:rFonts w:ascii="Calibri" w:hAnsi="Calibri"/>
          <w:lang w:val="en-GB"/>
        </w:rPr>
        <w:fldChar w:fldCharType="end"/>
      </w:r>
      <w:r w:rsidR="00936FD1" w:rsidRPr="0086281A">
        <w:rPr>
          <w:rFonts w:ascii="Calibri" w:hAnsi="Calibri"/>
          <w:lang w:val="en-GB"/>
        </w:rPr>
        <w:t xml:space="preserve">. </w:t>
      </w:r>
      <w:r w:rsidR="001D5788" w:rsidRPr="0086281A">
        <w:rPr>
          <w:rFonts w:ascii="Calibri" w:hAnsi="Calibri"/>
          <w:lang w:val="en-GB"/>
        </w:rPr>
        <w:t xml:space="preserve">Pharmacologists justify the use of CG equation by different arguments. First of all, this formula was used in most studies for the adaptation of drugs dosage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2nmcgq732n","properties":{"formattedCitation":"(35)","plainCitation":"(35)"},"citationItems":[{"id":1299,"uris":["http://zotero.org/users/2405774/items/ZHGWFF8B"],"uri":["http://zotero.org/users/2405774/items/ZHGWFF8B"],"itemData":{"id":1299,"type":"article-journal","title":"Evaluation of renal drug dosing: prescribing information and clinical pharmacist approaches","container-title":"Pharmacotherapy","page":"776-786","volume":"30","issue":"8","source":"NCBI PubMed","abstract":"STUDY OBJECTIVE: To characterize renal function parameters reported in United States Food and Drug Administration-approved prescribing information (package inserts), to compare dosage recommendations for patients with impaired renal function between prescribing information and tertiary drug dosing references, and to evaluate renal function quantification methods most commonly used by clinical pharmacists to develop dosage regimens.\nDESIGN: Retrospective analysis and Web-based survey.\nDATA SOURCES: Prescribing information for all new molecular entities (NMEs) approved from 1998-2007 in which dosing recommendations were proposed for patients with impaired renal function, drug monographs from four tertiary drug dosing references (Micromedex, Lexi-Comp, Epocrates Rx, and American Hospital Formulary Service [AHFS] Drug Information) for all identified NMEs, and a Web-based survey of 204 nephrology and critical care pharmacy practitioners.\nMEASUREMENTS AND MAIN RESULTS: A total of 44 NMEs included renal dosing recommendations in their prescribing information. For all 44 NMEs, prescribing information was reviewed to determine methods to quantify renal function, units of measure reported, and use of chronic kidney disease terminology. The most common index of renal function was creatinine clearance; the Cockcroft-Gault equation was specified in the prescribing information of 11 NMEs. Standardization for body weight was inconsistent, with prescribing information for four NMEs reporting renal function in ml/minute/1.73 m(2). The prescribing information or tertiary sources did not mention use of estimated glomerular filtration rate (eGFR) or the Modification of Diet in Renal Disease Study (MDRD) equation. Epocrates Rx provided the most abbreviated renal dosing information, whereas AHFS Drug Information was the most comprehensive, and Lexi-Comp includes a renal function calculator. Nearly all (86%) clinical pharmacists indicated that automated eGFR is reported at their institutions, although they do not use these predictions for dosing in patients with impaired renal function, and their approaches to renal function estimation varied widely.\nCONCLUSION: Reporting of renal function methods and dosing recommendations for patients with impaired renal function requires standardization in order to ensure optimal dosing. Pharmacy clinicians do not substitute eGFR in place of creatinine clearance for renal dosing, which is consistent with current prescribing information. Studies are needed that will evaluate the validity of using eGFR to predict drug clearance and thereby generate dosage recommendations.","DOI":"10.1592/phco.30.8.776","ISSN":"1875-9114","note":"PMID: 20653353","shortTitle":"Evaluation of renal drug dosing","journalAbbreviation":"Pharmacotherapy","language":"eng","author":[{"family":"Dowling","given":"Thomas C."},{"family":"Matzke","given":"Gary R."},{"family":"Murphy","given":"John E."},{"family":"Burckart","given":"Gilbert J."}],"issued":{"date-parts":[["2010",8]]},"PMID":"20653353"}}],"schema":"https://github.com/citation-style-language/schema/raw/master/csl-citation.json"}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(35)</w:t>
      </w:r>
      <w:r w:rsidR="00777D1E" w:rsidRPr="0086281A">
        <w:rPr>
          <w:rFonts w:ascii="Calibri" w:hAnsi="Calibri"/>
          <w:lang w:val="en-GB"/>
        </w:rPr>
        <w:fldChar w:fldCharType="end"/>
      </w:r>
      <w:r w:rsidR="001D5788" w:rsidRPr="0086281A">
        <w:rPr>
          <w:rFonts w:ascii="Calibri" w:hAnsi="Calibri"/>
          <w:lang w:val="en-GB"/>
        </w:rPr>
        <w:t xml:space="preserve">. Secondly, the weight is present in the CG equation. </w:t>
      </w:r>
      <w:r w:rsidR="00043B1B" w:rsidRPr="0086281A">
        <w:rPr>
          <w:rFonts w:ascii="Calibri" w:hAnsi="Calibri"/>
          <w:lang w:val="en-GB"/>
        </w:rPr>
        <w:t xml:space="preserve">This can be an advantage at the pharmacokinetic level, </w:t>
      </w:r>
      <w:r w:rsidR="001D5788" w:rsidRPr="0086281A">
        <w:rPr>
          <w:rFonts w:ascii="Calibri" w:hAnsi="Calibri"/>
          <w:lang w:val="en-GB"/>
        </w:rPr>
        <w:t>because the weight is a</w:t>
      </w:r>
      <w:r w:rsidR="00E60F2B" w:rsidRPr="0086281A">
        <w:rPr>
          <w:rFonts w:ascii="Calibri" w:hAnsi="Calibri"/>
          <w:lang w:val="en-GB"/>
        </w:rPr>
        <w:t xml:space="preserve"> (rough)</w:t>
      </w:r>
      <w:r w:rsidR="001D5788" w:rsidRPr="0086281A">
        <w:rPr>
          <w:rFonts w:ascii="Calibri" w:hAnsi="Calibri"/>
          <w:lang w:val="en-GB"/>
        </w:rPr>
        <w:t xml:space="preserve"> estimate of the drug distribution volume, which is necessarily involved in the pharmacokinetics studies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24duf49jne","properties":{"formattedCitation":"(36)","plainCitation":"(36)"},"citationItems":[{"id":1301,"uris":["http://zotero.org/users/2405774/items/GMV4XGEK"],"uri":["http://zotero.org/users/2405774/items/GMV4XGEK"],"itemData":{"id":1301,"type":"article-journal","title":"Simplified estimation of aminoglycoside pharmacokinetics in underweight and obese adult patients","container-title":"Antimicrobial Agents and Chemotherapy","page":"4006-4011","volume":"55","issue":"9","source":"NCBI PubMed","abstract":"Aminoglycosides are an important class of agents that are used in combination antimicrobial regimens to treat bacterial pathogens. Dosing of aminoglycosides is typically based on total body weight. However, the most appropriate alternative body size descriptor for dosing aminoglycosides at the extremes of weight (underweight and obese) is not known. Also, the predictive performance of newer formulas to assess kidney function, such as the modification of diet in renal disease (MDRD) and chronic kidney disease-epidemiology (CKD-EPI) equations compared to the Cockcroft-Gault equation to predict aminoglycoside clearance, is not known. We sought to examine dosing of aminoglycosides across the extremes of weight using a variety of formulas to assess kidney function. Pharmacokinetic data were obtained from a set of prospectively collected data (1982 to 2003) of 2,073 (53.5% male) adult patients that included 497 tobramycin- and 1,576 gentamicin-treated cases. The median (minimum, maximum) age, weight, and body mass index were 66 (18, 98) years, 70.0 (29.7, 206.7) kg, and 24.4 (11.3, 73.8) kg/m(2), respectively. The percentage of underweight, normal-weight, overweight, and obese cases based on the World Health Organization classification were 8.8%, 45.5%, 26.5%, and 19.2%, respectively. The aminoglycoside volume of distribution was normalized to several alternative body size descriptors. Only lean body weight estimated by the method of S. Janmahasatian et al. (Clin. Pharmacokinet. 44:1051-1065, 2005) normalized the volume of distribution for both tobramycin and gentamicin across all weight strata, with the estimate being approximately 0.45 liter/kg. Aminoglycoside dosing can be simplified across all weight strata with the use of lean body weight. The CKD-EPI equation best predicts aminoglycoside clearance.","DOI":"10.1128/AAC.00174-11","ISSN":"1098-6596","note":"PMID: 21670189 \nPMCID: PMC3165292","journalAbbreviation":"Antimicrob. Agents Chemother.","language":"eng","author":[{"family":"Pai","given":"Manjunath P."},{"family":"Nafziger","given":"Anne N."},{"family":"Bertino","given":"Joseph S."}],"issued":{"date-parts":[["2011",9]]},"PMID":"21670189","PMCID":"PMC3165292"}}],"schema":"https://github.com/citation-style-language/schema/raw/master/csl-citation.json"}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(36)</w:t>
      </w:r>
      <w:r w:rsidR="00777D1E" w:rsidRPr="0086281A">
        <w:rPr>
          <w:rFonts w:ascii="Calibri" w:hAnsi="Calibri"/>
          <w:lang w:val="en-GB"/>
        </w:rPr>
        <w:fldChar w:fldCharType="end"/>
      </w:r>
      <w:r w:rsidR="001D5788" w:rsidRPr="0086281A">
        <w:rPr>
          <w:rFonts w:ascii="Calibri" w:hAnsi="Calibri"/>
          <w:lang w:val="en-GB"/>
        </w:rPr>
        <w:t xml:space="preserve">. This could explain why the CG gives better results in some pharmacokinetic studies and is still preferred by some authors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23ka00d5sr","properties":{"formattedCitation":"(37)","plainCitation":"(37)"},"citationItems":[{"id":1303,"uris":["http://zotero.org/users/2405774/items/X27Q423F"],"uri":["http://zotero.org/users/2405774/items/X27Q423F"],"itemData":{"id":1303,"type":"article-journal","title":"Glomerular filtration rate estimated by Cockcroft-Gault formula better predicts anti-Xa levels than modification of the diet in renal disease equation in older patients with prophylactic enoxaparin","container-title":"The Journal of Nutrition, Health &amp; Aging","page":"647-652","volume":"16","issue":"7","source":"NCBI PubMed","abstract":"OBJECTIVES: Older people have an increased risk of low molecular weight heparin accumulation leading to an increased bleeding risk. The objective of this study was to assess whether reduced glomerular filtration rate (GFR), estimated by the Cockcroft-Gault or modification of the diet in renal disease (MDRD) equations, indicates drug accumulation by increased anti-Xa levels in older subjects receiving prophylactic enoxaparin treatment.\nDESIGN: Cohort study.\nSETTING: Acute geriatric units in Nancy Hospital.\nPARTICIPANTS: Ninety-two consenting consecutive patients, 65 and older, confined to bed for an acute medical condition requiring enoxaparin for prevention of venous thromboembolism, and hospitalized for at least six days were enrolled.\nMEASUREMENTS: Serum creatinine and peak plasma anti-Xa levels 3 to 4 hours after the daily injection of enoxaparin were measured at days 3, 6, 9 and 12 (first dose of enoxaparin at day one). Analyses of variance for repeated measures were used to evaluate significant predictors of peak anti-Xa activity in univariate and multivariate analyses.\nRESULTS: A significant correlation was observed between anti-Xa activity and GFR estimated with the Cockcroft formula r=0.43. Following univariate analysis, the three factors associated with higher anti-Xa levels were a lower Cockcroft-Gault GFR (p=0.0002), female gender (p=0.0003) and a lower bodyweight (p&lt;.0001). No significant association between anti-Xa levels and MDRD GFR (p=0.33) was observed. Following multivariate analysis, female gender (p=0.02), bodyweight (p=0.04) and Cockcroft GFR (p=0.05) remained independent determinants of anti-Xa levels.\nCONCLUSION: In hospitalized patients older than 65 years old, the Cockcroft-Gault equation, in contrast to the MDRD equation, is able to predict the risk of higher anti-Xa levels.","ISSN":"1760-4788","note":"PMID: 22836708","journalAbbreviation":"J Nutr Health Aging","language":"eng","author":[{"family":"Dufour","given":"B."},{"family":"Toussaint-Hacquard","given":"M."},{"family":"Kearney-Schwartz","given":"A."},{"family":"Manckoundia","given":"M. D. P."},{"family":"Laurain","given":"M. C."},{"family":"Joly","given":"L."},{"family":"Deibener","given":"J."},{"family":"Wahl","given":"D."},{"family":"Lecompte","given":"T."},{"family":"Benetos","given":"A."},{"family":"Perret-Guillaume","given":"C."}],"issued":{"date-parts":[["2012",7]]},"PMID":"22836708"}}],"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(37)</w:t>
      </w:r>
      <w:r w:rsidR="00777D1E" w:rsidRPr="0086281A">
        <w:rPr>
          <w:rFonts w:ascii="Calibri" w:hAnsi="Calibri"/>
          <w:lang w:val="en-GB"/>
        </w:rPr>
        <w:fldChar w:fldCharType="end"/>
      </w:r>
      <w:r w:rsidR="001D5788" w:rsidRPr="0086281A">
        <w:rPr>
          <w:rFonts w:ascii="Calibri" w:hAnsi="Calibri"/>
          <w:lang w:val="en-GB"/>
        </w:rPr>
        <w:t xml:space="preserve">. </w:t>
      </w:r>
      <w:r w:rsidR="008C391A" w:rsidRPr="0086281A">
        <w:rPr>
          <w:rFonts w:ascii="Calibri" w:hAnsi="Calibri"/>
          <w:lang w:val="en-GB"/>
        </w:rPr>
        <w:t>In our population of obese patient</w:t>
      </w:r>
      <w:r w:rsidR="009C6275" w:rsidRPr="0086281A">
        <w:rPr>
          <w:rFonts w:ascii="Calibri" w:hAnsi="Calibri"/>
          <w:lang w:val="en-GB"/>
        </w:rPr>
        <w:t>s</w:t>
      </w:r>
      <w:r w:rsidR="008C391A" w:rsidRPr="0086281A">
        <w:rPr>
          <w:rFonts w:ascii="Calibri" w:hAnsi="Calibri"/>
          <w:lang w:val="en-GB"/>
        </w:rPr>
        <w:t>, as noticed by other authors</w:t>
      </w:r>
      <w:r w:rsidR="00955598"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11noreqcus","properties":{"formattedCitation":"(38,39)","plainCitation":"(38,39)"},"citationItems":[{"id":1141,"uris":["http://zotero.org/users/local/gLwvffvk/items/ASN8WFVV"],"uri":["http://zotero.org/users/local/gLwvffvk/items/ASN8WFVV"],"itemData":{"id":1141,"type":"article-journal","title":"Measuring the glomerular filtration rate in obese individuals without overt kidney disease","container-title":"Nephron. Clinical Practice","page":"c224-234","volume":"116","issue":"3","source":"NCBI PubMed","abstract":"BACKGROUND: Identifying methods to accurately measure the glomerular filtration rate (GFR) in obese individuals without kidney overt kidney disease is necessary to understanding the pathophysiology and natural history of obesity-related kidney disease.\nMETHODS: Using a cross-sectional design, iohexol clearance and disposition was measured, an optimal sampling schedule was identified, and the reliability of GFR-estimating methods was described in 29 obese individuals with normal serum creatinine levels. Iohexol disposition was measured using population pharmacokinetics. The agreement with GFR-estimating equations was assessed by intraclass coefficients.\nRESULTS: Mean age was 44 ± 10 years, body mass index 45 ± 10, creatinine 0.7 ± 0.2 mg/dl (62 ± 18 μmol/l) , and cystatin C 0.83 ± 0.18 mg/dl (8.3 ± 1.8 mg/l). Iohexol disposition fit a two-compartment model and 5 sampling windows were identified over a 4-hour period to optimize model accuracy and minimize blood draws. Precision was not compromised with this sampling design. Neither creatinine nor cystatin C were linearly correlated with the measured GFR though cystatin C was independent of body composition. Agreement was fair to poor between the measured GFR and GFR-estimating equations.\nCONCLUSION: This study offers a rigorous method to study obesity-related kidney disease and improve upon suboptimal GFR-estimating methods.","DOI":"10.1159/000317203","ISSN":"1660-2110","note":"PMID: 20606483 \nPMCID: PMC2945276","journalAbbreviation":"Nephron Clin Pract","language":"eng","author":[{"family":"Friedman","given":"Allon N."},{"family":"Strother","given":"Matthew"},{"family":"Quinney","given":"Sara K."},{"family":"Hall","given":"Stephen"},{"family":"Perkins","given":"Susan M."},{"family":"Brizendine","given":"Edward J."},{"family":"Inman","given":"Margaret"},{"family":"Gomez","given":"Gerardo"},{"family":"Shihabi","given":"Zak"},{"family":"Moe","given":"Sharon"},{"family":"Li","given":"Lang"}],"issued":{"date-parts":[["2010"]]},"PMID":"20606483","PMCID":"PMC2945276"},"label":"page"},{"id":1139,"uris":["http://zotero.org/users/2405774/items/U2PJN9FN"],"uri":["http://zotero.org/users/2405774/items/U2PJN9FN"],"itemData":{"id":1139,"type":"article-journal","title":"Estimation of creatinine clearance in morbidly obese patients","container-title":"American journal of health Syst Pharm","page":"642-648","volume":"66","issue":"7","source":"NCBI PubMed","abstract":"PURPOSE: Estimates of creatinine clearance (CL(cr)) based on equations and various body-size descriptors were compared with 24-hour measured CL(cr) values in morbidly obese patients.\nMETHODS: Patients age 18-75 years with a body mass index (BMI) of &gt;/=40 kg/m(2) with stable serum creatinine values were enrolled. Covariates known to contribute to alteration in CL(cr) were used to exclude patients. Twenty-four-hour urine collection was performed to measure CL(cr). Bioelectric impedance analysis was used to estimate fat-free weight (FFW). Glomerular filtration rate was estimated using the four-variable Modification of Diet in Renal Disease (MDRD4) equation. CL(cr) was estimated using the Cockcroft-Gault and Salazar-Corcoran methods using total body weight (TBW). Body-size descriptors, such as ideal body weight (IBW), adjusted body weight (ABW), and lean body weight (LBW), and FFW were substituted in the Cockcroft-Gault equation to generate additional estimates of CL(cr).\nRESULTS: Fifty-four patients (mean +/- S.D. age, 48.4 +/- 12.9 years; TBW, 142.3 +/- 41.7 kg; BMI, 50.5 +/- 12.6 kg/m(2)) completed the study. All three equations were biased in their estimation of CL(cr). Use of MDRD4 and IBW in the Cockcroft-Gault equation underestimated CL(cr), while the Salazar-Corcoran equation and use of TBW or ABW in the Cockcroft-Gault equation overestimated this value. Substitution of fat-free weight or LBW in the Cockcroft-Gault equation provided unbiased estimates of CL(cr).\nCONCLUSION: An LBW estimate, based on TBW and BMI, incorporated into the Cockcroft-Gault equation provided an unbiased, relatively precise, accurate, and clinically practical estimate of 24-hour measured CL(cr) in morbidly obese patients.","DOI":"10.2146/ajhp080200","ISSN":"1535-2900","note":"PMID: 19299371","journalAbbreviation":"Am J Health Syst Pharm","language":"eng","author":[{"family":"Demirovic","given":"Jasmina A."},{"family":"Pai","given":"Amy Barton"},{"family":"Pai","given":"Manjunath P."}],"issued":{"date-parts":[["2009",4]]},"PMID":"19299371"},"label":"page"}],"schema":"https://github.com/citation-style-language/schema/raw/master/csl-citation.json"}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(38,39)</w:t>
      </w:r>
      <w:r w:rsidR="00777D1E" w:rsidRPr="0086281A">
        <w:rPr>
          <w:rFonts w:ascii="Calibri" w:hAnsi="Calibri"/>
          <w:lang w:val="en-GB"/>
        </w:rPr>
        <w:fldChar w:fldCharType="end"/>
      </w:r>
      <w:r w:rsidR="008C391A" w:rsidRPr="0086281A">
        <w:rPr>
          <w:rFonts w:ascii="Calibri" w:hAnsi="Calibri"/>
          <w:lang w:val="en-GB"/>
        </w:rPr>
        <w:t>, the CG equation over</w:t>
      </w:r>
      <w:r w:rsidR="00D42113" w:rsidRPr="0086281A">
        <w:rPr>
          <w:rFonts w:ascii="Calibri" w:hAnsi="Calibri"/>
          <w:lang w:val="en-GB"/>
        </w:rPr>
        <w:t>estimates the mGFR in all ranges of GFR</w:t>
      </w:r>
      <w:r w:rsidR="008C391A" w:rsidRPr="0086281A">
        <w:rPr>
          <w:rFonts w:ascii="Calibri" w:hAnsi="Calibri"/>
          <w:lang w:val="en-GB"/>
        </w:rPr>
        <w:t>, with poor performances in term</w:t>
      </w:r>
      <w:r w:rsidR="009C6275" w:rsidRPr="0086281A">
        <w:rPr>
          <w:rFonts w:ascii="Calibri" w:hAnsi="Calibri"/>
          <w:lang w:val="en-GB"/>
        </w:rPr>
        <w:t>s</w:t>
      </w:r>
      <w:r w:rsidR="008C391A" w:rsidRPr="0086281A">
        <w:rPr>
          <w:rFonts w:ascii="Calibri" w:hAnsi="Calibri"/>
          <w:lang w:val="en-GB"/>
        </w:rPr>
        <w:t xml:space="preserve"> of bias and accuracies.</w:t>
      </w:r>
      <w:r w:rsidR="00043B1B" w:rsidRPr="0086281A">
        <w:rPr>
          <w:rFonts w:ascii="Calibri" w:hAnsi="Calibri"/>
          <w:lang w:val="en-GB"/>
        </w:rPr>
        <w:t xml:space="preserve"> </w:t>
      </w:r>
      <w:r w:rsidR="009C6275" w:rsidRPr="0086281A">
        <w:rPr>
          <w:rFonts w:ascii="Calibri" w:hAnsi="Calibri"/>
          <w:lang w:val="en-GB"/>
        </w:rPr>
        <w:t>Actually</w:t>
      </w:r>
      <w:r w:rsidR="00043B1B" w:rsidRPr="0086281A">
        <w:rPr>
          <w:rFonts w:ascii="Calibri" w:hAnsi="Calibri"/>
          <w:lang w:val="en-GB"/>
        </w:rPr>
        <w:t xml:space="preserve">, the CG formula has been shown to overestimate GFR in a selected population of 279 obese patients where GFR was simultaneously assessed by </w:t>
      </w:r>
      <w:r w:rsidR="00043B1B" w:rsidRPr="0086281A">
        <w:rPr>
          <w:rFonts w:ascii="Calibri" w:hAnsi="Calibri"/>
          <w:vertAlign w:val="subscript"/>
          <w:lang w:val="en-GB"/>
        </w:rPr>
        <w:t>51</w:t>
      </w:r>
      <w:r w:rsidR="00043B1B" w:rsidRPr="0086281A">
        <w:rPr>
          <w:rFonts w:ascii="Calibri" w:hAnsi="Calibri"/>
          <w:lang w:val="en-GB"/>
        </w:rPr>
        <w:t xml:space="preserve">Cr-EDTA renal clearance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1i1tqhl799","properties":{"formattedCitation":"(15)","plainCitation":"(15)"},"citationItems":[{"id":1229,"uris":["http://zotero.org/users/local/gLwvffvk/items/XQ6KJF7D"],"uri":["http://zotero.org/users/local/gLwvffvk/items/XQ6KJF7D"],"itemData":{"id":1229,"type":"article-journal","title":"Predictive performance of the modification of diet in renal disease and Cockcroft-Gault equations for estimating renal function","container-title":"Journal of the American Society of Nephrology: JASN","page":"763-773","volume":"16","issue":"3","source":"NCBI PubMed","abstract":"Recent recommendations emphasize the need to assess kidney function using creatinine-based predictive equations to optimize the care of patients with chronic kidney disease. The most widely used equations are the Cockcroft-Gault (CG) and the simplified Modification of Diet in Renal Disease (MDRD) formulas. However, they still need to be validated in large samples of subjects, including large non-U.S. cohorts. Renal clearance of (51)Cr-EDTA was compared with GFR estimated using either the CG equation or the MDRD formula in a cohort of 2095 adult Europeans (863 female and 1232 male; median age, 53.2 yr; median measured GFR, 59.8 ml/min per 1.73 m(2)). When the entire study population was considered, the CG and MDRD equations showed very limited bias. They overestimated measured GFR by 1.94 ml/min per 1.73 m(2) and underestimated it by 0.99 ml/min per 1.73 m(2), respectively. However, analysis of subgroups defined by age, gender, body mass index, and GFR level showed that the biases of the two formulas could be much larger in selected populations. Furthermore, analysis of the SD of the mean difference between estimated and measured GFR showed that both formulas lacked precision; the CG formula was less precise than the MDRD one in most cases. In the whole study population, the SD was 15.1 and 13.5 ml/min per 1.73 m(2) for the CG and MDRD formulas, respectively. Finally, 29.2 and 32.4% of subjects were misclassified when the CG and MDRD formulas were used to categorize subjects according to the Kidney Disease Outcomes Quality Initiative chronic kidney disease classification, respectively.","DOI":"10.1681/ASN.2004070549","ISSN":"1046-6673","note":"PMID: 15659562","journalAbbreviation":"J. Am. Soc. Nephrol.","language":"eng","author":[{"family":"Froissart","given":"Marc"},{"family":"Rossert","given":"Jerome"},{"family":"Jacquot","given":"Christian"},{"family":"Paillard","given":"Michel"},{"family":"Houillier","given":"Pascal"}],"issued":{"date-parts":[["2005",3]]},"PMID":"15659562"}}],"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(15)</w:t>
      </w:r>
      <w:r w:rsidR="00777D1E" w:rsidRPr="0086281A">
        <w:rPr>
          <w:rFonts w:ascii="Calibri" w:hAnsi="Calibri"/>
          <w:lang w:val="en-GB"/>
        </w:rPr>
        <w:fldChar w:fldCharType="end"/>
      </w:r>
      <w:r w:rsidR="00043B1B" w:rsidRPr="0086281A">
        <w:rPr>
          <w:rFonts w:ascii="Calibri" w:hAnsi="Calibri"/>
          <w:lang w:val="en-GB"/>
        </w:rPr>
        <w:t xml:space="preserve">. Similar findings were found by Verhave </w:t>
      </w:r>
      <w:r w:rsidR="00043B1B" w:rsidRPr="0086281A">
        <w:rPr>
          <w:rFonts w:ascii="Calibri" w:hAnsi="Calibri"/>
          <w:i/>
          <w:lang w:val="en-GB"/>
        </w:rPr>
        <w:t>et al.</w:t>
      </w:r>
      <w:r w:rsidR="00043B1B" w:rsidRPr="0086281A">
        <w:rPr>
          <w:rFonts w:ascii="Calibri" w:hAnsi="Calibri"/>
          <w:lang w:val="en-GB"/>
        </w:rPr>
        <w:t xml:space="preserve"> using </w:t>
      </w:r>
      <w:r w:rsidR="00043B1B" w:rsidRPr="0086281A">
        <w:rPr>
          <w:rFonts w:ascii="Calibri" w:hAnsi="Calibri"/>
          <w:vertAlign w:val="superscript"/>
          <w:lang w:val="en-GB"/>
        </w:rPr>
        <w:t>99</w:t>
      </w:r>
      <w:r w:rsidR="00043B1B" w:rsidRPr="0086281A">
        <w:rPr>
          <w:rFonts w:ascii="Calibri" w:hAnsi="Calibri"/>
          <w:lang w:val="en-GB"/>
        </w:rPr>
        <w:t xml:space="preserve">mTc- DTPA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1ev6g7rdtl","properties":{"formattedCitation":"(40)","plainCitation":"(40)"},"citationItems":[{"id":1348,"uris":["http://zotero.org/users/2405774/items/DA4WJ4N9"],"uri":["http://zotero.org/users/2405774/items/DA4WJ4N9"],"itemData":{"id":1348,"type":"article-journal","title":"Estimation of renal function in subjects with normal serum creatinine levels: influence of age and body mass index","container-title":"American Journal of Kidney Diseases","page":"233-241","volume":"46","issue":"2","source":"NCBI PubMed","abstract":"BACKGROUND: The Cockcroft-Gault (CG) and simplified Modification of Diet in Renal Disease (MDRD) formulas are the most widely used estimates of renal function. The influence of age and body mass index (BMI) on the performance of these equations was analyzed in 850 subjects with serum creatinine levels less than 1.5 mg/dL (&lt;133 micromol/L).\nMETHODS: Glomerular filtration rate (GFR) was measured as urinary clearance of continuously infused technetium Tc 99m-labeled diethylene triaminopentaacetic acid. Performance was assessed as bias, precision, and accuracy.\nRESULTS: In the total population, the CG and MDRD calculations based on enzymatic measurement of serum creatinine (which is constantly less than that obtained by using the alkaline picrate [Jaffé] method) significantly underestimated GFR by 4.9 and 12.4 mL/min/1.73 m2 (0.08 and 0.21 mL/s/1.73 m2), respectively. In patients 65 years and older, underestimation by means of the CG formula was enhanced, whereas that by means of the MDRD formula was blunted, compared with the group younger than 65 years (-11.3 versus -3.7 mL/min/1.73 m2 [-0.19 versus -0.06 mL/s/1.73 m2] for CG and -3.7 versus -14.0 mL/min/1.73 m2 [-0.06 versus -0.23 mL/s/1.73 m2] for MDRD). GFR was underestimated to a large extent by means of the MDRD equation irrespective of BMI. Conversely, the underestimation by means of the CG formula found in lean people (-13.0 mL/min/1.73 m2 [-0.22 mL/s/1.73 m2]) was blunted in overweight people (BMI, 25 to 30 kg/m2) and reversed to overestimation (+10.1 mL/min/1.73 m2 [+0.17 mL/s/1.73 m2]) in obese subjects (BMI &gt; 30 kg/m2).\nCONCLUSION: As suggested by estimations obtained using enzymatic serum creatinine measurement, the MDRD equation may be the estimation of choice in elderly patients, whereas the CG estimate is preferable in subjects younger than 65 years. Nevertheless, when obesity is present, no reliable estimation can be obtained by using the CG or MDRD formula.","DOI":"10.1053/j.ajkd.2005.05.011","ISSN":"1523-6838","note":"PMID: 16112041","shortTitle":"Estimation of renal function in subjects with normal serum creatinine levels","journalAbbreviation":"Am. J. Kidney Dis.","language":"eng","author":[{"family":"Verhave","given":"Jacobien C."},{"family":"Fesler","given":"Pierre"},{"family":"Ribstein","given":"Jean"},{"family":"du Cailar","given":"Guilhem"},{"family":"Mimran","given":"Albert"}],"issued":{"date-parts":[["2005",8]]},"PMID":"16112041"}}],"schema":"https://github.com/citation-style-language/schema/raw/master/csl-citation.json"}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(40)</w:t>
      </w:r>
      <w:r w:rsidR="00777D1E" w:rsidRPr="0086281A">
        <w:rPr>
          <w:rFonts w:ascii="Calibri" w:hAnsi="Calibri"/>
          <w:lang w:val="en-GB"/>
        </w:rPr>
        <w:fldChar w:fldCharType="end"/>
      </w:r>
      <w:r w:rsidR="00043B1B" w:rsidRPr="0086281A">
        <w:rPr>
          <w:rFonts w:ascii="Calibri" w:hAnsi="Calibri"/>
          <w:lang w:val="en-GB"/>
        </w:rPr>
        <w:t>.</w:t>
      </w:r>
      <w:r w:rsidR="008C391A" w:rsidRPr="0086281A">
        <w:rPr>
          <w:rFonts w:ascii="Calibri" w:hAnsi="Calibri"/>
          <w:lang w:val="en-GB"/>
        </w:rPr>
        <w:t xml:space="preserve"> </w:t>
      </w:r>
      <w:r w:rsidR="001D5788" w:rsidRPr="0086281A">
        <w:rPr>
          <w:rFonts w:ascii="Calibri" w:hAnsi="Calibri"/>
          <w:lang w:val="en-GB"/>
        </w:rPr>
        <w:t xml:space="preserve">This overestimation by the CG formula could lead to </w:t>
      </w:r>
      <w:r w:rsidR="009C6275" w:rsidRPr="0086281A">
        <w:rPr>
          <w:rFonts w:ascii="Calibri" w:hAnsi="Calibri"/>
          <w:lang w:val="en-GB"/>
        </w:rPr>
        <w:t xml:space="preserve">the </w:t>
      </w:r>
      <w:r w:rsidR="001D5788" w:rsidRPr="0086281A">
        <w:rPr>
          <w:rFonts w:ascii="Calibri" w:hAnsi="Calibri"/>
          <w:lang w:val="en-GB"/>
        </w:rPr>
        <w:t>administration of inappropriate dose of drugs, and could also allow some patients to receive a drug, which is contra-indicated below a specific threshold. I</w:t>
      </w:r>
      <w:r w:rsidR="00043B1B" w:rsidRPr="0086281A">
        <w:rPr>
          <w:rFonts w:ascii="Calibri" w:hAnsi="Calibri"/>
          <w:lang w:val="en-GB"/>
        </w:rPr>
        <w:t>n fact, as showed in</w:t>
      </w:r>
      <w:r w:rsidR="00936FD1" w:rsidRPr="0086281A">
        <w:rPr>
          <w:rFonts w:ascii="Calibri" w:hAnsi="Calibri"/>
          <w:lang w:val="en-GB"/>
        </w:rPr>
        <w:t xml:space="preserve"> the</w:t>
      </w:r>
      <w:r w:rsidR="00043B1B" w:rsidRPr="0086281A">
        <w:rPr>
          <w:rFonts w:ascii="Calibri" w:hAnsi="Calibri"/>
          <w:lang w:val="en-GB"/>
        </w:rPr>
        <w:t xml:space="preserve"> table 4</w:t>
      </w:r>
      <w:r w:rsidR="001D5788" w:rsidRPr="0086281A">
        <w:rPr>
          <w:rFonts w:ascii="Calibri" w:hAnsi="Calibri"/>
          <w:lang w:val="en-GB"/>
        </w:rPr>
        <w:t>, there are</w:t>
      </w:r>
      <w:r w:rsidR="009253D6" w:rsidRPr="0086281A">
        <w:rPr>
          <w:rFonts w:ascii="Calibri" w:hAnsi="Calibri"/>
          <w:lang w:val="en-GB"/>
        </w:rPr>
        <w:t xml:space="preserve"> significantly</w:t>
      </w:r>
      <w:r w:rsidR="001D5788" w:rsidRPr="0086281A">
        <w:rPr>
          <w:rFonts w:ascii="Calibri" w:hAnsi="Calibri"/>
          <w:lang w:val="en-GB"/>
        </w:rPr>
        <w:t xml:space="preserve"> fewer patients classified </w:t>
      </w:r>
      <w:r w:rsidR="002753C0" w:rsidRPr="0086281A">
        <w:rPr>
          <w:rFonts w:ascii="Calibri" w:hAnsi="Calibri"/>
          <w:lang w:val="en-GB"/>
        </w:rPr>
        <w:t>below 30</w:t>
      </w:r>
      <w:r w:rsidR="007537CB" w:rsidRPr="0086281A">
        <w:rPr>
          <w:rFonts w:ascii="Calibri" w:hAnsi="Calibri"/>
          <w:lang w:val="en-GB"/>
        </w:rPr>
        <w:t xml:space="preserve"> </w:t>
      </w:r>
      <w:r w:rsidR="002753C0" w:rsidRPr="0086281A">
        <w:rPr>
          <w:rFonts w:ascii="Calibri" w:hAnsi="Calibri"/>
          <w:lang w:val="en-GB"/>
        </w:rPr>
        <w:t>mL/min with</w:t>
      </w:r>
      <w:r w:rsidR="001D5788" w:rsidRPr="0086281A">
        <w:rPr>
          <w:rFonts w:ascii="Calibri" w:hAnsi="Calibri"/>
          <w:lang w:val="en-GB"/>
        </w:rPr>
        <w:t xml:space="preserve"> the CG equation</w:t>
      </w:r>
      <w:r w:rsidR="00043B1B" w:rsidRPr="0086281A">
        <w:rPr>
          <w:rFonts w:ascii="Calibri" w:hAnsi="Calibri"/>
          <w:lang w:val="en-GB"/>
        </w:rPr>
        <w:t xml:space="preserve"> (57.1%)</w:t>
      </w:r>
      <w:r w:rsidR="001D5788" w:rsidRPr="0086281A">
        <w:rPr>
          <w:rFonts w:ascii="Calibri" w:hAnsi="Calibri"/>
          <w:lang w:val="en-GB"/>
        </w:rPr>
        <w:t xml:space="preserve"> compared to the </w:t>
      </w:r>
      <w:r w:rsidR="00043B1B" w:rsidRPr="0086281A">
        <w:rPr>
          <w:rFonts w:ascii="Calibri" w:hAnsi="Calibri"/>
          <w:lang w:val="en-GB"/>
        </w:rPr>
        <w:t>other equations (81.6%, 87.8% and 85.7% for CG</w:t>
      </w:r>
      <w:r w:rsidR="00043B1B" w:rsidRPr="0086281A">
        <w:rPr>
          <w:rFonts w:ascii="Calibri" w:hAnsi="Calibri"/>
          <w:vertAlign w:val="subscript"/>
          <w:lang w:val="en-GB"/>
        </w:rPr>
        <w:t>AIBW</w:t>
      </w:r>
      <w:r w:rsidR="00043B1B" w:rsidRPr="0086281A">
        <w:rPr>
          <w:rFonts w:ascii="Calibri" w:hAnsi="Calibri"/>
          <w:lang w:val="en-GB"/>
        </w:rPr>
        <w:t>, CKD-EPI</w:t>
      </w:r>
      <w:r w:rsidR="00043B1B" w:rsidRPr="0086281A">
        <w:rPr>
          <w:rFonts w:ascii="Calibri" w:hAnsi="Calibri"/>
          <w:vertAlign w:val="subscript"/>
          <w:lang w:val="en-GB"/>
        </w:rPr>
        <w:t>deindexed</w:t>
      </w:r>
      <w:r w:rsidR="00043B1B" w:rsidRPr="0086281A">
        <w:rPr>
          <w:rFonts w:ascii="Calibri" w:hAnsi="Calibri"/>
          <w:lang w:val="en-GB"/>
        </w:rPr>
        <w:t xml:space="preserve"> and MDRD</w:t>
      </w:r>
      <w:r w:rsidR="00043B1B" w:rsidRPr="0086281A">
        <w:rPr>
          <w:rFonts w:ascii="Calibri" w:hAnsi="Calibri"/>
          <w:vertAlign w:val="subscript"/>
          <w:lang w:val="en-GB"/>
        </w:rPr>
        <w:t>deindexed</w:t>
      </w:r>
      <w:r w:rsidR="003008D7" w:rsidRPr="0086281A">
        <w:rPr>
          <w:rFonts w:ascii="Calibri" w:hAnsi="Calibri"/>
          <w:lang w:val="en-GB"/>
        </w:rPr>
        <w:t xml:space="preserve"> respectively</w:t>
      </w:r>
      <w:r w:rsidR="00043B1B" w:rsidRPr="0086281A">
        <w:rPr>
          <w:rFonts w:ascii="Calibri" w:hAnsi="Calibri"/>
          <w:lang w:val="en-GB"/>
        </w:rPr>
        <w:t>).</w:t>
      </w:r>
      <w:r w:rsidR="00E1761E" w:rsidRPr="0086281A">
        <w:rPr>
          <w:rFonts w:ascii="Calibri" w:hAnsi="Calibri"/>
          <w:lang w:val="en-GB"/>
        </w:rPr>
        <w:t xml:space="preserve"> </w:t>
      </w:r>
      <w:r w:rsidR="001D5788" w:rsidRPr="0086281A">
        <w:rPr>
          <w:rFonts w:ascii="Calibri" w:hAnsi="Calibri"/>
          <w:lang w:val="en-GB"/>
        </w:rPr>
        <w:t>Therefore a higher proportion of patient</w:t>
      </w:r>
      <w:r w:rsidR="002753C0" w:rsidRPr="0086281A">
        <w:rPr>
          <w:rFonts w:ascii="Calibri" w:hAnsi="Calibri"/>
          <w:lang w:val="en-GB"/>
        </w:rPr>
        <w:t>s</w:t>
      </w:r>
      <w:r w:rsidR="001D5788" w:rsidRPr="0086281A">
        <w:rPr>
          <w:rFonts w:ascii="Calibri" w:hAnsi="Calibri"/>
          <w:lang w:val="en-GB"/>
        </w:rPr>
        <w:t xml:space="preserve"> will be classified with a</w:t>
      </w:r>
      <w:r w:rsidR="00E1761E" w:rsidRPr="0086281A">
        <w:rPr>
          <w:rFonts w:ascii="Calibri" w:hAnsi="Calibri"/>
          <w:lang w:val="en-GB"/>
        </w:rPr>
        <w:t>n</w:t>
      </w:r>
      <w:r w:rsidR="001D5788" w:rsidRPr="0086281A">
        <w:rPr>
          <w:rFonts w:ascii="Calibri" w:hAnsi="Calibri"/>
          <w:lang w:val="en-GB"/>
        </w:rPr>
        <w:t xml:space="preserve"> </w:t>
      </w:r>
      <w:r w:rsidR="00E1761E" w:rsidRPr="0086281A">
        <w:rPr>
          <w:rFonts w:ascii="Calibri" w:hAnsi="Calibri"/>
          <w:lang w:val="en-GB"/>
        </w:rPr>
        <w:t>e</w:t>
      </w:r>
      <w:r w:rsidR="001D5788" w:rsidRPr="0086281A">
        <w:rPr>
          <w:rFonts w:ascii="Calibri" w:hAnsi="Calibri"/>
          <w:lang w:val="en-GB"/>
        </w:rPr>
        <w:t>GFR over 30</w:t>
      </w:r>
      <w:r w:rsidR="008B7566" w:rsidRPr="0086281A">
        <w:rPr>
          <w:rFonts w:ascii="Calibri" w:hAnsi="Calibri"/>
          <w:lang w:val="en-GB"/>
        </w:rPr>
        <w:t xml:space="preserve"> </w:t>
      </w:r>
      <w:r w:rsidR="001D5788" w:rsidRPr="0086281A">
        <w:rPr>
          <w:rFonts w:ascii="Calibri" w:hAnsi="Calibri"/>
          <w:lang w:val="en-GB"/>
        </w:rPr>
        <w:t xml:space="preserve">mL/min </w:t>
      </w:r>
      <w:r w:rsidR="00E1761E" w:rsidRPr="0086281A">
        <w:rPr>
          <w:rFonts w:ascii="Calibri" w:hAnsi="Calibri"/>
          <w:lang w:val="en-GB"/>
        </w:rPr>
        <w:t>(42.9% for the CG equation compared to 18.4%, 12.2% and 14.4% for the CG</w:t>
      </w:r>
      <w:r w:rsidR="00E1761E" w:rsidRPr="0086281A">
        <w:rPr>
          <w:rFonts w:ascii="Calibri" w:hAnsi="Calibri"/>
          <w:vertAlign w:val="subscript"/>
          <w:lang w:val="en-GB"/>
        </w:rPr>
        <w:t>AIBW</w:t>
      </w:r>
      <w:r w:rsidR="00E1761E" w:rsidRPr="0086281A">
        <w:rPr>
          <w:rFonts w:ascii="Calibri" w:hAnsi="Calibri"/>
          <w:lang w:val="en-GB"/>
        </w:rPr>
        <w:t>, CKD-EPI</w:t>
      </w:r>
      <w:r w:rsidR="00E1761E" w:rsidRPr="0086281A">
        <w:rPr>
          <w:rFonts w:ascii="Calibri" w:hAnsi="Calibri"/>
          <w:vertAlign w:val="subscript"/>
          <w:lang w:val="en-GB"/>
        </w:rPr>
        <w:t>deindexed</w:t>
      </w:r>
      <w:r w:rsidR="00E1761E" w:rsidRPr="0086281A">
        <w:rPr>
          <w:rFonts w:ascii="Calibri" w:hAnsi="Calibri"/>
          <w:lang w:val="en-GB"/>
        </w:rPr>
        <w:t xml:space="preserve"> and MDRD</w:t>
      </w:r>
      <w:r w:rsidR="00E1761E" w:rsidRPr="0086281A">
        <w:rPr>
          <w:rFonts w:ascii="Calibri" w:hAnsi="Calibri"/>
          <w:vertAlign w:val="subscript"/>
          <w:lang w:val="en-GB"/>
        </w:rPr>
        <w:t>deindexed</w:t>
      </w:r>
      <w:r w:rsidR="007537CB" w:rsidRPr="0086281A">
        <w:rPr>
          <w:rFonts w:ascii="Calibri" w:hAnsi="Calibri"/>
          <w:lang w:val="en-GB"/>
        </w:rPr>
        <w:t xml:space="preserve">, </w:t>
      </w:r>
      <w:r w:rsidR="003008D7" w:rsidRPr="0086281A">
        <w:rPr>
          <w:rFonts w:ascii="Calibri" w:hAnsi="Calibri"/>
          <w:lang w:val="en-GB"/>
        </w:rPr>
        <w:t>respectively</w:t>
      </w:r>
      <w:r w:rsidR="007537CB" w:rsidRPr="0086281A">
        <w:rPr>
          <w:rFonts w:ascii="Calibri" w:hAnsi="Calibri"/>
          <w:lang w:val="en-GB"/>
        </w:rPr>
        <w:t>)</w:t>
      </w:r>
      <w:r w:rsidR="003008D7" w:rsidRPr="0086281A">
        <w:rPr>
          <w:rFonts w:ascii="Calibri" w:hAnsi="Calibri"/>
          <w:lang w:val="en-GB"/>
        </w:rPr>
        <w:t xml:space="preserve"> </w:t>
      </w:r>
      <w:r w:rsidR="001D5788" w:rsidRPr="0086281A">
        <w:rPr>
          <w:rFonts w:ascii="Calibri" w:hAnsi="Calibri"/>
          <w:lang w:val="en-GB"/>
        </w:rPr>
        <w:t>and could receive a drug</w:t>
      </w:r>
      <w:r w:rsidR="00D871DB" w:rsidRPr="0086281A">
        <w:rPr>
          <w:rFonts w:ascii="Calibri" w:hAnsi="Calibri"/>
          <w:lang w:val="en-GB"/>
        </w:rPr>
        <w:t>, which is normally</w:t>
      </w:r>
      <w:r w:rsidR="001D5788" w:rsidRPr="0086281A">
        <w:rPr>
          <w:rFonts w:ascii="Calibri" w:hAnsi="Calibri"/>
          <w:lang w:val="en-GB"/>
        </w:rPr>
        <w:t xml:space="preserve"> contra</w:t>
      </w:r>
      <w:r w:rsidR="00936FD1" w:rsidRPr="0086281A">
        <w:rPr>
          <w:rFonts w:ascii="Calibri" w:hAnsi="Calibri"/>
          <w:lang w:val="en-GB"/>
        </w:rPr>
        <w:t>-</w:t>
      </w:r>
      <w:r w:rsidR="001D5788" w:rsidRPr="0086281A">
        <w:rPr>
          <w:rFonts w:ascii="Calibri" w:hAnsi="Calibri"/>
          <w:lang w:val="en-GB"/>
        </w:rPr>
        <w:t xml:space="preserve">indicated below this level. </w:t>
      </w:r>
      <w:r w:rsidR="009253D6" w:rsidRPr="0086281A">
        <w:rPr>
          <w:rFonts w:ascii="Calibri" w:hAnsi="Calibri"/>
          <w:lang w:val="en-GB"/>
        </w:rPr>
        <w:t xml:space="preserve">The </w:t>
      </w:r>
      <w:r w:rsidR="00E60F2B" w:rsidRPr="0086281A">
        <w:rPr>
          <w:rFonts w:ascii="Calibri" w:hAnsi="Calibri"/>
          <w:lang w:val="en-GB"/>
        </w:rPr>
        <w:t xml:space="preserve">same </w:t>
      </w:r>
      <w:r w:rsidR="009253D6" w:rsidRPr="0086281A">
        <w:rPr>
          <w:rFonts w:ascii="Calibri" w:hAnsi="Calibri"/>
          <w:lang w:val="en-GB"/>
        </w:rPr>
        <w:t>reasoning is valid for drug adaptation required when GFR is</w:t>
      </w:r>
      <w:r w:rsidR="00936FD1" w:rsidRPr="0086281A">
        <w:rPr>
          <w:rFonts w:ascii="Calibri" w:hAnsi="Calibri"/>
          <w:lang w:val="en-GB"/>
        </w:rPr>
        <w:t xml:space="preserve"> between 30</w:t>
      </w:r>
      <w:r w:rsidR="002753C0" w:rsidRPr="0086281A">
        <w:rPr>
          <w:rFonts w:ascii="Calibri" w:hAnsi="Calibri"/>
          <w:lang w:val="en-GB"/>
        </w:rPr>
        <w:t xml:space="preserve"> </w:t>
      </w:r>
      <w:r w:rsidR="007537CB" w:rsidRPr="0086281A">
        <w:rPr>
          <w:rFonts w:ascii="Calibri" w:hAnsi="Calibri"/>
          <w:lang w:val="en-GB"/>
        </w:rPr>
        <w:t>and</w:t>
      </w:r>
      <w:r w:rsidR="00936FD1" w:rsidRPr="0086281A">
        <w:rPr>
          <w:rFonts w:ascii="Calibri" w:hAnsi="Calibri"/>
          <w:lang w:val="en-GB"/>
        </w:rPr>
        <w:t xml:space="preserve"> </w:t>
      </w:r>
      <w:r w:rsidR="001D5788" w:rsidRPr="0086281A">
        <w:rPr>
          <w:rFonts w:ascii="Calibri" w:hAnsi="Calibri"/>
          <w:lang w:val="en-GB"/>
        </w:rPr>
        <w:t>45</w:t>
      </w:r>
      <w:r w:rsidR="008B7566" w:rsidRPr="0086281A">
        <w:rPr>
          <w:rFonts w:ascii="Calibri" w:hAnsi="Calibri"/>
          <w:lang w:val="en-GB"/>
        </w:rPr>
        <w:t xml:space="preserve"> </w:t>
      </w:r>
      <w:r w:rsidR="001D5788" w:rsidRPr="0086281A">
        <w:rPr>
          <w:rFonts w:ascii="Calibri" w:hAnsi="Calibri"/>
          <w:lang w:val="en-GB"/>
        </w:rPr>
        <w:t xml:space="preserve">mL/min. </w:t>
      </w:r>
    </w:p>
    <w:p w:rsidR="00215A3B" w:rsidRPr="0086281A" w:rsidRDefault="00215A3B" w:rsidP="009947DC">
      <w:pPr>
        <w:rPr>
          <w:rFonts w:ascii="Calibri" w:hAnsi="Calibri"/>
          <w:lang w:val="en-GB"/>
        </w:rPr>
      </w:pPr>
    </w:p>
    <w:p w:rsidR="00302362" w:rsidRPr="0086281A" w:rsidRDefault="0065100B" w:rsidP="003028FD">
      <w:pPr>
        <w:rPr>
          <w:rFonts w:ascii="Calibri" w:hAnsi="Calibri"/>
          <w:lang w:val="en-GB"/>
        </w:rPr>
      </w:pPr>
      <w:r w:rsidRPr="0086281A">
        <w:rPr>
          <w:rFonts w:ascii="Calibri" w:hAnsi="Calibri"/>
          <w:lang w:val="en-GB"/>
        </w:rPr>
        <w:t xml:space="preserve">If the weight in the </w:t>
      </w:r>
      <w:r w:rsidR="00215A3B" w:rsidRPr="0086281A">
        <w:rPr>
          <w:rFonts w:ascii="Calibri" w:hAnsi="Calibri"/>
          <w:lang w:val="en-GB"/>
        </w:rPr>
        <w:t>CG equation</w:t>
      </w:r>
      <w:r w:rsidRPr="0086281A">
        <w:rPr>
          <w:rFonts w:ascii="Calibri" w:hAnsi="Calibri"/>
          <w:lang w:val="en-GB"/>
        </w:rPr>
        <w:t xml:space="preserve"> explains, at least </w:t>
      </w:r>
      <w:r w:rsidR="009253D6" w:rsidRPr="0086281A">
        <w:rPr>
          <w:rFonts w:ascii="Calibri" w:hAnsi="Calibri"/>
          <w:lang w:val="en-GB"/>
        </w:rPr>
        <w:t>in part</w:t>
      </w:r>
      <w:r w:rsidR="00A5785D">
        <w:rPr>
          <w:rFonts w:ascii="Calibri" w:hAnsi="Calibri"/>
          <w:lang w:val="en-GB"/>
        </w:rPr>
        <w:t xml:space="preserve"> the</w:t>
      </w:r>
      <w:r w:rsidR="00215A3B" w:rsidRPr="0086281A">
        <w:rPr>
          <w:rFonts w:ascii="Calibri" w:hAnsi="Calibri"/>
          <w:lang w:val="en-GB"/>
        </w:rPr>
        <w:t xml:space="preserve"> continued interest for this formula by </w:t>
      </w:r>
      <w:r w:rsidR="003C0E75" w:rsidRPr="0086281A">
        <w:rPr>
          <w:rFonts w:ascii="Calibri" w:hAnsi="Calibri"/>
          <w:lang w:val="en-GB"/>
        </w:rPr>
        <w:t>pharmacologists</w:t>
      </w:r>
      <w:r w:rsidRPr="0086281A">
        <w:rPr>
          <w:rFonts w:ascii="Calibri" w:hAnsi="Calibri"/>
          <w:lang w:val="en-GB"/>
        </w:rPr>
        <w:t>, this variable can also be a source of confusion. Indeed, t</w:t>
      </w:r>
      <w:r w:rsidR="00E60F2B" w:rsidRPr="0086281A">
        <w:rPr>
          <w:rFonts w:ascii="Calibri" w:hAnsi="Calibri"/>
          <w:lang w:val="en-GB"/>
        </w:rPr>
        <w:t>here is no clear consensus regarding</w:t>
      </w:r>
      <w:r w:rsidRPr="0086281A">
        <w:rPr>
          <w:rFonts w:ascii="Calibri" w:hAnsi="Calibri"/>
          <w:lang w:val="en-GB"/>
        </w:rPr>
        <w:t xml:space="preserve"> </w:t>
      </w:r>
      <w:r w:rsidR="00A5785D">
        <w:rPr>
          <w:rFonts w:ascii="Calibri" w:hAnsi="Calibri"/>
          <w:lang w:val="en-GB"/>
        </w:rPr>
        <w:t xml:space="preserve">which </w:t>
      </w:r>
      <w:r w:rsidRPr="0086281A">
        <w:rPr>
          <w:rFonts w:ascii="Calibri" w:hAnsi="Calibri"/>
          <w:lang w:val="en-GB"/>
        </w:rPr>
        <w:t>weight</w:t>
      </w:r>
      <w:r w:rsidR="00A5785D">
        <w:rPr>
          <w:rFonts w:ascii="Calibri" w:hAnsi="Calibri"/>
          <w:lang w:val="en-GB"/>
        </w:rPr>
        <w:t xml:space="preserve"> is</w:t>
      </w:r>
      <w:r w:rsidRPr="0086281A">
        <w:rPr>
          <w:rFonts w:ascii="Calibri" w:hAnsi="Calibri"/>
          <w:lang w:val="en-GB"/>
        </w:rPr>
        <w:t xml:space="preserve"> to be used in the </w:t>
      </w:r>
      <w:r w:rsidR="00215A3B" w:rsidRPr="0086281A">
        <w:rPr>
          <w:rFonts w:ascii="Calibri" w:hAnsi="Calibri"/>
          <w:lang w:val="en-GB"/>
        </w:rPr>
        <w:t>CG equation</w:t>
      </w:r>
      <w:r w:rsidRPr="0086281A">
        <w:rPr>
          <w:rFonts w:ascii="Calibri" w:hAnsi="Calibri"/>
          <w:lang w:val="en-GB"/>
        </w:rPr>
        <w:t xml:space="preserve">: </w:t>
      </w:r>
      <w:r w:rsidR="00961F3F" w:rsidRPr="0086281A">
        <w:rPr>
          <w:rFonts w:ascii="Calibri" w:hAnsi="Calibri"/>
          <w:lang w:val="en-GB"/>
        </w:rPr>
        <w:t>ABW</w:t>
      </w:r>
      <w:r w:rsidRPr="0086281A">
        <w:rPr>
          <w:rFonts w:ascii="Calibri" w:hAnsi="Calibri"/>
          <w:lang w:val="en-GB"/>
        </w:rPr>
        <w:t xml:space="preserve">, ideal </w:t>
      </w:r>
      <w:r w:rsidR="00936FD1" w:rsidRPr="0086281A">
        <w:rPr>
          <w:rFonts w:ascii="Calibri" w:hAnsi="Calibri"/>
          <w:lang w:val="en-GB"/>
        </w:rPr>
        <w:t xml:space="preserve">body </w:t>
      </w:r>
      <w:r w:rsidRPr="0086281A">
        <w:rPr>
          <w:rFonts w:ascii="Calibri" w:hAnsi="Calibri"/>
          <w:lang w:val="en-GB"/>
        </w:rPr>
        <w:t>weight</w:t>
      </w:r>
      <w:r w:rsidR="00F7686E" w:rsidRPr="0086281A">
        <w:rPr>
          <w:rFonts w:ascii="Calibri" w:hAnsi="Calibri"/>
          <w:lang w:val="en-GB"/>
        </w:rPr>
        <w:t xml:space="preserve"> (IBW)</w:t>
      </w:r>
      <w:r w:rsidR="00215A3B" w:rsidRPr="0086281A">
        <w:rPr>
          <w:rFonts w:ascii="Calibri" w:hAnsi="Calibri"/>
          <w:lang w:val="en-GB"/>
        </w:rPr>
        <w:t>,</w:t>
      </w:r>
      <w:r w:rsidRPr="0086281A">
        <w:rPr>
          <w:rFonts w:ascii="Calibri" w:hAnsi="Calibri"/>
          <w:lang w:val="en-GB"/>
        </w:rPr>
        <w:t xml:space="preserve"> </w:t>
      </w:r>
      <w:r w:rsidR="00961F3F" w:rsidRPr="0086281A">
        <w:rPr>
          <w:rFonts w:ascii="Calibri" w:hAnsi="Calibri"/>
          <w:lang w:val="en-GB"/>
        </w:rPr>
        <w:t>AIBW</w:t>
      </w:r>
      <w:r w:rsidR="00F7686E" w:rsidRPr="0086281A">
        <w:rPr>
          <w:rFonts w:ascii="Calibri" w:hAnsi="Calibri"/>
          <w:lang w:val="en-GB"/>
        </w:rPr>
        <w:t xml:space="preserve"> or</w:t>
      </w:r>
      <w:r w:rsidR="00215A3B" w:rsidRPr="0086281A">
        <w:rPr>
          <w:rFonts w:ascii="Calibri" w:hAnsi="Calibri"/>
          <w:lang w:val="en-GB"/>
        </w:rPr>
        <w:t xml:space="preserve"> lean</w:t>
      </w:r>
      <w:r w:rsidRPr="0086281A">
        <w:rPr>
          <w:rFonts w:ascii="Calibri" w:hAnsi="Calibri"/>
          <w:lang w:val="en-GB"/>
        </w:rPr>
        <w:t xml:space="preserve"> </w:t>
      </w:r>
      <w:r w:rsidR="00936FD1" w:rsidRPr="0086281A">
        <w:rPr>
          <w:rFonts w:ascii="Calibri" w:hAnsi="Calibri"/>
          <w:lang w:val="en-GB"/>
        </w:rPr>
        <w:t xml:space="preserve">body </w:t>
      </w:r>
      <w:r w:rsidRPr="0086281A">
        <w:rPr>
          <w:rFonts w:ascii="Calibri" w:hAnsi="Calibri"/>
          <w:lang w:val="en-GB"/>
        </w:rPr>
        <w:t>weight</w:t>
      </w:r>
      <w:r w:rsidR="00F7686E" w:rsidRPr="0086281A">
        <w:rPr>
          <w:rFonts w:ascii="Calibri" w:hAnsi="Calibri"/>
          <w:lang w:val="en-GB"/>
        </w:rPr>
        <w:t xml:space="preserve"> (LBW)</w:t>
      </w:r>
      <w:r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7tvav4pf","properties":{"formattedCitation":"(18)","plainCitation":"(18)"},"citationItems":[{"id":1283,"uris":["http://zotero.org/users/2405774/items/94RFVWR6"],"uri":["http://zotero.org/users/2405774/items/94RFVWR6"],"itemData":{"id":1283,"type":"article-journal","title":"Drug dosing consideration in patients with acute and chronic kidney disease-a clinical update from Kidney Disease: Improving Global Outcomes (KDIGO)","container-title":"Kidney International","page":"1122-1137","volume":"80","issue":"11","source":"NCBI PubMed","abstract":"Drug dosage adjustment for patients with acute or chronic kidney disease is an accepted standard of practice. The challenge is how to accurately estimate a patient's kidney function in both acute and chronic kidney disease and determine the influence of renal replacement therapies on drug disposition. Kidney Disease: Improving Global Outcomes (KDIGO) held a conference to investigate these issues and propose recommendations for practitioners, researchers, and those involved in the drug development and regulatory arenas. The conference attendees discussed the major challenges facing drug dosage adjustment for patients with kidney disease. In particular, although glomerular filtration rate is the metric used to guide dose adjustment, kidney disease does affect nonrenal clearances, and this is not adequately considered in most pharmacokinetic studies. There are also inadequate studies in patients receiving all forms of renal replacement therapy and in the pediatric population. The conference generated 37 recommendations for clinical practice, 32 recommendations for future research directions, and 24 recommendations for regulatory agencies (US Food and Drug Administration and European Medicines Agency) to enhance the quality of pharmacokinetic and pharmacodynamic information available to clinicians. The KDIGO Conference highlighted the gaps and focused on crafting paths to the future that will stimulate research and improve the global outcomes of patients with acute and chronic kidney disease.","DOI":"10.1038/ki.2011.322","ISSN":"1523-1755","note":"PMID: 21918498","shortTitle":"Drug dosing consideration in patients with acute and chronic kidney disease-a clinical update from Kidney Disease","journalAbbreviation":"Kidney Int.","language":"eng","author":[{"family":"Matzke","given":"Gary R."},{"family":"Aronoff","given":"George R."},{"family":"Atkinson","given":"Arthur J."},{"family":"Bennett","given":"William M."},{"family":"Decker","given":"Brian S."},{"family":"Eckardt","given":"Kai-Uwe"},{"family":"Golper","given":"Thomas"},{"family":"Grabe","given":"Darren W."},{"family":"Kasiske","given":"Bertram"},{"family":"Keller","given":"Frieder"},{"family":"Kielstein","given":"Jan T."},{"family":"Mehta","given":"Ravindra"},{"family":"Mueller","given":"Bruce A."},{"family":"Pasko","given":"Deborah A."},{"family":"Schaefer","given":"Franz"},{"family":"Sica","given":"Domenic A."},{"family":"Inker","given":"Lesley A."},{"family":"Umans","given":"Jason G."},{"family":"Murray","given":"Patrick"}],"issued":{"date-parts":[["2011",12]]},"PMID":"21918498"}}],"schema":"https://github.com/citation-style-language/schema/raw/master/csl-citation.json"}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(18)</w:t>
      </w:r>
      <w:r w:rsidR="00777D1E" w:rsidRPr="0086281A">
        <w:rPr>
          <w:rFonts w:ascii="Calibri" w:hAnsi="Calibri"/>
          <w:lang w:val="en-GB"/>
        </w:rPr>
        <w:fldChar w:fldCharType="end"/>
      </w:r>
      <w:r w:rsidRPr="0086281A">
        <w:rPr>
          <w:rFonts w:ascii="Calibri" w:hAnsi="Calibri"/>
          <w:lang w:val="en-GB"/>
        </w:rPr>
        <w:t xml:space="preserve">. </w:t>
      </w:r>
      <w:r w:rsidR="002753C0" w:rsidRPr="0086281A">
        <w:rPr>
          <w:rFonts w:ascii="Calibri" w:hAnsi="Calibri"/>
          <w:lang w:val="en-GB"/>
        </w:rPr>
        <w:t xml:space="preserve">A lot </w:t>
      </w:r>
      <w:r w:rsidR="00302362" w:rsidRPr="0086281A">
        <w:rPr>
          <w:rFonts w:ascii="Calibri" w:hAnsi="Calibri"/>
          <w:lang w:val="en-GB"/>
        </w:rPr>
        <w:t xml:space="preserve">of data </w:t>
      </w:r>
      <w:r w:rsidR="002753C0" w:rsidRPr="0086281A">
        <w:rPr>
          <w:rFonts w:ascii="Calibri" w:hAnsi="Calibri"/>
          <w:lang w:val="en-GB"/>
        </w:rPr>
        <w:t xml:space="preserve">has </w:t>
      </w:r>
      <w:r w:rsidR="00302362" w:rsidRPr="0086281A">
        <w:rPr>
          <w:rFonts w:ascii="Calibri" w:hAnsi="Calibri"/>
          <w:lang w:val="en-GB"/>
        </w:rPr>
        <w:t>shown significant discrepancies in terms of dosage adjustment depending on whether one or the other weight is used, especially when obese or anorexic populations are considered</w:t>
      </w:r>
      <w:r w:rsidR="00D978D5"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{"citationID":"2qs3vh32fu","properties":{"formattedCitation":"{\\rtf (31,35,36,41\\uc0\\u8211{}46)}","plainCitation":"(31,35,36,41–46)"},"citationItems":[{"id":1305,"uris":["http://zotero.org/users/2405774/items/QBE2E5S7"],"uri":["http://zotero.org/users/2405774/items/QBE2E5S7"],"itemData":{"id":1305,"type":"article-journal","title":"The performances of the Cockcroft-Gault, modification of diet in renal disease study and chronic kidney disease epidemiology collaboration equations in predicting gentamicin clearance","container-title":"Annals of Clinical Biochemistry","page":"546-557","volume":"50","issue":"6","source":"NCBI PubMed","abstract":"BACKGROUND: It is unclear which renal function equation, employing an isotope dilution mass spectrometry (IDMS)-aligned creatinine assay, best predicts gentamicin clearance.\nMETHODS: The performances of the Cockcroft-Gault, Modification of Diet in Renal Disease (MDRD) Study and Chronic Kidney Disease Epidemiology Collaboration (CKD-EPI) equations for predicting gentamicin clearances were assessed retrospectively in 240 patients treated with gentamicin during 2011-2012, when the local creatinine assay was IDMS-aligned. Comparisons were based on the percentage within 30% of gentamicin clearance (P 30) and the root-mean-square error (RMSE) of each equation. Gentamicin clearance was calculated from plasma concentrations using a one-compartment model.\nRESULTS: The Cockcroft-Gault equation and the CKD-EPI equation corrected for individual body surface area (BSA) were associated with the highest P 30 (69% and 67%, respectively) and lowest RMSE (39 and 36 mL/min, respectively) in the 240 patients. Correction for individual BSA improved the performances of the MDRD Study and CKD-EPI equations in patients with body mass indices &lt;18.5 or ≥30 kg/m(2). The equations systematically underestimated gentamicin clearance as gentamicin clearance increased, with performance being inferior with gentamicin clearance ≥90 versus &lt;90 mL/min.\nCONCLUSIONS: The CKD-EPI equation corrected for individual BSA, and the Cockcroft-Gault equation, provided the best estimates of gentamicin clearance. The CKD-EPI and MDRD Study equations should be corrected for individual BSA at the extremes of body size, if used for guiding gentamicin therapy. The performances of the equations were inferior in patients with higher values of gentamicin clearance.","DOI":"10.1177/0004563213492320","ISSN":"1758-1001","note":"PMID: 24045301","journalAbbreviation":"Ann. Clin. Biochem.","language":"eng","author":[{"family":"Chin","given":"P. K. L."},{"family":"Florkowski","given":"C. M."},{"family":"Begg","given":"E. J."}],"issued":{"date-parts":[["2013",11]]},"PMID":"24045301"},"label":"page"},{"id":1299,"uris":["http://zotero.org/users/2405774/items/ZHGWFF8B"],"uri":["http://zotero.org/users/2405774/items/ZHGWFF8B"],"itemData":{"id":1299,"type":"article-journal","title":"Evaluation of renal drug dosing: prescribing information and clinical pharmacist approaches","container-title":"Pharmacotherapy","page":"776-786","volume":"30","issue":"8","source":"NCBI PubMed","abstract":"STUDY OBJECTIVE: To characterize renal function parameters reported in United States Food and Drug Administration-approved prescribing information (package inserts), to compare dosage recommendations for patients with impaired renal function between prescribing information and tertiary drug dosing references, and to evaluate renal function quantification methods most commonly used by clinical pharmacists to develop dosage regimens.\nDESIGN: Retrospective analysis and Web-based survey.\nDATA SOURCES: Prescribing information for all new molecular entities (NMEs) approved from 1998-2007 in which dosing recommendations were proposed for patients with impaired renal function, drug monographs from four tertiary drug dosing references (Micromedex, Lexi-Comp, Epocrates Rx, and American Hospital Formulary Service [AHFS] Drug Information) for all identified NMEs, and a Web-based survey of 204 nephrology and critical care pharmacy practitioners.\nMEASUREMENTS AND MAIN RESULTS: A total of 44 NMEs included renal dosing recommendations in their prescribing information. For all 44 NMEs, prescribing information was reviewed to determine methods to quantify renal function, units of measure reported, and use of chronic kidney disease terminology. The most common index of renal function was creatinine clearance; the Cockcroft-Gault equation was specified in the prescribing information of 11 NMEs. Standardization for body weight was inconsistent, with prescribing information for four NMEs reporting renal function in ml/minute/1.73 m(2). The prescribing information or tertiary sources did not mention use of estimated glomerular filtration rate (eGFR) or the Modification of Diet in Renal Disease Study (MDRD) equation. Epocrates Rx provided the most abbreviated renal dosing information, whereas AHFS Drug Information was the most comprehensive, and Lexi-Comp includes a renal function calculator. Nearly all (86%) clinical pharmacists indicated that automated eGFR is reported at their institutions, although they do not use these predictions for dosing in patients with impaired renal function, and their approaches to renal function estimation varied widely.\nCONCLUSION: Reporting of renal function methods and dosing recommendations for patients with impaired renal function requires standardization in order to ensure optimal dosing. Pharmacy clinicians do not substitute eGFR in place of creatinine clearance for renal dosing, which is consistent with current prescribing information. Studies are needed that will evaluate the validity of using eGFR to predict drug clearance and thereby generate dosage recommendations.","DOI":"10.1592/phco.30.8.776","ISSN":"1875-9114","note":"PMID: 20653353","shortTitle":"Evaluation of renal drug dosing","journalAbbreviation":"Pharmacotherapy","language":"eng","author":[{"family":"Dowling","given":"Thomas C."},{"family":"Matzke","given":"Gary R."},{"family":"Murphy","given":"John E."},{"family":"Burckart","given":"Gilbert J."}],"issued":{"date-parts":[["2010",8]]},"PMID":"20653353"},"label":"page"},{"id":1301,"uris":["http://zotero.org/users/2405774/items/GMV4XGEK"],"uri":["http://zotero.org/users/2405774/items/GMV4XGEK"],"itemData":{"id":1301,"type":"article-journal","title":"Simplified estimation of aminoglycoside pharmacokinetics in underweight and obese adult patients","container-title":"Antimicrobial Agents and Chemotherapy","page":"4006-4011","volume":"55","issue":"9","source":"NCBI PubMed","abstract":"Aminoglycosides are an important class of agents that are used in combination antimicrobial regimens to treat bacterial pathogens. Dosing of aminoglycosides is typically based on total body weight. However, the most appropriate alternative body size descriptor for dosing aminoglycosides at the extremes of weight (underweight and obese) is not known. Also, the predictive performance of newer formulas to assess kidney function, such as the modification of diet in renal disease (MDRD) and chronic kidney disease-epidemiology (CKD-EPI) equations compared to the Cockcroft-Gault equation to predict aminoglycoside clearance, is not known. We sought to examine dosing of aminoglycosides across the extremes of weight using a variety of formulas to assess kidney function. Pharmacokinetic data were obtained from a set of prospectively collected data (1982 to 2003) of 2,073 (53.5% male) adult patients that included 497 tobramycin- and 1,576 gentamicin-treated cases. The median (minimum, maximum) age, weight, and body mass index were 66 (18, 98) years, 70.0 (29.7, 206.7) kg, and 24.4 (11.3, 73.8) kg/m(2), respectively. The percentage of underweight, normal-weight, overweight, and obese cases based on the World Health Organization classification were 8.8%, 45.5%, 26.5%, and 19.2%, respectively. The aminoglycoside volume of distribution was normalized to several alternative body size descriptors. Only lean body weight estimated by the method of S. Janmahasatian et al. (Clin. Pharmacokinet. 44:1051-1065, 2005) normalized the volume of distribution for both tobramycin and gentamicin across all weight strata, with the estimate being approximately 0.45 liter/kg. Aminoglycoside dosing can be simplified across all weight strata with the use of lean body weight. The CKD-EPI equation best predicts aminoglycoside clearance.","DOI":"10.1128/AAC.00174-11","ISSN":"1098-6596","note":"PMID: 21670189 \nPMCID: PMC3165292","journalAbbreviation":"Antimicrob. Agents Chemother.","language":"eng","author":[{"family":"Pai","given":"Manjunath P."},{"family":"Nafziger","given":"Anne N."},{"family":"Bertino","given":"Joseph S."}],"issued":{"date-parts":[["2011",9]]},"PMID":"21670189","PMCID":"PMC3165292"},"label":"page"},{"id":1460,"uris":["http://zotero.org/users/2405774/items/E7QQRAGU"],"uri":["http://zotero.org/users/2405774/items/E7QQRAGU"],"itemData":{"id":1460,"type":"article-journal","title":"Comparison of drug dosing recommendations based on measured GFR and kidney function estimating equations","container-title":"American Journal of Kidney Diseases","page":"33-42","volume":"54","issue":"1","source":"NCBI PubMed","abstract":"BACKGROUND: Kidney disease alters the pharmacokinetic disposition of many medications, requiring dosage adjustment to maintain therapeutic serum concentrations. The Cockcroft-Gault (CG) equation is used for pharmacokinetic studies and drug dosage adjustments, but the Modification of Diet in Renal Disease (MDRD) Study equation is more accurate and more often reported by clinical laboratories than the CG equation.\nSTUDY DESIGN: Diagnostic test study.\nSETTINGS &amp; PARTICIPANTS: Pooled data set for 5,504 participants from 6 research studies and 4 clinical populations with measured glomerular filtration rate (GFR).\nINDEX TEST: Estimated kidney function using the MDRD Study and CG equations incorporating actual (CG) or ideal body weight (CG(IBW)) and standardized serum creatinine concentrations.\nREFERENCE TEST: Measured GFR assessed by using iodine-125-iothalamate urinary clearance.\nOUTCOME: Concordance of assigned kidney function categories designated by the Food and Drug Administration (FDA) Guidance for Industry for pharmacokinetic studies and recommended dosages of 15 medications cleared by the kidneys.\nRESULTS: Concordance of kidney function estimates with measured GFR for FDA-assigned kidney function categories was 78% for the MDRD Study equation compared with 73% for the CG equation (P &lt; 0.001) and 66% for the CG(IBW) equation (P &lt; 0.001). Concordance between the MDRD Study equation and CG and CG(IBW) equations was 78% and 75%, respectively (P &lt; 0.001). Concordance of kidney function estimates with measured GFR for recommended drug dosages was 88% for MDRD Study equation compared with 85% for the CG equation (P &lt; 0.001) and 82% for the CG(IBW) equation (P &lt; 0.001), with lower concordance when dosing recommendations for drugs included narrow GFR ranges. Concordance rates between the CG and CG(IBW) equations and MDRD Study equation were 89% and 88%, respectively (P &lt; 0.05).\nLIMITATIONS: Results based on simulation rather than pharmacokinetic studies. Outcome was drug dosage recommendations, rather than observed drug efficacy and safety.\nCONCLUSIONS: The MDRD Study equation can also be used for pharmacokinetic studies and drug dosage adjustments. As more accurate GFR-estimating equations are developed, they should be used for these purposes.","DOI":"10.1053/j.ajkd.2009.03.008","ISSN":"1523-6838","note":"PMID: 19446939 \nPMCID: PMC2756662","journalAbbreviation":"Am. J. Kidney Dis.","language":"eng","author":[{"family":"Stevens","given":"Lesley A."},{"family":"Nolin","given":"Thomas D."},{"family":"Richardson","given":"Michelle M."},{"family":"Feldman","given":"Harold I."},{"family":"Lewis","given":"Julia B."},{"family":"Rodby","given":"Roger"},{"family":"Townsend","given":"Raymond"},{"family":"Okparavero","given":"Aghogho"},{"family":"Zhang","given":"Yaping Lucy"},{"family":"Schmid","given":"Christopher H."},{"family":"Levey","given":"Andrew S."},{"family":"Chronic Kidney Disease Epidemiology Collaboration","given":""}],"issued":{"date-parts":[["2009",7]]},"PMID":"19446939","PMCID":"PMC2756662"},"label":"page"},{"id":1199,"uris":["http://zotero.org/users/2405774/items/C4W66E78"],"uri":["http://zotero.org/users/2405774/items/C4W66E78"],"itemData":{"id":1199,"type":"article-journal","title":"The influence of body size descriptors on the estimation of kidney function in normal weight, overweight, obese, and morbidly obese adults","container-title":"The Annals of Pharmacotherapy","page":"317-328","volume":"46","issue":"3","source":"NCBI PubMed","abstract":"BACKGROUND: Dosing adjustments for patients with impaired kidney function are often based on estimated creatinine clearance (eCrCl) because measuring kidney function is not always possible for dose adjustment. However, there is no consensus on the body size descriptor that should be used in the estimation equations.\nOBJECTIVE: To compare the use of alternative body size descriptors (ABSDs) on the performance of kidney function estimation equations compared with measured CrCl (mCrCl).\nMETHODS: We combined 2\nDATA SOURCES: a Food and Drug Administration clinical trial database that includes subjects with body mass index (BMI) less than 40 kg/m(2) and published data from those 40 kg/m(2) or more. The 3 parent equations (Cockcroft-Gault [CG], Modification of Diet in Renal Disease [MDRD], Chronic Kidney Disease-Epidemiology Collaboration [CKDEPI]), and 14 ABSD-modified equations were compared with mCrCl for accuracy, bias, agreement, goodness of fit (R(2)), and prediction error. These equations were also compared across mCrCl and BMI strata.\nRESULTS: Subjects (n = 590) were aged 19-80 years; 33.9% were female and BMI ranged from 17.2 to 95.6 kg/m(2). Compared with mCrCl, the use of total weight in the CG equation yielded low accuracy (12.5%) and significant bias (-107 mL/min) in the morbidly obese group. In contrast, the use of lean body weights (BMI ≥40 kg/m(2)) and total ± adjusted weights (BMI &lt;40 kg/m(2)) with the CG equation yielded higher accuracy, greater than or equal to 60.7% across all BMI strata, and was unbiased. Transforming the MDRD or CKDEPI equations with body surface area improved accuracy only at mCrCl of 30-80 mL/min and increased the overall prediction error.\nCONCLUSIONS: No kidney function equation was consistently accurate and unbiased across weight, mCrCl, and estimate ranges. The accuracy and overestimation bias of the CG equation in obese subjects was improved through the selective use of total, adjusted, and lean body weight by BMI strata.","DOI":"10.1345/aph.1Q374","ISSN":"1542-6270","note":"PMID: 22395245","journalAbbreviation":"Ann Pharmacother","language":"eng","author":[{"family":"Park","given":"Eun Jung"},{"family":"Pai","given":"Manjunath P."},{"family":"Dong","given":"Ting"},{"family":"Zhang","given":"Jialu"},{"family":"Ko","given":"Chia-Wen"},{"family":"Lawrence","given":"John"},{"family":"Crentsil","given":"Victor"},{"family":"Zhang","given":"Lei"},{"family":"Xu","given":"Nancy N."}],"issued":{"date-parts":[["2012",3]]},"PMID":"22395245"},"label":"page"},{"id":1321,"uris":["http://zotero.org/users/2405774/items/PK4FDHUW"],"uri":["http://zotero.org/users/2405774/items/PK4FDHUW"],"itemData":{"id":1321,"type":"article-journal","title":"Adjusting eptifibatide doses for renal impairment: a model of dosing agreement among various methods of estimating creatinine clearance","container-title":"The Annals of Pharmacotherapy","page":"477-483","volume":"46","issue":"4","source":"NCBI PubMed","abstract":"BACKGROUND: Because of the renal elimination and increased risk for bleeding events at supratherapeutic doses of eptifibatide, the manufacturer recommends dosing adjustment in patients with renal dysfunction. Methods commonly used to estimate renal dysfunction in hospital settings may be inconsistent with those studied and recommended by the manufacturer.\nOBJECTIVE: To compare hypothetical renal dosing adjustments of eptifibatide using both the recommended method and several other commonly used formulas for estimating kidney function.\nMETHODS: Sex, age, weight, height, serum creatinine, and estimated glomerular filtration rate (eGFR) were obtained retrospectively from the records of patients who received eptifibatide during a 12-month period. Renal dosing decisions were determined for each patient based on creatinine clearance (CrCl) estimates via the Cockcroft-Gault formula (CG) with actual body weight (ABW), ideal body weight (IBW) or adjusted weight (ADJW), and eGFR from the Modification of Diet in Renal Disease formula. Percent agreement and Cohen κ were calculated comparing dosing decisions for each formula to the standard CG-ABW.\nRESULTS: In this analysis of 179 patients, percent agreement as compared to CG-ABW varied (CG-IBW: 90.50%, CG-ADJW: 95.53%, and eGFR: 93.30%). All κ coefficients were categorized as good. In the 20% of patients receiving an adjusted dose by any of the methods, 68.6% could have received a dose different from that determined using the CG-ABW formula.\nCONCLUSIONS: In the patients with renal impairment (CrCl &lt;50 mL/min) in this study, two thirds would have received an unnecessary 50% dose adjustment discordant from the manufacturer's recommendation. Because failure to adjust eptifibatide doses in patients with renal impairment has led to increased bleeding events, practitioners may be inclined to err on the side of caution. However, studies have shown that suboptimal doses of eptifibatide lead to suboptimal outcomes. Therefore, correct dosing of eptifibatide is important to both patient safety and efficacy.","DOI":"10.1345/aph.1Q644","ISSN":"1542-6270","note":"PMID: 22474135","shortTitle":"Adjusting eptifibatide doses for renal impairment","journalAbbreviation":"Ann Pharmacother","language":"eng","author":[{"family":"Healy","given":"Martha F."},{"family":"Speroni","given":"Karen Gabel"},{"family":"Eugenio","given":"Kenneth R."},{"family":"Murphy","given":"Patricia M."}],"issued":{"date-parts":[["2012",4]]},"PMID":"22474135"},"label":"page"},{"id":1323,"uris":["http://zotero.org/users/2405774/items/82QNUFHF"],"uri":["http://zotero.org/users/2405774/items/82QNUFHF"],"itemData":{"id":1323,"type":"article-journal","title":"Comparison of equations for dosing of medications requiring renal adjustment","container-title":"Journal of the American Pharmacists Association","page":"54-57","volume":"53","issue":"1","source":"NCBI PubMed","abstract":"OBJECTIVE: To compare the Cockcroft-Gault (CG) and Modification of Diet in Renal Disease (MDRD) equations for renal dosing of medications in primary care patients.\nMETHODS: Patients with stages 3, 4, or 5 chronic kidney disease who had been prescribed one of the renally cleared study medications during a 16-month time period were identified. The appropriate dose of patients' study medications, based on their most recent creatinine clearance (CrCl) and estimated glomerular filtration rate (eGFR), was determined. The primary outcome was the rate in which the CG and MDRD equations provided the same dosing recommendation.\nRESULTS: The rate at which the CG ideal body weight and MDRD equations recommended the same dose was 59.6% (P = 0.001). The rate at which the CG actual body weight and MDRD equations recommended the same dose was 71.1% ( P = 0.001).\nCONCLUSION: A significant difference exists in the doses derived from the CG and MDRD equations in the primary care setting. CG should continue to be used for renal dosing until further recommendations are available.","DOI":"10.1331/JAPhA.2013.11241","ISSN":"1544-3450","note":"PMID: 23636156","journalAbbreviation":"J Am Pharm Assoc (2003)","language":"eng","author":[{"family":"Lessard","given":"Bethany A."},{"family":"Zaiken","given":"Kathy"}],"issued":{"date-parts":[["2013",2]]},"PMID":"23636156"},"label":"page"},{"id":1061,"uris":["http://zotero.org/users/2405774/items/JIUK6XU9"],"uri":["http://zotero.org/users/2405774/items/JIUK6XU9"],"itemData":{"id":1061,"type":"article-journal","title":"Carboplatin dose calculation in lung cancer patients with low serum creatinine concentrations using CKD-EPI and Cockcroft-Gault with different weight descriptors","container-title":"Lung Cancer (Amsterdam, Netherlands)","page":"54-58","volume":"79","issue":"1","source":"NCBI PubMed","abstract":"STUDY OBJECTIVES: Carboplatin dosing using the Calvert and Cockcroft-Gault formulae in patients with low serum creatinine levels is discussed controversially. We conducted a retrospective analysis applying the CKD-EPI formula and the alternate size descriptors adjusted body weight and predicted normal weight in the Cockcroft-Gault equation for calculating the carboplatin dose.\nMETHODS: Data were collected retrospectively from 128 lung cancer patients with serum creatinine &lt;0.8 mg/dL (71 μmol/L) who had received chemotherapy that was mostly platinum-based. Serum creatinine concentration for renal function estimation and measured creatinine clearance (24-h urine collection) were available on the same day from these patients. Actual doses were calculated based on the Cockcroft-Gault formula with total body weight. For the study purpose doses were recalculated using Cockcroft-Gault with adjusted body weight and predicted normal weight and CKD-EPI. Subgroup analyses were performed for gender and body mass index.\nRESULTS: All alternate dose calculations were not inferior to the calculation based on Cockcroft-Gault using total body weight. In overweight and obese patients they were superior in reducing mean overdose from 24% to roughly 15% (predicted normal weight, CKD-EPI) and 10% (adjusted body weight) and from 25% to 9%, 8% and 4%, respectively. Best performed the combination of Cockcroft-Gault with adjusted body weight.\nCONCLUSION: The results show that application of the alternate size descriptor adjusted body weight in the Cockcroft-Gault equation can improve dosing accuracy especially in overweight and obese patients with low serum creatinine levels.","DOI":"10.1016/j.lungcan.2012.10.009","ISSN":"1872-8332","note":"PMID: 23131495","journalAbbreviation":"Lung Cancer","language":"eng","author":[{"family":"Kaag","given":"Dieter"}],"issued":{"date-parts":[["2013",1]]},"PMID":"23131495"},"label":"page"},{"id":1069,"uris":["http://zotero.org/users/2405774/items/D25UBSCZ"],"uri":["http://zotero.org/users/2405774/items/D25UBSCZ"],"itemData":{"id":1069,"type":"article-journal","title":"Dosing of cytotoxic chemotherapy: impact of renal function estimates on dose","container-title":"Annals of oncology","page":"2746-2752","volume":"24","issue":"11","source":"NCBI PubMed","abstract":"BACKGROUND: Oncology clinicians are now routinely provided with an estimated glomerular filtration rate on pathology reports whenever serum creatinine is requested. The utility of using this for the dose determination of renally excreted drugs compared with other existing methods is needed to inform practice.\nPATIENTS AND METHODS: Renal function was determined by [Tc(99m)]DTPA clearance in adult patients presenting for chemotherapy. Renal function was calculated using the 4-variable Modification of Diet in Renal Disease (4v-MDRD), Chronic Kidney Disease Epidemiology Collaboration (CKD-EPI), Cockcroft and Gault (CG), Wright and Martin formulae. Doses for renal excreted cytotoxic drugs, including carboplatin, were calculated.\nRESULTS: The concordance of the renal function estimates according to the CKD classification with measured Tc(99m)DPTA clearance in 455 adults (median age 64.0 years: range 17-87 years) for the 4v-MDRD, CKD-EPI, CG, Martin and Wright formulae was 47.7%, 56.3%, 46.2%, 56.5% and 60.2%, respectively. Concordance for chemotherapy dose for these formulae was 89.0%, 89.5%, 85.1%, 89.9% and 89.9%, respectively. Concordance for carboplatin dose specifically was 66.4%, 71.4%, 64.0%, 73.8% and 73.2%.\nCONCLUSION: All bedside formulae provide similar levels of concordance in dosage selection for the renal excreted chemotherapy drugs when compared with the use of a direct measure of renal function.","DOI":"10.1093/annonc/mdt300","ISSN":"1569-8041","note":"PMID: 23928359","shortTitle":"Dosing of cytotoxic chemotherapy","journalAbbreviation":"Ann. Oncol.","language":"eng","author":[{"family":"Dooley","given":"M. J."},{"family":"Poole","given":"S. G."},{"family":"Rischin","given":"D."}],"issued":{"date-parts":[["2013",11]]},"PMID":"23928359"},"label":"page"}],"schema":"https://github.com/citation-style-language/schema/raw/master/csl-citation.json"} </w:instrText>
      </w:r>
      <w:r w:rsidR="00777D1E" w:rsidRPr="0086281A">
        <w:rPr>
          <w:rFonts w:ascii="Calibri" w:hAnsi="Calibri"/>
          <w:lang w:val="en-GB"/>
        </w:rPr>
        <w:fldChar w:fldCharType="separate"/>
      </w:r>
      <w:r w:rsidR="009852DE" w:rsidRPr="00727535">
        <w:rPr>
          <w:rFonts w:ascii="Calibri" w:hAnsi="Calibri"/>
        </w:rPr>
        <w:t>(31,35,36,41–46)</w:t>
      </w:r>
      <w:r w:rsidR="00777D1E" w:rsidRPr="0086281A">
        <w:rPr>
          <w:rFonts w:ascii="Calibri" w:hAnsi="Calibri"/>
          <w:lang w:val="en-GB"/>
        </w:rPr>
        <w:fldChar w:fldCharType="end"/>
      </w:r>
      <w:r w:rsidR="00302362" w:rsidRPr="0086281A">
        <w:rPr>
          <w:rFonts w:ascii="Calibri" w:hAnsi="Calibri"/>
          <w:lang w:val="en-GB"/>
        </w:rPr>
        <w:t>.</w:t>
      </w:r>
    </w:p>
    <w:p w:rsidR="00400783" w:rsidRPr="0086281A" w:rsidRDefault="00302362" w:rsidP="00400783">
      <w:pPr>
        <w:rPr>
          <w:rFonts w:ascii="Calibri" w:hAnsi="Calibri" w:cs="Times"/>
          <w:lang w:val="en-GB"/>
        </w:rPr>
      </w:pPr>
      <w:r w:rsidRPr="0086281A">
        <w:rPr>
          <w:rFonts w:ascii="Calibri" w:hAnsi="Calibri"/>
          <w:lang w:val="en-GB"/>
        </w:rPr>
        <w:t xml:space="preserve">The initial version of CG equation used ABW, but </w:t>
      </w:r>
      <w:r w:rsidR="009253D6" w:rsidRPr="0086281A">
        <w:rPr>
          <w:rFonts w:ascii="Calibri" w:hAnsi="Calibri"/>
          <w:lang w:val="en-GB"/>
        </w:rPr>
        <w:t xml:space="preserve">Cockcroft </w:t>
      </w:r>
      <w:r w:rsidR="00961F3F" w:rsidRPr="0086281A">
        <w:rPr>
          <w:rFonts w:ascii="Calibri" w:hAnsi="Calibri"/>
          <w:lang w:val="en-GB"/>
        </w:rPr>
        <w:t>and</w:t>
      </w:r>
      <w:r w:rsidR="00D978D5" w:rsidRPr="0086281A">
        <w:rPr>
          <w:rFonts w:ascii="Calibri" w:hAnsi="Calibri"/>
          <w:lang w:val="en-GB"/>
        </w:rPr>
        <w:t xml:space="preserve"> </w:t>
      </w:r>
      <w:r w:rsidR="009253D6" w:rsidRPr="0086281A">
        <w:rPr>
          <w:rFonts w:ascii="Calibri" w:hAnsi="Calibri"/>
          <w:lang w:val="en-GB"/>
        </w:rPr>
        <w:t xml:space="preserve">Gault </w:t>
      </w:r>
      <w:r w:rsidRPr="0086281A">
        <w:rPr>
          <w:rFonts w:ascii="Calibri" w:hAnsi="Calibri"/>
          <w:lang w:val="en-GB"/>
        </w:rPr>
        <w:t xml:space="preserve">recommended using IBW or LBW in patients with pronounced obesity or volume overload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1f51af3omr","properties":{"formattedCitation":"(47)","plainCitation":"(47)"},"citationItems":[{"id":1135,"uris":["http://zotero.org/users/local/gLwvffvk/items/X44JTA68"],"uri":["http://zotero.org/users/local/gLwvffvk/items/X44JTA68"],"itemData":{"id":1135,"type":"article-journal","title":"Prediction of creatinine clearance from serum creatinine","container-title":"Nephron","page":"31-41","volume":"16","issue":"1","source":"NCBI PubMed","abstract":"A formula has been developed to predict creatinine clearance (Ccr) from serum creatinine (Scr) in adult males: (see article)(15% less in females). Derivation included the relationship found between age and 24-hour creatinine excretion/kg in 249 patients aged 18-92. Values for Ccr were predicted by this formula and four other methods and the results compared with the means of two 24-hour Ccr's measured in 236 patients. The above formula gave a correlation coefficient between predicted and mean measured Ccr's of 0.83; on average, the difference predicted and mean measured values was no greater than that between paired clearances. Factors for age and body weight must be included for reasonable prediction.","ISSN":"0028-2766","note":"PMID: 1244564","journalAbbreviation":"Nephron","language":"eng","author":[{"family":"Cockcroft","given":"D. W."},{"family":"Gault","given":"M. H."}],"issued":{"date-parts":[["1976"]]},"PMID":"1244564"}}],"schema":"https://github.com/citation-style-language/schema/raw/master/csl-citation.json"}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(47)</w:t>
      </w:r>
      <w:r w:rsidR="00777D1E" w:rsidRPr="0086281A">
        <w:rPr>
          <w:rFonts w:ascii="Calibri" w:hAnsi="Calibri"/>
          <w:lang w:val="en-GB"/>
        </w:rPr>
        <w:fldChar w:fldCharType="end"/>
      </w:r>
      <w:r w:rsidRPr="0086281A">
        <w:rPr>
          <w:rFonts w:ascii="Calibri" w:hAnsi="Calibri"/>
          <w:lang w:val="en-GB"/>
        </w:rPr>
        <w:t xml:space="preserve">. </w:t>
      </w:r>
      <w:r w:rsidRPr="0086281A">
        <w:rPr>
          <w:rFonts w:ascii="Calibri" w:hAnsi="Calibri" w:cs="Times"/>
          <w:lang w:val="en-GB"/>
        </w:rPr>
        <w:t xml:space="preserve">Use of ABW is not optimal in patients at the extremes of weight and may lead to the misclassification of kidney function and to inappropriate dose adjustment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2pco650omi","properties":{"formattedCitation":"(48)","plainCitation":"(48)"},"citationItems":[{"id":1378,"uris":["http://zotero.org/users/2405774/items/QG43TUPF"],"uri":["http://zotero.org/users/2405774/items/QG43TUPF"],"itemData":{"id":1378,"type":"article-journal","title":"Estimating the glomerular filtration rate in obese adult patients for drug dosing","container-title":"Advances in Chronic Kidney Disease","page":"53-62","volume":"17","issue":"5","source":"NCBI PubMed","abstract":"One-third of adult Americans are currently classified as obese. Physiologic changes associated with obesity can potentially alter the clearance of commonly used drugs. Clearance of certain drugs by the kidneys occurs primarily through glomerular filtration and tubular secretion. Obesity has been associated with glomerular hyperfiltration, whereas obesity-related effects on tubular secretion are not well characterized. Estimation of the glomerular filtration rate (GFR) is currently performed using serum creatinine using the Modification of Diet in Renal Disease (MDRD) equation. However, drug dosing guidelines are often based on creatinine clearance (CLcr) using the Cockcroft-Gault equation as a surrogate of GFR. There is a lack of consensus on the most appropriate method for estimation of GFR or CLcr in patients with obesity. The controversy relates to the use of 2 body size descriptors that confound these equations. The Cockcroft-Gault equation relies on total body weight and so overestimates GFR in patients with obesity. The MDRD equation indexes GFR based on a normalized body surface area, that is, mL/min/1.73 m(2). Conversion of MDRD estimated GFR to non-normalized body surface area overestimates GFR in patients with obesity. The current review explores current approaches and controversies to estimation of GFR and CLcr among obese patients in clinical practice. The role of the alternate body size descriptor, lean body weight to estimate CLcr in obese patients is reviewed.","DOI":"10.1053/j.ackd.2010.05.010","ISSN":"1548-5609","note":"PMID: 20727504","journalAbbreviation":"Adv Chronic Kidney Dis","language":"eng","author":[{"family":"Pai","given":"Manjunath P."}],"issued":{"date-parts":[["2010",9]]},"PMID":"20727504"}}],"schema":"https://github.com/citation-style-language/schema/raw/master/csl-citation.json"}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(48)</w:t>
      </w:r>
      <w:r w:rsidR="00777D1E" w:rsidRPr="0086281A">
        <w:rPr>
          <w:rFonts w:ascii="Calibri" w:hAnsi="Calibri" w:cs="Times"/>
          <w:lang w:val="en-GB"/>
        </w:rPr>
        <w:fldChar w:fldCharType="end"/>
      </w:r>
      <w:r w:rsidR="008B7566" w:rsidRPr="0086281A">
        <w:rPr>
          <w:rFonts w:ascii="Calibri" w:hAnsi="Calibri" w:cs="Times"/>
          <w:lang w:val="en-GB"/>
        </w:rPr>
        <w:t xml:space="preserve">. </w:t>
      </w:r>
      <w:r w:rsidR="009253D6" w:rsidRPr="0086281A">
        <w:rPr>
          <w:rFonts w:ascii="Calibri" w:hAnsi="Calibri" w:cs="Times"/>
          <w:lang w:val="en-GB"/>
        </w:rPr>
        <w:t xml:space="preserve">Other authors </w:t>
      </w:r>
      <w:r w:rsidRPr="0086281A">
        <w:rPr>
          <w:rFonts w:ascii="Calibri" w:hAnsi="Calibri" w:cs="Times"/>
          <w:lang w:val="en-GB"/>
        </w:rPr>
        <w:t xml:space="preserve">suggest that clinicians may adjust doses on the basis of ABW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1h42b255h4","properties":{"formattedCitation":"(49)","plainCitation":"(49)"},"citationItems":[{"id":1125,"uris":["http://zotero.org/users/2405774/items/I9GSVQEH"],"uri":["http://zotero.org/users/2405774/items/I9GSVQEH"],"itemData":{"id":1125,"type":"article-journal","title":"Obesity-induced glomerular hyperfiltration: its involvement in the pathogenesis of tubular sodium reabsorption","container-title":"Nephrology, Dialysis, Transplantation","page":"3946-3952","volume":"23","issue":"12","source":"NCBI PubMed","abstract":"BACKGROUND: Obesity is associated with hypertension and glomerular hyperfiltration. A major mechanism responsible for the obesity-associated hypertension is renal salt retention. An increased glomerular filtration fraction (FF) is expected to raise postglomerular oncotic pressure and to increase proximal tubular sodium reabsorption. The aim of the present study was to verify whether obesity-associated hyperfiltration leads to increased postglomerular oncotic pressure and increased proximal sodium reabsorption.\nMETHODS: Twelve obese subjects (BMI &gt;36) and 19 lean subjects participated in the study. They underwent measurement of glomerular filtration rate (GFR), renal plasma flow (RPF) and fractional excretion of lithium (FE Li).\nRESULTS: GFR, RPF and FF were 61%, 28% and 29% higher, respectively, in the obese than in the control group (P &lt; 0.00001 for GFR, P &lt; 0.005 for RPF and P &lt; 0.00005 for FF). Half of the obese group had increased FF with increased GFR, while the other half had normal FF with high-normal or increased GFR. Postglomerular oncotic pressure was 13% higher (P &lt; 0.03) and FE Li was 33% lower (P &lt; 0.005) in the obese group with high FF than in the lean group. Postglomerular oncotic pressure and FE Li were normal in the obese group with normal FF.\nCONCLUSIONS: These results suggest that glomerular hyperfiltration may lead to increased proximal tubular sodium reabsorption in the obese.","DOI":"10.1093/ndt/gfn379","ISSN":"1460-2385","note":"PMID: 18622024","shortTitle":"Obesity-induced glomerular hyperfiltration","journalAbbreviation":"Nephrol. Dial. Transplant.","language":"eng","author":[{"family":"Chagnac","given":"Avry"},{"family":"Herman","given":"Michal"},{"family":"Zingerman","given":"Boris"},{"family":"Erman","given":"Arie"},{"family":"Rozen-Zvi","given":"Benaya"},{"family":"Hirsh","given":"Judith"},{"family":"Gafter","given":"Uzi"}],"issued":{"date-parts":[["2008",12]]},"PMID":"18622024"}}],"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(49)</w:t>
      </w:r>
      <w:r w:rsidR="00777D1E" w:rsidRPr="0086281A">
        <w:rPr>
          <w:rFonts w:ascii="Calibri" w:hAnsi="Calibri" w:cs="Times"/>
          <w:lang w:val="en-GB"/>
        </w:rPr>
        <w:fldChar w:fldCharType="end"/>
      </w:r>
      <w:r w:rsidRPr="0086281A">
        <w:rPr>
          <w:rFonts w:ascii="Calibri" w:hAnsi="Calibri" w:cs="Times"/>
          <w:lang w:val="en-GB"/>
        </w:rPr>
        <w:t xml:space="preserve">. This approach assumes that drug clearance increases in proportion to ABW. However, drug clearance through the kidney is not proportional to ABW </w:t>
      </w:r>
      <w:r w:rsidR="00777D1E" w:rsidRPr="0086281A">
        <w:rPr>
          <w:rFonts w:ascii="Calibri" w:hAnsi="Calibri" w:cs="Times"/>
          <w:lang w:val="en-GB"/>
        </w:rPr>
        <w:fldChar w:fldCharType="begin"/>
      </w:r>
      <w:r w:rsidR="005D00AF" w:rsidRPr="0086281A">
        <w:rPr>
          <w:rFonts w:ascii="Calibri" w:hAnsi="Calibri" w:cs="Times"/>
          <w:lang w:val="en-GB"/>
        </w:rPr>
        <w:instrText xml:space="preserve"> ADDIN ZOTERO_ITEM CSL_CITATION {"citationID":"14e59gpc15","properties":{"formattedCitation":"(50)","plainCitation":"(50)"},"citationItems":[{"id":1384,"uris":["http://zotero.org/users/2405774/items/4S4HNGSI"],"uri":["http://zotero.org/users/2405774/items/4S4HNGSI"],"itemData":{"id":1384,"type":"article-journal","title":"What is the best size descriptor to use for pharmacokinetic studies in the obese?","container-title":"British Journal of Clinical Pharmacology","page":"119-133","volume":"58","issue":"2","source":"NCBI PubMed","abstract":"The prevalence of obesity in the western world is dramatically rising, with many of these individuals requiring therapeutic intervention for a variety of disease states. Despite the growing prevalence of obesity there is a paucity of information describing how doses should be adjusted, or indeed whether they need to be adjusted, in the clinical setting. This review is aimed at identifying which descriptors of body size provide the most information about the relationship between dose and concentration in the obese. The size descriptors, weight, lean body weight, ideal body weight, body surface area, body mass index, fat-free mass, percent ideal body weight, adjusted body weight and predicted normal body weight were considered as potential size descriptors. We conducted an extensive review of the literature to identify studies that have assessed the quantitative relationship between the parameters clearance (CL) and volume of distribution (V) and these descriptors of body size. Surprisingly few studies have addressed the relationship between obesity and CL or V in a quantitative manner. Despite the lack of studies there were consistent findings: (i) most studies found total body weight to be the best descriptor of V. A further analysis of the studies that have addressed V found that total body weight or another descriptor that incorporated fat mass was the preferred descriptor for drugs that have high lipophilicity; (ii) in contrast, CL was best described by lean body mass and no apparent relationship between lipophilicity or clearance mechanism and preference for body size descriptor was found. In conclusion, no single descriptor described the influence of body size on both CL and V equally well. For drugs that are dosed chronically, and therefore CL is of primary concern, dosing for obese patients should not be based on their total weight. If a weight-based dose individualization is required then we would suggest that chronic drug dosing in the obese subject should be based on lean body weight, at least until a more robust size descriptor becomes available.","DOI":"10.1111/j.1365-2125.2004.02157.x","ISSN":"0306-5251","note":"PMID: 15255794 \nPMCID: PMC1884581","journalAbbreviation":"Br J Clin Pharmacol","language":"eng","author":[{"family":"Green","given":"Bruce"},{"family":"Duffull","given":"Stephen B."}],"issued":{"date-parts":[["2004",8]]},"PMID":"15255794","PMCID":"PMC1884581"}}],"schema":"https://github.com/citation-style-language/schema/raw/master/csl-citation.json"} </w:instrText>
      </w:r>
      <w:r w:rsidR="00777D1E" w:rsidRPr="0086281A">
        <w:rPr>
          <w:rFonts w:ascii="Calibri" w:hAnsi="Calibri" w:cs="Times"/>
          <w:lang w:val="en-GB"/>
        </w:rPr>
        <w:fldChar w:fldCharType="separate"/>
      </w:r>
      <w:r w:rsidR="00D978D5" w:rsidRPr="0086281A">
        <w:rPr>
          <w:rFonts w:ascii="Calibri" w:hAnsi="Calibri" w:cs="Times"/>
          <w:noProof/>
          <w:lang w:val="en-GB"/>
        </w:rPr>
        <w:t>(50)</w:t>
      </w:r>
      <w:r w:rsidR="00777D1E" w:rsidRPr="0086281A">
        <w:rPr>
          <w:rFonts w:ascii="Calibri" w:hAnsi="Calibri" w:cs="Times"/>
          <w:lang w:val="en-GB"/>
        </w:rPr>
        <w:fldChar w:fldCharType="end"/>
      </w:r>
      <w:r w:rsidRPr="0086281A">
        <w:rPr>
          <w:rFonts w:ascii="Calibri" w:hAnsi="Calibri" w:cs="Times"/>
          <w:lang w:val="en-GB"/>
        </w:rPr>
        <w:t xml:space="preserve">. </w:t>
      </w:r>
      <w:r w:rsidR="00C23DB8" w:rsidRPr="0086281A">
        <w:rPr>
          <w:rFonts w:ascii="Calibri" w:hAnsi="Calibri" w:cs="Times"/>
          <w:lang w:val="en-GB"/>
        </w:rPr>
        <w:t>Using AIBW has been advocated</w:t>
      </w:r>
      <w:r w:rsidR="009253D6" w:rsidRPr="0086281A">
        <w:rPr>
          <w:rFonts w:ascii="Calibri" w:hAnsi="Calibri" w:cs="Times"/>
          <w:lang w:val="en-GB"/>
        </w:rPr>
        <w:t xml:space="preserve"> by some authors</w:t>
      </w:r>
      <w:r w:rsidR="00C23DB8" w:rsidRPr="0086281A">
        <w:rPr>
          <w:rFonts w:ascii="Calibri" w:hAnsi="Calibri" w:cs="Times"/>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1tgsju9e49","properties":{"formattedCitation":"(31,50,51)","plainCitation":"(31,50,51)"},"citationItems":[{"id":1384,"uris":["http://zotero.org/users/2405774/items/4S4HNGSI"],"uri":["http://zotero.org/users/2405774/items/4S4HNGSI"],"itemData":{"id":1384,"type":"article-journal","title":"What is the best size descriptor to use for pharmacokinetic studies in the obese?","container-title":"British Journal of Clinical Pharmacology","page":"119-133","volume":"58","issue":"2","source":"NCBI PubMed","abstract":"The prevalence of obesity in the western world is dramatically rising, with many of these individuals requiring therapeutic intervention for a variety of disease states. Despite the growing prevalence of obesity there is a paucity of information describing how doses should be adjusted, or indeed whether they need to be adjusted, in the clinical setting. This review is aimed at identifying which descriptors of body size provide the most information about the relationship between dose and concentration in the obese. The size descriptors, weight, lean body weight, ideal body weight, body surface area, body mass index, fat-free mass, percent ideal body weight, adjusted body weight and predicted normal body weight were considered as potential size descriptors. We conducted an extensive review of the literature to identify studies that have assessed the quantitative relationship between the parameters clearance (CL) and volume of distribution (V) and these descriptors of body size. Surprisingly few studies have addressed the relationship between obesity and CL or V in a quantitative manner. Despite the lack of studies there were consistent findings: (i) most studies found total body weight to be the best descriptor of V. A further analysis of the studies that have addressed V found that total body weight or another descriptor that incorporated fat mass was the preferred descriptor for drugs that have high lipophilicity; (ii) in contrast, CL was best described by lean body mass and no apparent relationship between lipophilicity or clearance mechanism and preference for body size descriptor was found. In conclusion, no single descriptor described the influence of body size on both CL and V equally well. For drugs that are dosed chronically, and therefore CL is of primary concern, dosing for obese patients should not be based on their total weight. If a weight-based dose individualization is required then we would suggest that chronic drug dosing in the obese subject should be based on lean body weight, at least until a more robust size descriptor becomes available.","DOI":"10.1111/j.1365-2125.2004.02157.x","ISSN":"0306-5251","note":"PMID: 15255794 \nPMCID: PMC1884581","journalAbbreviation":"Br J Clin Pharmacol","language":"eng","author":[{"family":"Green","given":"Bruce"},{"family":"Duffull","given":"Stephen B."}],"issued":{"date-parts":[["2004",8]]},"PMID":"15255794","PMCID":"PMC1884581"},"label":"page"},{"id":1305,"uris":["http://zotero.org/users/2405774/items/QBE2E5S7"],"uri":["http://zotero.org/users/2405774/items/QBE2E5S7"],"itemData":{"id":1305,"type":"article-journal","title":"The performances of the Cockcroft-Gault, modification of diet in renal disease study and chronic kidney disease epidemiology collaboration equations in predicting gentamicin clearance","container-title":"Annals of Clinical Biochemistry","page":"546-557","volume":"50","issue":"6","source":"NCBI PubMed","abstract":"BACKGROUND: It is unclear which renal function equation, employing an isotope dilution mass spectrometry (IDMS)-aligned creatinine assay, best predicts gentamicin clearance.\nMETHODS: The performances of the Cockcroft-Gault, Modification of Diet in Renal Disease (MDRD) Study and Chronic Kidney Disease Epidemiology Collaboration (CKD-EPI) equations for predicting gentamicin clearances were assessed retrospectively in 240 patients treated with gentamicin during 2011-2012, when the local creatinine assay was IDMS-aligned. Comparisons were based on the percentage within 30% of gentamicin clearance (P 30) and the root-mean-square error (RMSE) of each equation. Gentamicin clearance was calculated from plasma concentrations using a one-compartment model.\nRESULTS: The Cockcroft-Gault equation and the CKD-EPI equation corrected for individual body surface area (BSA) were associated with the highest P 30 (69% and 67%, respectively) and lowest RMSE (39 and 36 mL/min, respectively) in the 240 patients. Correction for individual BSA improved the performances of the MDRD Study and CKD-EPI equations in patients with body mass indices &lt;18.5 or ≥30 kg/m(2). The equations systematically underestimated gentamicin clearance as gentamicin clearance increased, with performance being inferior with gentamicin clearance ≥90 versus &lt;90 mL/min.\nCONCLUSIONS: The CKD-EPI equation corrected for individual BSA, and the Cockcroft-Gault equation, provided the best estimates of gentamicin clearance. The CKD-EPI and MDRD Study equations should be corrected for individual BSA at the extremes of body size, if used for guiding gentamicin therapy. The performances of the equations were inferior in patients with higher values of gentamicin clearance.","DOI":"10.1177/0004563213492320","ISSN":"1758-1001","note":"PMID: 24045301","journalAbbreviation":"Ann. Clin. Biochem.","language":"eng","author":[{"family":"Chin","given":"P. K. L."},{"family":"Florkowski","given":"C. M."},{"family":"Begg","given":"E. J."}],"issued":{"date-parts":[["2013",11]]},"PMID":"24045301"},"label":"page"},{"id":1448,"uris":["http://zotero.org/users/2405774/items/JQADCV3R"],"uri":["http://zotero.org/users/2405774/items/JQADCV3R"],"itemData":{"id":1448,"type":"article-journal","title":"Predictive performance of ten equations for estimating creatinine clearance in cardiac patients. Iohexol Cooperative Study Group","container-title":"The Annals of Pharmacotherapy","page":"1275-1283","volume":"32","issue":"12","source":"NCBI PubMed","abstract":"OBJECTIVE: The predictive performance of 10 equations used to estimate creatinine clearance (Clcr) was assessed retrospectively from data collected on 420 patients.\nDESIGN: This study is a retrospective data analysis of information collected on hemodynamically stable patients awaiting coronary angiography during the Iohexol Cooperative Study.\nSETTING: The Iohexol Cooperative Study was a multicenter study that compared nephrotoxicity of high- and low-osmolar contrast media in patients undergoing coronary angiography. Data used for this analysis were preangiography 24-hour urine collections that were primarily collected in hospitalized patients.\nPATIENTS: Patients selected from the Iohexol Cooperative Study database for analysis were participants categorized into one or more of six subgroups: elderly (n = 222), hypoalbuminemic (n = 25), chronic renal insufficiency (n = 128), low serum creatinine (n = 115), obese (n = 208), and diabetic (n = 191) who had baseline urine collections of at least 24 hours.\nOUTCOME MEASURES: Predictive performance was assessed using bias, precision, slopes, and y-intercepts.\nRESULTS: The Salazar-Corcoran equation was unbiased in the entire group as well as in five of the subgroups. The Cockcroft-Gault equation was unbiased in three of the subgroups. All other equations were biased in predicting Clcr in the entire group as well as in at least four of the subgroups. Precision was generally poor. All slopes were significantly different than one and all y-intercepts were significantly different than zero (p &lt; 0.01). Correlation coefficients were between 0.63 and 0.79 with the exceptions of the low serum creatinine subgroup (r values 0.35-0.64) and the Davis-Chandler equation (r values 0.35-0.71 across groups).\nCONCLUSIONS: Of the equations studied, Salazar-Corcoran and Cockcroft-Gault appear to be the best for predicting Clcr.","ISSN":"1060-0280","note":"PMID: 9876806","journalAbbreviation":"Ann Pharmacother","language":"eng","author":[{"family":"Spinler","given":"S. A."},{"family":"Nawarskas","given":"J. J."},{"family":"Boyce","given":"E. G."},{"family":"Connors","given":"J. E."},{"family":"Charland","given":"S. L."},{"family":"Goldfarb","given":"S."}],"issued":{"date-parts":[["1998",12]]},"PMID":"9876806"},"label":"page"}],"schema":"https://github.com/citation-style-language/schema/raw/master/csl-citation.json"}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(31,50,51)</w:t>
      </w:r>
      <w:r w:rsidR="00777D1E" w:rsidRPr="0086281A">
        <w:rPr>
          <w:rFonts w:ascii="Calibri" w:hAnsi="Calibri" w:cs="Times"/>
          <w:lang w:val="en-GB"/>
        </w:rPr>
        <w:fldChar w:fldCharType="end"/>
      </w:r>
      <w:r w:rsidR="00727E1B" w:rsidRPr="0086281A">
        <w:rPr>
          <w:rFonts w:ascii="Calibri" w:hAnsi="Calibri" w:cs="Times"/>
          <w:lang w:val="en-GB"/>
        </w:rPr>
        <w:t>.</w:t>
      </w:r>
      <w:r w:rsidR="001960E2" w:rsidRPr="0086281A">
        <w:rPr>
          <w:rFonts w:ascii="Calibri" w:hAnsi="Calibri" w:cs="Times"/>
          <w:lang w:val="en-GB"/>
        </w:rPr>
        <w:t xml:space="preserve"> </w:t>
      </w:r>
      <w:r w:rsidR="009253D6" w:rsidRPr="0086281A">
        <w:rPr>
          <w:rFonts w:ascii="Calibri" w:hAnsi="Calibri" w:cs="Times"/>
          <w:lang w:val="en-GB"/>
        </w:rPr>
        <w:t>We confirm</w:t>
      </w:r>
      <w:r w:rsidR="003946CE" w:rsidRPr="0086281A">
        <w:rPr>
          <w:rFonts w:ascii="Calibri" w:hAnsi="Calibri" w:cs="Times"/>
          <w:lang w:val="en-GB"/>
        </w:rPr>
        <w:t xml:space="preserve"> </w:t>
      </w:r>
      <w:r w:rsidR="009253D6" w:rsidRPr="0086281A">
        <w:rPr>
          <w:rFonts w:ascii="Calibri" w:hAnsi="Calibri" w:cs="Times"/>
          <w:lang w:val="en-GB"/>
        </w:rPr>
        <w:t xml:space="preserve">that </w:t>
      </w:r>
      <w:r w:rsidR="003946CE" w:rsidRPr="0086281A">
        <w:rPr>
          <w:rFonts w:ascii="Calibri" w:hAnsi="Calibri"/>
          <w:lang w:val="en-GB"/>
        </w:rPr>
        <w:t>u</w:t>
      </w:r>
      <w:r w:rsidR="005C17A7" w:rsidRPr="0086281A">
        <w:rPr>
          <w:rFonts w:ascii="Calibri" w:hAnsi="Calibri"/>
          <w:lang w:val="en-GB"/>
        </w:rPr>
        <w:t xml:space="preserve">sing AIBW instead of ABW </w:t>
      </w:r>
      <w:r w:rsidR="009253D6" w:rsidRPr="0086281A">
        <w:rPr>
          <w:rFonts w:ascii="Calibri" w:hAnsi="Calibri"/>
          <w:lang w:val="en-GB"/>
        </w:rPr>
        <w:t xml:space="preserve">greatly </w:t>
      </w:r>
      <w:r w:rsidR="005C17A7" w:rsidRPr="0086281A">
        <w:rPr>
          <w:rFonts w:ascii="Calibri" w:hAnsi="Calibri"/>
          <w:lang w:val="en-GB"/>
        </w:rPr>
        <w:t>improve</w:t>
      </w:r>
      <w:r w:rsidR="009253D6" w:rsidRPr="0086281A">
        <w:rPr>
          <w:rFonts w:ascii="Calibri" w:hAnsi="Calibri"/>
          <w:lang w:val="en-GB"/>
        </w:rPr>
        <w:t>s</w:t>
      </w:r>
      <w:r w:rsidR="005C17A7" w:rsidRPr="0086281A">
        <w:rPr>
          <w:rFonts w:ascii="Calibri" w:hAnsi="Calibri"/>
          <w:lang w:val="en-GB"/>
        </w:rPr>
        <w:t xml:space="preserve"> the performances of the CG equation</w:t>
      </w:r>
      <w:r w:rsidR="003946CE" w:rsidRPr="0086281A">
        <w:rPr>
          <w:rFonts w:ascii="Calibri" w:hAnsi="Calibri"/>
          <w:lang w:val="en-GB"/>
        </w:rPr>
        <w:t xml:space="preserve"> over the different subgroups</w:t>
      </w:r>
      <w:r w:rsidR="008009BC" w:rsidRPr="0086281A">
        <w:rPr>
          <w:rFonts w:ascii="Calibri" w:hAnsi="Calibri"/>
          <w:lang w:val="en-GB"/>
        </w:rPr>
        <w:t xml:space="preserve">. </w:t>
      </w:r>
      <w:r w:rsidR="008B7566" w:rsidRPr="0086281A">
        <w:rPr>
          <w:rFonts w:ascii="Calibri" w:hAnsi="Calibri"/>
          <w:lang w:val="en-GB"/>
        </w:rPr>
        <w:t>The accuracy</w:t>
      </w:r>
      <w:r w:rsidR="001960E2" w:rsidRPr="0086281A">
        <w:rPr>
          <w:rFonts w:ascii="Calibri" w:hAnsi="Calibri"/>
          <w:lang w:val="en-GB"/>
        </w:rPr>
        <w:t xml:space="preserve"> of the CG</w:t>
      </w:r>
      <w:r w:rsidR="001960E2" w:rsidRPr="0086281A">
        <w:rPr>
          <w:rFonts w:ascii="Calibri" w:hAnsi="Calibri"/>
          <w:vertAlign w:val="subscript"/>
          <w:lang w:val="en-GB"/>
        </w:rPr>
        <w:t>AIBW</w:t>
      </w:r>
      <w:r w:rsidR="006B7EE2" w:rsidRPr="0086281A">
        <w:rPr>
          <w:rFonts w:ascii="Calibri" w:hAnsi="Calibri"/>
          <w:lang w:val="en-GB"/>
        </w:rPr>
        <w:t xml:space="preserve"> </w:t>
      </w:r>
      <w:r w:rsidR="006D12DB" w:rsidRPr="0086281A">
        <w:rPr>
          <w:rFonts w:ascii="Calibri" w:hAnsi="Calibri"/>
          <w:lang w:val="en-GB"/>
        </w:rPr>
        <w:t xml:space="preserve">in the global </w:t>
      </w:r>
      <w:r w:rsidR="00727E1B" w:rsidRPr="0086281A">
        <w:rPr>
          <w:rFonts w:ascii="Calibri" w:hAnsi="Calibri"/>
          <w:lang w:val="en-GB"/>
        </w:rPr>
        <w:t>population is</w:t>
      </w:r>
      <w:r w:rsidR="00A7393D" w:rsidRPr="0086281A">
        <w:rPr>
          <w:rFonts w:ascii="Calibri" w:hAnsi="Calibri"/>
          <w:lang w:val="en-GB"/>
        </w:rPr>
        <w:t xml:space="preserve"> even slightly</w:t>
      </w:r>
      <w:r w:rsidR="008B7566" w:rsidRPr="0086281A">
        <w:rPr>
          <w:rFonts w:ascii="Calibri" w:hAnsi="Calibri"/>
          <w:lang w:val="en-GB"/>
        </w:rPr>
        <w:t xml:space="preserve"> better than the accuracy</w:t>
      </w:r>
      <w:r w:rsidR="006D12DB" w:rsidRPr="0086281A">
        <w:rPr>
          <w:rFonts w:ascii="Calibri" w:hAnsi="Calibri"/>
          <w:lang w:val="en-GB"/>
        </w:rPr>
        <w:t xml:space="preserve"> of the CKD-EPI</w:t>
      </w:r>
      <w:r w:rsidR="006D12DB" w:rsidRPr="0086281A">
        <w:rPr>
          <w:rFonts w:ascii="Calibri" w:hAnsi="Calibri"/>
          <w:vertAlign w:val="subscript"/>
          <w:lang w:val="en-GB"/>
        </w:rPr>
        <w:t xml:space="preserve">deindexed </w:t>
      </w:r>
      <w:r w:rsidR="006D12DB" w:rsidRPr="0086281A">
        <w:rPr>
          <w:rFonts w:ascii="Calibri" w:hAnsi="Calibri"/>
          <w:lang w:val="en-GB"/>
        </w:rPr>
        <w:t>equation</w:t>
      </w:r>
      <w:r w:rsidR="00C9480A" w:rsidRPr="0086281A">
        <w:rPr>
          <w:rFonts w:ascii="Calibri" w:hAnsi="Calibri"/>
          <w:lang w:val="en-GB"/>
        </w:rPr>
        <w:t>,</w:t>
      </w:r>
      <w:r w:rsidR="006D12DB" w:rsidRPr="0086281A">
        <w:rPr>
          <w:rFonts w:ascii="Calibri" w:hAnsi="Calibri"/>
          <w:lang w:val="en-GB"/>
        </w:rPr>
        <w:t xml:space="preserve"> but not better than the MDRD</w:t>
      </w:r>
      <w:r w:rsidR="006D12DB" w:rsidRPr="0086281A">
        <w:rPr>
          <w:rFonts w:ascii="Calibri" w:hAnsi="Calibri"/>
          <w:vertAlign w:val="subscript"/>
          <w:lang w:val="en-GB"/>
        </w:rPr>
        <w:t>deindexed</w:t>
      </w:r>
      <w:r w:rsidR="00C9480A" w:rsidRPr="0086281A">
        <w:rPr>
          <w:rFonts w:ascii="Calibri" w:hAnsi="Calibri"/>
          <w:lang w:val="en-GB"/>
        </w:rPr>
        <w:t xml:space="preserve"> equation</w:t>
      </w:r>
      <w:r w:rsidR="006D12DB" w:rsidRPr="0086281A">
        <w:rPr>
          <w:rFonts w:ascii="Calibri" w:hAnsi="Calibri"/>
          <w:lang w:val="en-GB"/>
        </w:rPr>
        <w:t xml:space="preserve">. </w:t>
      </w:r>
      <w:r w:rsidR="00A7393D" w:rsidRPr="0086281A">
        <w:rPr>
          <w:rFonts w:ascii="Calibri" w:hAnsi="Calibri"/>
          <w:lang w:val="en-GB"/>
        </w:rPr>
        <w:t>However, in clinical practice, we have doubt that</w:t>
      </w:r>
      <w:r w:rsidR="00093EC0" w:rsidRPr="0086281A">
        <w:rPr>
          <w:rFonts w:ascii="Calibri" w:hAnsi="Calibri"/>
          <w:lang w:val="en-GB"/>
        </w:rPr>
        <w:t xml:space="preserve"> AIBW </w:t>
      </w:r>
      <w:r w:rsidR="00727E1B" w:rsidRPr="0086281A">
        <w:rPr>
          <w:rFonts w:ascii="Calibri" w:hAnsi="Calibri"/>
          <w:lang w:val="en-GB"/>
        </w:rPr>
        <w:t>is used</w:t>
      </w:r>
      <w:r w:rsidR="00093EC0" w:rsidRPr="0086281A">
        <w:rPr>
          <w:rFonts w:ascii="Calibri" w:hAnsi="Calibri"/>
          <w:lang w:val="en-GB"/>
        </w:rPr>
        <w:t xml:space="preserve">, because </w:t>
      </w:r>
      <w:r w:rsidR="00C9480A" w:rsidRPr="0086281A">
        <w:rPr>
          <w:rFonts w:ascii="Calibri" w:hAnsi="Calibri"/>
          <w:lang w:val="en-GB"/>
        </w:rPr>
        <w:t xml:space="preserve">its </w:t>
      </w:r>
      <w:r w:rsidR="00093EC0" w:rsidRPr="0086281A">
        <w:rPr>
          <w:rFonts w:ascii="Calibri" w:hAnsi="Calibri"/>
          <w:lang w:val="en-GB"/>
        </w:rPr>
        <w:t xml:space="preserve">computation is much more complicated and the choice of the type of </w:t>
      </w:r>
      <w:r w:rsidR="001D544B">
        <w:rPr>
          <w:rFonts w:ascii="Calibri" w:hAnsi="Calibri"/>
          <w:lang w:val="en-GB"/>
        </w:rPr>
        <w:t>“</w:t>
      </w:r>
      <w:r w:rsidR="00093EC0" w:rsidRPr="0086281A">
        <w:rPr>
          <w:rFonts w:ascii="Calibri" w:hAnsi="Calibri"/>
          <w:lang w:val="en-GB"/>
        </w:rPr>
        <w:t>weight</w:t>
      </w:r>
      <w:r w:rsidR="001D544B">
        <w:rPr>
          <w:rFonts w:ascii="Calibri" w:hAnsi="Calibri"/>
          <w:lang w:val="en-GB"/>
        </w:rPr>
        <w:t>”</w:t>
      </w:r>
      <w:r w:rsidR="00093EC0" w:rsidRPr="0086281A">
        <w:rPr>
          <w:rFonts w:ascii="Calibri" w:hAnsi="Calibri"/>
          <w:lang w:val="en-GB"/>
        </w:rPr>
        <w:t xml:space="preserve"> remains highly debated in the literature</w:t>
      </w:r>
      <w:r w:rsidR="00C9480A" w:rsidRPr="0086281A">
        <w:rPr>
          <w:rFonts w:ascii="Calibri" w:hAnsi="Calibri"/>
          <w:lang w:val="en-GB"/>
        </w:rPr>
        <w:t>. N</w:t>
      </w:r>
      <w:r w:rsidR="003C0E75" w:rsidRPr="0086281A">
        <w:rPr>
          <w:rFonts w:ascii="Calibri" w:hAnsi="Calibri"/>
          <w:lang w:val="en-GB"/>
        </w:rPr>
        <w:t xml:space="preserve">either the FDA nor the </w:t>
      </w:r>
      <w:r w:rsidR="00727E1B" w:rsidRPr="0086281A">
        <w:rPr>
          <w:rFonts w:ascii="Calibri" w:hAnsi="Calibri"/>
          <w:lang w:val="en-GB"/>
        </w:rPr>
        <w:t>KDIGO make</w:t>
      </w:r>
      <w:r w:rsidR="003C0E75" w:rsidRPr="0086281A">
        <w:rPr>
          <w:rFonts w:ascii="Calibri" w:hAnsi="Calibri"/>
          <w:lang w:val="en-GB"/>
        </w:rPr>
        <w:t xml:space="preserve"> a clear choice for the specific weight to use in this equation</w:t>
      </w:r>
      <w:r w:rsidR="00F37A8D" w:rsidRPr="0086281A">
        <w:rPr>
          <w:rFonts w:ascii="Calibri" w:hAnsi="Calibri"/>
          <w:lang w:val="en-GB"/>
        </w:rPr>
        <w:t xml:space="preserve"> for the obese population</w:t>
      </w:r>
      <w:r w:rsidR="003C0E75" w:rsidRPr="0086281A">
        <w:rPr>
          <w:rFonts w:ascii="Calibri" w:hAnsi="Calibri"/>
          <w:lang w:val="en-GB"/>
        </w:rPr>
        <w:t>.</w:t>
      </w:r>
      <w:r w:rsidR="000F3D77" w:rsidRPr="0086281A">
        <w:rPr>
          <w:rFonts w:ascii="Calibri" w:hAnsi="Calibri" w:cs="Times"/>
          <w:lang w:val="en-GB"/>
        </w:rPr>
        <w:t xml:space="preserve"> </w:t>
      </w:r>
      <w:r w:rsidR="00A7393D" w:rsidRPr="0086281A">
        <w:rPr>
          <w:rFonts w:ascii="Calibri" w:hAnsi="Calibri" w:cs="Times"/>
          <w:lang w:val="en-GB"/>
        </w:rPr>
        <w:t xml:space="preserve">Some authors have </w:t>
      </w:r>
      <w:r w:rsidR="00F37A8D" w:rsidRPr="0086281A">
        <w:rPr>
          <w:rFonts w:ascii="Calibri" w:hAnsi="Calibri" w:cs="Times"/>
          <w:lang w:val="en-GB"/>
        </w:rPr>
        <w:lastRenderedPageBreak/>
        <w:t>favoured</w:t>
      </w:r>
      <w:r w:rsidR="00A7393D" w:rsidRPr="0086281A">
        <w:rPr>
          <w:rFonts w:ascii="Calibri" w:hAnsi="Calibri" w:cs="Times"/>
          <w:lang w:val="en-GB"/>
        </w:rPr>
        <w:t xml:space="preserve"> </w:t>
      </w:r>
      <w:r w:rsidR="00F37A8D" w:rsidRPr="0086281A">
        <w:rPr>
          <w:rFonts w:ascii="Calibri" w:hAnsi="Calibri" w:cs="Times"/>
          <w:lang w:val="en-GB"/>
        </w:rPr>
        <w:t xml:space="preserve">the </w:t>
      </w:r>
      <w:r w:rsidR="00A7393D" w:rsidRPr="0086281A">
        <w:rPr>
          <w:rFonts w:ascii="Calibri" w:hAnsi="Calibri" w:cs="Times"/>
          <w:lang w:val="en-GB"/>
        </w:rPr>
        <w:t>LBW in CG equation</w:t>
      </w:r>
      <w:r w:rsidR="00F37A8D" w:rsidRPr="0086281A">
        <w:rPr>
          <w:rFonts w:ascii="Calibri" w:hAnsi="Calibri" w:cs="Times"/>
          <w:lang w:val="en-GB"/>
        </w:rPr>
        <w:t xml:space="preserve"> </w:t>
      </w:r>
      <w:r w:rsidR="00777D1E" w:rsidRPr="0086281A">
        <w:rPr>
          <w:rFonts w:ascii="Calibri" w:hAnsi="Calibri" w:cs="Times"/>
          <w:lang w:val="en-GB"/>
        </w:rPr>
        <w:fldChar w:fldCharType="begin"/>
      </w:r>
      <w:r w:rsidR="005D00AF" w:rsidRPr="0086281A">
        <w:rPr>
          <w:rFonts w:ascii="Calibri" w:hAnsi="Calibri" w:cs="Times"/>
          <w:lang w:val="en-GB"/>
        </w:rPr>
        <w:instrText xml:space="preserve"> ADDIN ZOTERO_ITEM CSL_CITATION {"citationID":"2lncflc72m","properties":{"formattedCitation":"(52,53)","plainCitation":"(52,53)"},"citationItems":[{"id":1533,"uris":["http://zotero.org/users/local/gLwvffvk/items/WG842P5G"],"uri":["http://zotero.org/users/local/gLwvffvk/items/WG842P5G"],"itemData":{"id":1533,"type":"article-journal","title":"Estimating the Glomerular Filtration Rate in Obese Adult Patients for Drug Dosing","container-title":"Advances in Chronic Kidney Disease","page":"e53-e62","volume":"17","issue":"5","source":"www.ackdjournal.org","abstract":"One-third of adult Americans are currently classified as obese. Physiologic changes associated with obesity can potentially alter the clearance of commonly used drugs. Clearance of certain drugs by the kidneys occurs primarily through glomerular filtration and tubular secretion. Obesity has been associated with glomerular hyperfiltration, whereas obesity-related effects on tubular secretion are not well characterized. Estimation of the glomerular filtration rate (GFR) is currently performed using serum creatinine using the Modification of Diet in Renal Disease (MDRD) equation. However, drug dosing guidelines are often based on creatinine clearance (CLcr) using the Cockcroft-Gault equation as a surrogate of GFR. There is a lack of consensus on the most appropriate method for estimation of GFR or CLcr in patients with obesity. The controversy relates to the use of 2 body size descriptors that confound these equations. The Cockcroft-Gault equation relies on total body weight and so overestimates GFR in patients with obesity. The MDRD equation indexes GFR based on a normalized body surface area, that is, mL/min/1.73 m2. Conversion of MDRD estimated GFR to non-normalized body surface area overestimates GFR in patients with obesity. The current review explores current approaches and controversies to estimation of GFR and CLcr among obese patients in clinical practice. The role of the alternate body size descriptor, lean body weight to estimate CLcr in obese patients is reviewed.","DOI":"10.1053/j.ackd.2010.05.010","ISSN":"1548-5595","note":"PMID: 20727504","language":"English","author":[{"family":"Pai","given":"Manjunath P."}],"issued":{"date-parts":[["2010",9,1]]},"accessed":{"date-parts":[["2015",3,24]]},"PMID":"20727504"},"label":"page"},{"id":1273,"uris":["http://zotero.org/users/2405774/items/AZGCEHDF"],"uri":["http://zotero.org/users/2405774/items/AZGCEHDF"],"itemData":{"id":1273,"type":"article-journal","title":"Lean body mass-adjusted Cockcroft and Gault formula improves the estimation of glomerular filtration rate in subjects with normal-range serum creatinine","container-title":"Nephrology (Carlton, Vic.)","page":"250-256","volume":"11","issue":"3","source":"NCBI PubMed","abstract":"BACKGROUND: Assessment of glomerular filtration rate (GFR) in individuals with normal-range serum creatinine is important in certain clinical situations, such as in potential living kidney donors. Accurate measurements of GFR invariably involve using an invasive method (e.g. inulin clearances), but is inconvenient. The aim of the present study was to determine whether serum creatinine-based prediction formulae adjusted for lean body mass (LBM) could improve the accuracy of GFR estimation in these subjects.\nMETHODS: Glomerular filtration rate was determined by the clearance of technetium-99m-labelled diethylenetriamine penta-acetic acid ((99m)Tc DTPA) from plasma in 56 subjects with normal serum creatinine. For each subject, GFR was estimated using prediction formulae +/- LBM adjustment and compared with measured GFR. Formulae analysed include Cockcroft-Gault, Levey, Gates, Mawer, Hull, Toto, Jellife and Bjornsson.\nRESULTS: All formulae +/- LBM adjustment underestimated measured GFR, with poor precision, poor agreement and correlation (r (2) &lt;or= 0.25). Between 69% and 95% of the estimated GFR determined by the formulae correctly classified those with a normal measured GFR. LBM-adjusted formulae significantly improved the accuracy of GFR estimation compared with unadjusted formulae.\nCONCLUSION: The lean body mass-adjusted Cockcroft-Gault formula was the closest to measured GFR but is not accurate enough to replace radionuclide GFR measurement. Prediction formulae should be adjusted for LBM to improve GFR estimation.","DOI":"10.1111/j.1440-1797.2006.00560.x","ISSN":"1320-5358","note":"PMID: 16756641","journalAbbreviation":"Nephrology (Carlton)","language":"eng","author":[{"family":"Lim","given":"Wai H."},{"family":"Lim","given":"Ee M."},{"family":"McDonald","given":"Stephen"}],"issued":{"date-parts":[["2006",6]]},"PMID":"16756641"},"label":"page"}],"schema":"https://github.com/citation-style-language/schema/raw/master/csl-citation.json"} </w:instrText>
      </w:r>
      <w:r w:rsidR="00777D1E" w:rsidRPr="0086281A">
        <w:rPr>
          <w:rFonts w:ascii="Calibri" w:hAnsi="Calibri" w:cs="Times"/>
          <w:lang w:val="en-GB"/>
        </w:rPr>
        <w:fldChar w:fldCharType="separate"/>
      </w:r>
      <w:r w:rsidR="00F37A8D" w:rsidRPr="0086281A">
        <w:rPr>
          <w:rFonts w:ascii="Calibri" w:hAnsi="Calibri" w:cs="Times"/>
          <w:noProof/>
          <w:lang w:val="en-GB"/>
        </w:rPr>
        <w:t>(52,53)</w:t>
      </w:r>
      <w:r w:rsidR="00777D1E" w:rsidRPr="0086281A">
        <w:rPr>
          <w:rFonts w:ascii="Calibri" w:hAnsi="Calibri" w:cs="Times"/>
          <w:lang w:val="en-GB"/>
        </w:rPr>
        <w:fldChar w:fldCharType="end"/>
      </w:r>
      <w:r w:rsidR="00A7393D" w:rsidRPr="0086281A">
        <w:rPr>
          <w:rFonts w:ascii="Calibri" w:hAnsi="Calibri" w:cs="Times"/>
          <w:lang w:val="en-GB"/>
        </w:rPr>
        <w:t>. However,</w:t>
      </w:r>
      <w:r w:rsidR="00A7393D" w:rsidRPr="0086281A">
        <w:rPr>
          <w:rFonts w:ascii="Calibri" w:hAnsi="Calibri"/>
          <w:lang w:val="en-GB"/>
        </w:rPr>
        <w:t xml:space="preserve"> in our cohort</w:t>
      </w:r>
      <w:r w:rsidR="00400783" w:rsidRPr="0086281A">
        <w:rPr>
          <w:rFonts w:ascii="Calibri" w:hAnsi="Calibri"/>
          <w:lang w:val="en-GB"/>
        </w:rPr>
        <w:t xml:space="preserve">, using the LBW instead of the AIBW in the CG equation does not </w:t>
      </w:r>
      <w:r w:rsidR="00FC4A27" w:rsidRPr="0086281A">
        <w:rPr>
          <w:rFonts w:ascii="Calibri" w:hAnsi="Calibri"/>
          <w:lang w:val="en-GB"/>
        </w:rPr>
        <w:t>improve</w:t>
      </w:r>
      <w:r w:rsidR="00400783" w:rsidRPr="0086281A">
        <w:rPr>
          <w:rFonts w:ascii="Calibri" w:hAnsi="Calibri"/>
          <w:lang w:val="en-GB"/>
        </w:rPr>
        <w:t xml:space="preserve"> the performances of the </w:t>
      </w:r>
      <w:r w:rsidR="00F37A8D" w:rsidRPr="0086281A">
        <w:rPr>
          <w:rFonts w:ascii="Calibri" w:hAnsi="Calibri"/>
          <w:lang w:val="en-GB"/>
        </w:rPr>
        <w:t>equation with</w:t>
      </w:r>
      <w:r w:rsidR="00400783" w:rsidRPr="0086281A">
        <w:rPr>
          <w:rFonts w:ascii="Calibri" w:hAnsi="Calibri"/>
          <w:lang w:val="en-GB"/>
        </w:rPr>
        <w:t xml:space="preserve"> worse bias and accuracies</w:t>
      </w:r>
      <w:r w:rsidR="00F37A8D" w:rsidRPr="0086281A">
        <w:rPr>
          <w:rFonts w:ascii="Calibri" w:hAnsi="Calibri"/>
          <w:lang w:val="en-GB"/>
        </w:rPr>
        <w:t xml:space="preserve"> </w:t>
      </w:r>
      <w:r w:rsidR="000F3D77" w:rsidRPr="0086281A">
        <w:rPr>
          <w:rFonts w:ascii="Calibri" w:hAnsi="Calibri"/>
          <w:lang w:val="en-GB"/>
        </w:rPr>
        <w:t>(data not shown)</w:t>
      </w:r>
      <w:r w:rsidR="00C9480A" w:rsidRPr="0086281A">
        <w:rPr>
          <w:rFonts w:ascii="Calibri" w:hAnsi="Calibri"/>
          <w:lang w:val="en-GB"/>
        </w:rPr>
        <w:t xml:space="preserve">. </w:t>
      </w:r>
      <w:r w:rsidR="008B7566" w:rsidRPr="0086281A">
        <w:rPr>
          <w:rFonts w:ascii="Calibri" w:hAnsi="Calibri"/>
          <w:lang w:val="en-GB"/>
        </w:rPr>
        <w:t xml:space="preserve">With those results, </w:t>
      </w:r>
      <w:r w:rsidR="00A7393D" w:rsidRPr="0086281A">
        <w:rPr>
          <w:rFonts w:ascii="Calibri" w:hAnsi="Calibri"/>
          <w:lang w:val="en-GB"/>
        </w:rPr>
        <w:t>w</w:t>
      </w:r>
      <w:r w:rsidR="000F3D77" w:rsidRPr="0086281A">
        <w:rPr>
          <w:rFonts w:ascii="Calibri" w:hAnsi="Calibri"/>
          <w:lang w:val="en-GB"/>
        </w:rPr>
        <w:t>e confirmed data previously published</w:t>
      </w:r>
      <w:r w:rsidR="005D00AF"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134nl88dhn","properties":{"formattedCitation":"(31,54)","plainCitation":"(31,54)"},"citationItems":[{"id":1305,"uris":["http://zotero.org/users/2405774/items/QBE2E5S7"],"uri":["http://zotero.org/users/2405774/items/QBE2E5S7"],"itemData":{"id":1305,"type":"article-journal","title":"The performances of the Cockcroft-Gault, modification of diet in renal disease study and chronic kidney disease epidemiology collaboration equations in predicting gentamicin clearance","container-title":"Annals of Clinical Biochemistry","page":"546-557","volume":"50","issue":"6","source":"NCBI PubMed","abstract":"BACKGROUND: It is unclear which renal function equation, employing an isotope dilution mass spectrometry (IDMS)-aligned creatinine assay, best predicts gentamicin clearance.\nMETHODS: The performances of the Cockcroft-Gault, Modification of Diet in Renal Disease (MDRD) Study and Chronic Kidney Disease Epidemiology Collaboration (CKD-EPI) equations for predicting gentamicin clearances were assessed retrospectively in 240 patients treated with gentamicin during 2011-2012, when the local creatinine assay was IDMS-aligned. Comparisons were based on the percentage within 30% of gentamicin clearance (P 30) and the root-mean-square error (RMSE) of each equation. Gentamicin clearance was calculated from plasma concentrations using a one-compartment model.\nRESULTS: The Cockcroft-Gault equation and the CKD-EPI equation corrected for individual body surface area (BSA) were associated with the highest P 30 (69% and 67%, respectively) and lowest RMSE (39 and 36 mL/min, respectively) in the 240 patients. Correction for individual BSA improved the performances of the MDRD Study and CKD-EPI equations in patients with body mass indices &lt;18.5 or ≥30 kg/m(2). The equations systematically underestimated gentamicin clearance as gentamicin clearance increased, with performance being inferior with gentamicin clearance ≥90 versus &lt;90 mL/min.\nCONCLUSIONS: The CKD-EPI equation corrected for individual BSA, and the Cockcroft-Gault equation, provided the best estimates of gentamicin clearance. The CKD-EPI and MDRD Study equations should be corrected for individual BSA at the extremes of body size, if used for guiding gentamicin therapy. The performances of the equations were inferior in patients with higher values of gentamicin clearance.","DOI":"10.1177/0004563213492320","ISSN":"1758-1001","note":"PMID: 24045301","journalAbbreviation":"Ann. Clin. Biochem.","language":"eng","author":[{"family":"Chin","given":"P. K. L."},{"family":"Florkowski","given":"C. M."},{"family":"Begg","given":"E. J."}],"issued":{"date-parts":[["2013",11]]},"PMID":"24045301"},"label":"page"},{"id":1446,"uris":["http://zotero.org/users/2405774/items/BFXFDZF8"],"uri":["http://zotero.org/users/2405774/items/BFXFDZF8"],"itemData":{"id":1446,"type":"article-journal","title":"Impact of various body weights and serum creatinine concentrations on the bias and accuracy of the Cockcroft-Gault equation","container-title":"Pharmacotherapy","page":"604-612","volume":"32","issue":"7","source":"NCBI PubMed","abstract":"STUDY OBJECTIVE: To evaluate the impact of various body weights and serum creatinine (S(c) (r) ) concentrations on the bias and accuracy of the Cockcroft-Gault creatinine clearance (C-G Cl(c) (r) ) equation compared with measured 24-hour Cl(c) (r) .\nDESIGN: Retrospective analysis.\nSETTING: Tertiary care hospital.\nPATIENTS: A total of 3678 patients with stable renal function and who underwent a 24-hour urine collection between July 1, 1996, and June 30, 2010.\nMEASUREMENTS AND MAIN RESULTS: For each patient, C-G Cl(c) (r) was calculated and compared with a measured 24-hour Cl(c) (r) . Body weight adjustments to the calculation were performed based on the following weight classifications: underweight, normal weight, overweight, obese, and morbidly obese. In addition, C-G Cl(c) (r) was calculated by using rounded S(c) (r) values based on two S(c) (r) thresholds-0.8 mg/dl and 1 mg/dl-for patients with measured S(c) (r) values below those thresholds. Those patients were then evaluated after stratification into two age groups: all ages and a subgroup of patients aged 65 years or older. The S(c) (r) -rounded C-G Cl(c) (r) values were compared with the C-G Cl(c) (r) values using actual S(c) (r) values. Mean differences were calculated, and accuracy was evaluated. Use of actual body weight in the calculations for underweight patients resulted in an unbiased Cl(c) (r) of -0.22 ml/minute (p=0.898). Use of ideal body weight in the calculations of patients of normal weight returned an unbiased Cl(c) (r) of -1.3 ml/minute (p=0.544). An unbiased C-G Cl(c) (r) could not be calculated for other weight categories. In those patients, adjusted body weight using a factor of 0.4 (ABW(0.4) ) was the least biased and most accurate. In patients aged 65 years or older with an S(c) (r) less than 0.8 mg/dl and less than 1 mg/dl, actual S(c) (r) was unbiased (-3 ml/min [p=1] and -9 ml/min [p=0.279], respectively) and more accurate than rounded S(c) (r) . In patients of all ages with an S(c) (r) less than 0.8 mg/dl and less than 1 mg/dl, actual S(c) (r) proved less biased (-4.5 ml/min [p=0.038] and -5.5 ml/min [p&lt;0.001], respectively) and more accurate than rounded S(c) (r) .\nCONCLUSION: An unbiased C-G Cl(c) (r) can be calculated using actual body weight in underweight patients and ideal body weight in patients of normal weight. Using ABW(0.4) for overweight, obese, and morbidly obese patients appears to be the least biased and most accurate method for calculating their C-G Cl(c) (r) . Rounding S(c) (r) in patients with low S(c) (r) did not improve accuracy or bias of the Cl(cr) calculations.","DOI":"10.1002/j.1875-9114.2012.01098.x","ISSN":"1875-9114","note":"PMID: 22576791","journalAbbreviation":"Pharmacotherapy","language":"eng","author":[{"family":"Winter","given":"Mary A."},{"family":"Guhr","given":"Kelly N."},{"family":"Berg","given":"Gina M."}],"issued":{"date-parts":[["2012",7]]},"PMID":"22576791"},"label":"page"}],"schema":"https://github.com/citation-style-language/schema/raw/master/csl-citation.json"}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(31,54)</w:t>
      </w:r>
      <w:r w:rsidR="00777D1E" w:rsidRPr="0086281A">
        <w:rPr>
          <w:rFonts w:ascii="Calibri" w:hAnsi="Calibri"/>
          <w:lang w:val="en-GB"/>
        </w:rPr>
        <w:fldChar w:fldCharType="end"/>
      </w:r>
      <w:r w:rsidR="000F3D77" w:rsidRPr="0086281A">
        <w:rPr>
          <w:rFonts w:ascii="Calibri" w:hAnsi="Calibri"/>
          <w:lang w:val="en-GB"/>
        </w:rPr>
        <w:t>.</w:t>
      </w:r>
      <w:r w:rsidRPr="0086281A">
        <w:rPr>
          <w:rFonts w:ascii="Calibri" w:hAnsi="Calibri"/>
          <w:lang w:val="en-GB"/>
        </w:rPr>
        <w:t xml:space="preserve"> </w:t>
      </w:r>
      <w:r w:rsidR="00DE27CD" w:rsidRPr="0086281A">
        <w:rPr>
          <w:rFonts w:ascii="Calibri" w:hAnsi="Calibri"/>
          <w:lang w:val="en-GB"/>
        </w:rPr>
        <w:t>The adjustment of the CG equation by the AIBW, finally conducts to diminish the importance of the weight in the CG equation.</w:t>
      </w:r>
    </w:p>
    <w:p w:rsidR="005C17A7" w:rsidRPr="0086281A" w:rsidRDefault="005C17A7" w:rsidP="003028FD">
      <w:pPr>
        <w:rPr>
          <w:rFonts w:ascii="Calibri" w:hAnsi="Calibri" w:cs="Times"/>
          <w:lang w:val="en-GB"/>
        </w:rPr>
      </w:pPr>
    </w:p>
    <w:p w:rsidR="00E72015" w:rsidRPr="0086281A" w:rsidRDefault="00FD0B2D" w:rsidP="0032099F">
      <w:pPr>
        <w:rPr>
          <w:rFonts w:ascii="Calibri" w:hAnsi="Calibri" w:cs="Times"/>
          <w:color w:val="FF0000"/>
          <w:lang w:val="en-GB"/>
        </w:rPr>
      </w:pPr>
      <w:r w:rsidRPr="0086281A">
        <w:rPr>
          <w:rFonts w:ascii="Calibri" w:hAnsi="Calibri" w:cs="Times"/>
          <w:lang w:val="en-GB"/>
        </w:rPr>
        <w:t>I</w:t>
      </w:r>
      <w:r w:rsidR="002D0DF1" w:rsidRPr="0086281A">
        <w:rPr>
          <w:rFonts w:ascii="Calibri" w:hAnsi="Calibri" w:cs="Times"/>
          <w:lang w:val="en-GB"/>
        </w:rPr>
        <w:t xml:space="preserve">n our </w:t>
      </w:r>
      <w:r w:rsidRPr="0086281A">
        <w:rPr>
          <w:rFonts w:ascii="Calibri" w:hAnsi="Calibri" w:cs="Times"/>
          <w:lang w:val="en-GB"/>
        </w:rPr>
        <w:t xml:space="preserve">obese </w:t>
      </w:r>
      <w:r w:rsidR="002D0DF1" w:rsidRPr="0086281A">
        <w:rPr>
          <w:rFonts w:ascii="Calibri" w:hAnsi="Calibri" w:cs="Times"/>
          <w:lang w:val="en-GB"/>
        </w:rPr>
        <w:t>population</w:t>
      </w:r>
      <w:r w:rsidR="002B1834" w:rsidRPr="0086281A">
        <w:rPr>
          <w:rFonts w:ascii="Calibri" w:hAnsi="Calibri" w:cs="Times"/>
          <w:lang w:val="en-GB"/>
        </w:rPr>
        <w:t>,</w:t>
      </w:r>
      <w:r w:rsidR="002D0DF1" w:rsidRPr="0086281A">
        <w:rPr>
          <w:rFonts w:ascii="Calibri" w:hAnsi="Calibri" w:cs="Times"/>
          <w:lang w:val="en-GB"/>
        </w:rPr>
        <w:t xml:space="preserve"> the creatinine-based e</w:t>
      </w:r>
      <w:r w:rsidR="009E7CC6" w:rsidRPr="0086281A">
        <w:rPr>
          <w:rFonts w:ascii="Calibri" w:hAnsi="Calibri" w:cs="Times"/>
          <w:lang w:val="en-GB"/>
        </w:rPr>
        <w:t>quations and the CG</w:t>
      </w:r>
      <w:r w:rsidR="009E7CC6" w:rsidRPr="0086281A">
        <w:rPr>
          <w:rFonts w:ascii="Calibri" w:hAnsi="Calibri" w:cs="Times"/>
          <w:vertAlign w:val="subscript"/>
          <w:lang w:val="en-GB"/>
        </w:rPr>
        <w:t xml:space="preserve">AIBW </w:t>
      </w:r>
      <w:r w:rsidR="009E7CC6" w:rsidRPr="0086281A">
        <w:rPr>
          <w:rFonts w:ascii="Calibri" w:hAnsi="Calibri" w:cs="Times"/>
          <w:lang w:val="en-GB"/>
        </w:rPr>
        <w:t xml:space="preserve">equation </w:t>
      </w:r>
      <w:r w:rsidR="002D0DF1" w:rsidRPr="0086281A">
        <w:rPr>
          <w:rFonts w:ascii="Calibri" w:hAnsi="Calibri" w:cs="Times"/>
          <w:lang w:val="en-GB"/>
        </w:rPr>
        <w:t xml:space="preserve">have </w:t>
      </w:r>
      <w:r w:rsidR="00A7393D" w:rsidRPr="0086281A">
        <w:rPr>
          <w:rFonts w:ascii="Calibri" w:hAnsi="Calibri" w:cs="Times"/>
          <w:lang w:val="en-GB"/>
        </w:rPr>
        <w:t>good</w:t>
      </w:r>
      <w:r w:rsidR="009E7CC6" w:rsidRPr="0086281A">
        <w:rPr>
          <w:rFonts w:ascii="Calibri" w:hAnsi="Calibri" w:cs="Times"/>
          <w:lang w:val="en-GB"/>
        </w:rPr>
        <w:t xml:space="preserve"> </w:t>
      </w:r>
      <w:r w:rsidR="002D0DF1" w:rsidRPr="0086281A">
        <w:rPr>
          <w:rFonts w:ascii="Calibri" w:hAnsi="Calibri" w:cs="Times"/>
          <w:lang w:val="en-GB"/>
        </w:rPr>
        <w:t>concordance with mGFR</w:t>
      </w:r>
      <w:r w:rsidR="002B1834" w:rsidRPr="0086281A">
        <w:rPr>
          <w:rFonts w:ascii="Calibri" w:hAnsi="Calibri" w:cs="Times"/>
          <w:lang w:val="en-GB"/>
        </w:rPr>
        <w:t>,</w:t>
      </w:r>
      <w:r w:rsidR="009E7CC6" w:rsidRPr="0086281A">
        <w:rPr>
          <w:rFonts w:ascii="Calibri" w:hAnsi="Calibri" w:cs="Times"/>
          <w:lang w:val="en-GB"/>
        </w:rPr>
        <w:t xml:space="preserve"> </w:t>
      </w:r>
      <w:r w:rsidR="00C266F8" w:rsidRPr="0086281A">
        <w:rPr>
          <w:rFonts w:ascii="Calibri" w:hAnsi="Calibri" w:cs="Times"/>
          <w:lang w:val="en-GB"/>
        </w:rPr>
        <w:t xml:space="preserve">and </w:t>
      </w:r>
      <w:r w:rsidR="002B1834" w:rsidRPr="0086281A">
        <w:rPr>
          <w:rFonts w:ascii="Calibri" w:hAnsi="Calibri" w:cs="Times"/>
          <w:lang w:val="en-GB"/>
        </w:rPr>
        <w:t xml:space="preserve">are </w:t>
      </w:r>
      <w:r w:rsidR="00C266F8" w:rsidRPr="0086281A">
        <w:rPr>
          <w:rFonts w:ascii="Calibri" w:hAnsi="Calibri" w:cs="Times"/>
          <w:lang w:val="en-GB"/>
        </w:rPr>
        <w:t>statistically better than the CG</w:t>
      </w:r>
      <w:r w:rsidR="00DE27CD" w:rsidRPr="0086281A">
        <w:rPr>
          <w:rFonts w:ascii="Calibri" w:hAnsi="Calibri" w:cs="Times"/>
          <w:vertAlign w:val="subscript"/>
          <w:lang w:val="en-GB"/>
        </w:rPr>
        <w:t>ABW</w:t>
      </w:r>
      <w:r w:rsidR="00C266F8" w:rsidRPr="0086281A">
        <w:rPr>
          <w:rFonts w:ascii="Calibri" w:hAnsi="Calibri" w:cs="Times"/>
          <w:lang w:val="en-GB"/>
        </w:rPr>
        <w:t xml:space="preserve"> equation</w:t>
      </w:r>
      <w:r w:rsidR="0095486E" w:rsidRPr="0086281A">
        <w:rPr>
          <w:rFonts w:ascii="Calibri" w:hAnsi="Calibri" w:cs="Times"/>
          <w:lang w:val="en-GB"/>
        </w:rPr>
        <w:t xml:space="preserve"> in term</w:t>
      </w:r>
      <w:r w:rsidR="002B1834" w:rsidRPr="0086281A">
        <w:rPr>
          <w:rFonts w:ascii="Calibri" w:hAnsi="Calibri" w:cs="Times"/>
          <w:lang w:val="en-GB"/>
        </w:rPr>
        <w:t>s</w:t>
      </w:r>
      <w:r w:rsidR="0095486E" w:rsidRPr="0086281A">
        <w:rPr>
          <w:rFonts w:ascii="Calibri" w:hAnsi="Calibri" w:cs="Times"/>
          <w:lang w:val="en-GB"/>
        </w:rPr>
        <w:t xml:space="preserve"> of bias and accuracy</w:t>
      </w:r>
      <w:r w:rsidR="00C266F8" w:rsidRPr="0086281A">
        <w:rPr>
          <w:rFonts w:ascii="Calibri" w:hAnsi="Calibri" w:cs="Times"/>
          <w:lang w:val="en-GB"/>
        </w:rPr>
        <w:t>.</w:t>
      </w:r>
      <w:r w:rsidR="002D0DF1" w:rsidRPr="0086281A">
        <w:rPr>
          <w:rFonts w:ascii="Calibri" w:hAnsi="Calibri"/>
          <w:lang w:val="en-GB"/>
        </w:rPr>
        <w:t xml:space="preserve"> </w:t>
      </w:r>
      <w:r w:rsidR="002B1834" w:rsidRPr="0086281A">
        <w:rPr>
          <w:rFonts w:ascii="Calibri" w:hAnsi="Calibri" w:cs="Times"/>
          <w:lang w:val="en-GB"/>
        </w:rPr>
        <w:t>T</w:t>
      </w:r>
      <w:r w:rsidR="002D0DF1" w:rsidRPr="0086281A">
        <w:rPr>
          <w:rFonts w:ascii="Calibri" w:hAnsi="Calibri" w:cs="Times"/>
          <w:lang w:val="en-GB"/>
        </w:rPr>
        <w:t xml:space="preserve">hese formulae </w:t>
      </w:r>
      <w:r w:rsidR="002B1834" w:rsidRPr="0086281A">
        <w:rPr>
          <w:rFonts w:ascii="Calibri" w:hAnsi="Calibri" w:cs="Times"/>
          <w:lang w:val="en-GB"/>
        </w:rPr>
        <w:t xml:space="preserve">are </w:t>
      </w:r>
      <w:r w:rsidR="00A7393D" w:rsidRPr="0086281A">
        <w:rPr>
          <w:rFonts w:ascii="Calibri" w:hAnsi="Calibri" w:cs="Times"/>
          <w:lang w:val="en-GB"/>
        </w:rPr>
        <w:t xml:space="preserve">thus </w:t>
      </w:r>
      <w:r w:rsidR="002D0DF1" w:rsidRPr="0086281A">
        <w:rPr>
          <w:rFonts w:ascii="Calibri" w:hAnsi="Calibri" w:cs="Times"/>
          <w:lang w:val="en-GB"/>
        </w:rPr>
        <w:t>helpful to accurately estimate the GFR in</w:t>
      </w:r>
      <w:r w:rsidR="00A7393D" w:rsidRPr="0086281A">
        <w:rPr>
          <w:rFonts w:ascii="Calibri" w:hAnsi="Calibri" w:cs="Times"/>
          <w:lang w:val="en-GB"/>
        </w:rPr>
        <w:t xml:space="preserve"> stages</w:t>
      </w:r>
      <w:r w:rsidR="002D0DF1" w:rsidRPr="0086281A">
        <w:rPr>
          <w:rFonts w:ascii="Calibri" w:hAnsi="Calibri" w:cs="Times"/>
          <w:lang w:val="en-GB"/>
        </w:rPr>
        <w:t xml:space="preserve"> where adaptation of drug dosage </w:t>
      </w:r>
      <w:r w:rsidR="002B1834" w:rsidRPr="0086281A">
        <w:rPr>
          <w:rFonts w:ascii="Calibri" w:hAnsi="Calibri" w:cs="Times"/>
          <w:lang w:val="en-GB"/>
        </w:rPr>
        <w:t xml:space="preserve">is </w:t>
      </w:r>
      <w:r w:rsidR="002D0DF1" w:rsidRPr="0086281A">
        <w:rPr>
          <w:rFonts w:ascii="Calibri" w:hAnsi="Calibri" w:cs="Times"/>
          <w:lang w:val="en-GB"/>
        </w:rPr>
        <w:t>crucial (GFR &lt; 60 mL/min). In the specific range of 30 to 45</w:t>
      </w:r>
      <w:r w:rsidR="00A21C1E" w:rsidRPr="0086281A">
        <w:rPr>
          <w:rFonts w:ascii="Calibri" w:hAnsi="Calibri" w:cs="Times"/>
          <w:lang w:val="en-GB"/>
        </w:rPr>
        <w:t xml:space="preserve"> </w:t>
      </w:r>
      <w:r w:rsidR="002D0DF1" w:rsidRPr="0086281A">
        <w:rPr>
          <w:rFonts w:ascii="Calibri" w:hAnsi="Calibri" w:cs="Times"/>
          <w:lang w:val="en-GB"/>
        </w:rPr>
        <w:t>mL/min</w:t>
      </w:r>
      <w:r w:rsidR="002B1834" w:rsidRPr="0086281A">
        <w:rPr>
          <w:rFonts w:ascii="Calibri" w:hAnsi="Calibri" w:cs="Times"/>
          <w:lang w:val="en-GB"/>
        </w:rPr>
        <w:t>,</w:t>
      </w:r>
      <w:r w:rsidR="002D0DF1" w:rsidRPr="0086281A">
        <w:rPr>
          <w:rFonts w:ascii="Calibri" w:hAnsi="Calibri" w:cs="Times"/>
          <w:lang w:val="en-GB"/>
        </w:rPr>
        <w:t xml:space="preserve"> both equations (MDRD</w:t>
      </w:r>
      <w:r w:rsidR="002D0DF1" w:rsidRPr="0086281A">
        <w:rPr>
          <w:rFonts w:ascii="Calibri" w:hAnsi="Calibri" w:cs="Times"/>
          <w:vertAlign w:val="subscript"/>
          <w:lang w:val="en-GB"/>
        </w:rPr>
        <w:t>deindexed</w:t>
      </w:r>
      <w:r w:rsidR="002D0DF1" w:rsidRPr="0086281A">
        <w:rPr>
          <w:rFonts w:ascii="Calibri" w:hAnsi="Calibri" w:cs="Times"/>
          <w:lang w:val="en-GB"/>
        </w:rPr>
        <w:t xml:space="preserve"> and CKD-EPI</w:t>
      </w:r>
      <w:r w:rsidR="002D0DF1" w:rsidRPr="0086281A">
        <w:rPr>
          <w:rFonts w:ascii="Calibri" w:hAnsi="Calibri" w:cs="Times"/>
          <w:vertAlign w:val="subscript"/>
          <w:lang w:val="en-GB"/>
        </w:rPr>
        <w:t>deindexed</w:t>
      </w:r>
      <w:r w:rsidR="002D0DF1" w:rsidRPr="0086281A">
        <w:rPr>
          <w:rFonts w:ascii="Calibri" w:hAnsi="Calibri" w:cs="Times"/>
          <w:lang w:val="en-GB"/>
        </w:rPr>
        <w:t xml:space="preserve">) </w:t>
      </w:r>
      <w:r w:rsidR="009E7CC6" w:rsidRPr="0086281A">
        <w:rPr>
          <w:rFonts w:ascii="Calibri" w:hAnsi="Calibri" w:cs="Times"/>
          <w:lang w:val="en-GB"/>
        </w:rPr>
        <w:t>have better</w:t>
      </w:r>
      <w:r w:rsidR="002D0DF1" w:rsidRPr="0086281A">
        <w:rPr>
          <w:rFonts w:ascii="Calibri" w:hAnsi="Calibri" w:cs="Times"/>
          <w:lang w:val="en-GB"/>
        </w:rPr>
        <w:t xml:space="preserve"> performances</w:t>
      </w:r>
      <w:r w:rsidR="009E7CC6" w:rsidRPr="0086281A">
        <w:rPr>
          <w:rFonts w:ascii="Calibri" w:hAnsi="Calibri" w:cs="Times"/>
          <w:lang w:val="en-GB"/>
        </w:rPr>
        <w:t xml:space="preserve"> than CG</w:t>
      </w:r>
      <w:r w:rsidR="00DE27CD" w:rsidRPr="0086281A">
        <w:rPr>
          <w:rFonts w:ascii="Calibri" w:hAnsi="Calibri" w:cs="Times"/>
          <w:vertAlign w:val="subscript"/>
          <w:lang w:val="en-GB"/>
        </w:rPr>
        <w:t>ABW</w:t>
      </w:r>
      <w:r w:rsidR="009E7CC6" w:rsidRPr="0086281A">
        <w:rPr>
          <w:rFonts w:ascii="Calibri" w:hAnsi="Calibri" w:cs="Times"/>
          <w:lang w:val="en-GB"/>
        </w:rPr>
        <w:t xml:space="preserve"> and CG</w:t>
      </w:r>
      <w:r w:rsidR="009E7CC6" w:rsidRPr="0086281A">
        <w:rPr>
          <w:rFonts w:ascii="Calibri" w:hAnsi="Calibri" w:cs="Times"/>
          <w:vertAlign w:val="subscript"/>
          <w:lang w:val="en-GB"/>
        </w:rPr>
        <w:t xml:space="preserve">AIBW </w:t>
      </w:r>
      <w:r w:rsidR="009E7CC6" w:rsidRPr="0086281A">
        <w:rPr>
          <w:rFonts w:ascii="Calibri" w:hAnsi="Calibri" w:cs="Times"/>
          <w:lang w:val="en-GB"/>
        </w:rPr>
        <w:t>equations in term</w:t>
      </w:r>
      <w:r w:rsidR="002B1834" w:rsidRPr="0086281A">
        <w:rPr>
          <w:rFonts w:ascii="Calibri" w:hAnsi="Calibri" w:cs="Times"/>
          <w:lang w:val="en-GB"/>
        </w:rPr>
        <w:t>s</w:t>
      </w:r>
      <w:r w:rsidR="009E7CC6" w:rsidRPr="0086281A">
        <w:rPr>
          <w:rFonts w:ascii="Calibri" w:hAnsi="Calibri" w:cs="Times"/>
          <w:lang w:val="en-GB"/>
        </w:rPr>
        <w:t xml:space="preserve"> of </w:t>
      </w:r>
      <w:r w:rsidR="0040619C" w:rsidRPr="0086281A">
        <w:rPr>
          <w:rFonts w:ascii="Calibri" w:hAnsi="Calibri" w:cs="Times"/>
          <w:lang w:val="en-GB"/>
        </w:rPr>
        <w:t>bias</w:t>
      </w:r>
      <w:r w:rsidR="00A7393D" w:rsidRPr="0086281A">
        <w:rPr>
          <w:rFonts w:ascii="Calibri" w:hAnsi="Calibri" w:cs="Times"/>
          <w:lang w:val="en-GB"/>
        </w:rPr>
        <w:t xml:space="preserve"> (even if accuracies are similar)</w:t>
      </w:r>
      <w:r w:rsidR="00C266F8" w:rsidRPr="0086281A">
        <w:rPr>
          <w:rFonts w:ascii="Calibri" w:hAnsi="Calibri" w:cs="Times"/>
          <w:lang w:val="en-GB"/>
        </w:rPr>
        <w:t>.</w:t>
      </w:r>
      <w:r w:rsidRPr="0086281A">
        <w:rPr>
          <w:rFonts w:ascii="Calibri" w:hAnsi="Calibri" w:cs="Times"/>
          <w:lang w:val="en-GB"/>
        </w:rPr>
        <w:t xml:space="preserve"> </w:t>
      </w:r>
      <w:r w:rsidR="00473B06" w:rsidRPr="0086281A">
        <w:rPr>
          <w:rFonts w:ascii="Calibri" w:hAnsi="Calibri" w:cs="Times"/>
          <w:lang w:val="en-GB"/>
        </w:rPr>
        <w:t>Below 30</w:t>
      </w:r>
      <w:r w:rsidR="00A21C1E" w:rsidRPr="0086281A">
        <w:rPr>
          <w:rFonts w:ascii="Calibri" w:hAnsi="Calibri" w:cs="Times"/>
          <w:lang w:val="en-GB"/>
        </w:rPr>
        <w:t xml:space="preserve"> </w:t>
      </w:r>
      <w:r w:rsidR="00473B06" w:rsidRPr="0086281A">
        <w:rPr>
          <w:rFonts w:ascii="Calibri" w:hAnsi="Calibri" w:cs="Times"/>
          <w:lang w:val="en-GB"/>
        </w:rPr>
        <w:t xml:space="preserve">mL/min, </w:t>
      </w:r>
      <w:r w:rsidR="00E47368" w:rsidRPr="0086281A">
        <w:rPr>
          <w:rFonts w:ascii="Calibri" w:hAnsi="Calibri" w:cs="Times"/>
          <w:lang w:val="en-GB"/>
        </w:rPr>
        <w:t>CG</w:t>
      </w:r>
      <w:r w:rsidR="00E47368" w:rsidRPr="0086281A">
        <w:rPr>
          <w:rFonts w:ascii="Calibri" w:hAnsi="Calibri" w:cs="Times"/>
          <w:vertAlign w:val="subscript"/>
          <w:lang w:val="en-GB"/>
        </w:rPr>
        <w:t>AIBW</w:t>
      </w:r>
      <w:r w:rsidR="00E47368" w:rsidRPr="0086281A">
        <w:rPr>
          <w:rFonts w:ascii="Calibri" w:hAnsi="Calibri" w:cs="Times"/>
          <w:lang w:val="en-GB"/>
        </w:rPr>
        <w:t>, MDRD</w:t>
      </w:r>
      <w:r w:rsidR="00E47368" w:rsidRPr="0086281A">
        <w:rPr>
          <w:rFonts w:ascii="Calibri" w:hAnsi="Calibri" w:cs="Times"/>
          <w:vertAlign w:val="subscript"/>
          <w:lang w:val="en-GB"/>
        </w:rPr>
        <w:t>deindexed</w:t>
      </w:r>
      <w:r w:rsidR="00E47368" w:rsidRPr="0086281A">
        <w:rPr>
          <w:rFonts w:ascii="Calibri" w:hAnsi="Calibri" w:cs="Times"/>
          <w:lang w:val="en-GB"/>
        </w:rPr>
        <w:t xml:space="preserve"> and CKD-EPI</w:t>
      </w:r>
      <w:r w:rsidR="00E47368" w:rsidRPr="0086281A">
        <w:rPr>
          <w:rFonts w:ascii="Calibri" w:hAnsi="Calibri" w:cs="Times"/>
          <w:vertAlign w:val="subscript"/>
          <w:lang w:val="en-GB"/>
        </w:rPr>
        <w:t>deindexed</w:t>
      </w:r>
      <w:r w:rsidR="00E47368" w:rsidRPr="0086281A">
        <w:rPr>
          <w:rFonts w:ascii="Calibri" w:hAnsi="Calibri" w:cs="Times"/>
          <w:lang w:val="en-GB"/>
        </w:rPr>
        <w:t xml:space="preserve"> </w:t>
      </w:r>
      <w:r w:rsidR="002B1834" w:rsidRPr="0086281A">
        <w:rPr>
          <w:rFonts w:ascii="Calibri" w:hAnsi="Calibri" w:cs="Times"/>
          <w:lang w:val="en-GB"/>
        </w:rPr>
        <w:t>underestimate</w:t>
      </w:r>
      <w:r w:rsidR="00473B06" w:rsidRPr="0086281A">
        <w:rPr>
          <w:rFonts w:ascii="Calibri" w:hAnsi="Calibri" w:cs="Times"/>
          <w:lang w:val="en-GB"/>
        </w:rPr>
        <w:t xml:space="preserve"> the mGFR, which is relatively safe for the adaptation of drug dosage.</w:t>
      </w:r>
      <w:r w:rsidR="00684AEB" w:rsidRPr="0086281A">
        <w:rPr>
          <w:rFonts w:ascii="Calibri" w:hAnsi="Calibri" w:cs="Times"/>
          <w:lang w:val="en-GB"/>
        </w:rPr>
        <w:t xml:space="preserve"> </w:t>
      </w:r>
      <w:r w:rsidR="00444498" w:rsidRPr="0086281A">
        <w:rPr>
          <w:rFonts w:ascii="Calibri" w:hAnsi="Calibri" w:cs="Times"/>
          <w:lang w:val="en-GB"/>
        </w:rPr>
        <w:t>Actually</w:t>
      </w:r>
      <w:r w:rsidR="00684AEB" w:rsidRPr="0086281A">
        <w:rPr>
          <w:rFonts w:ascii="Calibri" w:hAnsi="Calibri" w:cs="Times"/>
          <w:lang w:val="en-GB"/>
        </w:rPr>
        <w:t>, if the drug is contra</w:t>
      </w:r>
      <w:r w:rsidR="00E47368" w:rsidRPr="0086281A">
        <w:rPr>
          <w:rFonts w:ascii="Calibri" w:hAnsi="Calibri" w:cs="Times"/>
          <w:lang w:val="en-GB"/>
        </w:rPr>
        <w:t>-</w:t>
      </w:r>
      <w:r w:rsidR="00473B06" w:rsidRPr="0086281A">
        <w:rPr>
          <w:rFonts w:ascii="Calibri" w:hAnsi="Calibri" w:cs="Times"/>
          <w:lang w:val="en-GB"/>
        </w:rPr>
        <w:t xml:space="preserve">indicated below </w:t>
      </w:r>
      <w:r w:rsidR="00E47368" w:rsidRPr="0086281A">
        <w:rPr>
          <w:rFonts w:ascii="Calibri" w:hAnsi="Calibri" w:cs="Times"/>
          <w:lang w:val="en-GB"/>
        </w:rPr>
        <w:t>30</w:t>
      </w:r>
      <w:r w:rsidR="00A21C1E" w:rsidRPr="0086281A">
        <w:rPr>
          <w:rFonts w:ascii="Calibri" w:hAnsi="Calibri" w:cs="Times"/>
          <w:lang w:val="en-GB"/>
        </w:rPr>
        <w:t xml:space="preserve"> </w:t>
      </w:r>
      <w:r w:rsidR="00E47368" w:rsidRPr="0086281A">
        <w:rPr>
          <w:rFonts w:ascii="Calibri" w:hAnsi="Calibri" w:cs="Times"/>
          <w:lang w:val="en-GB"/>
        </w:rPr>
        <w:t>mL/min</w:t>
      </w:r>
      <w:r w:rsidR="00473B06" w:rsidRPr="0086281A">
        <w:rPr>
          <w:rFonts w:ascii="Calibri" w:hAnsi="Calibri" w:cs="Times"/>
          <w:lang w:val="en-GB"/>
        </w:rPr>
        <w:t xml:space="preserve">, using these equations allowed </w:t>
      </w:r>
      <w:r w:rsidR="00684AEB" w:rsidRPr="0086281A">
        <w:rPr>
          <w:rFonts w:ascii="Calibri" w:hAnsi="Calibri" w:cs="Times"/>
          <w:lang w:val="en-GB"/>
        </w:rPr>
        <w:t>excluding</w:t>
      </w:r>
      <w:r w:rsidR="00473B06" w:rsidRPr="0086281A">
        <w:rPr>
          <w:rFonts w:ascii="Calibri" w:hAnsi="Calibri" w:cs="Times"/>
          <w:lang w:val="en-GB"/>
        </w:rPr>
        <w:t xml:space="preserve"> roughly all the patients with an mGFR below this level </w:t>
      </w:r>
      <w:r w:rsidR="00E47368" w:rsidRPr="0086281A">
        <w:rPr>
          <w:rFonts w:ascii="Calibri" w:hAnsi="Calibri" w:cs="Times"/>
          <w:lang w:val="en-GB"/>
        </w:rPr>
        <w:t xml:space="preserve">thanks to the good specificity of these equations </w:t>
      </w:r>
      <w:r w:rsidR="00473B06" w:rsidRPr="0086281A">
        <w:rPr>
          <w:rFonts w:ascii="Calibri" w:hAnsi="Calibri" w:cs="Times"/>
          <w:lang w:val="en-GB"/>
        </w:rPr>
        <w:t xml:space="preserve">(table 3). </w:t>
      </w:r>
      <w:r w:rsidR="00CA1B8B" w:rsidRPr="0086281A">
        <w:rPr>
          <w:rFonts w:ascii="Calibri" w:hAnsi="Calibri" w:cs="Times"/>
          <w:lang w:val="en-GB"/>
        </w:rPr>
        <w:t xml:space="preserve"> </w:t>
      </w:r>
    </w:p>
    <w:p w:rsidR="00BE2D17" w:rsidRPr="0086281A" w:rsidRDefault="00BE2D17" w:rsidP="0032099F">
      <w:pPr>
        <w:rPr>
          <w:rFonts w:ascii="Calibri" w:hAnsi="Calibri" w:cs="Times"/>
          <w:lang w:val="en-GB"/>
        </w:rPr>
      </w:pPr>
    </w:p>
    <w:p w:rsidR="00240C9F" w:rsidRPr="0086281A" w:rsidRDefault="00576530" w:rsidP="0032099F">
      <w:pPr>
        <w:rPr>
          <w:rFonts w:ascii="Calibri" w:hAnsi="Calibri"/>
          <w:lang w:val="en-GB"/>
        </w:rPr>
      </w:pPr>
      <w:r w:rsidRPr="0086281A">
        <w:rPr>
          <w:rFonts w:ascii="Calibri" w:hAnsi="Calibri" w:cs="Times"/>
          <w:lang w:val="en-GB"/>
        </w:rPr>
        <w:t xml:space="preserve">When mGFR is considered in obese patients, one important issue is the question of BSA indexation. In clinical nephrology, the BSA indexation is recommended even if this </w:t>
      </w:r>
      <w:r w:rsidR="00A21C1E" w:rsidRPr="0086281A">
        <w:rPr>
          <w:rFonts w:ascii="Calibri" w:hAnsi="Calibri" w:cs="Times"/>
          <w:lang w:val="en-GB"/>
        </w:rPr>
        <w:t>approach</w:t>
      </w:r>
      <w:r w:rsidRPr="0086281A">
        <w:rPr>
          <w:rFonts w:ascii="Calibri" w:hAnsi="Calibri" w:cs="Times"/>
          <w:lang w:val="en-GB"/>
        </w:rPr>
        <w:t xml:space="preserve"> has been largely criticized. In a previous work, we studied the perform</w:t>
      </w:r>
      <w:r w:rsidR="00231198" w:rsidRPr="0086281A">
        <w:rPr>
          <w:rFonts w:ascii="Calibri" w:hAnsi="Calibri" w:cs="Times"/>
          <w:lang w:val="en-GB"/>
        </w:rPr>
        <w:t>ances of indexed equation in</w:t>
      </w:r>
      <w:r w:rsidRPr="0086281A">
        <w:rPr>
          <w:rFonts w:ascii="Calibri" w:hAnsi="Calibri" w:cs="Times"/>
          <w:lang w:val="en-GB"/>
        </w:rPr>
        <w:t xml:space="preserve"> obese patient</w:t>
      </w:r>
      <w:r w:rsidR="00231198" w:rsidRPr="0086281A">
        <w:rPr>
          <w:rFonts w:ascii="Calibri" w:hAnsi="Calibri" w:cs="Times"/>
          <w:lang w:val="en-GB"/>
        </w:rPr>
        <w:t>s</w:t>
      </w:r>
      <w:r w:rsidRPr="0086281A">
        <w:rPr>
          <w:rFonts w:ascii="Calibri" w:hAnsi="Calibri" w:cs="Times"/>
          <w:lang w:val="en-GB"/>
        </w:rPr>
        <w:t xml:space="preserve">. Because non-indexed GFR is recommended in the pharmacology context, we studied here non-indexed equations. </w:t>
      </w:r>
      <w:r w:rsidR="00BE2D17" w:rsidRPr="0086281A">
        <w:rPr>
          <w:rFonts w:ascii="Calibri" w:hAnsi="Calibri" w:cs="Times"/>
          <w:lang w:val="en-GB"/>
        </w:rPr>
        <w:t>Compared to our previous study, we found quite the same accuracies and bias</w:t>
      </w:r>
      <w:r w:rsidR="00A7393D" w:rsidRPr="0086281A">
        <w:rPr>
          <w:rFonts w:ascii="Calibri" w:hAnsi="Calibri" w:cs="Times"/>
          <w:lang w:val="en-GB"/>
        </w:rPr>
        <w:t xml:space="preserve"> in the</w:t>
      </w:r>
      <w:r w:rsidR="00BE2D17" w:rsidRPr="0086281A">
        <w:rPr>
          <w:rFonts w:ascii="Calibri" w:hAnsi="Calibri" w:cs="Times"/>
          <w:lang w:val="en-GB"/>
        </w:rPr>
        <w:t xml:space="preserve"> </w:t>
      </w:r>
      <w:r w:rsidR="00A7393D" w:rsidRPr="0086281A">
        <w:rPr>
          <w:rFonts w:ascii="Calibri" w:hAnsi="Calibri" w:cs="Times"/>
          <w:lang w:val="en-GB"/>
        </w:rPr>
        <w:t xml:space="preserve">different CKD stages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17knbk1d7p","properties":{"formattedCitation":"(10)","plainCitation":"(10)"},"citationItems":[{"id":1005,"uris":["http://zotero.org/users/2405774/items/43Z94I57"],"uri":["http://zotero.org/users/2405774/items/43Z94I57"],"itemData":{"id":1005,"type":"article-journal","title":"Modification of Diet in Renal Disease versus Chronic Kidney Disease Epidemiology Collaboration equation to estimate glomerular filtration rate in obese patients","container-title":"Nephrology, Dialysis, Transplantation","page":"122-130","volume":"28","issue":"Suppl 4","source":"NCBI PubMed","abstract":"BACKGROUND: Obesity is a recognized risk factor for both the development and progression of chronic kidney disease (CKD). Accurate estimation of glomerular filtration rate (GFR) is thus important in these patients. We tested the performances of two creatinine-based GFR estimates, the Modification of Diet in Renal Disease (MDRD) and the Chronic Kidney Disease Epidemiology Collaboration (CKD-EPI) equations, in an obese population.\nMETHODS: Patients with body mass index (BMI) &gt; 30 kg/m(2) were included. The reference method for measured GFR (mGFR) was (51)Cr-EDTA (single-injection method, two blood samples at 120 and 240 min). Both indexed and non-indexed results were considered. Serum creatinine was measured using the IDMS-traceable compensated Jaffe method. Mean bias (eGFR-mGFR), precision (SD around the bias) and accuracy within 30% (percentage of estimations within 30% of mGFR) were calculated for both equations.\nRESULTS: The population included 366 patients (185 women) from two different areas. Mean age was 55 ± 14 years, and mean BMI was 36 ± 7 kg/m(2). Mean mGFR was 56 ± 26 mL/min/1.73 m(2) (71 ± 35 mL/min without indexation). In the total population, mean bias was +1.9 ± 14.3 and +4.6 ± 14.7 mL/min/1.73 m(2) (P &lt; 0.05), and accuracy 30% was 80 and 76% for the MDRD and CKD-EPI equations (P &lt; 0.05), respectively. In patients with mGFR &gt; 60 mL/min/1.73 m(2), mean bias was +4.6 ± 18.4 and +9.3 ± 17.2 mL/min/1.73 m(2) (P &lt; 0.05), and accuracy 30% was 81 and 79% (NS) for the MDRD and CKD-EPI equations, respectively.\nCONCLUSIONS: The CKD-EPI equation did not outperform the MDRD study equation in this population of obese patients.","DOI":"10.1093/ndt/gft329","ISSN":"1460-2385","note":"PMID: 24026245","journalAbbreviation":"Nephrol. Dial. Transplant.","language":"eng","author":[{"family":"Bouquegneau","given":"Antoine"},{"family":"Vidal-Petiot","given":"Emmanuelle"},{"family":"Vrtovsnik","given":"François"},{"family":"Cavalier","given":"Etienne"},{"family":"Rorive","given":"Marcelle"},{"family":"Krzesinski","given":"Jean-Marie"},{"family":"Delanaye","given":"Pierre"},{"family":"Flamant","given":"Martin"}],"issued":{"date-parts":[["2013",11]]},"PMID":"24026245"}}],"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(10)</w:t>
      </w:r>
      <w:r w:rsidR="00777D1E" w:rsidRPr="0086281A">
        <w:rPr>
          <w:rFonts w:ascii="Calibri" w:hAnsi="Calibri" w:cs="Times"/>
          <w:lang w:val="en-GB"/>
        </w:rPr>
        <w:fldChar w:fldCharType="end"/>
      </w:r>
      <w:r w:rsidR="00BE2D17" w:rsidRPr="0086281A">
        <w:rPr>
          <w:rFonts w:ascii="Calibri" w:hAnsi="Calibri" w:cs="Times"/>
          <w:lang w:val="en-GB"/>
        </w:rPr>
        <w:t xml:space="preserve">. </w:t>
      </w:r>
      <w:r w:rsidRPr="0086281A">
        <w:rPr>
          <w:rFonts w:ascii="Calibri" w:hAnsi="Calibri" w:cs="Times"/>
          <w:lang w:val="en-GB"/>
        </w:rPr>
        <w:t>Indeed, i</w:t>
      </w:r>
      <w:r w:rsidR="00BE2D17" w:rsidRPr="0086281A">
        <w:rPr>
          <w:rFonts w:ascii="Calibri" w:hAnsi="Calibri" w:cs="Times"/>
          <w:lang w:val="en-GB"/>
        </w:rPr>
        <w:t>n the previous study, we found that MDRD outperformed the CKD-EPI equation in term</w:t>
      </w:r>
      <w:r w:rsidR="00444498" w:rsidRPr="0086281A">
        <w:rPr>
          <w:rFonts w:ascii="Calibri" w:hAnsi="Calibri" w:cs="Times"/>
          <w:lang w:val="en-GB"/>
        </w:rPr>
        <w:t>s</w:t>
      </w:r>
      <w:r w:rsidR="00BE2D17" w:rsidRPr="0086281A">
        <w:rPr>
          <w:rFonts w:ascii="Calibri" w:hAnsi="Calibri" w:cs="Times"/>
          <w:lang w:val="en-GB"/>
        </w:rPr>
        <w:t xml:space="preserve"> of bias and accuracy</w:t>
      </w:r>
      <w:r w:rsidRPr="0086281A">
        <w:rPr>
          <w:rFonts w:ascii="Calibri" w:hAnsi="Calibri" w:cs="Times"/>
          <w:lang w:val="en-GB"/>
        </w:rPr>
        <w:t>, too</w:t>
      </w:r>
      <w:r w:rsidR="00BE2D17" w:rsidRPr="0086281A">
        <w:rPr>
          <w:rFonts w:ascii="Calibri" w:hAnsi="Calibri" w:cs="Times"/>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24hdde0ocv","properties":{"formattedCitation":"(10)","plainCitation":"(10)"},"citationItems":[{"id":1005,"uris":["http://zotero.org/users/2405774/items/43Z94I57"],"uri":["http://zotero.org/users/2405774/items/43Z94I57"],"itemData":{"id":1005,"type":"article-journal","title":"Modification of Diet in Renal Disease versus Chronic Kidney Disease Epidemiology Collaboration equation to estimate glomerular filtration rate in obese patients","container-title":"Nephrology, Dialysis, Transplantation","page":"122-130","volume":"28","issue":"Suppl 4","source":"NCBI PubMed","abstract":"BACKGROUND: Obesity is a recognized risk factor for both the development and progression of chronic kidney disease (CKD). Accurate estimation of glomerular filtration rate (GFR) is thus important in these patients. We tested the performances of two creatinine-based GFR estimates, the Modification of Diet in Renal Disease (MDRD) and the Chronic Kidney Disease Epidemiology Collaboration (CKD-EPI) equations, in an obese population.\nMETHODS: Patients with body mass index (BMI) &gt; 30 kg/m(2) were included. The reference method for measured GFR (mGFR) was (51)Cr-EDTA (single-injection method, two blood samples at 120 and 240 min). Both indexed and non-indexed results were considered. Serum creatinine was measured using the IDMS-traceable compensated Jaffe method. Mean bias (eGFR-mGFR), precision (SD around the bias) and accuracy within 30% (percentage of estimations within 30% of mGFR) were calculated for both equations.\nRESULTS: The population included 366 patients (185 women) from two different areas. Mean age was 55 ± 14 years, and mean BMI was 36 ± 7 kg/m(2). Mean mGFR was 56 ± 26 mL/min/1.73 m(2) (71 ± 35 mL/min without indexation). In the total population, mean bias was +1.9 ± 14.3 and +4.6 ± 14.7 mL/min/1.73 m(2) (P &lt; 0.05), and accuracy 30% was 80 and 76% for the MDRD and CKD-EPI equations (P &lt; 0.05), respectively. In patients with mGFR &gt; 60 mL/min/1.73 m(2), mean bias was +4.6 ± 18.4 and +9.3 ± 17.2 mL/min/1.73 m(2) (P &lt; 0.05), and accuracy 30% was 81 and 79% (NS) for the MDRD and CKD-EPI equations, respectively.\nCONCLUSIONS: The CKD-EPI equation did not outperform the MDRD study equation in this population of obese patients.","DOI":"10.1093/ndt/gft329","ISSN":"1460-2385","note":"PMID: 24026245","journalAbbreviation":"Nephrol. Dial. Transplant.","language":"eng","author":[{"family":"Bouquegneau","given":"Antoine"},{"family":"Vidal-Petiot","given":"Emmanuelle"},{"family":"Vrtovsnik","given":"François"},{"family":"Cavalier","given":"Etienne"},{"family":"Rorive","given":"Marcelle"},{"family":"Krzesinski","given":"Jean-Marie"},{"family":"Delanaye","given":"Pierre"},{"family":"Flamant","given":"Martin"}],"issued":{"date-parts":[["2013",11]]},"PMID":"24026245"}}],"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(10)</w:t>
      </w:r>
      <w:r w:rsidR="00777D1E" w:rsidRPr="0086281A">
        <w:rPr>
          <w:rFonts w:ascii="Calibri" w:hAnsi="Calibri" w:cs="Times"/>
          <w:lang w:val="en-GB"/>
        </w:rPr>
        <w:fldChar w:fldCharType="end"/>
      </w:r>
      <w:r w:rsidR="00F7686E" w:rsidRPr="0086281A">
        <w:rPr>
          <w:rFonts w:ascii="Calibri" w:hAnsi="Calibri" w:cs="Times"/>
          <w:lang w:val="en-GB"/>
        </w:rPr>
        <w:t>.</w:t>
      </w:r>
      <w:r w:rsidR="00BE2D17" w:rsidRPr="0086281A">
        <w:rPr>
          <w:rFonts w:ascii="Calibri" w:hAnsi="Calibri" w:cs="Times"/>
          <w:lang w:val="en-GB"/>
        </w:rPr>
        <w:t xml:space="preserve"> The only </w:t>
      </w:r>
      <w:r w:rsidR="00444498" w:rsidRPr="0086281A">
        <w:rPr>
          <w:rFonts w:ascii="Calibri" w:hAnsi="Calibri" w:cs="Times"/>
          <w:lang w:val="en-GB"/>
        </w:rPr>
        <w:t xml:space="preserve">noticeable </w:t>
      </w:r>
      <w:r w:rsidR="00BE2D17" w:rsidRPr="0086281A">
        <w:rPr>
          <w:rFonts w:ascii="Calibri" w:hAnsi="Calibri" w:cs="Times"/>
          <w:lang w:val="en-GB"/>
        </w:rPr>
        <w:t xml:space="preserve">difference </w:t>
      </w:r>
      <w:r w:rsidR="00EE7BE6" w:rsidRPr="0086281A">
        <w:rPr>
          <w:rFonts w:ascii="Calibri" w:hAnsi="Calibri" w:cs="Times"/>
          <w:lang w:val="en-GB"/>
        </w:rPr>
        <w:t>concerns</w:t>
      </w:r>
      <w:r w:rsidR="00BE2D17" w:rsidRPr="0086281A">
        <w:rPr>
          <w:rFonts w:ascii="Calibri" w:hAnsi="Calibri" w:cs="Times"/>
          <w:lang w:val="en-GB"/>
        </w:rPr>
        <w:t xml:space="preserve"> the subgroup of stage 3a</w:t>
      </w:r>
      <w:r w:rsidR="00EE7BE6" w:rsidRPr="0086281A">
        <w:rPr>
          <w:rFonts w:ascii="Calibri" w:hAnsi="Calibri" w:cs="Times"/>
          <w:lang w:val="en-GB"/>
        </w:rPr>
        <w:t>: although</w:t>
      </w:r>
      <w:r w:rsidR="00684AEB" w:rsidRPr="0086281A">
        <w:rPr>
          <w:rFonts w:ascii="Calibri" w:hAnsi="Calibri" w:cs="Times"/>
          <w:lang w:val="en-GB"/>
        </w:rPr>
        <w:t xml:space="preserve"> in non-</w:t>
      </w:r>
      <w:r w:rsidR="00BE2D17" w:rsidRPr="0086281A">
        <w:rPr>
          <w:rFonts w:ascii="Calibri" w:hAnsi="Calibri" w:cs="Times"/>
          <w:lang w:val="en-GB"/>
        </w:rPr>
        <w:t>indexed population the bias is better for CKD-EPI</w:t>
      </w:r>
      <w:r w:rsidR="00BE2D17" w:rsidRPr="0086281A">
        <w:rPr>
          <w:rFonts w:ascii="Calibri" w:hAnsi="Calibri" w:cs="Times"/>
          <w:vertAlign w:val="subscript"/>
          <w:lang w:val="en-GB"/>
        </w:rPr>
        <w:t>deindexed</w:t>
      </w:r>
      <w:r w:rsidR="00BE2D17" w:rsidRPr="0086281A">
        <w:rPr>
          <w:rFonts w:ascii="Calibri" w:hAnsi="Calibri" w:cs="Times"/>
          <w:lang w:val="en-GB"/>
        </w:rPr>
        <w:t xml:space="preserve"> with a negative bias, </w:t>
      </w:r>
      <w:r w:rsidR="00684AEB" w:rsidRPr="0086281A">
        <w:rPr>
          <w:rFonts w:ascii="Calibri" w:hAnsi="Calibri" w:cs="Times"/>
          <w:lang w:val="en-GB"/>
        </w:rPr>
        <w:t>in the</w:t>
      </w:r>
      <w:r w:rsidR="00BE2D17" w:rsidRPr="0086281A">
        <w:rPr>
          <w:rFonts w:ascii="Calibri" w:hAnsi="Calibri" w:cs="Times"/>
          <w:lang w:val="en-GB"/>
        </w:rPr>
        <w:t xml:space="preserve"> indexed </w:t>
      </w:r>
      <w:r w:rsidR="00BE2D17" w:rsidRPr="0086281A">
        <w:rPr>
          <w:rFonts w:ascii="Calibri" w:hAnsi="Calibri"/>
          <w:lang w:val="en-GB"/>
        </w:rPr>
        <w:t xml:space="preserve">population the bias is better for MDRD study equation with a positive bias. </w:t>
      </w:r>
      <w:r w:rsidR="00093EC0" w:rsidRPr="0086281A">
        <w:rPr>
          <w:rFonts w:ascii="Calibri" w:hAnsi="Calibri"/>
          <w:lang w:val="en-GB"/>
        </w:rPr>
        <w:t xml:space="preserve">The same conclusions drawn in both articles are probably linked to the fact that we </w:t>
      </w:r>
      <w:r w:rsidR="00684AEB" w:rsidRPr="0086281A">
        <w:rPr>
          <w:rFonts w:ascii="Calibri" w:hAnsi="Calibri"/>
          <w:lang w:val="en-GB"/>
        </w:rPr>
        <w:t>always compared</w:t>
      </w:r>
      <w:r w:rsidR="00093EC0" w:rsidRPr="0086281A">
        <w:rPr>
          <w:rFonts w:ascii="Calibri" w:hAnsi="Calibri"/>
          <w:lang w:val="en-GB"/>
        </w:rPr>
        <w:t xml:space="preserve"> </w:t>
      </w:r>
      <w:r w:rsidR="00BA6A8B" w:rsidRPr="0086281A">
        <w:rPr>
          <w:rFonts w:ascii="Calibri" w:hAnsi="Calibri"/>
          <w:lang w:val="en-GB"/>
        </w:rPr>
        <w:t xml:space="preserve">all indexed </w:t>
      </w:r>
      <w:r w:rsidR="00093EC0" w:rsidRPr="0086281A">
        <w:rPr>
          <w:rFonts w:ascii="Calibri" w:hAnsi="Calibri"/>
          <w:lang w:val="en-GB"/>
        </w:rPr>
        <w:t xml:space="preserve">values </w:t>
      </w:r>
      <w:r w:rsidR="00BA6A8B" w:rsidRPr="0086281A">
        <w:rPr>
          <w:rFonts w:ascii="Calibri" w:hAnsi="Calibri"/>
          <w:lang w:val="en-GB"/>
        </w:rPr>
        <w:t xml:space="preserve">or all </w:t>
      </w:r>
      <w:r w:rsidR="00684AEB" w:rsidRPr="0086281A">
        <w:rPr>
          <w:rFonts w:ascii="Calibri" w:hAnsi="Calibri"/>
          <w:lang w:val="en-GB"/>
        </w:rPr>
        <w:t xml:space="preserve">de-indexed </w:t>
      </w:r>
      <w:r w:rsidR="00BA6A8B" w:rsidRPr="0086281A">
        <w:rPr>
          <w:rFonts w:ascii="Calibri" w:hAnsi="Calibri"/>
          <w:lang w:val="en-GB"/>
        </w:rPr>
        <w:t xml:space="preserve">values </w:t>
      </w:r>
      <w:r w:rsidR="00350857" w:rsidRPr="0086281A">
        <w:rPr>
          <w:rFonts w:ascii="Calibri" w:hAnsi="Calibri"/>
          <w:lang w:val="en-GB"/>
        </w:rPr>
        <w:t xml:space="preserve">for the </w:t>
      </w:r>
      <w:r w:rsidR="00684AEB" w:rsidRPr="0086281A">
        <w:rPr>
          <w:rFonts w:ascii="Calibri" w:hAnsi="Calibri"/>
          <w:lang w:val="en-GB"/>
        </w:rPr>
        <w:t xml:space="preserve">mGFR and </w:t>
      </w:r>
      <w:r w:rsidR="00350857" w:rsidRPr="0086281A">
        <w:rPr>
          <w:rFonts w:ascii="Calibri" w:hAnsi="Calibri"/>
          <w:lang w:val="en-GB"/>
        </w:rPr>
        <w:t xml:space="preserve">the </w:t>
      </w:r>
      <w:r w:rsidR="00684AEB" w:rsidRPr="0086281A">
        <w:rPr>
          <w:rFonts w:ascii="Calibri" w:hAnsi="Calibri"/>
          <w:lang w:val="en-GB"/>
        </w:rPr>
        <w:t xml:space="preserve">eGFR. </w:t>
      </w:r>
    </w:p>
    <w:p w:rsidR="00240C9F" w:rsidRPr="0086281A" w:rsidRDefault="00721E93" w:rsidP="0032099F">
      <w:pPr>
        <w:rPr>
          <w:rFonts w:ascii="Calibri" w:hAnsi="Calibri"/>
          <w:lang w:val="en-GB"/>
        </w:rPr>
      </w:pPr>
      <w:r w:rsidRPr="0086281A">
        <w:rPr>
          <w:rFonts w:ascii="Calibri" w:hAnsi="Calibri"/>
          <w:lang w:val="en-GB"/>
        </w:rPr>
        <w:t>To sum up, use mGFR non-indexed in the context of drug dosing adjustment seems to be intuitively correct; contrariwise, the de-indexation of eGFR is not frequent. However, de-indexation is crucial, because the performances of the CKD-EPI equation (non de-indexed</w:t>
      </w:r>
      <w:r w:rsidR="00623EE8" w:rsidRPr="0086281A">
        <w:rPr>
          <w:rFonts w:ascii="Calibri" w:hAnsi="Calibri"/>
          <w:lang w:val="en-GB"/>
        </w:rPr>
        <w:t xml:space="preserve"> in mL/min/1.73m</w:t>
      </w:r>
      <w:r w:rsidR="00623EE8" w:rsidRPr="0086281A">
        <w:rPr>
          <w:rFonts w:ascii="Calibri" w:hAnsi="Calibri"/>
          <w:vertAlign w:val="superscript"/>
          <w:lang w:val="en-GB"/>
        </w:rPr>
        <w:t>2</w:t>
      </w:r>
      <w:r w:rsidRPr="0086281A">
        <w:rPr>
          <w:rFonts w:ascii="Calibri" w:hAnsi="Calibri"/>
          <w:lang w:val="en-GB"/>
        </w:rPr>
        <w:t>) compared to non-indexed mGFR</w:t>
      </w:r>
      <w:r w:rsidR="0017674D" w:rsidRPr="0086281A">
        <w:rPr>
          <w:rFonts w:ascii="Calibri" w:hAnsi="Calibri"/>
          <w:lang w:val="en-GB"/>
        </w:rPr>
        <w:t xml:space="preserve"> (mL/min) are significantly lower, and underestimate the mGFR, </w:t>
      </w:r>
      <w:r w:rsidRPr="0086281A">
        <w:rPr>
          <w:rFonts w:ascii="Calibri" w:hAnsi="Calibri"/>
          <w:lang w:val="en-GB"/>
        </w:rPr>
        <w:t>than the performances between CKD-EPI</w:t>
      </w:r>
      <w:r w:rsidRPr="0086281A">
        <w:rPr>
          <w:rFonts w:ascii="Calibri" w:hAnsi="Calibri"/>
          <w:vertAlign w:val="subscript"/>
          <w:lang w:val="en-GB"/>
        </w:rPr>
        <w:t>deindexed</w:t>
      </w:r>
      <w:r w:rsidRPr="0086281A">
        <w:rPr>
          <w:rFonts w:ascii="Calibri" w:hAnsi="Calibri"/>
          <w:lang w:val="en-GB"/>
        </w:rPr>
        <w:t xml:space="preserve"> and non-indexed mGFR (data not shown).</w:t>
      </w:r>
      <w:r w:rsidR="00A07E78" w:rsidRPr="0086281A">
        <w:rPr>
          <w:rFonts w:ascii="Calibri" w:hAnsi="Calibri"/>
          <w:lang w:val="en-GB"/>
        </w:rPr>
        <w:t xml:space="preserve"> The same results have been </w:t>
      </w:r>
      <w:r w:rsidR="007F0DAD" w:rsidRPr="0086281A">
        <w:rPr>
          <w:rFonts w:ascii="Calibri" w:hAnsi="Calibri"/>
          <w:lang w:val="en-GB"/>
        </w:rPr>
        <w:t>demonstrated</w:t>
      </w:r>
      <w:r w:rsidR="00A07E78" w:rsidRPr="0086281A">
        <w:rPr>
          <w:rFonts w:ascii="Calibri" w:hAnsi="Calibri"/>
          <w:lang w:val="en-GB"/>
        </w:rPr>
        <w:t xml:space="preserve"> in a recent study</w:t>
      </w:r>
      <w:r w:rsidR="007F0DAD" w:rsidRPr="0086281A">
        <w:rPr>
          <w:rFonts w:ascii="Calibri" w:hAnsi="Calibri"/>
          <w:lang w:val="en-GB"/>
        </w:rPr>
        <w:t xml:space="preserve"> from Chew-Harris et</w:t>
      </w:r>
      <w:r w:rsidR="007F0DAD" w:rsidRPr="0086281A">
        <w:rPr>
          <w:rFonts w:ascii="Calibri" w:hAnsi="Calibri"/>
          <w:i/>
          <w:lang w:val="en-GB"/>
        </w:rPr>
        <w:t xml:space="preserve"> al.</w:t>
      </w:r>
      <w:r w:rsidR="007F0DAD" w:rsidRPr="0086281A">
        <w:rPr>
          <w:rFonts w:ascii="Calibri" w:hAnsi="Calibri"/>
          <w:lang w:val="en-GB"/>
        </w:rPr>
        <w:t xml:space="preserve"> </w:t>
      </w:r>
      <w:r w:rsidR="00777D1E" w:rsidRPr="0086281A">
        <w:rPr>
          <w:rFonts w:ascii="Calibri" w:hAnsi="Calibri"/>
          <w:lang w:val="en-GB"/>
        </w:rPr>
        <w:fldChar w:fldCharType="begin"/>
      </w:r>
      <w:r w:rsidR="007F0DAD" w:rsidRPr="0086281A">
        <w:rPr>
          <w:rFonts w:ascii="Calibri" w:hAnsi="Calibri"/>
          <w:lang w:val="en-GB"/>
        </w:rPr>
        <w:instrText xml:space="preserve"> ADDIN ZOTERO_ITEM CSL_CITATION {"citationID":"lft9ecdj9","properties":{"formattedCitation":"(55)","plainCitation":"(55)"},"citationItems":[{"id":2449,"uris":["http://zotero.org/users/2405774/items/DK4VFSTT"],"uri":["http://zotero.org/users/2405774/items/DK4VFSTT"],"itemData":{"id":2449,"type":"article-journal","title":"Removal of body surface area normalisation improves raw-measured GFR estimation by the CKD-EPI equation and drug dosing in the obese","container-title":"Internal Medicine Journal","source":"PubMed","abstract":"AIM: We compared estimated glomerular filtration rate (eGFR) according to the Chronic Kidney Disease Epidemiology Collaboration equation, with (CKD-EPI, mL/min/1.73m(2) ) and without body surface area (BSA)-normalisation (CKD-EPI_noBSA, mL/min), against measured Tc-DTPA GFR (mL/min) in 222 individuals, including 80 with malignancy.\nMETHOD: BSA was calculated for each individual using the Du Bois equation. The CKD-EPI, and CKD-EPI_noBSA equations were compared with measured Tc-DTPA GFR with respect to bias, proportion within 30% of GFR (P30) and root mean square error for predicting levels of GFR, and concordance in relation to carboplatin dosing.\nRESULTS: The mean (SD) BSA and measured GFR for the entire group was 1.99 (0.25) m(2) and 127 (41) mL/min, respectively. The P30 for Tc-DTPA GFR was significantly higher with the CKD-EPI_noBSA (80%) than with the CKD-EPI equation (63%, P=0.0001). In those with BMI &gt; 30 kg/m(2) , the P30 values for the CKD-EPI_noBSA and CKD-EPI were 74% and 42%, respectively (P&lt;0.0001). Carboplatin dosing concordance for the cancer patients using the CKD-EPI and CKD-EPI_noBSA equation was 71% and 56%, respectively (P =0.07). In 78 individuals with BMI &gt; 30 kg/m(2) , concordance in relation to carboplatin dosing using CKD-EPI_noBSA was 65% compared with 26% with the CKD-EPI (P &lt;0.0001).\nCONCLUSION: The CKD-EPI without normalisation (CKD-EPI_noBSA) equation was superior to the CKD-EPI equation in estimating absolute clearance of Tc-DTPA GFR (mL/min).","DOI":"10.1111/imj.12791","ISSN":"1445-5994","note":"PMID: 25904102","journalAbbreviation":"Intern Med J","language":"ENG","author":[{"family":"Chew-Harris","given":"Janice S. C."},{"family":"Chin","given":"Paul Kl"},{"family":"Florkowski","given":"Christopher M."},{"family":"George","given":"Peter"},{"family":"Endre","given":"Zoltan"}],"issued":{"date-parts":[["2015",4,22]]},"PMID":"25904102"}}],"schema":"https://github.com/citation-style-language/schema/raw/master/csl-citation.json"} </w:instrText>
      </w:r>
      <w:r w:rsidR="00777D1E" w:rsidRPr="0086281A">
        <w:rPr>
          <w:rFonts w:ascii="Calibri" w:hAnsi="Calibri"/>
          <w:lang w:val="en-GB"/>
        </w:rPr>
        <w:fldChar w:fldCharType="separate"/>
      </w:r>
      <w:r w:rsidR="007F0DAD" w:rsidRPr="0086281A">
        <w:rPr>
          <w:rFonts w:ascii="Calibri" w:hAnsi="Calibri"/>
          <w:noProof/>
          <w:lang w:val="en-GB"/>
        </w:rPr>
        <w:t>(55)</w:t>
      </w:r>
      <w:r w:rsidR="00777D1E" w:rsidRPr="0086281A">
        <w:rPr>
          <w:rFonts w:ascii="Calibri" w:hAnsi="Calibri"/>
          <w:lang w:val="en-GB"/>
        </w:rPr>
        <w:fldChar w:fldCharType="end"/>
      </w:r>
      <w:r w:rsidR="0086281A" w:rsidRPr="0086281A">
        <w:rPr>
          <w:rFonts w:ascii="Calibri" w:hAnsi="Calibri"/>
          <w:lang w:val="en-GB"/>
        </w:rPr>
        <w:t>. In this study, only 78</w:t>
      </w:r>
      <w:r w:rsidR="007F0DAD" w:rsidRPr="0086281A">
        <w:rPr>
          <w:rFonts w:ascii="Calibri" w:hAnsi="Calibri"/>
          <w:lang w:val="en-GB"/>
        </w:rPr>
        <w:t xml:space="preserve"> obese patients </w:t>
      </w:r>
      <w:r w:rsidR="0017674D" w:rsidRPr="0086281A">
        <w:rPr>
          <w:rFonts w:ascii="Calibri" w:hAnsi="Calibri"/>
          <w:lang w:val="en-GB"/>
        </w:rPr>
        <w:t>were</w:t>
      </w:r>
      <w:r w:rsidR="007F0DAD" w:rsidRPr="0086281A">
        <w:rPr>
          <w:rFonts w:ascii="Calibri" w:hAnsi="Calibri"/>
          <w:lang w:val="en-GB"/>
        </w:rPr>
        <w:t xml:space="preserve"> included</w:t>
      </w:r>
      <w:r w:rsidR="0086281A" w:rsidRPr="0086281A">
        <w:rPr>
          <w:rFonts w:ascii="Calibri" w:hAnsi="Calibri"/>
          <w:lang w:val="en-GB"/>
        </w:rPr>
        <w:t>,</w:t>
      </w:r>
      <w:r w:rsidR="007F0DAD" w:rsidRPr="0086281A">
        <w:rPr>
          <w:rFonts w:ascii="Calibri" w:hAnsi="Calibri"/>
          <w:lang w:val="en-GB"/>
        </w:rPr>
        <w:t xml:space="preserve"> but they showed that </w:t>
      </w:r>
      <w:r w:rsidR="0017674D" w:rsidRPr="0086281A">
        <w:rPr>
          <w:rFonts w:ascii="Calibri" w:hAnsi="Calibri" w:cs="Times New Roman"/>
          <w:color w:val="000000"/>
          <w:lang w:val="en-GB"/>
        </w:rPr>
        <w:t>t</w:t>
      </w:r>
      <w:r w:rsidR="007F0DAD" w:rsidRPr="0086281A">
        <w:rPr>
          <w:rFonts w:ascii="Calibri" w:hAnsi="Calibri" w:cs="Times New Roman"/>
          <w:color w:val="000000"/>
          <w:lang w:val="en-GB"/>
        </w:rPr>
        <w:t>he CKD-EPI with</w:t>
      </w:r>
      <w:r w:rsidR="0017674D" w:rsidRPr="0086281A">
        <w:rPr>
          <w:rFonts w:ascii="Calibri" w:hAnsi="Calibri" w:cs="Times New Roman"/>
          <w:color w:val="000000"/>
          <w:lang w:val="en-GB"/>
        </w:rPr>
        <w:t>out normalisation (in mL/min</w:t>
      </w:r>
      <w:r w:rsidR="007F0DAD" w:rsidRPr="0086281A">
        <w:rPr>
          <w:rFonts w:ascii="Calibri" w:hAnsi="Calibri" w:cs="Times New Roman"/>
          <w:color w:val="000000"/>
          <w:lang w:val="en-GB"/>
        </w:rPr>
        <w:t>) was superior to the CKD-EPI equation</w:t>
      </w:r>
      <w:r w:rsidR="0017674D" w:rsidRPr="0086281A">
        <w:rPr>
          <w:rFonts w:ascii="Calibri" w:hAnsi="Calibri" w:cs="Times New Roman"/>
          <w:color w:val="000000"/>
          <w:lang w:val="en-GB"/>
        </w:rPr>
        <w:t xml:space="preserve"> indexed (</w:t>
      </w:r>
      <w:r w:rsidR="0086281A" w:rsidRPr="0086281A">
        <w:rPr>
          <w:rFonts w:ascii="Calibri" w:hAnsi="Calibri" w:cs="Times New Roman"/>
          <w:color w:val="000000"/>
          <w:lang w:val="en-GB"/>
        </w:rPr>
        <w:t>in</w:t>
      </w:r>
      <w:r w:rsidR="0017674D" w:rsidRPr="0086281A">
        <w:rPr>
          <w:rFonts w:ascii="Calibri" w:hAnsi="Calibri" w:cs="Times New Roman"/>
          <w:color w:val="000000"/>
          <w:lang w:val="en-GB"/>
        </w:rPr>
        <w:t xml:space="preserve"> mL/min/1.73m</w:t>
      </w:r>
      <w:r w:rsidR="0017674D" w:rsidRPr="0086281A">
        <w:rPr>
          <w:rFonts w:ascii="Calibri" w:hAnsi="Calibri" w:cs="Times New Roman"/>
          <w:color w:val="000000"/>
          <w:vertAlign w:val="superscript"/>
          <w:lang w:val="en-GB"/>
        </w:rPr>
        <w:t>2</w:t>
      </w:r>
      <w:r w:rsidR="0017674D" w:rsidRPr="0086281A">
        <w:rPr>
          <w:rFonts w:ascii="Calibri" w:hAnsi="Calibri" w:cs="Times New Roman"/>
          <w:color w:val="000000"/>
          <w:lang w:val="en-GB"/>
        </w:rPr>
        <w:t>)</w:t>
      </w:r>
      <w:r w:rsidR="007F0DAD" w:rsidRPr="0086281A">
        <w:rPr>
          <w:rFonts w:ascii="Calibri" w:hAnsi="Calibri" w:cs="Times New Roman"/>
          <w:color w:val="000000"/>
          <w:lang w:val="en-GB"/>
        </w:rPr>
        <w:t xml:space="preserve"> in estimating absolute clearance of Tc-DTPA (</w:t>
      </w:r>
      <w:r w:rsidR="0017674D" w:rsidRPr="0086281A">
        <w:rPr>
          <w:rFonts w:ascii="Calibri" w:hAnsi="Calibri" w:cs="Times New Roman"/>
          <w:color w:val="000000"/>
          <w:lang w:val="en-GB"/>
        </w:rPr>
        <w:t xml:space="preserve">in </w:t>
      </w:r>
      <w:r w:rsidR="007F0DAD" w:rsidRPr="0086281A">
        <w:rPr>
          <w:rFonts w:ascii="Calibri" w:hAnsi="Calibri" w:cs="Times New Roman"/>
          <w:color w:val="000000"/>
          <w:lang w:val="en-GB"/>
        </w:rPr>
        <w:t>mL/min)</w:t>
      </w:r>
      <w:r w:rsidR="007F0DAD" w:rsidRPr="0086281A">
        <w:rPr>
          <w:rFonts w:ascii="Calibri" w:hAnsi="Calibri"/>
          <w:lang w:val="en-GB"/>
        </w:rPr>
        <w:t>.</w:t>
      </w:r>
    </w:p>
    <w:p w:rsidR="00E72015" w:rsidRPr="0086281A" w:rsidRDefault="00350857" w:rsidP="0032099F">
      <w:pPr>
        <w:rPr>
          <w:rFonts w:ascii="Calibri" w:hAnsi="Calibri" w:cs="Times"/>
          <w:lang w:val="en-GB"/>
        </w:rPr>
      </w:pPr>
      <w:r w:rsidRPr="0086281A">
        <w:rPr>
          <w:rFonts w:ascii="Calibri" w:hAnsi="Calibri"/>
          <w:lang w:val="en-GB"/>
        </w:rPr>
        <w:t>Numerous authors have a</w:t>
      </w:r>
      <w:r w:rsidR="00F7686E" w:rsidRPr="0086281A">
        <w:rPr>
          <w:rFonts w:ascii="Calibri" w:hAnsi="Calibri"/>
          <w:lang w:val="en-GB"/>
        </w:rPr>
        <w:t xml:space="preserve">lso found that creatinine-based </w:t>
      </w:r>
      <w:r w:rsidRPr="0086281A">
        <w:rPr>
          <w:rFonts w:ascii="Calibri" w:hAnsi="Calibri"/>
          <w:lang w:val="en-GB"/>
        </w:rPr>
        <w:t>equations overestimate GFR in different types of population</w:t>
      </w:r>
      <w:r w:rsidR="00684AEB" w:rsidRPr="0086281A">
        <w:rPr>
          <w:rFonts w:ascii="Calibri" w:hAnsi="Calibri"/>
          <w:lang w:val="en-GB"/>
        </w:rPr>
        <w:t xml:space="preserve">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{"citationID":"j3oqepvjl","properties":{"formattedCitation":"{\\rtf (11,56\\uc0\\u8211{}58)}","plainCitation":"(11,56–58)"},"citationItems":[{"id":1517,"uris":["http://zotero.org/users/2405774/items/CCEJIVI9"],"uri":["http://zotero.org/users/2405774/items/CCEJIVI9"],"itemData":{"id":1517,"type":"article-journal","title":"GFR estimation using standardized cystatin C in kidney transplant recipients","container-title":"American Journal of Kidney Diseases","page":"279-284","volume":"61","issue":"2","source":"NCBI PubMed","abstract":"BACKGROUND: The utility of serum cystatin C (SCysC) as a filtration marker in kidney transplantation is uncertain. We took advantage of the recent validation of a reference calibrator for SCysC and of newly developed CKD-EPI (Chronic Kidney Disease Epidemiology Collaboration) equations (2012) expressed for use with standardized SCysC level to reassess the performance of SCysC as a filtration marker in kidney transplant recipients.\nSTUDY DESIGN: Study of diagnostic test accuracy.\nSETTING &amp; PARTICIPANTS: 670 kidney transplant recipients from 3 centers undergoing glomerular filtration rate (GFR) measurements from December 2006 to November 2012.\nINDEX TEST: Estimated GFR (eGFR) using the 2012 SCysC-based and serum creatinine (SCr)/SCysC-based CKD-EPI equations (eGFR(cys) and eGFR(cr-cys), respectively) and the 2009 SCr-based CKD-EPI equation (eGFR(cr)), with SCysC and SCr measured at a single laboratory between April 2011 and June 2011.\nREFERENCE TEST: Measured GFR (mGFR) using urinary clearance of inulin.\nRESULTS: Bias (the difference between mGFR and eGFR) was significantly smaller for eGFR(cys) and eGFR(cr-cys) versus eGFR(cr) (-2.82 and -0.54 vs +4.4 mL/min/1.73 m(2), respectively; P &lt; 0.001). Precision (standard deviation of the mean bias) also was better for eGFR(cys) and eGFR(cr-cys) versus eGFR(cr) (12 and 11 vs 13 mL/min/1.73 m(2) [P &lt; 0.001 for both comparisons]). Accuracy (percentage of GFR estimates within 30% of mGFR) was greater for eGFR(cys) and eGFR(cr-cys) versus eGFR(cr) (81% and 86% vs 75%, respectively [P = 0.004 and P &lt; 0.001]). Net reclassification index with respect to mGFR of 30 mL/min/1.73 m(2) for eGFR(cr-cys) and eGFR(cys) versus eGFR(cr) was 18.8% [95% CI, 8.6%-28.9%] and 22.5% [95% CI, 10.2%-34.9%].\nLIMITATIONS: Patients were exclusively of European descent; association with transplant outcome was not evaluated.\nCONCLUSIONS: Our data validate the use of both the newly developed SCysC-based and SCr/SCysC-based CKD-EPI equations (2012) in kidney transplant recipients. Both equations perform better than the SCr-based CKD-EPI equation (2009).","DOI":"10.1053/j.ajkd.2012.09.010","ISSN":"1523-6838","note":"PMID: 23141866","journalAbbreviation":"Am. J. Kidney Dis.","language":"eng","author":[{"family":"Masson","given":"Ingrid"},{"family":"Maillard","given":"Nicolas"},{"family":"Tack","given":"Ivan"},{"family":"Thibaudin","given":"Lise"},{"family":"Dubourg","given":"Laurence"},{"family":"Delanaye","given":"Pierre"},{"family":"Cavalier","given":"Etienne"},{"family":"Bonneau","given":"Christine"},{"family":"Kamar","given":"Nassim"},{"family":"Morelon","given":"Emmanuel"},{"family":"Moranne","given":"Olivier"},{"family":"Alamartine","given":"Eric"},{"family":"Mariat","given":"Christophe"}],"issued":{"date-parts":[["2013",2]]},"PMID":"23141866"},"label":"page"},{"id":1509,"uris":["http://zotero.org/users/2405774/items/R3NPZKBN"],"uri":["http://zotero.org/users/2405774/items/R3NPZKBN"],"itemData":{"id":1509,"type":"article-journal","title":"Use of glomerular filtration rate estimating equations for drug dosing in HIV-positive patients","container-title":"Antiviral Therapy","page":"793-802","volume":"18","issue":"6","source":"NCBI PubMed","abstract":"BACKGROUND: Current HIV treatment guidelines recommend using the Cockcroft-Gault equation for drug dosing adjustments. The use of newer glomerular filtration rate (GFR) estimating equations for drug dosing and the appropriateness of physician antiretroviral dosing based on estimated kidney function have not been studied in an HIV-positive population.\nMETHODS: We evaluated concordance between measured and estimated GFR for the assignment of kidney function categories designated by the US Food and Drug Administration (FDA) Guidance for industry for pharmacokinetic studies, and appropriateness of physician antiretroviral drug dosing for level of kidney function in 200 HIV-positive patients on stable antiretroviral therapy. Estimated kidney function was determined using the Chronic Kidney Disease-Epidemiology collaboration (CKD-EPI), Modification of Diet in Renal Disease (MDRD) Study and Cockcroft-Gault equations.\nRESULTS: For assignment of FDA-designated kidney function categories, concordance rates between measured and estimated GFR using the CKD-EPI, MDRD Study and Cockcroft-Gault equations were 79%, 71% and 77%, respectively. This pattern was consistent across most subgroups. When actual prescribed dosages were compared with recommended dosages based on the level of estimated kidney function, 3-19% of study participants were prescribed higher than recommended dosages. The largest discordance between prescribed and recommended dosages was observed for the Cockcroft-Gault equation.\nCONCLUSIONS: The CKD-EPI equation has the highest concordance with measured GFR for the assignment of FDA-designated kidney function categories. Its use may lead to lower dosing-related errors in HIV-infected US adults on stable antiretroviral therapy. More education is required with respect to dose adjustment for level of kidney function.","DOI":"10.3851/IMP2676","ISSN":"2040-2058","note":"PMID: 23963249 \nPMCID: PMC4018994","journalAbbreviation":"Antivir. Ther. (Lond.)","language":"eng","author":[{"family":"Okparavero","given":"Aghogho A."},{"family":"Tighiouart","given":"Hocine"},{"family":"Krishnasami","given":"Zipporah"},{"family":"Wyatt","given":"Christina M."},{"family":"Graham","given":"Hiba"},{"family":"Hellinger","given":"James"},{"family":"Inker","given":"Lesley A."}],"issued":{"date-parts":[["2013"]]},"PMID":"23963249","PMCID":"PMC4018994"},"label":"page"},{"id":1507,"uris":["http://zotero.org/users/2405774/items/Z5KZC25J"],"uri":["http://zotero.org/users/2405774/items/Z5KZC25J"],"itemData":{"id":1507,"type":"article-journal","title":"The body composition and excretory burden of lean, obese, and severely obese individuals has implications for the assessment of chronic kidney disease","container-title":"Kidney International","page":"1221-1228","volume":"86","issue":"6","source":"NCBI PubMed","abstract":"Obesity could affect associations between creatinine generation, estimated body surface area, and excretory burden, with effects on chronic kidney disease assessment. We therefore examined the impact of obesity on the performances of estimated glomerular filtration rate (eGFR), the urine albumin:creatinine ratio (ACR), and excretory burden in 3611 participants of the Chronic Renal Insufficiency Cohort. Urine creatinine excretion significantly increased with body mass index (BMI) (34 and 31% greater at 40 kg/m(2) or more versus the normal of 18.5-25 kg/m(2)) in men and women, respectively, such that patients with a normal BMI and an ACR of 30 mg/g had the same 24-h albuminuria as severely obese patients with ACR 23 mg/g. The bias of eGFR (referenced to body surface area-indexed iothalamate (i-)GFR) had a U-shaped relationship to obesity in men but progressively increased in women. Nevertheless, obesity-associated body surface area increases were accompanied by a greater absolute (non-indexed) iGFR for a given eGFR, particularly in men. Two men with eGFRs of 45 ml/min per 1.73 m(2), height 1.76 m, and BMI 22 or 45 kg/m(2) had absolute iGFRs of 46 and 62 ml/min, respectively. The excretory burden, assessed as urine urea nitrogen and estimated dietary phosphorus, sodium, and potassium intakes, also increased in obesity. However, obese men had lower odds of anemia, hyperkalemia, and hyperphosphatemia. Thus, for a given ACR and eGFR, obese individuals have greater albuminuria, absolute GFR, and excretory burden. This has implications for chronic kidney disease management, screening, and research.","DOI":"10.1038/ki.2014.112","ISSN":"1523-1755","note":"PMID: 24717300","journalAbbreviation":"Kidney Int.","language":"eng","author":[{"family":"Fotheringham","given":"James"},{"family":"Weatherley","given":"Nicholas"},{"family":"Kawar","given":"Bisher"},{"family":"G Fogarty","given":"Damian"},{"family":"Ellam","given":"Timothy"}],"issued":{"date-parts":[["2014",12]]},"PMID":"24717300"},"label":"page"},{"id":993,"uris":["http://zotero.org/users/2405774/items/NNQNITST"],"uri":["http://zotero.org/users/2405774/items/NNQNITST"],"itemData":{"id":993,"type":"article-journal","title":"Accuracy of GFR estimation in obese patients","container-title":"Clinical journal of the American Society of Nephrology","page":"720-727","volume":"9","issue":"4","source":"NCBI PubMed","abstract":"BACKGROUND AND OBJECTIVES: Adequate estimation of renal function in obese patients is essential for the classification of patients in CKD category as well as the dose adjustment of drugs. However, the body size descriptor for GFR indexation is still debatable, and formulas are not validated in patients with extreme variations of weight.\nDESIGN, SETTING, PARTICIPANTS, &amp; MEASUREMENTS: This study included 209 stages 1-5 CKD obese patients referred to the Department of Renal Function Study at the University Hospital in Lyon between 2010 and 2013 because of suspected renal dysfunction. GFR was estimated with the Chronic Kidney Disease and Epidemiology equation (CKD-EPI) and measured with a gold standard method (inulin or iohexol) not indexed (mGFR) or indexed to body surface area determined by the Dubois and Dubois formula with either real (mGFRr) or ideal (mGFRi) body weight. Mean bias (eGFR-mGFR), precision, and accuracy of mGFR were compared with the results obtained for nonobese participants (body mass index between 18.5 and 24.9) who had a GFR measurement during the same period of time.\nRESULTS: Mean mGFRr (51.6 ± 24.2 ml/min per 1.73 m(2)) was significantly lower than mGFR, mGFRi, and eGFRCKD-EPI. eGFRCKD-EPI had less bias with mGFR (0.29; -1.7 to 2.3) and mGFRi (-1.62; -3.1 to 0.45) compared with mGFRr (8.7; 7 to 10). This result was confirmed with better accuracy for the whole cohort (78% for mGFR, 84% for mGFRi, and 72% for mGFRr) and participants with CKD stages 3-5. Moreover, the Bland Altman plot showed better agreement between mGFR and eGFRCKD-EPI. The bias between eGFRCKD-EPI and mGFRr was greater in obese than nonobese participants (8.7 versus 0.58, P&lt;0.001).\nCONCLUSIONS: This study shows that, in obese CKD patients, the performance of eGFRCKD-EPI is good for GFR ≤ 60 ml/min per 1.73 m(2). Indexation of mGFR with body surface area using ideal body weight gives less bias than mGFR scaled with body surface area using real body weight.","DOI":"10.2215/CJN.03610413","ISSN":"1555-905X","note":"PMID: 24482068 \nPMCID: PMC3974350","journalAbbreviation":"Clin J Am Soc Nephrol","language":"eng","author":[{"family":"Lemoine","given":"Sandrine"},{"family":"Guebre-Egziabher","given":"Fitsum"},{"family":"Sens","given":"Florence"},{"family":"Nguyen-Tu","given":"Marie-Sophie"},{"family":"Juillard","given":"Laurent"},{"family":"Dubourg","given":"Laurence"},{"family":"Hadj-Aissa","given":"Aoumeur"}],"issued":{"date-parts":[["2014",4]]},"PMID":"24482068","PMCID":"PMC3974350"},"label":"page"}],"schema":"https://github.com/citation-style-language/schema/raw/master/csl-citation.json"} </w:instrText>
      </w:r>
      <w:r w:rsidR="00777D1E" w:rsidRPr="0086281A">
        <w:rPr>
          <w:rFonts w:ascii="Calibri" w:hAnsi="Calibri"/>
          <w:lang w:val="en-GB"/>
        </w:rPr>
        <w:fldChar w:fldCharType="separate"/>
      </w:r>
      <w:r w:rsidR="009852DE" w:rsidRPr="00727535">
        <w:rPr>
          <w:rFonts w:ascii="Calibri" w:hAnsi="Calibri"/>
        </w:rPr>
        <w:t>(11,56–58)</w:t>
      </w:r>
      <w:r w:rsidR="00777D1E" w:rsidRPr="0086281A">
        <w:rPr>
          <w:rFonts w:ascii="Calibri" w:hAnsi="Calibri"/>
          <w:lang w:val="en-GB"/>
        </w:rPr>
        <w:fldChar w:fldCharType="end"/>
      </w:r>
      <w:r w:rsidR="00BA6A8B" w:rsidRPr="0086281A">
        <w:rPr>
          <w:rFonts w:ascii="Calibri" w:hAnsi="Calibri"/>
          <w:lang w:val="en-GB"/>
        </w:rPr>
        <w:t xml:space="preserve">, </w:t>
      </w:r>
      <w:r w:rsidR="00C864E5" w:rsidRPr="0086281A">
        <w:rPr>
          <w:rFonts w:ascii="Calibri" w:hAnsi="Calibri"/>
          <w:lang w:val="en-GB"/>
        </w:rPr>
        <w:t>especially in obese patient</w:t>
      </w:r>
      <w:r w:rsidR="00BA6A8B" w:rsidRPr="0086281A">
        <w:rPr>
          <w:rFonts w:ascii="Calibri" w:hAnsi="Calibri"/>
          <w:lang w:val="en-GB"/>
        </w:rPr>
        <w:t>s</w:t>
      </w:r>
      <w:r w:rsidR="00C864E5" w:rsidRPr="0086281A">
        <w:rPr>
          <w:rFonts w:ascii="Calibri" w:hAnsi="Calibri"/>
          <w:lang w:val="en-GB"/>
        </w:rPr>
        <w:t xml:space="preserve"> </w:t>
      </w:r>
      <w:r w:rsidR="00BA6A8B" w:rsidRPr="0086281A">
        <w:rPr>
          <w:rFonts w:ascii="Calibri" w:hAnsi="Calibri"/>
          <w:lang w:val="en-GB"/>
        </w:rPr>
        <w:t xml:space="preserve">with a </w:t>
      </w:r>
      <w:r w:rsidR="00C864E5" w:rsidRPr="0086281A">
        <w:rPr>
          <w:rFonts w:ascii="Calibri" w:hAnsi="Calibri"/>
          <w:lang w:val="en-GB"/>
        </w:rPr>
        <w:t>high level of GFR (GFR &gt; 60</w:t>
      </w:r>
      <w:r w:rsidR="00EE35E9" w:rsidRPr="0086281A">
        <w:rPr>
          <w:rFonts w:ascii="Calibri" w:hAnsi="Calibri"/>
          <w:lang w:val="en-GB"/>
        </w:rPr>
        <w:t xml:space="preserve"> </w:t>
      </w:r>
      <w:r w:rsidR="00C864E5" w:rsidRPr="0086281A">
        <w:rPr>
          <w:rFonts w:ascii="Calibri" w:hAnsi="Calibri"/>
          <w:lang w:val="en-GB"/>
        </w:rPr>
        <w:t xml:space="preserve">mL/min) </w:t>
      </w:r>
      <w:r w:rsidR="00777D1E" w:rsidRPr="0086281A">
        <w:rPr>
          <w:rFonts w:ascii="Calibri" w:hAnsi="Calibri"/>
          <w:lang w:val="en-GB"/>
        </w:rPr>
        <w:fldChar w:fldCharType="begin"/>
      </w:r>
      <w:r w:rsidR="009852DE">
        <w:rPr>
          <w:rFonts w:ascii="Calibri" w:hAnsi="Calibri"/>
          <w:lang w:val="en-GB"/>
        </w:rPr>
        <w:instrText xml:space="preserve"> ADDIN ZOTERO_ITEM CSL_CITATION {"citationID":"1je7ug4r1k","properties":{"formattedCitation":"(38,42)","plainCitation":"(38,42)"},"citationItems":[{"id":1141,"uris":["http://zotero.org/users/local/gLwvffvk/items/ASN8WFVV"],"uri":["http://zotero.org/users/local/gLwvffvk/items/ASN8WFVV"],"itemData":{"id":1141,"type":"article-journal","title":"Measuring the glomerular filtration rate in obese individuals without overt kidney disease","container-title":"Nephron. Clinical Practice","page":"c224-234","volume":"116","issue":"3","source":"NCBI PubMed","abstract":"BACKGROUND: Identifying methods to accurately measure the glomerular filtration rate (GFR) in obese individuals without kidney overt kidney disease is necessary to understanding the pathophysiology and natural history of obesity-related kidney disease.\nMETHODS: Using a cross-sectional design, iohexol clearance and disposition was measured, an optimal sampling schedule was identified, and the reliability of GFR-estimating methods was described in 29 obese individuals with normal serum creatinine levels. Iohexol disposition was measured using population pharmacokinetics. The agreement with GFR-estimating equations was assessed by intraclass coefficients.\nRESULTS: Mean age was 44 ± 10 years, body mass index 45 ± 10, creatinine 0.7 ± 0.2 mg/dl (62 ± 18 μmol/l) , and cystatin C 0.83 ± 0.18 mg/dl (8.3 ± 1.8 mg/l). Iohexol disposition fit a two-compartment model and 5 sampling windows were identified over a 4-hour period to optimize model accuracy and minimize blood draws. Precision was not compromised with this sampling design. Neither creatinine nor cystatin C were linearly correlated with the measured GFR though cystatin C was independent of body composition. Agreement was fair to poor between the measured GFR and GFR-estimating equations.\nCONCLUSION: This study offers a rigorous method to study obesity-related kidney disease and improve upon suboptimal GFR-estimating methods.","DOI":"10.1159/000317203","ISSN":"1660-2110","note":"PMID: 20606483 \nPMCID: PMC2945276","journalAbbreviation":"Nephron Clin Pract","language":"eng","author":[{"family":"Friedman","given":"Allon N."},{"family":"Strother","given":"Matthew"},{"family":"Quinney","given":"Sara K."},{"family":"Hall","given":"Stephen"},{"family":"Perkins","given":"Susan M."},{"family":"Brizendine","given":"Edward J."},{"family":"Inman","given":"Margaret"},{"family":"Gomez","given":"Gerardo"},{"family":"Shihabi","given":"Zak"},{"family":"Moe","given":"Sharon"},{"family":"Li","given":"Lang"}],"issued":{"date-parts":[["2010"]]},"PMID":"20606483","PMCID":"PMC2945276"},"label":"page"},{"id":1199,"uris":["http://zotero.org/users/2405774/items/C4W66E78"],"uri":["http://zotero.org/users/2405774/items/C4W66E78"],"itemData":{"id":1199,"type":"article-journal","title":"The influence of body size descriptors on the estimation of kidney function in normal weight, overweight, obese, and morbidly obese adults","container-title":"The Annals of Pharmacotherapy","page":"317-328","volume":"46","issue":"3","source":"NCBI PubMed","abstract":"BACKGROUND: Dosing adjustments for patients with impaired kidney function are often based on estimated creatinine clearance (eCrCl) because measuring kidney function is not always possible for dose adjustment. However, there is no consensus on the body size descriptor that should be used in the estimation equations.\nOBJECTIVE: To compare the use of alternative body size descriptors (ABSDs) on the performance of kidney function estimation equations compared with measured CrCl (mCrCl).\nMETHODS: We combined 2\nDATA SOURCES: a Food and Drug Administration clinical trial database that includes subjects with body mass index (BMI) less than 40 kg/m(2) and published data from those 40 kg/m(2) or more. The 3 parent equations (Cockcroft-Gault [CG], Modification of Diet in Renal Disease [MDRD], Chronic Kidney Disease-Epidemiology Collaboration [CKDEPI]), and 14 ABSD-modified equations were compared with mCrCl for accuracy, bias, agreement, goodness of fit (R(2)), and prediction error. These equations were also compared across mCrCl and BMI strata.\nRESULTS: Subjects (n = 590) were aged 19-80 years; 33.9% were female and BMI ranged from 17.2 to 95.6 kg/m(2). Compared with mCrCl, the use of total weight in the CG equation yielded low accuracy (12.5%) and significant bias (-107 mL/min) in the morbidly obese group. In contrast, the use of lean body weights (BMI ≥40 kg/m(2)) and total ± adjusted weights (BMI &lt;40 kg/m(2)) with the CG equation yielded higher accuracy, greater than or equal to 60.7% across all BMI strata, and was unbiased. Transforming the MDRD or CKDEPI equations with body surface area improved accuracy only at mCrCl of 30-80 mL/min and increased the overall prediction error.\nCONCLUSIONS: No kidney function equation was consistently accurate and unbiased across weight, mCrCl, and estimate ranges. The accuracy and overestimation bias of the CG equation in obese subjects was improved through the selective use of total, adjusted, and lean body weight by BMI strata.","DOI":"10.1345/aph.1Q374","ISSN":"1542-6270","note":"PMID: 22395245","journalAbbreviation":"Ann Pharmacother","language":"eng","author":[{"family":"Park","given":"Eun Jung"},{"family":"Pai","given":"Manjunath P."},{"family":"Dong","given":"Ting"},{"family":"Zhang","given":"Jialu"},{"family":"Ko","given":"Chia-Wen"},{"family":"Lawrence","given":"John"},{"family":"Crentsil","given":"Victor"},{"family":"Zhang","given":"Lei"},{"family":"Xu","given":"Nancy N."}],"issued":{"date-parts":[["2012",3]]},"PMID":"22395245"},"label":"page"}],"schema":"https://github.com/citation-style-language/schema/raw/master/csl-citation.json"} </w:instrText>
      </w:r>
      <w:r w:rsidR="00777D1E" w:rsidRPr="0086281A">
        <w:rPr>
          <w:rFonts w:ascii="Calibri" w:hAnsi="Calibri"/>
          <w:lang w:val="en-GB"/>
        </w:rPr>
        <w:fldChar w:fldCharType="separate"/>
      </w:r>
      <w:r w:rsidR="009852DE">
        <w:rPr>
          <w:rFonts w:ascii="Calibri" w:hAnsi="Calibri"/>
          <w:noProof/>
          <w:lang w:val="en-GB"/>
        </w:rPr>
        <w:t>(38,42)</w:t>
      </w:r>
      <w:r w:rsidR="00777D1E" w:rsidRPr="0086281A">
        <w:rPr>
          <w:rFonts w:ascii="Calibri" w:hAnsi="Calibri"/>
          <w:lang w:val="en-GB"/>
        </w:rPr>
        <w:fldChar w:fldCharType="end"/>
      </w:r>
      <w:r w:rsidRPr="0086281A">
        <w:rPr>
          <w:rFonts w:ascii="Calibri" w:hAnsi="Calibri"/>
          <w:lang w:val="en-GB"/>
        </w:rPr>
        <w:t>.</w:t>
      </w:r>
      <w:r w:rsidR="00684AEB" w:rsidRPr="0086281A">
        <w:rPr>
          <w:rFonts w:ascii="Calibri" w:hAnsi="Calibri"/>
          <w:lang w:val="en-GB"/>
        </w:rPr>
        <w:t xml:space="preserve"> </w:t>
      </w:r>
      <w:r w:rsidR="00A74D03" w:rsidRPr="0086281A">
        <w:rPr>
          <w:rFonts w:ascii="Calibri" w:hAnsi="Calibri" w:cs="Times"/>
          <w:lang w:val="en-GB"/>
        </w:rPr>
        <w:t xml:space="preserve">Lemoine </w:t>
      </w:r>
      <w:r w:rsidR="00A74D03" w:rsidRPr="0086281A">
        <w:rPr>
          <w:rFonts w:ascii="Calibri" w:hAnsi="Calibri" w:cs="Times"/>
          <w:i/>
          <w:lang w:val="en-GB"/>
        </w:rPr>
        <w:t>et al.</w:t>
      </w:r>
      <w:r w:rsidR="00E47368" w:rsidRPr="0086281A">
        <w:rPr>
          <w:rFonts w:ascii="Calibri" w:hAnsi="Calibri" w:cs="Times"/>
          <w:i/>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l039br1ce","properties":{"formattedCitation":"(11)","plainCitation":"(11)"},"citationItems":[{"id":993,"uris":["http://zotero.org/users/2405774/items/NNQNITST"],"uri":["http://zotero.org/users/2405774/items/NNQNITST"],"itemData":{"id":993,"type":"article-journal","title":"Accuracy of GFR estimation in obese patients","container-title":"Clinical journal of the American Society of Nephrology","page":"720-727","volume":"9","issue":"4","source":"NCBI PubMed","abstract":"BACKGROUND AND OBJECTIVES: Adequate estimation of renal function in obese patients is essential for the classification of patients in CKD category as well as the dose adjustment of drugs. However, the body size descriptor for GFR indexation is still debatable, and formulas are not validated in patients with extreme variations of weight.\nDESIGN, SETTING, PARTICIPANTS, &amp; MEASUREMENTS: This study included 209 stages 1-5 CKD obese patients referred to the Department of Renal Function Study at the University Hospital in Lyon between 2010 and 2013 because of suspected renal dysfunction. GFR was estimated with the Chronic Kidney Disease and Epidemiology equation (CKD-EPI) and measured with a gold standard method (inulin or iohexol) not indexed (mGFR) or indexed to body surface area determined by the Dubois and Dubois formula with either real (mGFRr) or ideal (mGFRi) body weight. Mean bias (eGFR-mGFR), precision, and accuracy of mGFR were compared with the results obtained for nonobese participants (body mass index between 18.5 and 24.9) who had a GFR measurement during the same period of time.\nRESULTS: Mean mGFRr (51.6 ± 24.2 ml/min per 1.73 m(2)) was significantly lower than mGFR, mGFRi, and eGFRCKD-EPI. eGFRCKD-EPI had less bias with mGFR (0.29; -1.7 to 2.3) and mGFRi (-1.62; -3.1 to 0.45) compared with mGFRr (8.7; 7 to 10). This result was confirmed with better accuracy for the whole cohort (78% for mGFR, 84% for mGFRi, and 72% for mGFRr) and participants with CKD stages 3-5. Moreover, the Bland Altman plot showed better agreement between mGFR and eGFRCKD-EPI. The bias between eGFRCKD-EPI and mGFRr was greater in obese than nonobese participants (8.7 versus 0.58, P&lt;0.001).\nCONCLUSIONS: This study shows that, in obese CKD patients, the performance of eGFRCKD-EPI is good for GFR ≤ 60 ml/min per 1.73 m(2). Indexation of mGFR with body surface area using ideal body weight gives less bias than mGFR scaled with body surface area using real body weight.","DOI":"10.2215/CJN.03610413","ISSN":"1555-905X","note":"PMID: 24482068 \nPMCID: PMC3974350","journalAbbreviation":"Clin J Am Soc Nephrol","language":"eng","author":[{"family":"Lemoine","given":"Sandrine"},{"family":"Guebre-Egziabher","given":"Fitsum"},{"family":"Sens","given":"Florence"},{"family":"Nguyen-Tu","given":"Marie-Sophie"},{"family":"Juillard","given":"Laurent"},{"family":"Dubourg","given":"Laurence"},{"family":"Hadj-Aissa","given":"Aoumeur"}],"issued":{"date-parts":[["2014",4]]},"PMID":"24482068","PMCID":"PMC3974350"}}],"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(11)</w:t>
      </w:r>
      <w:r w:rsidR="00777D1E" w:rsidRPr="0086281A">
        <w:rPr>
          <w:rFonts w:ascii="Calibri" w:hAnsi="Calibri" w:cs="Times"/>
          <w:lang w:val="en-GB"/>
        </w:rPr>
        <w:fldChar w:fldCharType="end"/>
      </w:r>
      <w:r w:rsidR="00A74D03" w:rsidRPr="0086281A">
        <w:rPr>
          <w:rFonts w:ascii="Calibri" w:hAnsi="Calibri" w:cs="Times"/>
          <w:lang w:val="en-GB"/>
        </w:rPr>
        <w:t xml:space="preserve"> have studied </w:t>
      </w:r>
      <w:r w:rsidR="00C06132" w:rsidRPr="0086281A">
        <w:rPr>
          <w:rFonts w:ascii="Calibri" w:hAnsi="Calibri" w:cs="Times"/>
          <w:lang w:val="en-GB"/>
        </w:rPr>
        <w:t>209 obese patients</w:t>
      </w:r>
      <w:r w:rsidR="00BA6A8B" w:rsidRPr="0086281A">
        <w:rPr>
          <w:rFonts w:ascii="Calibri" w:hAnsi="Calibri" w:cs="Times"/>
          <w:lang w:val="en-GB"/>
        </w:rPr>
        <w:t>,</w:t>
      </w:r>
      <w:r w:rsidR="006C60B6" w:rsidRPr="0086281A">
        <w:rPr>
          <w:rFonts w:ascii="Calibri" w:hAnsi="Calibri" w:cs="Times"/>
          <w:lang w:val="en-GB"/>
        </w:rPr>
        <w:t xml:space="preserve"> compared to a non</w:t>
      </w:r>
      <w:r w:rsidR="00E47368" w:rsidRPr="0086281A">
        <w:rPr>
          <w:rFonts w:ascii="Calibri" w:hAnsi="Calibri" w:cs="Times"/>
          <w:lang w:val="en-GB"/>
        </w:rPr>
        <w:t>-</w:t>
      </w:r>
      <w:r w:rsidR="006C60B6" w:rsidRPr="0086281A">
        <w:rPr>
          <w:rFonts w:ascii="Calibri" w:hAnsi="Calibri" w:cs="Times"/>
          <w:lang w:val="en-GB"/>
        </w:rPr>
        <w:t>obese group of participant</w:t>
      </w:r>
      <w:r w:rsidR="00BA6A8B" w:rsidRPr="0086281A">
        <w:rPr>
          <w:rFonts w:ascii="Calibri" w:hAnsi="Calibri" w:cs="Times"/>
          <w:lang w:val="en-GB"/>
        </w:rPr>
        <w:t>s</w:t>
      </w:r>
      <w:r w:rsidR="006C60B6" w:rsidRPr="0086281A">
        <w:rPr>
          <w:rFonts w:ascii="Calibri" w:hAnsi="Calibri" w:cs="Times"/>
          <w:lang w:val="en-GB"/>
        </w:rPr>
        <w:t xml:space="preserve"> </w:t>
      </w:r>
      <w:r w:rsidR="00BA6A8B" w:rsidRPr="0086281A">
        <w:rPr>
          <w:rFonts w:ascii="Calibri" w:hAnsi="Calibri" w:cs="Times"/>
          <w:lang w:val="en-GB"/>
        </w:rPr>
        <w:t>that</w:t>
      </w:r>
      <w:r w:rsidR="006C60B6" w:rsidRPr="0086281A">
        <w:rPr>
          <w:rFonts w:ascii="Calibri" w:hAnsi="Calibri" w:cs="Times"/>
          <w:lang w:val="en-GB"/>
        </w:rPr>
        <w:t xml:space="preserve"> had a</w:t>
      </w:r>
      <w:r w:rsidRPr="0086281A">
        <w:rPr>
          <w:rFonts w:ascii="Calibri" w:hAnsi="Calibri" w:cs="Times"/>
          <w:lang w:val="en-GB"/>
        </w:rPr>
        <w:t>n</w:t>
      </w:r>
      <w:r w:rsidR="006C60B6" w:rsidRPr="0086281A">
        <w:rPr>
          <w:rFonts w:ascii="Calibri" w:hAnsi="Calibri" w:cs="Times"/>
          <w:lang w:val="en-GB"/>
        </w:rPr>
        <w:t xml:space="preserve"> evaluation of kidney function by reference method</w:t>
      </w:r>
      <w:r w:rsidR="00A74D03" w:rsidRPr="0086281A">
        <w:rPr>
          <w:rFonts w:ascii="Calibri" w:hAnsi="Calibri" w:cs="Times"/>
          <w:lang w:val="en-GB"/>
        </w:rPr>
        <w:t xml:space="preserve">. </w:t>
      </w:r>
      <w:r w:rsidR="00431035" w:rsidRPr="0086281A">
        <w:rPr>
          <w:rFonts w:ascii="Calibri" w:hAnsi="Calibri" w:cs="Times"/>
          <w:lang w:val="en-GB"/>
        </w:rPr>
        <w:t xml:space="preserve">They </w:t>
      </w:r>
      <w:r w:rsidR="00DB508F">
        <w:rPr>
          <w:rFonts w:ascii="Calibri" w:hAnsi="Calibri" w:cs="Times"/>
          <w:lang w:val="en-GB"/>
        </w:rPr>
        <w:t>clearly showed that performance of CKD-EPI equation is less in obese versus non-obese subjects. Like us, they show that CKD-EPI (indexed) globally overestimates indexed mGFR. This overestimation decreased when non-indexed mGFR is considered but their results with non-indexed mGFR are not comparable to ours as they do not de-index</w:t>
      </w:r>
      <w:r w:rsidR="00431035" w:rsidRPr="0086281A">
        <w:rPr>
          <w:rFonts w:ascii="Calibri" w:hAnsi="Calibri" w:cs="Times"/>
          <w:lang w:val="en-GB"/>
        </w:rPr>
        <w:t>ed</w:t>
      </w:r>
      <w:r w:rsidR="00DB508F">
        <w:rPr>
          <w:rFonts w:ascii="Calibri" w:hAnsi="Calibri" w:cs="Times"/>
          <w:lang w:val="en-GB"/>
        </w:rPr>
        <w:t xml:space="preserve"> CKD-EPI results</w:t>
      </w:r>
      <w:r w:rsidR="00231198" w:rsidRPr="0086281A">
        <w:rPr>
          <w:rFonts w:ascii="Calibri" w:hAnsi="Calibri" w:cs="Times"/>
          <w:lang w:val="en-GB"/>
        </w:rPr>
        <w:t>.</w:t>
      </w:r>
      <w:r w:rsidR="00240C9F" w:rsidRPr="0086281A">
        <w:rPr>
          <w:rFonts w:ascii="Calibri" w:hAnsi="Calibri" w:cs="Times"/>
          <w:lang w:val="en-GB"/>
        </w:rPr>
        <w:t xml:space="preserve"> </w:t>
      </w:r>
    </w:p>
    <w:p w:rsidR="00E25903" w:rsidRPr="0086281A" w:rsidRDefault="00E25903" w:rsidP="0032099F">
      <w:pPr>
        <w:rPr>
          <w:rFonts w:ascii="Calibri" w:hAnsi="Calibri" w:cs="Times"/>
          <w:lang w:val="en-GB"/>
        </w:rPr>
      </w:pPr>
    </w:p>
    <w:p w:rsidR="0032099F" w:rsidRPr="0086281A" w:rsidRDefault="00063AEE" w:rsidP="00C34175">
      <w:pPr>
        <w:rPr>
          <w:rFonts w:ascii="Calibri" w:hAnsi="Calibri" w:cs="Times New Roman"/>
          <w:lang w:val="en-GB"/>
        </w:rPr>
      </w:pPr>
      <w:r w:rsidRPr="0086281A">
        <w:rPr>
          <w:rFonts w:ascii="Calibri" w:hAnsi="Calibri" w:cs="Times"/>
          <w:lang w:val="en-GB"/>
        </w:rPr>
        <w:t>M</w:t>
      </w:r>
      <w:r w:rsidR="00CA1B8B" w:rsidRPr="0086281A">
        <w:rPr>
          <w:rFonts w:ascii="Calibri" w:hAnsi="Calibri" w:cs="Times"/>
          <w:lang w:val="en-GB"/>
        </w:rPr>
        <w:t>etformin is an effective drug for obese patient</w:t>
      </w:r>
      <w:r w:rsidRPr="0086281A">
        <w:rPr>
          <w:rFonts w:ascii="Calibri" w:hAnsi="Calibri" w:cs="Times"/>
          <w:lang w:val="en-GB"/>
        </w:rPr>
        <w:t>s</w:t>
      </w:r>
      <w:r w:rsidR="00CA1B8B" w:rsidRPr="0086281A">
        <w:rPr>
          <w:rFonts w:ascii="Calibri" w:hAnsi="Calibri" w:cs="Times"/>
          <w:lang w:val="en-GB"/>
        </w:rPr>
        <w:t xml:space="preserve"> with type 2 diabetes </w:t>
      </w:r>
      <w:r w:rsidR="00777D1E" w:rsidRPr="0086281A">
        <w:rPr>
          <w:rFonts w:ascii="Calibri" w:hAnsi="Calibri" w:cs="Times"/>
          <w:lang w:val="en-GB"/>
        </w:rPr>
        <w:fldChar w:fldCharType="begin"/>
      </w:r>
      <w:r w:rsidR="007F0DAD" w:rsidRPr="0086281A">
        <w:rPr>
          <w:rFonts w:ascii="Calibri" w:hAnsi="Calibri" w:cs="Times"/>
          <w:lang w:val="en-GB"/>
        </w:rPr>
        <w:instrText xml:space="preserve"> ADDIN ZOTERO_ITEM CSL_CITATION {"citationID":"10dbosh2js","properties":{"formattedCitation":"(59)","plainCitation":"(59)"},"citationItems":[{"id":1129,"uris":["http://zotero.org/users/2405774/items/I86ZKQC5"],"uri":["http://zotero.org/users/2405774/items/I86ZKQC5"],"itemData":{"id":1129,"type":"article-journal","title":"Cardiovascular effects of current and future anti-obesity drugs","container-title":"Current Vascular Pharmacology","page":"493-504","volume":"12","issue":"3","source":"NCBI PubMed","abstract":"The prevalence of obesity increases and is associated with increases in co-morbidities e.g. type 2 diabetes, hyperlipidemia, hypertension, obstructive sleep apnea, heart disease, stroke, asthma, several forms of cancer, depression, and may result in reduction of expected remaining lifespan. We have reviewed the adverse effects on the cardiovascular system of anti-obesity drugs now retracted from the market as well as the cardiovascular profile of current drugs and potential pathways which are considered for treatment of obesity. Fenfluramine, and sibutramine were withdrawn due to increased cardiovascular risk, while an inverse agonist at cannabinoid type 1 (CB1) receptors, rimonobant was withdrawn due to serious psychiatric problems. At present there are only few treatments available including orlistat and, phentermine alone or in combination with topiramate and lorcaserin, although cardiovascular side effects need to be clarified regarding phentermine and lorcaserin. Drugs approved for type 2 diabetes including glucagon like peptide (GLP-1) analogues and metformin also cause moderate weight losses and have a favourable cardiovascular profile, while the anti-obesity potential of nebivolol remains unexplored. Pathways with anti-obesity potential include sirtuin activation, blockade of transient receptor potential (TRPV1) channels, acetyl-CoA carboxylase 1 and 2 inhibitors, uncoupling protein activators, bile acids, crotonins, CB1 antagonists, but the cardiovascular profile remains to be investigated. For type 2 diabetes, new drug classes with possible advantageous cardiovascular profiles, e.g. GLP-1 analogues and sodium-glucose co-transport type 2 inhibitors, are associated with weight loss and are currently being evaluated as anti-obesity drugs.","ISSN":"1875-6212","note":"PMID: 24846238","journalAbbreviation":"Curr Vasc Pharmacol","language":"eng","author":[{"family":"Comerma-Steffensen","given":"Simon"},{"family":"Grann","given":"Martin"},{"family":"Andersen","given":"Charlotte U."},{"family":"Rungby","given":"Jorgen"},{"family":"Simonsen","given":"Ulf"}],"issued":{"date-parts":[["2014",5]]},"PMID":"24846238"}}],"schema":"https://github.com/citation-style-language/schema/raw/master/csl-citation.json"} </w:instrText>
      </w:r>
      <w:r w:rsidR="00777D1E" w:rsidRPr="0086281A">
        <w:rPr>
          <w:rFonts w:ascii="Calibri" w:hAnsi="Calibri" w:cs="Times"/>
          <w:lang w:val="en-GB"/>
        </w:rPr>
        <w:fldChar w:fldCharType="separate"/>
      </w:r>
      <w:r w:rsidR="007F0DAD" w:rsidRPr="0086281A">
        <w:rPr>
          <w:rFonts w:ascii="Calibri" w:hAnsi="Calibri" w:cs="Times"/>
          <w:noProof/>
          <w:lang w:val="en-GB"/>
        </w:rPr>
        <w:t>(59)</w:t>
      </w:r>
      <w:r w:rsidR="00777D1E" w:rsidRPr="0086281A">
        <w:rPr>
          <w:rFonts w:ascii="Calibri" w:hAnsi="Calibri" w:cs="Times"/>
          <w:lang w:val="en-GB"/>
        </w:rPr>
        <w:fldChar w:fldCharType="end"/>
      </w:r>
      <w:r w:rsidR="00CA1B8B" w:rsidRPr="0086281A">
        <w:rPr>
          <w:rFonts w:ascii="Calibri" w:hAnsi="Calibri" w:cs="Times"/>
          <w:lang w:val="en-GB"/>
        </w:rPr>
        <w:t xml:space="preserve"> and as recommended by KDIGO</w:t>
      </w:r>
      <w:r w:rsidR="00666FE8" w:rsidRPr="0086281A">
        <w:rPr>
          <w:rFonts w:ascii="Calibri" w:hAnsi="Calibri" w:cs="Times"/>
          <w:lang w:val="en-GB"/>
        </w:rPr>
        <w:t xml:space="preserve"> and other </w:t>
      </w:r>
      <w:r w:rsidR="00F64877" w:rsidRPr="0086281A">
        <w:rPr>
          <w:rFonts w:ascii="Calibri" w:hAnsi="Calibri" w:cs="Times"/>
          <w:lang w:val="en-GB"/>
        </w:rPr>
        <w:t>diabetes guidelines</w:t>
      </w:r>
      <w:r w:rsidR="00212A6C" w:rsidRPr="0086281A">
        <w:rPr>
          <w:rFonts w:ascii="Calibri" w:hAnsi="Calibri" w:cs="Times"/>
          <w:lang w:val="en-GB"/>
        </w:rPr>
        <w:t xml:space="preserve"> </w:t>
      </w:r>
      <w:r w:rsidR="00777D1E" w:rsidRPr="0086281A">
        <w:rPr>
          <w:rFonts w:ascii="Calibri" w:hAnsi="Calibri" w:cs="Times"/>
          <w:lang w:val="en-GB"/>
        </w:rPr>
        <w:fldChar w:fldCharType="begin"/>
      </w:r>
      <w:r w:rsidR="007F0DAD" w:rsidRPr="0086281A">
        <w:rPr>
          <w:rFonts w:ascii="Calibri" w:hAnsi="Calibri" w:cs="Times"/>
          <w:lang w:val="en-GB"/>
        </w:rPr>
        <w:instrText xml:space="preserve"> ADDIN ZOTERO_ITEM CSL_CITATION {"citationID":"14pvsftnj9","properties":{"formattedCitation":"(60,61)","plainCitation":"(60,61)"},"citationItems":[{"id":1526,"uris":["http://zotero.org/users/2405774/items/J53VKZ36"],"uri":["http://zotero.org/users/2405774/items/J53VKZ36"],"itemData":{"id":1526,"type":"article-journal","title":"Pharmacokinetic considerations for the treatment of diabetes in patients with chronic kidney disease","container-title":"Expert Opinion on Drug Metabolism &amp; Toxicology","page":"529-550","volume":"9","issue":"5","source":"PubMed","abstract":"INTRODUCTION: People with chronic kidney disease (CKD) of stages 3 - 5 (creatinine clearance &lt; 60 ml/min) represent ≈ 25% of patients with type 2 diabetes mellitus (T2DM), but the problem is underrecognized or neglected in clinical practice. However, most oral antidiabetic agents have limitations in case of renal impairment (RI), either because they require a dose adjustment or because they are contraindicated for safety reasons.\nAREAS COVERED: The author performed an extensive literature search to analyze the influence of RI on the pharmacokinetics (PK) of glucose-lowering agents and the potential consequences for clinical practice.\nEXPERT OPINION: As a result of PK interferences and for safety reasons, the daily dose should be reduced according to glomerular filtration rate (GFR) or even the drug is contraindicated in presence of severe CKD. This is the case for metformin (risk of lactic acidosis) and for many sulfonylureas (risk of hypoglycemia). At present, however, the exact GFR cutoff for metformin use is controversial. New antidiabetic agents are better tolerated in case of CKD, although clinical experience remains quite limited for most of them. The dose of DPP-4 inhibitors should be reduced (except for linagliptin), whereas both the efficacy and safety of SGLT2 inhibitors are questionable in presence of CKD.","DOI":"10.1517/17425255.2013.777428","ISSN":"1744-7607","note":"PMID: 23461781","journalAbbreviation":"Expert Opin Drug Metab Toxicol","language":"eng","author":[{"family":"Scheen","given":"André J."}],"issued":{"date-parts":[["2013",5]]},"PMID":"23461781"},"label":"page"},{"id":1361,"uris":["http://zotero.org/users/2405774/items/8W7V9S8I"],"uri":["http://zotero.org/users/2405774/items/8W7V9S8I"],"itemData":{"id":1361,"type":"article-journal","title":"Management of hyperglycaemia in type 2 diabetes, 2015: a patient-centred approach. Update to a position statement of the American Diabetes Association and the European Association for the Study of Diabetes","container-title":"Diabetologia","page":"429-442","volume":"58","issue":"3","source":"PubMed","DOI":"10.1007/s00125-014-3460-0","ISSN":"1432-0428","note":"PMID: 25583541","shortTitle":"Management of hyperglycaemia in type 2 diabetes, 2015","journalAbbreviation":"Diabetologia","language":"eng","author":[{"family":"Inzucchi","given":"Silvio E."},{"family":"Bergenstal","given":"Richard M."},{"family":"Buse","given":"John B."},{"family":"Diamant","given":"Michaela"},{"family":"Ferrannini","given":"Ele"},{"family":"Nauck","given":"Michael"},{"family":"Peters","given":"Anne L."},{"family":"Tsapas","given":"Apostolos"},{"family":"Wender","given":"Richard"},{"family":"Matthews","given":"David R."}],"issued":{"date-parts":[["2015",3]]},"PMID":"25583541"},"label":"page"}],"schema":"https://github.com/citation-style-language/schema/raw/master/csl-citation.json"} </w:instrText>
      </w:r>
      <w:r w:rsidR="00777D1E" w:rsidRPr="0086281A">
        <w:rPr>
          <w:rFonts w:ascii="Calibri" w:hAnsi="Calibri" w:cs="Times"/>
          <w:lang w:val="en-GB"/>
        </w:rPr>
        <w:fldChar w:fldCharType="separate"/>
      </w:r>
      <w:r w:rsidR="007F0DAD" w:rsidRPr="0086281A">
        <w:rPr>
          <w:rFonts w:ascii="Calibri" w:hAnsi="Calibri" w:cs="Times"/>
          <w:noProof/>
          <w:lang w:val="en-GB"/>
        </w:rPr>
        <w:t>(60,61)</w:t>
      </w:r>
      <w:r w:rsidR="00777D1E" w:rsidRPr="0086281A">
        <w:rPr>
          <w:rFonts w:ascii="Calibri" w:hAnsi="Calibri" w:cs="Times"/>
          <w:lang w:val="en-GB"/>
        </w:rPr>
        <w:fldChar w:fldCharType="end"/>
      </w:r>
      <w:r w:rsidR="00CA1B8B" w:rsidRPr="0086281A">
        <w:rPr>
          <w:rFonts w:ascii="Calibri" w:hAnsi="Calibri" w:cs="Times"/>
          <w:lang w:val="en-GB"/>
        </w:rPr>
        <w:t>, need</w:t>
      </w:r>
      <w:r w:rsidRPr="0086281A">
        <w:rPr>
          <w:rFonts w:ascii="Calibri" w:hAnsi="Calibri" w:cs="Times"/>
          <w:lang w:val="en-GB"/>
        </w:rPr>
        <w:t>s</w:t>
      </w:r>
      <w:r w:rsidR="00CA1B8B" w:rsidRPr="0086281A">
        <w:rPr>
          <w:rFonts w:ascii="Calibri" w:hAnsi="Calibri" w:cs="Times"/>
          <w:lang w:val="en-GB"/>
        </w:rPr>
        <w:t xml:space="preserve"> a</w:t>
      </w:r>
      <w:r w:rsidRPr="0086281A">
        <w:rPr>
          <w:rFonts w:ascii="Calibri" w:hAnsi="Calibri" w:cs="Times"/>
          <w:lang w:val="en-GB"/>
        </w:rPr>
        <w:t>n</w:t>
      </w:r>
      <w:r w:rsidR="00CA1B8B" w:rsidRPr="0086281A">
        <w:rPr>
          <w:rFonts w:ascii="Calibri" w:hAnsi="Calibri" w:cs="Times"/>
          <w:lang w:val="en-GB"/>
        </w:rPr>
        <w:t xml:space="preserve"> adaptation of </w:t>
      </w:r>
      <w:r w:rsidR="00A21C1E" w:rsidRPr="0086281A">
        <w:rPr>
          <w:rFonts w:ascii="Calibri" w:hAnsi="Calibri" w:cs="Times"/>
          <w:lang w:val="en-GB"/>
        </w:rPr>
        <w:t>its</w:t>
      </w:r>
      <w:r w:rsidR="00CA1B8B" w:rsidRPr="0086281A">
        <w:rPr>
          <w:rFonts w:ascii="Calibri" w:hAnsi="Calibri" w:cs="Times"/>
          <w:lang w:val="en-GB"/>
        </w:rPr>
        <w:t xml:space="preserve"> dosage in case of kidney failure</w:t>
      </w:r>
      <w:r w:rsidR="00FB7454" w:rsidRPr="0086281A">
        <w:rPr>
          <w:rFonts w:ascii="Calibri" w:hAnsi="Calibri" w:cs="Times"/>
          <w:lang w:val="en-GB"/>
        </w:rPr>
        <w:t xml:space="preserve"> </w:t>
      </w:r>
      <w:r w:rsidR="00777D1E" w:rsidRPr="0086281A">
        <w:rPr>
          <w:rFonts w:ascii="Calibri" w:hAnsi="Calibri" w:cs="Times"/>
          <w:lang w:val="en-GB"/>
        </w:rPr>
        <w:fldChar w:fldCharType="begin"/>
      </w:r>
      <w:r w:rsidR="009852DE">
        <w:rPr>
          <w:rFonts w:ascii="Calibri" w:hAnsi="Calibri" w:cs="Times"/>
          <w:lang w:val="en-GB"/>
        </w:rPr>
        <w:instrText xml:space="preserve"> ADDIN ZOTERO_ITEM CSL_CITATION {"citationID":"1h5k5g8emj","properties":{"formattedCitation":"(12)","plainCitation":"(12)"},"citationItems":[{"id":1537,"uris":["http://zotero.org/users/2405774/items/Q6HAFXF7"],"uri":["http://zotero.org/users/2405774/items/Q6HAFXF7"],"itemData":{"id":1537,"type":"article","title":"KDIGO, CKD Evaluation &amp; Management","URL":"http://kdigo.org/home/guidelines/ckd-evaluation-management/"}}],"schema":"https://github.com/citation-style-language/schema/raw/master/csl-citation.json"} </w:instrText>
      </w:r>
      <w:r w:rsidR="00777D1E" w:rsidRPr="0086281A">
        <w:rPr>
          <w:rFonts w:ascii="Calibri" w:hAnsi="Calibri" w:cs="Times"/>
          <w:lang w:val="en-GB"/>
        </w:rPr>
        <w:fldChar w:fldCharType="separate"/>
      </w:r>
      <w:r w:rsidR="009852DE">
        <w:rPr>
          <w:rFonts w:ascii="Calibri" w:hAnsi="Calibri" w:cs="Times"/>
          <w:noProof/>
          <w:lang w:val="en-GB"/>
        </w:rPr>
        <w:t>(12)</w:t>
      </w:r>
      <w:r w:rsidR="00777D1E" w:rsidRPr="0086281A">
        <w:rPr>
          <w:rFonts w:ascii="Calibri" w:hAnsi="Calibri" w:cs="Times"/>
          <w:lang w:val="en-GB"/>
        </w:rPr>
        <w:fldChar w:fldCharType="end"/>
      </w:r>
      <w:r w:rsidR="00CA1B8B" w:rsidRPr="0086281A">
        <w:rPr>
          <w:rFonts w:ascii="Calibri" w:hAnsi="Calibri" w:cs="Times"/>
          <w:lang w:val="en-GB"/>
        </w:rPr>
        <w:t>. A good estimation of kidney function especially in CKD stage 3b and 4 is</w:t>
      </w:r>
      <w:r w:rsidR="006554F9" w:rsidRPr="0086281A">
        <w:rPr>
          <w:rFonts w:ascii="Calibri" w:hAnsi="Calibri" w:cs="Times"/>
          <w:lang w:val="en-GB"/>
        </w:rPr>
        <w:t xml:space="preserve"> thus</w:t>
      </w:r>
      <w:r w:rsidR="00A464A0" w:rsidRPr="0086281A">
        <w:rPr>
          <w:rFonts w:ascii="Calibri" w:hAnsi="Calibri" w:cs="Times"/>
          <w:lang w:val="en-GB"/>
        </w:rPr>
        <w:t xml:space="preserve"> crucial. </w:t>
      </w:r>
      <w:r w:rsidR="00CA1B8B" w:rsidRPr="0086281A">
        <w:rPr>
          <w:rFonts w:ascii="Calibri" w:hAnsi="Calibri"/>
          <w:lang w:val="en-GB" w:eastAsia="ja-JP"/>
        </w:rPr>
        <w:t>When we consider the adjustment of drug dosage</w:t>
      </w:r>
      <w:r w:rsidR="009E7CC6" w:rsidRPr="0086281A">
        <w:rPr>
          <w:rFonts w:ascii="Calibri" w:hAnsi="Calibri"/>
          <w:lang w:val="en-GB" w:eastAsia="ja-JP"/>
        </w:rPr>
        <w:t xml:space="preserve"> </w:t>
      </w:r>
      <w:r w:rsidR="00170C93" w:rsidRPr="0086281A">
        <w:rPr>
          <w:rFonts w:ascii="Calibri" w:hAnsi="Calibri"/>
          <w:lang w:val="en-GB" w:eastAsia="ja-JP"/>
        </w:rPr>
        <w:t xml:space="preserve">(threshold </w:t>
      </w:r>
      <w:r w:rsidR="00362FA4" w:rsidRPr="0086281A">
        <w:rPr>
          <w:rFonts w:ascii="Calibri" w:hAnsi="Calibri"/>
          <w:lang w:val="en-GB" w:eastAsia="ja-JP"/>
        </w:rPr>
        <w:t>below</w:t>
      </w:r>
      <w:r w:rsidR="00170C93" w:rsidRPr="0086281A">
        <w:rPr>
          <w:rFonts w:ascii="Calibri" w:hAnsi="Calibri"/>
          <w:lang w:val="en-GB" w:eastAsia="ja-JP"/>
        </w:rPr>
        <w:t xml:space="preserve"> 30</w:t>
      </w:r>
      <w:r w:rsidR="00A21C1E" w:rsidRPr="0086281A">
        <w:rPr>
          <w:rFonts w:ascii="Calibri" w:hAnsi="Calibri"/>
          <w:lang w:val="en-GB" w:eastAsia="ja-JP"/>
        </w:rPr>
        <w:t xml:space="preserve"> </w:t>
      </w:r>
      <w:r w:rsidR="00170C93" w:rsidRPr="0086281A">
        <w:rPr>
          <w:rFonts w:ascii="Calibri" w:hAnsi="Calibri"/>
          <w:lang w:val="en-GB" w:eastAsia="ja-JP"/>
        </w:rPr>
        <w:t xml:space="preserve">mL/min), </w:t>
      </w:r>
      <w:r w:rsidR="006554F9" w:rsidRPr="0086281A">
        <w:rPr>
          <w:rFonts w:ascii="Calibri" w:hAnsi="Calibri"/>
          <w:lang w:val="en-GB" w:eastAsia="ja-JP"/>
        </w:rPr>
        <w:t xml:space="preserve">our simulation shows that </w:t>
      </w:r>
      <w:r w:rsidR="00170C93" w:rsidRPr="0086281A">
        <w:rPr>
          <w:rFonts w:ascii="Calibri" w:hAnsi="Calibri"/>
          <w:lang w:val="en-GB" w:eastAsia="ja-JP"/>
        </w:rPr>
        <w:t>overestimation</w:t>
      </w:r>
      <w:r w:rsidR="006554F9" w:rsidRPr="0086281A">
        <w:rPr>
          <w:rFonts w:ascii="Calibri" w:hAnsi="Calibri"/>
          <w:lang w:val="en-GB" w:eastAsia="ja-JP"/>
        </w:rPr>
        <w:t xml:space="preserve"> by the CG</w:t>
      </w:r>
      <w:r w:rsidR="00794E4C" w:rsidRPr="008E6410">
        <w:rPr>
          <w:rFonts w:ascii="Calibri" w:hAnsi="Calibri" w:cs="Times"/>
          <w:color w:val="000000"/>
          <w:vertAlign w:val="subscript"/>
          <w:lang w:val="en-GB"/>
        </w:rPr>
        <w:t>ABW</w:t>
      </w:r>
      <w:r w:rsidR="006554F9" w:rsidRPr="0086281A">
        <w:rPr>
          <w:rFonts w:ascii="Calibri" w:hAnsi="Calibri"/>
          <w:lang w:val="en-GB" w:eastAsia="ja-JP"/>
        </w:rPr>
        <w:t xml:space="preserve"> equation would</w:t>
      </w:r>
      <w:r w:rsidRPr="0086281A">
        <w:rPr>
          <w:rFonts w:ascii="Calibri" w:hAnsi="Calibri"/>
          <w:lang w:val="en-GB" w:eastAsia="ja-JP"/>
        </w:rPr>
        <w:t xml:space="preserve"> </w:t>
      </w:r>
      <w:r w:rsidR="00170C93" w:rsidRPr="0086281A">
        <w:rPr>
          <w:rFonts w:ascii="Calibri" w:hAnsi="Calibri"/>
          <w:lang w:val="en-GB" w:eastAsia="ja-JP"/>
        </w:rPr>
        <w:t>lead to an over</w:t>
      </w:r>
      <w:r w:rsidR="006554F9" w:rsidRPr="0086281A">
        <w:rPr>
          <w:rFonts w:ascii="Calibri" w:hAnsi="Calibri"/>
          <w:lang w:val="en-GB" w:eastAsia="ja-JP"/>
        </w:rPr>
        <w:t>-</w:t>
      </w:r>
      <w:r w:rsidR="00170C93" w:rsidRPr="0086281A">
        <w:rPr>
          <w:rFonts w:ascii="Calibri" w:hAnsi="Calibri"/>
          <w:lang w:val="en-GB" w:eastAsia="ja-JP"/>
        </w:rPr>
        <w:t>prescription of the contra</w:t>
      </w:r>
      <w:r w:rsidR="00362FA4" w:rsidRPr="0086281A">
        <w:rPr>
          <w:rFonts w:ascii="Calibri" w:hAnsi="Calibri"/>
          <w:lang w:val="en-GB" w:eastAsia="ja-JP"/>
        </w:rPr>
        <w:t>-</w:t>
      </w:r>
      <w:r w:rsidR="00170C93" w:rsidRPr="0086281A">
        <w:rPr>
          <w:rFonts w:ascii="Calibri" w:hAnsi="Calibri"/>
          <w:lang w:val="en-GB" w:eastAsia="ja-JP"/>
        </w:rPr>
        <w:t xml:space="preserve">indicated drug in </w:t>
      </w:r>
      <w:r w:rsidR="00B46D0B" w:rsidRPr="0086281A">
        <w:rPr>
          <w:rFonts w:ascii="Calibri" w:hAnsi="Calibri"/>
          <w:lang w:val="en-GB" w:eastAsia="ja-JP"/>
        </w:rPr>
        <w:t>42.9%</w:t>
      </w:r>
      <w:r w:rsidRPr="0086281A">
        <w:rPr>
          <w:rFonts w:ascii="Calibri" w:hAnsi="Calibri"/>
          <w:lang w:val="en-GB" w:eastAsia="ja-JP"/>
        </w:rPr>
        <w:t xml:space="preserve"> of patients</w:t>
      </w:r>
      <w:r w:rsidR="00C864E5" w:rsidRPr="0086281A">
        <w:rPr>
          <w:rFonts w:ascii="Calibri" w:hAnsi="Calibri"/>
          <w:lang w:val="en-GB" w:eastAsia="ja-JP"/>
        </w:rPr>
        <w:t xml:space="preserve">. </w:t>
      </w:r>
      <w:r w:rsidR="00170C93" w:rsidRPr="0086281A">
        <w:rPr>
          <w:rFonts w:ascii="Calibri" w:hAnsi="Calibri"/>
          <w:lang w:val="en-GB" w:eastAsia="ja-JP"/>
        </w:rPr>
        <w:t xml:space="preserve">Using </w:t>
      </w:r>
      <w:r w:rsidR="00CA1B8B" w:rsidRPr="0086281A">
        <w:rPr>
          <w:rFonts w:ascii="Calibri" w:hAnsi="Calibri"/>
          <w:lang w:val="en-GB" w:eastAsia="ja-JP"/>
        </w:rPr>
        <w:t>CG</w:t>
      </w:r>
      <w:r w:rsidR="00CA1B8B" w:rsidRPr="0086281A">
        <w:rPr>
          <w:rFonts w:ascii="Calibri" w:hAnsi="Calibri"/>
          <w:vertAlign w:val="subscript"/>
          <w:lang w:val="en-GB" w:eastAsia="ja-JP"/>
        </w:rPr>
        <w:t>AIBW</w:t>
      </w:r>
      <w:r w:rsidR="00CA1B8B" w:rsidRPr="0086281A">
        <w:rPr>
          <w:rFonts w:ascii="Calibri" w:hAnsi="Calibri"/>
          <w:lang w:val="en-GB" w:eastAsia="ja-JP"/>
        </w:rPr>
        <w:t>, CKD-EPI</w:t>
      </w:r>
      <w:r w:rsidR="00CA1B8B" w:rsidRPr="0086281A">
        <w:rPr>
          <w:rFonts w:ascii="Calibri" w:hAnsi="Calibri"/>
          <w:vertAlign w:val="subscript"/>
          <w:lang w:val="en-GB" w:eastAsia="ja-JP"/>
        </w:rPr>
        <w:t>deindexed</w:t>
      </w:r>
      <w:r w:rsidR="00CA1B8B" w:rsidRPr="0086281A">
        <w:rPr>
          <w:rFonts w:ascii="Calibri" w:hAnsi="Calibri"/>
          <w:lang w:val="en-GB" w:eastAsia="ja-JP"/>
        </w:rPr>
        <w:t xml:space="preserve"> and MDRD</w:t>
      </w:r>
      <w:r w:rsidR="00C864E5" w:rsidRPr="0086281A">
        <w:rPr>
          <w:rFonts w:ascii="Calibri" w:hAnsi="Calibri"/>
          <w:vertAlign w:val="subscript"/>
          <w:lang w:val="en-GB" w:eastAsia="ja-JP"/>
        </w:rPr>
        <w:t xml:space="preserve">deindexed </w:t>
      </w:r>
      <w:r w:rsidR="00C864E5" w:rsidRPr="0086281A">
        <w:rPr>
          <w:rFonts w:ascii="Calibri" w:hAnsi="Calibri"/>
          <w:lang w:val="en-GB" w:eastAsia="ja-JP"/>
        </w:rPr>
        <w:t>over</w:t>
      </w:r>
      <w:r w:rsidR="00A464A0" w:rsidRPr="0086281A">
        <w:rPr>
          <w:rFonts w:ascii="Calibri" w:hAnsi="Calibri"/>
          <w:lang w:val="en-GB" w:eastAsia="ja-JP"/>
        </w:rPr>
        <w:t>-</w:t>
      </w:r>
      <w:r w:rsidR="004E1EC8" w:rsidRPr="0086281A">
        <w:rPr>
          <w:rFonts w:ascii="Calibri" w:hAnsi="Calibri"/>
          <w:lang w:val="en-GB" w:eastAsia="ja-JP"/>
        </w:rPr>
        <w:t>prescription</w:t>
      </w:r>
      <w:r w:rsidR="006554F9" w:rsidRPr="0086281A">
        <w:rPr>
          <w:rFonts w:ascii="Calibri" w:hAnsi="Calibri"/>
          <w:lang w:val="en-GB" w:eastAsia="ja-JP"/>
        </w:rPr>
        <w:t xml:space="preserve"> would occur only</w:t>
      </w:r>
      <w:r w:rsidR="004E1EC8" w:rsidRPr="0086281A">
        <w:rPr>
          <w:rFonts w:ascii="Calibri" w:hAnsi="Calibri"/>
          <w:lang w:val="en-GB" w:eastAsia="ja-JP"/>
        </w:rPr>
        <w:t xml:space="preserve"> in </w:t>
      </w:r>
      <w:r w:rsidR="00C864E5" w:rsidRPr="0086281A">
        <w:rPr>
          <w:rFonts w:ascii="Calibri" w:hAnsi="Calibri"/>
          <w:lang w:val="en-GB"/>
        </w:rPr>
        <w:t>18.4%</w:t>
      </w:r>
      <w:r w:rsidR="00CA1B8B" w:rsidRPr="0086281A">
        <w:rPr>
          <w:rFonts w:ascii="Calibri" w:hAnsi="Calibri"/>
          <w:lang w:val="en-GB" w:eastAsia="ja-JP"/>
        </w:rPr>
        <w:t xml:space="preserve">, </w:t>
      </w:r>
      <w:r w:rsidR="00C864E5" w:rsidRPr="0086281A">
        <w:rPr>
          <w:rFonts w:ascii="Calibri" w:hAnsi="Calibri"/>
          <w:lang w:val="en-GB"/>
        </w:rPr>
        <w:t xml:space="preserve">12.2% </w:t>
      </w:r>
      <w:r w:rsidR="00CA1B8B" w:rsidRPr="0086281A">
        <w:rPr>
          <w:rFonts w:ascii="Calibri" w:hAnsi="Calibri"/>
          <w:lang w:val="en-GB" w:eastAsia="ja-JP"/>
        </w:rPr>
        <w:t xml:space="preserve">and </w:t>
      </w:r>
      <w:r w:rsidR="00C864E5" w:rsidRPr="0086281A">
        <w:rPr>
          <w:rFonts w:ascii="Calibri" w:hAnsi="Calibri"/>
          <w:lang w:val="en-GB"/>
        </w:rPr>
        <w:t>14.3%</w:t>
      </w:r>
      <w:r w:rsidR="00CA1B8B" w:rsidRPr="0086281A">
        <w:rPr>
          <w:rFonts w:ascii="Calibri" w:hAnsi="Calibri"/>
          <w:lang w:val="en-GB" w:eastAsia="ja-JP"/>
        </w:rPr>
        <w:t xml:space="preserve"> of patients</w:t>
      </w:r>
      <w:r w:rsidR="00A464A0" w:rsidRPr="0086281A">
        <w:rPr>
          <w:rFonts w:ascii="Calibri" w:hAnsi="Calibri"/>
          <w:lang w:val="en-GB" w:eastAsia="ja-JP"/>
        </w:rPr>
        <w:t>,</w:t>
      </w:r>
      <w:r w:rsidR="00170C93" w:rsidRPr="0086281A">
        <w:rPr>
          <w:rFonts w:ascii="Calibri" w:hAnsi="Calibri"/>
          <w:lang w:val="en-GB" w:eastAsia="ja-JP"/>
        </w:rPr>
        <w:t xml:space="preserve"> respectively </w:t>
      </w:r>
      <w:r w:rsidR="00CA1B8B" w:rsidRPr="0086281A">
        <w:rPr>
          <w:rFonts w:ascii="Calibri" w:hAnsi="Calibri"/>
          <w:lang w:val="en-GB" w:eastAsia="ja-JP"/>
        </w:rPr>
        <w:t>(table 4). With a threshold between 30-45</w:t>
      </w:r>
      <w:r w:rsidR="00636758" w:rsidRPr="0086281A">
        <w:rPr>
          <w:rFonts w:ascii="Calibri" w:hAnsi="Calibri"/>
          <w:lang w:val="en-GB" w:eastAsia="ja-JP"/>
        </w:rPr>
        <w:t xml:space="preserve"> </w:t>
      </w:r>
      <w:r w:rsidR="00CA1B8B" w:rsidRPr="0086281A">
        <w:rPr>
          <w:rFonts w:ascii="Calibri" w:hAnsi="Calibri"/>
          <w:lang w:val="en-GB" w:eastAsia="ja-JP"/>
        </w:rPr>
        <w:t xml:space="preserve">mL/min, </w:t>
      </w:r>
      <w:r w:rsidR="006554F9" w:rsidRPr="0086281A">
        <w:rPr>
          <w:rFonts w:ascii="Calibri" w:hAnsi="Calibri"/>
          <w:lang w:val="en-GB" w:eastAsia="ja-JP"/>
        </w:rPr>
        <w:t xml:space="preserve">an </w:t>
      </w:r>
      <w:r w:rsidR="00362FA4" w:rsidRPr="0086281A">
        <w:rPr>
          <w:rFonts w:ascii="Calibri" w:hAnsi="Calibri"/>
          <w:lang w:val="en-GB" w:eastAsia="ja-JP"/>
        </w:rPr>
        <w:t xml:space="preserve">inadequate </w:t>
      </w:r>
      <w:r w:rsidR="004E1EC8" w:rsidRPr="0086281A">
        <w:rPr>
          <w:rFonts w:ascii="Calibri" w:hAnsi="Calibri"/>
          <w:lang w:val="en-GB" w:eastAsia="ja-JP"/>
        </w:rPr>
        <w:t>drug</w:t>
      </w:r>
      <w:r w:rsidR="006554F9" w:rsidRPr="0086281A">
        <w:rPr>
          <w:rFonts w:ascii="Calibri" w:hAnsi="Calibri"/>
          <w:lang w:val="en-GB" w:eastAsia="ja-JP"/>
        </w:rPr>
        <w:t xml:space="preserve"> dosage</w:t>
      </w:r>
      <w:r w:rsidR="004E1EC8" w:rsidRPr="0086281A">
        <w:rPr>
          <w:rFonts w:ascii="Calibri" w:hAnsi="Calibri"/>
          <w:lang w:val="en-GB" w:eastAsia="ja-JP"/>
        </w:rPr>
        <w:t xml:space="preserve"> </w:t>
      </w:r>
      <w:r w:rsidR="00576530" w:rsidRPr="0086281A">
        <w:rPr>
          <w:rFonts w:ascii="Calibri" w:hAnsi="Calibri"/>
          <w:lang w:val="en-GB" w:eastAsia="ja-JP"/>
        </w:rPr>
        <w:t xml:space="preserve">would be erroneously </w:t>
      </w:r>
      <w:r w:rsidR="004E1EC8" w:rsidRPr="0086281A">
        <w:rPr>
          <w:rFonts w:ascii="Calibri" w:hAnsi="Calibri"/>
          <w:lang w:val="en-GB" w:eastAsia="ja-JP"/>
        </w:rPr>
        <w:t xml:space="preserve">given to the patient in </w:t>
      </w:r>
      <w:r w:rsidR="00C864E5" w:rsidRPr="0086281A">
        <w:rPr>
          <w:rFonts w:ascii="Calibri" w:hAnsi="Calibri"/>
          <w:lang w:val="en-GB" w:eastAsia="ja-JP"/>
        </w:rPr>
        <w:t>51.7%,</w:t>
      </w:r>
      <w:r w:rsidR="00CA1B8B" w:rsidRPr="0086281A">
        <w:rPr>
          <w:rFonts w:ascii="Calibri" w:hAnsi="Calibri"/>
          <w:lang w:val="en-GB" w:eastAsia="ja-JP"/>
        </w:rPr>
        <w:t xml:space="preserve"> </w:t>
      </w:r>
      <w:r w:rsidR="00C864E5" w:rsidRPr="0086281A">
        <w:rPr>
          <w:rFonts w:ascii="Calibri" w:hAnsi="Calibri"/>
          <w:lang w:val="en-GB" w:eastAsia="ja-JP"/>
        </w:rPr>
        <w:t>17.2%, 22.4%</w:t>
      </w:r>
      <w:r w:rsidR="00CA1B8B" w:rsidRPr="0086281A">
        <w:rPr>
          <w:rFonts w:ascii="Calibri" w:hAnsi="Calibri"/>
          <w:lang w:val="en-GB" w:eastAsia="ja-JP"/>
        </w:rPr>
        <w:t xml:space="preserve"> and </w:t>
      </w:r>
      <w:r w:rsidR="00C864E5" w:rsidRPr="0086281A">
        <w:rPr>
          <w:rFonts w:ascii="Calibri" w:hAnsi="Calibri"/>
          <w:lang w:val="en-GB" w:eastAsia="ja-JP"/>
        </w:rPr>
        <w:t>25.9% of</w:t>
      </w:r>
      <w:r w:rsidR="00CA1B8B" w:rsidRPr="0086281A">
        <w:rPr>
          <w:rFonts w:ascii="Calibri" w:hAnsi="Calibri"/>
          <w:lang w:val="en-GB" w:eastAsia="ja-JP"/>
        </w:rPr>
        <w:t xml:space="preserve"> patients </w:t>
      </w:r>
      <w:r w:rsidR="006554F9" w:rsidRPr="0086281A">
        <w:rPr>
          <w:rFonts w:ascii="Calibri" w:hAnsi="Calibri"/>
          <w:lang w:val="en-GB" w:eastAsia="ja-JP"/>
        </w:rPr>
        <w:t xml:space="preserve">if </w:t>
      </w:r>
      <w:r w:rsidR="00CA1B8B" w:rsidRPr="0086281A">
        <w:rPr>
          <w:rFonts w:ascii="Calibri" w:hAnsi="Calibri"/>
          <w:lang w:val="en-GB" w:eastAsia="ja-JP"/>
        </w:rPr>
        <w:t>CG</w:t>
      </w:r>
      <w:r w:rsidR="00794E4C" w:rsidRPr="008E6410">
        <w:rPr>
          <w:rFonts w:ascii="Calibri" w:hAnsi="Calibri" w:cs="Times"/>
          <w:color w:val="000000"/>
          <w:vertAlign w:val="subscript"/>
          <w:lang w:val="en-GB"/>
        </w:rPr>
        <w:t>ABW</w:t>
      </w:r>
      <w:r w:rsidR="00CA1B8B" w:rsidRPr="0086281A">
        <w:rPr>
          <w:rFonts w:ascii="Calibri" w:hAnsi="Calibri"/>
          <w:lang w:val="en-GB" w:eastAsia="ja-JP"/>
        </w:rPr>
        <w:t>, CG</w:t>
      </w:r>
      <w:r w:rsidR="00CA1B8B" w:rsidRPr="0086281A">
        <w:rPr>
          <w:rFonts w:ascii="Calibri" w:hAnsi="Calibri"/>
          <w:vertAlign w:val="subscript"/>
          <w:lang w:val="en-GB" w:eastAsia="ja-JP"/>
        </w:rPr>
        <w:t>AIBW</w:t>
      </w:r>
      <w:r w:rsidR="00CA1B8B" w:rsidRPr="0086281A">
        <w:rPr>
          <w:rFonts w:ascii="Calibri" w:hAnsi="Calibri"/>
          <w:lang w:val="en-GB" w:eastAsia="ja-JP"/>
        </w:rPr>
        <w:t>, CKD-EPI</w:t>
      </w:r>
      <w:r w:rsidR="00CA1B8B" w:rsidRPr="0086281A">
        <w:rPr>
          <w:rFonts w:ascii="Calibri" w:hAnsi="Calibri"/>
          <w:vertAlign w:val="subscript"/>
          <w:lang w:val="en-GB" w:eastAsia="ja-JP"/>
        </w:rPr>
        <w:t>deindexed</w:t>
      </w:r>
      <w:r w:rsidR="00CA1B8B" w:rsidRPr="0086281A">
        <w:rPr>
          <w:rFonts w:ascii="Calibri" w:hAnsi="Calibri"/>
          <w:lang w:val="en-GB" w:eastAsia="ja-JP"/>
        </w:rPr>
        <w:t xml:space="preserve"> and MDRD</w:t>
      </w:r>
      <w:r w:rsidR="00CA1B8B" w:rsidRPr="0086281A">
        <w:rPr>
          <w:rFonts w:ascii="Calibri" w:hAnsi="Calibri"/>
          <w:vertAlign w:val="subscript"/>
          <w:lang w:val="en-GB" w:eastAsia="ja-JP"/>
        </w:rPr>
        <w:t>deindexed</w:t>
      </w:r>
      <w:r w:rsidR="004E1EC8" w:rsidRPr="0086281A">
        <w:rPr>
          <w:rFonts w:ascii="Calibri" w:hAnsi="Calibri"/>
          <w:lang w:val="en-GB" w:eastAsia="ja-JP"/>
        </w:rPr>
        <w:t xml:space="preserve"> </w:t>
      </w:r>
      <w:r w:rsidR="00431035" w:rsidRPr="0086281A">
        <w:rPr>
          <w:rFonts w:ascii="Calibri" w:hAnsi="Calibri"/>
          <w:lang w:val="en-GB" w:eastAsia="ja-JP"/>
        </w:rPr>
        <w:t>were</w:t>
      </w:r>
      <w:r w:rsidR="004E1EC8" w:rsidRPr="0086281A">
        <w:rPr>
          <w:rFonts w:ascii="Calibri" w:hAnsi="Calibri"/>
          <w:lang w:val="en-GB" w:eastAsia="ja-JP"/>
        </w:rPr>
        <w:t xml:space="preserve"> used</w:t>
      </w:r>
      <w:r w:rsidR="00576530" w:rsidRPr="0086281A">
        <w:rPr>
          <w:rFonts w:ascii="Calibri" w:hAnsi="Calibri"/>
          <w:lang w:val="en-GB" w:eastAsia="ja-JP"/>
        </w:rPr>
        <w:t>, respectively</w:t>
      </w:r>
      <w:r w:rsidR="004E1EC8" w:rsidRPr="0086281A">
        <w:rPr>
          <w:rFonts w:ascii="Calibri" w:hAnsi="Calibri"/>
          <w:lang w:val="en-GB" w:eastAsia="ja-JP"/>
        </w:rPr>
        <w:t>.</w:t>
      </w:r>
      <w:r w:rsidR="009E7CC6" w:rsidRPr="0086281A">
        <w:rPr>
          <w:rFonts w:ascii="Calibri" w:hAnsi="Calibri"/>
          <w:vertAlign w:val="subscript"/>
          <w:lang w:val="en-GB" w:eastAsia="ja-JP"/>
        </w:rPr>
        <w:t xml:space="preserve"> </w:t>
      </w:r>
    </w:p>
    <w:p w:rsidR="00A464A0" w:rsidRPr="0086281A" w:rsidRDefault="00A464A0" w:rsidP="00A32687">
      <w:pPr>
        <w:rPr>
          <w:rFonts w:ascii="Calibri" w:hAnsi="Calibri" w:cs="Times"/>
          <w:lang w:val="en-GB"/>
        </w:rPr>
      </w:pPr>
    </w:p>
    <w:p w:rsidR="00A32687" w:rsidRPr="0086281A" w:rsidRDefault="00692FC8" w:rsidP="00A32687">
      <w:pPr>
        <w:rPr>
          <w:rFonts w:ascii="Calibri" w:hAnsi="Calibri" w:cs="Times"/>
          <w:lang w:val="en-GB"/>
        </w:rPr>
      </w:pPr>
      <w:r w:rsidRPr="0086281A">
        <w:rPr>
          <w:rFonts w:ascii="Calibri" w:hAnsi="Calibri" w:cs="Times"/>
          <w:lang w:val="en-GB"/>
        </w:rPr>
        <w:t>The increased absolute GFR observed in obese patients with a hyperfiltration status may be responsible for an increased drug</w:t>
      </w:r>
      <w:r w:rsidR="00A87B7E" w:rsidRPr="0086281A">
        <w:rPr>
          <w:rFonts w:ascii="Calibri" w:hAnsi="Calibri" w:cs="Times"/>
          <w:lang w:val="en-GB"/>
        </w:rPr>
        <w:t>s</w:t>
      </w:r>
      <w:r w:rsidRPr="0086281A">
        <w:rPr>
          <w:rFonts w:ascii="Calibri" w:hAnsi="Calibri" w:cs="Times"/>
          <w:lang w:val="en-GB"/>
        </w:rPr>
        <w:t xml:space="preserve"> clearance, which could affect their efficacy. </w:t>
      </w:r>
      <w:r w:rsidR="00A23442" w:rsidRPr="0086281A">
        <w:rPr>
          <w:rFonts w:ascii="Calibri" w:hAnsi="Calibri" w:cs="Times"/>
          <w:lang w:val="en-GB"/>
        </w:rPr>
        <w:t xml:space="preserve">For instance, antibiotic drugs such as gentamicin </w:t>
      </w:r>
      <w:r w:rsidR="00777D1E" w:rsidRPr="0086281A">
        <w:rPr>
          <w:rFonts w:ascii="Calibri" w:hAnsi="Calibri" w:cs="Times"/>
          <w:lang w:val="en-GB"/>
        </w:rPr>
        <w:fldChar w:fldCharType="begin"/>
      </w:r>
      <w:r w:rsidR="007F0DAD" w:rsidRPr="0086281A">
        <w:rPr>
          <w:rFonts w:ascii="Calibri" w:hAnsi="Calibri" w:cs="Times"/>
          <w:lang w:val="en-GB"/>
        </w:rPr>
        <w:instrText xml:space="preserve"> ADDIN ZOTERO_ITEM CSL_CITATION {"citationID":"7ed4pgfft","properties":{"formattedCitation":"(62)","plainCitation":"(62)"},"citationItems":[{"id":1350,"uris":["http://zotero.org/users/2405774/items/JC566PBS"],"uri":["http://zotero.org/users/2405774/items/JC566PBS"],"itemData":{"id":1350,"type":"article-journal","title":"Effect of obesity on gentamicin pharmacokinetics","container-title":"Journal of Clinical Pharmacology","page":"288-293","volume":"21","issue":"7","source":"NCBI PubMed","abstract":"The effect of obesity on gentamicin disposition was studied in 60 obstetric and gynecologic patients receiving treatment for Gram-negative infections. Thirty patients whose body weights were within 20 per cent of their ideal body weight were the control group. Thirty additional patients had body weights at least 30 per cent greater than ideal body weight and were the obese group. The two groups had similar ages, heights, ideal body weights (IBW), lean body weights (LBW), and elimination rates of gentamicin. The distribution volumes, expressed as liters or standardized to ideal body weight, lean body weight, or total body weight, were significantly different in the controls from those in obese patients. The distribution volume averaged (+/- S.D.) 0.19 +/- 0.06 1./kg in controls. The contribution of excess weight to additional drug volume averaged (+/- S.D.) 0.05 +/- 0.161./kg. Excess weight thus contributes less volume per kilogram than ideal body weight or lean body weight. A substantial interpatient variability existed in the measured distribution volume for all groups. Measuring serum concentrations and adjusting a patient's dosage regimen are imperative to ensure therapeutic serum concentrations.","ISSN":"0091-2700","note":"PMID: 7263927","journalAbbreviation":"J Clin Pharmacol","language":"eng","author":[{"family":"Sketris","given":"I."},{"family":"Lesar","given":"T."},{"family":"Zaske","given":"D. E."},{"family":"Cipolle","given":"R. J."}],"issued":{"date-parts":[["1981",7]]},"PMID":"7263927"}}],"schema":"https://github.com/citation-style-language/schema/raw/master/csl-citation.json"} </w:instrText>
      </w:r>
      <w:r w:rsidR="00777D1E" w:rsidRPr="0086281A">
        <w:rPr>
          <w:rFonts w:ascii="Calibri" w:hAnsi="Calibri" w:cs="Times"/>
          <w:lang w:val="en-GB"/>
        </w:rPr>
        <w:fldChar w:fldCharType="separate"/>
      </w:r>
      <w:r w:rsidR="007F0DAD" w:rsidRPr="0086281A">
        <w:rPr>
          <w:rFonts w:ascii="Calibri" w:hAnsi="Calibri" w:cs="Times"/>
          <w:noProof/>
          <w:lang w:val="en-GB"/>
        </w:rPr>
        <w:t>(62)</w:t>
      </w:r>
      <w:r w:rsidR="00777D1E" w:rsidRPr="0086281A">
        <w:rPr>
          <w:rFonts w:ascii="Calibri" w:hAnsi="Calibri" w:cs="Times"/>
          <w:lang w:val="en-GB"/>
        </w:rPr>
        <w:fldChar w:fldCharType="end"/>
      </w:r>
      <w:r w:rsidR="00A23442" w:rsidRPr="0086281A">
        <w:rPr>
          <w:rFonts w:ascii="Calibri" w:hAnsi="Calibri" w:cs="Times"/>
          <w:lang w:val="en-GB"/>
        </w:rPr>
        <w:t xml:space="preserve"> and vancomycin </w:t>
      </w:r>
      <w:r w:rsidR="00777D1E" w:rsidRPr="0086281A">
        <w:rPr>
          <w:rFonts w:ascii="Calibri" w:hAnsi="Calibri" w:cs="Times"/>
          <w:lang w:val="en-GB"/>
        </w:rPr>
        <w:fldChar w:fldCharType="begin"/>
      </w:r>
      <w:r w:rsidR="007F0DAD" w:rsidRPr="0086281A">
        <w:rPr>
          <w:rFonts w:ascii="Calibri" w:hAnsi="Calibri" w:cs="Times"/>
          <w:lang w:val="en-GB"/>
        </w:rPr>
        <w:instrText xml:space="preserve"> ADDIN ZOTERO_ITEM CSL_CITATION {"citationID":"me9ebdstq","properties":{"formattedCitation":"(63)","plainCitation":"(63)"},"citationItems":[{"id":1352,"uris":["http://zotero.org/users/2405774/items/AWMTJ3C9"],"uri":["http://zotero.org/users/2405774/items/AWMTJ3C9"],"itemData":{"id":1352,"type":"article-journal","title":"Vancomycin pharmacokinetics in normal and morbidly obese subjects","container-title":"Antimicrobial Agents and Chemotherapy","page":"575-580","volume":"21","issue":"4","source":"NCBI PubMed","abstract":"In an uncontrolled study, vancomycin pharmacokinetics were determined in four normal (total body weight [TBW], 65.9 to 89.1 kg) and six morbidly obese (TBW, 111.4 to 226.4 kg) subjects. The morbidly obese subjects were investigated 3 to 4 h after gastric bypass surgery. Mean terminal half-lives, volumes of distribution, and total body clearances for the normal controls and the morbidly obese (TBW, 111.4 to 226.4 kg) subjects. The morbidly obese subjects were investigated 3 to 4 h after gastric bypass surgery. Mean terminal half-lives, volumes of distribution, and total body clearances for the normal controls and the morbidly obese subjects were 4.8 h, 0.39 liter/kg, and 1.085 ml/min per kg versus 3.2 h, 0.26 liter/kg TBW, and 1.112 ml/min per kg TBW. The mean terminal half-life and volume of distribution values were significantly different between the two groups. Strong correlations were found between TBW and both volume of distribution (correlation coefficient, 0.943) and total body clearance (correlation coefficient, 0.981). There results implied that TBW should be used to calculate vancomycin doses for morbidly obese patients. This was supported by the finding that there was no significant difference in the daily dose (in milligrams per kilogram per day) required to produce an average steady-state concentration of 15 micrograms/ml in the two groups (23.4 +/- 1.5 mg/kg per day for normal weight subjects and 24.0 +/- 3.4 mg/kg per day TBW for the postsurgery morbidly obese subjects). Therefore, the morbidly obese required higher total doses (in milligrams per day) than did normal weight subjects to achieve the same mean steady-state concentrations. In addition, normal weight and morbidly obese subjects had similar volumes of the central compartment (7.7 and 6.4 liters, respectively). To avoid high transient peak concentrations which would occur when obese patients are given larger total doses (in milligrams per day), maintenance doses may be given at more frequent intervals. The shorter mean terminal half-lives observed in morbidly obese patients allows more frequent dosing without excessive accumulation.","ISSN":"0066-4804","note":"PMID: 7081978 \nPMCID: PMC181944","journalAbbreviation":"Antimicrob. Agents Chemother.","language":"eng","author":[{"family":"Blouin","given":"R. A."},{"family":"Bauer","given":"L. A."},{"family":"Miller","given":"D. D."},{"family":"Record","given":"K. E."},{"family":"Griffen","given":"W. O."}],"issued":{"date-parts":[["1982",4]]},"PMID":"7081978","PMCID":"PMC181944"}}],"schema":"https://github.com/citation-style-language/schema/raw/master/csl-citation.json"} </w:instrText>
      </w:r>
      <w:r w:rsidR="00777D1E" w:rsidRPr="0086281A">
        <w:rPr>
          <w:rFonts w:ascii="Calibri" w:hAnsi="Calibri" w:cs="Times"/>
          <w:lang w:val="en-GB"/>
        </w:rPr>
        <w:fldChar w:fldCharType="separate"/>
      </w:r>
      <w:r w:rsidR="007F0DAD" w:rsidRPr="0086281A">
        <w:rPr>
          <w:rFonts w:ascii="Calibri" w:hAnsi="Calibri" w:cs="Times"/>
          <w:noProof/>
          <w:lang w:val="en-GB"/>
        </w:rPr>
        <w:t>(63)</w:t>
      </w:r>
      <w:r w:rsidR="00777D1E" w:rsidRPr="0086281A">
        <w:rPr>
          <w:rFonts w:ascii="Calibri" w:hAnsi="Calibri" w:cs="Times"/>
          <w:lang w:val="en-GB"/>
        </w:rPr>
        <w:fldChar w:fldCharType="end"/>
      </w:r>
      <w:r w:rsidR="00A23442" w:rsidRPr="0086281A">
        <w:rPr>
          <w:rFonts w:ascii="Calibri" w:hAnsi="Calibri" w:cs="Times"/>
          <w:lang w:val="en-GB"/>
        </w:rPr>
        <w:t xml:space="preserve"> could have their concentration reduced by this increas</w:t>
      </w:r>
      <w:r w:rsidR="00063AEE" w:rsidRPr="0086281A">
        <w:rPr>
          <w:rFonts w:ascii="Calibri" w:hAnsi="Calibri" w:cs="Times"/>
          <w:lang w:val="en-GB"/>
        </w:rPr>
        <w:t>ed</w:t>
      </w:r>
      <w:r w:rsidR="00A23442" w:rsidRPr="0086281A">
        <w:rPr>
          <w:rFonts w:ascii="Calibri" w:hAnsi="Calibri" w:cs="Times"/>
          <w:lang w:val="en-GB"/>
        </w:rPr>
        <w:t xml:space="preserve"> drug clearance, and in fine </w:t>
      </w:r>
      <w:r w:rsidR="00A87B7E" w:rsidRPr="0086281A">
        <w:rPr>
          <w:rFonts w:ascii="Calibri" w:hAnsi="Calibri" w:cs="Times"/>
          <w:lang w:val="en-GB"/>
        </w:rPr>
        <w:t>have a</w:t>
      </w:r>
      <w:r w:rsidR="00063AEE" w:rsidRPr="0086281A">
        <w:rPr>
          <w:rFonts w:ascii="Calibri" w:hAnsi="Calibri" w:cs="Times"/>
          <w:lang w:val="en-GB"/>
        </w:rPr>
        <w:t>n</w:t>
      </w:r>
      <w:r w:rsidR="00A87B7E" w:rsidRPr="0086281A">
        <w:rPr>
          <w:rFonts w:ascii="Calibri" w:hAnsi="Calibri" w:cs="Times"/>
          <w:lang w:val="en-GB"/>
        </w:rPr>
        <w:t xml:space="preserve"> impact o</w:t>
      </w:r>
      <w:r w:rsidR="00063AEE" w:rsidRPr="0086281A">
        <w:rPr>
          <w:rFonts w:ascii="Calibri" w:hAnsi="Calibri" w:cs="Times"/>
          <w:lang w:val="en-GB"/>
        </w:rPr>
        <w:t>n</w:t>
      </w:r>
      <w:r w:rsidR="00A87B7E" w:rsidRPr="0086281A">
        <w:rPr>
          <w:rFonts w:ascii="Calibri" w:hAnsi="Calibri" w:cs="Times"/>
          <w:lang w:val="en-GB"/>
        </w:rPr>
        <w:t xml:space="preserve"> the efficiency of the drugs</w:t>
      </w:r>
      <w:r w:rsidR="00A23442" w:rsidRPr="0086281A">
        <w:rPr>
          <w:rFonts w:ascii="Calibri" w:hAnsi="Calibri" w:cs="Times"/>
          <w:lang w:val="en-GB"/>
        </w:rPr>
        <w:t>. Increased absolute clearanc</w:t>
      </w:r>
      <w:r w:rsidR="00B5464D" w:rsidRPr="0086281A">
        <w:rPr>
          <w:rFonts w:ascii="Calibri" w:hAnsi="Calibri" w:cs="Times"/>
          <w:lang w:val="en-GB"/>
        </w:rPr>
        <w:t xml:space="preserve">es of cisplatin and paclitaxel </w:t>
      </w:r>
      <w:r w:rsidR="00A23442" w:rsidRPr="0086281A">
        <w:rPr>
          <w:rFonts w:ascii="Calibri" w:hAnsi="Calibri" w:cs="Times"/>
          <w:lang w:val="en-GB"/>
        </w:rPr>
        <w:t xml:space="preserve">were also noted in obese patients compared to lean individuals </w:t>
      </w:r>
      <w:r w:rsidR="00777D1E" w:rsidRPr="0086281A">
        <w:rPr>
          <w:rFonts w:ascii="Calibri" w:hAnsi="Calibri" w:cs="Times"/>
          <w:lang w:val="en-GB"/>
        </w:rPr>
        <w:fldChar w:fldCharType="begin"/>
      </w:r>
      <w:r w:rsidR="007F0DAD" w:rsidRPr="0086281A">
        <w:rPr>
          <w:rFonts w:ascii="Calibri" w:hAnsi="Calibri" w:cs="Times"/>
          <w:lang w:val="en-GB"/>
        </w:rPr>
        <w:instrText xml:space="preserve"> ADDIN ZOTERO_ITEM CSL_CITATION {"citationID":"2bmgjkju2o","properties":{"formattedCitation":"(64,65)","plainCitation":"(64,65)"},"citationItems":[{"id":1356,"uris":["http://zotero.org/users/2405774/items/GHX5SKG5"],"uri":["http://zotero.org/users/2405774/items/GHX5SKG5"],"itemData":{"id":1356,"type":"article-journal","title":"Evaluation of alternate size descriptors for dose calculation of anticancer drugs in the obese","container-title":"Journal of Clinical Oncology","page":"4707-4713","volume":"25","issue":"30","source":"NCBI PubMed","abstract":"PURPOSE: Despite the rising prevalence of obesity, there is paucity of information describing how doses of anticancer drugs should be adjusted in clinical practice. Here, we assessed the pharmacokinetics of eight anticancer drugs in adults and evaluated the potential utility of alternative weight descriptors in dose calculation for the obese.\nPATIENTS AND METHODS: A total of 1,206 adult cancer patients were studied, of whom 162 (13.4%) were obese (body mass index &gt; or = 30). Pharmacokinetic parameters were calculated using noncompartmental analysis, and compared between lean (body mass index &lt; or = 25) and obese patients.\nRESULTS: The absolute clearance of cisplatin, paclitaxel, and troxacitabine was significantly increased in the obese (P &lt; .023), but this was not observed for carboplatin, docetaxel, irinotecan, or topotecan (P &lt; .17). For doxorubicin, the systemic clearance was statistically significantly reduced in obese women (P = .013), but not in obese men (P = .52). Evaluation of alternate weight descriptors for dose calculation in the obese, including predicted normal weight, lean body mass, (adjusted) ideal body weight, and the mean of ideal and actual body weight, indicated that, for most of the evaluated drugs, weight scalars used to calculate body-surface area should consider actual body weight regardless of size.\nCONCLUSION: The results suggest that a number of widely used empiric strategies for dose adjustments in obese patients, including a priori dose reduction or dose capping, should be discouraged.","DOI":"10.1200/JCO.2007.11.2938","ISSN":"1527-7755","note":"PMID: 17947717","journalAbbreviation":"J. Clin. Oncol.","language":"eng","author":[{"family":"Sparreboom","given":"Alex"},{"family":"Wolff","given":"Antonio C."},{"family":"Mathijssen","given":"Ron H. J."},{"family":"Chatelut","given":"Etienne"},{"family":"Rowinsky","given":"Eric K."},{"family":"Verweij","given":"Jaap"},{"family":"Baker","given":"Sharyn D."}],"issued":{"date-parts":[["2007",10,20]]},"PMID":"17947717"},"label":"page"},{"id":1358,"uris":["http://zotero.org/users/2405774/items/X5GF3U9E"],"uri":["http://zotero.org/users/2405774/items/X5GF3U9E"],"itemData":{"id":1358,"type":"article-journal","title":"Clinical pharmacokinetics and administration of established platinum drugs","container-title":"Drugs","page":"19-27","volume":"59","issue":"Suppl 4","source":"NCBI PubMed","abstract":"We review the pharmacology and clinical administration of the commonly used platinum-based anticancer drugs cisplatin and carboplatin, and the more recently approved diamminocyclohexane-based oxaliplatin. The development of analogues of cisplatin has been focused upon identifying compounds with less toxicity and with a different spectrum of activity. Carboplatin exemplifies the former, while the initial data with oxaliplatin support its activity in cisplatin-resistant tumours. The clinical pharmacokinetics of the drugs are reviewed. Incorporation of these data into the design of clinical regimens has permitted individualised therapy with carboplatin, and has enhanced safety. Additional investigation of the pharmacodynamics of all of these agents is expected to result in their selective application. The clinical effects of these analogues are discussed.","ISSN":"0012-6667","note":"PMID: 10864227","journalAbbreviation":"Drugs","language":"eng","author":[{"family":"O'Dwyer","given":"P. J."},{"family":"Stevenson","given":"J. P."},{"family":"Johnson","given":"S. W."}],"issued":{"date-parts":[["2000"]]},"PMID":"10864227"},"label":"page"}],"schema":"https://github.com/citation-style-language/schema/raw/master/csl-citation.json"} </w:instrText>
      </w:r>
      <w:r w:rsidR="00777D1E" w:rsidRPr="0086281A">
        <w:rPr>
          <w:rFonts w:ascii="Calibri" w:hAnsi="Calibri" w:cs="Times"/>
          <w:lang w:val="en-GB"/>
        </w:rPr>
        <w:fldChar w:fldCharType="separate"/>
      </w:r>
      <w:r w:rsidR="007F0DAD" w:rsidRPr="0086281A">
        <w:rPr>
          <w:rFonts w:ascii="Calibri" w:hAnsi="Calibri" w:cs="Times"/>
          <w:noProof/>
          <w:lang w:val="en-GB"/>
        </w:rPr>
        <w:t>(64,65)</w:t>
      </w:r>
      <w:r w:rsidR="00777D1E" w:rsidRPr="0086281A">
        <w:rPr>
          <w:rFonts w:ascii="Calibri" w:hAnsi="Calibri" w:cs="Times"/>
          <w:lang w:val="en-GB"/>
        </w:rPr>
        <w:fldChar w:fldCharType="end"/>
      </w:r>
      <w:r w:rsidR="00A23442" w:rsidRPr="0086281A">
        <w:rPr>
          <w:rFonts w:ascii="Calibri" w:hAnsi="Calibri" w:cs="Times"/>
          <w:lang w:val="en-GB"/>
        </w:rPr>
        <w:t xml:space="preserve">. </w:t>
      </w:r>
      <w:r w:rsidR="00A464A0" w:rsidRPr="0086281A">
        <w:rPr>
          <w:rFonts w:ascii="Calibri" w:hAnsi="Calibri"/>
          <w:lang w:val="en-GB"/>
        </w:rPr>
        <w:t>I</w:t>
      </w:r>
      <w:r w:rsidR="00CA1B8B" w:rsidRPr="0086281A">
        <w:rPr>
          <w:rFonts w:ascii="Calibri" w:hAnsi="Calibri"/>
          <w:lang w:val="en-GB"/>
        </w:rPr>
        <w:t>n the subgroup of</w:t>
      </w:r>
      <w:r w:rsidR="00A464A0" w:rsidRPr="0086281A">
        <w:rPr>
          <w:rFonts w:ascii="Calibri" w:hAnsi="Calibri"/>
          <w:lang w:val="en-GB"/>
        </w:rPr>
        <w:t xml:space="preserve"> our</w:t>
      </w:r>
      <w:r w:rsidR="007F4896" w:rsidRPr="0086281A">
        <w:rPr>
          <w:rFonts w:ascii="Calibri" w:hAnsi="Calibri"/>
          <w:lang w:val="en-GB"/>
        </w:rPr>
        <w:t xml:space="preserve"> patients </w:t>
      </w:r>
      <w:r w:rsidR="009A5A63" w:rsidRPr="0086281A">
        <w:rPr>
          <w:rFonts w:ascii="Calibri" w:hAnsi="Calibri"/>
          <w:lang w:val="en-GB"/>
        </w:rPr>
        <w:t>with an mGFR over 13</w:t>
      </w:r>
      <w:r w:rsidRPr="0086281A">
        <w:rPr>
          <w:rFonts w:ascii="Calibri" w:hAnsi="Calibri"/>
          <w:lang w:val="en-GB"/>
        </w:rPr>
        <w:t>0</w:t>
      </w:r>
      <w:r w:rsidR="00A21C1E" w:rsidRPr="0086281A">
        <w:rPr>
          <w:rFonts w:ascii="Calibri" w:hAnsi="Calibri"/>
          <w:lang w:val="en-GB"/>
        </w:rPr>
        <w:t xml:space="preserve"> </w:t>
      </w:r>
      <w:r w:rsidR="00A23442" w:rsidRPr="0086281A">
        <w:rPr>
          <w:rFonts w:ascii="Calibri" w:hAnsi="Calibri"/>
          <w:lang w:val="en-GB"/>
        </w:rPr>
        <w:t xml:space="preserve">mL/min, </w:t>
      </w:r>
      <w:r w:rsidR="00CA1B8B" w:rsidRPr="0086281A">
        <w:rPr>
          <w:rFonts w:ascii="Calibri" w:hAnsi="Calibri"/>
          <w:lang w:val="en-GB"/>
        </w:rPr>
        <w:t xml:space="preserve">the </w:t>
      </w:r>
      <w:r w:rsidRPr="0086281A">
        <w:rPr>
          <w:rFonts w:ascii="Calibri" w:hAnsi="Calibri"/>
          <w:lang w:val="en-GB"/>
        </w:rPr>
        <w:t>MDRD</w:t>
      </w:r>
      <w:r w:rsidRPr="0086281A">
        <w:rPr>
          <w:rFonts w:ascii="Calibri" w:hAnsi="Calibri"/>
          <w:vertAlign w:val="subscript"/>
          <w:lang w:val="en-GB"/>
        </w:rPr>
        <w:t>deindexed</w:t>
      </w:r>
      <w:r w:rsidR="00636758" w:rsidRPr="0086281A">
        <w:rPr>
          <w:rFonts w:ascii="Calibri" w:hAnsi="Calibri"/>
          <w:lang w:val="en-GB"/>
        </w:rPr>
        <w:t xml:space="preserve"> and CKD-EPI</w:t>
      </w:r>
      <w:r w:rsidRPr="0086281A">
        <w:rPr>
          <w:rFonts w:ascii="Calibri" w:hAnsi="Calibri"/>
          <w:vertAlign w:val="subscript"/>
          <w:lang w:val="en-GB"/>
        </w:rPr>
        <w:t xml:space="preserve">deindexed </w:t>
      </w:r>
      <w:r w:rsidRPr="0086281A">
        <w:rPr>
          <w:rFonts w:ascii="Calibri" w:hAnsi="Calibri"/>
          <w:lang w:val="en-GB"/>
        </w:rPr>
        <w:t xml:space="preserve">equations have the same performances and are </w:t>
      </w:r>
      <w:r w:rsidR="006554F9" w:rsidRPr="0086281A">
        <w:rPr>
          <w:rFonts w:ascii="Calibri" w:hAnsi="Calibri"/>
          <w:lang w:val="en-GB"/>
        </w:rPr>
        <w:t xml:space="preserve">significantly </w:t>
      </w:r>
      <w:r w:rsidRPr="0086281A">
        <w:rPr>
          <w:rFonts w:ascii="Calibri" w:hAnsi="Calibri"/>
          <w:lang w:val="en-GB"/>
        </w:rPr>
        <w:t>better than the CG equation with ABW</w:t>
      </w:r>
      <w:r w:rsidR="00A464A0" w:rsidRPr="0086281A">
        <w:rPr>
          <w:rFonts w:ascii="Calibri" w:hAnsi="Calibri"/>
          <w:lang w:val="en-GB"/>
        </w:rPr>
        <w:t>,</w:t>
      </w:r>
      <w:r w:rsidR="00690B46" w:rsidRPr="0086281A">
        <w:rPr>
          <w:rFonts w:ascii="Calibri" w:hAnsi="Calibri"/>
          <w:lang w:val="en-GB"/>
        </w:rPr>
        <w:t xml:space="preserve"> </w:t>
      </w:r>
      <w:r w:rsidR="0047215A" w:rsidRPr="0086281A">
        <w:rPr>
          <w:rFonts w:ascii="Calibri" w:hAnsi="Calibri"/>
          <w:lang w:val="en-GB"/>
        </w:rPr>
        <w:t>but not with</w:t>
      </w:r>
      <w:r w:rsidR="009A5A63" w:rsidRPr="0086281A">
        <w:rPr>
          <w:rFonts w:ascii="Calibri" w:hAnsi="Calibri"/>
          <w:lang w:val="en-GB"/>
        </w:rPr>
        <w:t xml:space="preserve"> AIBW</w:t>
      </w:r>
      <w:r w:rsidRPr="0086281A">
        <w:rPr>
          <w:rFonts w:ascii="Calibri" w:hAnsi="Calibri"/>
          <w:lang w:val="en-GB"/>
        </w:rPr>
        <w:t>. The accuracies reach a good value</w:t>
      </w:r>
      <w:r w:rsidR="00B46D0B" w:rsidRPr="0086281A">
        <w:rPr>
          <w:rFonts w:ascii="Calibri" w:hAnsi="Calibri"/>
          <w:lang w:val="en-GB"/>
        </w:rPr>
        <w:t>,</w:t>
      </w:r>
      <w:r w:rsidR="00A23442" w:rsidRPr="0086281A">
        <w:rPr>
          <w:rFonts w:ascii="Calibri" w:hAnsi="Calibri"/>
          <w:lang w:val="en-GB"/>
        </w:rPr>
        <w:t xml:space="preserve"> around 7</w:t>
      </w:r>
      <w:r w:rsidR="009A5A63" w:rsidRPr="0086281A">
        <w:rPr>
          <w:rFonts w:ascii="Calibri" w:hAnsi="Calibri"/>
          <w:lang w:val="en-GB"/>
        </w:rPr>
        <w:t>8</w:t>
      </w:r>
      <w:r w:rsidR="00A23442" w:rsidRPr="0086281A">
        <w:rPr>
          <w:rFonts w:ascii="Calibri" w:hAnsi="Calibri"/>
          <w:lang w:val="en-GB"/>
        </w:rPr>
        <w:t xml:space="preserve"> to </w:t>
      </w:r>
      <w:r w:rsidR="009A5A63" w:rsidRPr="0086281A">
        <w:rPr>
          <w:rFonts w:ascii="Calibri" w:hAnsi="Calibri"/>
          <w:lang w:val="en-GB"/>
        </w:rPr>
        <w:t>89</w:t>
      </w:r>
      <w:r w:rsidRPr="0086281A">
        <w:rPr>
          <w:rFonts w:ascii="Calibri" w:hAnsi="Calibri"/>
          <w:lang w:val="en-GB"/>
        </w:rPr>
        <w:t>%</w:t>
      </w:r>
      <w:r w:rsidR="00063AEE" w:rsidRPr="0086281A">
        <w:rPr>
          <w:rFonts w:ascii="Calibri" w:hAnsi="Calibri"/>
          <w:lang w:val="en-GB"/>
        </w:rPr>
        <w:t xml:space="preserve">. </w:t>
      </w:r>
      <w:r w:rsidR="00063AEE" w:rsidRPr="0086281A">
        <w:rPr>
          <w:rFonts w:ascii="Calibri" w:hAnsi="Calibri" w:cs="Times"/>
          <w:lang w:val="en-GB"/>
        </w:rPr>
        <w:t>I</w:t>
      </w:r>
      <w:r w:rsidR="00766B7D" w:rsidRPr="0086281A">
        <w:rPr>
          <w:rFonts w:ascii="Calibri" w:hAnsi="Calibri" w:cs="Times"/>
          <w:lang w:val="en-GB"/>
        </w:rPr>
        <w:t>n a cohort of diabetic</w:t>
      </w:r>
      <w:r w:rsidR="00063AEE" w:rsidRPr="0086281A">
        <w:rPr>
          <w:rFonts w:ascii="Calibri" w:hAnsi="Calibri" w:cs="Times"/>
          <w:lang w:val="en-GB"/>
        </w:rPr>
        <w:t xml:space="preserve">, </w:t>
      </w:r>
      <w:r w:rsidR="00766B7D" w:rsidRPr="0086281A">
        <w:rPr>
          <w:rFonts w:ascii="Calibri" w:hAnsi="Calibri" w:cs="Times"/>
          <w:lang w:val="en-GB"/>
        </w:rPr>
        <w:t>overweight</w:t>
      </w:r>
      <w:r w:rsidR="00063AEE" w:rsidRPr="0086281A">
        <w:rPr>
          <w:rFonts w:ascii="Calibri" w:hAnsi="Calibri" w:cs="Times"/>
          <w:lang w:val="en-GB"/>
        </w:rPr>
        <w:t xml:space="preserve"> patients</w:t>
      </w:r>
      <w:r w:rsidR="00766B7D" w:rsidRPr="0086281A">
        <w:rPr>
          <w:rFonts w:ascii="Calibri" w:hAnsi="Calibri" w:cs="Times"/>
          <w:lang w:val="en-GB"/>
        </w:rPr>
        <w:t xml:space="preserve"> with a hyperfiltration status, </w:t>
      </w:r>
      <w:r w:rsidR="00063AEE" w:rsidRPr="0086281A">
        <w:rPr>
          <w:rFonts w:ascii="Calibri" w:hAnsi="Calibri" w:cs="Times"/>
          <w:lang w:val="en-GB"/>
        </w:rPr>
        <w:t xml:space="preserve">Gaspari </w:t>
      </w:r>
      <w:r w:rsidR="00063AEE" w:rsidRPr="0086281A">
        <w:rPr>
          <w:rFonts w:ascii="Calibri" w:hAnsi="Calibri" w:cs="Times"/>
          <w:i/>
          <w:lang w:val="en-GB"/>
        </w:rPr>
        <w:t xml:space="preserve">et al. </w:t>
      </w:r>
      <w:r w:rsidR="00777D1E" w:rsidRPr="0086281A">
        <w:rPr>
          <w:rFonts w:ascii="Calibri" w:hAnsi="Calibri" w:cs="Times"/>
          <w:lang w:val="en-GB"/>
        </w:rPr>
        <w:fldChar w:fldCharType="begin"/>
      </w:r>
      <w:r w:rsidR="007F0DAD" w:rsidRPr="0086281A">
        <w:rPr>
          <w:rFonts w:ascii="Calibri" w:hAnsi="Calibri" w:cs="Times"/>
          <w:lang w:val="en-GB"/>
        </w:rPr>
        <w:instrText xml:space="preserve"> ADDIN ZOTERO_ITEM CSL_CITATION {"citationID":"r989i5tuo","properties":{"formattedCitation":"(66)","plainCitation":"(66)"},"citationItems":[{"id":1428,"uris":["http://zotero.org/users/local/gLwvffvk/items/SQAQKKN3"],"uri":["http://zotero.org/users/local/gLwvffvk/items/SQAQKKN3"],"itemData":{"id":1428,"type":"article-journal","title":"The GFR and GFR decline cannot be accurately estimated in type 2 diabetics","container-title":"Kidney International","page":"164-173","volume":"84","issue":"1","source":"NCBI PubMed","abstract":"There are no adequate studies that have formally tested the performance of different estimating formulas in patients with type 2 diabetes both with and without overt nephropathy. Here we evaluated the agreement between baseline GFRs, GFR changes at month 6, and long-term GFR decline measured by iohexol plasma clearance or estimated by 15 creatinine-based formulas in 600 type 2 diabetics followed for a median of 4.0 years. Ninety patients were hyperfiltering. The number of those identified by estimation formulas ranged from 0 to 24:58 were not identified by any formula. Baseline GFR was significantly underestimated and a 6-month GFR reduction was missed in hyperfiltering patients. Long-term GFR decline was also underestimated by all formulas in the whole study group and in hyper-, normo-, and hypofiltering patients considered separately. Five formulas generated positive slopes in hyperfiltering patients. Baseline concordance correlation coefficients and total deviation indexes ranged from 32.1% to 92.6% and from 0.21 to 0.53, respectively. Concordance correlation coefficients between estimated and measured long-term GFR decline ranged from -0.21 to 0.35. The agreement between estimated and measured values was also poor within each subgroup considered separately. Thus, our study questions the use of any estimation formula to identify hyperfiltering patients and monitor renal disease progression and response to treatment in type 2 diabetics without overt nephropathy.","DOI":"10.1038/ki.2013.47","ISSN":"1523-1755","note":"PMID: 23447062","journalAbbreviation":"Kidney Int.","language":"eng","author":[{"family":"Gaspari","given":"Flavio"},{"family":"Ruggenenti","given":"Piero"},{"family":"Porrini","given":"Esteban"},{"family":"Motterlini","given":"Nicola"},{"family":"Cannata","given":"Antonio"},{"family":"Carrara","given":"Fabiola"},{"family":"Jiménez Sosa","given":"Alejandro"},{"family":"Cella","given":"Claudia"},{"family":"Ferrari","given":"Silvia"},{"family":"Stucchi","given":"Nadia"},{"family":"Parvanova","given":"Aneliya"},{"family":"Iliev","given":"Ilian"},{"family":"Trevisan","given":"Roberto"},{"family":"Bossi","given":"Antonio"},{"family":"Zaletel","given":"Jelka"},{"family":"Remuzzi","given":"Giuseppe"},{"family":"GFR Study Investigators","given":""}],"issued":{"date-parts":[["2013",7]]},"PMID":"23447062"}}],"schema":"https://github.com/citation-style-language/schema/raw/master/csl-citation.json"} </w:instrText>
      </w:r>
      <w:r w:rsidR="00777D1E" w:rsidRPr="0086281A">
        <w:rPr>
          <w:rFonts w:ascii="Calibri" w:hAnsi="Calibri" w:cs="Times"/>
          <w:lang w:val="en-GB"/>
        </w:rPr>
        <w:fldChar w:fldCharType="separate"/>
      </w:r>
      <w:r w:rsidR="007F0DAD" w:rsidRPr="0086281A">
        <w:rPr>
          <w:rFonts w:ascii="Calibri" w:hAnsi="Calibri" w:cs="Times"/>
          <w:noProof/>
          <w:lang w:val="en-GB"/>
        </w:rPr>
        <w:t>(66)</w:t>
      </w:r>
      <w:r w:rsidR="00777D1E" w:rsidRPr="0086281A">
        <w:rPr>
          <w:rFonts w:ascii="Calibri" w:hAnsi="Calibri" w:cs="Times"/>
          <w:lang w:val="en-GB"/>
        </w:rPr>
        <w:fldChar w:fldCharType="end"/>
      </w:r>
      <w:r w:rsidR="00063AEE" w:rsidRPr="0086281A">
        <w:rPr>
          <w:rFonts w:ascii="Calibri" w:hAnsi="Calibri" w:cs="Times"/>
          <w:lang w:val="en-GB"/>
        </w:rPr>
        <w:t xml:space="preserve"> </w:t>
      </w:r>
      <w:r w:rsidR="00766B7D" w:rsidRPr="0086281A">
        <w:rPr>
          <w:rFonts w:ascii="Calibri" w:hAnsi="Calibri" w:cs="Times"/>
          <w:lang w:val="en-GB"/>
        </w:rPr>
        <w:t>showed that CG, CKD-EPI and MDRD equation</w:t>
      </w:r>
      <w:r w:rsidR="00063AEE" w:rsidRPr="0086281A">
        <w:rPr>
          <w:rFonts w:ascii="Calibri" w:hAnsi="Calibri" w:cs="Times"/>
          <w:lang w:val="en-GB"/>
        </w:rPr>
        <w:t>s</w:t>
      </w:r>
      <w:r w:rsidR="00766B7D" w:rsidRPr="0086281A">
        <w:rPr>
          <w:rFonts w:ascii="Calibri" w:hAnsi="Calibri" w:cs="Times"/>
          <w:lang w:val="en-GB"/>
        </w:rPr>
        <w:t xml:space="preserve"> indexed by the BSA underestimated the mGFR (iohexol)</w:t>
      </w:r>
      <w:r w:rsidR="006554F9" w:rsidRPr="0086281A">
        <w:rPr>
          <w:rFonts w:ascii="Calibri" w:hAnsi="Calibri" w:cs="Times"/>
          <w:lang w:val="en-GB"/>
        </w:rPr>
        <w:t xml:space="preserve"> and thus ignore the hyperfiltration statu</w:t>
      </w:r>
      <w:r w:rsidR="00362FA4" w:rsidRPr="0086281A">
        <w:rPr>
          <w:rFonts w:ascii="Calibri" w:hAnsi="Calibri" w:cs="Times"/>
          <w:lang w:val="en-GB"/>
        </w:rPr>
        <w:t xml:space="preserve">s. </w:t>
      </w:r>
      <w:r w:rsidR="006554F9" w:rsidRPr="0086281A">
        <w:rPr>
          <w:rFonts w:ascii="Calibri" w:hAnsi="Calibri" w:cs="Times"/>
          <w:lang w:val="en-GB"/>
        </w:rPr>
        <w:t>Discrepancy with our own results is explained</w:t>
      </w:r>
      <w:r w:rsidR="001D124D" w:rsidRPr="0086281A">
        <w:rPr>
          <w:rFonts w:ascii="Calibri" w:hAnsi="Calibri" w:cs="Times"/>
          <w:lang w:val="en-GB"/>
        </w:rPr>
        <w:t xml:space="preserve"> </w:t>
      </w:r>
      <w:r w:rsidR="006554F9" w:rsidRPr="0086281A">
        <w:rPr>
          <w:rFonts w:ascii="Calibri" w:hAnsi="Calibri" w:cs="Times"/>
          <w:lang w:val="en-GB"/>
        </w:rPr>
        <w:t>by</w:t>
      </w:r>
      <w:r w:rsidR="001D124D" w:rsidRPr="0086281A">
        <w:rPr>
          <w:rFonts w:ascii="Calibri" w:hAnsi="Calibri" w:cs="Times"/>
          <w:lang w:val="en-GB"/>
        </w:rPr>
        <w:t xml:space="preserve"> the excess of </w:t>
      </w:r>
      <w:r w:rsidR="00766B7D" w:rsidRPr="0086281A">
        <w:rPr>
          <w:rFonts w:ascii="Calibri" w:hAnsi="Calibri" w:cs="Times"/>
          <w:lang w:val="en-GB"/>
        </w:rPr>
        <w:t xml:space="preserve">correction </w:t>
      </w:r>
      <w:r w:rsidR="00362FA4" w:rsidRPr="0086281A">
        <w:rPr>
          <w:rFonts w:ascii="Calibri" w:hAnsi="Calibri" w:cs="Times"/>
          <w:lang w:val="en-GB"/>
        </w:rPr>
        <w:t>induced by</w:t>
      </w:r>
      <w:r w:rsidR="00766B7D" w:rsidRPr="0086281A">
        <w:rPr>
          <w:rFonts w:ascii="Calibri" w:hAnsi="Calibri" w:cs="Times"/>
          <w:lang w:val="en-GB"/>
        </w:rPr>
        <w:t xml:space="preserve"> the BSA in overweight patients. In our population</w:t>
      </w:r>
      <w:r w:rsidR="00063AEE" w:rsidRPr="0086281A">
        <w:rPr>
          <w:rFonts w:ascii="Calibri" w:hAnsi="Calibri" w:cs="Times"/>
          <w:lang w:val="en-GB"/>
        </w:rPr>
        <w:t>,</w:t>
      </w:r>
      <w:r w:rsidR="00766B7D" w:rsidRPr="0086281A">
        <w:rPr>
          <w:rFonts w:ascii="Calibri" w:hAnsi="Calibri" w:cs="Times"/>
          <w:lang w:val="en-GB"/>
        </w:rPr>
        <w:t xml:space="preserve"> using deindexed GFR</w:t>
      </w:r>
      <w:r w:rsidR="00063AEE" w:rsidRPr="0086281A">
        <w:rPr>
          <w:rFonts w:ascii="Calibri" w:hAnsi="Calibri" w:cs="Times"/>
          <w:lang w:val="en-GB"/>
        </w:rPr>
        <w:t>,</w:t>
      </w:r>
      <w:r w:rsidR="00690B46" w:rsidRPr="0086281A">
        <w:rPr>
          <w:rFonts w:ascii="Calibri" w:hAnsi="Calibri" w:cs="Times"/>
          <w:lang w:val="en-GB"/>
        </w:rPr>
        <w:t xml:space="preserve"> </w:t>
      </w:r>
      <w:r w:rsidR="00456BB6" w:rsidRPr="0086281A">
        <w:rPr>
          <w:rFonts w:ascii="Calibri" w:hAnsi="Calibri" w:cs="Times"/>
          <w:lang w:val="en-GB"/>
        </w:rPr>
        <w:t xml:space="preserve">we observed </w:t>
      </w:r>
      <w:r w:rsidR="009A5A63" w:rsidRPr="0086281A">
        <w:rPr>
          <w:rFonts w:ascii="Calibri" w:hAnsi="Calibri" w:cs="Times"/>
          <w:lang w:val="en-GB"/>
        </w:rPr>
        <w:t>a</w:t>
      </w:r>
      <w:r w:rsidR="00690B46" w:rsidRPr="0086281A">
        <w:rPr>
          <w:rFonts w:ascii="Calibri" w:hAnsi="Calibri" w:cs="Times"/>
          <w:lang w:val="en-GB"/>
        </w:rPr>
        <w:t>n</w:t>
      </w:r>
      <w:r w:rsidR="009A5A63" w:rsidRPr="0086281A">
        <w:rPr>
          <w:rFonts w:ascii="Calibri" w:hAnsi="Calibri" w:cs="Times"/>
          <w:lang w:val="en-GB"/>
        </w:rPr>
        <w:t xml:space="preserve"> overestimation</w:t>
      </w:r>
      <w:r w:rsidR="00456BB6" w:rsidRPr="0086281A">
        <w:rPr>
          <w:rFonts w:ascii="Calibri" w:hAnsi="Calibri" w:cs="Times"/>
          <w:lang w:val="en-GB"/>
        </w:rPr>
        <w:t xml:space="preserve"> of mGFR</w:t>
      </w:r>
      <w:r w:rsidR="009A5A63" w:rsidRPr="0086281A">
        <w:rPr>
          <w:rFonts w:ascii="Calibri" w:hAnsi="Calibri" w:cs="Times"/>
          <w:lang w:val="en-GB"/>
        </w:rPr>
        <w:t xml:space="preserve"> by</w:t>
      </w:r>
      <w:r w:rsidR="00456BB6" w:rsidRPr="0086281A">
        <w:rPr>
          <w:rFonts w:ascii="Calibri" w:hAnsi="Calibri" w:cs="Times"/>
          <w:lang w:val="en-GB"/>
        </w:rPr>
        <w:t xml:space="preserve"> all</w:t>
      </w:r>
      <w:r w:rsidR="009A5A63" w:rsidRPr="0086281A">
        <w:rPr>
          <w:rFonts w:ascii="Calibri" w:hAnsi="Calibri" w:cs="Times"/>
          <w:lang w:val="en-GB"/>
        </w:rPr>
        <w:t xml:space="preserve"> eGFR</w:t>
      </w:r>
      <w:r w:rsidR="00456BB6" w:rsidRPr="0086281A">
        <w:rPr>
          <w:rFonts w:ascii="Calibri" w:hAnsi="Calibri" w:cs="Times"/>
          <w:lang w:val="en-GB"/>
        </w:rPr>
        <w:t xml:space="preserve"> equations</w:t>
      </w:r>
      <w:r w:rsidR="00A464A0" w:rsidRPr="0086281A">
        <w:rPr>
          <w:rFonts w:ascii="Calibri" w:hAnsi="Calibri" w:cs="Times"/>
          <w:lang w:val="en-GB"/>
        </w:rPr>
        <w:t xml:space="preserve"> but especially with the CG</w:t>
      </w:r>
      <w:r w:rsidR="000F038A" w:rsidRPr="0086281A">
        <w:rPr>
          <w:rFonts w:ascii="Calibri" w:hAnsi="Calibri" w:cs="Times"/>
          <w:lang w:val="en-GB"/>
        </w:rPr>
        <w:t>.</w:t>
      </w:r>
      <w:r w:rsidR="00690B46" w:rsidRPr="0086281A">
        <w:rPr>
          <w:rFonts w:ascii="Calibri" w:hAnsi="Calibri" w:cs="Times"/>
          <w:lang w:val="en-GB"/>
        </w:rPr>
        <w:t xml:space="preserve"> I</w:t>
      </w:r>
      <w:r w:rsidR="00A32687" w:rsidRPr="0086281A">
        <w:rPr>
          <w:rFonts w:ascii="Calibri" w:hAnsi="Calibri"/>
          <w:lang w:val="en-GB"/>
        </w:rPr>
        <w:t xml:space="preserve">n our study, eGFR equations detect </w:t>
      </w:r>
      <w:r w:rsidR="006554F9" w:rsidRPr="0086281A">
        <w:rPr>
          <w:rFonts w:ascii="Calibri" w:hAnsi="Calibri"/>
          <w:lang w:val="en-GB"/>
        </w:rPr>
        <w:t>hyperfiltration in</w:t>
      </w:r>
      <w:r w:rsidR="00362FA4" w:rsidRPr="0086281A">
        <w:rPr>
          <w:rFonts w:ascii="Calibri" w:hAnsi="Calibri"/>
          <w:lang w:val="en-GB"/>
        </w:rPr>
        <w:t xml:space="preserve"> </w:t>
      </w:r>
      <w:r w:rsidR="00A32687" w:rsidRPr="0086281A">
        <w:rPr>
          <w:rFonts w:ascii="Calibri" w:hAnsi="Calibri"/>
          <w:lang w:val="en-GB"/>
        </w:rPr>
        <w:t>24.6%, 9.8%, 13.7% and 8.5%</w:t>
      </w:r>
      <w:r w:rsidR="006554F9" w:rsidRPr="0086281A">
        <w:rPr>
          <w:rFonts w:ascii="Calibri" w:hAnsi="Calibri"/>
          <w:lang w:val="en-GB"/>
        </w:rPr>
        <w:t xml:space="preserve"> of</w:t>
      </w:r>
      <w:r w:rsidR="00A32687" w:rsidRPr="0086281A">
        <w:rPr>
          <w:rFonts w:ascii="Calibri" w:hAnsi="Calibri"/>
          <w:lang w:val="en-GB"/>
        </w:rPr>
        <w:t xml:space="preserve"> patients </w:t>
      </w:r>
      <w:r w:rsidR="00456BB6" w:rsidRPr="0086281A">
        <w:rPr>
          <w:rFonts w:ascii="Calibri" w:hAnsi="Calibri"/>
          <w:lang w:val="en-GB"/>
        </w:rPr>
        <w:t>when</w:t>
      </w:r>
      <w:r w:rsidR="00A32687" w:rsidRPr="0086281A">
        <w:rPr>
          <w:rFonts w:ascii="Calibri" w:hAnsi="Calibri"/>
          <w:lang w:val="en-GB"/>
        </w:rPr>
        <w:t xml:space="preserve"> CG</w:t>
      </w:r>
      <w:r w:rsidR="00794E4C" w:rsidRPr="008E6410">
        <w:rPr>
          <w:rFonts w:ascii="Calibri" w:hAnsi="Calibri" w:cs="Times"/>
          <w:color w:val="000000"/>
          <w:vertAlign w:val="subscript"/>
          <w:lang w:val="en-GB"/>
        </w:rPr>
        <w:t>ABW</w:t>
      </w:r>
      <w:r w:rsidR="00A32687" w:rsidRPr="0086281A">
        <w:rPr>
          <w:rFonts w:ascii="Calibri" w:hAnsi="Calibri"/>
          <w:lang w:val="en-GB"/>
        </w:rPr>
        <w:t>, CG</w:t>
      </w:r>
      <w:r w:rsidR="00A32687" w:rsidRPr="0086281A">
        <w:rPr>
          <w:rFonts w:ascii="Calibri" w:hAnsi="Calibri"/>
          <w:vertAlign w:val="subscript"/>
          <w:lang w:val="en-GB"/>
        </w:rPr>
        <w:t>AIBW</w:t>
      </w:r>
      <w:r w:rsidR="00A32687" w:rsidRPr="0086281A">
        <w:rPr>
          <w:rFonts w:ascii="Calibri" w:hAnsi="Calibri"/>
          <w:lang w:val="en-GB"/>
        </w:rPr>
        <w:t>, CKD-EPI</w:t>
      </w:r>
      <w:r w:rsidR="00A32687" w:rsidRPr="0086281A">
        <w:rPr>
          <w:rFonts w:ascii="Calibri" w:hAnsi="Calibri"/>
          <w:vertAlign w:val="subscript"/>
          <w:lang w:val="en-GB"/>
        </w:rPr>
        <w:t>deindexed</w:t>
      </w:r>
      <w:r w:rsidR="00A32687" w:rsidRPr="0086281A">
        <w:rPr>
          <w:rFonts w:ascii="Calibri" w:hAnsi="Calibri"/>
          <w:lang w:val="en-GB"/>
        </w:rPr>
        <w:t xml:space="preserve"> and MDRD</w:t>
      </w:r>
      <w:r w:rsidR="00A32687" w:rsidRPr="0086281A">
        <w:rPr>
          <w:rFonts w:ascii="Calibri" w:hAnsi="Calibri"/>
          <w:vertAlign w:val="subscript"/>
          <w:lang w:val="en-GB"/>
        </w:rPr>
        <w:t xml:space="preserve">deindexed </w:t>
      </w:r>
      <w:r w:rsidR="00456BB6" w:rsidRPr="0086281A">
        <w:rPr>
          <w:rFonts w:ascii="Calibri" w:hAnsi="Calibri"/>
          <w:lang w:val="en-GB"/>
        </w:rPr>
        <w:t xml:space="preserve">are considered, </w:t>
      </w:r>
      <w:r w:rsidR="00A32687" w:rsidRPr="0086281A">
        <w:rPr>
          <w:rFonts w:ascii="Calibri" w:hAnsi="Calibri"/>
          <w:lang w:val="en-GB"/>
        </w:rPr>
        <w:t>respectively</w:t>
      </w:r>
      <w:r w:rsidR="00666FE8" w:rsidRPr="0086281A">
        <w:rPr>
          <w:rFonts w:ascii="Calibri" w:hAnsi="Calibri"/>
          <w:lang w:val="en-GB"/>
        </w:rPr>
        <w:t>,</w:t>
      </w:r>
      <w:r w:rsidR="00456BB6" w:rsidRPr="0086281A">
        <w:rPr>
          <w:rFonts w:ascii="Calibri" w:hAnsi="Calibri"/>
          <w:lang w:val="en-GB"/>
        </w:rPr>
        <w:t xml:space="preserve"> although</w:t>
      </w:r>
      <w:r w:rsidR="00690B46" w:rsidRPr="0086281A">
        <w:rPr>
          <w:rFonts w:ascii="Calibri" w:hAnsi="Calibri"/>
          <w:lang w:val="en-GB"/>
        </w:rPr>
        <w:t xml:space="preserve"> </w:t>
      </w:r>
      <w:r w:rsidR="00456BB6" w:rsidRPr="0086281A">
        <w:rPr>
          <w:rFonts w:ascii="Calibri" w:hAnsi="Calibri"/>
          <w:lang w:val="en-GB"/>
        </w:rPr>
        <w:t xml:space="preserve">true </w:t>
      </w:r>
      <w:r w:rsidR="00690B46" w:rsidRPr="0086281A">
        <w:rPr>
          <w:rFonts w:ascii="Calibri" w:hAnsi="Calibri"/>
          <w:lang w:val="en-GB"/>
        </w:rPr>
        <w:t>hyperfiltration</w:t>
      </w:r>
      <w:r w:rsidR="00456BB6" w:rsidRPr="0086281A">
        <w:rPr>
          <w:rFonts w:ascii="Calibri" w:hAnsi="Calibri"/>
          <w:lang w:val="en-GB"/>
        </w:rPr>
        <w:t xml:space="preserve"> by mGFR occurs in only</w:t>
      </w:r>
      <w:r w:rsidR="00362FA4" w:rsidRPr="0086281A">
        <w:rPr>
          <w:rFonts w:ascii="Calibri" w:hAnsi="Calibri"/>
          <w:lang w:val="en-GB"/>
        </w:rPr>
        <w:t xml:space="preserve"> </w:t>
      </w:r>
      <w:r w:rsidR="00A32687" w:rsidRPr="0086281A">
        <w:rPr>
          <w:rFonts w:ascii="Calibri" w:hAnsi="Calibri"/>
          <w:lang w:val="en-GB"/>
        </w:rPr>
        <w:t>5.2%</w:t>
      </w:r>
      <w:r w:rsidR="00456BB6" w:rsidRPr="0086281A">
        <w:rPr>
          <w:rFonts w:ascii="Calibri" w:hAnsi="Calibri"/>
          <w:lang w:val="en-GB"/>
        </w:rPr>
        <w:t xml:space="preserve"> of the population</w:t>
      </w:r>
      <w:r w:rsidR="00A32687" w:rsidRPr="0086281A">
        <w:rPr>
          <w:rFonts w:ascii="Calibri" w:hAnsi="Calibri"/>
          <w:lang w:val="en-GB"/>
        </w:rPr>
        <w:t>.</w:t>
      </w:r>
    </w:p>
    <w:p w:rsidR="00690B46" w:rsidRPr="0086281A" w:rsidRDefault="00690B46" w:rsidP="00E41896">
      <w:pPr>
        <w:rPr>
          <w:rFonts w:ascii="Calibri" w:hAnsi="Calibri" w:cs="Times"/>
          <w:lang w:val="en-GB"/>
        </w:rPr>
      </w:pPr>
    </w:p>
    <w:p w:rsidR="00B6391B" w:rsidRPr="0086281A" w:rsidRDefault="00B6391B" w:rsidP="00B6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r w:rsidRPr="0086281A">
        <w:rPr>
          <w:rFonts w:ascii="Calibri" w:hAnsi="Calibri" w:cs="Times"/>
          <w:lang w:val="en-GB"/>
        </w:rPr>
        <w:t>The strengths of our study include that we measured GFR in a large sample of obese subjects from two centres with a reference method</w:t>
      </w:r>
      <w:r w:rsidR="00F178B9">
        <w:rPr>
          <w:rFonts w:ascii="Calibri" w:hAnsi="Calibri" w:cs="Times"/>
          <w:lang w:val="en-GB"/>
        </w:rPr>
        <w:t>. Also, we measured creatinine with a Jaffe</w:t>
      </w:r>
      <w:r w:rsidRPr="0086281A">
        <w:rPr>
          <w:rFonts w:ascii="Calibri" w:hAnsi="Calibri" w:cs="Times"/>
          <w:lang w:val="en-GB"/>
        </w:rPr>
        <w:t xml:space="preserve"> IDMS-traceable</w:t>
      </w:r>
      <w:r w:rsidR="00F178B9">
        <w:rPr>
          <w:rFonts w:ascii="Calibri" w:hAnsi="Calibri" w:cs="Times"/>
          <w:lang w:val="en-GB"/>
        </w:rPr>
        <w:t xml:space="preserve"> method</w:t>
      </w:r>
      <w:r w:rsidRPr="0086281A">
        <w:rPr>
          <w:rFonts w:ascii="Calibri" w:hAnsi="Calibri" w:cs="Times"/>
          <w:lang w:val="en-GB"/>
        </w:rPr>
        <w:t xml:space="preserve">. </w:t>
      </w:r>
      <w:r w:rsidR="00F178B9">
        <w:rPr>
          <w:rFonts w:ascii="Calibri" w:hAnsi="Calibri" w:cs="Times"/>
          <w:lang w:val="en-GB"/>
        </w:rPr>
        <w:t>Enzymatic methods would theoritically give still better results in precision (and tend</w:t>
      </w:r>
      <w:r w:rsidR="00F178B9" w:rsidRPr="0086281A">
        <w:rPr>
          <w:rFonts w:ascii="Calibri" w:hAnsi="Calibri" w:cs="Times"/>
          <w:lang w:val="en-GB"/>
        </w:rPr>
        <w:t xml:space="preserve"> to become the reference</w:t>
      </w:r>
      <w:r w:rsidR="00F178B9">
        <w:rPr>
          <w:rFonts w:ascii="Calibri" w:hAnsi="Calibri" w:cs="Times"/>
          <w:lang w:val="en-GB"/>
        </w:rPr>
        <w:t>)</w:t>
      </w:r>
      <w:r w:rsidR="00F178B9" w:rsidRPr="0086281A">
        <w:rPr>
          <w:rFonts w:ascii="Calibri" w:hAnsi="Calibri" w:cs="Times"/>
          <w:lang w:val="en-GB"/>
        </w:rPr>
        <w:t xml:space="preserve"> </w:t>
      </w:r>
      <w:r w:rsidR="00F178B9">
        <w:rPr>
          <w:rFonts w:ascii="Calibri" w:hAnsi="Calibri" w:cs="Times"/>
          <w:lang w:val="en-GB"/>
        </w:rPr>
        <w:t xml:space="preserve">but </w:t>
      </w:r>
      <w:r w:rsidR="00CE1383" w:rsidRPr="0086281A">
        <w:rPr>
          <w:rFonts w:ascii="Calibri" w:hAnsi="Calibri" w:cs="Times"/>
          <w:lang w:val="en-GB"/>
        </w:rPr>
        <w:t xml:space="preserve">this method </w:t>
      </w:r>
      <w:r w:rsidR="00F178B9">
        <w:rPr>
          <w:rFonts w:ascii="Calibri" w:hAnsi="Calibri" w:cs="Times"/>
          <w:lang w:val="en-GB"/>
        </w:rPr>
        <w:t>remains more costly. Another strength of our study is the fact that s</w:t>
      </w:r>
      <w:r w:rsidRPr="0086281A">
        <w:rPr>
          <w:rFonts w:ascii="Calibri" w:hAnsi="Calibri" w:cs="Times"/>
          <w:lang w:val="en-GB"/>
        </w:rPr>
        <w:t>ubjects</w:t>
      </w:r>
      <w:r w:rsidR="00666FE8" w:rsidRPr="0086281A">
        <w:rPr>
          <w:rFonts w:ascii="Calibri" w:hAnsi="Calibri" w:cs="Times"/>
          <w:lang w:val="en-GB"/>
        </w:rPr>
        <w:t xml:space="preserve"> </w:t>
      </w:r>
      <w:r w:rsidR="00F178B9">
        <w:rPr>
          <w:rFonts w:ascii="Calibri" w:hAnsi="Calibri" w:cs="Times"/>
          <w:lang w:val="en-GB"/>
        </w:rPr>
        <w:t>included</w:t>
      </w:r>
      <w:r w:rsidRPr="0086281A">
        <w:rPr>
          <w:rFonts w:ascii="Calibri" w:hAnsi="Calibri" w:cs="Times"/>
          <w:lang w:val="en-GB"/>
        </w:rPr>
        <w:t xml:space="preserve"> are all obese, and not only overweight. </w:t>
      </w:r>
    </w:p>
    <w:p w:rsidR="00B6391B" w:rsidRPr="0086281A" w:rsidRDefault="00B6391B" w:rsidP="00B6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lang w:val="en-GB"/>
        </w:rPr>
      </w:pPr>
    </w:p>
    <w:p w:rsidR="009253D6" w:rsidRPr="0086281A" w:rsidRDefault="00B6391B" w:rsidP="004F6334">
      <w:pPr>
        <w:rPr>
          <w:rFonts w:ascii="Calibri" w:hAnsi="Calibri" w:cs="Times"/>
          <w:lang w:val="en-GB"/>
        </w:rPr>
      </w:pPr>
      <w:r w:rsidRPr="0086281A">
        <w:rPr>
          <w:rFonts w:ascii="Calibri" w:hAnsi="Calibri" w:cs="Times"/>
          <w:lang w:val="en-GB"/>
        </w:rPr>
        <w:t xml:space="preserve">There are also limitations to this study. First, plasma clearances are less physiological than urinary clearances. However, this technique is considered as a reference and several studies have illustrated its concordances with urinary clearances of inulin </w:t>
      </w:r>
      <w:r w:rsidR="00777D1E" w:rsidRPr="0086281A">
        <w:rPr>
          <w:rFonts w:ascii="Calibri" w:hAnsi="Calibri" w:cs="Times"/>
          <w:lang w:val="en-GB"/>
        </w:rPr>
        <w:fldChar w:fldCharType="begin"/>
      </w:r>
      <w:r w:rsidR="007F0DAD" w:rsidRPr="0086281A">
        <w:rPr>
          <w:rFonts w:ascii="Calibri" w:hAnsi="Calibri" w:cs="Times"/>
          <w:lang w:val="en-GB"/>
        </w:rPr>
        <w:instrText xml:space="preserve"> ADDIN ZOTERO_ITEM CSL_CITATION {"citationID":"n6k88b8ns","properties":{"formattedCitation":"(67)","plainCitation":"(67)"},"citationItems":[{"id":1225,"uris":["http://zotero.org/users/2405774/items/7VJTCJ3P"],"uri":["http://zotero.org/users/2405774/items/7VJTCJ3P"],"itemData":{"id":1225,"type":"article-journal","title":"Validation of plasma clearance of 51Cr-EDTA in adult renal transplant recipients: comparison with inulin renal clearance","container-title":"Transplant International","page":"323-331","volume":"22","issue":"3","source":"NCBI PubMed","abstract":"Plasma clearance of (51)Cr-EDTA ((51)Cr-EDTA-Cl) is an alternative method to evaluate glomerular filtration rate (GFR). This study aimed to investigate the concordance between (51)Cr-EDTA-Cl and renal inulin clearance (In-Cl) in renal transplant recipients as well to determine the repeatability of (51)Cr-EDTA-Cl in kidney donors. Forty four kidney recipients and 22 kidney donors were enrolled. Simultaneous measurements of (51)Cr-EDTA-Cl and In-Cl were performed. A single dose of 3.7MBq of (51)Cr-EDTA was injected and the plasma disappearance curve was created by taking blood samples at 2, 4, 6 and 8 h after injection. Bland and Altman statistical approach was used to quantify the agreement between In-Cl and (51)Cr-EDTA-Cl and to determine the better concordance between all possibilities of measure for the (51)Cr-EDTA-Cl. The mean of In-Cl was 44.5 +/- 17.9 ml/min/1.73 m(2). There was a positive correlation between In-Cl and all possible measurements of (51)Cr-EDTA-Cl. (51)Cr-EDTA-Cl with two samples taken at 4 and 8 h or at 4 and 6 h presenting the narrow limits of agreement and a difference (bias) of 2.8 and 2.7 ml/min, respectively. Two plasma sampling for (51)Cr-EDTA-Cl was a reliable method to measure GFR compared with In-Cl and comprises a suitable method to be used in kidney transplanted patients.","DOI":"10.1111/j.1432-2277.2008.00799.x","ISSN":"0934-0874","note":"PMID: 19055616","shortTitle":"Validation of plasma clearance of 51Cr-EDTA in adult renal transplant recipients","journalAbbreviation":"Transpl. Int.","language":"eng","author":[{"family":"Medeiros","given":"Flávia Silva Reis"},{"family":"Sapienza","given":"Marcelo T."},{"family":"Prado","given":"Elisângela S."},{"family":"Agena","given":"Fabiana"},{"family":"Shimizu","given":"Maria H. M."},{"family":"Lemos","given":"Francine B. C."},{"family":"Buchpiguel","given":"Carlos A."},{"family":"Ianhez","given":"Luiz E."},{"family":"David-Neto","given":"Elias"}],"issued":{"date-parts":[["2009",3]]},"PMID":"19055616"}}],"schema":"https://github.com/citation-style-language/schema/raw/master/csl-citation.json"} </w:instrText>
      </w:r>
      <w:r w:rsidR="00777D1E" w:rsidRPr="0086281A">
        <w:rPr>
          <w:rFonts w:ascii="Calibri" w:hAnsi="Calibri" w:cs="Times"/>
          <w:lang w:val="en-GB"/>
        </w:rPr>
        <w:fldChar w:fldCharType="separate"/>
      </w:r>
      <w:r w:rsidR="007F0DAD" w:rsidRPr="0086281A">
        <w:rPr>
          <w:rFonts w:ascii="Calibri" w:hAnsi="Calibri"/>
          <w:lang w:val="en-GB"/>
        </w:rPr>
        <w:t>(67)</w:t>
      </w:r>
      <w:r w:rsidR="00777D1E" w:rsidRPr="0086281A">
        <w:rPr>
          <w:rFonts w:ascii="Calibri" w:hAnsi="Calibri" w:cs="Times"/>
          <w:lang w:val="en-GB"/>
        </w:rPr>
        <w:fldChar w:fldCharType="end"/>
      </w:r>
      <w:r w:rsidRPr="0086281A">
        <w:rPr>
          <w:rFonts w:ascii="Calibri" w:hAnsi="Calibri" w:cs="Times"/>
          <w:lang w:val="en-GB"/>
        </w:rPr>
        <w:t>. Second, most of our subjects were Caucasians and a study in obese patients from other eth</w:t>
      </w:r>
      <w:r w:rsidR="00624D9E" w:rsidRPr="0086281A">
        <w:rPr>
          <w:rFonts w:ascii="Calibri" w:hAnsi="Calibri" w:cs="Times"/>
          <w:lang w:val="en-GB"/>
        </w:rPr>
        <w:t xml:space="preserve">nicities would be of interest. </w:t>
      </w:r>
      <w:r w:rsidRPr="0086281A">
        <w:rPr>
          <w:rFonts w:ascii="Calibri" w:hAnsi="Calibri" w:cs="Times"/>
          <w:lang w:val="en-GB"/>
        </w:rPr>
        <w:t>Third,</w:t>
      </w:r>
      <w:r w:rsidR="0065100B" w:rsidRPr="0086281A">
        <w:rPr>
          <w:rFonts w:ascii="Calibri" w:hAnsi="Calibri" w:cs="Times"/>
          <w:lang w:val="en-GB"/>
        </w:rPr>
        <w:t xml:space="preserve"> there were no elderly patients; we also know that this part of the population i</w:t>
      </w:r>
      <w:r w:rsidR="00696146">
        <w:rPr>
          <w:rFonts w:ascii="Calibri" w:hAnsi="Calibri" w:cs="Times"/>
          <w:lang w:val="en-GB"/>
        </w:rPr>
        <w:t>s more at risk of GFR decline</w:t>
      </w:r>
      <w:r w:rsidR="0065100B" w:rsidRPr="0086281A">
        <w:rPr>
          <w:rFonts w:ascii="Calibri" w:hAnsi="Calibri" w:cs="Times"/>
          <w:lang w:val="en-GB"/>
        </w:rPr>
        <w:t xml:space="preserve"> and therefore </w:t>
      </w:r>
      <w:r w:rsidR="00B5464D" w:rsidRPr="0086281A">
        <w:rPr>
          <w:rFonts w:ascii="Calibri" w:hAnsi="Calibri" w:cs="Times"/>
          <w:lang w:val="en-GB"/>
        </w:rPr>
        <w:t>need</w:t>
      </w:r>
      <w:r w:rsidR="005F5DA3" w:rsidRPr="0086281A">
        <w:rPr>
          <w:rFonts w:ascii="Calibri" w:hAnsi="Calibri" w:cs="Times"/>
          <w:lang w:val="en-GB"/>
        </w:rPr>
        <w:t>s</w:t>
      </w:r>
      <w:r w:rsidR="00B5464D" w:rsidRPr="0086281A">
        <w:rPr>
          <w:rFonts w:ascii="Calibri" w:hAnsi="Calibri" w:cs="Times"/>
          <w:lang w:val="en-GB"/>
        </w:rPr>
        <w:t xml:space="preserve"> more frequently the </w:t>
      </w:r>
      <w:r w:rsidR="0065100B" w:rsidRPr="0086281A">
        <w:rPr>
          <w:rFonts w:ascii="Calibri" w:hAnsi="Calibri" w:cs="Times"/>
          <w:lang w:val="en-GB"/>
        </w:rPr>
        <w:t>adaptation of drug dosage. Furthermore</w:t>
      </w:r>
      <w:r w:rsidR="005F5DA3" w:rsidRPr="0086281A">
        <w:rPr>
          <w:rFonts w:ascii="Calibri" w:hAnsi="Calibri" w:cs="Times"/>
          <w:lang w:val="en-GB"/>
        </w:rPr>
        <w:t>,</w:t>
      </w:r>
      <w:r w:rsidR="0065100B" w:rsidRPr="0086281A">
        <w:rPr>
          <w:rFonts w:ascii="Calibri" w:hAnsi="Calibri" w:cs="Times"/>
          <w:lang w:val="en-GB"/>
        </w:rPr>
        <w:t xml:space="preserve"> </w:t>
      </w:r>
      <w:r w:rsidRPr="0086281A">
        <w:rPr>
          <w:rFonts w:ascii="Calibri" w:hAnsi="Calibri" w:cs="Times"/>
          <w:lang w:val="en-GB"/>
        </w:rPr>
        <w:t>our population was not representative of the general obese population as CKD patients were obviously overrepresented.</w:t>
      </w:r>
      <w:r w:rsidR="00576530" w:rsidRPr="0086281A">
        <w:rPr>
          <w:rFonts w:ascii="Calibri" w:hAnsi="Calibri" w:cs="Times"/>
          <w:lang w:val="en-GB"/>
        </w:rPr>
        <w:t xml:space="preserve"> Fourth, the</w:t>
      </w:r>
      <w:r w:rsidR="00576530" w:rsidRPr="0086281A">
        <w:rPr>
          <w:rFonts w:ascii="Calibri" w:hAnsi="Calibri"/>
          <w:lang w:val="en-GB"/>
        </w:rPr>
        <w:t xml:space="preserve"> consensus in favour of a dose adjustment of drugs from non-indexed GFR brings are not free from </w:t>
      </w:r>
      <w:r w:rsidR="00362FA4" w:rsidRPr="0086281A">
        <w:rPr>
          <w:rFonts w:ascii="Calibri" w:hAnsi="Calibri"/>
          <w:lang w:val="en-GB"/>
        </w:rPr>
        <w:t>criticisms</w:t>
      </w:r>
      <w:r w:rsidR="00576530" w:rsidRPr="0086281A">
        <w:rPr>
          <w:rFonts w:ascii="Calibri" w:hAnsi="Calibri"/>
          <w:lang w:val="en-GB"/>
        </w:rPr>
        <w:t xml:space="preserve">. Indeed, this recommendation is based on theoretical arguments, almost logical, but no </w:t>
      </w:r>
      <w:r w:rsidR="00576530" w:rsidRPr="0086281A">
        <w:rPr>
          <w:rFonts w:ascii="Calibri" w:hAnsi="Calibri"/>
          <w:lang w:val="en-GB"/>
        </w:rPr>
        <w:lastRenderedPageBreak/>
        <w:t>studies to date have proved the superiority of one strategy over the other. Moreover,</w:t>
      </w:r>
      <w:r w:rsidR="0047571C">
        <w:rPr>
          <w:rFonts w:ascii="Calibri" w:hAnsi="Calibri"/>
          <w:lang w:val="en-GB"/>
        </w:rPr>
        <w:t xml:space="preserve"> even if recommended by the FDA and EMA,</w:t>
      </w:r>
      <w:r w:rsidR="00576530" w:rsidRPr="0086281A">
        <w:rPr>
          <w:rFonts w:ascii="Calibri" w:hAnsi="Calibri"/>
          <w:lang w:val="en-GB"/>
        </w:rPr>
        <w:t xml:space="preserve"> “de-indexation” of the MDRD and CKD-EPI e</w:t>
      </w:r>
      <w:r w:rsidR="0047571C">
        <w:rPr>
          <w:rFonts w:ascii="Calibri" w:hAnsi="Calibri"/>
          <w:lang w:val="en-GB"/>
        </w:rPr>
        <w:t xml:space="preserve">quations is mathematically </w:t>
      </w:r>
      <w:r w:rsidR="00576530" w:rsidRPr="0086281A">
        <w:rPr>
          <w:rFonts w:ascii="Calibri" w:hAnsi="Calibri"/>
          <w:lang w:val="en-GB"/>
        </w:rPr>
        <w:t>questionable</w:t>
      </w:r>
      <w:r w:rsidR="0047571C">
        <w:rPr>
          <w:rFonts w:ascii="Calibri" w:hAnsi="Calibri"/>
          <w:lang w:val="en-GB"/>
        </w:rPr>
        <w:t>, espeically</w:t>
      </w:r>
      <w:r w:rsidR="00576530" w:rsidRPr="0086281A">
        <w:rPr>
          <w:rFonts w:ascii="Calibri" w:hAnsi="Calibri"/>
          <w:lang w:val="en-GB"/>
        </w:rPr>
        <w:t xml:space="preserve"> for patients with BSA beyond the BSA observed in cohorts used to develop these equations</w:t>
      </w:r>
      <w:r w:rsidR="00DB508F">
        <w:rPr>
          <w:rFonts w:ascii="Calibri" w:hAnsi="Calibri"/>
          <w:lang w:val="en-GB"/>
        </w:rPr>
        <w:t>, as it is the case in our work</w:t>
      </w:r>
      <w:r w:rsidR="00576530" w:rsidRPr="0086281A">
        <w:rPr>
          <w:rFonts w:ascii="Calibri" w:hAnsi="Calibri"/>
          <w:lang w:val="en-GB"/>
        </w:rPr>
        <w:t>.</w:t>
      </w:r>
      <w:r w:rsidR="00DB508F">
        <w:rPr>
          <w:rFonts w:ascii="Calibri" w:hAnsi="Calibri"/>
          <w:lang w:val="en-GB"/>
        </w:rPr>
        <w:t xml:space="preserve"> Further studies could be still necessary.</w:t>
      </w:r>
      <w:r w:rsidR="00576530" w:rsidRPr="0086281A">
        <w:rPr>
          <w:rFonts w:ascii="Calibri" w:hAnsi="Calibri"/>
          <w:lang w:val="en-GB"/>
        </w:rPr>
        <w:t xml:space="preserve"> </w:t>
      </w:r>
      <w:r w:rsidRPr="0086281A">
        <w:rPr>
          <w:rFonts w:ascii="Calibri" w:hAnsi="Calibri" w:cs="Times"/>
          <w:lang w:val="en-GB"/>
        </w:rPr>
        <w:t>Finally, our study lacks a paired non-obese population, which would be necessary to evaluate the speci</w:t>
      </w:r>
      <w:r w:rsidRPr="0086281A">
        <w:rPr>
          <w:rFonts w:ascii="Calibri" w:hAnsi="Calibri" w:cs="Helvetica"/>
          <w:lang w:val="en-GB"/>
        </w:rPr>
        <w:t>fi</w:t>
      </w:r>
      <w:r w:rsidRPr="0086281A">
        <w:rPr>
          <w:rFonts w:ascii="Calibri" w:hAnsi="Calibri" w:cs="Times"/>
          <w:lang w:val="en-GB"/>
        </w:rPr>
        <w:t>c impact of obesity on the intrinsic performances of each equation.</w:t>
      </w:r>
    </w:p>
    <w:p w:rsidR="006C0A06" w:rsidRPr="0086281A" w:rsidRDefault="00403D54" w:rsidP="00FA0987">
      <w:pPr>
        <w:pStyle w:val="Titre1"/>
        <w:rPr>
          <w:rFonts w:ascii="Calibri" w:hAnsi="Calibri"/>
          <w:lang w:val="en-GB"/>
        </w:rPr>
      </w:pPr>
      <w:r w:rsidRPr="0086281A">
        <w:rPr>
          <w:rFonts w:ascii="Calibri" w:hAnsi="Calibri"/>
          <w:lang w:val="en-GB"/>
        </w:rPr>
        <w:t>Conclusion</w:t>
      </w:r>
    </w:p>
    <w:p w:rsidR="005C0DC3" w:rsidRPr="0086281A" w:rsidRDefault="005C0DC3" w:rsidP="008328DD">
      <w:pPr>
        <w:rPr>
          <w:rFonts w:ascii="Calibri" w:hAnsi="Calibri"/>
          <w:lang w:val="en-GB"/>
        </w:rPr>
      </w:pPr>
    </w:p>
    <w:p w:rsidR="004A56A9" w:rsidRPr="0086281A" w:rsidRDefault="005C0DC3" w:rsidP="004A56A9">
      <w:pPr>
        <w:rPr>
          <w:rFonts w:ascii="Calibri" w:hAnsi="Calibri" w:cs="Times New Roman"/>
          <w:color w:val="000000"/>
          <w:lang w:val="en-GB"/>
        </w:rPr>
      </w:pPr>
      <w:r w:rsidRPr="0086281A">
        <w:rPr>
          <w:rFonts w:ascii="Calibri" w:hAnsi="Calibri"/>
          <w:lang w:val="en-GB"/>
        </w:rPr>
        <w:t>For several years, the CG equation has been the most commonly used method to estimate kidney function for drug dosing purposes. The widespread clinical use of MDRD</w:t>
      </w:r>
      <w:r w:rsidR="00C34A29" w:rsidRPr="0086281A">
        <w:rPr>
          <w:rFonts w:ascii="Calibri" w:hAnsi="Calibri"/>
          <w:lang w:val="en-GB"/>
        </w:rPr>
        <w:t xml:space="preserve"> and CKD-EPI</w:t>
      </w:r>
      <w:r w:rsidRPr="0086281A">
        <w:rPr>
          <w:rFonts w:ascii="Calibri" w:hAnsi="Calibri"/>
          <w:lang w:val="en-GB"/>
        </w:rPr>
        <w:t xml:space="preserve">-derived eGFR has facilitated </w:t>
      </w:r>
      <w:r w:rsidR="005F5DA3" w:rsidRPr="0086281A">
        <w:rPr>
          <w:rFonts w:ascii="Calibri" w:hAnsi="Calibri"/>
          <w:lang w:val="en-GB"/>
        </w:rPr>
        <w:t xml:space="preserve">the </w:t>
      </w:r>
      <w:r w:rsidRPr="0086281A">
        <w:rPr>
          <w:rFonts w:ascii="Calibri" w:hAnsi="Calibri"/>
          <w:lang w:val="en-GB"/>
        </w:rPr>
        <w:t>identification and classification of patients with CKD</w:t>
      </w:r>
      <w:r w:rsidR="005F5DA3" w:rsidRPr="0086281A">
        <w:rPr>
          <w:rFonts w:ascii="Calibri" w:hAnsi="Calibri"/>
          <w:lang w:val="en-GB"/>
        </w:rPr>
        <w:t>,</w:t>
      </w:r>
      <w:r w:rsidRPr="0086281A">
        <w:rPr>
          <w:rFonts w:ascii="Calibri" w:hAnsi="Calibri"/>
          <w:lang w:val="en-GB"/>
        </w:rPr>
        <w:t xml:space="preserve"> and now provides clinicians </w:t>
      </w:r>
      <w:r w:rsidR="005F5DA3" w:rsidRPr="0086281A">
        <w:rPr>
          <w:rFonts w:ascii="Calibri" w:hAnsi="Calibri"/>
          <w:lang w:val="en-GB"/>
        </w:rPr>
        <w:t xml:space="preserve">with </w:t>
      </w:r>
      <w:r w:rsidRPr="0086281A">
        <w:rPr>
          <w:rFonts w:ascii="Calibri" w:hAnsi="Calibri"/>
          <w:lang w:val="en-GB"/>
        </w:rPr>
        <w:t>an alternative to the CG equ</w:t>
      </w:r>
      <w:r w:rsidR="004A56A9" w:rsidRPr="0086281A">
        <w:rPr>
          <w:rFonts w:ascii="Calibri" w:hAnsi="Calibri"/>
          <w:lang w:val="en-GB"/>
        </w:rPr>
        <w:t>ation for drug dosing.</w:t>
      </w:r>
      <w:r w:rsidR="004A56A9" w:rsidRPr="0086281A">
        <w:rPr>
          <w:rFonts w:ascii="Calibri" w:hAnsi="Calibri" w:cs="Times New Roman"/>
          <w:color w:val="000000"/>
          <w:lang w:val="en-GB"/>
        </w:rPr>
        <w:t xml:space="preserve"> </w:t>
      </w:r>
      <w:r w:rsidR="00A464A0" w:rsidRPr="0086281A">
        <w:rPr>
          <w:rFonts w:ascii="Calibri" w:hAnsi="Calibri" w:cs="Times New Roman"/>
          <w:color w:val="000000"/>
          <w:lang w:val="en-GB"/>
        </w:rPr>
        <w:t>D</w:t>
      </w:r>
      <w:r w:rsidR="004A56A9" w:rsidRPr="0086281A">
        <w:rPr>
          <w:rFonts w:ascii="Calibri" w:hAnsi="Calibri" w:cs="Times New Roman"/>
          <w:color w:val="000000"/>
          <w:lang w:val="en-GB"/>
        </w:rPr>
        <w:t xml:space="preserve">iscrepancies between CG and other equations could </w:t>
      </w:r>
      <w:r w:rsidR="005F5DA3" w:rsidRPr="0086281A">
        <w:rPr>
          <w:rFonts w:ascii="Calibri" w:hAnsi="Calibri" w:cs="Times New Roman"/>
          <w:color w:val="000000"/>
          <w:lang w:val="en-GB"/>
        </w:rPr>
        <w:t>build up,</w:t>
      </w:r>
      <w:r w:rsidR="004A56A9" w:rsidRPr="0086281A">
        <w:rPr>
          <w:rFonts w:ascii="Calibri" w:hAnsi="Calibri" w:cs="Times New Roman"/>
          <w:color w:val="000000"/>
          <w:lang w:val="en-GB"/>
        </w:rPr>
        <w:t xml:space="preserve"> and this is especially relevant in obese population</w:t>
      </w:r>
      <w:r w:rsidR="005F5DA3" w:rsidRPr="0086281A">
        <w:rPr>
          <w:rFonts w:ascii="Calibri" w:hAnsi="Calibri" w:cs="Times New Roman"/>
          <w:color w:val="000000"/>
          <w:lang w:val="en-GB"/>
        </w:rPr>
        <w:t>,</w:t>
      </w:r>
      <w:r w:rsidR="004A56A9" w:rsidRPr="0086281A">
        <w:rPr>
          <w:rFonts w:ascii="Calibri" w:hAnsi="Calibri" w:cs="Times New Roman"/>
          <w:color w:val="000000"/>
          <w:lang w:val="en-GB"/>
        </w:rPr>
        <w:t xml:space="preserve"> as weight is an important variable of the CG (and absent in both MDRD and CKD-EPI).</w:t>
      </w:r>
    </w:p>
    <w:p w:rsidR="000D4A59" w:rsidRPr="0086281A" w:rsidRDefault="000D4A59" w:rsidP="005C0DC3">
      <w:pPr>
        <w:rPr>
          <w:rFonts w:ascii="Calibri" w:hAnsi="Calibri"/>
          <w:lang w:val="en-GB"/>
        </w:rPr>
      </w:pPr>
    </w:p>
    <w:p w:rsidR="00B46D0B" w:rsidRPr="0086281A" w:rsidRDefault="00456BB6" w:rsidP="00847C86">
      <w:pPr>
        <w:rPr>
          <w:rFonts w:ascii="Calibri" w:hAnsi="Calibri" w:cs="Times New Roman"/>
          <w:color w:val="000000"/>
          <w:lang w:val="en-GB"/>
        </w:rPr>
      </w:pPr>
      <w:r w:rsidRPr="0086281A">
        <w:rPr>
          <w:rFonts w:ascii="Calibri" w:hAnsi="Calibri"/>
          <w:lang w:val="en-GB"/>
        </w:rPr>
        <w:t xml:space="preserve">We demonstrate that </w:t>
      </w:r>
      <w:r w:rsidR="00F949F3" w:rsidRPr="0086281A">
        <w:rPr>
          <w:rFonts w:ascii="Calibri" w:hAnsi="Calibri"/>
          <w:lang w:val="en-GB"/>
        </w:rPr>
        <w:t xml:space="preserve">the </w:t>
      </w:r>
      <w:r w:rsidR="00696146">
        <w:rPr>
          <w:rFonts w:ascii="Calibri" w:hAnsi="Calibri"/>
          <w:lang w:val="en-GB"/>
        </w:rPr>
        <w:t>performance</w:t>
      </w:r>
      <w:r w:rsidR="00DE27CD" w:rsidRPr="0086281A">
        <w:rPr>
          <w:rFonts w:ascii="Calibri" w:hAnsi="Calibri"/>
          <w:lang w:val="en-GB"/>
        </w:rPr>
        <w:t xml:space="preserve"> of the CG</w:t>
      </w:r>
      <w:r w:rsidR="00DE27CD" w:rsidRPr="0086281A">
        <w:rPr>
          <w:rFonts w:ascii="Calibri" w:hAnsi="Calibri" w:cs="Times"/>
          <w:color w:val="000000"/>
          <w:vertAlign w:val="subscript"/>
          <w:lang w:val="en-GB"/>
        </w:rPr>
        <w:t>ABW</w:t>
      </w:r>
      <w:r w:rsidR="00696146">
        <w:rPr>
          <w:rFonts w:ascii="Calibri" w:hAnsi="Calibri"/>
          <w:lang w:val="en-GB"/>
        </w:rPr>
        <w:t xml:space="preserve"> equation is</w:t>
      </w:r>
      <w:r w:rsidR="001B1B31" w:rsidRPr="0086281A">
        <w:rPr>
          <w:rFonts w:ascii="Calibri" w:hAnsi="Calibri"/>
          <w:lang w:val="en-GB"/>
        </w:rPr>
        <w:t xml:space="preserve"> low</w:t>
      </w:r>
      <w:r w:rsidR="00F949F3" w:rsidRPr="0086281A">
        <w:rPr>
          <w:rFonts w:ascii="Calibri" w:hAnsi="Calibri"/>
          <w:lang w:val="en-GB"/>
        </w:rPr>
        <w:t xml:space="preserve"> in the obese population. Using AIBW instead of </w:t>
      </w:r>
      <w:r w:rsidR="00B46D0B" w:rsidRPr="0086281A">
        <w:rPr>
          <w:rFonts w:ascii="Calibri" w:hAnsi="Calibri"/>
          <w:lang w:val="en-GB"/>
        </w:rPr>
        <w:t xml:space="preserve">ABW </w:t>
      </w:r>
      <w:r w:rsidR="00F949F3" w:rsidRPr="0086281A">
        <w:rPr>
          <w:rFonts w:ascii="Calibri" w:hAnsi="Calibri"/>
          <w:lang w:val="en-GB"/>
        </w:rPr>
        <w:t>in the CG equation</w:t>
      </w:r>
      <w:r w:rsidR="001B1B31" w:rsidRPr="0086281A">
        <w:rPr>
          <w:rFonts w:ascii="Calibri" w:hAnsi="Calibri"/>
          <w:lang w:val="en-GB"/>
        </w:rPr>
        <w:t xml:space="preserve"> </w:t>
      </w:r>
      <w:r w:rsidR="0071773E" w:rsidRPr="0086281A">
        <w:rPr>
          <w:rFonts w:ascii="Calibri" w:hAnsi="Calibri"/>
          <w:lang w:val="en-GB"/>
        </w:rPr>
        <w:t>(no-indexed)</w:t>
      </w:r>
      <w:r w:rsidR="00F949F3" w:rsidRPr="0086281A">
        <w:rPr>
          <w:rFonts w:ascii="Calibri" w:hAnsi="Calibri"/>
          <w:lang w:val="en-GB"/>
        </w:rPr>
        <w:t xml:space="preserve"> increase</w:t>
      </w:r>
      <w:r w:rsidR="005F5DA3" w:rsidRPr="0086281A">
        <w:rPr>
          <w:rFonts w:ascii="Calibri" w:hAnsi="Calibri"/>
          <w:lang w:val="en-GB"/>
        </w:rPr>
        <w:t>s</w:t>
      </w:r>
      <w:r w:rsidR="00F949F3" w:rsidRPr="0086281A">
        <w:rPr>
          <w:rFonts w:ascii="Calibri" w:hAnsi="Calibri"/>
          <w:lang w:val="en-GB"/>
        </w:rPr>
        <w:t xml:space="preserve"> drastically the performances compared to other eGFR equations, especially when </w:t>
      </w:r>
      <w:r w:rsidR="005F5DA3" w:rsidRPr="0086281A">
        <w:rPr>
          <w:rFonts w:ascii="Calibri" w:hAnsi="Calibri"/>
          <w:lang w:val="en-GB"/>
        </w:rPr>
        <w:t>deciding</w:t>
      </w:r>
      <w:r w:rsidR="00F949F3" w:rsidRPr="0086281A">
        <w:rPr>
          <w:rFonts w:ascii="Calibri" w:hAnsi="Calibri"/>
          <w:lang w:val="en-GB"/>
        </w:rPr>
        <w:t xml:space="preserve"> whether the drug should be stop</w:t>
      </w:r>
      <w:r w:rsidR="005F5DA3" w:rsidRPr="0086281A">
        <w:rPr>
          <w:rFonts w:ascii="Calibri" w:hAnsi="Calibri"/>
          <w:lang w:val="en-GB"/>
        </w:rPr>
        <w:t>ped</w:t>
      </w:r>
      <w:r w:rsidR="00F949F3" w:rsidRPr="0086281A">
        <w:rPr>
          <w:rFonts w:ascii="Calibri" w:hAnsi="Calibri"/>
          <w:lang w:val="en-GB"/>
        </w:rPr>
        <w:t xml:space="preserve"> or not (GFR &lt; 30</w:t>
      </w:r>
      <w:r w:rsidR="00666FE8" w:rsidRPr="0086281A">
        <w:rPr>
          <w:rFonts w:ascii="Calibri" w:hAnsi="Calibri"/>
          <w:lang w:val="en-GB"/>
        </w:rPr>
        <w:t xml:space="preserve"> </w:t>
      </w:r>
      <w:r w:rsidR="00F949F3" w:rsidRPr="0086281A">
        <w:rPr>
          <w:rFonts w:ascii="Calibri" w:hAnsi="Calibri"/>
          <w:lang w:val="en-GB"/>
        </w:rPr>
        <w:t>mL/min). When adaptation of drug dosage need</w:t>
      </w:r>
      <w:r w:rsidR="005F5DA3" w:rsidRPr="0086281A">
        <w:rPr>
          <w:rFonts w:ascii="Calibri" w:hAnsi="Calibri"/>
          <w:lang w:val="en-GB"/>
        </w:rPr>
        <w:t>s</w:t>
      </w:r>
      <w:r w:rsidR="00A464A0" w:rsidRPr="0086281A">
        <w:rPr>
          <w:rFonts w:ascii="Calibri" w:hAnsi="Calibri"/>
          <w:lang w:val="en-GB"/>
        </w:rPr>
        <w:t xml:space="preserve"> to be done at</w:t>
      </w:r>
      <w:r w:rsidR="00F949F3" w:rsidRPr="0086281A">
        <w:rPr>
          <w:rFonts w:ascii="Calibri" w:hAnsi="Calibri"/>
          <w:lang w:val="en-GB"/>
        </w:rPr>
        <w:t xml:space="preserve"> GFR</w:t>
      </w:r>
      <w:r w:rsidR="00A464A0" w:rsidRPr="0086281A">
        <w:rPr>
          <w:rFonts w:ascii="Calibri" w:hAnsi="Calibri"/>
          <w:lang w:val="en-GB"/>
        </w:rPr>
        <w:t xml:space="preserve"> levels</w:t>
      </w:r>
      <w:r w:rsidR="00F949F3" w:rsidRPr="0086281A">
        <w:rPr>
          <w:rFonts w:ascii="Calibri" w:hAnsi="Calibri"/>
          <w:lang w:val="en-GB"/>
        </w:rPr>
        <w:t xml:space="preserve"> between 30-45</w:t>
      </w:r>
      <w:r w:rsidR="00666FE8" w:rsidRPr="0086281A">
        <w:rPr>
          <w:rFonts w:ascii="Calibri" w:hAnsi="Calibri"/>
          <w:lang w:val="en-GB"/>
        </w:rPr>
        <w:t xml:space="preserve"> </w:t>
      </w:r>
      <w:r w:rsidR="00F949F3" w:rsidRPr="0086281A">
        <w:rPr>
          <w:rFonts w:ascii="Calibri" w:hAnsi="Calibri"/>
          <w:lang w:val="en-GB"/>
        </w:rPr>
        <w:t>mL/min, MDRD</w:t>
      </w:r>
      <w:r w:rsidR="00F949F3" w:rsidRPr="0086281A">
        <w:rPr>
          <w:rFonts w:ascii="Calibri" w:hAnsi="Calibri"/>
          <w:vertAlign w:val="subscript"/>
          <w:lang w:val="en-GB"/>
        </w:rPr>
        <w:t>deindexed</w:t>
      </w:r>
      <w:r w:rsidR="00F949F3" w:rsidRPr="0086281A">
        <w:rPr>
          <w:rFonts w:ascii="Calibri" w:hAnsi="Calibri"/>
          <w:lang w:val="en-GB"/>
        </w:rPr>
        <w:t xml:space="preserve"> and CKD-EPI</w:t>
      </w:r>
      <w:r w:rsidR="00F949F3" w:rsidRPr="0086281A">
        <w:rPr>
          <w:rFonts w:ascii="Calibri" w:hAnsi="Calibri"/>
          <w:vertAlign w:val="subscript"/>
          <w:lang w:val="en-GB"/>
        </w:rPr>
        <w:t>deindexed</w:t>
      </w:r>
      <w:r w:rsidR="00F949F3" w:rsidRPr="0086281A">
        <w:rPr>
          <w:rFonts w:ascii="Calibri" w:hAnsi="Calibri"/>
          <w:lang w:val="en-GB"/>
        </w:rPr>
        <w:t xml:space="preserve"> are quite equivalent</w:t>
      </w:r>
      <w:r w:rsidRPr="0086281A">
        <w:rPr>
          <w:rFonts w:ascii="Calibri" w:hAnsi="Calibri"/>
          <w:lang w:val="en-GB"/>
        </w:rPr>
        <w:t>,</w:t>
      </w:r>
      <w:r w:rsidR="00F949F3" w:rsidRPr="0086281A">
        <w:rPr>
          <w:rFonts w:ascii="Calibri" w:hAnsi="Calibri"/>
          <w:lang w:val="en-GB"/>
        </w:rPr>
        <w:t xml:space="preserve"> with good performances. Currently</w:t>
      </w:r>
      <w:r w:rsidR="005F5DA3" w:rsidRPr="0086281A">
        <w:rPr>
          <w:rFonts w:ascii="Calibri" w:hAnsi="Calibri"/>
          <w:lang w:val="en-GB"/>
        </w:rPr>
        <w:t>,</w:t>
      </w:r>
      <w:r w:rsidR="00F949F3" w:rsidRPr="0086281A">
        <w:rPr>
          <w:rFonts w:ascii="Calibri" w:hAnsi="Calibri"/>
          <w:lang w:val="en-GB"/>
        </w:rPr>
        <w:t xml:space="preserve"> the use of AIBW or other weight</w:t>
      </w:r>
      <w:r w:rsidR="005F5DA3" w:rsidRPr="0086281A">
        <w:rPr>
          <w:rFonts w:ascii="Calibri" w:hAnsi="Calibri"/>
          <w:lang w:val="en-GB"/>
        </w:rPr>
        <w:t>s</w:t>
      </w:r>
      <w:r w:rsidR="00F949F3" w:rsidRPr="0086281A">
        <w:rPr>
          <w:rFonts w:ascii="Calibri" w:hAnsi="Calibri"/>
          <w:lang w:val="en-GB"/>
        </w:rPr>
        <w:t xml:space="preserve"> in the CG equation is still debated</w:t>
      </w:r>
      <w:r w:rsidR="005F5DA3" w:rsidRPr="0086281A">
        <w:rPr>
          <w:rFonts w:ascii="Calibri" w:hAnsi="Calibri"/>
          <w:lang w:val="en-GB"/>
        </w:rPr>
        <w:t>.</w:t>
      </w:r>
      <w:r w:rsidR="00B46D0B" w:rsidRPr="0086281A">
        <w:rPr>
          <w:rFonts w:ascii="Calibri" w:hAnsi="Calibri"/>
          <w:lang w:val="en-GB"/>
        </w:rPr>
        <w:t xml:space="preserve"> </w:t>
      </w:r>
      <w:r w:rsidR="005F5DA3" w:rsidRPr="0086281A">
        <w:rPr>
          <w:rFonts w:ascii="Calibri" w:hAnsi="Calibri"/>
          <w:lang w:val="en-GB"/>
        </w:rPr>
        <w:t>T</w:t>
      </w:r>
      <w:r w:rsidR="00B46D0B" w:rsidRPr="0086281A">
        <w:rPr>
          <w:rFonts w:ascii="Calibri" w:hAnsi="Calibri"/>
          <w:lang w:val="en-GB"/>
        </w:rPr>
        <w:t>herefore</w:t>
      </w:r>
      <w:r w:rsidR="005F5DA3" w:rsidRPr="0086281A">
        <w:rPr>
          <w:rFonts w:ascii="Calibri" w:hAnsi="Calibri"/>
          <w:lang w:val="en-GB"/>
        </w:rPr>
        <w:t>,</w:t>
      </w:r>
      <w:r w:rsidR="00B46D0B" w:rsidRPr="0086281A">
        <w:rPr>
          <w:rFonts w:ascii="Calibri" w:hAnsi="Calibri"/>
          <w:lang w:val="en-GB"/>
        </w:rPr>
        <w:t xml:space="preserve"> using the creatinine-based </w:t>
      </w:r>
      <w:r w:rsidR="00F949F3" w:rsidRPr="0086281A">
        <w:rPr>
          <w:rFonts w:ascii="Calibri" w:hAnsi="Calibri"/>
          <w:lang w:val="en-GB"/>
        </w:rPr>
        <w:t>equations such as MDRD and CKD-EPI de-indexed by the BSA seem</w:t>
      </w:r>
      <w:r w:rsidR="005F5DA3" w:rsidRPr="0086281A">
        <w:rPr>
          <w:rFonts w:ascii="Calibri" w:hAnsi="Calibri"/>
          <w:lang w:val="en-GB"/>
        </w:rPr>
        <w:t>s</w:t>
      </w:r>
      <w:r w:rsidR="00F949F3" w:rsidRPr="0086281A">
        <w:rPr>
          <w:rFonts w:ascii="Calibri" w:hAnsi="Calibri"/>
          <w:lang w:val="en-GB"/>
        </w:rPr>
        <w:t xml:space="preserve"> to be the easiest and more accurate way to adapt the drug dosage.</w:t>
      </w:r>
      <w:r w:rsidRPr="0086281A">
        <w:rPr>
          <w:rFonts w:ascii="Calibri" w:hAnsi="Calibri"/>
          <w:lang w:val="en-GB"/>
        </w:rPr>
        <w:t xml:space="preserve"> </w:t>
      </w:r>
      <w:r w:rsidR="00C34A29" w:rsidRPr="0086281A">
        <w:rPr>
          <w:rFonts w:ascii="Calibri" w:hAnsi="Calibri" w:cs="Times New Roman"/>
          <w:color w:val="000000"/>
          <w:lang w:val="en-GB"/>
        </w:rPr>
        <w:t xml:space="preserve">For </w:t>
      </w:r>
      <w:r w:rsidRPr="0086281A">
        <w:rPr>
          <w:rFonts w:ascii="Calibri" w:hAnsi="Calibri" w:cs="Times New Roman"/>
          <w:color w:val="000000"/>
          <w:lang w:val="en-GB"/>
        </w:rPr>
        <w:t xml:space="preserve">drugs with a tight therapeutic window, where a very precise GFR </w:t>
      </w:r>
      <w:r w:rsidR="00362FA4" w:rsidRPr="0086281A">
        <w:rPr>
          <w:rFonts w:ascii="Calibri" w:hAnsi="Calibri" w:cs="Times New Roman"/>
          <w:color w:val="000000"/>
          <w:lang w:val="en-GB"/>
        </w:rPr>
        <w:t>determination</w:t>
      </w:r>
      <w:r w:rsidRPr="0086281A">
        <w:rPr>
          <w:rFonts w:ascii="Calibri" w:hAnsi="Calibri" w:cs="Times New Roman"/>
          <w:color w:val="000000"/>
          <w:lang w:val="en-GB"/>
        </w:rPr>
        <w:t xml:space="preserve"> is necessary, </w:t>
      </w:r>
      <w:r w:rsidR="00C34A29" w:rsidRPr="0086281A">
        <w:rPr>
          <w:rFonts w:ascii="Calibri" w:hAnsi="Calibri" w:cs="Times New Roman"/>
          <w:color w:val="000000"/>
          <w:lang w:val="en-GB"/>
        </w:rPr>
        <w:t>it may be</w:t>
      </w:r>
      <w:r w:rsidRPr="0086281A">
        <w:rPr>
          <w:rFonts w:ascii="Calibri" w:hAnsi="Calibri" w:cs="Times New Roman"/>
          <w:color w:val="000000"/>
          <w:lang w:val="en-GB"/>
        </w:rPr>
        <w:t xml:space="preserve"> still</w:t>
      </w:r>
      <w:r w:rsidR="00C34A29" w:rsidRPr="0086281A">
        <w:rPr>
          <w:rFonts w:ascii="Calibri" w:hAnsi="Calibri" w:cs="Times New Roman"/>
          <w:color w:val="000000"/>
          <w:lang w:val="en-GB"/>
        </w:rPr>
        <w:t xml:space="preserve"> prudent to measure the GFR </w:t>
      </w:r>
      <w:r w:rsidR="00696146">
        <w:rPr>
          <w:rFonts w:ascii="Calibri" w:hAnsi="Calibri" w:cs="Times New Roman"/>
          <w:color w:val="000000"/>
          <w:lang w:val="en-GB"/>
        </w:rPr>
        <w:t>with a reference method</w:t>
      </w:r>
      <w:r w:rsidR="00C34A29" w:rsidRPr="0086281A">
        <w:rPr>
          <w:rFonts w:ascii="Calibri" w:hAnsi="Calibri" w:cs="Times New Roman"/>
          <w:color w:val="000000"/>
          <w:lang w:val="en-GB"/>
        </w:rPr>
        <w:t xml:space="preserve"> prior administration of the medication.</w:t>
      </w:r>
    </w:p>
    <w:p w:rsidR="00241F6A" w:rsidRPr="0086281A" w:rsidRDefault="00241F6A" w:rsidP="00241F6A">
      <w:pPr>
        <w:pStyle w:val="Titre1"/>
        <w:rPr>
          <w:rFonts w:ascii="Calibri" w:hAnsi="Calibri"/>
          <w:lang w:val="en-GB" w:eastAsia="fr-BE"/>
        </w:rPr>
      </w:pPr>
      <w:r w:rsidRPr="0086281A">
        <w:rPr>
          <w:rFonts w:ascii="Calibri" w:hAnsi="Calibri"/>
          <w:lang w:val="en-GB" w:eastAsia="fr-BE"/>
        </w:rPr>
        <w:t>Bibliography</w:t>
      </w:r>
      <w:r w:rsidR="001B7F92" w:rsidRPr="0086281A">
        <w:rPr>
          <w:rFonts w:ascii="Calibri" w:hAnsi="Calibri"/>
          <w:lang w:val="en-GB" w:eastAsia="fr-BE"/>
        </w:rPr>
        <w:t xml:space="preserve"> </w:t>
      </w:r>
    </w:p>
    <w:p w:rsidR="00D327D1" w:rsidRPr="0086281A" w:rsidRDefault="00D327D1" w:rsidP="00D327D1">
      <w:pPr>
        <w:rPr>
          <w:lang w:val="en-GB"/>
        </w:rPr>
      </w:pPr>
    </w:p>
    <w:p w:rsidR="009852DE" w:rsidRPr="00727535" w:rsidRDefault="00777D1E">
      <w:pPr>
        <w:widowControl w:val="0"/>
        <w:autoSpaceDE w:val="0"/>
        <w:autoSpaceDN w:val="0"/>
        <w:adjustRightInd w:val="0"/>
      </w:pPr>
      <w:r w:rsidRPr="0086281A">
        <w:rPr>
          <w:rFonts w:ascii="Calibri" w:hAnsi="Calibri"/>
          <w:lang w:val="en-GB"/>
        </w:rPr>
        <w:fldChar w:fldCharType="begin"/>
      </w:r>
      <w:r w:rsidR="00E92ED6" w:rsidRPr="0086281A">
        <w:rPr>
          <w:rFonts w:ascii="Calibri" w:hAnsi="Calibri"/>
          <w:b/>
          <w:lang w:val="en-GB"/>
        </w:rPr>
        <w:instrText xml:space="preserve"> ADDIN ZOTERO_BIBL {"custom":[]} CSL_BIBLIOGRAPHY </w:instrText>
      </w:r>
      <w:r w:rsidRPr="0086281A">
        <w:rPr>
          <w:rFonts w:ascii="Calibri" w:hAnsi="Calibri"/>
          <w:lang w:val="en-GB"/>
        </w:rPr>
        <w:fldChar w:fldCharType="separate"/>
      </w:r>
      <w:r w:rsidR="009852DE" w:rsidRPr="00727535">
        <w:t xml:space="preserve">1. </w:t>
      </w:r>
      <w:r w:rsidR="009852DE" w:rsidRPr="00727535">
        <w:tab/>
        <w:t xml:space="preserve">Jolliffe D. Continuous and robust measures of the overweight epidemic: 1971-2000. Demography. 2004 May;41(2):303–14. </w:t>
      </w:r>
    </w:p>
    <w:p w:rsidR="009852DE" w:rsidRPr="00727535" w:rsidRDefault="009852DE">
      <w:pPr>
        <w:widowControl w:val="0"/>
        <w:autoSpaceDE w:val="0"/>
        <w:autoSpaceDN w:val="0"/>
        <w:adjustRightInd w:val="0"/>
      </w:pPr>
      <w:r w:rsidRPr="00727535">
        <w:t xml:space="preserve">2. </w:t>
      </w:r>
      <w:r w:rsidRPr="00727535">
        <w:tab/>
        <w:t xml:space="preserve">Obesity: preventing and managing the global epidemic. Report of a WHO consultation. World Health Organ Tech Rep Ser. 2000;894:i – xii, 1–253. </w:t>
      </w:r>
    </w:p>
    <w:p w:rsidR="009852DE" w:rsidRPr="00727535" w:rsidRDefault="009852DE">
      <w:pPr>
        <w:widowControl w:val="0"/>
        <w:autoSpaceDE w:val="0"/>
        <w:autoSpaceDN w:val="0"/>
        <w:adjustRightInd w:val="0"/>
      </w:pPr>
      <w:r w:rsidRPr="00727535">
        <w:t xml:space="preserve">3. </w:t>
      </w:r>
      <w:r w:rsidRPr="00727535">
        <w:tab/>
        <w:t xml:space="preserve">Ng M, Fleming T, Robinson M, Thomson B, Graetz N, Margono C, et al. Global, regional, and national prevalence of overweight and obesity in children and adults during 1980-2013: a systematic analysis for the Global Burden of Disease Study 2013. Lancet. 2014 Aug;384(9945):766–81. </w:t>
      </w:r>
    </w:p>
    <w:p w:rsidR="009852DE" w:rsidRPr="00727535" w:rsidRDefault="009852DE">
      <w:pPr>
        <w:widowControl w:val="0"/>
        <w:autoSpaceDE w:val="0"/>
        <w:autoSpaceDN w:val="0"/>
        <w:adjustRightInd w:val="0"/>
      </w:pPr>
      <w:r w:rsidRPr="00727535">
        <w:t xml:space="preserve">4. </w:t>
      </w:r>
      <w:r w:rsidRPr="00727535">
        <w:tab/>
        <w:t xml:space="preserve">Lavie CJ, Milani RV, Ventura HO. Obesity and cardiovascular disease: risk factor, paradox, and impact of weight loss. J Am Coll Cardiol. 2009 May;53(21):1925–32. </w:t>
      </w:r>
    </w:p>
    <w:p w:rsidR="009852DE" w:rsidRPr="00727535" w:rsidRDefault="009852DE">
      <w:pPr>
        <w:widowControl w:val="0"/>
        <w:autoSpaceDE w:val="0"/>
        <w:autoSpaceDN w:val="0"/>
        <w:adjustRightInd w:val="0"/>
      </w:pPr>
      <w:r w:rsidRPr="00727535">
        <w:t xml:space="preserve">5. </w:t>
      </w:r>
      <w:r w:rsidRPr="00727535">
        <w:tab/>
        <w:t xml:space="preserve">Hsu C, McCulloch CE, Iribarren C, Darbinian J, Go AS. Body mass index and risk for end-stage renal disease. Ann Intern Med. 2006 Jan;144(1):21–8. </w:t>
      </w:r>
    </w:p>
    <w:p w:rsidR="009852DE" w:rsidRPr="00727535" w:rsidRDefault="009852DE">
      <w:pPr>
        <w:widowControl w:val="0"/>
        <w:autoSpaceDE w:val="0"/>
        <w:autoSpaceDN w:val="0"/>
        <w:adjustRightInd w:val="0"/>
      </w:pPr>
      <w:r w:rsidRPr="00727535">
        <w:t xml:space="preserve">6. </w:t>
      </w:r>
      <w:r w:rsidRPr="00727535">
        <w:tab/>
        <w:t xml:space="preserve">Fox CS, Larson MG, Leip EP, Culleton B, Wilson PWF, Levy D. Predictors of new-onset kidney disease in a community-based population. JAMA. 2004 Feb;291(7):844–50. </w:t>
      </w:r>
    </w:p>
    <w:p w:rsidR="009852DE" w:rsidRPr="00727535" w:rsidRDefault="009852DE">
      <w:pPr>
        <w:widowControl w:val="0"/>
        <w:autoSpaceDE w:val="0"/>
        <w:autoSpaceDN w:val="0"/>
        <w:adjustRightInd w:val="0"/>
      </w:pPr>
      <w:r w:rsidRPr="00727535">
        <w:lastRenderedPageBreak/>
        <w:t xml:space="preserve">7. </w:t>
      </w:r>
      <w:r w:rsidRPr="00727535">
        <w:tab/>
        <w:t xml:space="preserve">Iseki K, Ikemiya Y, Kinjo K, Inoue T, Iseki C, Takishita S. Body mass index and the risk of development of end-stage renal disease in a screened cohort. Kidney Int. 2004 May;65(5):1870–6. </w:t>
      </w:r>
    </w:p>
    <w:p w:rsidR="009852DE" w:rsidRPr="00727535" w:rsidRDefault="009852DE">
      <w:pPr>
        <w:widowControl w:val="0"/>
        <w:autoSpaceDE w:val="0"/>
        <w:autoSpaceDN w:val="0"/>
        <w:adjustRightInd w:val="0"/>
      </w:pPr>
      <w:r w:rsidRPr="00727535">
        <w:t xml:space="preserve">8. </w:t>
      </w:r>
      <w:r w:rsidRPr="00727535">
        <w:tab/>
        <w:t xml:space="preserve">Gelber RP, Kurth T, Kausz AT, Manson JE, Buring JE, Levey AS, et al. Association between body mass index and CKD in apparently healthy men. Am J Kidney Dis. 2005 Nov;46(5):871–80. </w:t>
      </w:r>
    </w:p>
    <w:p w:rsidR="009852DE" w:rsidRPr="00727535" w:rsidRDefault="009852DE">
      <w:pPr>
        <w:widowControl w:val="0"/>
        <w:autoSpaceDE w:val="0"/>
        <w:autoSpaceDN w:val="0"/>
        <w:adjustRightInd w:val="0"/>
      </w:pPr>
      <w:r w:rsidRPr="00727535">
        <w:t xml:space="preserve">9. </w:t>
      </w:r>
      <w:r w:rsidRPr="00727535">
        <w:tab/>
        <w:t xml:space="preserve">Spangler JG, Konen JC. Hypertension, hyperlipidemia, and abdominal obesity and the development of microalbuminuria in patients with non-insulin-dependent diabetes mellitus. J Am Board Fam Pract. 1996 Feb;9(1):1–6. </w:t>
      </w:r>
    </w:p>
    <w:p w:rsidR="009852DE" w:rsidRPr="009852DE" w:rsidRDefault="009852DE">
      <w:pPr>
        <w:widowControl w:val="0"/>
        <w:autoSpaceDE w:val="0"/>
        <w:autoSpaceDN w:val="0"/>
        <w:adjustRightInd w:val="0"/>
        <w:rPr>
          <w:lang w:val="fr-FR"/>
        </w:rPr>
      </w:pPr>
      <w:r w:rsidRPr="00727535">
        <w:t xml:space="preserve">10. </w:t>
      </w:r>
      <w:r w:rsidRPr="00727535">
        <w:tab/>
        <w:t xml:space="preserve">Bouquegneau A, Vidal-Petiot E, Vrtovsnik F, Cavalier E, Rorive M, Krzesinski J-M, et al. Modification of Diet in Renal Disease versus Chronic Kidney Disease Epidemiology Collaboration equation to estimate glomerular filtration rate in obese patients. </w:t>
      </w:r>
      <w:r w:rsidRPr="009852DE">
        <w:rPr>
          <w:lang w:val="fr-FR"/>
        </w:rPr>
        <w:t xml:space="preserve">Nephrol Dial Transplant. 2013 Nov;28(Suppl 4):122–30. </w:t>
      </w:r>
    </w:p>
    <w:p w:rsidR="009852DE" w:rsidRPr="00727535" w:rsidRDefault="009852DE">
      <w:pPr>
        <w:widowControl w:val="0"/>
        <w:autoSpaceDE w:val="0"/>
        <w:autoSpaceDN w:val="0"/>
        <w:adjustRightInd w:val="0"/>
      </w:pPr>
      <w:r w:rsidRPr="009852DE">
        <w:rPr>
          <w:lang w:val="fr-FR"/>
        </w:rPr>
        <w:t xml:space="preserve">11. </w:t>
      </w:r>
      <w:r w:rsidRPr="009852DE">
        <w:rPr>
          <w:lang w:val="fr-FR"/>
        </w:rPr>
        <w:tab/>
        <w:t xml:space="preserve">Lemoine S, Guebre-Egziabher F, Sens F, Nguyen-Tu M-S, Juillard L, Dubourg L, et al. </w:t>
      </w:r>
      <w:r w:rsidRPr="00727535">
        <w:t xml:space="preserve">Accuracy of GFR estimation in obese patients. Clin J Am Soc Nephrol. 2014 Apr;9(4):720–7. </w:t>
      </w:r>
    </w:p>
    <w:p w:rsidR="009852DE" w:rsidRPr="00727535" w:rsidRDefault="009852DE">
      <w:pPr>
        <w:widowControl w:val="0"/>
        <w:autoSpaceDE w:val="0"/>
        <w:autoSpaceDN w:val="0"/>
        <w:adjustRightInd w:val="0"/>
      </w:pPr>
      <w:r w:rsidRPr="00727535">
        <w:t xml:space="preserve">12. </w:t>
      </w:r>
      <w:r w:rsidRPr="00727535">
        <w:tab/>
        <w:t>KDIGO, CKD Evaluation &amp; Management [Internet]. Available from: http://kdigo.org/home/guidelines/ckd-evaluation-management/</w:t>
      </w:r>
    </w:p>
    <w:p w:rsidR="009852DE" w:rsidRPr="00727535" w:rsidRDefault="009852DE">
      <w:pPr>
        <w:widowControl w:val="0"/>
        <w:autoSpaceDE w:val="0"/>
        <w:autoSpaceDN w:val="0"/>
        <w:adjustRightInd w:val="0"/>
      </w:pPr>
      <w:r w:rsidRPr="00727535">
        <w:t xml:space="preserve">13. </w:t>
      </w:r>
      <w:r w:rsidRPr="00727535">
        <w:tab/>
        <w:t xml:space="preserve">Delanaye P, Pottel H, Botev R, Inker LA, Levey AS. Con: Should we abandon the use of the MDRD equation in favour of the CKD-EPI equation? Nephrol Dial Transplant. 2013 Jun;28(6):1396–403. </w:t>
      </w:r>
    </w:p>
    <w:p w:rsidR="009852DE" w:rsidRPr="00727535" w:rsidRDefault="009852DE">
      <w:pPr>
        <w:widowControl w:val="0"/>
        <w:autoSpaceDE w:val="0"/>
        <w:autoSpaceDN w:val="0"/>
        <w:adjustRightInd w:val="0"/>
      </w:pPr>
      <w:r w:rsidRPr="00727535">
        <w:t xml:space="preserve">14. </w:t>
      </w:r>
      <w:r w:rsidRPr="00727535">
        <w:tab/>
        <w:t xml:space="preserve">Delanaye P, Mariat C. The applicability of eGFR equations to different populations. Nat Rev Nephrol. 2013 Sep;9(9):513–22. </w:t>
      </w:r>
    </w:p>
    <w:p w:rsidR="009852DE" w:rsidRPr="00727535" w:rsidRDefault="009852DE">
      <w:pPr>
        <w:widowControl w:val="0"/>
        <w:autoSpaceDE w:val="0"/>
        <w:autoSpaceDN w:val="0"/>
        <w:adjustRightInd w:val="0"/>
      </w:pPr>
      <w:r w:rsidRPr="00727535">
        <w:t xml:space="preserve">15. </w:t>
      </w:r>
      <w:r w:rsidRPr="00727535">
        <w:tab/>
        <w:t xml:space="preserve">Froissart M, Rossert J, Jacquot C, Paillard M, Houillier P. Predictive performance of the modification of diet in renal disease and Cockcroft-Gault equations for estimating renal function. J Am Soc Nephrol JASN. 2005 Mar;16(3):763–73. </w:t>
      </w:r>
    </w:p>
    <w:p w:rsidR="009852DE" w:rsidRPr="00727535" w:rsidRDefault="009852DE">
      <w:pPr>
        <w:widowControl w:val="0"/>
        <w:autoSpaceDE w:val="0"/>
        <w:autoSpaceDN w:val="0"/>
        <w:adjustRightInd w:val="0"/>
      </w:pPr>
      <w:r w:rsidRPr="00727535">
        <w:t xml:space="preserve">16. </w:t>
      </w:r>
      <w:r w:rsidRPr="00727535">
        <w:tab/>
        <w:t xml:space="preserve">Huang S-M, Temple R, Xiao S, Zhang L, Lesko LJ. When to conduct a renal impairment study during drug development: US Food and Drug Administration perspective. Clin Pharmacol Ther. 2009 Nov;86(5):475–9. </w:t>
      </w:r>
    </w:p>
    <w:p w:rsidR="009852DE" w:rsidRPr="00727535" w:rsidRDefault="009852DE">
      <w:pPr>
        <w:widowControl w:val="0"/>
        <w:autoSpaceDE w:val="0"/>
        <w:autoSpaceDN w:val="0"/>
        <w:adjustRightInd w:val="0"/>
      </w:pPr>
      <w:r w:rsidRPr="00727535">
        <w:t xml:space="preserve">17. </w:t>
      </w:r>
      <w:r w:rsidRPr="00727535">
        <w:tab/>
        <w:t xml:space="preserve">EMA: http://www.ema.europa.eu/docs/en_GB/document_library/Scientific_guideline/2014/02/WC500162133.pdf; 2014. </w:t>
      </w:r>
    </w:p>
    <w:p w:rsidR="009852DE" w:rsidRPr="00727535" w:rsidRDefault="009852DE">
      <w:pPr>
        <w:widowControl w:val="0"/>
        <w:autoSpaceDE w:val="0"/>
        <w:autoSpaceDN w:val="0"/>
        <w:adjustRightInd w:val="0"/>
      </w:pPr>
      <w:r w:rsidRPr="00727535">
        <w:t xml:space="preserve">18. </w:t>
      </w:r>
      <w:r w:rsidRPr="00727535">
        <w:tab/>
        <w:t xml:space="preserve">Matzke GR, Aronoff GR, Atkinson AJ, Bennett WM, Decker BS, Eckardt K-U, et al. Drug dosing consideration in patients with acute and chronic kidney disease-a clinical update from Kidney Disease: Improving Global Outcomes (KDIGO). Kidney Int. 2011 Dec;80(11):1122–37. </w:t>
      </w:r>
    </w:p>
    <w:p w:rsidR="009852DE" w:rsidRPr="00727535" w:rsidRDefault="009852DE">
      <w:pPr>
        <w:widowControl w:val="0"/>
        <w:autoSpaceDE w:val="0"/>
        <w:autoSpaceDN w:val="0"/>
        <w:adjustRightInd w:val="0"/>
      </w:pPr>
      <w:r w:rsidRPr="00727535">
        <w:t xml:space="preserve">19. </w:t>
      </w:r>
      <w:r w:rsidRPr="00727535">
        <w:tab/>
        <w:t xml:space="preserve">FDA: http://www.fda.gov/downloads/Drugs/Guidances/UCM204959.pdf; 2010. </w:t>
      </w:r>
    </w:p>
    <w:p w:rsidR="009852DE" w:rsidRPr="00727535" w:rsidRDefault="009852DE">
      <w:pPr>
        <w:widowControl w:val="0"/>
        <w:autoSpaceDE w:val="0"/>
        <w:autoSpaceDN w:val="0"/>
        <w:adjustRightInd w:val="0"/>
      </w:pPr>
      <w:r w:rsidRPr="00727535">
        <w:t xml:space="preserve">20. </w:t>
      </w:r>
      <w:r w:rsidRPr="00727535">
        <w:tab/>
        <w:t xml:space="preserve">Delanaye P, Mariat C, Cavalier E, Krzesinski J-M. Errors induced by indexing glomerular filtration rate for body surface area: reductio ad absurdum. Nephrol Dial Transplant Off Publ Eur Dial Transpl Assoc - Eur Ren Assoc. 2009 Dec;24(12):3593–6. </w:t>
      </w:r>
    </w:p>
    <w:p w:rsidR="009852DE" w:rsidRPr="00727535" w:rsidRDefault="009852DE">
      <w:pPr>
        <w:widowControl w:val="0"/>
        <w:autoSpaceDE w:val="0"/>
        <w:autoSpaceDN w:val="0"/>
        <w:adjustRightInd w:val="0"/>
      </w:pPr>
      <w:r w:rsidRPr="00727535">
        <w:t xml:space="preserve">21. </w:t>
      </w:r>
      <w:r w:rsidRPr="00727535">
        <w:tab/>
        <w:t xml:space="preserve">Gehan EA, George SL. Estimation of human body surface area from height and weight. Cancer Chemother Rep. 1970 Aug;54(4):225–35. </w:t>
      </w:r>
    </w:p>
    <w:p w:rsidR="009852DE" w:rsidRPr="00727535" w:rsidRDefault="009852DE">
      <w:pPr>
        <w:widowControl w:val="0"/>
        <w:autoSpaceDE w:val="0"/>
        <w:autoSpaceDN w:val="0"/>
        <w:adjustRightInd w:val="0"/>
      </w:pPr>
      <w:r w:rsidRPr="00727535">
        <w:t xml:space="preserve">22. </w:t>
      </w:r>
      <w:r w:rsidRPr="00727535">
        <w:tab/>
        <w:t xml:space="preserve">Mazzachi BC, Peake MJ, Ehrhardt V. Reference range and method comparison studies for enzymatic and Jaffé creatinine assays in plasma and serum and early morning urine. Clin Lab. 2000;46(1-2):53–5. </w:t>
      </w:r>
    </w:p>
    <w:p w:rsidR="009852DE" w:rsidRPr="00727535" w:rsidRDefault="009852DE">
      <w:pPr>
        <w:widowControl w:val="0"/>
        <w:autoSpaceDE w:val="0"/>
        <w:autoSpaceDN w:val="0"/>
        <w:adjustRightInd w:val="0"/>
      </w:pPr>
      <w:r w:rsidRPr="00727535">
        <w:t xml:space="preserve">23. </w:t>
      </w:r>
      <w:r w:rsidRPr="00727535">
        <w:tab/>
        <w:t xml:space="preserve">Levey AS, Stevens LA, Schmid CH, Zhang YL, Castro AF, Feldman HI, et al. A new equation to estimate glomerular filtration rate. Ann Intern Med. 2009 May 5;150(9):604–12. </w:t>
      </w:r>
    </w:p>
    <w:p w:rsidR="009852DE" w:rsidRPr="00727535" w:rsidRDefault="009852DE">
      <w:pPr>
        <w:widowControl w:val="0"/>
        <w:autoSpaceDE w:val="0"/>
        <w:autoSpaceDN w:val="0"/>
        <w:adjustRightInd w:val="0"/>
      </w:pPr>
      <w:r w:rsidRPr="00727535">
        <w:t xml:space="preserve">24. </w:t>
      </w:r>
      <w:r w:rsidRPr="00727535">
        <w:tab/>
        <w:t xml:space="preserve">Levey AS, Coresh J, Greene T, Stevens LA, Zhang YL, Hendriksen S, et al. Using </w:t>
      </w:r>
      <w:r w:rsidRPr="00727535">
        <w:lastRenderedPageBreak/>
        <w:t xml:space="preserve">standardized serum creatinine values in the modification of diet in renal disease study equation for estimating glomerular filtration rate. Ann Intern Med. 2006 Aug 15;145(4):247–54. </w:t>
      </w:r>
    </w:p>
    <w:p w:rsidR="009852DE" w:rsidRPr="00727535" w:rsidRDefault="009852DE">
      <w:pPr>
        <w:widowControl w:val="0"/>
        <w:autoSpaceDE w:val="0"/>
        <w:autoSpaceDN w:val="0"/>
        <w:adjustRightInd w:val="0"/>
      </w:pPr>
      <w:r w:rsidRPr="00727535">
        <w:t xml:space="preserve">25. </w:t>
      </w:r>
      <w:r w:rsidRPr="00727535">
        <w:tab/>
        <w:t xml:space="preserve">Erstad BL. Dosing of medications in morbidly obese patients in the intensive care unit setting. Intensive Care Med. 2004 Jan;30(1):18–32. </w:t>
      </w:r>
    </w:p>
    <w:p w:rsidR="009852DE" w:rsidRPr="00727535" w:rsidRDefault="009852DE">
      <w:pPr>
        <w:widowControl w:val="0"/>
        <w:autoSpaceDE w:val="0"/>
        <w:autoSpaceDN w:val="0"/>
        <w:adjustRightInd w:val="0"/>
      </w:pPr>
      <w:r w:rsidRPr="00727535">
        <w:t xml:space="preserve">26. </w:t>
      </w:r>
      <w:r w:rsidRPr="00727535">
        <w:tab/>
        <w:t xml:space="preserve">Pai MP, Paloucek FP. The origin of the “ideal” body weight equations. Ann Pharmacother. 2000 Sep;34(9):1066–9. </w:t>
      </w:r>
    </w:p>
    <w:p w:rsidR="009852DE" w:rsidRPr="00727535" w:rsidRDefault="009852DE">
      <w:pPr>
        <w:widowControl w:val="0"/>
        <w:autoSpaceDE w:val="0"/>
        <w:autoSpaceDN w:val="0"/>
        <w:adjustRightInd w:val="0"/>
      </w:pPr>
      <w:r w:rsidRPr="00727535">
        <w:t xml:space="preserve">27. </w:t>
      </w:r>
      <w:r w:rsidRPr="00727535">
        <w:tab/>
        <w:t xml:space="preserve">Sasson AN, Cherney DZ. Renal hyperfiltration related to diabetes mellitus and obesity in human disease. World J Diabetes. 2012 Jan 15;3(1):1–6. </w:t>
      </w:r>
    </w:p>
    <w:p w:rsidR="009852DE" w:rsidRPr="00727535" w:rsidRDefault="009852DE">
      <w:pPr>
        <w:widowControl w:val="0"/>
        <w:autoSpaceDE w:val="0"/>
        <w:autoSpaceDN w:val="0"/>
        <w:adjustRightInd w:val="0"/>
      </w:pPr>
      <w:r w:rsidRPr="00727535">
        <w:t xml:space="preserve">28. </w:t>
      </w:r>
      <w:r w:rsidRPr="00727535">
        <w:tab/>
        <w:t xml:space="preserve">Cachat F, Combescure C, Cauderay M, Girardin E, Chehade H. A Systematic Review of Glomerular Hyperfiltration Assessment and Definition in the Medical Literature. Clin J Am Soc Nephrol. 2015 Mar;10(3):382–9. </w:t>
      </w:r>
    </w:p>
    <w:p w:rsidR="009852DE" w:rsidRPr="00727535" w:rsidRDefault="009852DE">
      <w:pPr>
        <w:widowControl w:val="0"/>
        <w:autoSpaceDE w:val="0"/>
        <w:autoSpaceDN w:val="0"/>
        <w:adjustRightInd w:val="0"/>
      </w:pPr>
      <w:r w:rsidRPr="00727535">
        <w:t xml:space="preserve">29. </w:t>
      </w:r>
      <w:r w:rsidRPr="00727535">
        <w:tab/>
        <w:t xml:space="preserve">Begg EJ, Chin PKL. A unified pharmacokinetic approach to individualized drug dosing. Br J Clin Pharmacol. 2012 Mar;73(3):335–9. </w:t>
      </w:r>
    </w:p>
    <w:p w:rsidR="009852DE" w:rsidRPr="00727535" w:rsidRDefault="009852DE">
      <w:pPr>
        <w:widowControl w:val="0"/>
        <w:autoSpaceDE w:val="0"/>
        <w:autoSpaceDN w:val="0"/>
        <w:adjustRightInd w:val="0"/>
      </w:pPr>
      <w:r w:rsidRPr="00727535">
        <w:t xml:space="preserve">30. </w:t>
      </w:r>
      <w:r w:rsidRPr="00727535">
        <w:tab/>
        <w:t xml:space="preserve">Lalonde RL, Wagner JA. Drug development perspective on pharmacokinetic studies of new drugs in patients with renal impairment. Clin Pharmacol Ther. 2009 Nov;86(5):557–61. </w:t>
      </w:r>
    </w:p>
    <w:p w:rsidR="009852DE" w:rsidRPr="00727535" w:rsidRDefault="009852DE">
      <w:pPr>
        <w:widowControl w:val="0"/>
        <w:autoSpaceDE w:val="0"/>
        <w:autoSpaceDN w:val="0"/>
        <w:adjustRightInd w:val="0"/>
      </w:pPr>
      <w:r w:rsidRPr="00727535">
        <w:t xml:space="preserve">31. </w:t>
      </w:r>
      <w:r w:rsidRPr="00727535">
        <w:tab/>
        <w:t xml:space="preserve">Chin PKL, Florkowski CM, Begg EJ. The performances of the Cockcroft-Gault, modification of diet in renal disease study and chronic kidney disease epidemiology collaboration equations in predicting gentamicin clearance. Ann Clin Biochem. 2013 Nov;50(6):546–57. </w:t>
      </w:r>
    </w:p>
    <w:p w:rsidR="009852DE" w:rsidRPr="00727535" w:rsidRDefault="009852DE">
      <w:pPr>
        <w:widowControl w:val="0"/>
        <w:autoSpaceDE w:val="0"/>
        <w:autoSpaceDN w:val="0"/>
        <w:adjustRightInd w:val="0"/>
      </w:pPr>
      <w:r w:rsidRPr="00727535">
        <w:t xml:space="preserve">32. </w:t>
      </w:r>
      <w:r w:rsidRPr="00727535">
        <w:tab/>
        <w:t xml:space="preserve">Nyman HA, Dowling TC, Hudson JQ, Peter WLS, Joy MS, Nolin TD. Comparative evaluation of the Cockcroft-Gault Equation and the Modification of Diet in Renal Disease (MDRD) study equation for drug dosing: an opinion of the Nephrology Practice and Research Network of the American College of Clinical Pharmacy. Pharmacotherapy. 2011 Nov;31(11):1130–44. </w:t>
      </w:r>
    </w:p>
    <w:p w:rsidR="009852DE" w:rsidRPr="009852DE" w:rsidRDefault="009852DE">
      <w:pPr>
        <w:widowControl w:val="0"/>
        <w:autoSpaceDE w:val="0"/>
        <w:autoSpaceDN w:val="0"/>
        <w:adjustRightInd w:val="0"/>
        <w:rPr>
          <w:lang w:val="fr-FR"/>
        </w:rPr>
      </w:pPr>
      <w:r w:rsidRPr="00727535">
        <w:t xml:space="preserve">33. </w:t>
      </w:r>
      <w:r w:rsidRPr="00727535">
        <w:tab/>
        <w:t xml:space="preserve">Wuerzner G, Bochud M, Giusti V, Burnier M. Measurement of glomerular filtration rate in obese patients: pitfalls and potential consequences on drug therapy. </w:t>
      </w:r>
      <w:r w:rsidRPr="009852DE">
        <w:rPr>
          <w:lang w:val="fr-FR"/>
        </w:rPr>
        <w:t xml:space="preserve">Obes Facts. 2011;4(3):238–43. </w:t>
      </w:r>
    </w:p>
    <w:p w:rsidR="009852DE" w:rsidRPr="00727535" w:rsidRDefault="009852DE">
      <w:pPr>
        <w:widowControl w:val="0"/>
        <w:autoSpaceDE w:val="0"/>
        <w:autoSpaceDN w:val="0"/>
        <w:adjustRightInd w:val="0"/>
      </w:pPr>
      <w:r w:rsidRPr="009852DE">
        <w:rPr>
          <w:lang w:val="fr-FR"/>
        </w:rPr>
        <w:t xml:space="preserve">34. </w:t>
      </w:r>
      <w:r w:rsidRPr="009852DE">
        <w:rPr>
          <w:lang w:val="fr-FR"/>
        </w:rPr>
        <w:tab/>
        <w:t xml:space="preserve">Saracino A, Morrone LF, Suriano V, Niccoli-Asabella A, Ramunni A, Fanelli M, et al. </w:t>
      </w:r>
      <w:r w:rsidRPr="00727535">
        <w:t xml:space="preserve">A simple method for correcting overestimated glomerular filtration rate in obese subjects evaluated by the Cockcroft and Gault formula: a comparison with 51Cr EDTA clearance. Clin Nephrol. 2004 Aug;62(2):97–103. </w:t>
      </w:r>
    </w:p>
    <w:p w:rsidR="009852DE" w:rsidRPr="00727535" w:rsidRDefault="009852DE">
      <w:pPr>
        <w:widowControl w:val="0"/>
        <w:autoSpaceDE w:val="0"/>
        <w:autoSpaceDN w:val="0"/>
        <w:adjustRightInd w:val="0"/>
      </w:pPr>
      <w:r w:rsidRPr="00727535">
        <w:t xml:space="preserve">35. </w:t>
      </w:r>
      <w:r w:rsidRPr="00727535">
        <w:tab/>
        <w:t xml:space="preserve">Dowling TC, Matzke GR, Murphy JE, Burckart GJ. Evaluation of renal drug dosing: prescribing information and clinical pharmacist approaches. Pharmacotherapy. 2010 Aug;30(8):776–86. </w:t>
      </w:r>
    </w:p>
    <w:p w:rsidR="009852DE" w:rsidRPr="00727535" w:rsidRDefault="009852DE">
      <w:pPr>
        <w:widowControl w:val="0"/>
        <w:autoSpaceDE w:val="0"/>
        <w:autoSpaceDN w:val="0"/>
        <w:adjustRightInd w:val="0"/>
      </w:pPr>
      <w:r w:rsidRPr="00727535">
        <w:t xml:space="preserve">36. </w:t>
      </w:r>
      <w:r w:rsidRPr="00727535">
        <w:tab/>
        <w:t xml:space="preserve">Pai MP, Nafziger AN, Bertino JS. Simplified estimation of aminoglycoside pharmacokinetics in underweight and obese adult patients. Antimicrob Agents Chemother. 2011 Sep;55(9):4006–11. </w:t>
      </w:r>
    </w:p>
    <w:p w:rsidR="009852DE" w:rsidRPr="00727535" w:rsidRDefault="009852DE">
      <w:pPr>
        <w:widowControl w:val="0"/>
        <w:autoSpaceDE w:val="0"/>
        <w:autoSpaceDN w:val="0"/>
        <w:adjustRightInd w:val="0"/>
      </w:pPr>
      <w:r w:rsidRPr="00727535">
        <w:t xml:space="preserve">37. </w:t>
      </w:r>
      <w:r w:rsidRPr="00727535">
        <w:tab/>
        <w:t xml:space="preserve">Dufour B, Toussaint-Hacquard M, Kearney-Schwartz A, Manckoundia MDP, Laurain MC, Joly L, et al. Glomerular filtration rate estimated by Cockcroft-Gault formula better predicts anti-Xa levels than modification of the diet in renal disease equation in older patients with prophylactic enoxaparin. J Nutr Health Aging. 2012 Jul;16(7):647–52. </w:t>
      </w:r>
    </w:p>
    <w:p w:rsidR="009852DE" w:rsidRPr="00727535" w:rsidRDefault="009852DE">
      <w:pPr>
        <w:widowControl w:val="0"/>
        <w:autoSpaceDE w:val="0"/>
        <w:autoSpaceDN w:val="0"/>
        <w:adjustRightInd w:val="0"/>
      </w:pPr>
      <w:r w:rsidRPr="00727535">
        <w:t xml:space="preserve">38. </w:t>
      </w:r>
      <w:r w:rsidRPr="00727535">
        <w:tab/>
        <w:t xml:space="preserve">Friedman AN, Strother M, Quinney SK, Hall S, Perkins SM, Brizendine EJ, et al. Measuring the glomerular filtration rate in obese individuals without overt kidney disease. Nephron Clin Pract. 2010;116(3):c224–34. </w:t>
      </w:r>
    </w:p>
    <w:p w:rsidR="009852DE" w:rsidRPr="00727535" w:rsidRDefault="009852DE">
      <w:pPr>
        <w:widowControl w:val="0"/>
        <w:autoSpaceDE w:val="0"/>
        <w:autoSpaceDN w:val="0"/>
        <w:adjustRightInd w:val="0"/>
      </w:pPr>
      <w:r w:rsidRPr="00727535">
        <w:t xml:space="preserve">39. </w:t>
      </w:r>
      <w:r w:rsidRPr="00727535">
        <w:tab/>
        <w:t xml:space="preserve">Demirovic JA, Pai AB, Pai MP. Estimation of creatinine clearance in morbidly obese patients. Am J Health Syst Pharm. 2009 Apr;66(7):642–8. </w:t>
      </w:r>
    </w:p>
    <w:p w:rsidR="009852DE" w:rsidRPr="00727535" w:rsidRDefault="009852DE">
      <w:pPr>
        <w:widowControl w:val="0"/>
        <w:autoSpaceDE w:val="0"/>
        <w:autoSpaceDN w:val="0"/>
        <w:adjustRightInd w:val="0"/>
      </w:pPr>
      <w:r w:rsidRPr="00727535">
        <w:lastRenderedPageBreak/>
        <w:t xml:space="preserve">40. </w:t>
      </w:r>
      <w:r w:rsidRPr="00727535">
        <w:tab/>
        <w:t xml:space="preserve">Verhave JC, Fesler P, Ribstein J, du Cailar G, Mimran A. Estimation of renal function in subjects with normal serum creatinine levels: influence of age and body mass index. Am J Kidney Dis. 2005 Aug;46(2):233–41. </w:t>
      </w:r>
    </w:p>
    <w:p w:rsidR="009852DE" w:rsidRPr="00727535" w:rsidRDefault="009852DE">
      <w:pPr>
        <w:widowControl w:val="0"/>
        <w:autoSpaceDE w:val="0"/>
        <w:autoSpaceDN w:val="0"/>
        <w:adjustRightInd w:val="0"/>
      </w:pPr>
      <w:r w:rsidRPr="00727535">
        <w:t xml:space="preserve">41. </w:t>
      </w:r>
      <w:r w:rsidRPr="00727535">
        <w:tab/>
        <w:t xml:space="preserve">Stevens LA, Nolin TD, Richardson MM, Feldman HI, Lewis JB, Rodby R, et al. Comparison of drug dosing recommendations based on measured GFR and kidney function estimating equations. Am J Kidney Dis. 2009 Jul;54(1):33–42. </w:t>
      </w:r>
    </w:p>
    <w:p w:rsidR="009852DE" w:rsidRPr="00727535" w:rsidRDefault="009852DE">
      <w:pPr>
        <w:widowControl w:val="0"/>
        <w:autoSpaceDE w:val="0"/>
        <w:autoSpaceDN w:val="0"/>
        <w:adjustRightInd w:val="0"/>
      </w:pPr>
      <w:r w:rsidRPr="00727535">
        <w:t xml:space="preserve">42. </w:t>
      </w:r>
      <w:r w:rsidRPr="00727535">
        <w:tab/>
        <w:t xml:space="preserve">Park EJ, Pai MP, Dong T, Zhang J, Ko C-W, Lawrence J, et al. The influence of body size descriptors on the estimation of kidney function in normal weight, overweight, obese, and morbidly obese adults. Ann Pharmacother. 2012 Mar;46(3):317–28. </w:t>
      </w:r>
    </w:p>
    <w:p w:rsidR="009852DE" w:rsidRPr="00727535" w:rsidRDefault="009852DE">
      <w:pPr>
        <w:widowControl w:val="0"/>
        <w:autoSpaceDE w:val="0"/>
        <w:autoSpaceDN w:val="0"/>
        <w:adjustRightInd w:val="0"/>
      </w:pPr>
      <w:r w:rsidRPr="00727535">
        <w:t xml:space="preserve">43. </w:t>
      </w:r>
      <w:r w:rsidRPr="00727535">
        <w:tab/>
        <w:t xml:space="preserve">Healy MF, Speroni KG, Eugenio KR, Murphy PM. Adjusting eptifibatide doses for renal impairment: a model of dosing agreement among various methods of estimating creatinine clearance. Ann Pharmacother. 2012 Apr;46(4):477–83. </w:t>
      </w:r>
    </w:p>
    <w:p w:rsidR="009852DE" w:rsidRPr="00727535" w:rsidRDefault="009852DE">
      <w:pPr>
        <w:widowControl w:val="0"/>
        <w:autoSpaceDE w:val="0"/>
        <w:autoSpaceDN w:val="0"/>
        <w:adjustRightInd w:val="0"/>
      </w:pPr>
      <w:r w:rsidRPr="00727535">
        <w:t xml:space="preserve">44. </w:t>
      </w:r>
      <w:r w:rsidRPr="00727535">
        <w:tab/>
        <w:t xml:space="preserve">Lessard BA, Zaiken K. Comparison of equations for dosing of medications requiring renal adjustment. J Am Pharm Assoc. 2013 Feb;53(1):54–7. </w:t>
      </w:r>
    </w:p>
    <w:p w:rsidR="009852DE" w:rsidRPr="00727535" w:rsidRDefault="009852DE">
      <w:pPr>
        <w:widowControl w:val="0"/>
        <w:autoSpaceDE w:val="0"/>
        <w:autoSpaceDN w:val="0"/>
        <w:adjustRightInd w:val="0"/>
      </w:pPr>
      <w:r w:rsidRPr="00727535">
        <w:t xml:space="preserve">45. </w:t>
      </w:r>
      <w:r w:rsidRPr="00727535">
        <w:tab/>
        <w:t xml:space="preserve">Kaag D. Carboplatin dose calculation in lung cancer patients with low serum creatinine concentrations using CKD-EPI and Cockcroft-Gault with different weight descriptors. Lung Cancer Amst Neth. 2013 Jan;79(1):54–8. </w:t>
      </w:r>
    </w:p>
    <w:p w:rsidR="009852DE" w:rsidRPr="00727535" w:rsidRDefault="009852DE">
      <w:pPr>
        <w:widowControl w:val="0"/>
        <w:autoSpaceDE w:val="0"/>
        <w:autoSpaceDN w:val="0"/>
        <w:adjustRightInd w:val="0"/>
      </w:pPr>
      <w:r w:rsidRPr="00727535">
        <w:t xml:space="preserve">46. </w:t>
      </w:r>
      <w:r w:rsidRPr="00727535">
        <w:tab/>
        <w:t xml:space="preserve">Dooley MJ, Poole SG, Rischin D. Dosing of cytotoxic chemotherapy: impact of renal function estimates on dose. Ann Oncol. 2013 Nov;24(11):2746–52. </w:t>
      </w:r>
    </w:p>
    <w:p w:rsidR="009852DE" w:rsidRPr="00727535" w:rsidRDefault="009852DE">
      <w:pPr>
        <w:widowControl w:val="0"/>
        <w:autoSpaceDE w:val="0"/>
        <w:autoSpaceDN w:val="0"/>
        <w:adjustRightInd w:val="0"/>
      </w:pPr>
      <w:r w:rsidRPr="00727535">
        <w:t xml:space="preserve">47. </w:t>
      </w:r>
      <w:r w:rsidRPr="00727535">
        <w:tab/>
        <w:t xml:space="preserve">Cockcroft DW, Gault MH. Prediction of creatinine clearance from serum creatinine. Nephron. 1976;16(1):31–41. </w:t>
      </w:r>
    </w:p>
    <w:p w:rsidR="009852DE" w:rsidRPr="00727535" w:rsidRDefault="009852DE">
      <w:pPr>
        <w:widowControl w:val="0"/>
        <w:autoSpaceDE w:val="0"/>
        <w:autoSpaceDN w:val="0"/>
        <w:adjustRightInd w:val="0"/>
      </w:pPr>
      <w:r w:rsidRPr="00727535">
        <w:t xml:space="preserve">48. </w:t>
      </w:r>
      <w:r w:rsidRPr="00727535">
        <w:tab/>
        <w:t xml:space="preserve">Pai MP. Estimating the glomerular filtration rate in obese adult patients for drug dosing. Adv Chronic Kidney Dis. 2010 Sep;17(5):53–62. </w:t>
      </w:r>
    </w:p>
    <w:p w:rsidR="009852DE" w:rsidRPr="00727535" w:rsidRDefault="009852DE">
      <w:pPr>
        <w:widowControl w:val="0"/>
        <w:autoSpaceDE w:val="0"/>
        <w:autoSpaceDN w:val="0"/>
        <w:adjustRightInd w:val="0"/>
      </w:pPr>
      <w:r w:rsidRPr="00727535">
        <w:t xml:space="preserve">49. </w:t>
      </w:r>
      <w:r w:rsidRPr="00727535">
        <w:tab/>
        <w:t xml:space="preserve">Chagnac A, Herman M, Zingerman B, Erman A, Rozen-Zvi B, Hirsh J, et al. Obesity-induced glomerular hyperfiltration: its involvement in the pathogenesis of tubular sodium reabsorption. Nephrol Dial Transplant. 2008 Dec;23(12):3946–52. </w:t>
      </w:r>
    </w:p>
    <w:p w:rsidR="009852DE" w:rsidRPr="00727535" w:rsidRDefault="009852DE">
      <w:pPr>
        <w:widowControl w:val="0"/>
        <w:autoSpaceDE w:val="0"/>
        <w:autoSpaceDN w:val="0"/>
        <w:adjustRightInd w:val="0"/>
      </w:pPr>
      <w:r w:rsidRPr="00727535">
        <w:t xml:space="preserve">50. </w:t>
      </w:r>
      <w:r w:rsidRPr="00727535">
        <w:tab/>
        <w:t xml:space="preserve">Green B, Duffull SB. What is the best size descriptor to use for pharmacokinetic studies in the obese? Br J Clin Pharmacol. 2004 Aug;58(2):119–33. </w:t>
      </w:r>
    </w:p>
    <w:p w:rsidR="009852DE" w:rsidRPr="00727535" w:rsidRDefault="009852DE">
      <w:pPr>
        <w:widowControl w:val="0"/>
        <w:autoSpaceDE w:val="0"/>
        <w:autoSpaceDN w:val="0"/>
        <w:adjustRightInd w:val="0"/>
      </w:pPr>
      <w:r w:rsidRPr="00727535">
        <w:t xml:space="preserve">51. </w:t>
      </w:r>
      <w:r w:rsidRPr="00727535">
        <w:tab/>
        <w:t xml:space="preserve">Spinler SA, Nawarskas JJ, Boyce EG, Connors JE, Charland SL, Goldfarb S. Predictive performance of ten equations for estimating creatinine clearance in cardiac patients. Iohexol Cooperative Study Group. Ann Pharmacother. 1998 Dec;32(12):1275–83. </w:t>
      </w:r>
    </w:p>
    <w:p w:rsidR="009852DE" w:rsidRPr="00727535" w:rsidRDefault="009852DE">
      <w:pPr>
        <w:widowControl w:val="0"/>
        <w:autoSpaceDE w:val="0"/>
        <w:autoSpaceDN w:val="0"/>
        <w:adjustRightInd w:val="0"/>
      </w:pPr>
      <w:r w:rsidRPr="00727535">
        <w:t xml:space="preserve">52. </w:t>
      </w:r>
      <w:r w:rsidRPr="00727535">
        <w:tab/>
        <w:t xml:space="preserve">Pai MP. Estimating the Glomerular Filtration Rate in Obese Adult Patients for Drug Dosing. Adv Chronic Kidney Dis. 2010 Sep 1;17(5):e53–62. </w:t>
      </w:r>
    </w:p>
    <w:p w:rsidR="009852DE" w:rsidRPr="00727535" w:rsidRDefault="009852DE">
      <w:pPr>
        <w:widowControl w:val="0"/>
        <w:autoSpaceDE w:val="0"/>
        <w:autoSpaceDN w:val="0"/>
        <w:adjustRightInd w:val="0"/>
      </w:pPr>
      <w:r w:rsidRPr="00727535">
        <w:t xml:space="preserve">53. </w:t>
      </w:r>
      <w:r w:rsidRPr="00727535">
        <w:tab/>
        <w:t xml:space="preserve">Lim WH, Lim EM, McDonald S. Lean body mass-adjusted Cockcroft and Gault formula improves the estimation of glomerular filtration rate in subjects with normal-range serum creatinine. Nephrol Carlton Vic. 2006 Jun;11(3):250–6. </w:t>
      </w:r>
    </w:p>
    <w:p w:rsidR="009852DE" w:rsidRPr="00727535" w:rsidRDefault="009852DE">
      <w:pPr>
        <w:widowControl w:val="0"/>
        <w:autoSpaceDE w:val="0"/>
        <w:autoSpaceDN w:val="0"/>
        <w:adjustRightInd w:val="0"/>
      </w:pPr>
      <w:r w:rsidRPr="00727535">
        <w:t xml:space="preserve">54. </w:t>
      </w:r>
      <w:r w:rsidRPr="00727535">
        <w:tab/>
        <w:t xml:space="preserve">Winter MA, Guhr KN, Berg GM. Impact of various body weights and serum creatinine concentrations on the bias and accuracy of the Cockcroft-Gault equation. Pharmacotherapy. 2012 Jul;32(7):604–12. </w:t>
      </w:r>
    </w:p>
    <w:p w:rsidR="009852DE" w:rsidRPr="00727535" w:rsidRDefault="009852DE">
      <w:pPr>
        <w:widowControl w:val="0"/>
        <w:autoSpaceDE w:val="0"/>
        <w:autoSpaceDN w:val="0"/>
        <w:adjustRightInd w:val="0"/>
      </w:pPr>
      <w:r w:rsidRPr="00727535">
        <w:t xml:space="preserve">55. </w:t>
      </w:r>
      <w:r w:rsidRPr="00727535">
        <w:tab/>
        <w:t xml:space="preserve">Chew-Harris JSC, Chin PK, Florkowski CM, George P, Endre Z. Removal of body surface area normalisation improves raw-measured GFR estimation by the CKD-EPI equation and drug dosing in the obese. Intern Med J. 2015 Apr 22; </w:t>
      </w:r>
    </w:p>
    <w:p w:rsidR="009852DE" w:rsidRPr="00727535" w:rsidRDefault="009852DE">
      <w:pPr>
        <w:widowControl w:val="0"/>
        <w:autoSpaceDE w:val="0"/>
        <w:autoSpaceDN w:val="0"/>
        <w:adjustRightInd w:val="0"/>
      </w:pPr>
      <w:r w:rsidRPr="00727535">
        <w:t xml:space="preserve">56. </w:t>
      </w:r>
      <w:r w:rsidRPr="00727535">
        <w:tab/>
        <w:t xml:space="preserve">Masson I, Maillard N, Tack I, Thibaudin L, Dubourg L, Delanaye P, et al. GFR estimation using standardized cystatin C in kidney transplant recipients. Am J Kidney Dis. 2013 Feb;61(2):279–84. </w:t>
      </w:r>
    </w:p>
    <w:p w:rsidR="009852DE" w:rsidRPr="00727535" w:rsidRDefault="009852DE">
      <w:pPr>
        <w:widowControl w:val="0"/>
        <w:autoSpaceDE w:val="0"/>
        <w:autoSpaceDN w:val="0"/>
        <w:adjustRightInd w:val="0"/>
      </w:pPr>
      <w:r w:rsidRPr="00727535">
        <w:t xml:space="preserve">57. </w:t>
      </w:r>
      <w:r w:rsidRPr="00727535">
        <w:tab/>
        <w:t xml:space="preserve">Okparavero AA, Tighiouart H, Krishnasami Z, Wyatt CM, Graham H, Hellinger J, et al. Use of glomerular filtration rate estimating equations for drug dosing in HIV-positive patients. Antivir Ther. 2013;18(6):793–802. </w:t>
      </w:r>
    </w:p>
    <w:p w:rsidR="009852DE" w:rsidRPr="00727535" w:rsidRDefault="009852DE">
      <w:pPr>
        <w:widowControl w:val="0"/>
        <w:autoSpaceDE w:val="0"/>
        <w:autoSpaceDN w:val="0"/>
        <w:adjustRightInd w:val="0"/>
      </w:pPr>
      <w:r w:rsidRPr="00727535">
        <w:lastRenderedPageBreak/>
        <w:t xml:space="preserve">58. </w:t>
      </w:r>
      <w:r w:rsidRPr="00727535">
        <w:tab/>
        <w:t xml:space="preserve">Fotheringham J, Weatherley N, Kawar B, G Fogarty D, Ellam T. The body composition and excretory burden of lean, obese, and severely obese individuals has implications for the assessment of chronic kidney disease. Kidney Int. 2014 Dec;86(6):1221–8. </w:t>
      </w:r>
    </w:p>
    <w:p w:rsidR="009852DE" w:rsidRPr="00727535" w:rsidRDefault="009852DE">
      <w:pPr>
        <w:widowControl w:val="0"/>
        <w:autoSpaceDE w:val="0"/>
        <w:autoSpaceDN w:val="0"/>
        <w:adjustRightInd w:val="0"/>
      </w:pPr>
      <w:r w:rsidRPr="00727535">
        <w:t xml:space="preserve">59. </w:t>
      </w:r>
      <w:r w:rsidRPr="00727535">
        <w:tab/>
        <w:t xml:space="preserve">Comerma-Steffensen S, Grann M, Andersen CU, Rungby J, Simonsen U. Cardiovascular effects of current and future anti-obesity drugs. Curr Vasc Pharmacol. 2014 May;12(3):493–504. </w:t>
      </w:r>
    </w:p>
    <w:p w:rsidR="009852DE" w:rsidRPr="00727535" w:rsidRDefault="009852DE">
      <w:pPr>
        <w:widowControl w:val="0"/>
        <w:autoSpaceDE w:val="0"/>
        <w:autoSpaceDN w:val="0"/>
        <w:adjustRightInd w:val="0"/>
      </w:pPr>
      <w:r w:rsidRPr="00727535">
        <w:t xml:space="preserve">60. </w:t>
      </w:r>
      <w:r w:rsidRPr="00727535">
        <w:tab/>
        <w:t xml:space="preserve">Scheen AJ. Pharmacokinetic considerations for the treatment of diabetes in patients with chronic kidney disease. Expert Opin Drug Metab Toxicol. 2013 May;9(5):529–50. </w:t>
      </w:r>
    </w:p>
    <w:p w:rsidR="009852DE" w:rsidRPr="009852DE" w:rsidRDefault="009852DE">
      <w:pPr>
        <w:widowControl w:val="0"/>
        <w:autoSpaceDE w:val="0"/>
        <w:autoSpaceDN w:val="0"/>
        <w:adjustRightInd w:val="0"/>
        <w:rPr>
          <w:lang w:val="fr-FR"/>
        </w:rPr>
      </w:pPr>
      <w:r w:rsidRPr="00727535">
        <w:t xml:space="preserve">61. </w:t>
      </w:r>
      <w:r w:rsidRPr="00727535">
        <w:tab/>
        <w:t xml:space="preserve">Inzucchi SE, Bergenstal RM, Buse JB, Diamant M, Ferrannini E, Nauck M, et al. Management of hyperglycaemia in type 2 diabetes, 2015: a patient-centred approach. Update to a position statement of the American Diabetes Association and the European Association for the Study of Diabetes. </w:t>
      </w:r>
      <w:r w:rsidRPr="009852DE">
        <w:rPr>
          <w:lang w:val="fr-FR"/>
        </w:rPr>
        <w:t xml:space="preserve">Diabetologia. 2015 Mar;58(3):429–42. </w:t>
      </w:r>
    </w:p>
    <w:p w:rsidR="009852DE" w:rsidRPr="00727535" w:rsidRDefault="009852DE">
      <w:pPr>
        <w:widowControl w:val="0"/>
        <w:autoSpaceDE w:val="0"/>
        <w:autoSpaceDN w:val="0"/>
        <w:adjustRightInd w:val="0"/>
      </w:pPr>
      <w:r w:rsidRPr="009852DE">
        <w:rPr>
          <w:lang w:val="fr-FR"/>
        </w:rPr>
        <w:t xml:space="preserve">62. </w:t>
      </w:r>
      <w:r w:rsidRPr="009852DE">
        <w:rPr>
          <w:lang w:val="fr-FR"/>
        </w:rPr>
        <w:tab/>
        <w:t xml:space="preserve">Sketris I, Lesar T, Zaske DE, Cipolle RJ. </w:t>
      </w:r>
      <w:r w:rsidRPr="00727535">
        <w:t xml:space="preserve">Effect of obesity on gentamicin pharmacokinetics. J Clin Pharmacol. 1981 Jul;21(7):288–93. </w:t>
      </w:r>
    </w:p>
    <w:p w:rsidR="009852DE" w:rsidRPr="00727535" w:rsidRDefault="009852DE">
      <w:pPr>
        <w:widowControl w:val="0"/>
        <w:autoSpaceDE w:val="0"/>
        <w:autoSpaceDN w:val="0"/>
        <w:adjustRightInd w:val="0"/>
      </w:pPr>
      <w:r w:rsidRPr="00727535">
        <w:t xml:space="preserve">63. </w:t>
      </w:r>
      <w:r w:rsidRPr="00727535">
        <w:tab/>
        <w:t xml:space="preserve">Blouin RA, Bauer LA, Miller DD, Record KE, Griffen WO. Vancomycin pharmacokinetics in normal and morbidly obese subjects. Antimicrob Agents Chemother. 1982 Apr;21(4):575–80. </w:t>
      </w:r>
    </w:p>
    <w:p w:rsidR="009852DE" w:rsidRPr="00727535" w:rsidRDefault="009852DE">
      <w:pPr>
        <w:widowControl w:val="0"/>
        <w:autoSpaceDE w:val="0"/>
        <w:autoSpaceDN w:val="0"/>
        <w:adjustRightInd w:val="0"/>
      </w:pPr>
      <w:r w:rsidRPr="00727535">
        <w:t xml:space="preserve">64. </w:t>
      </w:r>
      <w:r w:rsidRPr="00727535">
        <w:tab/>
        <w:t xml:space="preserve">Sparreboom A, Wolff AC, Mathijssen RHJ, Chatelut E, Rowinsky EK, Verweij J, et al. Evaluation of alternate size descriptors for dose calculation of anticancer drugs in the obese. J Clin Oncol. 2007 Oct 20;25(30):4707–13. </w:t>
      </w:r>
    </w:p>
    <w:p w:rsidR="009852DE" w:rsidRPr="009852DE" w:rsidRDefault="009852DE">
      <w:pPr>
        <w:widowControl w:val="0"/>
        <w:autoSpaceDE w:val="0"/>
        <w:autoSpaceDN w:val="0"/>
        <w:adjustRightInd w:val="0"/>
        <w:rPr>
          <w:lang w:val="fr-FR"/>
        </w:rPr>
      </w:pPr>
      <w:r w:rsidRPr="00727535">
        <w:t xml:space="preserve">65. </w:t>
      </w:r>
      <w:r w:rsidRPr="00727535">
        <w:tab/>
        <w:t xml:space="preserve">O’Dwyer PJ, Stevenson JP, Johnson SW. Clinical pharmacokinetics and administration of established platinum drugs. </w:t>
      </w:r>
      <w:r w:rsidRPr="009852DE">
        <w:rPr>
          <w:lang w:val="fr-FR"/>
        </w:rPr>
        <w:t xml:space="preserve">Drugs. 2000;59(Suppl 4):19–27. </w:t>
      </w:r>
    </w:p>
    <w:p w:rsidR="009852DE" w:rsidRPr="00727535" w:rsidRDefault="009852DE">
      <w:pPr>
        <w:widowControl w:val="0"/>
        <w:autoSpaceDE w:val="0"/>
        <w:autoSpaceDN w:val="0"/>
        <w:adjustRightInd w:val="0"/>
      </w:pPr>
      <w:r w:rsidRPr="009852DE">
        <w:rPr>
          <w:lang w:val="fr-FR"/>
        </w:rPr>
        <w:t xml:space="preserve">66. </w:t>
      </w:r>
      <w:r w:rsidRPr="009852DE">
        <w:rPr>
          <w:lang w:val="fr-FR"/>
        </w:rPr>
        <w:tab/>
        <w:t xml:space="preserve">Gaspari F, Ruggenenti P, Porrini E, Motterlini N, Cannata A, Carrara F, et al. </w:t>
      </w:r>
      <w:r w:rsidRPr="00727535">
        <w:t xml:space="preserve">The GFR and GFR decline cannot be accurately estimated in type 2 diabetics. Kidney Int. 2013 Jul;84(1):164–73. </w:t>
      </w:r>
    </w:p>
    <w:p w:rsidR="009852DE" w:rsidRPr="00727535" w:rsidRDefault="009852DE">
      <w:pPr>
        <w:widowControl w:val="0"/>
        <w:autoSpaceDE w:val="0"/>
        <w:autoSpaceDN w:val="0"/>
        <w:adjustRightInd w:val="0"/>
      </w:pPr>
      <w:r w:rsidRPr="00727535">
        <w:t xml:space="preserve">67. </w:t>
      </w:r>
      <w:r w:rsidRPr="00727535">
        <w:tab/>
        <w:t xml:space="preserve">Medeiros FSR, Sapienza MT, Prado ES, Agena F, Shimizu MHM, Lemos FBC, et al. Validation of plasma clearance of 51Cr-EDTA in adult renal transplant recipients: comparison with inulin renal clearance. Transpl Int. 2009 Mar;22(3):323–31. </w:t>
      </w:r>
    </w:p>
    <w:p w:rsidR="00666FE8" w:rsidRPr="0086281A" w:rsidRDefault="00777D1E">
      <w:pPr>
        <w:rPr>
          <w:rFonts w:ascii="Calibri" w:hAnsi="Calibri"/>
          <w:lang w:val="en-GB"/>
        </w:rPr>
      </w:pPr>
      <w:r w:rsidRPr="0086281A">
        <w:rPr>
          <w:rFonts w:ascii="Calibri" w:hAnsi="Calibri"/>
          <w:lang w:val="en-GB"/>
        </w:rPr>
        <w:fldChar w:fldCharType="end"/>
      </w:r>
    </w:p>
    <w:p w:rsidR="006F24D2" w:rsidRDefault="006F24D2" w:rsidP="00EC70CF">
      <w:pPr>
        <w:pStyle w:val="Titre1"/>
        <w:rPr>
          <w:rFonts w:ascii="Calibri" w:hAnsi="Calibri"/>
          <w:lang w:val="en-GB"/>
        </w:rPr>
      </w:pPr>
    </w:p>
    <w:p w:rsidR="006F24D2" w:rsidRDefault="006F24D2" w:rsidP="00EC70CF">
      <w:pPr>
        <w:pStyle w:val="Titre1"/>
        <w:rPr>
          <w:rFonts w:ascii="Calibri" w:hAnsi="Calibri"/>
          <w:lang w:val="en-GB"/>
        </w:rPr>
      </w:pPr>
    </w:p>
    <w:p w:rsidR="006F24D2" w:rsidRDefault="006F24D2" w:rsidP="00EC70CF">
      <w:pPr>
        <w:pStyle w:val="Titre1"/>
        <w:rPr>
          <w:rFonts w:ascii="Calibri" w:hAnsi="Calibri"/>
          <w:lang w:val="en-GB"/>
        </w:rPr>
      </w:pPr>
    </w:p>
    <w:p w:rsidR="006F24D2" w:rsidRDefault="006F24D2" w:rsidP="00EC70CF">
      <w:pPr>
        <w:pStyle w:val="Titre1"/>
        <w:rPr>
          <w:rFonts w:ascii="Calibri" w:hAnsi="Calibri"/>
          <w:lang w:val="en-GB"/>
        </w:rPr>
      </w:pPr>
    </w:p>
    <w:p w:rsidR="006F24D2" w:rsidRDefault="006F24D2" w:rsidP="00EC70CF">
      <w:pPr>
        <w:pStyle w:val="Titre1"/>
        <w:rPr>
          <w:rFonts w:ascii="Calibri" w:hAnsi="Calibri"/>
          <w:lang w:val="en-GB"/>
        </w:rPr>
      </w:pPr>
    </w:p>
    <w:p w:rsidR="005E17E6" w:rsidRPr="0086281A" w:rsidRDefault="005E17E6" w:rsidP="0072239C">
      <w:pPr>
        <w:rPr>
          <w:rFonts w:ascii="Calibri" w:hAnsi="Calibri"/>
          <w:b/>
          <w:lang w:val="en-GB"/>
        </w:rPr>
      </w:pPr>
    </w:p>
    <w:p w:rsidR="006F24D2" w:rsidRPr="0086281A" w:rsidRDefault="006F24D2" w:rsidP="006F24D2">
      <w:pPr>
        <w:pStyle w:val="Titre1"/>
        <w:rPr>
          <w:rFonts w:ascii="Calibri" w:hAnsi="Calibri"/>
          <w:lang w:val="en-GB"/>
        </w:rPr>
      </w:pPr>
      <w:r w:rsidRPr="0086281A">
        <w:rPr>
          <w:rFonts w:ascii="Calibri" w:hAnsi="Calibri"/>
          <w:lang w:val="en-GB"/>
        </w:rPr>
        <w:lastRenderedPageBreak/>
        <w:t>Tables and Figures</w:t>
      </w:r>
    </w:p>
    <w:p w:rsidR="006F24D2" w:rsidRDefault="006F24D2" w:rsidP="0072239C">
      <w:pPr>
        <w:rPr>
          <w:rFonts w:ascii="Calibri" w:hAnsi="Calibri"/>
          <w:b/>
          <w:lang w:val="en-GB"/>
        </w:rPr>
      </w:pPr>
    </w:p>
    <w:p w:rsidR="0072239C" w:rsidRPr="0086281A" w:rsidRDefault="008B4F46" w:rsidP="0072239C">
      <w:pPr>
        <w:rPr>
          <w:rFonts w:ascii="Calibri" w:hAnsi="Calibri"/>
          <w:lang w:val="en-GB"/>
        </w:rPr>
      </w:pPr>
      <w:r w:rsidRPr="0086281A">
        <w:rPr>
          <w:rFonts w:ascii="Calibri" w:hAnsi="Calibri"/>
          <w:b/>
          <w:lang w:val="en-GB"/>
        </w:rPr>
        <w:t>Table</w:t>
      </w:r>
      <w:r w:rsidR="0072239C" w:rsidRPr="0086281A">
        <w:rPr>
          <w:rFonts w:ascii="Calibri" w:hAnsi="Calibri"/>
          <w:b/>
          <w:lang w:val="en-GB"/>
        </w:rPr>
        <w:t xml:space="preserve"> 1. </w:t>
      </w:r>
      <w:r w:rsidR="008D35F6" w:rsidRPr="0086281A">
        <w:rPr>
          <w:rFonts w:ascii="Calibri" w:hAnsi="Calibri"/>
          <w:lang w:val="en-GB"/>
        </w:rPr>
        <w:t>Characteristics of the population</w:t>
      </w:r>
    </w:p>
    <w:p w:rsidR="0072239C" w:rsidRPr="0086281A" w:rsidRDefault="008D35F6" w:rsidP="0072239C">
      <w:pPr>
        <w:rPr>
          <w:rFonts w:ascii="Calibri" w:hAnsi="Calibri"/>
          <w:lang w:val="en-GB"/>
        </w:rPr>
      </w:pPr>
      <w:r w:rsidRPr="0086281A">
        <w:rPr>
          <w:rFonts w:ascii="Calibri" w:hAnsi="Calibri"/>
          <w:lang w:val="en-GB"/>
        </w:rPr>
        <w:t>Mean</w:t>
      </w:r>
      <w:r w:rsidR="0072239C" w:rsidRPr="0086281A">
        <w:rPr>
          <w:rFonts w:ascii="Calibri" w:hAnsi="Calibri"/>
          <w:lang w:val="en-GB"/>
        </w:rPr>
        <w:t xml:space="preserve"> (SD) </w:t>
      </w:r>
      <w:r w:rsidRPr="0086281A">
        <w:rPr>
          <w:rFonts w:ascii="Calibri" w:hAnsi="Calibri"/>
          <w:lang w:val="en-GB"/>
        </w:rPr>
        <w:t>for continuous variables</w:t>
      </w:r>
      <w:r w:rsidR="0072239C" w:rsidRPr="0086281A">
        <w:rPr>
          <w:rFonts w:ascii="Calibri" w:hAnsi="Calibri"/>
          <w:lang w:val="en-GB"/>
        </w:rPr>
        <w:t xml:space="preserve">, n (%) </w:t>
      </w:r>
      <w:r w:rsidRPr="0086281A">
        <w:rPr>
          <w:rFonts w:ascii="Calibri" w:hAnsi="Calibri"/>
          <w:lang w:val="en-GB"/>
        </w:rPr>
        <w:t>for categorical variables</w:t>
      </w:r>
    </w:p>
    <w:tbl>
      <w:tblPr>
        <w:tblW w:w="0" w:type="auto"/>
        <w:tblInd w:w="428" w:type="dxa"/>
        <w:tblBorders>
          <w:top w:val="single" w:sz="4" w:space="0" w:color="auto"/>
          <w:left w:val="single" w:sz="4" w:space="0" w:color="auto"/>
          <w:bottom w:val="single" w:sz="4" w:space="0" w:color="auto"/>
          <w:right w:val="single" w:sz="4" w:space="0" w:color="auto"/>
        </w:tblBorders>
        <w:tblLook w:val="00A0"/>
      </w:tblPr>
      <w:tblGrid>
        <w:gridCol w:w="4377"/>
        <w:gridCol w:w="4377"/>
      </w:tblGrid>
      <w:tr w:rsidR="0072239C" w:rsidRPr="0086281A" w:rsidTr="0062269D">
        <w:trPr>
          <w:trHeight w:val="271"/>
        </w:trPr>
        <w:tc>
          <w:tcPr>
            <w:tcW w:w="8754" w:type="dxa"/>
            <w:gridSpan w:val="2"/>
            <w:shd w:val="clear" w:color="auto" w:fill="000000"/>
          </w:tcPr>
          <w:p w:rsidR="0072239C" w:rsidRPr="0086281A" w:rsidRDefault="008D35F6" w:rsidP="0072239C">
            <w:pPr>
              <w:jc w:val="center"/>
              <w:rPr>
                <w:rFonts w:ascii="Calibri" w:hAnsi="Calibri"/>
                <w:sz w:val="20"/>
                <w:szCs w:val="20"/>
                <w:lang w:val="en-GB"/>
              </w:rPr>
            </w:pPr>
            <w:r w:rsidRPr="0086281A">
              <w:rPr>
                <w:rFonts w:ascii="Calibri" w:hAnsi="Calibri"/>
                <w:b/>
                <w:sz w:val="20"/>
                <w:szCs w:val="20"/>
                <w:lang w:val="en-GB"/>
              </w:rPr>
              <w:t>Main characteristics</w:t>
            </w:r>
          </w:p>
        </w:tc>
      </w:tr>
      <w:tr w:rsidR="0072239C" w:rsidRPr="0086281A" w:rsidTr="00F972FD">
        <w:trPr>
          <w:trHeight w:val="81"/>
        </w:trPr>
        <w:tc>
          <w:tcPr>
            <w:tcW w:w="4377" w:type="dxa"/>
          </w:tcPr>
          <w:p w:rsidR="0072239C" w:rsidRPr="0086281A" w:rsidRDefault="008D35F6" w:rsidP="008D35F6">
            <w:pPr>
              <w:rPr>
                <w:rFonts w:ascii="Calibri" w:eastAsia="Calibri" w:hAnsi="Calibri"/>
                <w:b/>
                <w:bCs/>
                <w:sz w:val="20"/>
                <w:szCs w:val="20"/>
                <w:lang w:val="en-GB" w:eastAsia="en-US" w:bidi="fr-FR"/>
              </w:rPr>
            </w:pPr>
            <w:r w:rsidRPr="0086281A">
              <w:rPr>
                <w:rFonts w:ascii="Calibri" w:hAnsi="Calibri"/>
                <w:b/>
                <w:bCs/>
                <w:sz w:val="20"/>
                <w:szCs w:val="20"/>
                <w:lang w:val="en-GB" w:eastAsia="en-US" w:bidi="fr-FR"/>
              </w:rPr>
              <w:t>Age</w:t>
            </w:r>
            <w:r w:rsidR="0072239C" w:rsidRPr="0086281A">
              <w:rPr>
                <w:rFonts w:ascii="Calibri" w:hAnsi="Calibri"/>
                <w:b/>
                <w:bCs/>
                <w:sz w:val="20"/>
                <w:szCs w:val="20"/>
                <w:lang w:val="en-GB" w:eastAsia="en-US" w:bidi="fr-FR"/>
              </w:rPr>
              <w:t xml:space="preserve"> (</w:t>
            </w:r>
            <w:r w:rsidRPr="0086281A">
              <w:rPr>
                <w:rFonts w:ascii="Calibri" w:hAnsi="Calibri"/>
                <w:b/>
                <w:bCs/>
                <w:sz w:val="20"/>
                <w:szCs w:val="20"/>
                <w:lang w:val="en-GB" w:eastAsia="en-US" w:bidi="fr-FR"/>
              </w:rPr>
              <w:t>Years</w:t>
            </w:r>
            <w:r w:rsidR="0072239C" w:rsidRPr="0086281A">
              <w:rPr>
                <w:rFonts w:ascii="Calibri" w:hAnsi="Calibri"/>
                <w:b/>
                <w:bCs/>
                <w:sz w:val="20"/>
                <w:szCs w:val="20"/>
                <w:lang w:val="en-GB" w:eastAsia="en-US" w:bidi="fr-FR"/>
              </w:rPr>
              <w:t>)</w:t>
            </w:r>
          </w:p>
        </w:tc>
        <w:tc>
          <w:tcPr>
            <w:tcW w:w="4377" w:type="dxa"/>
          </w:tcPr>
          <w:p w:rsidR="0072239C" w:rsidRPr="0086281A" w:rsidRDefault="0072239C" w:rsidP="0072239C">
            <w:pPr>
              <w:jc w:val="center"/>
              <w:rPr>
                <w:rFonts w:ascii="Calibri" w:eastAsia="Calibri" w:hAnsi="Calibri"/>
                <w:sz w:val="20"/>
                <w:szCs w:val="20"/>
                <w:lang w:val="en-GB" w:eastAsia="en-US" w:bidi="fr-FR"/>
              </w:rPr>
            </w:pPr>
            <w:r w:rsidRPr="0086281A">
              <w:rPr>
                <w:rFonts w:ascii="Calibri" w:hAnsi="Calibri"/>
                <w:sz w:val="20"/>
                <w:szCs w:val="20"/>
                <w:lang w:val="en-GB" w:eastAsia="en-US" w:bidi="fr-FR"/>
              </w:rPr>
              <w:t>55 ± 14 [18-86]</w:t>
            </w:r>
          </w:p>
        </w:tc>
      </w:tr>
      <w:tr w:rsidR="0072239C" w:rsidRPr="0086281A" w:rsidTr="00F972FD">
        <w:trPr>
          <w:trHeight w:val="148"/>
        </w:trPr>
        <w:tc>
          <w:tcPr>
            <w:tcW w:w="4377" w:type="dxa"/>
            <w:shd w:val="clear" w:color="auto" w:fill="EEECE1" w:themeFill="background2"/>
          </w:tcPr>
          <w:p w:rsidR="0072239C" w:rsidRPr="0086281A" w:rsidRDefault="008D35F6" w:rsidP="008D35F6">
            <w:pPr>
              <w:rPr>
                <w:rFonts w:ascii="Calibri" w:eastAsia="Calibri" w:hAnsi="Calibri"/>
                <w:b/>
                <w:bCs/>
                <w:sz w:val="20"/>
                <w:szCs w:val="20"/>
                <w:lang w:val="en-GB" w:eastAsia="en-US" w:bidi="fr-FR"/>
              </w:rPr>
            </w:pPr>
            <w:r w:rsidRPr="0086281A">
              <w:rPr>
                <w:rFonts w:ascii="Calibri" w:hAnsi="Calibri"/>
                <w:b/>
                <w:bCs/>
                <w:sz w:val="20"/>
                <w:szCs w:val="20"/>
                <w:lang w:val="en-GB" w:eastAsia="en-US" w:bidi="fr-FR"/>
              </w:rPr>
              <w:t>Gender</w:t>
            </w:r>
            <w:r w:rsidR="0072239C" w:rsidRPr="0086281A">
              <w:rPr>
                <w:rFonts w:ascii="Calibri" w:hAnsi="Calibri"/>
                <w:b/>
                <w:bCs/>
                <w:sz w:val="20"/>
                <w:szCs w:val="20"/>
                <w:lang w:val="en-GB" w:eastAsia="en-US" w:bidi="fr-FR"/>
              </w:rPr>
              <w:t xml:space="preserve"> (</w:t>
            </w:r>
            <w:r w:rsidRPr="0086281A">
              <w:rPr>
                <w:rFonts w:ascii="Calibri" w:hAnsi="Calibri"/>
                <w:b/>
                <w:bCs/>
                <w:sz w:val="20"/>
                <w:szCs w:val="20"/>
                <w:lang w:val="en-GB" w:eastAsia="en-US" w:bidi="fr-FR"/>
              </w:rPr>
              <w:t>Female</w:t>
            </w:r>
            <w:r w:rsidR="0072239C" w:rsidRPr="0086281A">
              <w:rPr>
                <w:rFonts w:ascii="Calibri" w:hAnsi="Calibri"/>
                <w:b/>
                <w:bCs/>
                <w:sz w:val="20"/>
                <w:szCs w:val="20"/>
                <w:lang w:val="en-GB" w:eastAsia="en-US" w:bidi="fr-FR"/>
              </w:rPr>
              <w:t>)</w:t>
            </w:r>
          </w:p>
        </w:tc>
        <w:tc>
          <w:tcPr>
            <w:tcW w:w="4377" w:type="dxa"/>
            <w:shd w:val="clear" w:color="auto" w:fill="EEECE1" w:themeFill="background2"/>
          </w:tcPr>
          <w:p w:rsidR="0072239C" w:rsidRPr="0086281A" w:rsidRDefault="0072239C" w:rsidP="0072239C">
            <w:pPr>
              <w:jc w:val="center"/>
              <w:rPr>
                <w:rFonts w:ascii="Calibri" w:eastAsia="Calibri" w:hAnsi="Calibri"/>
                <w:sz w:val="20"/>
                <w:szCs w:val="20"/>
                <w:lang w:val="en-GB" w:eastAsia="en-US" w:bidi="fr-FR"/>
              </w:rPr>
            </w:pPr>
            <w:r w:rsidRPr="0086281A">
              <w:rPr>
                <w:rFonts w:ascii="Calibri" w:hAnsi="Calibri"/>
                <w:sz w:val="20"/>
                <w:szCs w:val="20"/>
                <w:lang w:val="en-GB" w:eastAsia="en-US" w:bidi="fr-FR"/>
              </w:rPr>
              <w:t>185 (51%)</w:t>
            </w:r>
          </w:p>
        </w:tc>
      </w:tr>
      <w:tr w:rsidR="0072239C" w:rsidRPr="0086281A" w:rsidTr="0062269D">
        <w:trPr>
          <w:trHeight w:val="302"/>
        </w:trPr>
        <w:tc>
          <w:tcPr>
            <w:tcW w:w="4377" w:type="dxa"/>
            <w:shd w:val="clear" w:color="auto" w:fill="auto"/>
          </w:tcPr>
          <w:p w:rsidR="0072239C" w:rsidRPr="0086281A" w:rsidRDefault="008D35F6" w:rsidP="0072239C">
            <w:pPr>
              <w:rPr>
                <w:rFonts w:ascii="Calibri" w:eastAsia="Calibri" w:hAnsi="Calibri"/>
                <w:b/>
                <w:bCs/>
                <w:sz w:val="20"/>
                <w:szCs w:val="20"/>
                <w:lang w:val="en-GB" w:eastAsia="en-US" w:bidi="fr-FR"/>
              </w:rPr>
            </w:pPr>
            <w:r w:rsidRPr="0086281A">
              <w:rPr>
                <w:rFonts w:ascii="Calibri" w:hAnsi="Calibri"/>
                <w:b/>
                <w:bCs/>
                <w:sz w:val="20"/>
                <w:szCs w:val="20"/>
                <w:lang w:val="en-GB" w:eastAsia="en-US" w:bidi="fr-FR"/>
              </w:rPr>
              <w:t>Weight</w:t>
            </w:r>
            <w:r w:rsidR="0072239C" w:rsidRPr="0086281A">
              <w:rPr>
                <w:rFonts w:ascii="Calibri" w:hAnsi="Calibri"/>
                <w:b/>
                <w:bCs/>
                <w:sz w:val="20"/>
                <w:szCs w:val="20"/>
                <w:lang w:val="en-GB" w:eastAsia="en-US" w:bidi="fr-FR"/>
              </w:rPr>
              <w:t xml:space="preserve"> (kg)</w:t>
            </w:r>
          </w:p>
        </w:tc>
        <w:tc>
          <w:tcPr>
            <w:tcW w:w="4377" w:type="dxa"/>
            <w:shd w:val="clear" w:color="auto" w:fill="auto"/>
          </w:tcPr>
          <w:p w:rsidR="0072239C" w:rsidRPr="0086281A" w:rsidRDefault="0072239C" w:rsidP="0072239C">
            <w:pPr>
              <w:jc w:val="center"/>
              <w:rPr>
                <w:rFonts w:ascii="Calibri" w:eastAsia="Calibri" w:hAnsi="Calibri"/>
                <w:sz w:val="20"/>
                <w:szCs w:val="20"/>
                <w:lang w:val="en-GB" w:eastAsia="en-US" w:bidi="fr-FR"/>
              </w:rPr>
            </w:pPr>
            <w:r w:rsidRPr="0086281A">
              <w:rPr>
                <w:rFonts w:ascii="Calibri" w:hAnsi="Calibri"/>
                <w:sz w:val="20"/>
                <w:szCs w:val="20"/>
                <w:lang w:val="en-GB" w:eastAsia="en-US" w:bidi="fr-FR"/>
              </w:rPr>
              <w:t>100 ± 22 [67-258]</w:t>
            </w:r>
          </w:p>
        </w:tc>
      </w:tr>
      <w:tr w:rsidR="0072239C" w:rsidRPr="0086281A" w:rsidTr="00F972FD">
        <w:trPr>
          <w:trHeight w:val="242"/>
        </w:trPr>
        <w:tc>
          <w:tcPr>
            <w:tcW w:w="4377" w:type="dxa"/>
            <w:shd w:val="clear" w:color="auto" w:fill="auto"/>
          </w:tcPr>
          <w:p w:rsidR="0072239C" w:rsidRPr="0086281A" w:rsidRDefault="008D35F6" w:rsidP="0072239C">
            <w:pPr>
              <w:rPr>
                <w:rFonts w:ascii="Calibri" w:eastAsia="Calibri" w:hAnsi="Calibri"/>
                <w:b/>
                <w:bCs/>
                <w:sz w:val="20"/>
                <w:szCs w:val="20"/>
                <w:lang w:val="en-GB" w:eastAsia="en-US" w:bidi="fr-FR"/>
              </w:rPr>
            </w:pPr>
            <w:r w:rsidRPr="0086281A">
              <w:rPr>
                <w:rFonts w:ascii="Calibri" w:hAnsi="Calibri"/>
                <w:b/>
                <w:bCs/>
                <w:sz w:val="20"/>
                <w:szCs w:val="20"/>
                <w:lang w:val="en-GB" w:eastAsia="en-US" w:bidi="fr-FR"/>
              </w:rPr>
              <w:t>Height</w:t>
            </w:r>
            <w:r w:rsidR="0072239C" w:rsidRPr="0086281A">
              <w:rPr>
                <w:rFonts w:ascii="Calibri" w:hAnsi="Calibri"/>
                <w:b/>
                <w:bCs/>
                <w:sz w:val="20"/>
                <w:szCs w:val="20"/>
                <w:lang w:val="en-GB" w:eastAsia="en-US" w:bidi="fr-FR"/>
              </w:rPr>
              <w:t xml:space="preserve"> (cm)</w:t>
            </w:r>
          </w:p>
        </w:tc>
        <w:tc>
          <w:tcPr>
            <w:tcW w:w="4377" w:type="dxa"/>
            <w:shd w:val="clear" w:color="auto" w:fill="auto"/>
          </w:tcPr>
          <w:p w:rsidR="0072239C" w:rsidRPr="0086281A" w:rsidRDefault="0072239C" w:rsidP="0072239C">
            <w:pPr>
              <w:jc w:val="center"/>
              <w:rPr>
                <w:rFonts w:ascii="Calibri" w:eastAsia="Calibri" w:hAnsi="Calibri"/>
                <w:sz w:val="20"/>
                <w:szCs w:val="20"/>
                <w:lang w:val="en-GB" w:eastAsia="en-US" w:bidi="fr-FR"/>
              </w:rPr>
            </w:pPr>
            <w:r w:rsidRPr="0086281A">
              <w:rPr>
                <w:rFonts w:ascii="Calibri" w:hAnsi="Calibri"/>
                <w:sz w:val="20"/>
                <w:szCs w:val="20"/>
                <w:lang w:val="en-GB" w:eastAsia="en-US" w:bidi="fr-FR"/>
              </w:rPr>
              <w:t>166 ± 10 [144-193]</w:t>
            </w:r>
          </w:p>
        </w:tc>
      </w:tr>
      <w:tr w:rsidR="0072239C" w:rsidRPr="0086281A" w:rsidTr="00F972FD">
        <w:trPr>
          <w:trHeight w:val="81"/>
        </w:trPr>
        <w:tc>
          <w:tcPr>
            <w:tcW w:w="4377" w:type="dxa"/>
            <w:shd w:val="clear" w:color="auto" w:fill="EEECE1" w:themeFill="background2"/>
          </w:tcPr>
          <w:p w:rsidR="0072239C" w:rsidRPr="0086281A" w:rsidRDefault="008D35F6" w:rsidP="0072239C">
            <w:pPr>
              <w:rPr>
                <w:rFonts w:ascii="Calibri" w:hAnsi="Calibri"/>
                <w:b/>
                <w:bCs/>
                <w:sz w:val="20"/>
                <w:szCs w:val="20"/>
                <w:lang w:val="en-GB" w:eastAsia="en-US" w:bidi="fr-FR"/>
              </w:rPr>
            </w:pPr>
            <w:r w:rsidRPr="0086281A">
              <w:rPr>
                <w:rFonts w:ascii="Calibri" w:hAnsi="Calibri"/>
                <w:b/>
                <w:bCs/>
                <w:sz w:val="20"/>
                <w:szCs w:val="20"/>
                <w:lang w:val="en-GB" w:eastAsia="en-US" w:bidi="fr-FR"/>
              </w:rPr>
              <w:t>Ethnicity (African)</w:t>
            </w:r>
          </w:p>
        </w:tc>
        <w:tc>
          <w:tcPr>
            <w:tcW w:w="4377" w:type="dxa"/>
            <w:shd w:val="clear" w:color="auto" w:fill="EEECE1" w:themeFill="background2"/>
          </w:tcPr>
          <w:p w:rsidR="0072239C" w:rsidRPr="0086281A" w:rsidRDefault="0072239C" w:rsidP="0072239C">
            <w:pPr>
              <w:jc w:val="center"/>
              <w:rPr>
                <w:rFonts w:ascii="Calibri" w:hAnsi="Calibri"/>
                <w:sz w:val="20"/>
                <w:szCs w:val="20"/>
                <w:lang w:val="en-GB" w:eastAsia="en-US" w:bidi="fr-FR"/>
              </w:rPr>
            </w:pPr>
            <w:r w:rsidRPr="0086281A">
              <w:rPr>
                <w:rFonts w:ascii="Calibri" w:hAnsi="Calibri"/>
                <w:sz w:val="20"/>
                <w:szCs w:val="20"/>
                <w:lang w:val="en-GB" w:eastAsia="en-US" w:bidi="fr-FR"/>
              </w:rPr>
              <w:t>50 (14%)</w:t>
            </w:r>
          </w:p>
        </w:tc>
      </w:tr>
      <w:tr w:rsidR="0072239C" w:rsidRPr="0086281A" w:rsidTr="0072239C">
        <w:trPr>
          <w:trHeight w:val="289"/>
        </w:trPr>
        <w:tc>
          <w:tcPr>
            <w:tcW w:w="4377" w:type="dxa"/>
          </w:tcPr>
          <w:p w:rsidR="0072239C" w:rsidRPr="0086281A" w:rsidRDefault="0072239C" w:rsidP="0072239C">
            <w:pPr>
              <w:rPr>
                <w:rFonts w:ascii="Calibri" w:hAnsi="Calibri"/>
                <w:b/>
                <w:bCs/>
                <w:sz w:val="20"/>
                <w:szCs w:val="20"/>
                <w:lang w:val="en-GB" w:eastAsia="en-US" w:bidi="fr-FR"/>
              </w:rPr>
            </w:pPr>
            <w:r w:rsidRPr="0086281A">
              <w:rPr>
                <w:rFonts w:ascii="Calibri" w:hAnsi="Calibri"/>
                <w:b/>
                <w:bCs/>
                <w:sz w:val="20"/>
                <w:szCs w:val="20"/>
                <w:lang w:val="en-GB" w:eastAsia="en-US" w:bidi="fr-FR"/>
              </w:rPr>
              <w:t>Body mass index (kg/m²)</w:t>
            </w:r>
          </w:p>
          <w:p w:rsidR="00636758" w:rsidRPr="0086281A" w:rsidRDefault="00636758" w:rsidP="00636758">
            <w:pPr>
              <w:pStyle w:val="Paragraphedeliste"/>
              <w:numPr>
                <w:ilvl w:val="0"/>
                <w:numId w:val="4"/>
              </w:numPr>
              <w:rPr>
                <w:rFonts w:ascii="Calibri" w:hAnsi="Calibri"/>
                <w:b/>
                <w:bCs/>
                <w:sz w:val="20"/>
                <w:szCs w:val="20"/>
                <w:lang w:val="en-GB" w:eastAsia="en-US" w:bidi="fr-FR"/>
              </w:rPr>
            </w:pPr>
            <w:r w:rsidRPr="0086281A">
              <w:rPr>
                <w:rFonts w:ascii="Calibri" w:hAnsi="Calibri"/>
                <w:b/>
                <w:bCs/>
                <w:sz w:val="20"/>
                <w:szCs w:val="20"/>
                <w:lang w:val="en-GB" w:eastAsia="en-US" w:bidi="fr-FR"/>
              </w:rPr>
              <w:t>30-35 kg/m</w:t>
            </w:r>
            <w:r w:rsidRPr="0086281A">
              <w:rPr>
                <w:rFonts w:ascii="Calibri" w:hAnsi="Calibri"/>
                <w:b/>
                <w:bCs/>
                <w:sz w:val="20"/>
                <w:szCs w:val="20"/>
                <w:vertAlign w:val="superscript"/>
                <w:lang w:val="en-GB" w:eastAsia="en-US" w:bidi="fr-FR"/>
              </w:rPr>
              <w:t>2</w:t>
            </w:r>
          </w:p>
          <w:p w:rsidR="0072239C" w:rsidRPr="0086281A" w:rsidRDefault="0072239C" w:rsidP="00636758">
            <w:pPr>
              <w:pStyle w:val="Paragraphedeliste"/>
              <w:numPr>
                <w:ilvl w:val="0"/>
                <w:numId w:val="4"/>
              </w:numPr>
              <w:rPr>
                <w:rFonts w:ascii="Calibri" w:hAnsi="Calibri"/>
                <w:b/>
                <w:bCs/>
                <w:sz w:val="20"/>
                <w:szCs w:val="20"/>
                <w:lang w:val="en-GB" w:eastAsia="en-US" w:bidi="fr-FR"/>
              </w:rPr>
            </w:pPr>
            <w:r w:rsidRPr="0086281A">
              <w:rPr>
                <w:rFonts w:ascii="Calibri" w:eastAsia="Calibri" w:hAnsi="Calibri"/>
                <w:b/>
                <w:bCs/>
                <w:sz w:val="20"/>
                <w:szCs w:val="20"/>
                <w:lang w:val="en-GB" w:eastAsia="en-US" w:bidi="fr-FR"/>
              </w:rPr>
              <w:t>35-40</w:t>
            </w:r>
            <w:r w:rsidRPr="0086281A">
              <w:rPr>
                <w:rFonts w:ascii="Calibri" w:hAnsi="Calibri"/>
                <w:b/>
                <w:bCs/>
                <w:sz w:val="20"/>
                <w:szCs w:val="20"/>
                <w:lang w:val="en-GB" w:eastAsia="en-US" w:bidi="fr-FR"/>
              </w:rPr>
              <w:t xml:space="preserve"> kg/m</w:t>
            </w:r>
            <w:r w:rsidRPr="0086281A">
              <w:rPr>
                <w:rFonts w:ascii="Calibri" w:hAnsi="Calibri"/>
                <w:b/>
                <w:bCs/>
                <w:sz w:val="20"/>
                <w:szCs w:val="20"/>
                <w:vertAlign w:val="superscript"/>
                <w:lang w:val="en-GB" w:eastAsia="en-US" w:bidi="fr-FR"/>
              </w:rPr>
              <w:t>2</w:t>
            </w:r>
          </w:p>
          <w:p w:rsidR="0072239C" w:rsidRPr="0086281A" w:rsidRDefault="0072239C" w:rsidP="00636758">
            <w:pPr>
              <w:pStyle w:val="Paragraphedeliste"/>
              <w:numPr>
                <w:ilvl w:val="0"/>
                <w:numId w:val="4"/>
              </w:numPr>
              <w:rPr>
                <w:rFonts w:ascii="Calibri" w:hAnsi="Calibri"/>
                <w:b/>
                <w:bCs/>
                <w:sz w:val="20"/>
                <w:szCs w:val="20"/>
                <w:lang w:val="en-GB" w:eastAsia="en-US" w:bidi="fr-FR"/>
              </w:rPr>
            </w:pPr>
            <w:r w:rsidRPr="0086281A">
              <w:rPr>
                <w:rFonts w:ascii="Calibri" w:eastAsia="Calibri" w:hAnsi="Calibri"/>
                <w:b/>
                <w:bCs/>
                <w:sz w:val="20"/>
                <w:szCs w:val="20"/>
                <w:lang w:val="en-GB" w:eastAsia="en-US" w:bidi="fr-FR"/>
              </w:rPr>
              <w:t>&gt;</w:t>
            </w:r>
            <w:r w:rsidR="007442CA" w:rsidRPr="0086281A">
              <w:rPr>
                <w:rFonts w:ascii="Calibri" w:eastAsia="Calibri" w:hAnsi="Calibri"/>
                <w:b/>
                <w:bCs/>
                <w:sz w:val="20"/>
                <w:szCs w:val="20"/>
                <w:lang w:val="en-GB" w:eastAsia="en-US" w:bidi="fr-FR"/>
              </w:rPr>
              <w:t xml:space="preserve"> </w:t>
            </w:r>
            <w:r w:rsidRPr="0086281A">
              <w:rPr>
                <w:rFonts w:ascii="Calibri" w:eastAsia="Calibri" w:hAnsi="Calibri"/>
                <w:b/>
                <w:bCs/>
                <w:sz w:val="20"/>
                <w:szCs w:val="20"/>
                <w:lang w:val="en-GB" w:eastAsia="en-US" w:bidi="fr-FR"/>
              </w:rPr>
              <w:t>40</w:t>
            </w:r>
            <w:r w:rsidRPr="0086281A">
              <w:rPr>
                <w:rFonts w:ascii="Calibri" w:hAnsi="Calibri"/>
                <w:b/>
                <w:bCs/>
                <w:sz w:val="20"/>
                <w:szCs w:val="20"/>
                <w:lang w:val="en-GB" w:eastAsia="en-US" w:bidi="fr-FR"/>
              </w:rPr>
              <w:t xml:space="preserve"> kg/m</w:t>
            </w:r>
            <w:r w:rsidRPr="0086281A">
              <w:rPr>
                <w:rFonts w:ascii="Calibri" w:hAnsi="Calibri"/>
                <w:b/>
                <w:bCs/>
                <w:sz w:val="20"/>
                <w:szCs w:val="20"/>
                <w:vertAlign w:val="superscript"/>
                <w:lang w:val="en-GB" w:eastAsia="en-US" w:bidi="fr-FR"/>
              </w:rPr>
              <w:t>2</w:t>
            </w:r>
          </w:p>
        </w:tc>
        <w:tc>
          <w:tcPr>
            <w:tcW w:w="4377" w:type="dxa"/>
          </w:tcPr>
          <w:p w:rsidR="0072239C" w:rsidRPr="0086281A" w:rsidRDefault="0072239C" w:rsidP="0072239C">
            <w:pPr>
              <w:jc w:val="center"/>
              <w:rPr>
                <w:rFonts w:ascii="Calibri" w:hAnsi="Calibri"/>
                <w:sz w:val="20"/>
                <w:szCs w:val="20"/>
                <w:lang w:val="en-GB" w:eastAsia="en-US" w:bidi="fr-FR"/>
              </w:rPr>
            </w:pPr>
            <w:r w:rsidRPr="0086281A">
              <w:rPr>
                <w:rFonts w:ascii="Calibri" w:hAnsi="Calibri"/>
                <w:sz w:val="20"/>
                <w:szCs w:val="20"/>
                <w:lang w:val="en-GB" w:eastAsia="en-US" w:bidi="fr-FR"/>
              </w:rPr>
              <w:t>36 ± 7 [30-77]</w:t>
            </w:r>
          </w:p>
          <w:p w:rsidR="0072239C" w:rsidRPr="0086281A" w:rsidRDefault="0072239C" w:rsidP="0072239C">
            <w:pPr>
              <w:jc w:val="center"/>
              <w:rPr>
                <w:rFonts w:ascii="Calibri" w:hAnsi="Calibri" w:cs="Times"/>
                <w:color w:val="141413"/>
                <w:sz w:val="20"/>
                <w:szCs w:val="20"/>
                <w:lang w:val="en-GB"/>
              </w:rPr>
            </w:pPr>
            <w:r w:rsidRPr="0086281A">
              <w:rPr>
                <w:rFonts w:ascii="Calibri" w:hAnsi="Calibri" w:cs="Times"/>
                <w:color w:val="141413"/>
                <w:sz w:val="20"/>
                <w:szCs w:val="20"/>
                <w:lang w:val="en-GB"/>
              </w:rPr>
              <w:t>217 (59%)</w:t>
            </w:r>
          </w:p>
          <w:p w:rsidR="0072239C" w:rsidRPr="0086281A" w:rsidRDefault="0072239C" w:rsidP="0072239C">
            <w:pPr>
              <w:jc w:val="center"/>
              <w:rPr>
                <w:rFonts w:ascii="Calibri" w:hAnsi="Calibri" w:cs="Times"/>
                <w:color w:val="141413"/>
                <w:sz w:val="20"/>
                <w:szCs w:val="20"/>
                <w:lang w:val="en-GB"/>
              </w:rPr>
            </w:pPr>
            <w:r w:rsidRPr="0086281A">
              <w:rPr>
                <w:rFonts w:ascii="Calibri" w:hAnsi="Calibri" w:cs="Times"/>
                <w:color w:val="141413"/>
                <w:sz w:val="20"/>
                <w:szCs w:val="20"/>
                <w:lang w:val="en-GB"/>
              </w:rPr>
              <w:t>76 (21%)</w:t>
            </w:r>
          </w:p>
          <w:p w:rsidR="0072239C" w:rsidRPr="0086281A" w:rsidRDefault="0072239C" w:rsidP="0072239C">
            <w:pPr>
              <w:jc w:val="center"/>
              <w:rPr>
                <w:rFonts w:ascii="Calibri" w:eastAsia="Calibri" w:hAnsi="Calibri"/>
                <w:sz w:val="20"/>
                <w:szCs w:val="20"/>
                <w:lang w:val="en-GB" w:eastAsia="en-US" w:bidi="fr-FR"/>
              </w:rPr>
            </w:pPr>
            <w:r w:rsidRPr="0086281A">
              <w:rPr>
                <w:rFonts w:ascii="Calibri" w:hAnsi="Calibri" w:cs="Times"/>
                <w:color w:val="141413"/>
                <w:sz w:val="20"/>
                <w:szCs w:val="20"/>
                <w:lang w:val="en-GB"/>
              </w:rPr>
              <w:t>73 (20%)</w:t>
            </w:r>
          </w:p>
        </w:tc>
      </w:tr>
      <w:tr w:rsidR="0072239C" w:rsidRPr="0086281A" w:rsidTr="00F972FD">
        <w:trPr>
          <w:trHeight w:val="166"/>
        </w:trPr>
        <w:tc>
          <w:tcPr>
            <w:tcW w:w="4377" w:type="dxa"/>
            <w:shd w:val="clear" w:color="auto" w:fill="EEECE1" w:themeFill="background2"/>
          </w:tcPr>
          <w:p w:rsidR="0072239C" w:rsidRPr="0086281A" w:rsidRDefault="0072239C" w:rsidP="008D35F6">
            <w:pPr>
              <w:rPr>
                <w:rFonts w:ascii="Calibri" w:hAnsi="Calibri"/>
                <w:b/>
                <w:bCs/>
                <w:sz w:val="20"/>
                <w:szCs w:val="20"/>
                <w:lang w:val="en-GB" w:eastAsia="en-US" w:bidi="fr-FR"/>
              </w:rPr>
            </w:pPr>
            <w:r w:rsidRPr="0086281A">
              <w:rPr>
                <w:rFonts w:ascii="Calibri" w:hAnsi="Calibri"/>
                <w:b/>
                <w:bCs/>
                <w:sz w:val="20"/>
                <w:szCs w:val="20"/>
                <w:lang w:val="en-GB" w:eastAsia="en-US" w:bidi="fr-FR"/>
              </w:rPr>
              <w:t>BSA (Gehan and Georges</w:t>
            </w:r>
            <w:r w:rsidR="008D35F6" w:rsidRPr="0086281A">
              <w:rPr>
                <w:rFonts w:ascii="Calibri" w:hAnsi="Calibri"/>
                <w:b/>
                <w:bCs/>
                <w:sz w:val="20"/>
                <w:szCs w:val="20"/>
                <w:lang w:val="en-GB" w:eastAsia="en-US" w:bidi="fr-FR"/>
              </w:rPr>
              <w:t xml:space="preserve"> formula</w:t>
            </w:r>
            <w:r w:rsidRPr="0086281A">
              <w:rPr>
                <w:rFonts w:ascii="Calibri" w:hAnsi="Calibri"/>
                <w:b/>
                <w:bCs/>
                <w:sz w:val="20"/>
                <w:szCs w:val="20"/>
                <w:lang w:val="en-GB" w:eastAsia="en-US" w:bidi="fr-FR"/>
              </w:rPr>
              <w:t xml:space="preserve"> m²)</w:t>
            </w:r>
          </w:p>
        </w:tc>
        <w:tc>
          <w:tcPr>
            <w:tcW w:w="4377" w:type="dxa"/>
            <w:shd w:val="clear" w:color="auto" w:fill="EEECE1" w:themeFill="background2"/>
          </w:tcPr>
          <w:p w:rsidR="0072239C" w:rsidRPr="0086281A" w:rsidRDefault="0072239C" w:rsidP="0072239C">
            <w:pPr>
              <w:jc w:val="center"/>
              <w:rPr>
                <w:rFonts w:ascii="Calibri" w:hAnsi="Calibri"/>
                <w:sz w:val="20"/>
                <w:szCs w:val="20"/>
                <w:lang w:val="en-GB" w:eastAsia="en-US" w:bidi="fr-FR"/>
              </w:rPr>
            </w:pPr>
            <w:r w:rsidRPr="0086281A">
              <w:rPr>
                <w:rFonts w:ascii="Calibri" w:hAnsi="Calibri"/>
                <w:sz w:val="20"/>
                <w:szCs w:val="20"/>
                <w:lang w:val="en-GB" w:eastAsia="en-US" w:bidi="fr-FR"/>
              </w:rPr>
              <w:t xml:space="preserve">2.16 ± 0.26 </w:t>
            </w:r>
            <w:r w:rsidRPr="0086281A">
              <w:rPr>
                <w:rFonts w:ascii="Calibri" w:hAnsi="Calibri" w:cs="Times"/>
                <w:color w:val="141413"/>
                <w:sz w:val="20"/>
                <w:szCs w:val="20"/>
                <w:lang w:val="en-GB"/>
              </w:rPr>
              <w:t>[1.67</w:t>
            </w:r>
            <w:r w:rsidRPr="0086281A">
              <w:rPr>
                <w:rFonts w:ascii="Calibri" w:hAnsi="Calibri" w:cs="Helvetica"/>
                <w:color w:val="141413"/>
                <w:sz w:val="20"/>
                <w:szCs w:val="20"/>
                <w:lang w:val="en-GB"/>
              </w:rPr>
              <w:t>–</w:t>
            </w:r>
            <w:r w:rsidRPr="0086281A">
              <w:rPr>
                <w:rFonts w:ascii="Calibri" w:hAnsi="Calibri" w:cs="Times"/>
                <w:color w:val="141413"/>
                <w:sz w:val="20"/>
                <w:szCs w:val="20"/>
                <w:lang w:val="en-GB"/>
              </w:rPr>
              <w:t>3.7]</w:t>
            </w:r>
          </w:p>
        </w:tc>
      </w:tr>
      <w:tr w:rsidR="0072239C" w:rsidRPr="0086281A" w:rsidTr="00F972FD">
        <w:trPr>
          <w:trHeight w:val="242"/>
        </w:trPr>
        <w:tc>
          <w:tcPr>
            <w:tcW w:w="4377" w:type="dxa"/>
            <w:shd w:val="clear" w:color="auto" w:fill="auto"/>
          </w:tcPr>
          <w:p w:rsidR="0072239C" w:rsidRPr="0086281A" w:rsidRDefault="0072239C" w:rsidP="008D35F6">
            <w:pPr>
              <w:rPr>
                <w:rFonts w:ascii="Calibri" w:hAnsi="Calibri"/>
                <w:b/>
                <w:bCs/>
                <w:sz w:val="20"/>
                <w:szCs w:val="20"/>
                <w:lang w:val="en-GB" w:eastAsia="en-US" w:bidi="fr-FR"/>
              </w:rPr>
            </w:pPr>
            <w:r w:rsidRPr="0086281A">
              <w:rPr>
                <w:rFonts w:ascii="Calibri" w:hAnsi="Calibri"/>
                <w:b/>
                <w:bCs/>
                <w:sz w:val="20"/>
                <w:szCs w:val="20"/>
                <w:lang w:val="en-GB" w:eastAsia="en-US" w:bidi="fr-FR"/>
              </w:rPr>
              <w:t>Creatinine (mg/L)</w:t>
            </w:r>
          </w:p>
        </w:tc>
        <w:tc>
          <w:tcPr>
            <w:tcW w:w="4377" w:type="dxa"/>
            <w:shd w:val="clear" w:color="auto" w:fill="auto"/>
          </w:tcPr>
          <w:p w:rsidR="0072239C" w:rsidRPr="0086281A" w:rsidRDefault="0072239C" w:rsidP="0062269D">
            <w:pPr>
              <w:jc w:val="center"/>
              <w:rPr>
                <w:rFonts w:ascii="Calibri" w:hAnsi="Calibri"/>
                <w:sz w:val="20"/>
                <w:szCs w:val="20"/>
                <w:lang w:val="en-GB" w:eastAsia="en-US" w:bidi="fr-FR"/>
              </w:rPr>
            </w:pPr>
            <w:r w:rsidRPr="0086281A">
              <w:rPr>
                <w:rFonts w:ascii="Calibri" w:hAnsi="Calibri"/>
                <w:sz w:val="20"/>
                <w:szCs w:val="20"/>
                <w:lang w:val="en-GB" w:eastAsia="en-US" w:bidi="fr-FR"/>
              </w:rPr>
              <w:t xml:space="preserve">16 </w:t>
            </w:r>
            <w:r w:rsidR="000F038A" w:rsidRPr="0086281A">
              <w:rPr>
                <w:rFonts w:ascii="Calibri" w:hAnsi="Calibri"/>
                <w:sz w:val="20"/>
                <w:szCs w:val="20"/>
                <w:lang w:val="en-GB" w:eastAsia="en-US" w:bidi="fr-FR"/>
              </w:rPr>
              <w:t xml:space="preserve"> </w:t>
            </w:r>
            <w:r w:rsidRPr="0086281A">
              <w:rPr>
                <w:rFonts w:ascii="Calibri" w:hAnsi="Calibri"/>
                <w:sz w:val="20"/>
                <w:szCs w:val="20"/>
                <w:lang w:val="en-GB" w:eastAsia="en-US" w:bidi="fr-FR"/>
              </w:rPr>
              <w:t>±</w:t>
            </w:r>
            <w:r w:rsidR="000F038A" w:rsidRPr="0086281A">
              <w:rPr>
                <w:rFonts w:ascii="Calibri" w:hAnsi="Calibri"/>
                <w:sz w:val="20"/>
                <w:szCs w:val="20"/>
                <w:lang w:val="en-GB" w:eastAsia="en-US" w:bidi="fr-FR"/>
              </w:rPr>
              <w:t xml:space="preserve"> </w:t>
            </w:r>
            <w:r w:rsidRPr="0086281A">
              <w:rPr>
                <w:rFonts w:ascii="Calibri" w:hAnsi="Calibri"/>
                <w:sz w:val="20"/>
                <w:szCs w:val="20"/>
                <w:lang w:val="en-GB" w:eastAsia="en-US" w:bidi="fr-FR"/>
              </w:rPr>
              <w:t>11 [5-74]</w:t>
            </w:r>
          </w:p>
        </w:tc>
      </w:tr>
      <w:tr w:rsidR="0072239C" w:rsidRPr="0086281A" w:rsidTr="0062269D">
        <w:trPr>
          <w:trHeight w:val="344"/>
        </w:trPr>
        <w:tc>
          <w:tcPr>
            <w:tcW w:w="4377" w:type="dxa"/>
            <w:shd w:val="clear" w:color="auto" w:fill="EEECE1" w:themeFill="background2"/>
          </w:tcPr>
          <w:p w:rsidR="0072239C" w:rsidRPr="0086281A" w:rsidRDefault="0062269D" w:rsidP="008B4F46">
            <w:pPr>
              <w:rPr>
                <w:rFonts w:ascii="Calibri" w:hAnsi="Calibri"/>
                <w:b/>
                <w:bCs/>
                <w:sz w:val="20"/>
                <w:szCs w:val="20"/>
                <w:lang w:val="en-GB" w:eastAsia="en-US" w:bidi="fr-FR"/>
              </w:rPr>
            </w:pPr>
            <w:r w:rsidRPr="0086281A">
              <w:rPr>
                <w:rFonts w:ascii="Calibri" w:hAnsi="Calibri"/>
                <w:b/>
                <w:bCs/>
                <w:sz w:val="20"/>
                <w:szCs w:val="20"/>
                <w:lang w:val="en-GB" w:eastAsia="en-US" w:bidi="fr-FR"/>
              </w:rPr>
              <w:t>Estimated GFR (eGFR):</w:t>
            </w:r>
          </w:p>
        </w:tc>
        <w:tc>
          <w:tcPr>
            <w:tcW w:w="4377" w:type="dxa"/>
            <w:shd w:val="clear" w:color="auto" w:fill="EEECE1" w:themeFill="background2"/>
          </w:tcPr>
          <w:p w:rsidR="008B4F46" w:rsidRPr="0086281A" w:rsidRDefault="008B4F46" w:rsidP="008B4F46">
            <w:pPr>
              <w:rPr>
                <w:rFonts w:ascii="Calibri" w:hAnsi="Calibri"/>
                <w:sz w:val="20"/>
                <w:szCs w:val="20"/>
                <w:lang w:val="en-GB" w:eastAsia="en-US" w:bidi="fr-FR"/>
              </w:rPr>
            </w:pPr>
          </w:p>
        </w:tc>
      </w:tr>
      <w:tr w:rsidR="0072239C" w:rsidRPr="0086281A" w:rsidTr="00EA7DDF">
        <w:trPr>
          <w:trHeight w:val="1103"/>
        </w:trPr>
        <w:tc>
          <w:tcPr>
            <w:tcW w:w="4377" w:type="dxa"/>
            <w:shd w:val="clear" w:color="auto" w:fill="EEECE1" w:themeFill="background2"/>
          </w:tcPr>
          <w:p w:rsidR="0072239C" w:rsidRPr="0086281A" w:rsidRDefault="0072239C" w:rsidP="0072239C">
            <w:pPr>
              <w:pStyle w:val="Paragraphedeliste"/>
              <w:numPr>
                <w:ilvl w:val="0"/>
                <w:numId w:val="4"/>
              </w:numPr>
              <w:rPr>
                <w:rFonts w:ascii="Calibri" w:hAnsi="Calibri"/>
                <w:b/>
                <w:bCs/>
                <w:sz w:val="20"/>
                <w:szCs w:val="20"/>
                <w:lang w:val="en-GB" w:eastAsia="en-US" w:bidi="fr-FR"/>
              </w:rPr>
            </w:pPr>
            <w:r w:rsidRPr="00794E4C">
              <w:rPr>
                <w:rFonts w:ascii="Calibri" w:hAnsi="Calibri"/>
                <w:b/>
                <w:bCs/>
                <w:sz w:val="20"/>
                <w:szCs w:val="20"/>
                <w:lang w:val="en-GB" w:eastAsia="en-US" w:bidi="fr-FR"/>
              </w:rPr>
              <w:t>CG</w:t>
            </w:r>
            <w:r w:rsidR="00794E4C" w:rsidRPr="00794E4C">
              <w:rPr>
                <w:rFonts w:ascii="Calibri" w:hAnsi="Calibri" w:cs="Times"/>
                <w:color w:val="000000"/>
                <w:sz w:val="20"/>
                <w:szCs w:val="20"/>
                <w:vertAlign w:val="subscript"/>
                <w:lang w:val="en-GB"/>
              </w:rPr>
              <w:t>ABW</w:t>
            </w:r>
            <w:r w:rsidRPr="0086281A">
              <w:rPr>
                <w:rFonts w:ascii="Calibri" w:hAnsi="Calibri"/>
                <w:b/>
                <w:bCs/>
                <w:sz w:val="20"/>
                <w:szCs w:val="20"/>
                <w:lang w:val="en-GB" w:eastAsia="en-US" w:bidi="fr-FR"/>
              </w:rPr>
              <w:t xml:space="preserve"> (m</w:t>
            </w:r>
            <w:r w:rsidR="00783B83" w:rsidRPr="0086281A">
              <w:rPr>
                <w:rFonts w:ascii="Calibri" w:hAnsi="Calibri"/>
                <w:b/>
                <w:bCs/>
                <w:sz w:val="20"/>
                <w:szCs w:val="20"/>
                <w:lang w:val="en-GB" w:eastAsia="en-US" w:bidi="fr-FR"/>
              </w:rPr>
              <w:t>L</w:t>
            </w:r>
            <w:r w:rsidRPr="0086281A">
              <w:rPr>
                <w:rFonts w:ascii="Calibri" w:hAnsi="Calibri"/>
                <w:b/>
                <w:bCs/>
                <w:sz w:val="20"/>
                <w:szCs w:val="20"/>
                <w:lang w:val="en-GB" w:eastAsia="en-US" w:bidi="fr-FR"/>
              </w:rPr>
              <w:t>/min)</w:t>
            </w:r>
          </w:p>
          <w:p w:rsidR="0072239C" w:rsidRPr="0086281A" w:rsidRDefault="0072239C" w:rsidP="0072239C">
            <w:pPr>
              <w:pStyle w:val="Paragraphedeliste"/>
              <w:numPr>
                <w:ilvl w:val="0"/>
                <w:numId w:val="4"/>
              </w:numPr>
              <w:rPr>
                <w:rFonts w:ascii="Calibri" w:hAnsi="Calibri"/>
                <w:b/>
                <w:bCs/>
                <w:sz w:val="20"/>
                <w:szCs w:val="20"/>
                <w:lang w:val="en-GB" w:eastAsia="en-US" w:bidi="fr-FR"/>
              </w:rPr>
            </w:pPr>
            <w:r w:rsidRPr="0086281A">
              <w:rPr>
                <w:rFonts w:ascii="Calibri" w:hAnsi="Calibri"/>
                <w:b/>
                <w:bCs/>
                <w:sz w:val="20"/>
                <w:szCs w:val="20"/>
                <w:lang w:val="en-GB" w:eastAsia="en-US" w:bidi="fr-FR"/>
              </w:rPr>
              <w:t>CG</w:t>
            </w:r>
            <w:r w:rsidRPr="0086281A">
              <w:rPr>
                <w:rFonts w:ascii="Calibri" w:hAnsi="Calibri"/>
                <w:b/>
                <w:bCs/>
                <w:sz w:val="20"/>
                <w:szCs w:val="20"/>
                <w:vertAlign w:val="subscript"/>
                <w:lang w:val="en-GB" w:eastAsia="en-US" w:bidi="fr-FR"/>
              </w:rPr>
              <w:t xml:space="preserve">AIBW </w:t>
            </w:r>
            <w:r w:rsidRPr="0086281A">
              <w:rPr>
                <w:rFonts w:ascii="Calibri" w:hAnsi="Calibri"/>
                <w:b/>
                <w:bCs/>
                <w:sz w:val="20"/>
                <w:szCs w:val="20"/>
                <w:lang w:val="en-GB" w:eastAsia="en-US" w:bidi="fr-FR"/>
              </w:rPr>
              <w:t>(m</w:t>
            </w:r>
            <w:r w:rsidR="00783B83" w:rsidRPr="0086281A">
              <w:rPr>
                <w:rFonts w:ascii="Calibri" w:hAnsi="Calibri"/>
                <w:b/>
                <w:bCs/>
                <w:sz w:val="20"/>
                <w:szCs w:val="20"/>
                <w:lang w:val="en-GB" w:eastAsia="en-US" w:bidi="fr-FR"/>
              </w:rPr>
              <w:t>L</w:t>
            </w:r>
            <w:r w:rsidRPr="0086281A">
              <w:rPr>
                <w:rFonts w:ascii="Calibri" w:hAnsi="Calibri"/>
                <w:b/>
                <w:bCs/>
                <w:sz w:val="20"/>
                <w:szCs w:val="20"/>
                <w:lang w:val="en-GB" w:eastAsia="en-US" w:bidi="fr-FR"/>
              </w:rPr>
              <w:t>/min)</w:t>
            </w:r>
          </w:p>
          <w:p w:rsidR="0072239C" w:rsidRPr="0086281A" w:rsidRDefault="0072239C" w:rsidP="0072239C">
            <w:pPr>
              <w:pStyle w:val="Paragraphedeliste"/>
              <w:numPr>
                <w:ilvl w:val="0"/>
                <w:numId w:val="4"/>
              </w:numPr>
              <w:rPr>
                <w:rFonts w:ascii="Calibri" w:hAnsi="Calibri"/>
                <w:b/>
                <w:bCs/>
                <w:sz w:val="20"/>
                <w:szCs w:val="20"/>
                <w:lang w:val="en-GB" w:eastAsia="en-US" w:bidi="fr-FR"/>
              </w:rPr>
            </w:pPr>
            <w:r w:rsidRPr="0086281A">
              <w:rPr>
                <w:rFonts w:ascii="Calibri" w:hAnsi="Calibri"/>
                <w:b/>
                <w:bCs/>
                <w:sz w:val="20"/>
                <w:szCs w:val="20"/>
                <w:lang w:val="en-GB" w:eastAsia="en-US" w:bidi="fr-FR"/>
              </w:rPr>
              <w:t xml:space="preserve">CKD-EPI </w:t>
            </w:r>
            <w:r w:rsidR="008707C1" w:rsidRPr="0086281A">
              <w:rPr>
                <w:rFonts w:ascii="Calibri" w:hAnsi="Calibri"/>
                <w:b/>
                <w:bCs/>
                <w:sz w:val="20"/>
                <w:szCs w:val="20"/>
                <w:vertAlign w:val="subscript"/>
                <w:lang w:val="en-GB" w:eastAsia="en-US" w:bidi="fr-FR"/>
              </w:rPr>
              <w:t>deindexed</w:t>
            </w:r>
            <w:r w:rsidRPr="0086281A">
              <w:rPr>
                <w:rFonts w:ascii="Calibri" w:hAnsi="Calibri"/>
                <w:b/>
                <w:bCs/>
                <w:sz w:val="20"/>
                <w:szCs w:val="20"/>
                <w:vertAlign w:val="subscript"/>
                <w:lang w:val="en-GB" w:eastAsia="en-US" w:bidi="fr-FR"/>
              </w:rPr>
              <w:t xml:space="preserve"> </w:t>
            </w:r>
            <w:r w:rsidRPr="0086281A">
              <w:rPr>
                <w:rFonts w:ascii="Calibri" w:hAnsi="Calibri"/>
                <w:b/>
                <w:bCs/>
                <w:sz w:val="20"/>
                <w:szCs w:val="20"/>
                <w:lang w:val="en-GB" w:eastAsia="en-US" w:bidi="fr-FR"/>
              </w:rPr>
              <w:t>(m</w:t>
            </w:r>
            <w:r w:rsidR="00783B83" w:rsidRPr="0086281A">
              <w:rPr>
                <w:rFonts w:ascii="Calibri" w:hAnsi="Calibri"/>
                <w:b/>
                <w:bCs/>
                <w:sz w:val="20"/>
                <w:szCs w:val="20"/>
                <w:lang w:val="en-GB" w:eastAsia="en-US" w:bidi="fr-FR"/>
              </w:rPr>
              <w:t>L</w:t>
            </w:r>
            <w:r w:rsidRPr="0086281A">
              <w:rPr>
                <w:rFonts w:ascii="Calibri" w:hAnsi="Calibri"/>
                <w:b/>
                <w:bCs/>
                <w:sz w:val="20"/>
                <w:szCs w:val="20"/>
                <w:lang w:val="en-GB" w:eastAsia="en-US" w:bidi="fr-FR"/>
              </w:rPr>
              <w:t>/min)</w:t>
            </w:r>
          </w:p>
          <w:p w:rsidR="0072239C" w:rsidRPr="0086281A" w:rsidRDefault="008707C1" w:rsidP="0072239C">
            <w:pPr>
              <w:pStyle w:val="Paragraphedeliste"/>
              <w:numPr>
                <w:ilvl w:val="0"/>
                <w:numId w:val="4"/>
              </w:numPr>
              <w:rPr>
                <w:rFonts w:ascii="Calibri" w:hAnsi="Calibri"/>
                <w:b/>
                <w:bCs/>
                <w:sz w:val="20"/>
                <w:szCs w:val="20"/>
                <w:lang w:val="en-GB" w:eastAsia="en-US" w:bidi="fr-FR"/>
              </w:rPr>
            </w:pPr>
            <w:r w:rsidRPr="0086281A">
              <w:rPr>
                <w:rFonts w:ascii="Calibri" w:hAnsi="Calibri"/>
                <w:b/>
                <w:bCs/>
                <w:sz w:val="20"/>
                <w:szCs w:val="20"/>
                <w:lang w:val="en-GB" w:eastAsia="en-US" w:bidi="fr-FR"/>
              </w:rPr>
              <w:t xml:space="preserve">MDRD </w:t>
            </w:r>
            <w:r w:rsidRPr="0086281A">
              <w:rPr>
                <w:rFonts w:ascii="Calibri" w:hAnsi="Calibri"/>
                <w:b/>
                <w:bCs/>
                <w:sz w:val="20"/>
                <w:szCs w:val="20"/>
                <w:vertAlign w:val="subscript"/>
                <w:lang w:val="en-GB" w:eastAsia="en-US" w:bidi="fr-FR"/>
              </w:rPr>
              <w:t>deindexed</w:t>
            </w:r>
            <w:r w:rsidRPr="0086281A">
              <w:rPr>
                <w:rFonts w:ascii="Calibri" w:hAnsi="Calibri"/>
                <w:b/>
                <w:bCs/>
                <w:sz w:val="20"/>
                <w:szCs w:val="20"/>
                <w:lang w:val="en-GB" w:eastAsia="en-US" w:bidi="fr-FR"/>
              </w:rPr>
              <w:t xml:space="preserve"> (mL/min)</w:t>
            </w:r>
          </w:p>
        </w:tc>
        <w:tc>
          <w:tcPr>
            <w:tcW w:w="4377" w:type="dxa"/>
            <w:shd w:val="clear" w:color="auto" w:fill="EEECE1" w:themeFill="background2"/>
          </w:tcPr>
          <w:p w:rsidR="0072239C" w:rsidRPr="0086281A" w:rsidRDefault="0072239C" w:rsidP="0072239C">
            <w:pPr>
              <w:jc w:val="center"/>
              <w:rPr>
                <w:rFonts w:ascii="Calibri" w:hAnsi="Calibri"/>
                <w:sz w:val="20"/>
                <w:szCs w:val="20"/>
                <w:lang w:val="en-GB" w:eastAsia="en-US" w:bidi="fr-FR"/>
              </w:rPr>
            </w:pPr>
            <w:r w:rsidRPr="0086281A">
              <w:rPr>
                <w:rFonts w:ascii="Calibri" w:hAnsi="Calibri"/>
                <w:sz w:val="20"/>
                <w:szCs w:val="20"/>
                <w:lang w:val="en-GB" w:eastAsia="en-US" w:bidi="fr-FR"/>
              </w:rPr>
              <w:t>96 ± 64 [10-610]</w:t>
            </w:r>
          </w:p>
          <w:p w:rsidR="0072239C" w:rsidRPr="0086281A" w:rsidRDefault="0072239C" w:rsidP="0072239C">
            <w:pPr>
              <w:jc w:val="center"/>
              <w:rPr>
                <w:rFonts w:ascii="Calibri" w:hAnsi="Calibri"/>
                <w:sz w:val="20"/>
                <w:szCs w:val="20"/>
                <w:lang w:val="en-GB" w:eastAsia="en-US" w:bidi="fr-FR"/>
              </w:rPr>
            </w:pPr>
            <w:r w:rsidRPr="0086281A">
              <w:rPr>
                <w:rFonts w:ascii="Calibri" w:hAnsi="Calibri"/>
                <w:sz w:val="20"/>
                <w:szCs w:val="20"/>
                <w:lang w:val="en-GB" w:eastAsia="en-US" w:bidi="fr-FR"/>
              </w:rPr>
              <w:t>7</w:t>
            </w:r>
            <w:r w:rsidR="008F6B75" w:rsidRPr="0086281A">
              <w:rPr>
                <w:rFonts w:ascii="Calibri" w:hAnsi="Calibri"/>
                <w:sz w:val="20"/>
                <w:szCs w:val="20"/>
                <w:lang w:val="en-GB" w:eastAsia="en-US" w:bidi="fr-FR"/>
              </w:rPr>
              <w:t>2</w:t>
            </w:r>
            <w:r w:rsidRPr="0086281A">
              <w:rPr>
                <w:rFonts w:ascii="Calibri" w:hAnsi="Calibri"/>
                <w:sz w:val="20"/>
                <w:szCs w:val="20"/>
                <w:lang w:val="en-GB" w:eastAsia="en-US" w:bidi="fr-FR"/>
              </w:rPr>
              <w:t xml:space="preserve"> ± 4</w:t>
            </w:r>
            <w:r w:rsidR="008F6B75" w:rsidRPr="0086281A">
              <w:rPr>
                <w:rFonts w:ascii="Calibri" w:hAnsi="Calibri"/>
                <w:sz w:val="20"/>
                <w:szCs w:val="20"/>
                <w:lang w:val="en-GB" w:eastAsia="en-US" w:bidi="fr-FR"/>
              </w:rPr>
              <w:t>4</w:t>
            </w:r>
            <w:r w:rsidRPr="0086281A">
              <w:rPr>
                <w:rFonts w:ascii="Calibri" w:hAnsi="Calibri"/>
                <w:sz w:val="20"/>
                <w:szCs w:val="20"/>
                <w:lang w:val="en-GB" w:eastAsia="en-US" w:bidi="fr-FR"/>
              </w:rPr>
              <w:t xml:space="preserve"> [9-35</w:t>
            </w:r>
            <w:r w:rsidR="008F6B75" w:rsidRPr="0086281A">
              <w:rPr>
                <w:rFonts w:ascii="Calibri" w:hAnsi="Calibri"/>
                <w:sz w:val="20"/>
                <w:szCs w:val="20"/>
                <w:lang w:val="en-GB" w:eastAsia="en-US" w:bidi="fr-FR"/>
              </w:rPr>
              <w:t>4</w:t>
            </w:r>
            <w:r w:rsidRPr="0086281A">
              <w:rPr>
                <w:rFonts w:ascii="Calibri" w:hAnsi="Calibri"/>
                <w:sz w:val="20"/>
                <w:szCs w:val="20"/>
                <w:lang w:val="en-GB" w:eastAsia="en-US" w:bidi="fr-FR"/>
              </w:rPr>
              <w:t>]</w:t>
            </w:r>
          </w:p>
          <w:p w:rsidR="0072239C" w:rsidRPr="0086281A" w:rsidRDefault="0072239C" w:rsidP="0072239C">
            <w:pPr>
              <w:jc w:val="center"/>
              <w:rPr>
                <w:rFonts w:ascii="Calibri" w:hAnsi="Calibri"/>
                <w:sz w:val="20"/>
                <w:szCs w:val="20"/>
                <w:lang w:val="en-GB" w:eastAsia="en-US" w:bidi="fr-FR"/>
              </w:rPr>
            </w:pPr>
            <w:r w:rsidRPr="0086281A">
              <w:rPr>
                <w:rFonts w:ascii="Calibri" w:hAnsi="Calibri"/>
                <w:sz w:val="20"/>
                <w:szCs w:val="20"/>
                <w:lang w:val="en-GB" w:eastAsia="en-US" w:bidi="fr-FR"/>
              </w:rPr>
              <w:t>77 ± 44 [9-283]</w:t>
            </w:r>
          </w:p>
          <w:p w:rsidR="008707C1" w:rsidRPr="0086281A" w:rsidRDefault="008707C1" w:rsidP="00EA7DDF">
            <w:pPr>
              <w:jc w:val="center"/>
              <w:rPr>
                <w:rFonts w:ascii="Calibri" w:hAnsi="Calibri"/>
                <w:sz w:val="20"/>
                <w:szCs w:val="20"/>
                <w:lang w:val="en-GB" w:eastAsia="en-US" w:bidi="fr-FR"/>
              </w:rPr>
            </w:pPr>
            <w:r w:rsidRPr="0086281A">
              <w:rPr>
                <w:rFonts w:ascii="Calibri" w:hAnsi="Calibri"/>
                <w:sz w:val="20"/>
                <w:szCs w:val="20"/>
                <w:lang w:val="en-GB" w:eastAsia="en-US" w:bidi="fr-FR"/>
              </w:rPr>
              <w:t>73 ± 43 [10-306]</w:t>
            </w:r>
          </w:p>
        </w:tc>
      </w:tr>
      <w:tr w:rsidR="0072239C" w:rsidRPr="0086281A" w:rsidTr="00F972FD">
        <w:trPr>
          <w:trHeight w:val="81"/>
        </w:trPr>
        <w:tc>
          <w:tcPr>
            <w:tcW w:w="4377" w:type="dxa"/>
            <w:shd w:val="clear" w:color="auto" w:fill="auto"/>
          </w:tcPr>
          <w:p w:rsidR="0072239C" w:rsidRPr="0086281A" w:rsidRDefault="0062269D" w:rsidP="0062269D">
            <w:pPr>
              <w:rPr>
                <w:rFonts w:ascii="Calibri" w:eastAsia="Calibri" w:hAnsi="Calibri"/>
                <w:b/>
                <w:bCs/>
                <w:sz w:val="20"/>
                <w:szCs w:val="20"/>
                <w:lang w:val="en-GB" w:eastAsia="en-US" w:bidi="fr-FR"/>
              </w:rPr>
            </w:pPr>
            <w:r w:rsidRPr="0086281A">
              <w:rPr>
                <w:rFonts w:ascii="Calibri" w:hAnsi="Calibri"/>
                <w:b/>
                <w:bCs/>
                <w:sz w:val="20"/>
                <w:szCs w:val="20"/>
                <w:lang w:val="en-GB" w:eastAsia="en-US" w:bidi="fr-FR"/>
              </w:rPr>
              <w:t>Measured GFR</w:t>
            </w:r>
            <w:r w:rsidR="0072239C" w:rsidRPr="0086281A">
              <w:rPr>
                <w:rFonts w:ascii="Calibri" w:hAnsi="Calibri"/>
                <w:b/>
                <w:bCs/>
                <w:sz w:val="20"/>
                <w:szCs w:val="20"/>
                <w:lang w:val="en-GB" w:eastAsia="en-US" w:bidi="fr-FR"/>
              </w:rPr>
              <w:t xml:space="preserve"> (mL/min)</w:t>
            </w:r>
          </w:p>
        </w:tc>
        <w:tc>
          <w:tcPr>
            <w:tcW w:w="4377" w:type="dxa"/>
            <w:shd w:val="clear" w:color="auto" w:fill="auto"/>
          </w:tcPr>
          <w:p w:rsidR="0072239C" w:rsidRPr="0086281A" w:rsidRDefault="0072239C" w:rsidP="0072239C">
            <w:pPr>
              <w:jc w:val="center"/>
              <w:rPr>
                <w:rFonts w:ascii="Calibri" w:hAnsi="Calibri"/>
                <w:sz w:val="20"/>
                <w:szCs w:val="20"/>
                <w:lang w:val="en-GB" w:eastAsia="en-US" w:bidi="fr-FR"/>
              </w:rPr>
            </w:pPr>
            <w:r w:rsidRPr="0086281A">
              <w:rPr>
                <w:rFonts w:ascii="Calibri" w:hAnsi="Calibri"/>
                <w:sz w:val="20"/>
                <w:szCs w:val="20"/>
                <w:lang w:val="en-GB" w:eastAsia="en-US" w:bidi="fr-FR"/>
              </w:rPr>
              <w:t>71 ± 35 [11-169]</w:t>
            </w:r>
          </w:p>
        </w:tc>
      </w:tr>
      <w:tr w:rsidR="0072239C" w:rsidRPr="0086281A" w:rsidTr="00636758">
        <w:trPr>
          <w:trHeight w:val="142"/>
        </w:trPr>
        <w:tc>
          <w:tcPr>
            <w:tcW w:w="4377" w:type="dxa"/>
            <w:shd w:val="clear" w:color="auto" w:fill="auto"/>
          </w:tcPr>
          <w:p w:rsidR="0072239C" w:rsidRPr="0086281A" w:rsidRDefault="0062269D" w:rsidP="0072239C">
            <w:pPr>
              <w:rPr>
                <w:rFonts w:ascii="Calibri" w:eastAsia="Calibri" w:hAnsi="Calibri"/>
                <w:b/>
                <w:bCs/>
                <w:sz w:val="20"/>
                <w:szCs w:val="20"/>
                <w:lang w:val="en-GB" w:eastAsia="en-US" w:bidi="fr-FR"/>
              </w:rPr>
            </w:pPr>
            <w:r w:rsidRPr="0086281A">
              <w:rPr>
                <w:rFonts w:ascii="Calibri" w:hAnsi="Calibri"/>
                <w:b/>
                <w:bCs/>
                <w:sz w:val="20"/>
                <w:szCs w:val="20"/>
                <w:lang w:val="en-GB" w:eastAsia="en-US" w:bidi="fr-FR"/>
              </w:rPr>
              <w:t>CKD stages</w:t>
            </w:r>
          </w:p>
          <w:p w:rsidR="0072239C" w:rsidRPr="0086281A" w:rsidRDefault="0062269D" w:rsidP="0072239C">
            <w:pPr>
              <w:pStyle w:val="Paragraphedeliste1"/>
              <w:numPr>
                <w:ilvl w:val="0"/>
                <w:numId w:val="3"/>
              </w:numPr>
              <w:overflowPunct/>
              <w:autoSpaceDE/>
              <w:autoSpaceDN/>
              <w:adjustRightInd/>
              <w:spacing w:after="0" w:line="240" w:lineRule="auto"/>
              <w:textAlignment w:val="auto"/>
              <w:rPr>
                <w:b/>
                <w:bCs/>
                <w:sz w:val="20"/>
                <w:szCs w:val="20"/>
                <w:lang w:val="en-GB"/>
              </w:rPr>
            </w:pPr>
            <w:r w:rsidRPr="0086281A">
              <w:rPr>
                <w:b/>
                <w:bCs/>
                <w:sz w:val="20"/>
                <w:szCs w:val="20"/>
                <w:lang w:val="en-GB"/>
              </w:rPr>
              <w:t xml:space="preserve">GFR </w:t>
            </w:r>
            <w:r w:rsidR="0072239C" w:rsidRPr="0086281A">
              <w:rPr>
                <w:b/>
                <w:bCs/>
                <w:sz w:val="20"/>
                <w:szCs w:val="20"/>
                <w:lang w:val="en-GB"/>
              </w:rPr>
              <w:t>≥</w:t>
            </w:r>
            <w:r w:rsidR="007442CA" w:rsidRPr="0086281A">
              <w:rPr>
                <w:b/>
                <w:bCs/>
                <w:sz w:val="20"/>
                <w:szCs w:val="20"/>
                <w:lang w:val="en-GB"/>
              </w:rPr>
              <w:t xml:space="preserve"> </w:t>
            </w:r>
            <w:r w:rsidR="0072239C" w:rsidRPr="0086281A">
              <w:rPr>
                <w:b/>
                <w:bCs/>
                <w:sz w:val="20"/>
                <w:szCs w:val="20"/>
                <w:lang w:val="en-GB"/>
              </w:rPr>
              <w:t>90 mL/min</w:t>
            </w:r>
          </w:p>
          <w:p w:rsidR="0072239C" w:rsidRPr="0086281A" w:rsidRDefault="0062269D" w:rsidP="0072239C">
            <w:pPr>
              <w:pStyle w:val="Paragraphedeliste1"/>
              <w:numPr>
                <w:ilvl w:val="0"/>
                <w:numId w:val="3"/>
              </w:numPr>
              <w:overflowPunct/>
              <w:autoSpaceDE/>
              <w:autoSpaceDN/>
              <w:adjustRightInd/>
              <w:spacing w:after="0" w:line="240" w:lineRule="auto"/>
              <w:textAlignment w:val="auto"/>
              <w:rPr>
                <w:b/>
                <w:bCs/>
                <w:sz w:val="20"/>
                <w:szCs w:val="20"/>
                <w:lang w:val="en-GB"/>
              </w:rPr>
            </w:pPr>
            <w:r w:rsidRPr="0086281A">
              <w:rPr>
                <w:b/>
                <w:bCs/>
                <w:sz w:val="20"/>
                <w:szCs w:val="20"/>
                <w:lang w:val="en-GB"/>
              </w:rPr>
              <w:t>GFR</w:t>
            </w:r>
            <w:r w:rsidR="0072239C" w:rsidRPr="0086281A">
              <w:rPr>
                <w:b/>
                <w:bCs/>
                <w:sz w:val="20"/>
                <w:szCs w:val="20"/>
                <w:lang w:val="en-GB"/>
              </w:rPr>
              <w:t xml:space="preserve"> 60-89 mL/min</w:t>
            </w:r>
          </w:p>
          <w:p w:rsidR="0072239C" w:rsidRPr="0086281A" w:rsidRDefault="0062269D" w:rsidP="0072239C">
            <w:pPr>
              <w:pStyle w:val="Paragraphedeliste1"/>
              <w:numPr>
                <w:ilvl w:val="0"/>
                <w:numId w:val="3"/>
              </w:numPr>
              <w:overflowPunct/>
              <w:autoSpaceDE/>
              <w:autoSpaceDN/>
              <w:adjustRightInd/>
              <w:spacing w:after="0" w:line="240" w:lineRule="auto"/>
              <w:textAlignment w:val="auto"/>
              <w:rPr>
                <w:b/>
                <w:bCs/>
                <w:sz w:val="20"/>
                <w:szCs w:val="20"/>
                <w:lang w:val="en-GB"/>
              </w:rPr>
            </w:pPr>
            <w:r w:rsidRPr="0086281A">
              <w:rPr>
                <w:b/>
                <w:bCs/>
                <w:sz w:val="20"/>
                <w:szCs w:val="20"/>
                <w:lang w:val="en-GB"/>
              </w:rPr>
              <w:t>GFR</w:t>
            </w:r>
            <w:r w:rsidR="0072239C" w:rsidRPr="0086281A">
              <w:rPr>
                <w:b/>
                <w:bCs/>
                <w:sz w:val="20"/>
                <w:szCs w:val="20"/>
                <w:lang w:val="en-GB"/>
              </w:rPr>
              <w:t xml:space="preserve"> 30-59 mL /min</w:t>
            </w:r>
          </w:p>
          <w:p w:rsidR="0062269D" w:rsidRPr="0086281A" w:rsidRDefault="0062269D" w:rsidP="0062269D">
            <w:pPr>
              <w:pStyle w:val="Paragraphedeliste1"/>
              <w:overflowPunct/>
              <w:autoSpaceDE/>
              <w:autoSpaceDN/>
              <w:adjustRightInd/>
              <w:spacing w:after="0" w:line="240" w:lineRule="auto"/>
              <w:ind w:left="360"/>
              <w:textAlignment w:val="auto"/>
              <w:rPr>
                <w:b/>
                <w:bCs/>
                <w:sz w:val="20"/>
                <w:szCs w:val="20"/>
                <w:lang w:val="en-GB"/>
              </w:rPr>
            </w:pPr>
            <w:r w:rsidRPr="0086281A">
              <w:rPr>
                <w:b/>
                <w:bCs/>
                <w:sz w:val="20"/>
                <w:szCs w:val="20"/>
                <w:lang w:val="en-GB"/>
              </w:rPr>
              <w:t xml:space="preserve">           3a. GFR 45-59mL/min</w:t>
            </w:r>
          </w:p>
          <w:p w:rsidR="0062269D" w:rsidRPr="0086281A" w:rsidRDefault="000354AC" w:rsidP="0062269D">
            <w:pPr>
              <w:pStyle w:val="Paragraphedeliste1"/>
              <w:overflowPunct/>
              <w:autoSpaceDE/>
              <w:autoSpaceDN/>
              <w:adjustRightInd/>
              <w:spacing w:after="0" w:line="240" w:lineRule="auto"/>
              <w:ind w:left="360"/>
              <w:textAlignment w:val="auto"/>
              <w:rPr>
                <w:b/>
                <w:bCs/>
                <w:sz w:val="20"/>
                <w:szCs w:val="20"/>
                <w:lang w:val="en-GB"/>
              </w:rPr>
            </w:pPr>
            <w:r w:rsidRPr="0086281A">
              <w:rPr>
                <w:b/>
                <w:bCs/>
                <w:sz w:val="20"/>
                <w:szCs w:val="20"/>
                <w:lang w:val="en-GB"/>
              </w:rPr>
              <w:t xml:space="preserve">           3b. GFR 30-</w:t>
            </w:r>
            <w:r w:rsidR="0062269D" w:rsidRPr="0086281A">
              <w:rPr>
                <w:b/>
                <w:bCs/>
                <w:sz w:val="20"/>
                <w:szCs w:val="20"/>
                <w:lang w:val="en-GB"/>
              </w:rPr>
              <w:t>4</w:t>
            </w:r>
            <w:r w:rsidRPr="0086281A">
              <w:rPr>
                <w:b/>
                <w:bCs/>
                <w:sz w:val="20"/>
                <w:szCs w:val="20"/>
                <w:lang w:val="en-GB"/>
              </w:rPr>
              <w:t>4</w:t>
            </w:r>
            <w:r w:rsidR="0062269D" w:rsidRPr="0086281A">
              <w:rPr>
                <w:b/>
                <w:bCs/>
                <w:sz w:val="20"/>
                <w:szCs w:val="20"/>
                <w:lang w:val="en-GB"/>
              </w:rPr>
              <w:t>mL/min</w:t>
            </w:r>
          </w:p>
          <w:p w:rsidR="0072239C" w:rsidRPr="0086281A" w:rsidRDefault="0062269D" w:rsidP="0072239C">
            <w:pPr>
              <w:pStyle w:val="Paragraphedeliste1"/>
              <w:numPr>
                <w:ilvl w:val="0"/>
                <w:numId w:val="3"/>
              </w:numPr>
              <w:overflowPunct/>
              <w:autoSpaceDE/>
              <w:autoSpaceDN/>
              <w:adjustRightInd/>
              <w:spacing w:after="0" w:line="240" w:lineRule="auto"/>
              <w:textAlignment w:val="auto"/>
              <w:rPr>
                <w:b/>
                <w:bCs/>
                <w:sz w:val="20"/>
                <w:szCs w:val="20"/>
                <w:lang w:val="en-GB"/>
              </w:rPr>
            </w:pPr>
            <w:r w:rsidRPr="0086281A">
              <w:rPr>
                <w:b/>
                <w:bCs/>
                <w:sz w:val="20"/>
                <w:szCs w:val="20"/>
                <w:lang w:val="en-GB"/>
              </w:rPr>
              <w:t>GFR</w:t>
            </w:r>
            <w:r w:rsidR="0072239C" w:rsidRPr="0086281A">
              <w:rPr>
                <w:b/>
                <w:bCs/>
                <w:sz w:val="20"/>
                <w:szCs w:val="20"/>
                <w:lang w:val="en-GB"/>
              </w:rPr>
              <w:t xml:space="preserve"> 15-29 mL /min</w:t>
            </w:r>
          </w:p>
          <w:p w:rsidR="003F4022" w:rsidRPr="0086281A" w:rsidRDefault="003F4022" w:rsidP="0072239C">
            <w:pPr>
              <w:pStyle w:val="Paragraphedeliste1"/>
              <w:numPr>
                <w:ilvl w:val="0"/>
                <w:numId w:val="3"/>
              </w:numPr>
              <w:overflowPunct/>
              <w:autoSpaceDE/>
              <w:autoSpaceDN/>
              <w:adjustRightInd/>
              <w:spacing w:after="0" w:line="240" w:lineRule="auto"/>
              <w:textAlignment w:val="auto"/>
              <w:rPr>
                <w:b/>
                <w:bCs/>
                <w:sz w:val="20"/>
                <w:szCs w:val="20"/>
                <w:lang w:val="en-GB"/>
              </w:rPr>
            </w:pPr>
            <w:r w:rsidRPr="0086281A">
              <w:rPr>
                <w:b/>
                <w:bCs/>
                <w:sz w:val="20"/>
                <w:szCs w:val="20"/>
                <w:lang w:val="en-GB"/>
              </w:rPr>
              <w:t>GFR &lt; 15 mL/min</w:t>
            </w:r>
          </w:p>
          <w:p w:rsidR="0072239C" w:rsidRPr="0086281A" w:rsidRDefault="0062269D" w:rsidP="000F038A">
            <w:pPr>
              <w:rPr>
                <w:rFonts w:ascii="Calibri" w:hAnsi="Calibri"/>
                <w:b/>
                <w:bCs/>
                <w:sz w:val="20"/>
                <w:szCs w:val="20"/>
                <w:lang w:val="en-GB" w:bidi="fr-FR"/>
              </w:rPr>
            </w:pPr>
            <w:r w:rsidRPr="0086281A">
              <w:rPr>
                <w:rFonts w:ascii="Calibri" w:hAnsi="Calibri"/>
                <w:b/>
                <w:bCs/>
                <w:sz w:val="20"/>
                <w:szCs w:val="20"/>
                <w:lang w:val="en-GB" w:bidi="fr-FR"/>
              </w:rPr>
              <w:t>Hyperfiltration status</w:t>
            </w:r>
            <w:r w:rsidR="00423A9A" w:rsidRPr="0086281A">
              <w:rPr>
                <w:rFonts w:ascii="Calibri" w:hAnsi="Calibri"/>
                <w:b/>
                <w:bCs/>
                <w:sz w:val="20"/>
                <w:szCs w:val="20"/>
                <w:lang w:val="en-GB" w:bidi="fr-FR"/>
              </w:rPr>
              <w:t xml:space="preserve"> (</w:t>
            </w:r>
            <w:r w:rsidRPr="0086281A">
              <w:rPr>
                <w:rFonts w:ascii="Calibri" w:hAnsi="Calibri"/>
                <w:b/>
                <w:bCs/>
                <w:sz w:val="20"/>
                <w:szCs w:val="20"/>
                <w:lang w:val="en-GB" w:bidi="fr-FR"/>
              </w:rPr>
              <w:t>GFR</w:t>
            </w:r>
            <w:r w:rsidR="007442CA" w:rsidRPr="0086281A">
              <w:rPr>
                <w:rFonts w:ascii="Calibri" w:hAnsi="Calibri"/>
                <w:b/>
                <w:bCs/>
                <w:sz w:val="20"/>
                <w:szCs w:val="20"/>
                <w:lang w:val="en-GB" w:bidi="fr-FR"/>
              </w:rPr>
              <w:t xml:space="preserve"> </w:t>
            </w:r>
            <w:r w:rsidR="00BC66F3" w:rsidRPr="0086281A">
              <w:rPr>
                <w:rFonts w:ascii="Calibri" w:hAnsi="Calibri"/>
                <w:b/>
                <w:bCs/>
                <w:sz w:val="20"/>
                <w:szCs w:val="20"/>
                <w:lang w:val="en-GB" w:bidi="fr-FR"/>
              </w:rPr>
              <w:t>≥</w:t>
            </w:r>
            <w:r w:rsidR="007442CA" w:rsidRPr="0086281A">
              <w:rPr>
                <w:rFonts w:ascii="Calibri" w:hAnsi="Calibri"/>
                <w:b/>
                <w:bCs/>
                <w:sz w:val="20"/>
                <w:szCs w:val="20"/>
                <w:lang w:val="en-GB" w:bidi="fr-FR"/>
              </w:rPr>
              <w:t xml:space="preserve"> </w:t>
            </w:r>
            <w:r w:rsidR="0072239C" w:rsidRPr="0086281A">
              <w:rPr>
                <w:rFonts w:ascii="Calibri" w:hAnsi="Calibri"/>
                <w:b/>
                <w:bCs/>
                <w:sz w:val="20"/>
                <w:szCs w:val="20"/>
                <w:lang w:val="en-GB" w:bidi="fr-FR"/>
              </w:rPr>
              <w:t>1</w:t>
            </w:r>
            <w:r w:rsidR="000F038A" w:rsidRPr="0086281A">
              <w:rPr>
                <w:rFonts w:ascii="Calibri" w:hAnsi="Calibri"/>
                <w:b/>
                <w:bCs/>
                <w:sz w:val="20"/>
                <w:szCs w:val="20"/>
                <w:lang w:val="en-GB" w:bidi="fr-FR"/>
              </w:rPr>
              <w:t>3</w:t>
            </w:r>
            <w:r w:rsidR="0072239C" w:rsidRPr="0086281A">
              <w:rPr>
                <w:rFonts w:ascii="Calibri" w:hAnsi="Calibri"/>
                <w:b/>
                <w:bCs/>
                <w:sz w:val="20"/>
                <w:szCs w:val="20"/>
                <w:lang w:val="en-GB" w:bidi="fr-FR"/>
              </w:rPr>
              <w:t>0 mL/min)</w:t>
            </w:r>
          </w:p>
        </w:tc>
        <w:tc>
          <w:tcPr>
            <w:tcW w:w="4377" w:type="dxa"/>
            <w:shd w:val="clear" w:color="auto" w:fill="auto"/>
          </w:tcPr>
          <w:p w:rsidR="0072239C" w:rsidRPr="0086281A" w:rsidRDefault="0072239C" w:rsidP="00423A9A">
            <w:pPr>
              <w:jc w:val="center"/>
              <w:rPr>
                <w:rFonts w:ascii="Calibri" w:eastAsia="Calibri" w:hAnsi="Calibri"/>
                <w:sz w:val="20"/>
                <w:szCs w:val="20"/>
                <w:lang w:val="en-GB" w:eastAsia="en-US" w:bidi="fr-FR"/>
              </w:rPr>
            </w:pPr>
          </w:p>
          <w:p w:rsidR="0072239C" w:rsidRPr="0086281A" w:rsidRDefault="0072239C" w:rsidP="00423A9A">
            <w:pPr>
              <w:jc w:val="center"/>
              <w:rPr>
                <w:rFonts w:ascii="Calibri" w:eastAsia="Calibri" w:hAnsi="Calibri"/>
                <w:sz w:val="20"/>
                <w:szCs w:val="20"/>
                <w:lang w:val="en-GB" w:eastAsia="en-US" w:bidi="fr-FR"/>
              </w:rPr>
            </w:pPr>
            <w:r w:rsidRPr="0086281A">
              <w:rPr>
                <w:rFonts w:ascii="Calibri" w:hAnsi="Calibri"/>
                <w:sz w:val="20"/>
                <w:szCs w:val="20"/>
                <w:lang w:val="en-GB" w:eastAsia="en-US" w:bidi="fr-FR"/>
              </w:rPr>
              <w:t>110 (30%)</w:t>
            </w:r>
          </w:p>
          <w:p w:rsidR="0072239C" w:rsidRPr="0086281A" w:rsidRDefault="0072239C" w:rsidP="00423A9A">
            <w:pPr>
              <w:jc w:val="center"/>
              <w:rPr>
                <w:rFonts w:ascii="Calibri" w:eastAsia="Calibri" w:hAnsi="Calibri"/>
                <w:sz w:val="20"/>
                <w:szCs w:val="20"/>
                <w:lang w:val="en-GB" w:eastAsia="en-US" w:bidi="fr-FR"/>
              </w:rPr>
            </w:pPr>
            <w:r w:rsidRPr="0086281A">
              <w:rPr>
                <w:rFonts w:ascii="Calibri" w:hAnsi="Calibri"/>
                <w:sz w:val="20"/>
                <w:szCs w:val="20"/>
                <w:lang w:val="en-GB" w:eastAsia="en-US" w:bidi="fr-FR"/>
              </w:rPr>
              <w:t>100 (27%)</w:t>
            </w:r>
          </w:p>
          <w:p w:rsidR="0072239C" w:rsidRPr="0086281A" w:rsidRDefault="0072239C" w:rsidP="00423A9A">
            <w:pPr>
              <w:jc w:val="center"/>
              <w:rPr>
                <w:rFonts w:ascii="Calibri" w:eastAsia="Calibri" w:hAnsi="Calibri"/>
                <w:sz w:val="20"/>
                <w:szCs w:val="20"/>
                <w:lang w:val="en-GB" w:eastAsia="en-US" w:bidi="fr-FR"/>
              </w:rPr>
            </w:pPr>
            <w:r w:rsidRPr="0086281A">
              <w:rPr>
                <w:rFonts w:ascii="Calibri" w:hAnsi="Calibri"/>
                <w:sz w:val="20"/>
                <w:szCs w:val="20"/>
                <w:lang w:val="en-GB" w:eastAsia="en-US" w:bidi="fr-FR"/>
              </w:rPr>
              <w:t>107 (29%)</w:t>
            </w:r>
          </w:p>
          <w:p w:rsidR="00423A9A" w:rsidRPr="0086281A" w:rsidRDefault="00456635" w:rsidP="00423A9A">
            <w:pPr>
              <w:jc w:val="center"/>
              <w:rPr>
                <w:rFonts w:ascii="Calibri" w:hAnsi="Calibri"/>
                <w:sz w:val="20"/>
                <w:szCs w:val="20"/>
                <w:lang w:val="en-GB" w:eastAsia="en-US" w:bidi="fr-FR"/>
              </w:rPr>
            </w:pPr>
            <w:r w:rsidRPr="0086281A">
              <w:rPr>
                <w:rFonts w:ascii="Calibri" w:hAnsi="Calibri"/>
                <w:sz w:val="20"/>
                <w:szCs w:val="20"/>
                <w:lang w:val="en-GB" w:eastAsia="en-US" w:bidi="fr-FR"/>
              </w:rPr>
              <w:t xml:space="preserve">49 </w:t>
            </w:r>
            <w:r w:rsidR="00423A9A" w:rsidRPr="0086281A">
              <w:rPr>
                <w:rFonts w:ascii="Calibri" w:hAnsi="Calibri"/>
                <w:sz w:val="20"/>
                <w:szCs w:val="20"/>
                <w:lang w:val="en-GB" w:eastAsia="en-US" w:bidi="fr-FR"/>
              </w:rPr>
              <w:t>(1</w:t>
            </w:r>
            <w:r w:rsidRPr="0086281A">
              <w:rPr>
                <w:rFonts w:ascii="Calibri" w:hAnsi="Calibri"/>
                <w:sz w:val="20"/>
                <w:szCs w:val="20"/>
                <w:lang w:val="en-GB" w:eastAsia="en-US" w:bidi="fr-FR"/>
              </w:rPr>
              <w:t>3</w:t>
            </w:r>
            <w:r w:rsidR="00423A9A" w:rsidRPr="0086281A">
              <w:rPr>
                <w:rFonts w:ascii="Calibri" w:hAnsi="Calibri"/>
                <w:sz w:val="20"/>
                <w:szCs w:val="20"/>
                <w:lang w:val="en-GB" w:eastAsia="en-US" w:bidi="fr-FR"/>
              </w:rPr>
              <w:t>%)</w:t>
            </w:r>
          </w:p>
          <w:p w:rsidR="0062269D" w:rsidRPr="0086281A" w:rsidRDefault="00456635" w:rsidP="00423A9A">
            <w:pPr>
              <w:jc w:val="center"/>
              <w:rPr>
                <w:rFonts w:ascii="Calibri" w:hAnsi="Calibri"/>
                <w:sz w:val="20"/>
                <w:szCs w:val="20"/>
                <w:lang w:val="en-GB" w:eastAsia="en-US" w:bidi="fr-FR"/>
              </w:rPr>
            </w:pPr>
            <w:r w:rsidRPr="0086281A">
              <w:rPr>
                <w:rFonts w:ascii="Calibri" w:hAnsi="Calibri"/>
                <w:sz w:val="20"/>
                <w:szCs w:val="20"/>
                <w:lang w:val="en-GB" w:eastAsia="en-US" w:bidi="fr-FR"/>
              </w:rPr>
              <w:t>58</w:t>
            </w:r>
            <w:r w:rsidR="00423A9A" w:rsidRPr="0086281A">
              <w:rPr>
                <w:rFonts w:ascii="Calibri" w:hAnsi="Calibri"/>
                <w:sz w:val="20"/>
                <w:szCs w:val="20"/>
                <w:lang w:val="en-GB" w:eastAsia="en-US" w:bidi="fr-FR"/>
              </w:rPr>
              <w:t xml:space="preserve"> (</w:t>
            </w:r>
            <w:r w:rsidRPr="0086281A">
              <w:rPr>
                <w:rFonts w:ascii="Calibri" w:hAnsi="Calibri"/>
                <w:sz w:val="20"/>
                <w:szCs w:val="20"/>
                <w:lang w:val="en-GB" w:eastAsia="en-US" w:bidi="fr-FR"/>
              </w:rPr>
              <w:t>16</w:t>
            </w:r>
            <w:r w:rsidR="00423A9A" w:rsidRPr="0086281A">
              <w:rPr>
                <w:rFonts w:ascii="Calibri" w:hAnsi="Calibri"/>
                <w:sz w:val="20"/>
                <w:szCs w:val="20"/>
                <w:lang w:val="en-GB" w:eastAsia="en-US" w:bidi="fr-FR"/>
              </w:rPr>
              <w:t>%)</w:t>
            </w:r>
          </w:p>
          <w:p w:rsidR="0062269D" w:rsidRPr="0086281A" w:rsidRDefault="001C1050" w:rsidP="00423A9A">
            <w:pPr>
              <w:jc w:val="center"/>
              <w:rPr>
                <w:rFonts w:ascii="Calibri" w:hAnsi="Calibri"/>
                <w:sz w:val="20"/>
                <w:szCs w:val="20"/>
                <w:lang w:val="en-GB" w:eastAsia="en-US" w:bidi="fr-FR"/>
              </w:rPr>
            </w:pPr>
            <w:r w:rsidRPr="0086281A">
              <w:rPr>
                <w:rFonts w:ascii="Calibri" w:hAnsi="Calibri"/>
                <w:sz w:val="20"/>
                <w:szCs w:val="20"/>
                <w:lang w:val="en-GB" w:eastAsia="en-US" w:bidi="fr-FR"/>
              </w:rPr>
              <w:t>44</w:t>
            </w:r>
            <w:r w:rsidR="0072239C" w:rsidRPr="0086281A">
              <w:rPr>
                <w:rFonts w:ascii="Calibri" w:hAnsi="Calibri"/>
                <w:sz w:val="20"/>
                <w:szCs w:val="20"/>
                <w:lang w:val="en-GB" w:eastAsia="en-US" w:bidi="fr-FR"/>
              </w:rPr>
              <w:t xml:space="preserve"> (1</w:t>
            </w:r>
            <w:r w:rsidRPr="0086281A">
              <w:rPr>
                <w:rFonts w:ascii="Calibri" w:hAnsi="Calibri"/>
                <w:sz w:val="20"/>
                <w:szCs w:val="20"/>
                <w:lang w:val="en-GB" w:eastAsia="en-US" w:bidi="fr-FR"/>
              </w:rPr>
              <w:t>2</w:t>
            </w:r>
            <w:r w:rsidR="0072239C" w:rsidRPr="0086281A">
              <w:rPr>
                <w:rFonts w:ascii="Calibri" w:hAnsi="Calibri"/>
                <w:sz w:val="20"/>
                <w:szCs w:val="20"/>
                <w:lang w:val="en-GB" w:eastAsia="en-US" w:bidi="fr-FR"/>
              </w:rPr>
              <w:t>%)</w:t>
            </w:r>
          </w:p>
          <w:p w:rsidR="003F4022" w:rsidRPr="0086281A" w:rsidRDefault="003F4022" w:rsidP="00423A9A">
            <w:pPr>
              <w:jc w:val="center"/>
              <w:rPr>
                <w:rFonts w:ascii="Calibri" w:eastAsia="Calibri" w:hAnsi="Calibri"/>
                <w:sz w:val="20"/>
                <w:szCs w:val="20"/>
                <w:lang w:val="en-GB" w:eastAsia="en-US" w:bidi="fr-FR"/>
              </w:rPr>
            </w:pPr>
            <w:r w:rsidRPr="0086281A">
              <w:rPr>
                <w:rFonts w:ascii="Calibri" w:hAnsi="Calibri"/>
                <w:sz w:val="20"/>
                <w:szCs w:val="20"/>
                <w:lang w:val="en-GB" w:eastAsia="en-US" w:bidi="fr-FR"/>
              </w:rPr>
              <w:t>5 (1%)</w:t>
            </w:r>
          </w:p>
          <w:p w:rsidR="0072239C" w:rsidRPr="0086281A" w:rsidRDefault="001559CC" w:rsidP="00423A9A">
            <w:pPr>
              <w:jc w:val="center"/>
              <w:rPr>
                <w:rFonts w:ascii="Calibri" w:hAnsi="Calibri"/>
                <w:sz w:val="20"/>
                <w:szCs w:val="20"/>
                <w:lang w:val="en-GB" w:eastAsia="en-US" w:bidi="fr-FR"/>
              </w:rPr>
            </w:pPr>
            <w:r w:rsidRPr="0086281A">
              <w:rPr>
                <w:rFonts w:ascii="Calibri" w:hAnsi="Calibri"/>
                <w:sz w:val="20"/>
                <w:szCs w:val="20"/>
                <w:lang w:val="en-GB" w:eastAsia="en-US" w:bidi="fr-FR"/>
              </w:rPr>
              <w:t>19 (5</w:t>
            </w:r>
            <w:r w:rsidR="0072239C" w:rsidRPr="0086281A">
              <w:rPr>
                <w:rFonts w:ascii="Calibri" w:hAnsi="Calibri"/>
                <w:sz w:val="20"/>
                <w:szCs w:val="20"/>
                <w:lang w:val="en-GB" w:eastAsia="en-US" w:bidi="fr-FR"/>
              </w:rPr>
              <w:t>%)</w:t>
            </w:r>
          </w:p>
        </w:tc>
      </w:tr>
    </w:tbl>
    <w:p w:rsidR="007442CA" w:rsidRPr="0086281A" w:rsidRDefault="00423A9A" w:rsidP="00301FB7">
      <w:pPr>
        <w:ind w:left="284"/>
        <w:rPr>
          <w:rFonts w:ascii="Calibri" w:hAnsi="Calibri"/>
          <w:lang w:val="en-GB"/>
        </w:rPr>
      </w:pPr>
      <w:r w:rsidRPr="0086281A">
        <w:rPr>
          <w:rFonts w:ascii="Calibri" w:hAnsi="Calibri"/>
          <w:sz w:val="20"/>
          <w:szCs w:val="20"/>
          <w:lang w:val="en-GB"/>
        </w:rPr>
        <w:t>BSA</w:t>
      </w:r>
      <w:r w:rsidR="0072239C" w:rsidRPr="0086281A">
        <w:rPr>
          <w:rFonts w:ascii="Calibri" w:hAnsi="Calibri"/>
          <w:sz w:val="20"/>
          <w:szCs w:val="20"/>
          <w:lang w:val="en-GB"/>
        </w:rPr>
        <w:t xml:space="preserve">: Body Surface Area; </w:t>
      </w:r>
      <w:r w:rsidR="0062269D" w:rsidRPr="0086281A">
        <w:rPr>
          <w:rFonts w:ascii="Calibri" w:hAnsi="Calibri"/>
          <w:sz w:val="20"/>
          <w:szCs w:val="20"/>
          <w:lang w:val="en-GB"/>
        </w:rPr>
        <w:t>GFR: Glomerular Filtration Rate</w:t>
      </w:r>
      <w:r w:rsidR="0072239C" w:rsidRPr="0086281A">
        <w:rPr>
          <w:rFonts w:ascii="Calibri" w:hAnsi="Calibri"/>
          <w:sz w:val="20"/>
          <w:szCs w:val="20"/>
          <w:lang w:val="en-GB"/>
        </w:rPr>
        <w:t xml:space="preserve">; </w:t>
      </w:r>
      <w:r w:rsidR="0062269D" w:rsidRPr="0086281A">
        <w:rPr>
          <w:rFonts w:ascii="Calibri" w:hAnsi="Calibri"/>
          <w:sz w:val="20"/>
          <w:szCs w:val="20"/>
          <w:lang w:val="en-GB"/>
        </w:rPr>
        <w:t xml:space="preserve">MDRD: Modification Diet in Renal Disease; CKD-EPI: Chronic Kidney Disease Epidemiology; CG: Cockcroft </w:t>
      </w:r>
      <w:r w:rsidR="00182D70" w:rsidRPr="0086281A">
        <w:rPr>
          <w:rFonts w:ascii="Calibri" w:hAnsi="Calibri"/>
          <w:sz w:val="20"/>
          <w:szCs w:val="20"/>
          <w:lang w:val="en-GB"/>
        </w:rPr>
        <w:t>&amp;</w:t>
      </w:r>
      <w:r w:rsidR="0062269D" w:rsidRPr="0086281A">
        <w:rPr>
          <w:rFonts w:ascii="Calibri" w:hAnsi="Calibri"/>
          <w:sz w:val="20"/>
          <w:szCs w:val="20"/>
          <w:lang w:val="en-GB"/>
        </w:rPr>
        <w:t xml:space="preserve"> Gault; </w:t>
      </w:r>
      <w:r w:rsidR="00794E4C">
        <w:rPr>
          <w:rFonts w:ascii="Calibri" w:hAnsi="Calibri"/>
          <w:sz w:val="20"/>
          <w:szCs w:val="20"/>
          <w:lang w:val="en-GB"/>
        </w:rPr>
        <w:t xml:space="preserve">ABW: Actual Body Weight; </w:t>
      </w:r>
      <w:r w:rsidR="00184353" w:rsidRPr="0086281A">
        <w:rPr>
          <w:rFonts w:ascii="Calibri" w:hAnsi="Calibri"/>
          <w:sz w:val="20"/>
          <w:szCs w:val="20"/>
          <w:lang w:val="en-GB"/>
        </w:rPr>
        <w:t>AIBW:</w:t>
      </w:r>
      <w:r w:rsidR="0072239C" w:rsidRPr="0086281A">
        <w:rPr>
          <w:rFonts w:ascii="Calibri" w:hAnsi="Calibri"/>
          <w:sz w:val="20"/>
          <w:szCs w:val="20"/>
          <w:lang w:val="en-GB"/>
        </w:rPr>
        <w:t xml:space="preserve"> Adjusted Ideal Body Weight</w:t>
      </w:r>
    </w:p>
    <w:p w:rsidR="00942D16" w:rsidRPr="0086281A" w:rsidRDefault="00942D16">
      <w:pPr>
        <w:rPr>
          <w:rFonts w:ascii="Calibri" w:hAnsi="Calibri"/>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6F24D2" w:rsidRDefault="006F24D2" w:rsidP="0072239C">
      <w:pPr>
        <w:rPr>
          <w:rFonts w:ascii="Calibri" w:hAnsi="Calibri"/>
          <w:b/>
          <w:lang w:val="en-GB"/>
        </w:rPr>
      </w:pPr>
    </w:p>
    <w:p w:rsidR="0072239C" w:rsidRPr="0086281A" w:rsidRDefault="008B4F46" w:rsidP="0072239C">
      <w:pPr>
        <w:rPr>
          <w:rFonts w:ascii="Calibri" w:hAnsi="Calibri" w:cs="Times"/>
          <w:lang w:val="en-GB"/>
        </w:rPr>
      </w:pPr>
      <w:r w:rsidRPr="0086281A">
        <w:rPr>
          <w:rFonts w:ascii="Calibri" w:hAnsi="Calibri"/>
          <w:b/>
          <w:lang w:val="en-GB"/>
        </w:rPr>
        <w:lastRenderedPageBreak/>
        <w:t>Table</w:t>
      </w:r>
      <w:r w:rsidR="0072239C" w:rsidRPr="0086281A">
        <w:rPr>
          <w:rFonts w:ascii="Calibri" w:hAnsi="Calibri"/>
          <w:b/>
          <w:lang w:val="en-GB"/>
        </w:rPr>
        <w:t xml:space="preserve"> </w:t>
      </w:r>
      <w:r w:rsidR="006479B0" w:rsidRPr="0086281A">
        <w:rPr>
          <w:rFonts w:ascii="Calibri" w:hAnsi="Calibri"/>
          <w:b/>
          <w:lang w:val="en-GB"/>
        </w:rPr>
        <w:t>2</w:t>
      </w:r>
      <w:r w:rsidR="0072239C" w:rsidRPr="0086281A">
        <w:rPr>
          <w:rFonts w:ascii="Calibri" w:hAnsi="Calibri"/>
          <w:b/>
          <w:lang w:val="en-GB"/>
        </w:rPr>
        <w:t xml:space="preserve">. </w:t>
      </w:r>
      <w:r w:rsidR="0072239C" w:rsidRPr="0086281A">
        <w:rPr>
          <w:rFonts w:ascii="Calibri" w:hAnsi="Calibri" w:cs="Times"/>
          <w:lang w:val="en-GB"/>
        </w:rPr>
        <w:t xml:space="preserve">Performances </w:t>
      </w:r>
      <w:r w:rsidR="00423A9A" w:rsidRPr="0086281A">
        <w:rPr>
          <w:rFonts w:ascii="Calibri" w:hAnsi="Calibri" w:cs="Times"/>
          <w:lang w:val="en-GB"/>
        </w:rPr>
        <w:t>of the</w:t>
      </w:r>
      <w:r w:rsidR="0072239C" w:rsidRPr="0086281A">
        <w:rPr>
          <w:rFonts w:ascii="Calibri" w:hAnsi="Calibri" w:cs="Times"/>
          <w:lang w:val="en-GB"/>
        </w:rPr>
        <w:t xml:space="preserve"> CG</w:t>
      </w:r>
      <w:r w:rsidR="00794E4C" w:rsidRPr="00794E4C">
        <w:rPr>
          <w:rFonts w:ascii="Calibri" w:hAnsi="Calibri" w:cs="Times"/>
          <w:vertAlign w:val="subscript"/>
          <w:lang w:val="en-GB"/>
        </w:rPr>
        <w:t>ABW</w:t>
      </w:r>
      <w:r w:rsidR="0072239C" w:rsidRPr="0086281A">
        <w:rPr>
          <w:rFonts w:ascii="Calibri" w:hAnsi="Calibri" w:cs="Times"/>
          <w:lang w:val="en-GB"/>
        </w:rPr>
        <w:t>, CG</w:t>
      </w:r>
      <w:r w:rsidR="0072239C" w:rsidRPr="0086281A">
        <w:rPr>
          <w:rFonts w:ascii="Calibri" w:hAnsi="Calibri" w:cs="Times"/>
          <w:vertAlign w:val="subscript"/>
          <w:lang w:val="en-GB"/>
        </w:rPr>
        <w:t>AIBW</w:t>
      </w:r>
      <w:r w:rsidR="0072239C" w:rsidRPr="0086281A">
        <w:rPr>
          <w:rFonts w:ascii="Calibri" w:hAnsi="Calibri" w:cs="Times"/>
          <w:lang w:val="en-GB"/>
        </w:rPr>
        <w:t>, MDRD</w:t>
      </w:r>
      <w:r w:rsidR="00E32EA1" w:rsidRPr="0086281A">
        <w:rPr>
          <w:rFonts w:ascii="Calibri" w:hAnsi="Calibri" w:cs="Times"/>
          <w:vertAlign w:val="subscript"/>
          <w:lang w:val="en-GB"/>
        </w:rPr>
        <w:t>deindexed</w:t>
      </w:r>
      <w:r w:rsidR="00423A9A" w:rsidRPr="0086281A">
        <w:rPr>
          <w:rFonts w:ascii="Calibri" w:hAnsi="Calibri" w:cs="Times"/>
          <w:lang w:val="en-GB"/>
        </w:rPr>
        <w:t xml:space="preserve"> and </w:t>
      </w:r>
      <w:r w:rsidR="0072239C" w:rsidRPr="0086281A">
        <w:rPr>
          <w:rFonts w:ascii="Calibri" w:hAnsi="Calibri" w:cs="Times"/>
          <w:lang w:val="en-GB"/>
        </w:rPr>
        <w:t>CKD-EPI</w:t>
      </w:r>
      <w:r w:rsidR="00423A9A" w:rsidRPr="0086281A">
        <w:rPr>
          <w:rFonts w:ascii="Calibri" w:hAnsi="Calibri" w:cs="Times"/>
          <w:vertAlign w:val="subscript"/>
          <w:lang w:val="en-GB"/>
        </w:rPr>
        <w:t>deindexed</w:t>
      </w:r>
      <w:r w:rsidR="0072239C" w:rsidRPr="0086281A">
        <w:rPr>
          <w:rFonts w:ascii="Calibri" w:hAnsi="Calibri" w:cs="Times"/>
          <w:lang w:val="en-GB"/>
        </w:rPr>
        <w:t xml:space="preserve"> </w:t>
      </w:r>
      <w:r w:rsidR="00423A9A" w:rsidRPr="0086281A">
        <w:rPr>
          <w:rFonts w:ascii="Calibri" w:hAnsi="Calibri" w:cs="Times"/>
          <w:lang w:val="en-GB"/>
        </w:rPr>
        <w:t>equation</w:t>
      </w:r>
      <w:r w:rsidR="002A69D2" w:rsidRPr="0086281A">
        <w:rPr>
          <w:rFonts w:ascii="Calibri" w:hAnsi="Calibri" w:cs="Times"/>
          <w:lang w:val="en-GB"/>
        </w:rPr>
        <w:t>s</w:t>
      </w:r>
      <w:r w:rsidR="00423A9A" w:rsidRPr="0086281A">
        <w:rPr>
          <w:rFonts w:ascii="Calibri" w:hAnsi="Calibri" w:cs="Times"/>
          <w:lang w:val="en-GB"/>
        </w:rPr>
        <w:t xml:space="preserve"> regarding the different levels of mGFR</w:t>
      </w:r>
      <w:r w:rsidR="0072239C" w:rsidRPr="0086281A">
        <w:rPr>
          <w:rFonts w:ascii="Calibri" w:hAnsi="Calibri" w:cs="Times"/>
          <w:lang w:val="en-GB"/>
        </w:rPr>
        <w:t xml:space="preserve"> </w:t>
      </w:r>
    </w:p>
    <w:p w:rsidR="0072239C" w:rsidRPr="0086281A" w:rsidRDefault="002A69D2" w:rsidP="0072239C">
      <w:pPr>
        <w:pStyle w:val="Paragraphedeliste"/>
        <w:numPr>
          <w:ilvl w:val="0"/>
          <w:numId w:val="5"/>
        </w:numPr>
        <w:ind w:left="360"/>
        <w:rPr>
          <w:rFonts w:ascii="Calibri" w:hAnsi="Calibri" w:cs="Times"/>
          <w:lang w:val="en-GB"/>
        </w:rPr>
      </w:pPr>
      <w:r w:rsidRPr="0086281A">
        <w:rPr>
          <w:rFonts w:ascii="Calibri" w:hAnsi="Calibri" w:cs="Times"/>
          <w:lang w:val="en-GB"/>
        </w:rPr>
        <w:t xml:space="preserve">* </w:t>
      </w:r>
      <w:r w:rsidR="00423A9A" w:rsidRPr="0086281A">
        <w:rPr>
          <w:rFonts w:ascii="Calibri" w:hAnsi="Calibri" w:cs="Times"/>
          <w:lang w:val="en-GB"/>
        </w:rPr>
        <w:t>If</w:t>
      </w:r>
      <w:r w:rsidRPr="0086281A">
        <w:rPr>
          <w:rFonts w:ascii="Calibri" w:hAnsi="Calibri" w:cs="Times"/>
          <w:lang w:val="en-GB"/>
        </w:rPr>
        <w:t xml:space="preserve"> p &lt; 0.</w:t>
      </w:r>
      <w:r w:rsidR="0072239C" w:rsidRPr="0086281A">
        <w:rPr>
          <w:rFonts w:ascii="Calibri" w:hAnsi="Calibri" w:cs="Times"/>
          <w:lang w:val="en-GB"/>
        </w:rPr>
        <w:t xml:space="preserve">05 </w:t>
      </w:r>
      <w:r w:rsidR="00423A9A" w:rsidRPr="0086281A">
        <w:rPr>
          <w:rFonts w:ascii="Calibri" w:hAnsi="Calibri" w:cs="Times"/>
          <w:lang w:val="en-GB"/>
        </w:rPr>
        <w:t>regarding</w:t>
      </w:r>
      <w:r w:rsidR="0075207F" w:rsidRPr="0086281A">
        <w:rPr>
          <w:rFonts w:ascii="Calibri" w:hAnsi="Calibri" w:cs="Times"/>
          <w:lang w:val="en-GB"/>
        </w:rPr>
        <w:t xml:space="preserve"> </w:t>
      </w:r>
      <w:r w:rsidR="0072239C" w:rsidRPr="0086281A">
        <w:rPr>
          <w:rFonts w:ascii="Calibri" w:hAnsi="Calibri" w:cs="Times"/>
          <w:lang w:val="en-GB"/>
        </w:rPr>
        <w:t>CKD-EPI</w:t>
      </w:r>
      <w:r w:rsidR="00423A9A" w:rsidRPr="0086281A">
        <w:rPr>
          <w:rFonts w:ascii="Calibri" w:hAnsi="Calibri" w:cs="Times"/>
          <w:vertAlign w:val="subscript"/>
          <w:lang w:val="en-GB"/>
        </w:rPr>
        <w:t>deindexed</w:t>
      </w:r>
      <w:r w:rsidR="00423A9A" w:rsidRPr="0086281A">
        <w:rPr>
          <w:rFonts w:ascii="Calibri" w:hAnsi="Calibri" w:cs="Times"/>
          <w:lang w:val="en-GB"/>
        </w:rPr>
        <w:t xml:space="preserve"> equation</w:t>
      </w:r>
    </w:p>
    <w:p w:rsidR="00BB74C5" w:rsidRPr="0086281A" w:rsidRDefault="00BB74C5" w:rsidP="00BB74C5">
      <w:pPr>
        <w:pStyle w:val="Paragraphedeliste"/>
        <w:numPr>
          <w:ilvl w:val="0"/>
          <w:numId w:val="5"/>
        </w:numPr>
        <w:ind w:left="360"/>
        <w:rPr>
          <w:rFonts w:ascii="Calibri" w:hAnsi="Calibri" w:cs="Times"/>
          <w:lang w:val="en-GB"/>
        </w:rPr>
      </w:pPr>
      <w:r w:rsidRPr="0086281A">
        <w:rPr>
          <w:rFonts w:ascii="Calibri" w:hAnsi="Calibri" w:cs="Times"/>
          <w:lang w:val="en-GB"/>
        </w:rPr>
        <w:t>¥ If p &lt; 0.05 regarding MDRD</w:t>
      </w:r>
      <w:r w:rsidRPr="0086281A">
        <w:rPr>
          <w:rFonts w:ascii="Calibri" w:hAnsi="Calibri" w:cs="Times"/>
          <w:vertAlign w:val="subscript"/>
          <w:lang w:val="en-GB"/>
        </w:rPr>
        <w:t>deindexed</w:t>
      </w:r>
      <w:r w:rsidRPr="0086281A">
        <w:rPr>
          <w:rFonts w:ascii="Calibri" w:hAnsi="Calibri" w:cs="Times"/>
          <w:lang w:val="en-GB"/>
        </w:rPr>
        <w:t xml:space="preserve"> equation</w:t>
      </w:r>
    </w:p>
    <w:p w:rsidR="00BE451D" w:rsidRPr="0086281A" w:rsidRDefault="006F2CC2" w:rsidP="00BE451D">
      <w:pPr>
        <w:pStyle w:val="Paragraphedeliste"/>
        <w:numPr>
          <w:ilvl w:val="0"/>
          <w:numId w:val="5"/>
        </w:numPr>
        <w:ind w:left="360"/>
        <w:rPr>
          <w:rFonts w:ascii="Calibri" w:hAnsi="Calibri" w:cs="Times"/>
          <w:lang w:val="en-GB"/>
        </w:rPr>
      </w:pPr>
      <w:r w:rsidRPr="0086281A">
        <w:rPr>
          <w:rFonts w:ascii="Calibri" w:hAnsi="Calibri" w:cs="Times"/>
          <w:lang w:val="en-GB"/>
        </w:rPr>
        <w:t>† If p &lt; 0.05 regarding CG</w:t>
      </w:r>
      <w:r w:rsidR="002B2EB8" w:rsidRPr="0086281A">
        <w:rPr>
          <w:rFonts w:ascii="Calibri" w:hAnsi="Calibri" w:cs="Times"/>
          <w:vertAlign w:val="subscript"/>
          <w:lang w:val="en-GB"/>
        </w:rPr>
        <w:t>AI</w:t>
      </w:r>
      <w:r w:rsidRPr="0086281A">
        <w:rPr>
          <w:rFonts w:ascii="Calibri" w:hAnsi="Calibri" w:cs="Times"/>
          <w:vertAlign w:val="subscript"/>
          <w:lang w:val="en-GB"/>
        </w:rPr>
        <w:t>BW</w:t>
      </w:r>
      <w:r w:rsidRPr="0086281A">
        <w:rPr>
          <w:rFonts w:ascii="Calibri" w:hAnsi="Calibri" w:cs="Times"/>
          <w:lang w:val="en-GB"/>
        </w:rPr>
        <w:t xml:space="preserve"> equation</w:t>
      </w:r>
    </w:p>
    <w:tbl>
      <w:tblPr>
        <w:tblStyle w:val="Grilledutableau"/>
        <w:tblpPr w:leftFromText="141" w:rightFromText="141" w:vertAnchor="text" w:horzAnchor="page" w:tblpX="1821" w:tblpY="71"/>
        <w:tblW w:w="8613" w:type="dxa"/>
        <w:tblLayout w:type="fixed"/>
        <w:tblLook w:val="04A0"/>
      </w:tblPr>
      <w:tblGrid>
        <w:gridCol w:w="1526"/>
        <w:gridCol w:w="1417"/>
        <w:gridCol w:w="1276"/>
        <w:gridCol w:w="1701"/>
        <w:gridCol w:w="1559"/>
        <w:gridCol w:w="1134"/>
      </w:tblGrid>
      <w:tr w:rsidR="003C4CB8" w:rsidRPr="0086281A" w:rsidTr="003C4CB8">
        <w:trPr>
          <w:trHeight w:val="513"/>
        </w:trPr>
        <w:tc>
          <w:tcPr>
            <w:tcW w:w="1526" w:type="dxa"/>
          </w:tcPr>
          <w:p w:rsidR="003C4CB8" w:rsidRPr="0086281A" w:rsidRDefault="003C4CB8" w:rsidP="003C4CB8">
            <w:pPr>
              <w:pStyle w:val="Paragraphedeliste"/>
              <w:rPr>
                <w:rFonts w:ascii="Calibri" w:hAnsi="Calibri" w:cs="Times"/>
                <w:sz w:val="20"/>
                <w:szCs w:val="20"/>
                <w:lang w:val="en-GB"/>
              </w:rPr>
            </w:pPr>
          </w:p>
        </w:tc>
        <w:tc>
          <w:tcPr>
            <w:tcW w:w="1417" w:type="dxa"/>
          </w:tcPr>
          <w:p w:rsidR="003C4CB8" w:rsidRPr="0086281A" w:rsidRDefault="003C4CB8" w:rsidP="003C4CB8">
            <w:pPr>
              <w:jc w:val="center"/>
              <w:rPr>
                <w:rFonts w:ascii="Calibri" w:hAnsi="Calibri" w:cs="Times New Roman"/>
                <w:sz w:val="20"/>
                <w:szCs w:val="20"/>
                <w:lang w:val="en-GB"/>
              </w:rPr>
            </w:pPr>
            <w:r w:rsidRPr="0086281A">
              <w:rPr>
                <w:rFonts w:ascii="Calibri" w:hAnsi="Calibri" w:cs="Times New Roman"/>
                <w:sz w:val="20"/>
                <w:szCs w:val="20"/>
                <w:lang w:val="en-GB"/>
              </w:rPr>
              <w:t>Mean mGFR</w:t>
            </w:r>
          </w:p>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(mL/min)</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Mean eGFR</w:t>
            </w:r>
          </w:p>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(mL/min)</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Mean Bias</w:t>
            </w:r>
          </w:p>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(mL/min)</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Relative</w:t>
            </w:r>
          </w:p>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Bias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Accuracy 30%</w:t>
            </w:r>
          </w:p>
        </w:tc>
      </w:tr>
      <w:tr w:rsidR="003C4CB8" w:rsidRPr="0086281A" w:rsidTr="003C4CB8">
        <w:trPr>
          <w:trHeight w:val="257"/>
        </w:trPr>
        <w:tc>
          <w:tcPr>
            <w:tcW w:w="8613" w:type="dxa"/>
            <w:gridSpan w:val="6"/>
            <w:shd w:val="clear" w:color="auto" w:fill="8DB3E2" w:themeFill="text2" w:themeFillTint="66"/>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Total (n = 366)</w:t>
            </w:r>
          </w:p>
        </w:tc>
      </w:tr>
      <w:tr w:rsidR="003C4CB8" w:rsidRPr="0086281A" w:rsidTr="003C4CB8">
        <w:trPr>
          <w:trHeight w:val="241"/>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MDRD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71 ± 35</w:t>
            </w:r>
          </w:p>
        </w:tc>
        <w:tc>
          <w:tcPr>
            <w:tcW w:w="1276"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73 ± 43</w:t>
            </w:r>
          </w:p>
        </w:tc>
        <w:tc>
          <w:tcPr>
            <w:tcW w:w="1701"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 xml:space="preserve">2.8 ± 19.5 *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 xml:space="preserve">2.5 ± 28.7 *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80.3%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CKD-EPI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71 ± 35</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77 ± 44</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6.2 ± 19.7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6.4 ± 30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75.7% </w:t>
            </w:r>
            <w:r w:rsidRPr="0086281A">
              <w:rPr>
                <w:rFonts w:ascii="Calibri" w:hAnsi="Calibri" w:cs="Times"/>
                <w:sz w:val="20"/>
                <w:szCs w:val="20"/>
                <w:vertAlign w:val="superscript"/>
                <w:lang w:val="en-GB"/>
              </w:rPr>
              <w:t>¥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00794E4C" w:rsidRPr="00794E4C">
              <w:rPr>
                <w:rFonts w:ascii="Calibri" w:hAnsi="Calibri" w:cs="Times"/>
                <w:color w:val="000000"/>
                <w:sz w:val="20"/>
                <w:szCs w:val="20"/>
                <w:vertAlign w:val="subscript"/>
                <w:lang w:val="en-GB"/>
              </w:rPr>
              <w:t>ABW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71 ± 35</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96 ± 64</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25 ± 39.8 *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32.9 ± 43.4 * </w:t>
            </w:r>
            <w:r w:rsidRPr="0086281A">
              <w:rPr>
                <w:rFonts w:ascii="Calibri" w:hAnsi="Calibri" w:cs="Times"/>
                <w:sz w:val="20"/>
                <w:szCs w:val="20"/>
                <w:vertAlign w:val="superscript"/>
                <w:lang w:val="en-GB"/>
              </w:rPr>
              <w:t>¥ †</w:t>
            </w:r>
            <w:r w:rsidRPr="0086281A">
              <w:rPr>
                <w:rFonts w:ascii="Calibri" w:hAnsi="Calibri" w:cs="Times"/>
                <w:sz w:val="20"/>
                <w:szCs w:val="20"/>
                <w:lang w:val="en-GB"/>
              </w:rPr>
              <w:t xml:space="preserve">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56.8% * </w:t>
            </w:r>
            <w:r w:rsidRPr="0086281A">
              <w:rPr>
                <w:rFonts w:ascii="Calibri" w:hAnsi="Calibri" w:cs="Times"/>
                <w:sz w:val="20"/>
                <w:szCs w:val="20"/>
                <w:vertAlign w:val="superscript"/>
                <w:lang w:val="en-GB"/>
              </w:rPr>
              <w:t>¥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Pr="0086281A">
              <w:rPr>
                <w:rFonts w:ascii="Calibri" w:hAnsi="Calibri" w:cs="Times"/>
                <w:sz w:val="20"/>
                <w:szCs w:val="20"/>
                <w:vertAlign w:val="subscript"/>
                <w:lang w:val="en-GB"/>
              </w:rPr>
              <w:t>AIBW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71 ± 35</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72 ± 44</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1.6 ± 21.4 * </w:t>
            </w:r>
            <w:r w:rsidRPr="0086281A">
              <w:rPr>
                <w:rFonts w:ascii="Calibri" w:hAnsi="Calibri" w:cs="Times"/>
                <w:sz w:val="20"/>
                <w:szCs w:val="20"/>
                <w:vertAlign w:val="superscript"/>
                <w:lang w:val="en-GB"/>
              </w:rPr>
              <w:t xml:space="preserve">¥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0.8 ± 28.1 *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79%</w:t>
            </w:r>
          </w:p>
        </w:tc>
      </w:tr>
      <w:tr w:rsidR="003C4CB8" w:rsidRPr="0086281A" w:rsidTr="003C4CB8">
        <w:trPr>
          <w:trHeight w:val="241"/>
        </w:trPr>
        <w:tc>
          <w:tcPr>
            <w:tcW w:w="8613" w:type="dxa"/>
            <w:gridSpan w:val="6"/>
            <w:shd w:val="clear" w:color="auto" w:fill="8DB3E2" w:themeFill="text2" w:themeFillTint="66"/>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mGFR &lt; 30 mL/min  (n = 49)</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MDRD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23 ± 5</w:t>
            </w:r>
          </w:p>
        </w:tc>
        <w:tc>
          <w:tcPr>
            <w:tcW w:w="1276"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21 ± 9</w:t>
            </w:r>
          </w:p>
        </w:tc>
        <w:tc>
          <w:tcPr>
            <w:tcW w:w="1701"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 xml:space="preserve">-1.4 ± 8.4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-3 ± 49.1</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67.3%</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CKD-EPI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23 ± 5</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21 ± 10</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-1.3 ± 8.9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-2.9 ± 49</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61.2%</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00794E4C" w:rsidRPr="00794E4C">
              <w:rPr>
                <w:rFonts w:ascii="Calibri" w:hAnsi="Calibri" w:cs="Times"/>
                <w:color w:val="000000"/>
                <w:sz w:val="20"/>
                <w:szCs w:val="20"/>
                <w:vertAlign w:val="subscript"/>
                <w:lang w:val="en-GB"/>
              </w:rPr>
              <w:t>ABW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23 ± 5</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30 ± 12</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7.4 ± 11.6 *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37.5 ± 62.7 *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63.3%</w:t>
            </w:r>
          </w:p>
        </w:tc>
      </w:tr>
      <w:tr w:rsidR="003C4CB8" w:rsidRPr="0086281A" w:rsidTr="003C4CB8">
        <w:trPr>
          <w:trHeight w:val="241"/>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Pr="0086281A">
              <w:rPr>
                <w:rFonts w:ascii="Calibri" w:hAnsi="Calibri" w:cs="Times"/>
                <w:sz w:val="20"/>
                <w:szCs w:val="20"/>
                <w:vertAlign w:val="subscript"/>
                <w:lang w:val="en-GB"/>
              </w:rPr>
              <w:t>AIBW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23 ± 5</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22 ± 9</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-0.1</w:t>
            </w:r>
            <w:r w:rsidRPr="0086281A">
              <w:rPr>
                <w:rFonts w:ascii="Calibri" w:hAnsi="Calibri" w:cs="Times New Roman"/>
                <w:color w:val="141413"/>
                <w:sz w:val="20"/>
                <w:szCs w:val="20"/>
                <w:lang w:val="en-GB"/>
              </w:rPr>
              <w:t xml:space="preserve"> ± 8 *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2.8 ± 42.7 *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65.3%</w:t>
            </w:r>
          </w:p>
        </w:tc>
      </w:tr>
      <w:tr w:rsidR="003C4CB8" w:rsidRPr="0086281A" w:rsidTr="003C4CB8">
        <w:trPr>
          <w:trHeight w:val="257"/>
        </w:trPr>
        <w:tc>
          <w:tcPr>
            <w:tcW w:w="8613" w:type="dxa"/>
            <w:gridSpan w:val="6"/>
            <w:shd w:val="clear" w:color="auto" w:fill="8DB3E2" w:themeFill="text2" w:themeFillTint="66"/>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mGFR 30-44 mL/min  (n = 58)</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MDRD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New Roman"/>
                <w:sz w:val="20"/>
                <w:szCs w:val="20"/>
                <w:lang w:val="en-GB"/>
              </w:rPr>
            </w:pPr>
            <w:r w:rsidRPr="0086281A">
              <w:rPr>
                <w:rFonts w:ascii="Calibri" w:hAnsi="Calibri" w:cs="Times New Roman"/>
                <w:sz w:val="20"/>
                <w:szCs w:val="20"/>
                <w:lang w:val="en-GB"/>
              </w:rPr>
              <w:t>37± 5</w:t>
            </w:r>
          </w:p>
        </w:tc>
        <w:tc>
          <w:tcPr>
            <w:tcW w:w="1276"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38 ± 11</w:t>
            </w:r>
          </w:p>
        </w:tc>
        <w:tc>
          <w:tcPr>
            <w:tcW w:w="1701"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 xml:space="preserve">0.1 ± 9.9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 xml:space="preserve">-0.1 ± 27.2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84.5%</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CKD-EPI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37± 5</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38 ± 12</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0.4 ± 10.4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0.8 ± 28.5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77.6%</w:t>
            </w:r>
          </w:p>
        </w:tc>
      </w:tr>
      <w:tr w:rsidR="003C4CB8" w:rsidRPr="0086281A" w:rsidTr="003C4CB8">
        <w:trPr>
          <w:trHeight w:val="241"/>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00794E4C" w:rsidRPr="00794E4C">
              <w:rPr>
                <w:rFonts w:ascii="Calibri" w:hAnsi="Calibri" w:cs="Times"/>
                <w:color w:val="000000"/>
                <w:sz w:val="20"/>
                <w:szCs w:val="20"/>
                <w:vertAlign w:val="subscript"/>
                <w:lang w:val="en-GB"/>
              </w:rPr>
              <w:t>ABW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37± 5</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47 ± 13</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9.2 ± 12.1 *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24.5 </w:t>
            </w:r>
            <w:r w:rsidRPr="0086281A">
              <w:rPr>
                <w:rFonts w:ascii="Calibri" w:hAnsi="Calibri" w:cs="Times New Roman"/>
                <w:color w:val="141413"/>
                <w:sz w:val="20"/>
                <w:szCs w:val="20"/>
                <w:lang w:val="en-GB"/>
              </w:rPr>
              <w:t xml:space="preserve">± 33.4 *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62.1% * </w:t>
            </w:r>
            <w:r w:rsidRPr="0086281A">
              <w:rPr>
                <w:rFonts w:ascii="Calibri" w:hAnsi="Calibri" w:cs="Times"/>
                <w:sz w:val="20"/>
                <w:szCs w:val="20"/>
                <w:vertAlign w:val="superscript"/>
                <w:lang w:val="en-GB"/>
              </w:rPr>
              <w:t>¥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Pr="0086281A">
              <w:rPr>
                <w:rFonts w:ascii="Calibri" w:hAnsi="Calibri" w:cs="Times"/>
                <w:sz w:val="20"/>
                <w:szCs w:val="20"/>
                <w:vertAlign w:val="subscript"/>
                <w:lang w:val="en-GB"/>
              </w:rPr>
              <w:t>AIBW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37± 5</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36 ± 10</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-1.5 ± 8.6 *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-4.1 ± 23.5 *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87.9%</w:t>
            </w:r>
          </w:p>
        </w:tc>
      </w:tr>
      <w:tr w:rsidR="003C4CB8" w:rsidRPr="0086281A" w:rsidTr="003C4CB8">
        <w:trPr>
          <w:trHeight w:val="257"/>
        </w:trPr>
        <w:tc>
          <w:tcPr>
            <w:tcW w:w="8613" w:type="dxa"/>
            <w:gridSpan w:val="6"/>
            <w:shd w:val="clear" w:color="auto" w:fill="8DB3E2" w:themeFill="text2" w:themeFillTint="66"/>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mGFR 45-59 mL/min (n = 49)</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MDRD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New Roman"/>
                <w:sz w:val="20"/>
                <w:szCs w:val="20"/>
                <w:lang w:val="en-GB"/>
              </w:rPr>
            </w:pPr>
            <w:r w:rsidRPr="0086281A">
              <w:rPr>
                <w:rFonts w:ascii="Calibri" w:hAnsi="Calibri" w:cs="Times New Roman"/>
                <w:sz w:val="20"/>
                <w:szCs w:val="20"/>
                <w:lang w:val="en-GB"/>
              </w:rPr>
              <w:t>53 ± 4</w:t>
            </w:r>
          </w:p>
        </w:tc>
        <w:tc>
          <w:tcPr>
            <w:tcW w:w="1276"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50 ± 9</w:t>
            </w:r>
          </w:p>
        </w:tc>
        <w:tc>
          <w:tcPr>
            <w:tcW w:w="1701"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 xml:space="preserve">-2.9 ± 8.4 * </w:t>
            </w:r>
          </w:p>
        </w:tc>
        <w:tc>
          <w:tcPr>
            <w:tcW w:w="1559"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-5.5 ± 15.9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95.9% </w:t>
            </w:r>
            <w:r w:rsidRPr="0086281A">
              <w:rPr>
                <w:rFonts w:ascii="Calibri" w:hAnsi="Calibri" w:cs="Times"/>
                <w:sz w:val="20"/>
                <w:szCs w:val="20"/>
                <w:vertAlign w:val="superscript"/>
                <w:lang w:val="en-GB"/>
              </w:rPr>
              <w:t>†</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CKD-EPI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53 ± 4</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52 ± 10</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-1.4  ± 9.4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-2.6 ± 17.8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91.8% </w:t>
            </w:r>
            <w:r w:rsidRPr="0086281A">
              <w:rPr>
                <w:rFonts w:ascii="Calibri" w:hAnsi="Calibri" w:cs="Times"/>
                <w:sz w:val="20"/>
                <w:szCs w:val="20"/>
                <w:vertAlign w:val="superscript"/>
                <w:lang w:val="en-GB"/>
              </w:rPr>
              <w:t>†</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00794E4C" w:rsidRPr="00794E4C">
              <w:rPr>
                <w:rFonts w:ascii="Calibri" w:hAnsi="Calibri" w:cs="Times"/>
                <w:color w:val="000000"/>
                <w:sz w:val="20"/>
                <w:szCs w:val="20"/>
                <w:vertAlign w:val="subscript"/>
                <w:lang w:val="en-GB"/>
              </w:rPr>
              <w:t>ABW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53 ± 4</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64 ± 19</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10.8 ± 18.2 *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20.2 ± 33.9 *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67.3% * </w:t>
            </w:r>
            <w:r w:rsidRPr="0086281A">
              <w:rPr>
                <w:rFonts w:ascii="Calibri" w:hAnsi="Calibri" w:cs="Times"/>
                <w:sz w:val="20"/>
                <w:szCs w:val="20"/>
                <w:vertAlign w:val="superscript"/>
                <w:lang w:val="en-GB"/>
              </w:rPr>
              <w:t>¥</w:t>
            </w:r>
          </w:p>
        </w:tc>
      </w:tr>
      <w:tr w:rsidR="003C4CB8" w:rsidRPr="0086281A" w:rsidTr="003C4CB8">
        <w:trPr>
          <w:trHeight w:val="241"/>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Pr="0086281A">
              <w:rPr>
                <w:rFonts w:ascii="Calibri" w:hAnsi="Calibri" w:cs="Times"/>
                <w:sz w:val="20"/>
                <w:szCs w:val="20"/>
                <w:vertAlign w:val="subscript"/>
                <w:lang w:val="en-GB"/>
              </w:rPr>
              <w:t>AIBW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53 ± 4</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49 ± 12</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-4.1 ± 11.3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-7.7 ± 21.1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77.6% * </w:t>
            </w:r>
            <w:r w:rsidRPr="0086281A">
              <w:rPr>
                <w:rFonts w:ascii="Calibri" w:hAnsi="Calibri" w:cs="Times"/>
                <w:sz w:val="20"/>
                <w:szCs w:val="20"/>
                <w:vertAlign w:val="superscript"/>
                <w:lang w:val="en-GB"/>
              </w:rPr>
              <w:t>¥</w:t>
            </w:r>
          </w:p>
        </w:tc>
      </w:tr>
      <w:tr w:rsidR="003C4CB8" w:rsidRPr="0086281A" w:rsidTr="003C4CB8">
        <w:trPr>
          <w:trHeight w:val="257"/>
        </w:trPr>
        <w:tc>
          <w:tcPr>
            <w:tcW w:w="8613" w:type="dxa"/>
            <w:gridSpan w:val="6"/>
            <w:shd w:val="clear" w:color="auto" w:fill="8DB3E2" w:themeFill="text2" w:themeFillTint="66"/>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mGFR &lt; 60 mL/min (n = 156)</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MDRD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sz w:val="20"/>
                <w:szCs w:val="20"/>
                <w:lang w:val="en-GB"/>
              </w:rPr>
            </w:pPr>
            <w:r w:rsidRPr="0086281A">
              <w:rPr>
                <w:rFonts w:ascii="Calibri" w:hAnsi="Calibri"/>
                <w:sz w:val="20"/>
                <w:szCs w:val="20"/>
                <w:lang w:val="en-GB"/>
              </w:rPr>
              <w:t>38 ± 13</w:t>
            </w:r>
          </w:p>
        </w:tc>
        <w:tc>
          <w:tcPr>
            <w:tcW w:w="1276" w:type="dxa"/>
          </w:tcPr>
          <w:p w:rsidR="003C4CB8" w:rsidRPr="0086281A" w:rsidRDefault="003C4CB8" w:rsidP="003C4CB8">
            <w:pPr>
              <w:jc w:val="center"/>
              <w:rPr>
                <w:rFonts w:ascii="Calibri" w:hAnsi="Calibri"/>
                <w:color w:val="141413"/>
                <w:sz w:val="20"/>
                <w:szCs w:val="20"/>
                <w:lang w:val="en-GB"/>
              </w:rPr>
            </w:pPr>
            <w:r w:rsidRPr="0086281A">
              <w:rPr>
                <w:rFonts w:ascii="Calibri" w:hAnsi="Calibri"/>
                <w:color w:val="141413"/>
                <w:sz w:val="20"/>
                <w:szCs w:val="20"/>
                <w:lang w:val="en-GB"/>
              </w:rPr>
              <w:t>36 ± 15</w:t>
            </w:r>
          </w:p>
        </w:tc>
        <w:tc>
          <w:tcPr>
            <w:tcW w:w="1701" w:type="dxa"/>
          </w:tcPr>
          <w:p w:rsidR="003C4CB8" w:rsidRPr="0086281A" w:rsidRDefault="003C4CB8" w:rsidP="003C4CB8">
            <w:pPr>
              <w:jc w:val="center"/>
              <w:rPr>
                <w:rFonts w:ascii="Calibri" w:hAnsi="Calibri"/>
                <w:color w:val="141413"/>
                <w:sz w:val="20"/>
                <w:szCs w:val="20"/>
                <w:lang w:val="en-GB"/>
              </w:rPr>
            </w:pPr>
            <w:r w:rsidRPr="0086281A">
              <w:rPr>
                <w:rFonts w:ascii="Calibri" w:hAnsi="Calibri"/>
                <w:color w:val="141413"/>
                <w:sz w:val="20"/>
                <w:szCs w:val="20"/>
                <w:lang w:val="en-GB"/>
              </w:rPr>
              <w:t>-1.3 ± 9 *</w:t>
            </w:r>
          </w:p>
        </w:tc>
        <w:tc>
          <w:tcPr>
            <w:tcW w:w="1559" w:type="dxa"/>
          </w:tcPr>
          <w:p w:rsidR="003C4CB8" w:rsidRPr="0086281A" w:rsidRDefault="003C4CB8" w:rsidP="003C4CB8">
            <w:pPr>
              <w:jc w:val="center"/>
              <w:rPr>
                <w:rFonts w:ascii="Calibri" w:hAnsi="Calibri"/>
                <w:color w:val="141413"/>
                <w:sz w:val="20"/>
                <w:szCs w:val="20"/>
                <w:lang w:val="en-GB"/>
              </w:rPr>
            </w:pPr>
            <w:r w:rsidRPr="0086281A">
              <w:rPr>
                <w:rFonts w:ascii="Calibri" w:hAnsi="Calibri"/>
                <w:color w:val="141413"/>
                <w:sz w:val="20"/>
                <w:szCs w:val="20"/>
                <w:lang w:val="en-GB"/>
              </w:rPr>
              <w:t>-2.7 ± 33.2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82.7% * </w:t>
            </w:r>
          </w:p>
        </w:tc>
      </w:tr>
      <w:tr w:rsidR="003C4CB8" w:rsidRPr="0086281A" w:rsidTr="003C4CB8">
        <w:trPr>
          <w:trHeight w:val="241"/>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CKD-EPI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38 ± 13</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37 ± 16</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 xml:space="preserve">-0.7 ± 9.6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 xml:space="preserve">-1 .4 ± 33.8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76.9% </w:t>
            </w:r>
            <w:r w:rsidRPr="0086281A">
              <w:rPr>
                <w:rFonts w:ascii="Calibri" w:hAnsi="Calibri" w:cs="Times"/>
                <w:sz w:val="20"/>
                <w:szCs w:val="20"/>
                <w:vertAlign w:val="superscript"/>
                <w:lang w:val="en-GB"/>
              </w:rPr>
              <w:t xml:space="preserve">¥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00794E4C" w:rsidRPr="00794E4C">
              <w:rPr>
                <w:rFonts w:ascii="Calibri" w:hAnsi="Calibri" w:cs="Times"/>
                <w:color w:val="000000"/>
                <w:sz w:val="20"/>
                <w:szCs w:val="20"/>
                <w:vertAlign w:val="subscript"/>
                <w:lang w:val="en-GB"/>
              </w:rPr>
              <w:t>ABW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38 ± 13</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47 ± 20</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 xml:space="preserve">9.1 ± 14.1 *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 xml:space="preserve">27.2 ± 45.1 *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64.1% * </w:t>
            </w:r>
            <w:r w:rsidRPr="0086281A">
              <w:rPr>
                <w:rFonts w:ascii="Calibri" w:hAnsi="Calibri" w:cs="Times"/>
                <w:sz w:val="20"/>
                <w:szCs w:val="20"/>
                <w:vertAlign w:val="superscript"/>
                <w:lang w:val="en-GB"/>
              </w:rPr>
              <w:t>¥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Pr="0086281A">
              <w:rPr>
                <w:rFonts w:ascii="Calibri" w:hAnsi="Calibri" w:cs="Times"/>
                <w:sz w:val="20"/>
                <w:szCs w:val="20"/>
                <w:vertAlign w:val="subscript"/>
                <w:lang w:val="en-GB"/>
              </w:rPr>
              <w:t>AIBW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38 ± 13</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36 ± 15</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-1.9 ± 9.4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olor w:val="141413"/>
                <w:sz w:val="20"/>
                <w:szCs w:val="20"/>
                <w:lang w:val="en-GB"/>
              </w:rPr>
              <w:t>-3.1 ± 30.4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77.6%</w:t>
            </w:r>
          </w:p>
        </w:tc>
      </w:tr>
      <w:tr w:rsidR="003C4CB8" w:rsidRPr="0086281A" w:rsidTr="003C4CB8">
        <w:trPr>
          <w:trHeight w:val="257"/>
        </w:trPr>
        <w:tc>
          <w:tcPr>
            <w:tcW w:w="8613" w:type="dxa"/>
            <w:gridSpan w:val="6"/>
            <w:shd w:val="clear" w:color="auto" w:fill="8DB3E2" w:themeFill="text2" w:themeFillTint="66"/>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mGFR &gt; 60 mL/min (n = 210)</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MDRD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New Roman"/>
                <w:sz w:val="20"/>
                <w:szCs w:val="20"/>
                <w:lang w:val="en-GB"/>
              </w:rPr>
            </w:pPr>
            <w:r w:rsidRPr="0086281A">
              <w:rPr>
                <w:rFonts w:ascii="Calibri" w:hAnsi="Calibri" w:cs="Times New Roman"/>
                <w:sz w:val="20"/>
                <w:szCs w:val="20"/>
                <w:lang w:val="en-GB"/>
              </w:rPr>
              <w:t>95 ± 24</w:t>
            </w:r>
          </w:p>
        </w:tc>
        <w:tc>
          <w:tcPr>
            <w:tcW w:w="1276"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101 ± 35</w:t>
            </w:r>
          </w:p>
        </w:tc>
        <w:tc>
          <w:tcPr>
            <w:tcW w:w="1701"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 xml:space="preserve">5.9 ± 24.1 *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New Roman"/>
                <w:color w:val="141413"/>
                <w:sz w:val="20"/>
                <w:szCs w:val="20"/>
                <w:lang w:val="en-GB"/>
              </w:rPr>
            </w:pPr>
            <w:r w:rsidRPr="0086281A">
              <w:rPr>
                <w:rFonts w:ascii="Calibri" w:hAnsi="Calibri" w:cs="Times New Roman"/>
                <w:color w:val="141413"/>
                <w:sz w:val="20"/>
                <w:szCs w:val="20"/>
                <w:lang w:val="en-GB"/>
              </w:rPr>
              <w:t xml:space="preserve">6.3 ± 24.2 *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78.6%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CKD-EPI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95 ± 24</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106 ± 35</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11.3 ± 23.4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12.2 ± 25.4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74.8% </w:t>
            </w:r>
            <w:r w:rsidRPr="0086281A">
              <w:rPr>
                <w:rFonts w:ascii="Calibri" w:hAnsi="Calibri" w:cs="Times"/>
                <w:sz w:val="20"/>
                <w:szCs w:val="20"/>
                <w:vertAlign w:val="superscript"/>
                <w:lang w:val="en-GB"/>
              </w:rPr>
              <w:t>†</w:t>
            </w:r>
          </w:p>
        </w:tc>
      </w:tr>
      <w:tr w:rsidR="003C4CB8" w:rsidRPr="0086281A" w:rsidTr="003C4CB8">
        <w:trPr>
          <w:trHeight w:val="241"/>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00794E4C" w:rsidRPr="00794E4C">
              <w:rPr>
                <w:rFonts w:ascii="Calibri" w:hAnsi="Calibri" w:cs="Times"/>
                <w:color w:val="000000"/>
                <w:sz w:val="20"/>
                <w:szCs w:val="20"/>
                <w:vertAlign w:val="subscript"/>
                <w:lang w:val="en-GB"/>
              </w:rPr>
              <w:t>ABW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95 ± 24</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132 ± 61</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36.8 ± 47.9 *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37.1 ± 41.7 *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51.4% * </w:t>
            </w:r>
            <w:r w:rsidRPr="0086281A">
              <w:rPr>
                <w:rFonts w:ascii="Calibri" w:hAnsi="Calibri" w:cs="Times"/>
                <w:sz w:val="20"/>
                <w:szCs w:val="20"/>
                <w:vertAlign w:val="superscript"/>
                <w:lang w:val="en-GB"/>
              </w:rPr>
              <w:t>¥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Pr="0086281A">
              <w:rPr>
                <w:rFonts w:ascii="Calibri" w:hAnsi="Calibri" w:cs="Times"/>
                <w:sz w:val="20"/>
                <w:szCs w:val="20"/>
                <w:vertAlign w:val="subscript"/>
                <w:lang w:val="en-GB"/>
              </w:rPr>
              <w:t>AIBW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sz w:val="20"/>
                <w:szCs w:val="20"/>
                <w:lang w:val="en-GB"/>
              </w:rPr>
              <w:t>95 ± 24</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99 ± 39</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4.2 ± 26.9 *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cs="Times New Roman"/>
                <w:color w:val="141413"/>
                <w:sz w:val="20"/>
                <w:szCs w:val="20"/>
                <w:lang w:val="en-GB"/>
              </w:rPr>
              <w:t xml:space="preserve">3.6 ± 26 *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80% *</w:t>
            </w:r>
          </w:p>
        </w:tc>
      </w:tr>
      <w:tr w:rsidR="003C4CB8" w:rsidRPr="0086281A" w:rsidTr="003C4CB8">
        <w:trPr>
          <w:trHeight w:val="257"/>
        </w:trPr>
        <w:tc>
          <w:tcPr>
            <w:tcW w:w="8613" w:type="dxa"/>
            <w:gridSpan w:val="6"/>
            <w:shd w:val="clear" w:color="auto" w:fill="8DB3E2" w:themeFill="text2" w:themeFillTint="66"/>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mGFR 60-89 mL/min (n = 100)</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MDRD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sz w:val="20"/>
                <w:szCs w:val="20"/>
                <w:lang w:val="en-GB"/>
              </w:rPr>
            </w:pPr>
            <w:r w:rsidRPr="0086281A">
              <w:rPr>
                <w:rFonts w:ascii="Calibri" w:hAnsi="Calibri"/>
                <w:sz w:val="20"/>
                <w:szCs w:val="20"/>
                <w:lang w:val="en-GB"/>
              </w:rPr>
              <w:t>74 ± 8</w:t>
            </w:r>
          </w:p>
        </w:tc>
        <w:tc>
          <w:tcPr>
            <w:tcW w:w="1276" w:type="dxa"/>
          </w:tcPr>
          <w:p w:rsidR="003C4CB8" w:rsidRPr="0086281A" w:rsidRDefault="003C4CB8" w:rsidP="003C4CB8">
            <w:pPr>
              <w:jc w:val="center"/>
              <w:rPr>
                <w:rFonts w:ascii="Calibri" w:hAnsi="Calibri"/>
                <w:color w:val="141413"/>
                <w:sz w:val="20"/>
                <w:szCs w:val="20"/>
                <w:lang w:val="en-GB"/>
              </w:rPr>
            </w:pPr>
            <w:r w:rsidRPr="0086281A">
              <w:rPr>
                <w:rFonts w:ascii="Calibri" w:hAnsi="Calibri"/>
                <w:sz w:val="20"/>
                <w:szCs w:val="20"/>
                <w:lang w:val="en-GB"/>
              </w:rPr>
              <w:t>80 ± 22</w:t>
            </w:r>
          </w:p>
        </w:tc>
        <w:tc>
          <w:tcPr>
            <w:tcW w:w="1701" w:type="dxa"/>
          </w:tcPr>
          <w:p w:rsidR="003C4CB8" w:rsidRPr="0086281A" w:rsidRDefault="003C4CB8" w:rsidP="003C4CB8">
            <w:pPr>
              <w:jc w:val="center"/>
              <w:rPr>
                <w:rFonts w:ascii="Calibri" w:hAnsi="Calibri"/>
                <w:color w:val="141413"/>
                <w:sz w:val="20"/>
                <w:szCs w:val="20"/>
                <w:lang w:val="en-GB"/>
              </w:rPr>
            </w:pPr>
            <w:r w:rsidRPr="0086281A">
              <w:rPr>
                <w:rFonts w:ascii="Calibri" w:hAnsi="Calibri"/>
                <w:sz w:val="20"/>
                <w:szCs w:val="20"/>
                <w:lang w:val="en-GB"/>
              </w:rPr>
              <w:t xml:space="preserve">5.7 ± 18.8 *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olor w:val="141413"/>
                <w:sz w:val="20"/>
                <w:szCs w:val="20"/>
                <w:lang w:val="en-GB"/>
              </w:rPr>
            </w:pPr>
            <w:r w:rsidRPr="0086281A">
              <w:rPr>
                <w:rFonts w:ascii="Calibri" w:hAnsi="Calibri"/>
                <w:sz w:val="20"/>
                <w:szCs w:val="20"/>
                <w:lang w:val="en-GB"/>
              </w:rPr>
              <w:t xml:space="preserve">7.4 ± 25.6 *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74% *</w:t>
            </w:r>
          </w:p>
        </w:tc>
      </w:tr>
      <w:tr w:rsidR="003C4CB8" w:rsidRPr="0086281A" w:rsidTr="003C4CB8">
        <w:trPr>
          <w:trHeight w:val="241"/>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CKD-EPI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74 ± 8</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85 ± 25</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10.5 ± 22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13.7 ± 29.9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67% </w:t>
            </w:r>
            <w:r w:rsidRPr="0086281A">
              <w:rPr>
                <w:rFonts w:ascii="Calibri" w:hAnsi="Calibri" w:cs="Times"/>
                <w:sz w:val="20"/>
                <w:szCs w:val="20"/>
                <w:vertAlign w:val="superscript"/>
                <w:lang w:val="en-GB"/>
              </w:rPr>
              <w:t>¥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00794E4C" w:rsidRPr="00794E4C">
              <w:rPr>
                <w:rFonts w:ascii="Calibri" w:hAnsi="Calibri" w:cs="Times"/>
                <w:color w:val="000000"/>
                <w:sz w:val="20"/>
                <w:szCs w:val="20"/>
                <w:vertAlign w:val="subscript"/>
                <w:lang w:val="en-GB"/>
              </w:rPr>
              <w:t>ABW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74 ± 8</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99 ± 34</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25.3 ± 30.6 *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33.6 ± 40.9 *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 52% * </w:t>
            </w:r>
            <w:r w:rsidRPr="0086281A">
              <w:rPr>
                <w:rFonts w:ascii="Calibri" w:hAnsi="Calibri" w:cs="Times"/>
                <w:sz w:val="20"/>
                <w:szCs w:val="20"/>
                <w:vertAlign w:val="superscript"/>
                <w:lang w:val="en-GB"/>
              </w:rPr>
              <w:t>¥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Pr="0086281A">
              <w:rPr>
                <w:rFonts w:ascii="Calibri" w:hAnsi="Calibri" w:cs="Times"/>
                <w:sz w:val="20"/>
                <w:szCs w:val="20"/>
                <w:vertAlign w:val="subscript"/>
                <w:lang w:val="en-GB"/>
              </w:rPr>
              <w:t>AIBW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74 ± 8</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76 ± 23</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2 ± 20.3 * </w:t>
            </w:r>
            <w:r w:rsidRPr="0086281A">
              <w:rPr>
                <w:rFonts w:ascii="Calibri" w:hAnsi="Calibri" w:cs="Times"/>
                <w:sz w:val="20"/>
                <w:szCs w:val="20"/>
                <w:vertAlign w:val="superscript"/>
                <w:lang w:val="en-GB"/>
              </w:rPr>
              <w:t>¥</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2.2 ± 27.3 *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77% *</w:t>
            </w:r>
          </w:p>
        </w:tc>
      </w:tr>
      <w:tr w:rsidR="003C4CB8" w:rsidRPr="0086281A" w:rsidTr="003C4CB8">
        <w:trPr>
          <w:trHeight w:val="257"/>
        </w:trPr>
        <w:tc>
          <w:tcPr>
            <w:tcW w:w="8613" w:type="dxa"/>
            <w:gridSpan w:val="6"/>
            <w:shd w:val="clear" w:color="auto" w:fill="8DB3E2" w:themeFill="text2" w:themeFillTint="66"/>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mGFR 90-119 mL/min (n = 73)</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MDRD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sz w:val="20"/>
                <w:szCs w:val="20"/>
                <w:lang w:val="en-GB"/>
              </w:rPr>
            </w:pPr>
            <w:r w:rsidRPr="0086281A">
              <w:rPr>
                <w:rFonts w:ascii="Calibri" w:hAnsi="Calibri"/>
                <w:sz w:val="20"/>
                <w:szCs w:val="20"/>
                <w:lang w:val="en-GB"/>
              </w:rPr>
              <w:t>103 ± 9</w:t>
            </w:r>
          </w:p>
        </w:tc>
        <w:tc>
          <w:tcPr>
            <w:tcW w:w="1276" w:type="dxa"/>
          </w:tcPr>
          <w:p w:rsidR="003C4CB8" w:rsidRPr="0086281A" w:rsidRDefault="003C4CB8" w:rsidP="003C4CB8">
            <w:pPr>
              <w:jc w:val="center"/>
              <w:rPr>
                <w:rFonts w:ascii="Calibri" w:hAnsi="Calibri"/>
                <w:color w:val="141413"/>
                <w:sz w:val="20"/>
                <w:szCs w:val="20"/>
                <w:lang w:val="en-GB"/>
              </w:rPr>
            </w:pPr>
            <w:r w:rsidRPr="0086281A">
              <w:rPr>
                <w:rFonts w:ascii="Calibri" w:hAnsi="Calibri"/>
                <w:sz w:val="20"/>
                <w:szCs w:val="20"/>
                <w:lang w:val="en-GB"/>
              </w:rPr>
              <w:t>108 ± 25</w:t>
            </w:r>
          </w:p>
        </w:tc>
        <w:tc>
          <w:tcPr>
            <w:tcW w:w="1701" w:type="dxa"/>
          </w:tcPr>
          <w:p w:rsidR="003C4CB8" w:rsidRPr="0086281A" w:rsidRDefault="003C4CB8" w:rsidP="003C4CB8">
            <w:pPr>
              <w:jc w:val="center"/>
              <w:rPr>
                <w:rFonts w:ascii="Calibri" w:hAnsi="Calibri"/>
                <w:color w:val="141413"/>
                <w:sz w:val="20"/>
                <w:szCs w:val="20"/>
                <w:lang w:val="en-GB"/>
              </w:rPr>
            </w:pPr>
            <w:r w:rsidRPr="0086281A">
              <w:rPr>
                <w:rFonts w:ascii="Calibri" w:hAnsi="Calibri"/>
                <w:sz w:val="20"/>
                <w:szCs w:val="20"/>
                <w:lang w:val="en-GB"/>
              </w:rPr>
              <w:t>4.7 ± 23.1 *</w:t>
            </w:r>
          </w:p>
        </w:tc>
        <w:tc>
          <w:tcPr>
            <w:tcW w:w="1559" w:type="dxa"/>
          </w:tcPr>
          <w:p w:rsidR="003C4CB8" w:rsidRPr="0086281A" w:rsidRDefault="003C4CB8" w:rsidP="003C4CB8">
            <w:pPr>
              <w:jc w:val="center"/>
              <w:rPr>
                <w:rFonts w:ascii="Calibri" w:hAnsi="Calibri"/>
                <w:color w:val="141413"/>
                <w:sz w:val="20"/>
                <w:szCs w:val="20"/>
                <w:lang w:val="en-GB"/>
              </w:rPr>
            </w:pPr>
            <w:r w:rsidRPr="0086281A">
              <w:rPr>
                <w:rFonts w:ascii="Calibri" w:hAnsi="Calibri"/>
                <w:sz w:val="20"/>
                <w:szCs w:val="20"/>
                <w:lang w:val="en-GB"/>
              </w:rPr>
              <w:t>4.5 ± 21.2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86.3%</w:t>
            </w:r>
          </w:p>
        </w:tc>
      </w:tr>
      <w:tr w:rsidR="003C4CB8" w:rsidRPr="0086281A" w:rsidTr="003C4CB8">
        <w:trPr>
          <w:trHeight w:val="241"/>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CKD-EPI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103 ± 9</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115 ± 23</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11.7 ± 20.9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11.4 ± 20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82.2%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00794E4C" w:rsidRPr="00794E4C">
              <w:rPr>
                <w:rFonts w:ascii="Calibri" w:hAnsi="Calibri" w:cs="Times"/>
                <w:color w:val="000000"/>
                <w:sz w:val="20"/>
                <w:szCs w:val="20"/>
                <w:vertAlign w:val="subscript"/>
                <w:lang w:val="en-GB"/>
              </w:rPr>
              <w:t>ABW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103 ± 9</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141 ± 40</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37.9 ± 37.5 *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36.4 ± 34.8 * </w:t>
            </w:r>
            <w:r w:rsidRPr="0086281A">
              <w:rPr>
                <w:rFonts w:ascii="Calibri" w:hAnsi="Calibri" w:cs="Times"/>
                <w:sz w:val="20"/>
                <w:szCs w:val="20"/>
                <w:vertAlign w:val="superscript"/>
                <w:lang w:val="en-GB"/>
              </w:rPr>
              <w:t>†</w:t>
            </w:r>
            <w:r w:rsidRPr="0086281A">
              <w:rPr>
                <w:rFonts w:ascii="Calibri" w:hAnsi="Calibri"/>
                <w:sz w:val="20"/>
                <w:szCs w:val="20"/>
                <w:lang w:val="en-GB"/>
              </w:rPr>
              <w:t xml:space="preserve"> </w:t>
            </w:r>
            <w:r w:rsidRPr="0086281A">
              <w:rPr>
                <w:rFonts w:ascii="Calibri" w:hAnsi="Calibri" w:cs="Times"/>
                <w:sz w:val="20"/>
                <w:szCs w:val="20"/>
                <w:vertAlign w:val="superscript"/>
                <w:lang w:val="en-GB"/>
              </w:rPr>
              <w:t>¥</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 xml:space="preserve">53.4% * </w:t>
            </w:r>
            <w:r w:rsidRPr="0086281A">
              <w:rPr>
                <w:rFonts w:ascii="Calibri" w:hAnsi="Calibri" w:cs="Times"/>
                <w:sz w:val="20"/>
                <w:szCs w:val="20"/>
                <w:vertAlign w:val="superscript"/>
                <w:lang w:val="en-GB"/>
              </w:rPr>
              <w:t>¥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Pr="0086281A">
              <w:rPr>
                <w:rFonts w:ascii="Calibri" w:hAnsi="Calibri" w:cs="Times"/>
                <w:sz w:val="20"/>
                <w:szCs w:val="20"/>
                <w:vertAlign w:val="subscript"/>
                <w:lang w:val="en-GB"/>
              </w:rPr>
              <w:t>AIBW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103 ± 9</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106 ± 24</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2.6 ± 22.1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2.3 ± 21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89%</w:t>
            </w:r>
          </w:p>
        </w:tc>
      </w:tr>
      <w:tr w:rsidR="003C4CB8" w:rsidRPr="0086281A" w:rsidTr="003C4CB8">
        <w:trPr>
          <w:trHeight w:val="257"/>
        </w:trPr>
        <w:tc>
          <w:tcPr>
            <w:tcW w:w="8613" w:type="dxa"/>
            <w:gridSpan w:val="6"/>
            <w:shd w:val="clear" w:color="auto" w:fill="8DB3E2" w:themeFill="text2" w:themeFillTint="66"/>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mGFR ≥ 130 mL/min (n = 19)</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MDRD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sz w:val="20"/>
                <w:szCs w:val="20"/>
                <w:lang w:val="en-GB"/>
              </w:rPr>
            </w:pPr>
            <w:r w:rsidRPr="0086281A">
              <w:rPr>
                <w:rFonts w:ascii="Calibri" w:hAnsi="Calibri"/>
                <w:sz w:val="20"/>
                <w:szCs w:val="20"/>
                <w:lang w:val="en-GB"/>
              </w:rPr>
              <w:t>144 ± 10</w:t>
            </w:r>
          </w:p>
        </w:tc>
        <w:tc>
          <w:tcPr>
            <w:tcW w:w="1276" w:type="dxa"/>
          </w:tcPr>
          <w:p w:rsidR="003C4CB8" w:rsidRPr="0086281A" w:rsidRDefault="003C4CB8" w:rsidP="003C4CB8">
            <w:pPr>
              <w:jc w:val="center"/>
              <w:rPr>
                <w:rFonts w:ascii="Calibri" w:hAnsi="Calibri"/>
                <w:color w:val="141413"/>
                <w:sz w:val="20"/>
                <w:szCs w:val="20"/>
                <w:lang w:val="en-GB"/>
              </w:rPr>
            </w:pPr>
            <w:r w:rsidRPr="0086281A">
              <w:rPr>
                <w:rFonts w:ascii="Calibri" w:hAnsi="Calibri"/>
                <w:sz w:val="20"/>
                <w:szCs w:val="20"/>
                <w:lang w:val="en-GB"/>
              </w:rPr>
              <w:t>146 ± 47</w:t>
            </w:r>
          </w:p>
        </w:tc>
        <w:tc>
          <w:tcPr>
            <w:tcW w:w="1701" w:type="dxa"/>
          </w:tcPr>
          <w:p w:rsidR="003C4CB8" w:rsidRPr="0086281A" w:rsidRDefault="003C4CB8" w:rsidP="003C4CB8">
            <w:pPr>
              <w:jc w:val="center"/>
              <w:rPr>
                <w:rFonts w:ascii="Calibri" w:hAnsi="Calibri"/>
                <w:color w:val="141413"/>
                <w:sz w:val="20"/>
                <w:szCs w:val="20"/>
                <w:lang w:val="en-GB"/>
              </w:rPr>
            </w:pPr>
            <w:r w:rsidRPr="0086281A">
              <w:rPr>
                <w:rFonts w:ascii="Calibri" w:hAnsi="Calibri"/>
                <w:sz w:val="20"/>
                <w:szCs w:val="20"/>
                <w:lang w:val="en-GB"/>
              </w:rPr>
              <w:t xml:space="preserve">1.7 ± 43.5 </w:t>
            </w:r>
          </w:p>
        </w:tc>
        <w:tc>
          <w:tcPr>
            <w:tcW w:w="1559" w:type="dxa"/>
          </w:tcPr>
          <w:p w:rsidR="003C4CB8" w:rsidRPr="0086281A" w:rsidRDefault="003C4CB8" w:rsidP="003C4CB8">
            <w:pPr>
              <w:jc w:val="center"/>
              <w:rPr>
                <w:rFonts w:ascii="Calibri" w:hAnsi="Calibri"/>
                <w:color w:val="141413"/>
                <w:sz w:val="20"/>
                <w:szCs w:val="20"/>
                <w:lang w:val="en-GB"/>
              </w:rPr>
            </w:pPr>
            <w:r w:rsidRPr="0086281A">
              <w:rPr>
                <w:rFonts w:ascii="Calibri" w:hAnsi="Calibri"/>
                <w:sz w:val="20"/>
                <w:szCs w:val="20"/>
                <w:lang w:val="en-GB"/>
              </w:rPr>
              <w:t>0.8 ± 27.8</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84.2%</w:t>
            </w:r>
          </w:p>
        </w:tc>
      </w:tr>
      <w:tr w:rsidR="003C4CB8" w:rsidRPr="0086281A" w:rsidTr="003C4CB8">
        <w:trPr>
          <w:trHeight w:val="241"/>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 xml:space="preserve">CKD-EPI </w:t>
            </w:r>
            <w:r w:rsidRPr="0086281A">
              <w:rPr>
                <w:rFonts w:ascii="Calibri" w:hAnsi="Calibri" w:cs="Times"/>
                <w:sz w:val="20"/>
                <w:szCs w:val="20"/>
                <w:vertAlign w:val="subscript"/>
                <w:lang w:val="en-GB"/>
              </w:rPr>
              <w:t>deindexed</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144 ± 10</w:t>
            </w:r>
          </w:p>
        </w:tc>
        <w:tc>
          <w:tcPr>
            <w:tcW w:w="1276" w:type="dxa"/>
          </w:tcPr>
          <w:p w:rsidR="003C4CB8" w:rsidRPr="0086281A" w:rsidRDefault="003C4CB8" w:rsidP="003C4CB8">
            <w:pPr>
              <w:tabs>
                <w:tab w:val="left" w:pos="409"/>
                <w:tab w:val="center" w:pos="637"/>
              </w:tabs>
              <w:jc w:val="center"/>
              <w:rPr>
                <w:rFonts w:ascii="Calibri" w:hAnsi="Calibri" w:cs="Times"/>
                <w:sz w:val="20"/>
                <w:szCs w:val="20"/>
                <w:lang w:val="en-GB"/>
              </w:rPr>
            </w:pPr>
            <w:r w:rsidRPr="0086281A">
              <w:rPr>
                <w:rFonts w:ascii="Calibri" w:hAnsi="Calibri"/>
                <w:sz w:val="20"/>
                <w:szCs w:val="20"/>
                <w:lang w:val="en-GB"/>
              </w:rPr>
              <w:t>151 ± 38</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7 ± 34.6</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4.6 ± 22.2</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89.5%</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00794E4C" w:rsidRPr="00794E4C">
              <w:rPr>
                <w:rFonts w:ascii="Calibri" w:hAnsi="Calibri" w:cs="Times"/>
                <w:color w:val="000000"/>
                <w:sz w:val="20"/>
                <w:szCs w:val="20"/>
                <w:vertAlign w:val="subscript"/>
                <w:lang w:val="en-GB"/>
              </w:rPr>
              <w:t>ABW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144 ± 10</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209 ± 107</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64.1 ± 102.3 * </w:t>
            </w:r>
            <w:r w:rsidRPr="0086281A">
              <w:rPr>
                <w:rFonts w:ascii="Calibri" w:hAnsi="Calibri" w:cs="Times"/>
                <w:sz w:val="20"/>
                <w:szCs w:val="20"/>
                <w:vertAlign w:val="superscript"/>
                <w:lang w:val="en-GB"/>
              </w:rPr>
              <w:t>¥ †</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 xml:space="preserve">42.8 ± 62.3 * </w:t>
            </w:r>
            <w:r w:rsidRPr="0086281A">
              <w:rPr>
                <w:rFonts w:ascii="Calibri" w:hAnsi="Calibri" w:cs="Times"/>
                <w:sz w:val="20"/>
                <w:szCs w:val="20"/>
                <w:vertAlign w:val="superscript"/>
                <w:lang w:val="en-GB"/>
              </w:rPr>
              <w:t>¥ †</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57.9% *</w:t>
            </w:r>
          </w:p>
        </w:tc>
      </w:tr>
      <w:tr w:rsidR="003C4CB8" w:rsidRPr="0086281A" w:rsidTr="003C4CB8">
        <w:trPr>
          <w:trHeight w:val="257"/>
        </w:trPr>
        <w:tc>
          <w:tcPr>
            <w:tcW w:w="1526" w:type="dxa"/>
          </w:tcPr>
          <w:p w:rsidR="003C4CB8" w:rsidRPr="0086281A" w:rsidRDefault="003C4CB8" w:rsidP="003C4CB8">
            <w:pPr>
              <w:rPr>
                <w:rFonts w:ascii="Calibri" w:hAnsi="Calibri" w:cs="Times"/>
                <w:sz w:val="20"/>
                <w:szCs w:val="20"/>
                <w:lang w:val="en-GB"/>
              </w:rPr>
            </w:pPr>
            <w:r w:rsidRPr="0086281A">
              <w:rPr>
                <w:rFonts w:ascii="Calibri" w:hAnsi="Calibri" w:cs="Times"/>
                <w:sz w:val="20"/>
                <w:szCs w:val="20"/>
                <w:lang w:val="en-GB"/>
              </w:rPr>
              <w:t>CG</w:t>
            </w:r>
            <w:r w:rsidRPr="0086281A">
              <w:rPr>
                <w:rFonts w:ascii="Calibri" w:hAnsi="Calibri" w:cs="Times"/>
                <w:sz w:val="20"/>
                <w:szCs w:val="20"/>
                <w:vertAlign w:val="subscript"/>
                <w:lang w:val="en-GB"/>
              </w:rPr>
              <w:t>AIBW</w:t>
            </w:r>
          </w:p>
        </w:tc>
        <w:tc>
          <w:tcPr>
            <w:tcW w:w="1417"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144 ± 10</w:t>
            </w:r>
          </w:p>
        </w:tc>
        <w:tc>
          <w:tcPr>
            <w:tcW w:w="1276"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152 ± 56</w:t>
            </w:r>
          </w:p>
        </w:tc>
        <w:tc>
          <w:tcPr>
            <w:tcW w:w="1701"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7.4 ± 52.5</w:t>
            </w:r>
          </w:p>
        </w:tc>
        <w:tc>
          <w:tcPr>
            <w:tcW w:w="1559" w:type="dxa"/>
          </w:tcPr>
          <w:p w:rsidR="003C4CB8" w:rsidRPr="0086281A" w:rsidRDefault="003C4CB8" w:rsidP="003C4CB8">
            <w:pPr>
              <w:jc w:val="center"/>
              <w:rPr>
                <w:rFonts w:ascii="Calibri" w:hAnsi="Calibri" w:cs="Times"/>
                <w:sz w:val="20"/>
                <w:szCs w:val="20"/>
                <w:lang w:val="en-GB"/>
              </w:rPr>
            </w:pPr>
            <w:r w:rsidRPr="0086281A">
              <w:rPr>
                <w:rFonts w:ascii="Calibri" w:hAnsi="Calibri"/>
                <w:sz w:val="20"/>
                <w:szCs w:val="20"/>
                <w:lang w:val="en-GB"/>
              </w:rPr>
              <w:t>4.6 ± 33</w:t>
            </w:r>
          </w:p>
        </w:tc>
        <w:tc>
          <w:tcPr>
            <w:tcW w:w="1134" w:type="dxa"/>
          </w:tcPr>
          <w:p w:rsidR="003C4CB8" w:rsidRPr="0086281A" w:rsidRDefault="003C4CB8" w:rsidP="003C4CB8">
            <w:pPr>
              <w:jc w:val="center"/>
              <w:rPr>
                <w:rFonts w:ascii="Calibri" w:hAnsi="Calibri" w:cs="Times"/>
                <w:sz w:val="20"/>
                <w:szCs w:val="20"/>
                <w:lang w:val="en-GB"/>
              </w:rPr>
            </w:pPr>
            <w:r w:rsidRPr="0086281A">
              <w:rPr>
                <w:rFonts w:ascii="Calibri" w:hAnsi="Calibri" w:cs="Times"/>
                <w:sz w:val="20"/>
                <w:szCs w:val="20"/>
                <w:lang w:val="en-GB"/>
              </w:rPr>
              <w:t>78.9%</w:t>
            </w:r>
          </w:p>
        </w:tc>
      </w:tr>
    </w:tbl>
    <w:p w:rsidR="00F972FD" w:rsidRPr="0086281A" w:rsidRDefault="00F972FD" w:rsidP="009E05D2">
      <w:pPr>
        <w:ind w:left="284"/>
        <w:rPr>
          <w:rFonts w:ascii="Calibri" w:hAnsi="Calibri"/>
          <w:sz w:val="20"/>
          <w:szCs w:val="20"/>
          <w:lang w:val="en-GB"/>
        </w:rPr>
      </w:pPr>
      <w:r w:rsidRPr="0086281A">
        <w:rPr>
          <w:rFonts w:ascii="Calibri" w:hAnsi="Calibri"/>
          <w:sz w:val="20"/>
          <w:szCs w:val="20"/>
          <w:lang w:val="en-GB"/>
        </w:rPr>
        <w:lastRenderedPageBreak/>
        <w:t xml:space="preserve">mGFR: measured Glomerular Filtration Rate; </w:t>
      </w:r>
      <w:r w:rsidR="009E05D2" w:rsidRPr="0086281A">
        <w:rPr>
          <w:rFonts w:ascii="Calibri" w:hAnsi="Calibri"/>
          <w:sz w:val="20"/>
          <w:szCs w:val="20"/>
          <w:lang w:val="en-GB"/>
        </w:rPr>
        <w:t xml:space="preserve">eGFR: estimated Glomerular Filtration Rate; </w:t>
      </w:r>
      <w:r w:rsidRPr="0086281A">
        <w:rPr>
          <w:rFonts w:ascii="Calibri" w:hAnsi="Calibri"/>
          <w:sz w:val="20"/>
          <w:szCs w:val="20"/>
          <w:lang w:val="en-GB"/>
        </w:rPr>
        <w:t xml:space="preserve">MDRD: Modification Diet in Renal Disease; CKD-EPI: Chronic Kidney Disease Epidemiology; CG: Cockcroft &amp; Gault; </w:t>
      </w:r>
      <w:r w:rsidR="00794E4C">
        <w:rPr>
          <w:rFonts w:ascii="Calibri" w:hAnsi="Calibri"/>
          <w:sz w:val="20"/>
          <w:szCs w:val="20"/>
          <w:lang w:val="en-GB"/>
        </w:rPr>
        <w:t xml:space="preserve">ABW: Actual Body Weight; </w:t>
      </w:r>
      <w:r w:rsidRPr="0086281A">
        <w:rPr>
          <w:rFonts w:ascii="Calibri" w:hAnsi="Calibri"/>
          <w:sz w:val="20"/>
          <w:szCs w:val="20"/>
          <w:lang w:val="en-GB"/>
        </w:rPr>
        <w:t>AI</w:t>
      </w:r>
      <w:r w:rsidR="003F4022" w:rsidRPr="0086281A">
        <w:rPr>
          <w:rFonts w:ascii="Calibri" w:hAnsi="Calibri"/>
          <w:sz w:val="20"/>
          <w:szCs w:val="20"/>
          <w:lang w:val="en-GB"/>
        </w:rPr>
        <w:t>BW: Adjusted Ideal Body Weight</w:t>
      </w:r>
    </w:p>
    <w:p w:rsidR="007C0E2E" w:rsidRPr="0086281A" w:rsidRDefault="007C0E2E" w:rsidP="007C0E2E">
      <w:pPr>
        <w:ind w:left="142"/>
        <w:rPr>
          <w:rFonts w:ascii="Calibri" w:hAnsi="Calibri"/>
          <w:sz w:val="20"/>
          <w:szCs w:val="20"/>
          <w:lang w:val="en-GB"/>
        </w:rPr>
      </w:pPr>
    </w:p>
    <w:p w:rsidR="00B65ED8" w:rsidRPr="0086281A" w:rsidRDefault="00B65ED8" w:rsidP="001559CC">
      <w:pPr>
        <w:pStyle w:val="Commentaire"/>
        <w:rPr>
          <w:rFonts w:ascii="Calibri" w:hAnsi="Calibri"/>
          <w:sz w:val="24"/>
          <w:szCs w:val="24"/>
          <w:lang w:val="en-GB"/>
        </w:rPr>
      </w:pPr>
      <w:r w:rsidRPr="0086281A">
        <w:rPr>
          <w:rFonts w:ascii="Calibri" w:hAnsi="Calibri"/>
          <w:b/>
          <w:sz w:val="24"/>
          <w:szCs w:val="24"/>
          <w:lang w:val="en-GB"/>
        </w:rPr>
        <w:t xml:space="preserve">Table </w:t>
      </w:r>
      <w:r w:rsidR="003574DE" w:rsidRPr="0086281A">
        <w:rPr>
          <w:rFonts w:ascii="Calibri" w:hAnsi="Calibri"/>
          <w:b/>
          <w:sz w:val="24"/>
          <w:szCs w:val="24"/>
          <w:lang w:val="en-GB"/>
        </w:rPr>
        <w:t>3</w:t>
      </w:r>
      <w:r w:rsidRPr="0086281A">
        <w:rPr>
          <w:rFonts w:ascii="Calibri" w:hAnsi="Calibri"/>
          <w:b/>
          <w:sz w:val="24"/>
          <w:szCs w:val="24"/>
          <w:lang w:val="en-GB"/>
        </w:rPr>
        <w:t>.</w:t>
      </w:r>
      <w:r w:rsidR="003574DE" w:rsidRPr="0086281A">
        <w:rPr>
          <w:rFonts w:ascii="Calibri" w:hAnsi="Calibri"/>
          <w:b/>
          <w:sz w:val="24"/>
          <w:szCs w:val="24"/>
          <w:lang w:val="en-GB"/>
        </w:rPr>
        <w:t xml:space="preserve"> </w:t>
      </w:r>
      <w:r w:rsidR="00E27A38" w:rsidRPr="0086281A">
        <w:rPr>
          <w:rFonts w:ascii="Calibri" w:hAnsi="Calibri"/>
          <w:sz w:val="24"/>
          <w:szCs w:val="24"/>
          <w:lang w:val="en-GB"/>
        </w:rPr>
        <w:t>Percentage of patient</w:t>
      </w:r>
      <w:r w:rsidR="00A5785D">
        <w:rPr>
          <w:rFonts w:ascii="Calibri" w:hAnsi="Calibri"/>
          <w:sz w:val="24"/>
          <w:szCs w:val="24"/>
          <w:lang w:val="en-GB"/>
        </w:rPr>
        <w:t>s</w:t>
      </w:r>
      <w:r w:rsidR="00E27A38" w:rsidRPr="0086281A">
        <w:rPr>
          <w:rFonts w:ascii="Calibri" w:hAnsi="Calibri"/>
          <w:sz w:val="24"/>
          <w:szCs w:val="24"/>
          <w:lang w:val="en-GB"/>
        </w:rPr>
        <w:t xml:space="preserve"> in the different CKD groups depending on the type of equations used</w:t>
      </w:r>
      <w:r w:rsidR="00453660" w:rsidRPr="0086281A">
        <w:rPr>
          <w:rFonts w:ascii="Calibri" w:hAnsi="Calibri"/>
          <w:sz w:val="24"/>
          <w:szCs w:val="24"/>
          <w:lang w:val="en-GB"/>
        </w:rPr>
        <w:t xml:space="preserve"> </w:t>
      </w:r>
      <w:r w:rsidR="00841098" w:rsidRPr="0086281A">
        <w:rPr>
          <w:rFonts w:ascii="Calibri" w:hAnsi="Calibri"/>
          <w:sz w:val="24"/>
          <w:szCs w:val="24"/>
          <w:lang w:val="en-GB"/>
        </w:rPr>
        <w:t>and misclassification associated</w:t>
      </w:r>
      <w:r w:rsidR="00A5785D">
        <w:rPr>
          <w:rFonts w:ascii="Calibri" w:hAnsi="Calibri"/>
          <w:sz w:val="24"/>
          <w:szCs w:val="24"/>
          <w:lang w:val="en-GB"/>
        </w:rPr>
        <w:t xml:space="preserve"> (eGFR over or under mGFR)</w:t>
      </w:r>
    </w:p>
    <w:p w:rsidR="006F6E8D" w:rsidRPr="0086281A" w:rsidRDefault="006F6E8D" w:rsidP="006F6E8D">
      <w:pPr>
        <w:pStyle w:val="Paragraphedeliste"/>
        <w:numPr>
          <w:ilvl w:val="0"/>
          <w:numId w:val="5"/>
        </w:numPr>
        <w:ind w:left="360"/>
        <w:rPr>
          <w:rFonts w:ascii="Calibri" w:hAnsi="Calibri" w:cs="Times"/>
          <w:lang w:val="en-GB"/>
        </w:rPr>
      </w:pPr>
      <w:r w:rsidRPr="0086281A">
        <w:rPr>
          <w:rFonts w:ascii="Calibri" w:hAnsi="Calibri" w:cs="Times"/>
          <w:lang w:val="en-GB"/>
        </w:rPr>
        <w:t>* If p &lt; 0.05 regarding CKD-EPI</w:t>
      </w:r>
      <w:r w:rsidRPr="0086281A">
        <w:rPr>
          <w:rFonts w:ascii="Calibri" w:hAnsi="Calibri" w:cs="Times"/>
          <w:vertAlign w:val="subscript"/>
          <w:lang w:val="en-GB"/>
        </w:rPr>
        <w:t>deindexed</w:t>
      </w:r>
      <w:r w:rsidRPr="0086281A">
        <w:rPr>
          <w:rFonts w:ascii="Calibri" w:hAnsi="Calibri" w:cs="Times"/>
          <w:lang w:val="en-GB"/>
        </w:rPr>
        <w:t xml:space="preserve"> equation</w:t>
      </w:r>
    </w:p>
    <w:p w:rsidR="006F6E8D" w:rsidRPr="0086281A" w:rsidRDefault="006F6E8D" w:rsidP="006F6E8D">
      <w:pPr>
        <w:pStyle w:val="Paragraphedeliste"/>
        <w:numPr>
          <w:ilvl w:val="0"/>
          <w:numId w:val="5"/>
        </w:numPr>
        <w:ind w:left="360"/>
        <w:rPr>
          <w:rFonts w:ascii="Calibri" w:hAnsi="Calibri" w:cs="Times"/>
          <w:lang w:val="en-GB"/>
        </w:rPr>
      </w:pPr>
      <w:r w:rsidRPr="0086281A">
        <w:rPr>
          <w:rFonts w:ascii="Calibri" w:hAnsi="Calibri" w:cs="Times"/>
          <w:lang w:val="en-GB"/>
        </w:rPr>
        <w:t>¥ If p &lt; 0.05 regarding MDRD</w:t>
      </w:r>
      <w:r w:rsidRPr="0086281A">
        <w:rPr>
          <w:rFonts w:ascii="Calibri" w:hAnsi="Calibri" w:cs="Times"/>
          <w:vertAlign w:val="subscript"/>
          <w:lang w:val="en-GB"/>
        </w:rPr>
        <w:t>deindexed</w:t>
      </w:r>
      <w:r w:rsidRPr="0086281A">
        <w:rPr>
          <w:rFonts w:ascii="Calibri" w:hAnsi="Calibri" w:cs="Times"/>
          <w:lang w:val="en-GB"/>
        </w:rPr>
        <w:t xml:space="preserve"> equation</w:t>
      </w:r>
    </w:p>
    <w:p w:rsidR="006F6E8D" w:rsidRPr="0086281A" w:rsidRDefault="006F6E8D" w:rsidP="001559CC">
      <w:pPr>
        <w:pStyle w:val="Paragraphedeliste"/>
        <w:numPr>
          <w:ilvl w:val="0"/>
          <w:numId w:val="5"/>
        </w:numPr>
        <w:ind w:left="360"/>
        <w:rPr>
          <w:rFonts w:ascii="Calibri" w:hAnsi="Calibri" w:cs="Times"/>
          <w:lang w:val="en-GB"/>
        </w:rPr>
      </w:pPr>
      <w:r w:rsidRPr="0086281A">
        <w:rPr>
          <w:rFonts w:ascii="Calibri" w:hAnsi="Calibri" w:cs="Times"/>
          <w:lang w:val="en-GB"/>
        </w:rPr>
        <w:t>† If p &lt; 0.05 regarding CG</w:t>
      </w:r>
      <w:r w:rsidRPr="0086281A">
        <w:rPr>
          <w:rFonts w:ascii="Calibri" w:hAnsi="Calibri" w:cs="Times"/>
          <w:vertAlign w:val="subscript"/>
          <w:lang w:val="en-GB"/>
        </w:rPr>
        <w:t>AIBW</w:t>
      </w:r>
      <w:r w:rsidRPr="0086281A">
        <w:rPr>
          <w:rFonts w:ascii="Calibri" w:hAnsi="Calibri" w:cs="Times"/>
          <w:lang w:val="en-GB"/>
        </w:rPr>
        <w:t xml:space="preserve"> equation</w:t>
      </w:r>
    </w:p>
    <w:tbl>
      <w:tblPr>
        <w:tblStyle w:val="Grilledutableau"/>
        <w:tblW w:w="11482" w:type="dxa"/>
        <w:tblInd w:w="-1168" w:type="dxa"/>
        <w:tblLayout w:type="fixed"/>
        <w:tblLook w:val="04A0"/>
      </w:tblPr>
      <w:tblGrid>
        <w:gridCol w:w="709"/>
        <w:gridCol w:w="993"/>
        <w:gridCol w:w="1984"/>
        <w:gridCol w:w="2268"/>
        <w:gridCol w:w="2835"/>
        <w:gridCol w:w="2693"/>
      </w:tblGrid>
      <w:tr w:rsidR="006F6E8D" w:rsidRPr="0086281A" w:rsidTr="00113182">
        <w:trPr>
          <w:trHeight w:val="372"/>
        </w:trPr>
        <w:tc>
          <w:tcPr>
            <w:tcW w:w="709" w:type="dxa"/>
            <w:vMerge w:val="restart"/>
            <w:shd w:val="clear" w:color="auto" w:fill="8DB3E2" w:themeFill="text2" w:themeFillTint="66"/>
          </w:tcPr>
          <w:p w:rsidR="006F6E8D" w:rsidRPr="0086281A" w:rsidRDefault="006F6E8D" w:rsidP="005B25AF">
            <w:pPr>
              <w:jc w:val="center"/>
              <w:rPr>
                <w:rFonts w:ascii="Calibri" w:hAnsi="Calibri"/>
                <w:b/>
                <w:sz w:val="20"/>
                <w:szCs w:val="20"/>
                <w:lang w:val="en-GB"/>
              </w:rPr>
            </w:pPr>
            <w:r w:rsidRPr="0086281A">
              <w:rPr>
                <w:rFonts w:ascii="Calibri" w:hAnsi="Calibri"/>
                <w:b/>
                <w:sz w:val="20"/>
                <w:szCs w:val="20"/>
                <w:lang w:val="en-GB"/>
              </w:rPr>
              <w:t>CKD stage</w:t>
            </w:r>
          </w:p>
          <w:p w:rsidR="006F6E8D" w:rsidRPr="0086281A" w:rsidRDefault="006F6E8D" w:rsidP="005B25AF">
            <w:pPr>
              <w:jc w:val="center"/>
              <w:rPr>
                <w:rFonts w:ascii="Calibri" w:hAnsi="Calibri"/>
                <w:b/>
                <w:sz w:val="20"/>
                <w:szCs w:val="20"/>
                <w:lang w:val="en-GB"/>
              </w:rPr>
            </w:pPr>
          </w:p>
        </w:tc>
        <w:tc>
          <w:tcPr>
            <w:tcW w:w="993" w:type="dxa"/>
            <w:vMerge w:val="restart"/>
            <w:shd w:val="clear" w:color="auto" w:fill="auto"/>
          </w:tcPr>
          <w:p w:rsidR="006F6E8D" w:rsidRPr="0086281A" w:rsidRDefault="006F6E8D" w:rsidP="005B25AF">
            <w:pPr>
              <w:jc w:val="center"/>
              <w:rPr>
                <w:rFonts w:ascii="Calibri" w:hAnsi="Calibri"/>
                <w:b/>
                <w:sz w:val="20"/>
                <w:szCs w:val="20"/>
                <w:lang w:val="en-GB"/>
              </w:rPr>
            </w:pPr>
            <w:r w:rsidRPr="0086281A">
              <w:rPr>
                <w:rFonts w:ascii="Calibri" w:hAnsi="Calibri"/>
                <w:b/>
                <w:sz w:val="20"/>
                <w:szCs w:val="20"/>
                <w:lang w:val="en-GB"/>
              </w:rPr>
              <w:t>mGFR</w:t>
            </w:r>
          </w:p>
          <w:p w:rsidR="006F6E8D" w:rsidRPr="0086281A" w:rsidRDefault="006F6E8D" w:rsidP="005B25AF">
            <w:pPr>
              <w:jc w:val="center"/>
              <w:rPr>
                <w:rFonts w:ascii="Calibri" w:hAnsi="Calibri"/>
                <w:b/>
                <w:sz w:val="20"/>
                <w:szCs w:val="20"/>
                <w:lang w:val="en-GB"/>
              </w:rPr>
            </w:pPr>
            <w:r w:rsidRPr="0086281A">
              <w:rPr>
                <w:rFonts w:ascii="Calibri" w:hAnsi="Calibri"/>
                <w:b/>
                <w:sz w:val="20"/>
                <w:szCs w:val="20"/>
                <w:lang w:val="en-GB"/>
              </w:rPr>
              <w:t>n patients</w:t>
            </w:r>
          </w:p>
          <w:p w:rsidR="006F6E8D" w:rsidRPr="0086281A" w:rsidRDefault="006F6E8D" w:rsidP="005B25AF">
            <w:pPr>
              <w:jc w:val="center"/>
              <w:rPr>
                <w:rFonts w:ascii="Calibri" w:hAnsi="Calibri"/>
                <w:b/>
                <w:sz w:val="20"/>
                <w:szCs w:val="20"/>
                <w:lang w:val="en-GB"/>
              </w:rPr>
            </w:pPr>
            <w:r w:rsidRPr="0086281A">
              <w:rPr>
                <w:rFonts w:ascii="Calibri" w:hAnsi="Calibri"/>
                <w:b/>
                <w:sz w:val="20"/>
                <w:szCs w:val="20"/>
                <w:lang w:val="en-GB"/>
              </w:rPr>
              <w:t xml:space="preserve">(%) </w:t>
            </w:r>
            <w:r w:rsidR="00113182" w:rsidRPr="0086281A">
              <w:rPr>
                <w:rFonts w:ascii="Calibri" w:hAnsi="Calibri"/>
                <w:b/>
                <w:sz w:val="20"/>
                <w:szCs w:val="20"/>
                <w:vertAlign w:val="superscript"/>
                <w:lang w:val="en-GB"/>
              </w:rPr>
              <w:t>a</w:t>
            </w:r>
          </w:p>
        </w:tc>
        <w:tc>
          <w:tcPr>
            <w:tcW w:w="1984" w:type="dxa"/>
            <w:shd w:val="clear" w:color="auto" w:fill="auto"/>
          </w:tcPr>
          <w:p w:rsidR="006F6E8D" w:rsidRPr="0086281A" w:rsidRDefault="006F6E8D" w:rsidP="006F6E8D">
            <w:pPr>
              <w:jc w:val="center"/>
              <w:rPr>
                <w:rFonts w:ascii="Calibri" w:hAnsi="Calibri"/>
                <w:b/>
                <w:sz w:val="20"/>
                <w:szCs w:val="20"/>
                <w:lang w:val="en-GB"/>
              </w:rPr>
            </w:pPr>
            <w:r w:rsidRPr="0086281A">
              <w:rPr>
                <w:rFonts w:ascii="Calibri" w:hAnsi="Calibri" w:cs="Helvetica"/>
                <w:b/>
                <w:bCs/>
                <w:color w:val="141413"/>
                <w:sz w:val="20"/>
                <w:szCs w:val="20"/>
                <w:lang w:val="en-GB"/>
              </w:rPr>
              <w:t>Classified</w:t>
            </w:r>
            <w:r w:rsidRPr="0086281A">
              <w:rPr>
                <w:rFonts w:ascii="Calibri" w:hAnsi="Calibri"/>
                <w:b/>
                <w:sz w:val="20"/>
                <w:szCs w:val="20"/>
                <w:lang w:val="en-GB"/>
              </w:rPr>
              <w:t xml:space="preserve"> by</w:t>
            </w:r>
          </w:p>
          <w:p w:rsidR="006F6E8D" w:rsidRPr="0086281A" w:rsidRDefault="006F6E8D" w:rsidP="006F6E8D">
            <w:pPr>
              <w:jc w:val="center"/>
              <w:rPr>
                <w:rFonts w:ascii="Calibri" w:hAnsi="Calibri"/>
                <w:b/>
                <w:sz w:val="20"/>
                <w:szCs w:val="20"/>
                <w:vertAlign w:val="subscript"/>
                <w:lang w:val="en-GB"/>
              </w:rPr>
            </w:pPr>
            <w:r w:rsidRPr="0086281A">
              <w:rPr>
                <w:rFonts w:ascii="Calibri" w:hAnsi="Calibri"/>
                <w:b/>
                <w:sz w:val="20"/>
                <w:szCs w:val="20"/>
                <w:lang w:val="en-GB"/>
              </w:rPr>
              <w:t>CG</w:t>
            </w:r>
            <w:r w:rsidR="00794E4C" w:rsidRPr="00794E4C">
              <w:rPr>
                <w:rFonts w:ascii="Calibri" w:hAnsi="Calibri"/>
                <w:b/>
                <w:sz w:val="20"/>
                <w:szCs w:val="20"/>
                <w:vertAlign w:val="subscript"/>
                <w:lang w:val="en-GB"/>
              </w:rPr>
              <w:t>ABW</w:t>
            </w:r>
            <w:r w:rsidRPr="0086281A">
              <w:rPr>
                <w:rFonts w:ascii="Calibri" w:hAnsi="Calibri"/>
                <w:b/>
                <w:sz w:val="20"/>
                <w:szCs w:val="20"/>
                <w:lang w:val="en-GB"/>
              </w:rPr>
              <w:t xml:space="preserve"> in mGFR stage</w:t>
            </w:r>
          </w:p>
          <w:p w:rsidR="006F6E8D" w:rsidRPr="0086281A" w:rsidRDefault="006F6E8D" w:rsidP="006F6E8D">
            <w:pPr>
              <w:jc w:val="center"/>
              <w:rPr>
                <w:rFonts w:ascii="Calibri" w:hAnsi="Calibri"/>
                <w:b/>
                <w:sz w:val="20"/>
                <w:szCs w:val="20"/>
                <w:lang w:val="en-GB"/>
              </w:rPr>
            </w:pPr>
            <w:r w:rsidRPr="0086281A">
              <w:rPr>
                <w:rFonts w:ascii="Calibri" w:hAnsi="Calibri"/>
                <w:b/>
                <w:sz w:val="20"/>
                <w:szCs w:val="20"/>
                <w:lang w:val="en-GB"/>
              </w:rPr>
              <w:t>n patients</w:t>
            </w:r>
          </w:p>
          <w:p w:rsidR="006F6E8D" w:rsidRPr="0086281A" w:rsidRDefault="006F6E8D" w:rsidP="005B25AF">
            <w:pPr>
              <w:jc w:val="center"/>
              <w:rPr>
                <w:rFonts w:ascii="Calibri" w:hAnsi="Calibri"/>
                <w:b/>
                <w:sz w:val="20"/>
                <w:szCs w:val="20"/>
                <w:lang w:val="en-GB"/>
              </w:rPr>
            </w:pPr>
            <w:r w:rsidRPr="0086281A">
              <w:rPr>
                <w:rFonts w:ascii="Calibri" w:hAnsi="Calibri"/>
                <w:b/>
                <w:sz w:val="20"/>
                <w:szCs w:val="20"/>
                <w:lang w:val="en-GB"/>
              </w:rPr>
              <w:t>(%)</w:t>
            </w:r>
            <w:r w:rsidR="00113182" w:rsidRPr="0086281A">
              <w:rPr>
                <w:rFonts w:ascii="Calibri" w:hAnsi="Calibri"/>
                <w:b/>
                <w:sz w:val="20"/>
                <w:szCs w:val="20"/>
                <w:lang w:val="en-GB"/>
              </w:rPr>
              <w:t xml:space="preserve"> </w:t>
            </w:r>
            <w:r w:rsidR="00113182" w:rsidRPr="0086281A">
              <w:rPr>
                <w:rFonts w:ascii="Calibri" w:hAnsi="Calibri"/>
                <w:b/>
                <w:sz w:val="20"/>
                <w:szCs w:val="20"/>
                <w:vertAlign w:val="superscript"/>
                <w:lang w:val="en-GB"/>
              </w:rPr>
              <w:t>b</w:t>
            </w:r>
          </w:p>
        </w:tc>
        <w:tc>
          <w:tcPr>
            <w:tcW w:w="2268" w:type="dxa"/>
            <w:shd w:val="clear" w:color="auto" w:fill="auto"/>
          </w:tcPr>
          <w:p w:rsidR="006F6E8D" w:rsidRPr="0086281A" w:rsidRDefault="006F6E8D" w:rsidP="006F6E8D">
            <w:pPr>
              <w:jc w:val="center"/>
              <w:rPr>
                <w:rFonts w:ascii="Calibri" w:hAnsi="Calibri"/>
                <w:b/>
                <w:sz w:val="20"/>
                <w:szCs w:val="20"/>
                <w:lang w:val="en-GB"/>
              </w:rPr>
            </w:pPr>
            <w:r w:rsidRPr="0086281A">
              <w:rPr>
                <w:rFonts w:ascii="Calibri" w:hAnsi="Calibri" w:cs="Helvetica"/>
                <w:b/>
                <w:bCs/>
                <w:color w:val="141413"/>
                <w:sz w:val="20"/>
                <w:szCs w:val="20"/>
                <w:lang w:val="en-GB"/>
              </w:rPr>
              <w:t>Classified</w:t>
            </w:r>
            <w:r w:rsidRPr="0086281A">
              <w:rPr>
                <w:rFonts w:ascii="Calibri" w:hAnsi="Calibri"/>
                <w:b/>
                <w:sz w:val="20"/>
                <w:szCs w:val="20"/>
                <w:lang w:val="en-GB"/>
              </w:rPr>
              <w:t xml:space="preserve"> by</w:t>
            </w:r>
          </w:p>
          <w:p w:rsidR="006F6E8D" w:rsidRPr="0086281A" w:rsidRDefault="006F6E8D" w:rsidP="006F6E8D">
            <w:pPr>
              <w:jc w:val="center"/>
              <w:rPr>
                <w:rFonts w:ascii="Calibri" w:hAnsi="Calibri"/>
                <w:b/>
                <w:sz w:val="20"/>
                <w:szCs w:val="20"/>
                <w:vertAlign w:val="subscript"/>
                <w:lang w:val="en-GB"/>
              </w:rPr>
            </w:pPr>
            <w:r w:rsidRPr="0086281A">
              <w:rPr>
                <w:rFonts w:ascii="Calibri" w:hAnsi="Calibri"/>
                <w:b/>
                <w:sz w:val="20"/>
                <w:szCs w:val="20"/>
                <w:lang w:val="en-GB"/>
              </w:rPr>
              <w:t>CG</w:t>
            </w:r>
            <w:r w:rsidRPr="0086281A">
              <w:rPr>
                <w:rFonts w:ascii="Calibri" w:hAnsi="Calibri"/>
                <w:b/>
                <w:sz w:val="20"/>
                <w:szCs w:val="20"/>
                <w:vertAlign w:val="subscript"/>
                <w:lang w:val="en-GB"/>
              </w:rPr>
              <w:t xml:space="preserve">AIBW </w:t>
            </w:r>
            <w:r w:rsidRPr="0086281A">
              <w:rPr>
                <w:rFonts w:ascii="Calibri" w:hAnsi="Calibri"/>
                <w:b/>
                <w:sz w:val="20"/>
                <w:szCs w:val="20"/>
                <w:lang w:val="en-GB"/>
              </w:rPr>
              <w:t>in mGFR stage</w:t>
            </w:r>
          </w:p>
          <w:p w:rsidR="006F6E8D" w:rsidRPr="0086281A" w:rsidRDefault="006F6E8D" w:rsidP="006F6E8D">
            <w:pPr>
              <w:jc w:val="center"/>
              <w:rPr>
                <w:rFonts w:ascii="Calibri" w:hAnsi="Calibri"/>
                <w:b/>
                <w:sz w:val="20"/>
                <w:szCs w:val="20"/>
                <w:lang w:val="en-GB"/>
              </w:rPr>
            </w:pPr>
            <w:r w:rsidRPr="0086281A">
              <w:rPr>
                <w:rFonts w:ascii="Calibri" w:hAnsi="Calibri"/>
                <w:b/>
                <w:sz w:val="20"/>
                <w:szCs w:val="20"/>
                <w:lang w:val="en-GB"/>
              </w:rPr>
              <w:t>n patients</w:t>
            </w:r>
          </w:p>
          <w:p w:rsidR="006F6E8D" w:rsidRPr="0086281A" w:rsidRDefault="006F6E8D" w:rsidP="005B25AF">
            <w:pPr>
              <w:jc w:val="center"/>
              <w:rPr>
                <w:rFonts w:ascii="Calibri" w:hAnsi="Calibri"/>
                <w:b/>
                <w:sz w:val="20"/>
                <w:szCs w:val="20"/>
                <w:lang w:val="en-GB"/>
              </w:rPr>
            </w:pPr>
            <w:r w:rsidRPr="0086281A">
              <w:rPr>
                <w:rFonts w:ascii="Calibri" w:hAnsi="Calibri"/>
                <w:b/>
                <w:sz w:val="20"/>
                <w:szCs w:val="20"/>
                <w:lang w:val="en-GB"/>
              </w:rPr>
              <w:t>(%)</w:t>
            </w:r>
            <w:r w:rsidR="00113182" w:rsidRPr="0086281A">
              <w:rPr>
                <w:rFonts w:ascii="Calibri" w:hAnsi="Calibri"/>
                <w:b/>
                <w:sz w:val="20"/>
                <w:szCs w:val="20"/>
                <w:lang w:val="en-GB"/>
              </w:rPr>
              <w:t xml:space="preserve"> </w:t>
            </w:r>
            <w:r w:rsidR="00113182" w:rsidRPr="0086281A">
              <w:rPr>
                <w:rFonts w:ascii="Calibri" w:hAnsi="Calibri"/>
                <w:b/>
                <w:sz w:val="20"/>
                <w:szCs w:val="20"/>
                <w:vertAlign w:val="superscript"/>
                <w:lang w:val="en-GB"/>
              </w:rPr>
              <w:t>b</w:t>
            </w:r>
          </w:p>
        </w:tc>
        <w:tc>
          <w:tcPr>
            <w:tcW w:w="2835" w:type="dxa"/>
            <w:shd w:val="clear" w:color="auto" w:fill="auto"/>
          </w:tcPr>
          <w:p w:rsidR="006F6E8D" w:rsidRPr="0086281A" w:rsidRDefault="006F6E8D" w:rsidP="006F6E8D">
            <w:pPr>
              <w:jc w:val="center"/>
              <w:rPr>
                <w:rFonts w:ascii="Calibri" w:hAnsi="Calibri"/>
                <w:b/>
                <w:sz w:val="20"/>
                <w:szCs w:val="20"/>
                <w:lang w:val="en-GB"/>
              </w:rPr>
            </w:pPr>
            <w:r w:rsidRPr="0086281A">
              <w:rPr>
                <w:rFonts w:ascii="Calibri" w:hAnsi="Calibri" w:cs="Helvetica"/>
                <w:b/>
                <w:bCs/>
                <w:color w:val="141413"/>
                <w:sz w:val="20"/>
                <w:szCs w:val="20"/>
                <w:lang w:val="en-GB"/>
              </w:rPr>
              <w:t>Classified</w:t>
            </w:r>
            <w:r w:rsidRPr="0086281A">
              <w:rPr>
                <w:rFonts w:ascii="Calibri" w:hAnsi="Calibri"/>
                <w:b/>
                <w:sz w:val="20"/>
                <w:szCs w:val="20"/>
                <w:lang w:val="en-GB"/>
              </w:rPr>
              <w:t xml:space="preserve"> by</w:t>
            </w:r>
          </w:p>
          <w:p w:rsidR="006F6E8D" w:rsidRPr="0086281A" w:rsidRDefault="006F6E8D" w:rsidP="006F6E8D">
            <w:pPr>
              <w:jc w:val="center"/>
              <w:rPr>
                <w:rFonts w:ascii="Calibri" w:hAnsi="Calibri"/>
                <w:b/>
                <w:sz w:val="20"/>
                <w:szCs w:val="20"/>
                <w:vertAlign w:val="subscript"/>
                <w:lang w:val="en-GB"/>
              </w:rPr>
            </w:pPr>
            <w:r w:rsidRPr="0086281A">
              <w:rPr>
                <w:rFonts w:ascii="Calibri" w:hAnsi="Calibri"/>
                <w:b/>
                <w:sz w:val="20"/>
                <w:szCs w:val="20"/>
                <w:lang w:val="en-GB"/>
              </w:rPr>
              <w:t xml:space="preserve">CKD-EPI </w:t>
            </w:r>
            <w:r w:rsidRPr="0086281A">
              <w:rPr>
                <w:rFonts w:ascii="Calibri" w:hAnsi="Calibri"/>
                <w:b/>
                <w:sz w:val="20"/>
                <w:szCs w:val="20"/>
                <w:vertAlign w:val="subscript"/>
                <w:lang w:val="en-GB"/>
              </w:rPr>
              <w:t xml:space="preserve">deindexed </w:t>
            </w:r>
            <w:r w:rsidRPr="0086281A">
              <w:rPr>
                <w:rFonts w:ascii="Calibri" w:hAnsi="Calibri"/>
                <w:b/>
                <w:sz w:val="20"/>
                <w:szCs w:val="20"/>
                <w:lang w:val="en-GB"/>
              </w:rPr>
              <w:t>in mGFR stage</w:t>
            </w:r>
          </w:p>
          <w:p w:rsidR="006F6E8D" w:rsidRPr="0086281A" w:rsidRDefault="006F6E8D" w:rsidP="006F6E8D">
            <w:pPr>
              <w:jc w:val="center"/>
              <w:rPr>
                <w:rFonts w:ascii="Calibri" w:hAnsi="Calibri"/>
                <w:b/>
                <w:sz w:val="20"/>
                <w:szCs w:val="20"/>
                <w:lang w:val="en-GB"/>
              </w:rPr>
            </w:pPr>
            <w:r w:rsidRPr="0086281A">
              <w:rPr>
                <w:rFonts w:ascii="Calibri" w:hAnsi="Calibri"/>
                <w:b/>
                <w:sz w:val="20"/>
                <w:szCs w:val="20"/>
                <w:lang w:val="en-GB"/>
              </w:rPr>
              <w:t>n patients</w:t>
            </w:r>
          </w:p>
          <w:p w:rsidR="006F6E8D" w:rsidRPr="0086281A" w:rsidRDefault="006F6E8D" w:rsidP="005B25AF">
            <w:pPr>
              <w:jc w:val="center"/>
              <w:rPr>
                <w:rFonts w:ascii="Calibri" w:hAnsi="Calibri"/>
                <w:b/>
                <w:sz w:val="20"/>
                <w:szCs w:val="20"/>
                <w:lang w:val="en-GB"/>
              </w:rPr>
            </w:pPr>
            <w:r w:rsidRPr="0086281A">
              <w:rPr>
                <w:rFonts w:ascii="Calibri" w:hAnsi="Calibri"/>
                <w:b/>
                <w:sz w:val="20"/>
                <w:szCs w:val="20"/>
                <w:lang w:val="en-GB"/>
              </w:rPr>
              <w:t>(%)</w:t>
            </w:r>
            <w:r w:rsidR="00113182" w:rsidRPr="0086281A">
              <w:rPr>
                <w:rFonts w:ascii="Calibri" w:hAnsi="Calibri"/>
                <w:b/>
                <w:sz w:val="20"/>
                <w:szCs w:val="20"/>
                <w:lang w:val="en-GB"/>
              </w:rPr>
              <w:t xml:space="preserve"> </w:t>
            </w:r>
            <w:r w:rsidR="00113182" w:rsidRPr="0086281A">
              <w:rPr>
                <w:rFonts w:ascii="Calibri" w:hAnsi="Calibri"/>
                <w:b/>
                <w:sz w:val="20"/>
                <w:szCs w:val="20"/>
                <w:vertAlign w:val="superscript"/>
                <w:lang w:val="en-GB"/>
              </w:rPr>
              <w:t>b</w:t>
            </w:r>
          </w:p>
        </w:tc>
        <w:tc>
          <w:tcPr>
            <w:tcW w:w="2693" w:type="dxa"/>
            <w:shd w:val="clear" w:color="auto" w:fill="auto"/>
          </w:tcPr>
          <w:p w:rsidR="006F6E8D" w:rsidRPr="0086281A" w:rsidRDefault="006F6E8D" w:rsidP="006F6E8D">
            <w:pPr>
              <w:jc w:val="center"/>
              <w:rPr>
                <w:rFonts w:ascii="Calibri" w:hAnsi="Calibri"/>
                <w:b/>
                <w:sz w:val="20"/>
                <w:szCs w:val="20"/>
                <w:lang w:val="en-GB"/>
              </w:rPr>
            </w:pPr>
            <w:r w:rsidRPr="0086281A">
              <w:rPr>
                <w:rFonts w:ascii="Calibri" w:hAnsi="Calibri" w:cs="Helvetica"/>
                <w:b/>
                <w:bCs/>
                <w:color w:val="141413"/>
                <w:sz w:val="20"/>
                <w:szCs w:val="20"/>
                <w:lang w:val="en-GB"/>
              </w:rPr>
              <w:t>Classified</w:t>
            </w:r>
            <w:r w:rsidRPr="0086281A">
              <w:rPr>
                <w:rFonts w:ascii="Calibri" w:hAnsi="Calibri"/>
                <w:b/>
                <w:sz w:val="20"/>
                <w:szCs w:val="20"/>
                <w:lang w:val="en-GB"/>
              </w:rPr>
              <w:t xml:space="preserve"> by</w:t>
            </w:r>
          </w:p>
          <w:p w:rsidR="006F6E8D" w:rsidRPr="0086281A" w:rsidRDefault="006F6E8D" w:rsidP="006F6E8D">
            <w:pPr>
              <w:jc w:val="center"/>
              <w:rPr>
                <w:rFonts w:ascii="Calibri" w:hAnsi="Calibri"/>
                <w:b/>
                <w:sz w:val="20"/>
                <w:szCs w:val="20"/>
                <w:vertAlign w:val="subscript"/>
                <w:lang w:val="en-GB"/>
              </w:rPr>
            </w:pPr>
            <w:r w:rsidRPr="0086281A">
              <w:rPr>
                <w:rFonts w:ascii="Calibri" w:hAnsi="Calibri"/>
                <w:b/>
                <w:sz w:val="20"/>
                <w:szCs w:val="20"/>
                <w:lang w:val="en-GB"/>
              </w:rPr>
              <w:t>MDRD</w:t>
            </w:r>
            <w:r w:rsidRPr="0086281A">
              <w:rPr>
                <w:rFonts w:ascii="Calibri" w:hAnsi="Calibri"/>
                <w:b/>
                <w:sz w:val="20"/>
                <w:szCs w:val="20"/>
                <w:vertAlign w:val="subscript"/>
                <w:lang w:val="en-GB"/>
              </w:rPr>
              <w:t xml:space="preserve"> deindexed </w:t>
            </w:r>
            <w:r w:rsidRPr="0086281A">
              <w:rPr>
                <w:rFonts w:ascii="Calibri" w:hAnsi="Calibri"/>
                <w:b/>
                <w:sz w:val="20"/>
                <w:szCs w:val="20"/>
                <w:lang w:val="en-GB"/>
              </w:rPr>
              <w:t>in mGFR stage</w:t>
            </w:r>
          </w:p>
          <w:p w:rsidR="006F6E8D" w:rsidRPr="0086281A" w:rsidRDefault="006F6E8D" w:rsidP="006F6E8D">
            <w:pPr>
              <w:jc w:val="center"/>
              <w:rPr>
                <w:rFonts w:ascii="Calibri" w:hAnsi="Calibri"/>
                <w:b/>
                <w:sz w:val="20"/>
                <w:szCs w:val="20"/>
                <w:lang w:val="en-GB"/>
              </w:rPr>
            </w:pPr>
            <w:r w:rsidRPr="0086281A">
              <w:rPr>
                <w:rFonts w:ascii="Calibri" w:hAnsi="Calibri"/>
                <w:b/>
                <w:sz w:val="20"/>
                <w:szCs w:val="20"/>
                <w:lang w:val="en-GB"/>
              </w:rPr>
              <w:t>n patients</w:t>
            </w:r>
          </w:p>
          <w:p w:rsidR="006F6E8D" w:rsidRPr="0086281A" w:rsidRDefault="006F6E8D" w:rsidP="005B25AF">
            <w:pPr>
              <w:jc w:val="center"/>
              <w:rPr>
                <w:rFonts w:ascii="Calibri" w:hAnsi="Calibri"/>
                <w:b/>
                <w:sz w:val="20"/>
                <w:szCs w:val="20"/>
                <w:lang w:val="en-GB"/>
              </w:rPr>
            </w:pPr>
            <w:r w:rsidRPr="0086281A">
              <w:rPr>
                <w:rFonts w:ascii="Calibri" w:hAnsi="Calibri"/>
                <w:b/>
                <w:sz w:val="20"/>
                <w:szCs w:val="20"/>
                <w:lang w:val="en-GB"/>
              </w:rPr>
              <w:t>(%)</w:t>
            </w:r>
            <w:r w:rsidR="00113182" w:rsidRPr="0086281A">
              <w:rPr>
                <w:rFonts w:ascii="Calibri" w:hAnsi="Calibri"/>
                <w:b/>
                <w:sz w:val="20"/>
                <w:szCs w:val="20"/>
                <w:lang w:val="en-GB"/>
              </w:rPr>
              <w:t xml:space="preserve"> </w:t>
            </w:r>
            <w:r w:rsidR="00113182" w:rsidRPr="0086281A">
              <w:rPr>
                <w:rFonts w:ascii="Calibri" w:hAnsi="Calibri"/>
                <w:b/>
                <w:sz w:val="20"/>
                <w:szCs w:val="20"/>
                <w:vertAlign w:val="superscript"/>
                <w:lang w:val="en-GB"/>
              </w:rPr>
              <w:t>b</w:t>
            </w:r>
          </w:p>
        </w:tc>
      </w:tr>
      <w:tr w:rsidR="008C22DE" w:rsidRPr="0086281A" w:rsidTr="00113182">
        <w:trPr>
          <w:trHeight w:val="71"/>
        </w:trPr>
        <w:tc>
          <w:tcPr>
            <w:tcW w:w="709" w:type="dxa"/>
            <w:vMerge/>
            <w:shd w:val="clear" w:color="auto" w:fill="8DB3E2" w:themeFill="text2" w:themeFillTint="66"/>
          </w:tcPr>
          <w:p w:rsidR="008C22DE" w:rsidRPr="0086281A" w:rsidRDefault="008C22DE" w:rsidP="005B25AF">
            <w:pPr>
              <w:jc w:val="center"/>
              <w:rPr>
                <w:rFonts w:ascii="Calibri" w:hAnsi="Calibri"/>
                <w:b/>
                <w:sz w:val="20"/>
                <w:szCs w:val="20"/>
                <w:lang w:val="en-GB"/>
              </w:rPr>
            </w:pPr>
          </w:p>
        </w:tc>
        <w:tc>
          <w:tcPr>
            <w:tcW w:w="993" w:type="dxa"/>
            <w:vMerge/>
            <w:shd w:val="clear" w:color="auto" w:fill="auto"/>
          </w:tcPr>
          <w:p w:rsidR="008C22DE" w:rsidRPr="0086281A" w:rsidRDefault="008C22DE" w:rsidP="005B25AF">
            <w:pPr>
              <w:jc w:val="center"/>
              <w:rPr>
                <w:rFonts w:ascii="Calibri" w:hAnsi="Calibri"/>
                <w:b/>
                <w:sz w:val="20"/>
                <w:szCs w:val="20"/>
                <w:lang w:val="en-GB"/>
              </w:rPr>
            </w:pPr>
          </w:p>
        </w:tc>
        <w:tc>
          <w:tcPr>
            <w:tcW w:w="9780" w:type="dxa"/>
            <w:gridSpan w:val="4"/>
            <w:shd w:val="clear" w:color="auto" w:fill="D9D9D9" w:themeFill="background1" w:themeFillShade="D9"/>
          </w:tcPr>
          <w:p w:rsidR="008C22DE" w:rsidRPr="0086281A" w:rsidRDefault="008C22DE" w:rsidP="005B25AF">
            <w:pPr>
              <w:jc w:val="center"/>
              <w:rPr>
                <w:rFonts w:ascii="Calibri" w:hAnsi="Calibri"/>
                <w:b/>
                <w:sz w:val="20"/>
                <w:szCs w:val="20"/>
                <w:lang w:val="en-GB"/>
              </w:rPr>
            </w:pPr>
            <w:r w:rsidRPr="0086281A">
              <w:rPr>
                <w:rFonts w:ascii="Calibri" w:hAnsi="Calibri"/>
                <w:b/>
                <w:sz w:val="20"/>
                <w:szCs w:val="20"/>
                <w:lang w:val="en-GB"/>
              </w:rPr>
              <w:t>mGFR regarding the eGFR</w:t>
            </w:r>
          </w:p>
          <w:p w:rsidR="008C22DE" w:rsidRPr="0086281A" w:rsidRDefault="008C22DE" w:rsidP="005B25AF">
            <w:pPr>
              <w:jc w:val="center"/>
              <w:rPr>
                <w:rFonts w:ascii="Calibri" w:hAnsi="Calibri"/>
                <w:b/>
                <w:sz w:val="20"/>
                <w:szCs w:val="20"/>
                <w:lang w:val="en-GB"/>
              </w:rPr>
            </w:pPr>
            <w:r w:rsidRPr="0086281A">
              <w:rPr>
                <w:rFonts w:ascii="Calibri" w:hAnsi="Calibri"/>
                <w:b/>
                <w:sz w:val="20"/>
                <w:szCs w:val="20"/>
                <w:lang w:val="en-GB"/>
              </w:rPr>
              <w:t>n patients</w:t>
            </w:r>
          </w:p>
          <w:p w:rsidR="008C22DE" w:rsidRPr="0086281A" w:rsidRDefault="008C22DE" w:rsidP="005B25AF">
            <w:pPr>
              <w:jc w:val="center"/>
              <w:rPr>
                <w:rFonts w:ascii="Calibri" w:hAnsi="Calibri"/>
                <w:b/>
                <w:sz w:val="20"/>
                <w:szCs w:val="20"/>
                <w:lang w:val="en-GB"/>
              </w:rPr>
            </w:pPr>
            <w:r w:rsidRPr="0086281A">
              <w:rPr>
                <w:rFonts w:ascii="Calibri" w:hAnsi="Calibri"/>
                <w:b/>
                <w:sz w:val="20"/>
                <w:szCs w:val="20"/>
                <w:lang w:val="en-GB"/>
              </w:rPr>
              <w:t>(%)</w:t>
            </w:r>
            <w:r w:rsidR="00113182" w:rsidRPr="0086281A">
              <w:rPr>
                <w:rFonts w:ascii="Calibri" w:hAnsi="Calibri"/>
                <w:b/>
                <w:sz w:val="20"/>
                <w:szCs w:val="20"/>
                <w:lang w:val="en-GB"/>
              </w:rPr>
              <w:t xml:space="preserve"> </w:t>
            </w:r>
            <w:r w:rsidR="00113182" w:rsidRPr="0086281A">
              <w:rPr>
                <w:rFonts w:ascii="Calibri" w:hAnsi="Calibri"/>
                <w:b/>
                <w:sz w:val="20"/>
                <w:szCs w:val="20"/>
                <w:vertAlign w:val="superscript"/>
                <w:lang w:val="en-GB"/>
              </w:rPr>
              <w:t>b</w:t>
            </w:r>
          </w:p>
        </w:tc>
      </w:tr>
      <w:tr w:rsidR="00C32CA4" w:rsidRPr="0086281A" w:rsidTr="00113182">
        <w:trPr>
          <w:trHeight w:val="182"/>
        </w:trPr>
        <w:tc>
          <w:tcPr>
            <w:tcW w:w="709" w:type="dxa"/>
            <w:vMerge w:val="restart"/>
            <w:shd w:val="clear" w:color="auto" w:fill="8DB3E2" w:themeFill="text2" w:themeFillTint="66"/>
          </w:tcPr>
          <w:p w:rsidR="00C32CA4" w:rsidRPr="0086281A" w:rsidRDefault="00C32CA4" w:rsidP="005B25AF">
            <w:pPr>
              <w:jc w:val="center"/>
              <w:rPr>
                <w:rFonts w:ascii="Calibri" w:hAnsi="Calibri"/>
                <w:i/>
                <w:sz w:val="20"/>
                <w:szCs w:val="20"/>
                <w:lang w:val="en-GB"/>
              </w:rPr>
            </w:pPr>
            <w:r w:rsidRPr="0086281A">
              <w:rPr>
                <w:rFonts w:ascii="Calibri" w:hAnsi="Calibri"/>
                <w:i/>
                <w:sz w:val="20"/>
                <w:szCs w:val="20"/>
                <w:lang w:val="en-GB"/>
              </w:rPr>
              <w:t>Stage 5</w:t>
            </w:r>
          </w:p>
          <w:p w:rsidR="00C32CA4" w:rsidRPr="0086281A" w:rsidRDefault="00C32CA4" w:rsidP="005B25AF">
            <w:pPr>
              <w:jc w:val="center"/>
              <w:rPr>
                <w:rFonts w:ascii="Calibri" w:hAnsi="Calibri"/>
                <w:i/>
                <w:sz w:val="20"/>
                <w:szCs w:val="20"/>
                <w:lang w:val="en-GB"/>
              </w:rPr>
            </w:pPr>
          </w:p>
        </w:tc>
        <w:tc>
          <w:tcPr>
            <w:tcW w:w="993" w:type="dxa"/>
            <w:vMerge w:val="restart"/>
            <w:shd w:val="clear" w:color="auto" w:fill="auto"/>
          </w:tcPr>
          <w:p w:rsidR="00C32CA4" w:rsidRPr="0086281A" w:rsidRDefault="00C32CA4" w:rsidP="005B25AF">
            <w:pPr>
              <w:jc w:val="center"/>
              <w:rPr>
                <w:rFonts w:ascii="Calibri" w:hAnsi="Calibri"/>
                <w:sz w:val="20"/>
                <w:szCs w:val="20"/>
                <w:lang w:val="en-GB"/>
              </w:rPr>
            </w:pPr>
            <w:r w:rsidRPr="0086281A">
              <w:rPr>
                <w:rFonts w:ascii="Calibri" w:hAnsi="Calibri"/>
                <w:sz w:val="20"/>
                <w:szCs w:val="20"/>
                <w:lang w:val="en-GB"/>
              </w:rPr>
              <w:t>5</w:t>
            </w:r>
          </w:p>
          <w:p w:rsidR="00C32CA4" w:rsidRPr="0086281A" w:rsidRDefault="00C32CA4" w:rsidP="005B25AF">
            <w:pPr>
              <w:jc w:val="center"/>
              <w:rPr>
                <w:rFonts w:ascii="Calibri" w:hAnsi="Calibri"/>
                <w:sz w:val="20"/>
                <w:szCs w:val="20"/>
                <w:lang w:val="en-GB"/>
              </w:rPr>
            </w:pPr>
            <w:r w:rsidRPr="0086281A">
              <w:rPr>
                <w:rFonts w:ascii="Calibri" w:hAnsi="Calibri"/>
                <w:sz w:val="20"/>
                <w:szCs w:val="20"/>
                <w:lang w:val="en-GB"/>
              </w:rPr>
              <w:t>(1.4%)</w:t>
            </w:r>
          </w:p>
        </w:tc>
        <w:tc>
          <w:tcPr>
            <w:tcW w:w="1984" w:type="dxa"/>
            <w:shd w:val="clear" w:color="auto" w:fill="auto"/>
          </w:tcPr>
          <w:p w:rsidR="00C32CA4" w:rsidRPr="0086281A" w:rsidRDefault="00C32CA4" w:rsidP="005B25AF">
            <w:pPr>
              <w:jc w:val="center"/>
              <w:rPr>
                <w:rFonts w:ascii="Calibri" w:hAnsi="Calibri"/>
                <w:sz w:val="20"/>
                <w:szCs w:val="20"/>
                <w:lang w:val="en-GB"/>
              </w:rPr>
            </w:pPr>
            <w:r w:rsidRPr="0086281A">
              <w:rPr>
                <w:rFonts w:ascii="Calibri" w:hAnsi="Calibri"/>
                <w:sz w:val="20"/>
                <w:szCs w:val="20"/>
                <w:lang w:val="en-GB"/>
              </w:rPr>
              <w:t xml:space="preserve">1 </w:t>
            </w:r>
          </w:p>
          <w:p w:rsidR="00C32CA4" w:rsidRPr="0086281A" w:rsidRDefault="00C32CA4" w:rsidP="005B25AF">
            <w:pPr>
              <w:jc w:val="center"/>
              <w:rPr>
                <w:rFonts w:ascii="Calibri" w:hAnsi="Calibri"/>
                <w:sz w:val="20"/>
                <w:szCs w:val="20"/>
                <w:lang w:val="en-GB"/>
              </w:rPr>
            </w:pPr>
            <w:r w:rsidRPr="0086281A">
              <w:rPr>
                <w:rFonts w:ascii="Calibri" w:hAnsi="Calibri"/>
                <w:sz w:val="20"/>
                <w:szCs w:val="20"/>
                <w:lang w:val="en-GB"/>
              </w:rPr>
              <w:t>(20%)</w:t>
            </w:r>
          </w:p>
        </w:tc>
        <w:tc>
          <w:tcPr>
            <w:tcW w:w="2268" w:type="dxa"/>
            <w:shd w:val="clear" w:color="auto" w:fill="auto"/>
          </w:tcPr>
          <w:p w:rsidR="00C32CA4" w:rsidRPr="0086281A" w:rsidRDefault="00AB47E7" w:rsidP="005B25AF">
            <w:pPr>
              <w:jc w:val="center"/>
              <w:rPr>
                <w:rFonts w:ascii="Calibri" w:hAnsi="Calibri"/>
                <w:sz w:val="20"/>
                <w:szCs w:val="20"/>
                <w:lang w:val="en-GB"/>
              </w:rPr>
            </w:pPr>
            <w:r w:rsidRPr="0086281A">
              <w:rPr>
                <w:rFonts w:ascii="Calibri" w:hAnsi="Calibri"/>
                <w:sz w:val="20"/>
                <w:szCs w:val="20"/>
                <w:lang w:val="en-GB"/>
              </w:rPr>
              <w:t>2</w:t>
            </w:r>
          </w:p>
          <w:p w:rsidR="00C32CA4" w:rsidRPr="0086281A" w:rsidRDefault="00AB47E7" w:rsidP="005B25AF">
            <w:pPr>
              <w:jc w:val="center"/>
              <w:rPr>
                <w:rFonts w:ascii="Calibri" w:hAnsi="Calibri"/>
                <w:sz w:val="20"/>
                <w:szCs w:val="20"/>
                <w:lang w:val="en-GB"/>
              </w:rPr>
            </w:pPr>
            <w:r w:rsidRPr="0086281A">
              <w:rPr>
                <w:rFonts w:ascii="Calibri" w:hAnsi="Calibri"/>
                <w:sz w:val="20"/>
                <w:szCs w:val="20"/>
                <w:lang w:val="en-GB"/>
              </w:rPr>
              <w:t>(40</w:t>
            </w:r>
            <w:r w:rsidR="00C32CA4" w:rsidRPr="0086281A">
              <w:rPr>
                <w:rFonts w:ascii="Calibri" w:hAnsi="Calibri"/>
                <w:sz w:val="20"/>
                <w:szCs w:val="20"/>
                <w:lang w:val="en-GB"/>
              </w:rPr>
              <w:t>%)</w:t>
            </w:r>
          </w:p>
        </w:tc>
        <w:tc>
          <w:tcPr>
            <w:tcW w:w="2835" w:type="dxa"/>
            <w:shd w:val="clear" w:color="auto" w:fill="auto"/>
          </w:tcPr>
          <w:p w:rsidR="00C32CA4" w:rsidRPr="0086281A" w:rsidRDefault="00C32CA4" w:rsidP="005B25AF">
            <w:pPr>
              <w:jc w:val="center"/>
              <w:rPr>
                <w:rFonts w:ascii="Calibri" w:hAnsi="Calibri"/>
                <w:sz w:val="20"/>
                <w:szCs w:val="20"/>
                <w:lang w:val="en-GB"/>
              </w:rPr>
            </w:pPr>
            <w:r w:rsidRPr="0086281A">
              <w:rPr>
                <w:rFonts w:ascii="Calibri" w:hAnsi="Calibri"/>
                <w:sz w:val="20"/>
                <w:szCs w:val="20"/>
                <w:lang w:val="en-GB"/>
              </w:rPr>
              <w:t>3</w:t>
            </w:r>
          </w:p>
          <w:p w:rsidR="00C32CA4" w:rsidRPr="0086281A" w:rsidRDefault="00C32CA4" w:rsidP="005B25AF">
            <w:pPr>
              <w:jc w:val="center"/>
              <w:rPr>
                <w:rFonts w:ascii="Calibri" w:hAnsi="Calibri"/>
                <w:sz w:val="20"/>
                <w:szCs w:val="20"/>
                <w:lang w:val="en-GB"/>
              </w:rPr>
            </w:pPr>
            <w:r w:rsidRPr="0086281A">
              <w:rPr>
                <w:rFonts w:ascii="Calibri" w:hAnsi="Calibri"/>
                <w:sz w:val="20"/>
                <w:szCs w:val="20"/>
                <w:lang w:val="en-GB"/>
              </w:rPr>
              <w:t>(60%)</w:t>
            </w:r>
          </w:p>
        </w:tc>
        <w:tc>
          <w:tcPr>
            <w:tcW w:w="2693" w:type="dxa"/>
            <w:shd w:val="clear" w:color="auto" w:fill="auto"/>
          </w:tcPr>
          <w:p w:rsidR="00C32CA4" w:rsidRPr="0086281A" w:rsidRDefault="00C32CA4" w:rsidP="005B25AF">
            <w:pPr>
              <w:jc w:val="center"/>
              <w:rPr>
                <w:rFonts w:ascii="Calibri" w:hAnsi="Calibri"/>
                <w:sz w:val="20"/>
                <w:szCs w:val="20"/>
                <w:lang w:val="en-GB"/>
              </w:rPr>
            </w:pPr>
            <w:r w:rsidRPr="0086281A">
              <w:rPr>
                <w:rFonts w:ascii="Calibri" w:hAnsi="Calibri"/>
                <w:sz w:val="20"/>
                <w:szCs w:val="20"/>
                <w:lang w:val="en-GB"/>
              </w:rPr>
              <w:t>4</w:t>
            </w:r>
          </w:p>
          <w:p w:rsidR="00C32CA4" w:rsidRPr="0086281A" w:rsidRDefault="00C32CA4" w:rsidP="005B25AF">
            <w:pPr>
              <w:jc w:val="center"/>
              <w:rPr>
                <w:rFonts w:ascii="Calibri" w:hAnsi="Calibri"/>
                <w:sz w:val="20"/>
                <w:szCs w:val="20"/>
                <w:lang w:val="en-GB"/>
              </w:rPr>
            </w:pPr>
            <w:r w:rsidRPr="0086281A">
              <w:rPr>
                <w:rFonts w:ascii="Calibri" w:hAnsi="Calibri"/>
                <w:sz w:val="20"/>
                <w:szCs w:val="20"/>
                <w:lang w:val="en-GB"/>
              </w:rPr>
              <w:t>(80%)</w:t>
            </w:r>
          </w:p>
        </w:tc>
      </w:tr>
      <w:tr w:rsidR="00C32CA4" w:rsidRPr="0086281A" w:rsidTr="00C32CA4">
        <w:trPr>
          <w:trHeight w:val="300"/>
        </w:trPr>
        <w:tc>
          <w:tcPr>
            <w:tcW w:w="709" w:type="dxa"/>
            <w:vMerge/>
            <w:shd w:val="clear" w:color="auto" w:fill="8DB3E2" w:themeFill="text2" w:themeFillTint="66"/>
          </w:tcPr>
          <w:p w:rsidR="00C32CA4" w:rsidRPr="0086281A" w:rsidRDefault="00C32CA4" w:rsidP="005B25AF">
            <w:pPr>
              <w:jc w:val="center"/>
              <w:rPr>
                <w:rFonts w:ascii="Calibri" w:hAnsi="Calibri"/>
                <w:i/>
                <w:sz w:val="20"/>
                <w:szCs w:val="20"/>
                <w:lang w:val="en-GB"/>
              </w:rPr>
            </w:pPr>
          </w:p>
        </w:tc>
        <w:tc>
          <w:tcPr>
            <w:tcW w:w="993" w:type="dxa"/>
            <w:vMerge/>
            <w:shd w:val="clear" w:color="auto" w:fill="auto"/>
          </w:tcPr>
          <w:p w:rsidR="00C32CA4" w:rsidRPr="0086281A" w:rsidRDefault="00C32CA4" w:rsidP="005B25AF">
            <w:pPr>
              <w:jc w:val="center"/>
              <w:rPr>
                <w:rFonts w:ascii="Calibri" w:hAnsi="Calibri"/>
                <w:sz w:val="20"/>
                <w:szCs w:val="20"/>
                <w:lang w:val="en-GB"/>
              </w:rPr>
            </w:pPr>
          </w:p>
        </w:tc>
        <w:tc>
          <w:tcPr>
            <w:tcW w:w="9780" w:type="dxa"/>
            <w:gridSpan w:val="4"/>
            <w:shd w:val="clear" w:color="auto" w:fill="D9D9D9" w:themeFill="background1" w:themeFillShade="D9"/>
          </w:tcPr>
          <w:p w:rsidR="00C32CA4" w:rsidRPr="0086281A" w:rsidRDefault="00C32CA4" w:rsidP="00E47097">
            <w:pPr>
              <w:jc w:val="center"/>
              <w:rPr>
                <w:rFonts w:ascii="Calibri" w:hAnsi="Calibri"/>
                <w:sz w:val="20"/>
                <w:szCs w:val="20"/>
                <w:lang w:val="en-GB"/>
              </w:rPr>
            </w:pPr>
            <w:r w:rsidRPr="0086281A">
              <w:rPr>
                <w:rFonts w:ascii="Calibri" w:hAnsi="Calibri"/>
                <w:b/>
                <w:sz w:val="20"/>
                <w:szCs w:val="20"/>
                <w:lang w:val="en-GB"/>
              </w:rPr>
              <w:t>eGFR &gt; mGFR</w:t>
            </w:r>
          </w:p>
        </w:tc>
      </w:tr>
      <w:tr w:rsidR="00C32CA4" w:rsidRPr="0086281A" w:rsidTr="00113182">
        <w:trPr>
          <w:trHeight w:val="299"/>
        </w:trPr>
        <w:tc>
          <w:tcPr>
            <w:tcW w:w="709" w:type="dxa"/>
            <w:vMerge/>
            <w:shd w:val="clear" w:color="auto" w:fill="8DB3E2" w:themeFill="text2" w:themeFillTint="66"/>
          </w:tcPr>
          <w:p w:rsidR="00C32CA4" w:rsidRPr="0086281A" w:rsidRDefault="00C32CA4" w:rsidP="005B25AF">
            <w:pPr>
              <w:jc w:val="center"/>
              <w:rPr>
                <w:rFonts w:ascii="Calibri" w:hAnsi="Calibri"/>
                <w:i/>
                <w:sz w:val="20"/>
                <w:szCs w:val="20"/>
                <w:lang w:val="en-GB"/>
              </w:rPr>
            </w:pPr>
          </w:p>
        </w:tc>
        <w:tc>
          <w:tcPr>
            <w:tcW w:w="993" w:type="dxa"/>
            <w:vMerge/>
            <w:shd w:val="clear" w:color="auto" w:fill="auto"/>
          </w:tcPr>
          <w:p w:rsidR="00C32CA4" w:rsidRPr="0086281A" w:rsidRDefault="00C32CA4" w:rsidP="005B25AF">
            <w:pPr>
              <w:jc w:val="center"/>
              <w:rPr>
                <w:rFonts w:ascii="Calibri" w:hAnsi="Calibri"/>
                <w:sz w:val="20"/>
                <w:szCs w:val="20"/>
                <w:lang w:val="en-GB"/>
              </w:rPr>
            </w:pPr>
          </w:p>
        </w:tc>
        <w:tc>
          <w:tcPr>
            <w:tcW w:w="1984" w:type="dxa"/>
            <w:shd w:val="clear" w:color="auto" w:fill="D9D9D9" w:themeFill="background1" w:themeFillShade="D9"/>
          </w:tcPr>
          <w:p w:rsidR="00C32CA4" w:rsidRPr="0086281A" w:rsidRDefault="00C32CA4" w:rsidP="00C32CA4">
            <w:pPr>
              <w:jc w:val="center"/>
              <w:rPr>
                <w:rFonts w:ascii="Calibri" w:hAnsi="Calibri"/>
                <w:sz w:val="20"/>
                <w:szCs w:val="20"/>
                <w:lang w:val="en-GB"/>
              </w:rPr>
            </w:pPr>
            <w:r w:rsidRPr="0086281A">
              <w:rPr>
                <w:rFonts w:ascii="Calibri" w:hAnsi="Calibri"/>
                <w:sz w:val="20"/>
                <w:szCs w:val="20"/>
                <w:lang w:val="en-GB"/>
              </w:rPr>
              <w:t>4</w:t>
            </w:r>
          </w:p>
          <w:p w:rsidR="00C32CA4" w:rsidRPr="0086281A" w:rsidRDefault="00C32CA4" w:rsidP="00C32CA4">
            <w:pPr>
              <w:jc w:val="center"/>
              <w:rPr>
                <w:rFonts w:ascii="Calibri" w:hAnsi="Calibri"/>
                <w:b/>
                <w:sz w:val="20"/>
                <w:szCs w:val="20"/>
                <w:lang w:val="en-GB"/>
              </w:rPr>
            </w:pPr>
            <w:r w:rsidRPr="0086281A">
              <w:rPr>
                <w:rFonts w:ascii="Calibri" w:hAnsi="Calibri"/>
                <w:sz w:val="20"/>
                <w:szCs w:val="20"/>
                <w:lang w:val="en-GB"/>
              </w:rPr>
              <w:t>(80%)</w:t>
            </w:r>
          </w:p>
        </w:tc>
        <w:tc>
          <w:tcPr>
            <w:tcW w:w="2268" w:type="dxa"/>
            <w:shd w:val="clear" w:color="auto" w:fill="D9D9D9" w:themeFill="background1" w:themeFillShade="D9"/>
          </w:tcPr>
          <w:p w:rsidR="00C32CA4" w:rsidRPr="0086281A" w:rsidRDefault="00AB47E7" w:rsidP="00C32CA4">
            <w:pPr>
              <w:jc w:val="center"/>
              <w:rPr>
                <w:rFonts w:ascii="Calibri" w:hAnsi="Calibri"/>
                <w:sz w:val="20"/>
                <w:szCs w:val="20"/>
                <w:lang w:val="en-GB"/>
              </w:rPr>
            </w:pPr>
            <w:r w:rsidRPr="0086281A">
              <w:rPr>
                <w:rFonts w:ascii="Calibri" w:hAnsi="Calibri"/>
                <w:sz w:val="20"/>
                <w:szCs w:val="20"/>
                <w:lang w:val="en-GB"/>
              </w:rPr>
              <w:t>3</w:t>
            </w:r>
          </w:p>
          <w:p w:rsidR="00C32CA4" w:rsidRPr="0086281A" w:rsidRDefault="00AB47E7" w:rsidP="00C32CA4">
            <w:pPr>
              <w:jc w:val="center"/>
              <w:rPr>
                <w:rFonts w:ascii="Calibri" w:hAnsi="Calibri"/>
                <w:b/>
                <w:sz w:val="20"/>
                <w:szCs w:val="20"/>
                <w:lang w:val="en-GB"/>
              </w:rPr>
            </w:pPr>
            <w:r w:rsidRPr="0086281A">
              <w:rPr>
                <w:rFonts w:ascii="Calibri" w:hAnsi="Calibri"/>
                <w:sz w:val="20"/>
                <w:szCs w:val="20"/>
                <w:lang w:val="en-GB"/>
              </w:rPr>
              <w:t>(60</w:t>
            </w:r>
            <w:r w:rsidR="00C32CA4" w:rsidRPr="0086281A">
              <w:rPr>
                <w:rFonts w:ascii="Calibri" w:hAnsi="Calibri"/>
                <w:sz w:val="20"/>
                <w:szCs w:val="20"/>
                <w:lang w:val="en-GB"/>
              </w:rPr>
              <w:t>%)</w:t>
            </w:r>
          </w:p>
        </w:tc>
        <w:tc>
          <w:tcPr>
            <w:tcW w:w="2835" w:type="dxa"/>
            <w:shd w:val="clear" w:color="auto" w:fill="D9D9D9" w:themeFill="background1" w:themeFillShade="D9"/>
          </w:tcPr>
          <w:p w:rsidR="00C32CA4" w:rsidRPr="0086281A" w:rsidRDefault="00C32CA4" w:rsidP="00C32CA4">
            <w:pPr>
              <w:jc w:val="center"/>
              <w:rPr>
                <w:rFonts w:ascii="Calibri" w:hAnsi="Calibri"/>
                <w:sz w:val="20"/>
                <w:szCs w:val="20"/>
                <w:lang w:val="en-GB"/>
              </w:rPr>
            </w:pPr>
            <w:r w:rsidRPr="0086281A">
              <w:rPr>
                <w:rFonts w:ascii="Calibri" w:hAnsi="Calibri"/>
                <w:sz w:val="20"/>
                <w:szCs w:val="20"/>
                <w:lang w:val="en-GB"/>
              </w:rPr>
              <w:t>2</w:t>
            </w:r>
          </w:p>
          <w:p w:rsidR="00C32CA4" w:rsidRPr="0086281A" w:rsidRDefault="00C32CA4" w:rsidP="00C32CA4">
            <w:pPr>
              <w:jc w:val="center"/>
              <w:rPr>
                <w:rFonts w:ascii="Calibri" w:hAnsi="Calibri"/>
                <w:b/>
                <w:sz w:val="20"/>
                <w:szCs w:val="20"/>
                <w:lang w:val="en-GB"/>
              </w:rPr>
            </w:pPr>
            <w:r w:rsidRPr="0086281A">
              <w:rPr>
                <w:rFonts w:ascii="Calibri" w:hAnsi="Calibri"/>
                <w:sz w:val="20"/>
                <w:szCs w:val="20"/>
                <w:lang w:val="en-GB"/>
              </w:rPr>
              <w:t>(40%)</w:t>
            </w:r>
          </w:p>
        </w:tc>
        <w:tc>
          <w:tcPr>
            <w:tcW w:w="2693" w:type="dxa"/>
            <w:shd w:val="clear" w:color="auto" w:fill="D9D9D9" w:themeFill="background1" w:themeFillShade="D9"/>
          </w:tcPr>
          <w:p w:rsidR="00C32CA4" w:rsidRPr="0086281A" w:rsidRDefault="00C32CA4" w:rsidP="00C32CA4">
            <w:pPr>
              <w:jc w:val="center"/>
              <w:rPr>
                <w:rFonts w:ascii="Calibri" w:hAnsi="Calibri"/>
                <w:sz w:val="20"/>
                <w:szCs w:val="20"/>
                <w:lang w:val="en-GB"/>
              </w:rPr>
            </w:pPr>
            <w:r w:rsidRPr="0086281A">
              <w:rPr>
                <w:rFonts w:ascii="Calibri" w:hAnsi="Calibri"/>
                <w:sz w:val="20"/>
                <w:szCs w:val="20"/>
                <w:lang w:val="en-GB"/>
              </w:rPr>
              <w:t>1</w:t>
            </w:r>
          </w:p>
          <w:p w:rsidR="00C32CA4" w:rsidRPr="0086281A" w:rsidRDefault="00C32CA4" w:rsidP="00C32CA4">
            <w:pPr>
              <w:jc w:val="center"/>
              <w:rPr>
                <w:rFonts w:ascii="Calibri" w:hAnsi="Calibri"/>
                <w:b/>
                <w:sz w:val="20"/>
                <w:szCs w:val="20"/>
                <w:lang w:val="en-GB"/>
              </w:rPr>
            </w:pPr>
            <w:r w:rsidRPr="0086281A">
              <w:rPr>
                <w:rFonts w:ascii="Calibri" w:hAnsi="Calibri"/>
                <w:sz w:val="20"/>
                <w:szCs w:val="20"/>
                <w:lang w:val="en-GB"/>
              </w:rPr>
              <w:t>(20%)</w:t>
            </w:r>
          </w:p>
        </w:tc>
      </w:tr>
      <w:tr w:rsidR="00715DF1" w:rsidRPr="0086281A" w:rsidTr="00113182">
        <w:trPr>
          <w:trHeight w:val="182"/>
        </w:trPr>
        <w:tc>
          <w:tcPr>
            <w:tcW w:w="709" w:type="dxa"/>
            <w:vMerge w:val="restart"/>
            <w:shd w:val="clear" w:color="auto" w:fill="8DB3E2" w:themeFill="text2" w:themeFillTint="66"/>
          </w:tcPr>
          <w:p w:rsidR="00715DF1" w:rsidRPr="0086281A" w:rsidRDefault="00715DF1" w:rsidP="005B25AF">
            <w:pPr>
              <w:jc w:val="center"/>
              <w:rPr>
                <w:rFonts w:ascii="Calibri" w:hAnsi="Calibri"/>
                <w:i/>
                <w:sz w:val="20"/>
                <w:szCs w:val="20"/>
                <w:lang w:val="en-GB"/>
              </w:rPr>
            </w:pPr>
            <w:r w:rsidRPr="0086281A">
              <w:rPr>
                <w:rFonts w:ascii="Calibri" w:hAnsi="Calibri"/>
                <w:i/>
                <w:sz w:val="20"/>
                <w:szCs w:val="20"/>
                <w:lang w:val="en-GB"/>
              </w:rPr>
              <w:t>Stage 4</w:t>
            </w:r>
          </w:p>
          <w:p w:rsidR="00715DF1" w:rsidRPr="0086281A" w:rsidRDefault="00715DF1" w:rsidP="005B25AF">
            <w:pPr>
              <w:jc w:val="center"/>
              <w:rPr>
                <w:rFonts w:ascii="Calibri" w:hAnsi="Calibri"/>
                <w:i/>
                <w:sz w:val="20"/>
                <w:szCs w:val="20"/>
                <w:lang w:val="en-GB"/>
              </w:rPr>
            </w:pPr>
          </w:p>
        </w:tc>
        <w:tc>
          <w:tcPr>
            <w:tcW w:w="993" w:type="dxa"/>
            <w:vMerge w:val="restart"/>
            <w:shd w:val="clear" w:color="auto" w:fill="auto"/>
          </w:tcPr>
          <w:p w:rsidR="00715DF1" w:rsidRPr="0086281A" w:rsidRDefault="00715DF1" w:rsidP="005B25AF">
            <w:pPr>
              <w:jc w:val="center"/>
              <w:rPr>
                <w:rFonts w:ascii="Calibri" w:hAnsi="Calibri"/>
                <w:sz w:val="20"/>
                <w:szCs w:val="20"/>
                <w:lang w:val="en-GB"/>
              </w:rPr>
            </w:pPr>
            <w:r w:rsidRPr="0086281A">
              <w:rPr>
                <w:rFonts w:ascii="Calibri" w:hAnsi="Calibri"/>
                <w:sz w:val="20"/>
                <w:szCs w:val="20"/>
                <w:lang w:val="en-GB"/>
              </w:rPr>
              <w:t>44</w:t>
            </w:r>
          </w:p>
          <w:p w:rsidR="00715DF1" w:rsidRPr="0086281A" w:rsidRDefault="00715DF1" w:rsidP="005B25AF">
            <w:pPr>
              <w:jc w:val="center"/>
              <w:rPr>
                <w:rFonts w:ascii="Calibri" w:hAnsi="Calibri"/>
                <w:sz w:val="20"/>
                <w:szCs w:val="20"/>
                <w:lang w:val="en-GB"/>
              </w:rPr>
            </w:pPr>
            <w:r w:rsidRPr="0086281A">
              <w:rPr>
                <w:rFonts w:ascii="Calibri" w:hAnsi="Calibri"/>
                <w:sz w:val="20"/>
                <w:szCs w:val="20"/>
                <w:lang w:val="en-GB"/>
              </w:rPr>
              <w:t>(12%)</w:t>
            </w:r>
          </w:p>
        </w:tc>
        <w:tc>
          <w:tcPr>
            <w:tcW w:w="1984" w:type="dxa"/>
            <w:shd w:val="clear" w:color="auto" w:fill="auto"/>
          </w:tcPr>
          <w:p w:rsidR="00715DF1" w:rsidRPr="0086281A" w:rsidRDefault="00734173" w:rsidP="005B25AF">
            <w:pPr>
              <w:jc w:val="center"/>
              <w:rPr>
                <w:rFonts w:ascii="Calibri" w:hAnsi="Calibri"/>
                <w:sz w:val="20"/>
                <w:szCs w:val="20"/>
                <w:lang w:val="en-GB"/>
              </w:rPr>
            </w:pPr>
            <w:r w:rsidRPr="0086281A">
              <w:rPr>
                <w:rFonts w:ascii="Calibri" w:hAnsi="Calibri"/>
                <w:sz w:val="20"/>
                <w:szCs w:val="20"/>
                <w:lang w:val="en-GB"/>
              </w:rPr>
              <w:t>24</w:t>
            </w:r>
            <w:r w:rsidR="004C5E71" w:rsidRPr="0086281A">
              <w:rPr>
                <w:rFonts w:ascii="Calibri" w:hAnsi="Calibri"/>
                <w:sz w:val="20"/>
                <w:szCs w:val="20"/>
                <w:lang w:val="en-GB"/>
              </w:rPr>
              <w:t xml:space="preserve"> </w:t>
            </w:r>
            <w:r w:rsidR="004C5E71" w:rsidRPr="0086281A">
              <w:rPr>
                <w:rFonts w:ascii="Calibri" w:hAnsi="Calibri" w:cs="Times"/>
                <w:vertAlign w:val="superscript"/>
                <w:lang w:val="en-GB"/>
              </w:rPr>
              <w:t>†</w:t>
            </w:r>
          </w:p>
          <w:p w:rsidR="00715DF1" w:rsidRPr="0086281A" w:rsidRDefault="00715DF1" w:rsidP="00734173">
            <w:pPr>
              <w:jc w:val="center"/>
              <w:rPr>
                <w:rFonts w:ascii="Calibri" w:hAnsi="Calibri"/>
                <w:sz w:val="20"/>
                <w:szCs w:val="20"/>
                <w:lang w:val="en-GB"/>
              </w:rPr>
            </w:pPr>
            <w:r w:rsidRPr="0086281A">
              <w:rPr>
                <w:rFonts w:ascii="Calibri" w:hAnsi="Calibri"/>
                <w:sz w:val="20"/>
                <w:szCs w:val="20"/>
                <w:lang w:val="en-GB"/>
              </w:rPr>
              <w:t>(</w:t>
            </w:r>
            <w:r w:rsidR="00734173" w:rsidRPr="0086281A">
              <w:rPr>
                <w:rFonts w:ascii="Calibri" w:hAnsi="Calibri"/>
                <w:sz w:val="20"/>
                <w:szCs w:val="20"/>
                <w:lang w:val="en-GB"/>
              </w:rPr>
              <w:t>54.5</w:t>
            </w:r>
            <w:r w:rsidRPr="0086281A">
              <w:rPr>
                <w:rFonts w:ascii="Calibri" w:hAnsi="Calibri"/>
                <w:sz w:val="20"/>
                <w:szCs w:val="20"/>
                <w:lang w:val="en-GB"/>
              </w:rPr>
              <w:t>%)</w:t>
            </w:r>
          </w:p>
        </w:tc>
        <w:tc>
          <w:tcPr>
            <w:tcW w:w="2268" w:type="dxa"/>
            <w:shd w:val="clear" w:color="auto" w:fill="auto"/>
          </w:tcPr>
          <w:p w:rsidR="00715DF1" w:rsidRPr="0086281A" w:rsidRDefault="00BD0BA2" w:rsidP="005B25AF">
            <w:pPr>
              <w:jc w:val="center"/>
              <w:rPr>
                <w:rFonts w:ascii="Calibri" w:hAnsi="Calibri"/>
                <w:sz w:val="20"/>
                <w:szCs w:val="20"/>
                <w:lang w:val="en-GB"/>
              </w:rPr>
            </w:pPr>
            <w:r w:rsidRPr="0086281A">
              <w:rPr>
                <w:rFonts w:ascii="Calibri" w:hAnsi="Calibri"/>
                <w:sz w:val="20"/>
                <w:szCs w:val="20"/>
                <w:lang w:val="en-GB"/>
              </w:rPr>
              <w:t>33</w:t>
            </w:r>
          </w:p>
          <w:p w:rsidR="00715DF1" w:rsidRPr="0086281A" w:rsidRDefault="00BD0BA2" w:rsidP="005B25AF">
            <w:pPr>
              <w:jc w:val="center"/>
              <w:rPr>
                <w:rFonts w:ascii="Calibri" w:hAnsi="Calibri"/>
                <w:sz w:val="20"/>
                <w:szCs w:val="20"/>
                <w:lang w:val="en-GB"/>
              </w:rPr>
            </w:pPr>
            <w:r w:rsidRPr="0086281A">
              <w:rPr>
                <w:rFonts w:ascii="Calibri" w:hAnsi="Calibri"/>
                <w:sz w:val="20"/>
                <w:szCs w:val="20"/>
                <w:lang w:val="en-GB"/>
              </w:rPr>
              <w:t>(75%</w:t>
            </w:r>
            <w:r w:rsidR="00715DF1" w:rsidRPr="0086281A">
              <w:rPr>
                <w:rFonts w:ascii="Calibri" w:hAnsi="Calibri"/>
                <w:sz w:val="20"/>
                <w:szCs w:val="20"/>
                <w:lang w:val="en-GB"/>
              </w:rPr>
              <w:t>)</w:t>
            </w:r>
          </w:p>
        </w:tc>
        <w:tc>
          <w:tcPr>
            <w:tcW w:w="2835" w:type="dxa"/>
            <w:shd w:val="clear" w:color="auto" w:fill="auto"/>
          </w:tcPr>
          <w:p w:rsidR="00453038" w:rsidRPr="0086281A" w:rsidRDefault="00453038" w:rsidP="00453038">
            <w:pPr>
              <w:jc w:val="center"/>
              <w:rPr>
                <w:rFonts w:ascii="Calibri" w:hAnsi="Calibri"/>
                <w:sz w:val="20"/>
                <w:szCs w:val="20"/>
                <w:lang w:val="en-GB"/>
              </w:rPr>
            </w:pPr>
            <w:r w:rsidRPr="0086281A">
              <w:rPr>
                <w:rFonts w:ascii="Calibri" w:hAnsi="Calibri"/>
                <w:sz w:val="20"/>
                <w:szCs w:val="20"/>
                <w:lang w:val="en-GB"/>
              </w:rPr>
              <w:t>29</w:t>
            </w:r>
          </w:p>
          <w:p w:rsidR="00715DF1" w:rsidRPr="0086281A" w:rsidRDefault="00453038" w:rsidP="00453038">
            <w:pPr>
              <w:jc w:val="center"/>
              <w:rPr>
                <w:rFonts w:ascii="Calibri" w:hAnsi="Calibri"/>
                <w:sz w:val="20"/>
                <w:szCs w:val="20"/>
                <w:lang w:val="en-GB"/>
              </w:rPr>
            </w:pPr>
            <w:r w:rsidRPr="0086281A">
              <w:rPr>
                <w:rFonts w:ascii="Calibri" w:hAnsi="Calibri"/>
                <w:sz w:val="20"/>
                <w:szCs w:val="20"/>
                <w:lang w:val="en-GB"/>
              </w:rPr>
              <w:t>(65.9%)</w:t>
            </w:r>
          </w:p>
        </w:tc>
        <w:tc>
          <w:tcPr>
            <w:tcW w:w="2693" w:type="dxa"/>
            <w:shd w:val="clear" w:color="auto" w:fill="auto"/>
          </w:tcPr>
          <w:p w:rsidR="00715DF1" w:rsidRPr="0086281A" w:rsidRDefault="00453038" w:rsidP="00453038">
            <w:pPr>
              <w:jc w:val="center"/>
              <w:rPr>
                <w:rFonts w:ascii="Calibri" w:hAnsi="Calibri"/>
                <w:sz w:val="20"/>
                <w:szCs w:val="20"/>
                <w:lang w:val="en-GB"/>
              </w:rPr>
            </w:pPr>
            <w:r w:rsidRPr="0086281A">
              <w:rPr>
                <w:rFonts w:ascii="Calibri" w:hAnsi="Calibri"/>
                <w:sz w:val="20"/>
                <w:szCs w:val="20"/>
                <w:lang w:val="en-GB"/>
              </w:rPr>
              <w:t>32</w:t>
            </w:r>
          </w:p>
          <w:p w:rsidR="00453038" w:rsidRPr="0086281A" w:rsidRDefault="00453038" w:rsidP="00453038">
            <w:pPr>
              <w:jc w:val="center"/>
              <w:rPr>
                <w:rFonts w:ascii="Calibri" w:hAnsi="Calibri"/>
                <w:sz w:val="20"/>
                <w:szCs w:val="20"/>
                <w:lang w:val="en-GB"/>
              </w:rPr>
            </w:pPr>
            <w:r w:rsidRPr="0086281A">
              <w:rPr>
                <w:rFonts w:ascii="Calibri" w:hAnsi="Calibri"/>
                <w:sz w:val="20"/>
                <w:szCs w:val="20"/>
                <w:lang w:val="en-GB"/>
              </w:rPr>
              <w:t>(72.7%)</w:t>
            </w:r>
          </w:p>
        </w:tc>
      </w:tr>
      <w:tr w:rsidR="00E47097" w:rsidRPr="0086281A" w:rsidTr="00E47097">
        <w:trPr>
          <w:trHeight w:val="300"/>
        </w:trPr>
        <w:tc>
          <w:tcPr>
            <w:tcW w:w="709" w:type="dxa"/>
            <w:vMerge/>
            <w:shd w:val="clear" w:color="auto" w:fill="8DB3E2" w:themeFill="text2" w:themeFillTint="66"/>
          </w:tcPr>
          <w:p w:rsidR="00E47097" w:rsidRPr="0086281A" w:rsidRDefault="00E47097" w:rsidP="005B25AF">
            <w:pPr>
              <w:jc w:val="center"/>
              <w:rPr>
                <w:rFonts w:ascii="Calibri" w:hAnsi="Calibri"/>
                <w:i/>
                <w:sz w:val="20"/>
                <w:szCs w:val="20"/>
                <w:lang w:val="en-GB"/>
              </w:rPr>
            </w:pPr>
          </w:p>
        </w:tc>
        <w:tc>
          <w:tcPr>
            <w:tcW w:w="993" w:type="dxa"/>
            <w:vMerge/>
            <w:shd w:val="clear" w:color="auto" w:fill="auto"/>
          </w:tcPr>
          <w:p w:rsidR="00E47097" w:rsidRPr="0086281A" w:rsidRDefault="00E47097" w:rsidP="005B25AF">
            <w:pPr>
              <w:jc w:val="center"/>
              <w:rPr>
                <w:rFonts w:ascii="Calibri" w:hAnsi="Calibri"/>
                <w:sz w:val="20"/>
                <w:szCs w:val="20"/>
                <w:lang w:val="en-GB"/>
              </w:rPr>
            </w:pPr>
          </w:p>
        </w:tc>
        <w:tc>
          <w:tcPr>
            <w:tcW w:w="9780" w:type="dxa"/>
            <w:gridSpan w:val="4"/>
            <w:shd w:val="clear" w:color="auto" w:fill="D9D9D9" w:themeFill="background1" w:themeFillShade="D9"/>
          </w:tcPr>
          <w:p w:rsidR="00E47097" w:rsidRPr="0086281A" w:rsidRDefault="00BD0BA2" w:rsidP="00E47097">
            <w:pPr>
              <w:tabs>
                <w:tab w:val="left" w:pos="243"/>
                <w:tab w:val="center" w:pos="317"/>
              </w:tabs>
              <w:jc w:val="center"/>
              <w:rPr>
                <w:rFonts w:ascii="Calibri" w:hAnsi="Calibri"/>
                <w:sz w:val="20"/>
                <w:szCs w:val="20"/>
                <w:lang w:val="en-GB"/>
              </w:rPr>
            </w:pPr>
            <w:r w:rsidRPr="0086281A">
              <w:rPr>
                <w:rFonts w:ascii="Calibri" w:hAnsi="Calibri"/>
                <w:b/>
                <w:sz w:val="20"/>
                <w:szCs w:val="20"/>
                <w:lang w:val="en-GB"/>
              </w:rPr>
              <w:t>eGFR &gt; mGFR</w:t>
            </w:r>
          </w:p>
        </w:tc>
      </w:tr>
      <w:tr w:rsidR="00715DF1" w:rsidRPr="0086281A" w:rsidTr="00113182">
        <w:trPr>
          <w:trHeight w:val="299"/>
        </w:trPr>
        <w:tc>
          <w:tcPr>
            <w:tcW w:w="709" w:type="dxa"/>
            <w:vMerge/>
            <w:shd w:val="clear" w:color="auto" w:fill="8DB3E2" w:themeFill="text2" w:themeFillTint="66"/>
          </w:tcPr>
          <w:p w:rsidR="00715DF1" w:rsidRPr="0086281A" w:rsidRDefault="00715DF1" w:rsidP="005B25AF">
            <w:pPr>
              <w:jc w:val="center"/>
              <w:rPr>
                <w:rFonts w:ascii="Calibri" w:hAnsi="Calibri"/>
                <w:i/>
                <w:sz w:val="20"/>
                <w:szCs w:val="20"/>
                <w:lang w:val="en-GB"/>
              </w:rPr>
            </w:pPr>
          </w:p>
        </w:tc>
        <w:tc>
          <w:tcPr>
            <w:tcW w:w="993" w:type="dxa"/>
            <w:vMerge/>
            <w:shd w:val="clear" w:color="auto" w:fill="auto"/>
          </w:tcPr>
          <w:p w:rsidR="00715DF1" w:rsidRPr="0086281A" w:rsidRDefault="00715DF1" w:rsidP="005B25AF">
            <w:pPr>
              <w:jc w:val="center"/>
              <w:rPr>
                <w:rFonts w:ascii="Calibri" w:hAnsi="Calibri"/>
                <w:sz w:val="20"/>
                <w:szCs w:val="20"/>
                <w:lang w:val="en-GB"/>
              </w:rPr>
            </w:pPr>
          </w:p>
        </w:tc>
        <w:tc>
          <w:tcPr>
            <w:tcW w:w="1984" w:type="dxa"/>
            <w:shd w:val="clear" w:color="auto" w:fill="D9D9D9" w:themeFill="background1" w:themeFillShade="D9"/>
          </w:tcPr>
          <w:p w:rsidR="00715DF1" w:rsidRPr="0086281A" w:rsidRDefault="00734173" w:rsidP="00715DF1">
            <w:pPr>
              <w:jc w:val="center"/>
              <w:rPr>
                <w:rFonts w:ascii="Calibri" w:hAnsi="Calibri"/>
                <w:sz w:val="20"/>
                <w:szCs w:val="20"/>
                <w:lang w:val="en-GB"/>
              </w:rPr>
            </w:pPr>
            <w:r w:rsidRPr="0086281A">
              <w:rPr>
                <w:rFonts w:ascii="Calibri" w:hAnsi="Calibri"/>
                <w:sz w:val="20"/>
                <w:szCs w:val="20"/>
                <w:lang w:val="en-GB"/>
              </w:rPr>
              <w:t>20</w:t>
            </w:r>
            <w:r w:rsidR="00535193" w:rsidRPr="0086281A">
              <w:rPr>
                <w:rFonts w:ascii="Calibri" w:hAnsi="Calibri"/>
                <w:sz w:val="20"/>
                <w:szCs w:val="20"/>
                <w:lang w:val="en-GB"/>
              </w:rPr>
              <w:t xml:space="preserve"> </w:t>
            </w:r>
            <w:r w:rsidR="00535193" w:rsidRPr="0086281A">
              <w:rPr>
                <w:rFonts w:ascii="Calibri" w:hAnsi="Calibri" w:cs="Times"/>
                <w:vertAlign w:val="superscript"/>
                <w:lang w:val="en-GB"/>
              </w:rPr>
              <w:t>* ¥ †</w:t>
            </w:r>
          </w:p>
          <w:p w:rsidR="00715DF1" w:rsidRPr="0086281A" w:rsidRDefault="00715DF1" w:rsidP="00734173">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734173" w:rsidRPr="0086281A">
              <w:rPr>
                <w:rFonts w:ascii="Calibri" w:hAnsi="Calibri"/>
                <w:sz w:val="20"/>
                <w:szCs w:val="20"/>
                <w:lang w:val="en-GB"/>
              </w:rPr>
              <w:t>45.5</w:t>
            </w:r>
            <w:r w:rsidRPr="0086281A">
              <w:rPr>
                <w:rFonts w:ascii="Calibri" w:hAnsi="Calibri"/>
                <w:sz w:val="20"/>
                <w:szCs w:val="20"/>
                <w:lang w:val="en-GB"/>
              </w:rPr>
              <w:t>%)</w:t>
            </w:r>
          </w:p>
        </w:tc>
        <w:tc>
          <w:tcPr>
            <w:tcW w:w="2268" w:type="dxa"/>
            <w:shd w:val="clear" w:color="auto" w:fill="D9D9D9" w:themeFill="background1" w:themeFillShade="D9"/>
          </w:tcPr>
          <w:p w:rsidR="00715DF1" w:rsidRPr="0086281A" w:rsidRDefault="00BD0BA2" w:rsidP="00715DF1">
            <w:pPr>
              <w:jc w:val="center"/>
              <w:rPr>
                <w:rFonts w:ascii="Calibri" w:hAnsi="Calibri"/>
                <w:sz w:val="20"/>
                <w:szCs w:val="20"/>
                <w:lang w:val="en-GB"/>
              </w:rPr>
            </w:pPr>
            <w:r w:rsidRPr="0086281A">
              <w:rPr>
                <w:rFonts w:ascii="Calibri" w:hAnsi="Calibri"/>
                <w:sz w:val="20"/>
                <w:szCs w:val="20"/>
                <w:lang w:val="en-GB"/>
              </w:rPr>
              <w:t>8</w:t>
            </w:r>
          </w:p>
          <w:p w:rsidR="00715DF1" w:rsidRPr="0086281A" w:rsidRDefault="00BD0BA2" w:rsidP="00715DF1">
            <w:pPr>
              <w:tabs>
                <w:tab w:val="left" w:pos="243"/>
                <w:tab w:val="center" w:pos="317"/>
              </w:tabs>
              <w:jc w:val="center"/>
              <w:rPr>
                <w:rFonts w:ascii="Calibri" w:hAnsi="Calibri"/>
                <w:b/>
                <w:sz w:val="20"/>
                <w:szCs w:val="20"/>
                <w:lang w:val="en-GB"/>
              </w:rPr>
            </w:pPr>
            <w:r w:rsidRPr="0086281A">
              <w:rPr>
                <w:rFonts w:ascii="Calibri" w:hAnsi="Calibri"/>
                <w:sz w:val="20"/>
                <w:szCs w:val="20"/>
                <w:lang w:val="en-GB"/>
              </w:rPr>
              <w:t>(18.2</w:t>
            </w:r>
            <w:r w:rsidR="00715DF1" w:rsidRPr="0086281A">
              <w:rPr>
                <w:rFonts w:ascii="Calibri" w:hAnsi="Calibri"/>
                <w:sz w:val="20"/>
                <w:szCs w:val="20"/>
                <w:lang w:val="en-GB"/>
              </w:rPr>
              <w:t>%)</w:t>
            </w:r>
          </w:p>
        </w:tc>
        <w:tc>
          <w:tcPr>
            <w:tcW w:w="2835" w:type="dxa"/>
            <w:shd w:val="clear" w:color="auto" w:fill="D9D9D9" w:themeFill="background1" w:themeFillShade="D9"/>
          </w:tcPr>
          <w:p w:rsidR="00453038" w:rsidRPr="0086281A" w:rsidRDefault="00453038" w:rsidP="00453038">
            <w:pPr>
              <w:tabs>
                <w:tab w:val="left" w:pos="243"/>
                <w:tab w:val="center" w:pos="317"/>
              </w:tabs>
              <w:jc w:val="center"/>
              <w:rPr>
                <w:rFonts w:ascii="Calibri" w:hAnsi="Calibri"/>
                <w:sz w:val="20"/>
                <w:szCs w:val="20"/>
                <w:lang w:val="en-GB"/>
              </w:rPr>
            </w:pPr>
            <w:r w:rsidRPr="0086281A">
              <w:rPr>
                <w:rFonts w:ascii="Calibri" w:hAnsi="Calibri"/>
                <w:sz w:val="20"/>
                <w:szCs w:val="20"/>
                <w:lang w:val="en-GB"/>
              </w:rPr>
              <w:t>5</w:t>
            </w:r>
          </w:p>
          <w:p w:rsidR="00715DF1" w:rsidRPr="0086281A" w:rsidRDefault="00453038" w:rsidP="00453038">
            <w:pPr>
              <w:tabs>
                <w:tab w:val="left" w:pos="243"/>
                <w:tab w:val="center" w:pos="317"/>
              </w:tabs>
              <w:jc w:val="center"/>
              <w:rPr>
                <w:rFonts w:ascii="Calibri" w:hAnsi="Calibri"/>
                <w:b/>
                <w:sz w:val="20"/>
                <w:szCs w:val="20"/>
                <w:lang w:val="en-GB"/>
              </w:rPr>
            </w:pPr>
            <w:r w:rsidRPr="0086281A">
              <w:rPr>
                <w:rFonts w:ascii="Calibri" w:hAnsi="Calibri"/>
                <w:sz w:val="20"/>
                <w:szCs w:val="20"/>
                <w:lang w:val="en-GB"/>
              </w:rPr>
              <w:t>(11.4%)</w:t>
            </w:r>
          </w:p>
        </w:tc>
        <w:tc>
          <w:tcPr>
            <w:tcW w:w="2693" w:type="dxa"/>
            <w:shd w:val="clear" w:color="auto" w:fill="D9D9D9" w:themeFill="background1" w:themeFillShade="D9"/>
          </w:tcPr>
          <w:p w:rsidR="00453038" w:rsidRPr="0086281A" w:rsidRDefault="00453038" w:rsidP="003F4980">
            <w:pPr>
              <w:tabs>
                <w:tab w:val="left" w:pos="243"/>
                <w:tab w:val="center" w:pos="317"/>
              </w:tabs>
              <w:jc w:val="center"/>
              <w:rPr>
                <w:rFonts w:ascii="Calibri" w:hAnsi="Calibri"/>
                <w:sz w:val="20"/>
                <w:szCs w:val="20"/>
                <w:lang w:val="en-GB"/>
              </w:rPr>
            </w:pPr>
            <w:r w:rsidRPr="0086281A">
              <w:rPr>
                <w:rFonts w:ascii="Calibri" w:hAnsi="Calibri"/>
                <w:sz w:val="20"/>
                <w:szCs w:val="20"/>
                <w:lang w:val="en-GB"/>
              </w:rPr>
              <w:t>6</w:t>
            </w:r>
          </w:p>
          <w:p w:rsidR="00453038" w:rsidRPr="0086281A" w:rsidRDefault="00453038" w:rsidP="003F4980">
            <w:pPr>
              <w:tabs>
                <w:tab w:val="left" w:pos="243"/>
                <w:tab w:val="center" w:pos="317"/>
              </w:tabs>
              <w:jc w:val="center"/>
              <w:rPr>
                <w:rFonts w:ascii="Calibri" w:hAnsi="Calibri"/>
                <w:b/>
                <w:sz w:val="20"/>
                <w:szCs w:val="20"/>
                <w:lang w:val="en-GB"/>
              </w:rPr>
            </w:pPr>
            <w:r w:rsidRPr="0086281A">
              <w:rPr>
                <w:rFonts w:ascii="Calibri" w:hAnsi="Calibri"/>
                <w:sz w:val="20"/>
                <w:szCs w:val="20"/>
                <w:lang w:val="en-GB"/>
              </w:rPr>
              <w:t>(13.6%)</w:t>
            </w:r>
          </w:p>
        </w:tc>
      </w:tr>
      <w:tr w:rsidR="00E47097" w:rsidRPr="0086281A" w:rsidTr="00113182">
        <w:trPr>
          <w:trHeight w:val="182"/>
        </w:trPr>
        <w:tc>
          <w:tcPr>
            <w:tcW w:w="709" w:type="dxa"/>
            <w:vMerge w:val="restart"/>
            <w:shd w:val="clear" w:color="auto" w:fill="8DB3E2" w:themeFill="text2" w:themeFillTint="66"/>
          </w:tcPr>
          <w:p w:rsidR="00E47097" w:rsidRPr="0086281A" w:rsidRDefault="00E47097" w:rsidP="005B25AF">
            <w:pPr>
              <w:jc w:val="center"/>
              <w:rPr>
                <w:rFonts w:ascii="Calibri" w:hAnsi="Calibri"/>
                <w:i/>
                <w:sz w:val="20"/>
                <w:szCs w:val="20"/>
                <w:lang w:val="en-GB"/>
              </w:rPr>
            </w:pPr>
            <w:r w:rsidRPr="0086281A">
              <w:rPr>
                <w:rFonts w:ascii="Calibri" w:hAnsi="Calibri"/>
                <w:i/>
                <w:sz w:val="20"/>
                <w:szCs w:val="20"/>
                <w:lang w:val="en-GB"/>
              </w:rPr>
              <w:t>Stage 3b</w:t>
            </w:r>
          </w:p>
          <w:p w:rsidR="00E47097" w:rsidRPr="0086281A" w:rsidRDefault="00E47097" w:rsidP="005B25AF">
            <w:pPr>
              <w:jc w:val="center"/>
              <w:rPr>
                <w:rFonts w:ascii="Calibri" w:hAnsi="Calibri"/>
                <w:i/>
                <w:sz w:val="20"/>
                <w:szCs w:val="20"/>
                <w:lang w:val="en-GB"/>
              </w:rPr>
            </w:pPr>
          </w:p>
        </w:tc>
        <w:tc>
          <w:tcPr>
            <w:tcW w:w="993" w:type="dxa"/>
            <w:vMerge w:val="restart"/>
            <w:shd w:val="clear" w:color="auto" w:fill="auto"/>
          </w:tcPr>
          <w:p w:rsidR="00E47097" w:rsidRPr="0086281A" w:rsidRDefault="00E47097" w:rsidP="005B25AF">
            <w:pPr>
              <w:jc w:val="center"/>
              <w:rPr>
                <w:rFonts w:ascii="Calibri" w:hAnsi="Calibri"/>
                <w:sz w:val="20"/>
                <w:szCs w:val="20"/>
                <w:lang w:val="en-GB"/>
              </w:rPr>
            </w:pPr>
            <w:r w:rsidRPr="0086281A">
              <w:rPr>
                <w:rFonts w:ascii="Calibri" w:hAnsi="Calibri"/>
                <w:sz w:val="20"/>
                <w:szCs w:val="20"/>
                <w:lang w:val="en-GB"/>
              </w:rPr>
              <w:t>58</w:t>
            </w:r>
          </w:p>
          <w:p w:rsidR="00E47097" w:rsidRPr="0086281A" w:rsidRDefault="00E47097" w:rsidP="005B25AF">
            <w:pPr>
              <w:jc w:val="center"/>
              <w:rPr>
                <w:rFonts w:ascii="Calibri" w:hAnsi="Calibri"/>
                <w:sz w:val="20"/>
                <w:szCs w:val="20"/>
                <w:lang w:val="en-GB"/>
              </w:rPr>
            </w:pPr>
            <w:r w:rsidRPr="0086281A">
              <w:rPr>
                <w:rFonts w:ascii="Calibri" w:hAnsi="Calibri"/>
                <w:sz w:val="20"/>
                <w:szCs w:val="20"/>
                <w:lang w:val="en-GB"/>
              </w:rPr>
              <w:t>(15.8%)</w:t>
            </w:r>
          </w:p>
        </w:tc>
        <w:tc>
          <w:tcPr>
            <w:tcW w:w="1984" w:type="dxa"/>
            <w:shd w:val="clear" w:color="auto" w:fill="auto"/>
          </w:tcPr>
          <w:p w:rsidR="00E47097" w:rsidRPr="0086281A" w:rsidRDefault="001A3DC9" w:rsidP="005B25AF">
            <w:pPr>
              <w:jc w:val="center"/>
              <w:rPr>
                <w:rFonts w:ascii="Calibri" w:hAnsi="Calibri"/>
                <w:sz w:val="20"/>
                <w:szCs w:val="20"/>
                <w:lang w:val="en-GB"/>
              </w:rPr>
            </w:pPr>
            <w:r w:rsidRPr="0086281A">
              <w:rPr>
                <w:rFonts w:ascii="Calibri" w:hAnsi="Calibri"/>
                <w:sz w:val="20"/>
                <w:szCs w:val="20"/>
                <w:lang w:val="en-GB"/>
              </w:rPr>
              <w:t>24</w:t>
            </w:r>
          </w:p>
          <w:p w:rsidR="00E47097" w:rsidRPr="0086281A" w:rsidRDefault="00E47097" w:rsidP="001A3DC9">
            <w:pPr>
              <w:jc w:val="center"/>
              <w:rPr>
                <w:rFonts w:ascii="Calibri" w:hAnsi="Calibri"/>
                <w:sz w:val="20"/>
                <w:szCs w:val="20"/>
                <w:lang w:val="en-GB"/>
              </w:rPr>
            </w:pPr>
            <w:r w:rsidRPr="0086281A">
              <w:rPr>
                <w:rFonts w:ascii="Calibri" w:hAnsi="Calibri"/>
                <w:sz w:val="20"/>
                <w:szCs w:val="20"/>
                <w:lang w:val="en-GB"/>
              </w:rPr>
              <w:t>(</w:t>
            </w:r>
            <w:r w:rsidR="001A3DC9" w:rsidRPr="0086281A">
              <w:rPr>
                <w:rFonts w:ascii="Calibri" w:hAnsi="Calibri"/>
                <w:sz w:val="20"/>
                <w:szCs w:val="20"/>
                <w:lang w:val="en-GB"/>
              </w:rPr>
              <w:t>41.4</w:t>
            </w:r>
            <w:r w:rsidRPr="0086281A">
              <w:rPr>
                <w:rFonts w:ascii="Calibri" w:hAnsi="Calibri"/>
                <w:sz w:val="20"/>
                <w:szCs w:val="20"/>
                <w:lang w:val="en-GB"/>
              </w:rPr>
              <w:t>%)</w:t>
            </w:r>
          </w:p>
        </w:tc>
        <w:tc>
          <w:tcPr>
            <w:tcW w:w="2268" w:type="dxa"/>
            <w:shd w:val="clear" w:color="auto" w:fill="auto"/>
          </w:tcPr>
          <w:p w:rsidR="00E47097" w:rsidRPr="0086281A" w:rsidRDefault="001A3DC9" w:rsidP="005B25AF">
            <w:pPr>
              <w:jc w:val="center"/>
              <w:rPr>
                <w:rFonts w:ascii="Calibri" w:hAnsi="Calibri"/>
                <w:sz w:val="20"/>
                <w:szCs w:val="20"/>
                <w:lang w:val="en-GB"/>
              </w:rPr>
            </w:pPr>
            <w:r w:rsidRPr="0086281A">
              <w:rPr>
                <w:rFonts w:ascii="Calibri" w:hAnsi="Calibri"/>
                <w:sz w:val="20"/>
                <w:szCs w:val="20"/>
                <w:lang w:val="en-GB"/>
              </w:rPr>
              <w:t>29</w:t>
            </w:r>
          </w:p>
          <w:p w:rsidR="00E47097" w:rsidRPr="0086281A" w:rsidRDefault="00E47097" w:rsidP="001A3DC9">
            <w:pPr>
              <w:jc w:val="center"/>
              <w:rPr>
                <w:rFonts w:ascii="Calibri" w:hAnsi="Calibri"/>
                <w:sz w:val="20"/>
                <w:szCs w:val="20"/>
                <w:lang w:val="en-GB"/>
              </w:rPr>
            </w:pPr>
            <w:r w:rsidRPr="0086281A">
              <w:rPr>
                <w:rFonts w:ascii="Calibri" w:hAnsi="Calibri"/>
                <w:sz w:val="20"/>
                <w:szCs w:val="20"/>
                <w:lang w:val="en-GB"/>
              </w:rPr>
              <w:t>(</w:t>
            </w:r>
            <w:r w:rsidR="001A3DC9" w:rsidRPr="0086281A">
              <w:rPr>
                <w:rFonts w:ascii="Calibri" w:hAnsi="Calibri"/>
                <w:sz w:val="20"/>
                <w:szCs w:val="20"/>
                <w:lang w:val="en-GB"/>
              </w:rPr>
              <w:t>50</w:t>
            </w:r>
            <w:r w:rsidRPr="0086281A">
              <w:rPr>
                <w:rFonts w:ascii="Calibri" w:hAnsi="Calibri"/>
                <w:sz w:val="20"/>
                <w:szCs w:val="20"/>
                <w:lang w:val="en-GB"/>
              </w:rPr>
              <w:t>%)</w:t>
            </w:r>
          </w:p>
        </w:tc>
        <w:tc>
          <w:tcPr>
            <w:tcW w:w="2835" w:type="dxa"/>
            <w:shd w:val="clear" w:color="auto" w:fill="auto"/>
          </w:tcPr>
          <w:p w:rsidR="00E47097" w:rsidRPr="0086281A" w:rsidRDefault="00CC3595" w:rsidP="005B25AF">
            <w:pPr>
              <w:jc w:val="center"/>
              <w:rPr>
                <w:rFonts w:ascii="Calibri" w:hAnsi="Calibri"/>
                <w:sz w:val="20"/>
                <w:szCs w:val="20"/>
                <w:lang w:val="en-GB"/>
              </w:rPr>
            </w:pPr>
            <w:r w:rsidRPr="0086281A">
              <w:rPr>
                <w:rFonts w:ascii="Calibri" w:hAnsi="Calibri"/>
                <w:sz w:val="20"/>
                <w:szCs w:val="20"/>
                <w:lang w:val="en-GB"/>
              </w:rPr>
              <w:t>28</w:t>
            </w:r>
          </w:p>
          <w:p w:rsidR="00E47097" w:rsidRPr="0086281A" w:rsidRDefault="00E47097" w:rsidP="00CC3595">
            <w:pPr>
              <w:jc w:val="center"/>
              <w:rPr>
                <w:rFonts w:ascii="Calibri" w:hAnsi="Calibri"/>
                <w:sz w:val="20"/>
                <w:szCs w:val="20"/>
                <w:lang w:val="en-GB"/>
              </w:rPr>
            </w:pPr>
            <w:r w:rsidRPr="0086281A">
              <w:rPr>
                <w:rFonts w:ascii="Calibri" w:hAnsi="Calibri"/>
                <w:sz w:val="20"/>
                <w:szCs w:val="20"/>
                <w:lang w:val="en-GB"/>
              </w:rPr>
              <w:t>(</w:t>
            </w:r>
            <w:r w:rsidR="00CC3595" w:rsidRPr="0086281A">
              <w:rPr>
                <w:rFonts w:ascii="Calibri" w:hAnsi="Calibri"/>
                <w:sz w:val="20"/>
                <w:szCs w:val="20"/>
                <w:lang w:val="en-GB"/>
              </w:rPr>
              <w:t>48.3%</w:t>
            </w:r>
            <w:r w:rsidRPr="0086281A">
              <w:rPr>
                <w:rFonts w:ascii="Calibri" w:hAnsi="Calibri"/>
                <w:sz w:val="20"/>
                <w:szCs w:val="20"/>
                <w:lang w:val="en-GB"/>
              </w:rPr>
              <w:t>)</w:t>
            </w:r>
          </w:p>
        </w:tc>
        <w:tc>
          <w:tcPr>
            <w:tcW w:w="2693" w:type="dxa"/>
            <w:shd w:val="clear" w:color="auto" w:fill="auto"/>
          </w:tcPr>
          <w:p w:rsidR="00E47097" w:rsidRPr="0086281A" w:rsidRDefault="00CC3595" w:rsidP="005B25AF">
            <w:pPr>
              <w:jc w:val="center"/>
              <w:rPr>
                <w:rFonts w:ascii="Calibri" w:hAnsi="Calibri"/>
                <w:sz w:val="20"/>
                <w:szCs w:val="20"/>
                <w:lang w:val="en-GB"/>
              </w:rPr>
            </w:pPr>
            <w:r w:rsidRPr="0086281A">
              <w:rPr>
                <w:rFonts w:ascii="Calibri" w:hAnsi="Calibri"/>
                <w:sz w:val="20"/>
                <w:szCs w:val="20"/>
                <w:lang w:val="en-GB"/>
              </w:rPr>
              <w:t>26</w:t>
            </w:r>
          </w:p>
          <w:p w:rsidR="00E47097" w:rsidRPr="0086281A" w:rsidRDefault="00E47097" w:rsidP="00CC3595">
            <w:pPr>
              <w:jc w:val="center"/>
              <w:rPr>
                <w:rFonts w:ascii="Calibri" w:hAnsi="Calibri"/>
                <w:sz w:val="20"/>
                <w:szCs w:val="20"/>
                <w:lang w:val="en-GB"/>
              </w:rPr>
            </w:pPr>
            <w:r w:rsidRPr="0086281A">
              <w:rPr>
                <w:rFonts w:ascii="Calibri" w:hAnsi="Calibri"/>
                <w:sz w:val="20"/>
                <w:szCs w:val="20"/>
                <w:lang w:val="en-GB"/>
              </w:rPr>
              <w:t>(</w:t>
            </w:r>
            <w:r w:rsidR="00CC3595" w:rsidRPr="0086281A">
              <w:rPr>
                <w:rFonts w:ascii="Calibri" w:hAnsi="Calibri"/>
                <w:sz w:val="20"/>
                <w:szCs w:val="20"/>
                <w:lang w:val="en-GB"/>
              </w:rPr>
              <w:t>44.8</w:t>
            </w:r>
            <w:r w:rsidRPr="0086281A">
              <w:rPr>
                <w:rFonts w:ascii="Calibri" w:hAnsi="Calibri"/>
                <w:sz w:val="20"/>
                <w:szCs w:val="20"/>
                <w:lang w:val="en-GB"/>
              </w:rPr>
              <w:t>%)</w:t>
            </w:r>
          </w:p>
        </w:tc>
      </w:tr>
      <w:tr w:rsidR="00E47097" w:rsidRPr="0086281A" w:rsidTr="00E47097">
        <w:trPr>
          <w:trHeight w:val="300"/>
        </w:trPr>
        <w:tc>
          <w:tcPr>
            <w:tcW w:w="709" w:type="dxa"/>
            <w:vMerge/>
            <w:shd w:val="clear" w:color="auto" w:fill="8DB3E2" w:themeFill="text2" w:themeFillTint="66"/>
          </w:tcPr>
          <w:p w:rsidR="00E47097" w:rsidRPr="0086281A" w:rsidRDefault="00E47097" w:rsidP="005B25AF">
            <w:pPr>
              <w:jc w:val="center"/>
              <w:rPr>
                <w:rFonts w:ascii="Calibri" w:hAnsi="Calibri"/>
                <w:i/>
                <w:sz w:val="20"/>
                <w:szCs w:val="20"/>
                <w:lang w:val="en-GB"/>
              </w:rPr>
            </w:pPr>
          </w:p>
        </w:tc>
        <w:tc>
          <w:tcPr>
            <w:tcW w:w="993" w:type="dxa"/>
            <w:vMerge/>
            <w:shd w:val="clear" w:color="auto" w:fill="auto"/>
          </w:tcPr>
          <w:p w:rsidR="00E47097" w:rsidRPr="0086281A" w:rsidRDefault="00E47097" w:rsidP="005B25AF">
            <w:pPr>
              <w:jc w:val="center"/>
              <w:rPr>
                <w:rFonts w:ascii="Calibri" w:hAnsi="Calibri"/>
                <w:sz w:val="20"/>
                <w:szCs w:val="20"/>
                <w:lang w:val="en-GB"/>
              </w:rPr>
            </w:pPr>
          </w:p>
        </w:tc>
        <w:tc>
          <w:tcPr>
            <w:tcW w:w="9780" w:type="dxa"/>
            <w:gridSpan w:val="4"/>
            <w:shd w:val="clear" w:color="auto" w:fill="D9D9D9" w:themeFill="background1" w:themeFillShade="D9"/>
          </w:tcPr>
          <w:p w:rsidR="00E47097" w:rsidRPr="0086281A" w:rsidRDefault="00E47097" w:rsidP="00E47097">
            <w:pPr>
              <w:tabs>
                <w:tab w:val="left" w:pos="243"/>
                <w:tab w:val="center" w:pos="317"/>
              </w:tabs>
              <w:jc w:val="center"/>
              <w:rPr>
                <w:rFonts w:ascii="Calibri" w:hAnsi="Calibri"/>
                <w:sz w:val="20"/>
                <w:szCs w:val="20"/>
                <w:lang w:val="en-GB"/>
              </w:rPr>
            </w:pPr>
            <w:r w:rsidRPr="0086281A">
              <w:rPr>
                <w:rFonts w:ascii="Calibri" w:hAnsi="Calibri"/>
                <w:b/>
                <w:sz w:val="20"/>
                <w:szCs w:val="20"/>
                <w:lang w:val="en-GB"/>
              </w:rPr>
              <w:t>eGFR</w:t>
            </w:r>
            <w:r w:rsidR="00535193" w:rsidRPr="0086281A">
              <w:rPr>
                <w:rFonts w:ascii="Calibri" w:hAnsi="Calibri"/>
                <w:b/>
                <w:sz w:val="20"/>
                <w:szCs w:val="20"/>
                <w:lang w:val="en-GB"/>
              </w:rPr>
              <w:t xml:space="preserve"> &gt; mGFR</w:t>
            </w:r>
          </w:p>
        </w:tc>
      </w:tr>
      <w:tr w:rsidR="00E47097" w:rsidRPr="0086281A" w:rsidTr="00113182">
        <w:trPr>
          <w:trHeight w:val="299"/>
        </w:trPr>
        <w:tc>
          <w:tcPr>
            <w:tcW w:w="709" w:type="dxa"/>
            <w:vMerge/>
            <w:shd w:val="clear" w:color="auto" w:fill="8DB3E2" w:themeFill="text2" w:themeFillTint="66"/>
          </w:tcPr>
          <w:p w:rsidR="00E47097" w:rsidRPr="0086281A" w:rsidRDefault="00E47097" w:rsidP="005B25AF">
            <w:pPr>
              <w:jc w:val="center"/>
              <w:rPr>
                <w:rFonts w:ascii="Calibri" w:hAnsi="Calibri"/>
                <w:i/>
                <w:sz w:val="20"/>
                <w:szCs w:val="20"/>
                <w:lang w:val="en-GB"/>
              </w:rPr>
            </w:pPr>
          </w:p>
        </w:tc>
        <w:tc>
          <w:tcPr>
            <w:tcW w:w="993" w:type="dxa"/>
            <w:vMerge/>
            <w:shd w:val="clear" w:color="auto" w:fill="auto"/>
          </w:tcPr>
          <w:p w:rsidR="00E47097" w:rsidRPr="0086281A" w:rsidRDefault="00E47097" w:rsidP="005B25AF">
            <w:pPr>
              <w:jc w:val="center"/>
              <w:rPr>
                <w:rFonts w:ascii="Calibri" w:hAnsi="Calibri"/>
                <w:sz w:val="20"/>
                <w:szCs w:val="20"/>
                <w:lang w:val="en-GB"/>
              </w:rPr>
            </w:pPr>
          </w:p>
        </w:tc>
        <w:tc>
          <w:tcPr>
            <w:tcW w:w="1984" w:type="dxa"/>
            <w:shd w:val="clear" w:color="auto" w:fill="D9D9D9" w:themeFill="background1" w:themeFillShade="D9"/>
          </w:tcPr>
          <w:p w:rsidR="00E47097" w:rsidRPr="0086281A" w:rsidRDefault="001A3DC9" w:rsidP="00E47097">
            <w:pPr>
              <w:jc w:val="center"/>
              <w:rPr>
                <w:rFonts w:ascii="Calibri" w:hAnsi="Calibri"/>
                <w:sz w:val="20"/>
                <w:szCs w:val="20"/>
                <w:lang w:val="en-GB"/>
              </w:rPr>
            </w:pPr>
            <w:r w:rsidRPr="0086281A">
              <w:rPr>
                <w:rFonts w:ascii="Calibri" w:hAnsi="Calibri"/>
                <w:sz w:val="20"/>
                <w:szCs w:val="20"/>
                <w:lang w:val="en-GB"/>
              </w:rPr>
              <w:t>30</w:t>
            </w:r>
            <w:r w:rsidR="00352FB1" w:rsidRPr="0086281A">
              <w:rPr>
                <w:rFonts w:ascii="Calibri" w:hAnsi="Calibri"/>
                <w:sz w:val="20"/>
                <w:szCs w:val="20"/>
                <w:lang w:val="en-GB"/>
              </w:rPr>
              <w:t xml:space="preserve"> </w:t>
            </w:r>
            <w:r w:rsidR="00352FB1" w:rsidRPr="0086281A">
              <w:rPr>
                <w:rFonts w:ascii="Calibri" w:hAnsi="Calibri" w:cs="Times"/>
                <w:vertAlign w:val="superscript"/>
                <w:lang w:val="en-GB"/>
              </w:rPr>
              <w:t>* ¥ †</w:t>
            </w:r>
          </w:p>
          <w:p w:rsidR="00E47097" w:rsidRPr="0086281A" w:rsidRDefault="00734173" w:rsidP="001A3DC9">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1A3DC9" w:rsidRPr="0086281A">
              <w:rPr>
                <w:rFonts w:ascii="Calibri" w:hAnsi="Calibri"/>
                <w:sz w:val="20"/>
                <w:szCs w:val="20"/>
                <w:lang w:val="en-GB"/>
              </w:rPr>
              <w:t>51.7</w:t>
            </w:r>
            <w:r w:rsidR="00E47097" w:rsidRPr="0086281A">
              <w:rPr>
                <w:rFonts w:ascii="Calibri" w:hAnsi="Calibri"/>
                <w:sz w:val="20"/>
                <w:szCs w:val="20"/>
                <w:lang w:val="en-GB"/>
              </w:rPr>
              <w:t>%)</w:t>
            </w:r>
          </w:p>
        </w:tc>
        <w:tc>
          <w:tcPr>
            <w:tcW w:w="2268" w:type="dxa"/>
            <w:shd w:val="clear" w:color="auto" w:fill="D9D9D9" w:themeFill="background1" w:themeFillShade="D9"/>
          </w:tcPr>
          <w:p w:rsidR="00734173" w:rsidRPr="0086281A" w:rsidRDefault="00734173" w:rsidP="00734173">
            <w:pPr>
              <w:tabs>
                <w:tab w:val="left" w:pos="243"/>
                <w:tab w:val="center" w:pos="317"/>
              </w:tabs>
              <w:jc w:val="center"/>
              <w:rPr>
                <w:rFonts w:ascii="Calibri" w:hAnsi="Calibri"/>
                <w:sz w:val="20"/>
                <w:szCs w:val="20"/>
                <w:lang w:val="en-GB"/>
              </w:rPr>
            </w:pPr>
            <w:r w:rsidRPr="0086281A">
              <w:rPr>
                <w:rFonts w:ascii="Calibri" w:hAnsi="Calibri"/>
                <w:sz w:val="20"/>
                <w:szCs w:val="20"/>
                <w:lang w:val="en-GB"/>
              </w:rPr>
              <w:t xml:space="preserve"> </w:t>
            </w:r>
            <w:r w:rsidR="001A3DC9" w:rsidRPr="0086281A">
              <w:rPr>
                <w:rFonts w:ascii="Calibri" w:hAnsi="Calibri"/>
                <w:sz w:val="20"/>
                <w:szCs w:val="20"/>
                <w:lang w:val="en-GB"/>
              </w:rPr>
              <w:t>10</w:t>
            </w:r>
          </w:p>
          <w:p w:rsidR="00E47097" w:rsidRPr="0086281A" w:rsidRDefault="00E47097" w:rsidP="00734173">
            <w:pPr>
              <w:tabs>
                <w:tab w:val="left" w:pos="243"/>
                <w:tab w:val="center" w:pos="317"/>
              </w:tabs>
              <w:jc w:val="center"/>
              <w:rPr>
                <w:rFonts w:ascii="Calibri" w:hAnsi="Calibri"/>
                <w:sz w:val="20"/>
                <w:szCs w:val="20"/>
                <w:lang w:val="en-GB"/>
              </w:rPr>
            </w:pPr>
            <w:r w:rsidRPr="0086281A">
              <w:rPr>
                <w:rFonts w:ascii="Calibri" w:hAnsi="Calibri"/>
                <w:sz w:val="20"/>
                <w:szCs w:val="20"/>
                <w:lang w:val="en-GB"/>
              </w:rPr>
              <w:t>(</w:t>
            </w:r>
            <w:r w:rsidR="001A3DC9" w:rsidRPr="0086281A">
              <w:rPr>
                <w:rFonts w:ascii="Calibri" w:hAnsi="Calibri"/>
                <w:sz w:val="20"/>
                <w:szCs w:val="20"/>
                <w:lang w:val="en-GB"/>
              </w:rPr>
              <w:t>17.2</w:t>
            </w:r>
            <w:r w:rsidRPr="0086281A">
              <w:rPr>
                <w:rFonts w:ascii="Calibri" w:hAnsi="Calibri"/>
                <w:sz w:val="20"/>
                <w:szCs w:val="20"/>
                <w:lang w:val="en-GB"/>
              </w:rPr>
              <w:t>%)</w:t>
            </w:r>
          </w:p>
        </w:tc>
        <w:tc>
          <w:tcPr>
            <w:tcW w:w="2835" w:type="dxa"/>
            <w:shd w:val="clear" w:color="auto" w:fill="D9D9D9" w:themeFill="background1" w:themeFillShade="D9"/>
          </w:tcPr>
          <w:p w:rsidR="00E47097" w:rsidRPr="0086281A" w:rsidRDefault="001A3DC9" w:rsidP="00E47097">
            <w:pPr>
              <w:jc w:val="center"/>
              <w:rPr>
                <w:rFonts w:ascii="Calibri" w:hAnsi="Calibri"/>
                <w:sz w:val="20"/>
                <w:szCs w:val="20"/>
                <w:lang w:val="en-GB"/>
              </w:rPr>
            </w:pPr>
            <w:r w:rsidRPr="0086281A">
              <w:rPr>
                <w:rFonts w:ascii="Calibri" w:hAnsi="Calibri"/>
                <w:sz w:val="20"/>
                <w:szCs w:val="20"/>
                <w:lang w:val="en-GB"/>
              </w:rPr>
              <w:t>13</w:t>
            </w:r>
          </w:p>
          <w:p w:rsidR="00E47097" w:rsidRPr="0086281A" w:rsidRDefault="00734173"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1A3DC9" w:rsidRPr="0086281A">
              <w:rPr>
                <w:rFonts w:ascii="Calibri" w:hAnsi="Calibri"/>
                <w:sz w:val="20"/>
                <w:szCs w:val="20"/>
                <w:lang w:val="en-GB"/>
              </w:rPr>
              <w:t>22.4</w:t>
            </w:r>
            <w:r w:rsidR="00E47097" w:rsidRPr="0086281A">
              <w:rPr>
                <w:rFonts w:ascii="Calibri" w:hAnsi="Calibri"/>
                <w:sz w:val="20"/>
                <w:szCs w:val="20"/>
                <w:lang w:val="en-GB"/>
              </w:rPr>
              <w:t>%)</w:t>
            </w:r>
          </w:p>
        </w:tc>
        <w:tc>
          <w:tcPr>
            <w:tcW w:w="2693" w:type="dxa"/>
            <w:shd w:val="clear" w:color="auto" w:fill="D9D9D9" w:themeFill="background1" w:themeFillShade="D9"/>
          </w:tcPr>
          <w:p w:rsidR="00E47097" w:rsidRPr="0086281A" w:rsidRDefault="00CC3595" w:rsidP="00E47097">
            <w:pPr>
              <w:jc w:val="center"/>
              <w:rPr>
                <w:rFonts w:ascii="Calibri" w:hAnsi="Calibri"/>
                <w:sz w:val="20"/>
                <w:szCs w:val="20"/>
                <w:lang w:val="en-GB"/>
              </w:rPr>
            </w:pPr>
            <w:r w:rsidRPr="0086281A">
              <w:rPr>
                <w:rFonts w:ascii="Calibri" w:hAnsi="Calibri"/>
                <w:sz w:val="20"/>
                <w:szCs w:val="20"/>
                <w:lang w:val="en-GB"/>
              </w:rPr>
              <w:t>15</w:t>
            </w:r>
          </w:p>
          <w:p w:rsidR="00E47097" w:rsidRPr="0086281A" w:rsidRDefault="00734173"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CC3595" w:rsidRPr="0086281A">
              <w:rPr>
                <w:rFonts w:ascii="Calibri" w:hAnsi="Calibri"/>
                <w:sz w:val="20"/>
                <w:szCs w:val="20"/>
                <w:lang w:val="en-GB"/>
              </w:rPr>
              <w:t>25.9</w:t>
            </w:r>
            <w:r w:rsidR="00E47097" w:rsidRPr="0086281A">
              <w:rPr>
                <w:rFonts w:ascii="Calibri" w:hAnsi="Calibri"/>
                <w:sz w:val="20"/>
                <w:szCs w:val="20"/>
                <w:lang w:val="en-GB"/>
              </w:rPr>
              <w:t>%)</w:t>
            </w:r>
          </w:p>
        </w:tc>
      </w:tr>
      <w:tr w:rsidR="00E47097" w:rsidRPr="0086281A" w:rsidTr="00113182">
        <w:trPr>
          <w:trHeight w:val="182"/>
        </w:trPr>
        <w:tc>
          <w:tcPr>
            <w:tcW w:w="709" w:type="dxa"/>
            <w:vMerge w:val="restart"/>
            <w:shd w:val="clear" w:color="auto" w:fill="8DB3E2" w:themeFill="text2" w:themeFillTint="66"/>
          </w:tcPr>
          <w:p w:rsidR="00E47097" w:rsidRPr="0086281A" w:rsidRDefault="00E47097" w:rsidP="005B25AF">
            <w:pPr>
              <w:jc w:val="center"/>
              <w:rPr>
                <w:rFonts w:ascii="Calibri" w:hAnsi="Calibri"/>
                <w:i/>
                <w:sz w:val="20"/>
                <w:szCs w:val="20"/>
                <w:lang w:val="en-GB"/>
              </w:rPr>
            </w:pPr>
            <w:r w:rsidRPr="0086281A">
              <w:rPr>
                <w:rFonts w:ascii="Calibri" w:hAnsi="Calibri"/>
                <w:i/>
                <w:sz w:val="20"/>
                <w:szCs w:val="20"/>
                <w:lang w:val="en-GB"/>
              </w:rPr>
              <w:t>Stage 3a</w:t>
            </w:r>
          </w:p>
          <w:p w:rsidR="00E47097" w:rsidRPr="0086281A" w:rsidRDefault="00E47097" w:rsidP="005B25AF">
            <w:pPr>
              <w:jc w:val="center"/>
              <w:rPr>
                <w:rFonts w:ascii="Calibri" w:hAnsi="Calibri"/>
                <w:i/>
                <w:sz w:val="20"/>
                <w:szCs w:val="20"/>
                <w:lang w:val="en-GB"/>
              </w:rPr>
            </w:pPr>
          </w:p>
        </w:tc>
        <w:tc>
          <w:tcPr>
            <w:tcW w:w="993" w:type="dxa"/>
            <w:vMerge w:val="restart"/>
            <w:shd w:val="clear" w:color="auto" w:fill="auto"/>
          </w:tcPr>
          <w:p w:rsidR="00E47097" w:rsidRPr="0086281A" w:rsidRDefault="00E47097" w:rsidP="005B25AF">
            <w:pPr>
              <w:jc w:val="center"/>
              <w:rPr>
                <w:rFonts w:ascii="Calibri" w:hAnsi="Calibri"/>
                <w:sz w:val="20"/>
                <w:szCs w:val="20"/>
                <w:lang w:val="en-GB"/>
              </w:rPr>
            </w:pPr>
            <w:r w:rsidRPr="0086281A">
              <w:rPr>
                <w:rFonts w:ascii="Calibri" w:hAnsi="Calibri"/>
                <w:sz w:val="20"/>
                <w:szCs w:val="20"/>
                <w:lang w:val="en-GB"/>
              </w:rPr>
              <w:t>49</w:t>
            </w:r>
          </w:p>
          <w:p w:rsidR="00E47097" w:rsidRPr="0086281A" w:rsidRDefault="00E47097" w:rsidP="005B25AF">
            <w:pPr>
              <w:jc w:val="center"/>
              <w:rPr>
                <w:rFonts w:ascii="Calibri" w:hAnsi="Calibri"/>
                <w:sz w:val="20"/>
                <w:szCs w:val="20"/>
                <w:lang w:val="en-GB"/>
              </w:rPr>
            </w:pPr>
            <w:r w:rsidRPr="0086281A">
              <w:rPr>
                <w:rFonts w:ascii="Calibri" w:hAnsi="Calibri"/>
                <w:sz w:val="20"/>
                <w:szCs w:val="20"/>
                <w:lang w:val="en-GB"/>
              </w:rPr>
              <w:t>(13.4%)</w:t>
            </w:r>
          </w:p>
        </w:tc>
        <w:tc>
          <w:tcPr>
            <w:tcW w:w="1984" w:type="dxa"/>
            <w:shd w:val="clear" w:color="auto" w:fill="auto"/>
          </w:tcPr>
          <w:p w:rsidR="00E47097" w:rsidRPr="0086281A" w:rsidRDefault="0038157F" w:rsidP="005B25AF">
            <w:pPr>
              <w:jc w:val="center"/>
              <w:rPr>
                <w:rFonts w:ascii="Calibri" w:hAnsi="Calibri"/>
                <w:sz w:val="20"/>
                <w:szCs w:val="20"/>
                <w:lang w:val="en-GB"/>
              </w:rPr>
            </w:pPr>
            <w:r w:rsidRPr="0086281A">
              <w:rPr>
                <w:rFonts w:ascii="Calibri" w:hAnsi="Calibri"/>
                <w:sz w:val="20"/>
                <w:szCs w:val="20"/>
                <w:lang w:val="en-GB"/>
              </w:rPr>
              <w:t xml:space="preserve">22 </w:t>
            </w:r>
            <w:r w:rsidRPr="0086281A">
              <w:rPr>
                <w:rFonts w:ascii="Calibri" w:hAnsi="Calibri" w:cs="Times"/>
                <w:vertAlign w:val="superscript"/>
                <w:lang w:val="en-GB"/>
              </w:rPr>
              <w:t>†</w:t>
            </w:r>
          </w:p>
          <w:p w:rsidR="00E47097" w:rsidRPr="0086281A" w:rsidRDefault="00E47097" w:rsidP="0038157F">
            <w:pPr>
              <w:jc w:val="center"/>
              <w:rPr>
                <w:rFonts w:ascii="Calibri" w:hAnsi="Calibri"/>
                <w:sz w:val="20"/>
                <w:szCs w:val="20"/>
                <w:lang w:val="en-GB"/>
              </w:rPr>
            </w:pPr>
            <w:r w:rsidRPr="0086281A">
              <w:rPr>
                <w:rFonts w:ascii="Calibri" w:hAnsi="Calibri"/>
                <w:sz w:val="20"/>
                <w:szCs w:val="20"/>
                <w:lang w:val="en-GB"/>
              </w:rPr>
              <w:t>(</w:t>
            </w:r>
            <w:r w:rsidR="0038157F" w:rsidRPr="0086281A">
              <w:rPr>
                <w:rFonts w:ascii="Calibri" w:hAnsi="Calibri"/>
                <w:sz w:val="20"/>
                <w:szCs w:val="20"/>
                <w:lang w:val="en-GB"/>
              </w:rPr>
              <w:t>44.9</w:t>
            </w:r>
            <w:r w:rsidRPr="0086281A">
              <w:rPr>
                <w:rFonts w:ascii="Calibri" w:hAnsi="Calibri"/>
                <w:sz w:val="20"/>
                <w:szCs w:val="20"/>
                <w:lang w:val="en-GB"/>
              </w:rPr>
              <w:t>%)</w:t>
            </w:r>
          </w:p>
        </w:tc>
        <w:tc>
          <w:tcPr>
            <w:tcW w:w="2268" w:type="dxa"/>
            <w:shd w:val="clear" w:color="auto" w:fill="auto"/>
          </w:tcPr>
          <w:p w:rsidR="00E47097" w:rsidRPr="0086281A" w:rsidRDefault="0038157F" w:rsidP="005B25AF">
            <w:pPr>
              <w:jc w:val="center"/>
              <w:rPr>
                <w:rFonts w:ascii="Calibri" w:hAnsi="Calibri"/>
                <w:sz w:val="20"/>
                <w:szCs w:val="20"/>
                <w:lang w:val="en-GB"/>
              </w:rPr>
            </w:pPr>
            <w:r w:rsidRPr="0086281A">
              <w:rPr>
                <w:rFonts w:ascii="Calibri" w:hAnsi="Calibri"/>
                <w:sz w:val="20"/>
                <w:szCs w:val="20"/>
                <w:lang w:val="en-GB"/>
              </w:rPr>
              <w:t xml:space="preserve">16 </w:t>
            </w:r>
            <w:r w:rsidRPr="0086281A">
              <w:rPr>
                <w:rFonts w:ascii="Calibri" w:hAnsi="Calibri" w:cs="Times"/>
                <w:vertAlign w:val="superscript"/>
                <w:lang w:val="en-GB"/>
              </w:rPr>
              <w:t>¥</w:t>
            </w:r>
          </w:p>
          <w:p w:rsidR="00E47097" w:rsidRPr="0086281A" w:rsidRDefault="0038157F" w:rsidP="005B25AF">
            <w:pPr>
              <w:jc w:val="center"/>
              <w:rPr>
                <w:rFonts w:ascii="Calibri" w:hAnsi="Calibri"/>
                <w:sz w:val="20"/>
                <w:szCs w:val="20"/>
                <w:lang w:val="en-GB"/>
              </w:rPr>
            </w:pPr>
            <w:r w:rsidRPr="0086281A">
              <w:rPr>
                <w:rFonts w:ascii="Calibri" w:hAnsi="Calibri"/>
                <w:sz w:val="20"/>
                <w:szCs w:val="20"/>
                <w:lang w:val="en-GB"/>
              </w:rPr>
              <w:t>(32.7</w:t>
            </w:r>
            <w:r w:rsidR="00E47097" w:rsidRPr="0086281A">
              <w:rPr>
                <w:rFonts w:ascii="Calibri" w:hAnsi="Calibri"/>
                <w:sz w:val="20"/>
                <w:szCs w:val="20"/>
                <w:lang w:val="en-GB"/>
              </w:rPr>
              <w:t>%)</w:t>
            </w:r>
          </w:p>
        </w:tc>
        <w:tc>
          <w:tcPr>
            <w:tcW w:w="2835" w:type="dxa"/>
            <w:shd w:val="clear" w:color="auto" w:fill="auto"/>
          </w:tcPr>
          <w:p w:rsidR="00E47097" w:rsidRPr="0086281A" w:rsidRDefault="00535193" w:rsidP="005B25AF">
            <w:pPr>
              <w:jc w:val="center"/>
              <w:rPr>
                <w:rFonts w:ascii="Calibri" w:hAnsi="Calibri"/>
                <w:sz w:val="20"/>
                <w:szCs w:val="20"/>
                <w:lang w:val="en-GB"/>
              </w:rPr>
            </w:pPr>
            <w:r w:rsidRPr="0086281A">
              <w:rPr>
                <w:rFonts w:ascii="Calibri" w:hAnsi="Calibri"/>
                <w:sz w:val="20"/>
                <w:szCs w:val="20"/>
                <w:lang w:val="en-GB"/>
              </w:rPr>
              <w:t>24</w:t>
            </w:r>
          </w:p>
          <w:p w:rsidR="00E47097" w:rsidRPr="0086281A" w:rsidRDefault="00E47097" w:rsidP="00535193">
            <w:pPr>
              <w:jc w:val="center"/>
              <w:rPr>
                <w:rFonts w:ascii="Calibri" w:hAnsi="Calibri"/>
                <w:sz w:val="20"/>
                <w:szCs w:val="20"/>
                <w:lang w:val="en-GB"/>
              </w:rPr>
            </w:pPr>
            <w:r w:rsidRPr="0086281A">
              <w:rPr>
                <w:rFonts w:ascii="Calibri" w:hAnsi="Calibri"/>
                <w:sz w:val="20"/>
                <w:szCs w:val="20"/>
                <w:lang w:val="en-GB"/>
              </w:rPr>
              <w:t>(</w:t>
            </w:r>
            <w:r w:rsidR="00535193" w:rsidRPr="0086281A">
              <w:rPr>
                <w:rFonts w:ascii="Calibri" w:hAnsi="Calibri"/>
                <w:sz w:val="20"/>
                <w:szCs w:val="20"/>
                <w:lang w:val="en-GB"/>
              </w:rPr>
              <w:t>49</w:t>
            </w:r>
            <w:r w:rsidRPr="0086281A">
              <w:rPr>
                <w:rFonts w:ascii="Calibri" w:hAnsi="Calibri"/>
                <w:sz w:val="20"/>
                <w:szCs w:val="20"/>
                <w:lang w:val="en-GB"/>
              </w:rPr>
              <w:t>%)</w:t>
            </w:r>
          </w:p>
        </w:tc>
        <w:tc>
          <w:tcPr>
            <w:tcW w:w="2693" w:type="dxa"/>
            <w:shd w:val="clear" w:color="auto" w:fill="auto"/>
          </w:tcPr>
          <w:p w:rsidR="00E47097" w:rsidRPr="0086281A" w:rsidRDefault="00041A94" w:rsidP="005B25AF">
            <w:pPr>
              <w:jc w:val="center"/>
              <w:rPr>
                <w:rFonts w:ascii="Calibri" w:hAnsi="Calibri"/>
                <w:sz w:val="20"/>
                <w:szCs w:val="20"/>
                <w:lang w:val="en-GB"/>
              </w:rPr>
            </w:pPr>
            <w:r w:rsidRPr="0086281A">
              <w:rPr>
                <w:rFonts w:ascii="Calibri" w:hAnsi="Calibri"/>
                <w:sz w:val="20"/>
                <w:szCs w:val="20"/>
                <w:lang w:val="en-GB"/>
              </w:rPr>
              <w:t>29</w:t>
            </w:r>
            <w:r w:rsidR="0038157F" w:rsidRPr="0086281A">
              <w:rPr>
                <w:rFonts w:ascii="Calibri" w:hAnsi="Calibri"/>
                <w:sz w:val="20"/>
                <w:szCs w:val="20"/>
                <w:lang w:val="en-GB"/>
              </w:rPr>
              <w:t xml:space="preserve"> </w:t>
            </w:r>
            <w:r w:rsidR="0038157F" w:rsidRPr="0086281A">
              <w:rPr>
                <w:rFonts w:ascii="Calibri" w:hAnsi="Calibri" w:cs="Times"/>
                <w:vertAlign w:val="superscript"/>
                <w:lang w:val="en-GB"/>
              </w:rPr>
              <w:t>†</w:t>
            </w:r>
          </w:p>
          <w:p w:rsidR="00E47097" w:rsidRPr="0086281A" w:rsidRDefault="00E47097" w:rsidP="00041A94">
            <w:pPr>
              <w:jc w:val="center"/>
              <w:rPr>
                <w:rFonts w:ascii="Calibri" w:hAnsi="Calibri"/>
                <w:sz w:val="20"/>
                <w:szCs w:val="20"/>
                <w:lang w:val="en-GB"/>
              </w:rPr>
            </w:pPr>
            <w:r w:rsidRPr="0086281A">
              <w:rPr>
                <w:rFonts w:ascii="Calibri" w:hAnsi="Calibri"/>
                <w:sz w:val="20"/>
                <w:szCs w:val="20"/>
                <w:lang w:val="en-GB"/>
              </w:rPr>
              <w:t>(</w:t>
            </w:r>
            <w:r w:rsidR="00041A94" w:rsidRPr="0086281A">
              <w:rPr>
                <w:rFonts w:ascii="Calibri" w:hAnsi="Calibri"/>
                <w:sz w:val="20"/>
                <w:szCs w:val="20"/>
                <w:lang w:val="en-GB"/>
              </w:rPr>
              <w:t>59.2</w:t>
            </w:r>
            <w:r w:rsidRPr="0086281A">
              <w:rPr>
                <w:rFonts w:ascii="Calibri" w:hAnsi="Calibri"/>
                <w:sz w:val="20"/>
                <w:szCs w:val="20"/>
                <w:lang w:val="en-GB"/>
              </w:rPr>
              <w:t>%)</w:t>
            </w:r>
          </w:p>
        </w:tc>
      </w:tr>
      <w:tr w:rsidR="00E47097" w:rsidRPr="0086281A" w:rsidTr="00E47097">
        <w:trPr>
          <w:trHeight w:val="300"/>
        </w:trPr>
        <w:tc>
          <w:tcPr>
            <w:tcW w:w="709" w:type="dxa"/>
            <w:vMerge/>
            <w:shd w:val="clear" w:color="auto" w:fill="8DB3E2" w:themeFill="text2" w:themeFillTint="66"/>
          </w:tcPr>
          <w:p w:rsidR="00E47097" w:rsidRPr="0086281A" w:rsidRDefault="00E47097" w:rsidP="005B25AF">
            <w:pPr>
              <w:jc w:val="center"/>
              <w:rPr>
                <w:rFonts w:ascii="Calibri" w:hAnsi="Calibri"/>
                <w:i/>
                <w:sz w:val="20"/>
                <w:szCs w:val="20"/>
                <w:lang w:val="en-GB"/>
              </w:rPr>
            </w:pPr>
          </w:p>
        </w:tc>
        <w:tc>
          <w:tcPr>
            <w:tcW w:w="993" w:type="dxa"/>
            <w:vMerge/>
            <w:shd w:val="clear" w:color="auto" w:fill="auto"/>
          </w:tcPr>
          <w:p w:rsidR="00E47097" w:rsidRPr="0086281A" w:rsidRDefault="00E47097" w:rsidP="005B25AF">
            <w:pPr>
              <w:jc w:val="center"/>
              <w:rPr>
                <w:rFonts w:ascii="Calibri" w:hAnsi="Calibri"/>
                <w:sz w:val="20"/>
                <w:szCs w:val="20"/>
                <w:lang w:val="en-GB"/>
              </w:rPr>
            </w:pPr>
          </w:p>
        </w:tc>
        <w:tc>
          <w:tcPr>
            <w:tcW w:w="9780" w:type="dxa"/>
            <w:gridSpan w:val="4"/>
            <w:shd w:val="clear" w:color="auto" w:fill="D9D9D9" w:themeFill="background1" w:themeFillShade="D9"/>
          </w:tcPr>
          <w:p w:rsidR="00E47097" w:rsidRPr="0086281A" w:rsidRDefault="00E47097" w:rsidP="003F4980">
            <w:pPr>
              <w:tabs>
                <w:tab w:val="left" w:pos="243"/>
                <w:tab w:val="center" w:pos="317"/>
              </w:tabs>
              <w:jc w:val="center"/>
              <w:rPr>
                <w:rFonts w:ascii="Calibri" w:hAnsi="Calibri"/>
                <w:sz w:val="20"/>
                <w:szCs w:val="20"/>
                <w:lang w:val="en-GB"/>
              </w:rPr>
            </w:pPr>
            <w:r w:rsidRPr="0086281A">
              <w:rPr>
                <w:rFonts w:ascii="Calibri" w:hAnsi="Calibri"/>
                <w:b/>
                <w:sz w:val="20"/>
                <w:szCs w:val="20"/>
                <w:lang w:val="en-GB"/>
              </w:rPr>
              <w:t>eGFR</w:t>
            </w:r>
            <w:r w:rsidR="00535193" w:rsidRPr="0086281A">
              <w:rPr>
                <w:rFonts w:ascii="Calibri" w:hAnsi="Calibri"/>
                <w:b/>
                <w:sz w:val="20"/>
                <w:szCs w:val="20"/>
                <w:lang w:val="en-GB"/>
              </w:rPr>
              <w:t xml:space="preserve"> &lt; mGFR</w:t>
            </w:r>
          </w:p>
          <w:p w:rsidR="00E47097" w:rsidRPr="0086281A" w:rsidRDefault="00E47097" w:rsidP="00E47097">
            <w:pPr>
              <w:tabs>
                <w:tab w:val="left" w:pos="243"/>
                <w:tab w:val="center" w:pos="317"/>
              </w:tabs>
              <w:jc w:val="center"/>
              <w:rPr>
                <w:rFonts w:ascii="Calibri" w:hAnsi="Calibri"/>
                <w:sz w:val="20"/>
                <w:szCs w:val="20"/>
                <w:lang w:val="en-GB"/>
              </w:rPr>
            </w:pPr>
          </w:p>
        </w:tc>
      </w:tr>
      <w:tr w:rsidR="00E47097" w:rsidRPr="0086281A" w:rsidTr="00113182">
        <w:trPr>
          <w:trHeight w:val="299"/>
        </w:trPr>
        <w:tc>
          <w:tcPr>
            <w:tcW w:w="709" w:type="dxa"/>
            <w:vMerge/>
            <w:shd w:val="clear" w:color="auto" w:fill="8DB3E2" w:themeFill="text2" w:themeFillTint="66"/>
          </w:tcPr>
          <w:p w:rsidR="00E47097" w:rsidRPr="0086281A" w:rsidRDefault="00E47097" w:rsidP="005B25AF">
            <w:pPr>
              <w:jc w:val="center"/>
              <w:rPr>
                <w:rFonts w:ascii="Calibri" w:hAnsi="Calibri"/>
                <w:i/>
                <w:sz w:val="20"/>
                <w:szCs w:val="20"/>
                <w:lang w:val="en-GB"/>
              </w:rPr>
            </w:pPr>
          </w:p>
        </w:tc>
        <w:tc>
          <w:tcPr>
            <w:tcW w:w="993" w:type="dxa"/>
            <w:vMerge/>
            <w:shd w:val="clear" w:color="auto" w:fill="auto"/>
          </w:tcPr>
          <w:p w:rsidR="00E47097" w:rsidRPr="0086281A" w:rsidRDefault="00E47097" w:rsidP="005B25AF">
            <w:pPr>
              <w:jc w:val="center"/>
              <w:rPr>
                <w:rFonts w:ascii="Calibri" w:hAnsi="Calibri"/>
                <w:sz w:val="20"/>
                <w:szCs w:val="20"/>
                <w:lang w:val="en-GB"/>
              </w:rPr>
            </w:pPr>
          </w:p>
        </w:tc>
        <w:tc>
          <w:tcPr>
            <w:tcW w:w="1984" w:type="dxa"/>
            <w:shd w:val="clear" w:color="auto" w:fill="D9D9D9" w:themeFill="background1" w:themeFillShade="D9"/>
          </w:tcPr>
          <w:p w:rsidR="00E47097" w:rsidRPr="0086281A" w:rsidRDefault="0038157F" w:rsidP="00E47097">
            <w:pPr>
              <w:jc w:val="center"/>
              <w:rPr>
                <w:rFonts w:ascii="Calibri" w:hAnsi="Calibri"/>
                <w:sz w:val="20"/>
                <w:szCs w:val="20"/>
                <w:lang w:val="en-GB"/>
              </w:rPr>
            </w:pPr>
            <w:r w:rsidRPr="0086281A">
              <w:rPr>
                <w:rFonts w:ascii="Calibri" w:hAnsi="Calibri"/>
                <w:sz w:val="20"/>
                <w:szCs w:val="20"/>
                <w:lang w:val="en-GB"/>
              </w:rPr>
              <w:t xml:space="preserve">5 </w:t>
            </w:r>
            <w:r w:rsidRPr="0086281A">
              <w:rPr>
                <w:rFonts w:ascii="Calibri" w:hAnsi="Calibri" w:cs="Times"/>
                <w:vertAlign w:val="superscript"/>
                <w:lang w:val="en-GB"/>
              </w:rPr>
              <w:t>* ¥ †</w:t>
            </w:r>
          </w:p>
          <w:p w:rsidR="00E47097" w:rsidRPr="0086281A" w:rsidRDefault="00E47097" w:rsidP="0038157F">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38157F" w:rsidRPr="0086281A">
              <w:rPr>
                <w:rFonts w:ascii="Calibri" w:hAnsi="Calibri"/>
                <w:sz w:val="20"/>
                <w:szCs w:val="20"/>
                <w:lang w:val="en-GB"/>
              </w:rPr>
              <w:t>10.2</w:t>
            </w:r>
            <w:r w:rsidRPr="0086281A">
              <w:rPr>
                <w:rFonts w:ascii="Calibri" w:hAnsi="Calibri"/>
                <w:sz w:val="20"/>
                <w:szCs w:val="20"/>
                <w:lang w:val="en-GB"/>
              </w:rPr>
              <w:t>%)</w:t>
            </w:r>
          </w:p>
        </w:tc>
        <w:tc>
          <w:tcPr>
            <w:tcW w:w="2268" w:type="dxa"/>
            <w:shd w:val="clear" w:color="auto" w:fill="D9D9D9" w:themeFill="background1" w:themeFillShade="D9"/>
          </w:tcPr>
          <w:p w:rsidR="00E47097" w:rsidRPr="0086281A" w:rsidRDefault="0038157F" w:rsidP="00E47097">
            <w:pPr>
              <w:jc w:val="center"/>
              <w:rPr>
                <w:rFonts w:ascii="Calibri" w:hAnsi="Calibri"/>
                <w:sz w:val="20"/>
                <w:szCs w:val="20"/>
                <w:lang w:val="en-GB"/>
              </w:rPr>
            </w:pPr>
            <w:r w:rsidRPr="0086281A">
              <w:rPr>
                <w:rFonts w:ascii="Calibri" w:hAnsi="Calibri"/>
                <w:sz w:val="20"/>
                <w:szCs w:val="20"/>
                <w:lang w:val="en-GB"/>
              </w:rPr>
              <w:t xml:space="preserve">23 </w:t>
            </w:r>
            <w:r w:rsidRPr="0086281A">
              <w:rPr>
                <w:rFonts w:ascii="Calibri" w:hAnsi="Calibri" w:cs="Times"/>
                <w:vertAlign w:val="superscript"/>
                <w:lang w:val="en-GB"/>
              </w:rPr>
              <w:t>* ¥</w:t>
            </w:r>
          </w:p>
          <w:p w:rsidR="00E47097" w:rsidRPr="0086281A" w:rsidRDefault="0038157F"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(46.9</w:t>
            </w:r>
            <w:r w:rsidR="00E47097" w:rsidRPr="0086281A">
              <w:rPr>
                <w:rFonts w:ascii="Calibri" w:hAnsi="Calibri"/>
                <w:sz w:val="20"/>
                <w:szCs w:val="20"/>
                <w:lang w:val="en-GB"/>
              </w:rPr>
              <w:t>%)</w:t>
            </w:r>
          </w:p>
        </w:tc>
        <w:tc>
          <w:tcPr>
            <w:tcW w:w="2835" w:type="dxa"/>
            <w:shd w:val="clear" w:color="auto" w:fill="D9D9D9" w:themeFill="background1" w:themeFillShade="D9"/>
          </w:tcPr>
          <w:p w:rsidR="00E47097" w:rsidRPr="0086281A" w:rsidRDefault="00535193" w:rsidP="00E47097">
            <w:pPr>
              <w:jc w:val="center"/>
              <w:rPr>
                <w:rFonts w:ascii="Calibri" w:hAnsi="Calibri"/>
                <w:sz w:val="20"/>
                <w:szCs w:val="20"/>
                <w:lang w:val="en-GB"/>
              </w:rPr>
            </w:pPr>
            <w:r w:rsidRPr="0086281A">
              <w:rPr>
                <w:rFonts w:ascii="Calibri" w:hAnsi="Calibri"/>
                <w:sz w:val="20"/>
                <w:szCs w:val="20"/>
                <w:lang w:val="en-GB"/>
              </w:rPr>
              <w:t>14</w:t>
            </w:r>
            <w:r w:rsidR="00CC3595" w:rsidRPr="0086281A">
              <w:rPr>
                <w:rFonts w:ascii="Calibri" w:hAnsi="Calibri"/>
                <w:sz w:val="20"/>
                <w:szCs w:val="20"/>
                <w:lang w:val="en-GB"/>
              </w:rPr>
              <w:t xml:space="preserve"> </w:t>
            </w:r>
            <w:r w:rsidR="00CC3595" w:rsidRPr="0086281A">
              <w:rPr>
                <w:rFonts w:ascii="Calibri" w:hAnsi="Calibri" w:cs="Times"/>
                <w:vertAlign w:val="superscript"/>
                <w:lang w:val="en-GB"/>
              </w:rPr>
              <w:t>†</w:t>
            </w:r>
          </w:p>
          <w:p w:rsidR="00E47097" w:rsidRPr="0086281A" w:rsidRDefault="00535193"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(28.6</w:t>
            </w:r>
            <w:r w:rsidR="00E47097" w:rsidRPr="0086281A">
              <w:rPr>
                <w:rFonts w:ascii="Calibri" w:hAnsi="Calibri"/>
                <w:sz w:val="20"/>
                <w:szCs w:val="20"/>
                <w:lang w:val="en-GB"/>
              </w:rPr>
              <w:t>%)</w:t>
            </w:r>
          </w:p>
        </w:tc>
        <w:tc>
          <w:tcPr>
            <w:tcW w:w="2693" w:type="dxa"/>
            <w:shd w:val="clear" w:color="auto" w:fill="D9D9D9" w:themeFill="background1" w:themeFillShade="D9"/>
          </w:tcPr>
          <w:p w:rsidR="00E47097" w:rsidRPr="0086281A" w:rsidRDefault="00041A94" w:rsidP="00E47097">
            <w:pPr>
              <w:jc w:val="center"/>
              <w:rPr>
                <w:rFonts w:ascii="Calibri" w:hAnsi="Calibri"/>
                <w:sz w:val="20"/>
                <w:szCs w:val="20"/>
                <w:lang w:val="en-GB"/>
              </w:rPr>
            </w:pPr>
            <w:r w:rsidRPr="0086281A">
              <w:rPr>
                <w:rFonts w:ascii="Calibri" w:hAnsi="Calibri"/>
                <w:sz w:val="20"/>
                <w:szCs w:val="20"/>
                <w:lang w:val="en-GB"/>
              </w:rPr>
              <w:t>12</w:t>
            </w:r>
            <w:r w:rsidR="00CC3595" w:rsidRPr="0086281A">
              <w:rPr>
                <w:rFonts w:ascii="Calibri" w:hAnsi="Calibri"/>
                <w:sz w:val="20"/>
                <w:szCs w:val="20"/>
                <w:lang w:val="en-GB"/>
              </w:rPr>
              <w:t xml:space="preserve"> </w:t>
            </w:r>
            <w:r w:rsidR="00CC3595" w:rsidRPr="0086281A">
              <w:rPr>
                <w:rFonts w:ascii="Calibri" w:hAnsi="Calibri" w:cs="Times"/>
                <w:vertAlign w:val="superscript"/>
                <w:lang w:val="en-GB"/>
              </w:rPr>
              <w:t>†</w:t>
            </w:r>
          </w:p>
          <w:p w:rsidR="00E47097" w:rsidRPr="0086281A" w:rsidRDefault="00041A94"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(24.5</w:t>
            </w:r>
            <w:r w:rsidR="00E47097" w:rsidRPr="0086281A">
              <w:rPr>
                <w:rFonts w:ascii="Calibri" w:hAnsi="Calibri"/>
                <w:sz w:val="20"/>
                <w:szCs w:val="20"/>
                <w:lang w:val="en-GB"/>
              </w:rPr>
              <w:t>%)</w:t>
            </w:r>
          </w:p>
        </w:tc>
      </w:tr>
      <w:tr w:rsidR="00E47097" w:rsidRPr="0086281A" w:rsidTr="00113182">
        <w:trPr>
          <w:trHeight w:val="182"/>
        </w:trPr>
        <w:tc>
          <w:tcPr>
            <w:tcW w:w="709" w:type="dxa"/>
            <w:vMerge w:val="restart"/>
            <w:shd w:val="clear" w:color="auto" w:fill="8DB3E2" w:themeFill="text2" w:themeFillTint="66"/>
          </w:tcPr>
          <w:p w:rsidR="00E47097" w:rsidRPr="0086281A" w:rsidRDefault="00E47097" w:rsidP="005B25AF">
            <w:pPr>
              <w:jc w:val="center"/>
              <w:rPr>
                <w:rFonts w:ascii="Calibri" w:hAnsi="Calibri"/>
                <w:i/>
                <w:sz w:val="20"/>
                <w:szCs w:val="20"/>
                <w:lang w:val="en-GB"/>
              </w:rPr>
            </w:pPr>
            <w:r w:rsidRPr="0086281A">
              <w:rPr>
                <w:rFonts w:ascii="Calibri" w:hAnsi="Calibri"/>
                <w:i/>
                <w:sz w:val="20"/>
                <w:szCs w:val="20"/>
                <w:lang w:val="en-GB"/>
              </w:rPr>
              <w:t>Stage 2</w:t>
            </w:r>
          </w:p>
          <w:p w:rsidR="00E47097" w:rsidRPr="0086281A" w:rsidRDefault="00E47097" w:rsidP="005B25AF">
            <w:pPr>
              <w:jc w:val="center"/>
              <w:rPr>
                <w:rFonts w:ascii="Calibri" w:hAnsi="Calibri"/>
                <w:i/>
                <w:sz w:val="20"/>
                <w:szCs w:val="20"/>
                <w:lang w:val="en-GB"/>
              </w:rPr>
            </w:pPr>
          </w:p>
        </w:tc>
        <w:tc>
          <w:tcPr>
            <w:tcW w:w="993" w:type="dxa"/>
            <w:vMerge w:val="restart"/>
            <w:shd w:val="clear" w:color="auto" w:fill="auto"/>
          </w:tcPr>
          <w:p w:rsidR="00E47097" w:rsidRPr="0086281A" w:rsidRDefault="00E47097" w:rsidP="005B25AF">
            <w:pPr>
              <w:jc w:val="center"/>
              <w:rPr>
                <w:rFonts w:ascii="Calibri" w:hAnsi="Calibri"/>
                <w:sz w:val="20"/>
                <w:szCs w:val="20"/>
                <w:lang w:val="en-GB"/>
              </w:rPr>
            </w:pPr>
            <w:r w:rsidRPr="0086281A">
              <w:rPr>
                <w:rFonts w:ascii="Calibri" w:hAnsi="Calibri"/>
                <w:sz w:val="20"/>
                <w:szCs w:val="20"/>
                <w:lang w:val="en-GB"/>
              </w:rPr>
              <w:t>100</w:t>
            </w:r>
          </w:p>
          <w:p w:rsidR="00E47097" w:rsidRPr="0086281A" w:rsidRDefault="00E47097" w:rsidP="005B25AF">
            <w:pPr>
              <w:jc w:val="center"/>
              <w:rPr>
                <w:rFonts w:ascii="Calibri" w:hAnsi="Calibri"/>
                <w:sz w:val="20"/>
                <w:szCs w:val="20"/>
                <w:lang w:val="en-GB"/>
              </w:rPr>
            </w:pPr>
            <w:r w:rsidRPr="0086281A">
              <w:rPr>
                <w:rFonts w:ascii="Calibri" w:hAnsi="Calibri"/>
                <w:sz w:val="20"/>
                <w:szCs w:val="20"/>
                <w:lang w:val="en-GB"/>
              </w:rPr>
              <w:t>(27.3%)</w:t>
            </w:r>
          </w:p>
        </w:tc>
        <w:tc>
          <w:tcPr>
            <w:tcW w:w="1984" w:type="dxa"/>
            <w:shd w:val="clear" w:color="auto" w:fill="auto"/>
          </w:tcPr>
          <w:p w:rsidR="00E47097" w:rsidRPr="0086281A" w:rsidRDefault="00A370A4" w:rsidP="005B25AF">
            <w:pPr>
              <w:jc w:val="center"/>
              <w:rPr>
                <w:rFonts w:ascii="Calibri" w:hAnsi="Calibri"/>
                <w:sz w:val="20"/>
                <w:szCs w:val="20"/>
                <w:lang w:val="en-GB"/>
              </w:rPr>
            </w:pPr>
            <w:r w:rsidRPr="0086281A">
              <w:rPr>
                <w:rFonts w:ascii="Calibri" w:hAnsi="Calibri"/>
                <w:sz w:val="20"/>
                <w:szCs w:val="20"/>
                <w:lang w:val="en-GB"/>
              </w:rPr>
              <w:t>39</w:t>
            </w:r>
          </w:p>
          <w:p w:rsidR="00E47097" w:rsidRPr="0086281A" w:rsidRDefault="00E47097" w:rsidP="004B62F3">
            <w:pPr>
              <w:jc w:val="center"/>
              <w:rPr>
                <w:rFonts w:ascii="Calibri" w:hAnsi="Calibri"/>
                <w:sz w:val="20"/>
                <w:szCs w:val="20"/>
                <w:lang w:val="en-GB"/>
              </w:rPr>
            </w:pPr>
            <w:r w:rsidRPr="0086281A">
              <w:rPr>
                <w:rFonts w:ascii="Calibri" w:hAnsi="Calibri"/>
                <w:sz w:val="20"/>
                <w:szCs w:val="20"/>
                <w:lang w:val="en-GB"/>
              </w:rPr>
              <w:t>(</w:t>
            </w:r>
            <w:r w:rsidR="0042478D" w:rsidRPr="0086281A">
              <w:rPr>
                <w:rFonts w:ascii="Calibri" w:hAnsi="Calibri"/>
                <w:sz w:val="20"/>
                <w:szCs w:val="20"/>
                <w:lang w:val="en-GB"/>
              </w:rPr>
              <w:t>39</w:t>
            </w:r>
            <w:r w:rsidRPr="0086281A">
              <w:rPr>
                <w:rFonts w:ascii="Calibri" w:hAnsi="Calibri"/>
                <w:sz w:val="20"/>
                <w:szCs w:val="20"/>
                <w:lang w:val="en-GB"/>
              </w:rPr>
              <w:t>%)</w:t>
            </w:r>
          </w:p>
        </w:tc>
        <w:tc>
          <w:tcPr>
            <w:tcW w:w="2268" w:type="dxa"/>
            <w:shd w:val="clear" w:color="auto" w:fill="auto"/>
          </w:tcPr>
          <w:p w:rsidR="00E47097" w:rsidRPr="0086281A" w:rsidRDefault="00A370A4" w:rsidP="005B25AF">
            <w:pPr>
              <w:jc w:val="center"/>
              <w:rPr>
                <w:rFonts w:ascii="Calibri" w:hAnsi="Calibri"/>
                <w:sz w:val="20"/>
                <w:szCs w:val="20"/>
                <w:lang w:val="en-GB"/>
              </w:rPr>
            </w:pPr>
            <w:r w:rsidRPr="0086281A">
              <w:rPr>
                <w:rFonts w:ascii="Calibri" w:hAnsi="Calibri"/>
                <w:sz w:val="20"/>
                <w:szCs w:val="20"/>
                <w:lang w:val="en-GB"/>
              </w:rPr>
              <w:t>45</w:t>
            </w:r>
          </w:p>
          <w:p w:rsidR="00E47097" w:rsidRPr="0086281A" w:rsidRDefault="004B62F3" w:rsidP="005B25AF">
            <w:pPr>
              <w:jc w:val="center"/>
              <w:rPr>
                <w:rFonts w:ascii="Calibri" w:hAnsi="Calibri"/>
                <w:sz w:val="20"/>
                <w:szCs w:val="20"/>
                <w:lang w:val="en-GB"/>
              </w:rPr>
            </w:pPr>
            <w:r w:rsidRPr="0086281A">
              <w:rPr>
                <w:rFonts w:ascii="Calibri" w:hAnsi="Calibri"/>
                <w:sz w:val="20"/>
                <w:szCs w:val="20"/>
                <w:lang w:val="en-GB"/>
              </w:rPr>
              <w:t>(</w:t>
            </w:r>
            <w:r w:rsidR="0042478D" w:rsidRPr="0086281A">
              <w:rPr>
                <w:rFonts w:ascii="Calibri" w:hAnsi="Calibri"/>
                <w:sz w:val="20"/>
                <w:szCs w:val="20"/>
                <w:lang w:val="en-GB"/>
              </w:rPr>
              <w:t>45</w:t>
            </w:r>
            <w:r w:rsidR="00E47097" w:rsidRPr="0086281A">
              <w:rPr>
                <w:rFonts w:ascii="Calibri" w:hAnsi="Calibri"/>
                <w:sz w:val="20"/>
                <w:szCs w:val="20"/>
                <w:lang w:val="en-GB"/>
              </w:rPr>
              <w:t>%)</w:t>
            </w:r>
          </w:p>
        </w:tc>
        <w:tc>
          <w:tcPr>
            <w:tcW w:w="2835" w:type="dxa"/>
            <w:shd w:val="clear" w:color="auto" w:fill="auto"/>
          </w:tcPr>
          <w:p w:rsidR="00E47097" w:rsidRPr="0086281A" w:rsidRDefault="0042478D" w:rsidP="005B25AF">
            <w:pPr>
              <w:jc w:val="center"/>
              <w:rPr>
                <w:rFonts w:ascii="Calibri" w:hAnsi="Calibri"/>
                <w:sz w:val="20"/>
                <w:szCs w:val="20"/>
                <w:lang w:val="en-GB"/>
              </w:rPr>
            </w:pPr>
            <w:r w:rsidRPr="0086281A">
              <w:rPr>
                <w:rFonts w:ascii="Calibri" w:hAnsi="Calibri"/>
                <w:sz w:val="20"/>
                <w:szCs w:val="20"/>
                <w:lang w:val="en-GB"/>
              </w:rPr>
              <w:t>43</w:t>
            </w:r>
          </w:p>
          <w:p w:rsidR="00E47097" w:rsidRPr="0086281A" w:rsidRDefault="004B62F3" w:rsidP="005B25AF">
            <w:pPr>
              <w:jc w:val="center"/>
              <w:rPr>
                <w:rFonts w:ascii="Calibri" w:hAnsi="Calibri"/>
                <w:sz w:val="20"/>
                <w:szCs w:val="20"/>
                <w:lang w:val="en-GB"/>
              </w:rPr>
            </w:pPr>
            <w:r w:rsidRPr="0086281A">
              <w:rPr>
                <w:rFonts w:ascii="Calibri" w:hAnsi="Calibri"/>
                <w:sz w:val="20"/>
                <w:szCs w:val="20"/>
                <w:lang w:val="en-GB"/>
              </w:rPr>
              <w:t>(</w:t>
            </w:r>
            <w:r w:rsidR="0042478D" w:rsidRPr="0086281A">
              <w:rPr>
                <w:rFonts w:ascii="Calibri" w:hAnsi="Calibri"/>
                <w:sz w:val="20"/>
                <w:szCs w:val="20"/>
                <w:lang w:val="en-GB"/>
              </w:rPr>
              <w:t>43</w:t>
            </w:r>
            <w:r w:rsidR="00E47097" w:rsidRPr="0086281A">
              <w:rPr>
                <w:rFonts w:ascii="Calibri" w:hAnsi="Calibri"/>
                <w:sz w:val="20"/>
                <w:szCs w:val="20"/>
                <w:lang w:val="en-GB"/>
              </w:rPr>
              <w:t>%)</w:t>
            </w:r>
          </w:p>
        </w:tc>
        <w:tc>
          <w:tcPr>
            <w:tcW w:w="2693" w:type="dxa"/>
            <w:shd w:val="clear" w:color="auto" w:fill="auto"/>
          </w:tcPr>
          <w:p w:rsidR="00E47097" w:rsidRPr="0086281A" w:rsidRDefault="0042478D" w:rsidP="005B25AF">
            <w:pPr>
              <w:jc w:val="center"/>
              <w:rPr>
                <w:rFonts w:ascii="Calibri" w:hAnsi="Calibri"/>
                <w:sz w:val="20"/>
                <w:szCs w:val="20"/>
                <w:lang w:val="en-GB"/>
              </w:rPr>
            </w:pPr>
            <w:r w:rsidRPr="0086281A">
              <w:rPr>
                <w:rFonts w:ascii="Calibri" w:hAnsi="Calibri"/>
                <w:sz w:val="20"/>
                <w:szCs w:val="20"/>
                <w:lang w:val="en-GB"/>
              </w:rPr>
              <w:t>46</w:t>
            </w:r>
          </w:p>
          <w:p w:rsidR="00E47097" w:rsidRPr="0086281A" w:rsidRDefault="004B62F3" w:rsidP="005B25AF">
            <w:pPr>
              <w:jc w:val="center"/>
              <w:rPr>
                <w:rFonts w:ascii="Calibri" w:hAnsi="Calibri"/>
                <w:sz w:val="20"/>
                <w:szCs w:val="20"/>
                <w:lang w:val="en-GB"/>
              </w:rPr>
            </w:pPr>
            <w:r w:rsidRPr="0086281A">
              <w:rPr>
                <w:rFonts w:ascii="Calibri" w:hAnsi="Calibri"/>
                <w:sz w:val="20"/>
                <w:szCs w:val="20"/>
                <w:lang w:val="en-GB"/>
              </w:rPr>
              <w:t>(</w:t>
            </w:r>
            <w:r w:rsidR="0042478D" w:rsidRPr="0086281A">
              <w:rPr>
                <w:rFonts w:ascii="Calibri" w:hAnsi="Calibri"/>
                <w:sz w:val="20"/>
                <w:szCs w:val="20"/>
                <w:lang w:val="en-GB"/>
              </w:rPr>
              <w:t>46</w:t>
            </w:r>
            <w:r w:rsidR="00E47097" w:rsidRPr="0086281A">
              <w:rPr>
                <w:rFonts w:ascii="Calibri" w:hAnsi="Calibri"/>
                <w:sz w:val="20"/>
                <w:szCs w:val="20"/>
                <w:lang w:val="en-GB"/>
              </w:rPr>
              <w:t>%)</w:t>
            </w:r>
          </w:p>
        </w:tc>
      </w:tr>
      <w:tr w:rsidR="00E47097" w:rsidRPr="0086281A" w:rsidTr="00E47097">
        <w:trPr>
          <w:trHeight w:val="300"/>
        </w:trPr>
        <w:tc>
          <w:tcPr>
            <w:tcW w:w="709" w:type="dxa"/>
            <w:vMerge/>
            <w:shd w:val="clear" w:color="auto" w:fill="8DB3E2" w:themeFill="text2" w:themeFillTint="66"/>
          </w:tcPr>
          <w:p w:rsidR="00E47097" w:rsidRPr="0086281A" w:rsidRDefault="00E47097" w:rsidP="005B25AF">
            <w:pPr>
              <w:jc w:val="center"/>
              <w:rPr>
                <w:rFonts w:ascii="Calibri" w:hAnsi="Calibri"/>
                <w:i/>
                <w:sz w:val="20"/>
                <w:szCs w:val="20"/>
                <w:lang w:val="en-GB"/>
              </w:rPr>
            </w:pPr>
          </w:p>
        </w:tc>
        <w:tc>
          <w:tcPr>
            <w:tcW w:w="993" w:type="dxa"/>
            <w:vMerge/>
            <w:shd w:val="clear" w:color="auto" w:fill="auto"/>
          </w:tcPr>
          <w:p w:rsidR="00E47097" w:rsidRPr="0086281A" w:rsidRDefault="00E47097" w:rsidP="005B25AF">
            <w:pPr>
              <w:jc w:val="center"/>
              <w:rPr>
                <w:rFonts w:ascii="Calibri" w:hAnsi="Calibri"/>
                <w:sz w:val="20"/>
                <w:szCs w:val="20"/>
                <w:lang w:val="en-GB"/>
              </w:rPr>
            </w:pPr>
          </w:p>
        </w:tc>
        <w:tc>
          <w:tcPr>
            <w:tcW w:w="9780" w:type="dxa"/>
            <w:gridSpan w:val="4"/>
            <w:shd w:val="clear" w:color="auto" w:fill="D9D9D9" w:themeFill="background1" w:themeFillShade="D9"/>
          </w:tcPr>
          <w:p w:rsidR="00E47097" w:rsidRPr="0086281A" w:rsidRDefault="00535193" w:rsidP="00535193">
            <w:pPr>
              <w:tabs>
                <w:tab w:val="left" w:pos="243"/>
                <w:tab w:val="center" w:pos="317"/>
              </w:tabs>
              <w:jc w:val="center"/>
              <w:rPr>
                <w:rFonts w:ascii="Calibri" w:hAnsi="Calibri"/>
                <w:sz w:val="20"/>
                <w:szCs w:val="20"/>
                <w:lang w:val="en-GB"/>
              </w:rPr>
            </w:pPr>
            <w:r w:rsidRPr="0086281A">
              <w:rPr>
                <w:rFonts w:ascii="Calibri" w:hAnsi="Calibri"/>
                <w:b/>
                <w:sz w:val="20"/>
                <w:szCs w:val="20"/>
                <w:lang w:val="en-GB"/>
              </w:rPr>
              <w:t>eGFR &lt; mGFR</w:t>
            </w:r>
          </w:p>
        </w:tc>
      </w:tr>
      <w:tr w:rsidR="00E47097" w:rsidRPr="0086281A" w:rsidTr="00113182">
        <w:trPr>
          <w:trHeight w:val="299"/>
        </w:trPr>
        <w:tc>
          <w:tcPr>
            <w:tcW w:w="709" w:type="dxa"/>
            <w:vMerge/>
            <w:shd w:val="clear" w:color="auto" w:fill="8DB3E2" w:themeFill="text2" w:themeFillTint="66"/>
          </w:tcPr>
          <w:p w:rsidR="00E47097" w:rsidRPr="0086281A" w:rsidRDefault="00E47097" w:rsidP="005B25AF">
            <w:pPr>
              <w:jc w:val="center"/>
              <w:rPr>
                <w:rFonts w:ascii="Calibri" w:hAnsi="Calibri"/>
                <w:i/>
                <w:sz w:val="20"/>
                <w:szCs w:val="20"/>
                <w:lang w:val="en-GB"/>
              </w:rPr>
            </w:pPr>
          </w:p>
        </w:tc>
        <w:tc>
          <w:tcPr>
            <w:tcW w:w="993" w:type="dxa"/>
            <w:vMerge/>
            <w:shd w:val="clear" w:color="auto" w:fill="auto"/>
          </w:tcPr>
          <w:p w:rsidR="00E47097" w:rsidRPr="0086281A" w:rsidRDefault="00E47097" w:rsidP="005B25AF">
            <w:pPr>
              <w:jc w:val="center"/>
              <w:rPr>
                <w:rFonts w:ascii="Calibri" w:hAnsi="Calibri"/>
                <w:sz w:val="20"/>
                <w:szCs w:val="20"/>
                <w:lang w:val="en-GB"/>
              </w:rPr>
            </w:pPr>
          </w:p>
        </w:tc>
        <w:tc>
          <w:tcPr>
            <w:tcW w:w="1984" w:type="dxa"/>
            <w:shd w:val="clear" w:color="auto" w:fill="D9D9D9" w:themeFill="background1" w:themeFillShade="D9"/>
          </w:tcPr>
          <w:p w:rsidR="004B62F3" w:rsidRPr="0086281A" w:rsidRDefault="0042478D" w:rsidP="003F4980">
            <w:pPr>
              <w:tabs>
                <w:tab w:val="left" w:pos="243"/>
                <w:tab w:val="center" w:pos="317"/>
              </w:tabs>
              <w:jc w:val="center"/>
              <w:rPr>
                <w:rFonts w:ascii="Calibri" w:hAnsi="Calibri"/>
                <w:sz w:val="20"/>
                <w:szCs w:val="20"/>
                <w:lang w:val="en-GB"/>
              </w:rPr>
            </w:pPr>
            <w:r w:rsidRPr="0086281A">
              <w:rPr>
                <w:rFonts w:ascii="Calibri" w:hAnsi="Calibri"/>
                <w:sz w:val="20"/>
                <w:szCs w:val="20"/>
                <w:lang w:val="en-GB"/>
              </w:rPr>
              <w:t xml:space="preserve"> </w:t>
            </w:r>
            <w:r w:rsidR="00A370A4" w:rsidRPr="0086281A">
              <w:rPr>
                <w:rFonts w:ascii="Calibri" w:hAnsi="Calibri"/>
                <w:sz w:val="20"/>
                <w:szCs w:val="20"/>
                <w:lang w:val="en-GB"/>
              </w:rPr>
              <w:t xml:space="preserve">9 </w:t>
            </w:r>
            <w:r w:rsidRPr="0086281A">
              <w:rPr>
                <w:rFonts w:ascii="Calibri" w:hAnsi="Calibri" w:cs="Times"/>
                <w:vertAlign w:val="superscript"/>
                <w:lang w:val="en-GB"/>
              </w:rPr>
              <w:t>* ¥ †</w:t>
            </w:r>
          </w:p>
          <w:p w:rsidR="00E47097" w:rsidRPr="0086281A" w:rsidRDefault="004B62F3" w:rsidP="004B62F3">
            <w:pPr>
              <w:tabs>
                <w:tab w:val="left" w:pos="243"/>
                <w:tab w:val="center" w:pos="317"/>
              </w:tabs>
              <w:jc w:val="center"/>
              <w:rPr>
                <w:rFonts w:ascii="Calibri" w:hAnsi="Calibri"/>
                <w:b/>
                <w:sz w:val="20"/>
                <w:szCs w:val="20"/>
                <w:lang w:val="en-GB"/>
              </w:rPr>
            </w:pPr>
            <w:r w:rsidRPr="0086281A">
              <w:rPr>
                <w:rFonts w:ascii="Calibri" w:hAnsi="Calibri"/>
                <w:sz w:val="20"/>
                <w:szCs w:val="20"/>
                <w:lang w:val="en-GB"/>
              </w:rPr>
              <w:t xml:space="preserve"> </w:t>
            </w:r>
            <w:r w:rsidR="00E47097" w:rsidRPr="0086281A">
              <w:rPr>
                <w:rFonts w:ascii="Calibri" w:hAnsi="Calibri"/>
                <w:sz w:val="20"/>
                <w:szCs w:val="20"/>
                <w:lang w:val="en-GB"/>
              </w:rPr>
              <w:t>(</w:t>
            </w:r>
            <w:r w:rsidR="0042478D" w:rsidRPr="0086281A">
              <w:rPr>
                <w:rFonts w:ascii="Calibri" w:hAnsi="Calibri"/>
                <w:sz w:val="20"/>
                <w:szCs w:val="20"/>
                <w:lang w:val="en-GB"/>
              </w:rPr>
              <w:t>9</w:t>
            </w:r>
            <w:r w:rsidR="00E47097" w:rsidRPr="0086281A">
              <w:rPr>
                <w:rFonts w:ascii="Calibri" w:hAnsi="Calibri"/>
                <w:sz w:val="20"/>
                <w:szCs w:val="20"/>
                <w:lang w:val="en-GB"/>
              </w:rPr>
              <w:t>%)</w:t>
            </w:r>
          </w:p>
        </w:tc>
        <w:tc>
          <w:tcPr>
            <w:tcW w:w="2268" w:type="dxa"/>
            <w:shd w:val="clear" w:color="auto" w:fill="D9D9D9" w:themeFill="background1" w:themeFillShade="D9"/>
          </w:tcPr>
          <w:p w:rsidR="004B62F3" w:rsidRPr="0086281A" w:rsidRDefault="00A370A4" w:rsidP="004B62F3">
            <w:pPr>
              <w:tabs>
                <w:tab w:val="left" w:pos="243"/>
                <w:tab w:val="center" w:pos="317"/>
              </w:tabs>
              <w:jc w:val="center"/>
              <w:rPr>
                <w:rFonts w:ascii="Calibri" w:hAnsi="Calibri"/>
                <w:sz w:val="20"/>
                <w:szCs w:val="20"/>
                <w:lang w:val="en-GB"/>
              </w:rPr>
            </w:pPr>
            <w:r w:rsidRPr="0086281A">
              <w:rPr>
                <w:rFonts w:ascii="Calibri" w:hAnsi="Calibri" w:cs="Times"/>
                <w:sz w:val="20"/>
                <w:szCs w:val="20"/>
                <w:lang w:val="en-GB"/>
              </w:rPr>
              <w:t>29</w:t>
            </w:r>
            <w:r w:rsidR="0042478D" w:rsidRPr="0086281A">
              <w:rPr>
                <w:rFonts w:ascii="Calibri" w:hAnsi="Calibri" w:cs="Times"/>
                <w:vertAlign w:val="superscript"/>
                <w:lang w:val="en-GB"/>
              </w:rPr>
              <w:t xml:space="preserve">* ¥ </w:t>
            </w:r>
          </w:p>
          <w:p w:rsidR="00E47097" w:rsidRPr="0086281A" w:rsidRDefault="004B62F3" w:rsidP="004B62F3">
            <w:pPr>
              <w:tabs>
                <w:tab w:val="left" w:pos="243"/>
                <w:tab w:val="center" w:pos="317"/>
              </w:tabs>
              <w:jc w:val="center"/>
              <w:rPr>
                <w:rFonts w:ascii="Calibri" w:hAnsi="Calibri"/>
                <w:b/>
                <w:sz w:val="20"/>
                <w:szCs w:val="20"/>
                <w:lang w:val="en-GB"/>
              </w:rPr>
            </w:pPr>
            <w:r w:rsidRPr="0086281A">
              <w:rPr>
                <w:rFonts w:ascii="Calibri" w:hAnsi="Calibri"/>
                <w:sz w:val="20"/>
                <w:szCs w:val="20"/>
                <w:lang w:val="en-GB"/>
              </w:rPr>
              <w:t xml:space="preserve"> </w:t>
            </w:r>
            <w:r w:rsidR="00E47097" w:rsidRPr="0086281A">
              <w:rPr>
                <w:rFonts w:ascii="Calibri" w:hAnsi="Calibri"/>
                <w:sz w:val="20"/>
                <w:szCs w:val="20"/>
                <w:lang w:val="en-GB"/>
              </w:rPr>
              <w:t>(</w:t>
            </w:r>
            <w:r w:rsidR="0042478D" w:rsidRPr="0086281A">
              <w:rPr>
                <w:rFonts w:ascii="Calibri" w:hAnsi="Calibri"/>
                <w:sz w:val="20"/>
                <w:szCs w:val="20"/>
                <w:lang w:val="en-GB"/>
              </w:rPr>
              <w:t>29</w:t>
            </w:r>
            <w:r w:rsidR="00E47097" w:rsidRPr="0086281A">
              <w:rPr>
                <w:rFonts w:ascii="Calibri" w:hAnsi="Calibri"/>
                <w:sz w:val="20"/>
                <w:szCs w:val="20"/>
                <w:lang w:val="en-GB"/>
              </w:rPr>
              <w:t>%)</w:t>
            </w:r>
          </w:p>
        </w:tc>
        <w:tc>
          <w:tcPr>
            <w:tcW w:w="2835" w:type="dxa"/>
            <w:shd w:val="clear" w:color="auto" w:fill="D9D9D9" w:themeFill="background1" w:themeFillShade="D9"/>
          </w:tcPr>
          <w:p w:rsidR="00E47097" w:rsidRPr="0086281A" w:rsidRDefault="0042478D" w:rsidP="00E47097">
            <w:pPr>
              <w:jc w:val="center"/>
              <w:rPr>
                <w:rFonts w:ascii="Calibri" w:hAnsi="Calibri"/>
                <w:sz w:val="20"/>
                <w:szCs w:val="20"/>
                <w:lang w:val="en-GB"/>
              </w:rPr>
            </w:pPr>
            <w:r w:rsidRPr="0086281A">
              <w:rPr>
                <w:rFonts w:ascii="Calibri" w:hAnsi="Calibri" w:cs="Times"/>
                <w:sz w:val="20"/>
                <w:szCs w:val="20"/>
                <w:lang w:val="en-GB"/>
              </w:rPr>
              <w:t>15</w:t>
            </w:r>
            <w:r w:rsidRPr="0086281A">
              <w:rPr>
                <w:rFonts w:ascii="Calibri" w:hAnsi="Calibri" w:cs="Times"/>
                <w:vertAlign w:val="superscript"/>
                <w:lang w:val="en-GB"/>
              </w:rPr>
              <w:t>†</w:t>
            </w:r>
          </w:p>
          <w:p w:rsidR="00E47097" w:rsidRPr="0086281A" w:rsidRDefault="0042478D"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(15</w:t>
            </w:r>
            <w:r w:rsidR="00E47097" w:rsidRPr="0086281A">
              <w:rPr>
                <w:rFonts w:ascii="Calibri" w:hAnsi="Calibri"/>
                <w:sz w:val="20"/>
                <w:szCs w:val="20"/>
                <w:lang w:val="en-GB"/>
              </w:rPr>
              <w:t>%)</w:t>
            </w:r>
          </w:p>
        </w:tc>
        <w:tc>
          <w:tcPr>
            <w:tcW w:w="2693" w:type="dxa"/>
            <w:shd w:val="clear" w:color="auto" w:fill="D9D9D9" w:themeFill="background1" w:themeFillShade="D9"/>
          </w:tcPr>
          <w:p w:rsidR="00E47097" w:rsidRPr="0086281A" w:rsidRDefault="0042478D" w:rsidP="00E47097">
            <w:pPr>
              <w:jc w:val="center"/>
              <w:rPr>
                <w:rFonts w:ascii="Calibri" w:hAnsi="Calibri"/>
                <w:sz w:val="20"/>
                <w:szCs w:val="20"/>
                <w:lang w:val="en-GB"/>
              </w:rPr>
            </w:pPr>
            <w:r w:rsidRPr="0086281A">
              <w:rPr>
                <w:rFonts w:ascii="Calibri" w:hAnsi="Calibri" w:cs="Times"/>
                <w:sz w:val="20"/>
                <w:szCs w:val="20"/>
                <w:lang w:val="en-GB"/>
              </w:rPr>
              <w:t xml:space="preserve">20 </w:t>
            </w:r>
            <w:r w:rsidRPr="0086281A">
              <w:rPr>
                <w:rFonts w:ascii="Calibri" w:hAnsi="Calibri" w:cs="Times"/>
                <w:vertAlign w:val="superscript"/>
                <w:lang w:val="en-GB"/>
              </w:rPr>
              <w:t>†</w:t>
            </w:r>
          </w:p>
          <w:p w:rsidR="00E47097" w:rsidRPr="0086281A" w:rsidRDefault="004B62F3"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42478D" w:rsidRPr="0086281A">
              <w:rPr>
                <w:rFonts w:ascii="Calibri" w:hAnsi="Calibri"/>
                <w:sz w:val="20"/>
                <w:szCs w:val="20"/>
                <w:lang w:val="en-GB"/>
              </w:rPr>
              <w:t>20</w:t>
            </w:r>
            <w:r w:rsidR="00E47097" w:rsidRPr="0086281A">
              <w:rPr>
                <w:rFonts w:ascii="Calibri" w:hAnsi="Calibri"/>
                <w:sz w:val="20"/>
                <w:szCs w:val="20"/>
                <w:lang w:val="en-GB"/>
              </w:rPr>
              <w:t>%)</w:t>
            </w:r>
          </w:p>
        </w:tc>
      </w:tr>
      <w:tr w:rsidR="00E47097" w:rsidRPr="0086281A" w:rsidTr="00113182">
        <w:trPr>
          <w:trHeight w:val="182"/>
        </w:trPr>
        <w:tc>
          <w:tcPr>
            <w:tcW w:w="709" w:type="dxa"/>
            <w:vMerge w:val="restart"/>
            <w:shd w:val="clear" w:color="auto" w:fill="8DB3E2" w:themeFill="text2" w:themeFillTint="66"/>
          </w:tcPr>
          <w:p w:rsidR="00E47097" w:rsidRPr="0086281A" w:rsidRDefault="00E47097" w:rsidP="005B25AF">
            <w:pPr>
              <w:jc w:val="center"/>
              <w:rPr>
                <w:rFonts w:ascii="Calibri" w:hAnsi="Calibri"/>
                <w:i/>
                <w:sz w:val="20"/>
                <w:szCs w:val="20"/>
                <w:lang w:val="en-GB"/>
              </w:rPr>
            </w:pPr>
            <w:r w:rsidRPr="0086281A">
              <w:rPr>
                <w:rFonts w:ascii="Calibri" w:hAnsi="Calibri"/>
                <w:i/>
                <w:sz w:val="20"/>
                <w:szCs w:val="20"/>
                <w:lang w:val="en-GB"/>
              </w:rPr>
              <w:t>Stage 1</w:t>
            </w:r>
          </w:p>
          <w:p w:rsidR="00E47097" w:rsidRPr="0086281A" w:rsidRDefault="00E47097" w:rsidP="005B25AF">
            <w:pPr>
              <w:jc w:val="center"/>
              <w:rPr>
                <w:rFonts w:ascii="Calibri" w:hAnsi="Calibri"/>
                <w:i/>
                <w:sz w:val="20"/>
                <w:szCs w:val="20"/>
                <w:lang w:val="en-GB"/>
              </w:rPr>
            </w:pPr>
          </w:p>
        </w:tc>
        <w:tc>
          <w:tcPr>
            <w:tcW w:w="993" w:type="dxa"/>
            <w:vMerge w:val="restart"/>
            <w:shd w:val="clear" w:color="auto" w:fill="auto"/>
          </w:tcPr>
          <w:p w:rsidR="00E47097" w:rsidRPr="0086281A" w:rsidRDefault="00E47097" w:rsidP="005B25AF">
            <w:pPr>
              <w:tabs>
                <w:tab w:val="center" w:pos="1119"/>
              </w:tabs>
              <w:jc w:val="center"/>
              <w:rPr>
                <w:rFonts w:ascii="Calibri" w:hAnsi="Calibri"/>
                <w:sz w:val="20"/>
                <w:szCs w:val="20"/>
                <w:lang w:val="en-GB"/>
              </w:rPr>
            </w:pPr>
            <w:r w:rsidRPr="0086281A">
              <w:rPr>
                <w:rFonts w:ascii="Calibri" w:hAnsi="Calibri"/>
                <w:sz w:val="20"/>
                <w:szCs w:val="20"/>
                <w:lang w:val="en-GB"/>
              </w:rPr>
              <w:t>110</w:t>
            </w:r>
          </w:p>
          <w:p w:rsidR="00E47097" w:rsidRPr="0086281A" w:rsidRDefault="00E47097" w:rsidP="005B25AF">
            <w:pPr>
              <w:tabs>
                <w:tab w:val="center" w:pos="1119"/>
              </w:tabs>
              <w:jc w:val="center"/>
              <w:rPr>
                <w:rFonts w:ascii="Calibri" w:hAnsi="Calibri"/>
                <w:sz w:val="20"/>
                <w:szCs w:val="20"/>
                <w:lang w:val="en-GB"/>
              </w:rPr>
            </w:pPr>
            <w:r w:rsidRPr="0086281A">
              <w:rPr>
                <w:rFonts w:ascii="Calibri" w:hAnsi="Calibri"/>
                <w:sz w:val="20"/>
                <w:szCs w:val="20"/>
                <w:lang w:val="en-GB"/>
              </w:rPr>
              <w:t>(30.1%)</w:t>
            </w:r>
          </w:p>
        </w:tc>
        <w:tc>
          <w:tcPr>
            <w:tcW w:w="1984" w:type="dxa"/>
            <w:shd w:val="clear" w:color="auto" w:fill="auto"/>
          </w:tcPr>
          <w:p w:rsidR="00E47097" w:rsidRPr="0086281A" w:rsidRDefault="00F3532C" w:rsidP="005B25AF">
            <w:pPr>
              <w:tabs>
                <w:tab w:val="center" w:pos="1119"/>
              </w:tabs>
              <w:jc w:val="center"/>
              <w:rPr>
                <w:rFonts w:ascii="Calibri" w:hAnsi="Calibri"/>
                <w:sz w:val="20"/>
                <w:szCs w:val="20"/>
                <w:lang w:val="en-GB"/>
              </w:rPr>
            </w:pPr>
            <w:r w:rsidRPr="0086281A">
              <w:rPr>
                <w:rFonts w:ascii="Calibri" w:hAnsi="Calibri" w:cs="Times"/>
                <w:sz w:val="20"/>
                <w:szCs w:val="20"/>
                <w:lang w:val="en-GB"/>
              </w:rPr>
              <w:t>109</w:t>
            </w:r>
            <w:r w:rsidRPr="0086281A">
              <w:rPr>
                <w:rFonts w:ascii="Calibri" w:hAnsi="Calibri" w:cs="Times"/>
                <w:vertAlign w:val="superscript"/>
                <w:lang w:val="en-GB"/>
              </w:rPr>
              <w:t xml:space="preserve"> </w:t>
            </w:r>
            <w:r w:rsidR="00066DB3" w:rsidRPr="0086281A">
              <w:rPr>
                <w:rFonts w:ascii="Calibri" w:hAnsi="Calibri" w:cs="Times"/>
                <w:vertAlign w:val="superscript"/>
                <w:lang w:val="en-GB"/>
              </w:rPr>
              <w:t>¥ †</w:t>
            </w:r>
          </w:p>
          <w:p w:rsidR="00E47097" w:rsidRPr="0086281A" w:rsidRDefault="004B62F3" w:rsidP="004B62F3">
            <w:pPr>
              <w:tabs>
                <w:tab w:val="center" w:pos="1119"/>
              </w:tabs>
              <w:jc w:val="center"/>
              <w:rPr>
                <w:rFonts w:ascii="Calibri" w:hAnsi="Calibri"/>
                <w:sz w:val="20"/>
                <w:szCs w:val="20"/>
                <w:lang w:val="en-GB"/>
              </w:rPr>
            </w:pPr>
            <w:r w:rsidRPr="0086281A">
              <w:rPr>
                <w:rFonts w:ascii="Calibri" w:hAnsi="Calibri"/>
                <w:sz w:val="20"/>
                <w:szCs w:val="20"/>
                <w:lang w:val="en-GB"/>
              </w:rPr>
              <w:t>(</w:t>
            </w:r>
            <w:r w:rsidR="00066DB3" w:rsidRPr="0086281A">
              <w:rPr>
                <w:rFonts w:ascii="Calibri" w:hAnsi="Calibri"/>
                <w:sz w:val="20"/>
                <w:szCs w:val="20"/>
                <w:lang w:val="en-GB"/>
              </w:rPr>
              <w:t>99.1</w:t>
            </w:r>
            <w:r w:rsidR="00E47097" w:rsidRPr="0086281A">
              <w:rPr>
                <w:rFonts w:ascii="Calibri" w:hAnsi="Calibri"/>
                <w:sz w:val="20"/>
                <w:szCs w:val="20"/>
                <w:lang w:val="en-GB"/>
              </w:rPr>
              <w:t>%)</w:t>
            </w:r>
          </w:p>
        </w:tc>
        <w:tc>
          <w:tcPr>
            <w:tcW w:w="2268" w:type="dxa"/>
            <w:shd w:val="clear" w:color="auto" w:fill="auto"/>
          </w:tcPr>
          <w:p w:rsidR="00E47097" w:rsidRPr="0086281A" w:rsidRDefault="00F3532C" w:rsidP="005B25AF">
            <w:pPr>
              <w:jc w:val="center"/>
              <w:rPr>
                <w:rFonts w:ascii="Calibri" w:hAnsi="Calibri"/>
                <w:sz w:val="20"/>
                <w:szCs w:val="20"/>
                <w:lang w:val="en-GB"/>
              </w:rPr>
            </w:pPr>
            <w:r w:rsidRPr="0086281A">
              <w:rPr>
                <w:rFonts w:ascii="Calibri" w:hAnsi="Calibri" w:cs="Times"/>
                <w:sz w:val="20"/>
                <w:szCs w:val="20"/>
                <w:lang w:val="en-GB"/>
              </w:rPr>
              <w:t>88</w:t>
            </w:r>
            <w:r w:rsidR="00066DB3" w:rsidRPr="0086281A">
              <w:rPr>
                <w:rFonts w:ascii="Calibri" w:hAnsi="Calibri" w:cs="Times"/>
                <w:vertAlign w:val="superscript"/>
                <w:lang w:val="en-GB"/>
              </w:rPr>
              <w:t>*</w:t>
            </w:r>
          </w:p>
          <w:p w:rsidR="00E47097" w:rsidRPr="0086281A" w:rsidRDefault="004B62F3" w:rsidP="005B25AF">
            <w:pPr>
              <w:jc w:val="center"/>
              <w:rPr>
                <w:rFonts w:ascii="Calibri" w:hAnsi="Calibri"/>
                <w:sz w:val="20"/>
                <w:szCs w:val="20"/>
                <w:lang w:val="en-GB"/>
              </w:rPr>
            </w:pPr>
            <w:r w:rsidRPr="0086281A">
              <w:rPr>
                <w:rFonts w:ascii="Calibri" w:hAnsi="Calibri"/>
                <w:sz w:val="20"/>
                <w:szCs w:val="20"/>
                <w:lang w:val="en-GB"/>
              </w:rPr>
              <w:t>(</w:t>
            </w:r>
            <w:r w:rsidR="00066DB3" w:rsidRPr="0086281A">
              <w:rPr>
                <w:rFonts w:ascii="Calibri" w:hAnsi="Calibri"/>
                <w:sz w:val="20"/>
                <w:szCs w:val="20"/>
                <w:lang w:val="en-GB"/>
              </w:rPr>
              <w:t>80</w:t>
            </w:r>
            <w:r w:rsidR="00E47097" w:rsidRPr="0086281A">
              <w:rPr>
                <w:rFonts w:ascii="Calibri" w:hAnsi="Calibri"/>
                <w:sz w:val="20"/>
                <w:szCs w:val="20"/>
                <w:lang w:val="en-GB"/>
              </w:rPr>
              <w:t>%)</w:t>
            </w:r>
          </w:p>
        </w:tc>
        <w:tc>
          <w:tcPr>
            <w:tcW w:w="2835" w:type="dxa"/>
            <w:shd w:val="clear" w:color="auto" w:fill="auto"/>
          </w:tcPr>
          <w:p w:rsidR="00E47097" w:rsidRPr="0086281A" w:rsidRDefault="00F3532C" w:rsidP="005B25AF">
            <w:pPr>
              <w:jc w:val="center"/>
              <w:rPr>
                <w:rFonts w:ascii="Calibri" w:hAnsi="Calibri"/>
                <w:sz w:val="20"/>
                <w:szCs w:val="20"/>
                <w:lang w:val="en-GB"/>
              </w:rPr>
            </w:pPr>
            <w:r w:rsidRPr="0086281A">
              <w:rPr>
                <w:rFonts w:ascii="Calibri" w:hAnsi="Calibri" w:cs="Times"/>
                <w:sz w:val="20"/>
                <w:szCs w:val="20"/>
                <w:lang w:val="en-GB"/>
              </w:rPr>
              <w:t>104</w:t>
            </w:r>
            <w:r w:rsidRPr="0086281A">
              <w:rPr>
                <w:rFonts w:ascii="Calibri" w:hAnsi="Calibri" w:cs="Times"/>
                <w:vertAlign w:val="superscript"/>
                <w:lang w:val="en-GB"/>
              </w:rPr>
              <w:t xml:space="preserve"> ¥ </w:t>
            </w:r>
            <w:r w:rsidR="00066DB3" w:rsidRPr="0086281A">
              <w:rPr>
                <w:rFonts w:ascii="Calibri" w:hAnsi="Calibri" w:cs="Times"/>
                <w:vertAlign w:val="superscript"/>
                <w:lang w:val="en-GB"/>
              </w:rPr>
              <w:t>†</w:t>
            </w:r>
          </w:p>
          <w:p w:rsidR="00E47097" w:rsidRPr="0086281A" w:rsidRDefault="004B62F3" w:rsidP="005B25AF">
            <w:pPr>
              <w:jc w:val="center"/>
              <w:rPr>
                <w:rFonts w:ascii="Calibri" w:hAnsi="Calibri"/>
                <w:sz w:val="20"/>
                <w:szCs w:val="20"/>
                <w:lang w:val="en-GB"/>
              </w:rPr>
            </w:pPr>
            <w:r w:rsidRPr="0086281A">
              <w:rPr>
                <w:rFonts w:ascii="Calibri" w:hAnsi="Calibri"/>
                <w:sz w:val="20"/>
                <w:szCs w:val="20"/>
                <w:lang w:val="en-GB"/>
              </w:rPr>
              <w:t>(</w:t>
            </w:r>
            <w:r w:rsidR="00066DB3" w:rsidRPr="0086281A">
              <w:rPr>
                <w:rFonts w:ascii="Calibri" w:hAnsi="Calibri"/>
                <w:sz w:val="20"/>
                <w:szCs w:val="20"/>
                <w:lang w:val="en-GB"/>
              </w:rPr>
              <w:t>94.5</w:t>
            </w:r>
            <w:r w:rsidR="00E47097" w:rsidRPr="0086281A">
              <w:rPr>
                <w:rFonts w:ascii="Calibri" w:hAnsi="Calibri"/>
                <w:sz w:val="20"/>
                <w:szCs w:val="20"/>
                <w:lang w:val="en-GB"/>
              </w:rPr>
              <w:t>%)</w:t>
            </w:r>
          </w:p>
        </w:tc>
        <w:tc>
          <w:tcPr>
            <w:tcW w:w="2693" w:type="dxa"/>
            <w:shd w:val="clear" w:color="auto" w:fill="auto"/>
          </w:tcPr>
          <w:p w:rsidR="00E47097" w:rsidRPr="0086281A" w:rsidRDefault="00F3532C" w:rsidP="00F3532C">
            <w:pPr>
              <w:jc w:val="center"/>
              <w:rPr>
                <w:rFonts w:ascii="Calibri" w:hAnsi="Calibri"/>
                <w:sz w:val="20"/>
                <w:szCs w:val="20"/>
                <w:lang w:val="en-GB"/>
              </w:rPr>
            </w:pPr>
            <w:r w:rsidRPr="0086281A">
              <w:rPr>
                <w:rFonts w:ascii="Calibri" w:hAnsi="Calibri" w:cs="Times"/>
                <w:sz w:val="20"/>
                <w:szCs w:val="20"/>
                <w:lang w:val="en-GB"/>
              </w:rPr>
              <w:t xml:space="preserve">93 </w:t>
            </w:r>
            <w:r w:rsidRPr="0086281A">
              <w:rPr>
                <w:rFonts w:ascii="Calibri" w:hAnsi="Calibri" w:cs="Times"/>
                <w:vertAlign w:val="superscript"/>
                <w:lang w:val="en-GB"/>
              </w:rPr>
              <w:t>*</w:t>
            </w:r>
          </w:p>
          <w:p w:rsidR="00E47097" w:rsidRPr="0086281A" w:rsidRDefault="004B62F3" w:rsidP="005B25AF">
            <w:pPr>
              <w:jc w:val="center"/>
              <w:rPr>
                <w:rFonts w:ascii="Calibri" w:hAnsi="Calibri"/>
                <w:sz w:val="20"/>
                <w:szCs w:val="20"/>
                <w:lang w:val="en-GB"/>
              </w:rPr>
            </w:pPr>
            <w:r w:rsidRPr="0086281A">
              <w:rPr>
                <w:rFonts w:ascii="Calibri" w:hAnsi="Calibri"/>
                <w:sz w:val="20"/>
                <w:szCs w:val="20"/>
                <w:lang w:val="en-GB"/>
              </w:rPr>
              <w:t>(</w:t>
            </w:r>
            <w:r w:rsidR="00F3532C" w:rsidRPr="0086281A">
              <w:rPr>
                <w:rFonts w:ascii="Calibri" w:hAnsi="Calibri"/>
                <w:sz w:val="20"/>
                <w:szCs w:val="20"/>
                <w:lang w:val="en-GB"/>
              </w:rPr>
              <w:t>84.5</w:t>
            </w:r>
            <w:r w:rsidR="00E47097" w:rsidRPr="0086281A">
              <w:rPr>
                <w:rFonts w:ascii="Calibri" w:hAnsi="Calibri"/>
                <w:sz w:val="20"/>
                <w:szCs w:val="20"/>
                <w:lang w:val="en-GB"/>
              </w:rPr>
              <w:t>%)</w:t>
            </w:r>
          </w:p>
        </w:tc>
      </w:tr>
      <w:tr w:rsidR="00E47097" w:rsidRPr="0086281A" w:rsidTr="00E47097">
        <w:trPr>
          <w:trHeight w:val="300"/>
        </w:trPr>
        <w:tc>
          <w:tcPr>
            <w:tcW w:w="709" w:type="dxa"/>
            <w:vMerge/>
            <w:shd w:val="clear" w:color="auto" w:fill="8DB3E2" w:themeFill="text2" w:themeFillTint="66"/>
          </w:tcPr>
          <w:p w:rsidR="00E47097" w:rsidRPr="0086281A" w:rsidRDefault="00E47097" w:rsidP="005B25AF">
            <w:pPr>
              <w:jc w:val="center"/>
              <w:rPr>
                <w:rFonts w:ascii="Calibri" w:hAnsi="Calibri"/>
                <w:i/>
                <w:sz w:val="20"/>
                <w:szCs w:val="20"/>
                <w:lang w:val="en-GB"/>
              </w:rPr>
            </w:pPr>
          </w:p>
        </w:tc>
        <w:tc>
          <w:tcPr>
            <w:tcW w:w="993" w:type="dxa"/>
            <w:vMerge/>
            <w:shd w:val="clear" w:color="auto" w:fill="auto"/>
          </w:tcPr>
          <w:p w:rsidR="00E47097" w:rsidRPr="0086281A" w:rsidRDefault="00E47097" w:rsidP="005B25AF">
            <w:pPr>
              <w:tabs>
                <w:tab w:val="center" w:pos="1119"/>
              </w:tabs>
              <w:jc w:val="center"/>
              <w:rPr>
                <w:rFonts w:ascii="Calibri" w:hAnsi="Calibri"/>
                <w:sz w:val="20"/>
                <w:szCs w:val="20"/>
                <w:lang w:val="en-GB"/>
              </w:rPr>
            </w:pPr>
          </w:p>
        </w:tc>
        <w:tc>
          <w:tcPr>
            <w:tcW w:w="9780" w:type="dxa"/>
            <w:gridSpan w:val="4"/>
            <w:shd w:val="clear" w:color="auto" w:fill="D9D9D9" w:themeFill="background1" w:themeFillShade="D9"/>
          </w:tcPr>
          <w:p w:rsidR="00E47097" w:rsidRPr="0086281A" w:rsidRDefault="00535193" w:rsidP="00535193">
            <w:pPr>
              <w:tabs>
                <w:tab w:val="left" w:pos="243"/>
                <w:tab w:val="center" w:pos="317"/>
              </w:tabs>
              <w:jc w:val="center"/>
              <w:rPr>
                <w:rFonts w:ascii="Calibri" w:hAnsi="Calibri"/>
                <w:sz w:val="20"/>
                <w:szCs w:val="20"/>
                <w:lang w:val="en-GB"/>
              </w:rPr>
            </w:pPr>
            <w:r w:rsidRPr="0086281A">
              <w:rPr>
                <w:rFonts w:ascii="Calibri" w:hAnsi="Calibri"/>
                <w:b/>
                <w:sz w:val="20"/>
                <w:szCs w:val="20"/>
                <w:lang w:val="en-GB"/>
              </w:rPr>
              <w:t>eGFR &lt; mGFR</w:t>
            </w:r>
          </w:p>
        </w:tc>
      </w:tr>
      <w:tr w:rsidR="00E47097" w:rsidRPr="0086281A" w:rsidTr="00113182">
        <w:trPr>
          <w:trHeight w:val="299"/>
        </w:trPr>
        <w:tc>
          <w:tcPr>
            <w:tcW w:w="709" w:type="dxa"/>
            <w:vMerge/>
            <w:shd w:val="clear" w:color="auto" w:fill="8DB3E2" w:themeFill="text2" w:themeFillTint="66"/>
          </w:tcPr>
          <w:p w:rsidR="00E47097" w:rsidRPr="0086281A" w:rsidRDefault="00E47097" w:rsidP="005B25AF">
            <w:pPr>
              <w:jc w:val="center"/>
              <w:rPr>
                <w:rFonts w:ascii="Calibri" w:hAnsi="Calibri"/>
                <w:i/>
                <w:sz w:val="20"/>
                <w:szCs w:val="20"/>
                <w:lang w:val="en-GB"/>
              </w:rPr>
            </w:pPr>
          </w:p>
        </w:tc>
        <w:tc>
          <w:tcPr>
            <w:tcW w:w="993" w:type="dxa"/>
            <w:vMerge/>
            <w:shd w:val="clear" w:color="auto" w:fill="auto"/>
          </w:tcPr>
          <w:p w:rsidR="00E47097" w:rsidRPr="0086281A" w:rsidRDefault="00E47097" w:rsidP="005B25AF">
            <w:pPr>
              <w:tabs>
                <w:tab w:val="center" w:pos="1119"/>
              </w:tabs>
              <w:jc w:val="center"/>
              <w:rPr>
                <w:rFonts w:ascii="Calibri" w:hAnsi="Calibri"/>
                <w:sz w:val="20"/>
                <w:szCs w:val="20"/>
                <w:lang w:val="en-GB"/>
              </w:rPr>
            </w:pPr>
          </w:p>
        </w:tc>
        <w:tc>
          <w:tcPr>
            <w:tcW w:w="1984" w:type="dxa"/>
            <w:shd w:val="clear" w:color="auto" w:fill="D9D9D9" w:themeFill="background1" w:themeFillShade="D9"/>
          </w:tcPr>
          <w:p w:rsidR="00E47097" w:rsidRPr="0086281A" w:rsidRDefault="00F3532C" w:rsidP="00E47097">
            <w:pPr>
              <w:tabs>
                <w:tab w:val="center" w:pos="1119"/>
              </w:tabs>
              <w:jc w:val="center"/>
              <w:rPr>
                <w:rFonts w:ascii="Calibri" w:hAnsi="Calibri"/>
                <w:sz w:val="20"/>
                <w:szCs w:val="20"/>
                <w:lang w:val="en-GB"/>
              </w:rPr>
            </w:pPr>
            <w:r w:rsidRPr="0086281A">
              <w:rPr>
                <w:rFonts w:ascii="Calibri" w:hAnsi="Calibri" w:cs="Times"/>
                <w:sz w:val="20"/>
                <w:szCs w:val="20"/>
                <w:lang w:val="en-GB"/>
              </w:rPr>
              <w:t>1</w:t>
            </w:r>
            <w:r w:rsidRPr="0086281A">
              <w:rPr>
                <w:rFonts w:ascii="Calibri" w:hAnsi="Calibri" w:cs="Times"/>
                <w:vertAlign w:val="superscript"/>
                <w:lang w:val="en-GB"/>
              </w:rPr>
              <w:t xml:space="preserve"> </w:t>
            </w:r>
            <w:r w:rsidR="00066DB3" w:rsidRPr="0086281A">
              <w:rPr>
                <w:rFonts w:ascii="Calibri" w:hAnsi="Calibri" w:cs="Times"/>
                <w:vertAlign w:val="superscript"/>
                <w:lang w:val="en-GB"/>
              </w:rPr>
              <w:t>¥ †</w:t>
            </w:r>
          </w:p>
          <w:p w:rsidR="00E47097" w:rsidRPr="0086281A" w:rsidRDefault="004B62F3" w:rsidP="00066DB3">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066DB3" w:rsidRPr="0086281A">
              <w:rPr>
                <w:rFonts w:ascii="Calibri" w:hAnsi="Calibri"/>
                <w:sz w:val="20"/>
                <w:szCs w:val="20"/>
                <w:lang w:val="en-GB"/>
              </w:rPr>
              <w:t>0.9%</w:t>
            </w:r>
            <w:r w:rsidR="00E47097" w:rsidRPr="0086281A">
              <w:rPr>
                <w:rFonts w:ascii="Calibri" w:hAnsi="Calibri"/>
                <w:sz w:val="20"/>
                <w:szCs w:val="20"/>
                <w:lang w:val="en-GB"/>
              </w:rPr>
              <w:t>)</w:t>
            </w:r>
          </w:p>
        </w:tc>
        <w:tc>
          <w:tcPr>
            <w:tcW w:w="2268" w:type="dxa"/>
            <w:shd w:val="clear" w:color="auto" w:fill="D9D9D9" w:themeFill="background1" w:themeFillShade="D9"/>
          </w:tcPr>
          <w:p w:rsidR="00E47097" w:rsidRPr="0086281A" w:rsidRDefault="00F3532C" w:rsidP="00E47097">
            <w:pPr>
              <w:jc w:val="center"/>
              <w:rPr>
                <w:rFonts w:ascii="Calibri" w:hAnsi="Calibri"/>
                <w:sz w:val="20"/>
                <w:szCs w:val="20"/>
                <w:lang w:val="en-GB"/>
              </w:rPr>
            </w:pPr>
            <w:r w:rsidRPr="0086281A">
              <w:rPr>
                <w:rFonts w:ascii="Calibri" w:hAnsi="Calibri" w:cs="Times"/>
                <w:sz w:val="20"/>
                <w:szCs w:val="20"/>
                <w:lang w:val="en-GB"/>
              </w:rPr>
              <w:t>22</w:t>
            </w:r>
            <w:r w:rsidR="00066DB3" w:rsidRPr="0086281A">
              <w:rPr>
                <w:rFonts w:ascii="Calibri" w:hAnsi="Calibri" w:cs="Times"/>
                <w:vertAlign w:val="superscript"/>
                <w:lang w:val="en-GB"/>
              </w:rPr>
              <w:t>*</w:t>
            </w:r>
          </w:p>
          <w:p w:rsidR="00E47097" w:rsidRPr="0086281A" w:rsidRDefault="004B62F3"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066DB3" w:rsidRPr="0086281A">
              <w:rPr>
                <w:rFonts w:ascii="Calibri" w:hAnsi="Calibri"/>
                <w:sz w:val="20"/>
                <w:szCs w:val="20"/>
                <w:lang w:val="en-GB"/>
              </w:rPr>
              <w:t>20</w:t>
            </w:r>
            <w:r w:rsidR="00E47097" w:rsidRPr="0086281A">
              <w:rPr>
                <w:rFonts w:ascii="Calibri" w:hAnsi="Calibri"/>
                <w:sz w:val="20"/>
                <w:szCs w:val="20"/>
                <w:lang w:val="en-GB"/>
              </w:rPr>
              <w:t>%)</w:t>
            </w:r>
          </w:p>
        </w:tc>
        <w:tc>
          <w:tcPr>
            <w:tcW w:w="2835" w:type="dxa"/>
            <w:shd w:val="clear" w:color="auto" w:fill="D9D9D9" w:themeFill="background1" w:themeFillShade="D9"/>
          </w:tcPr>
          <w:p w:rsidR="00E47097" w:rsidRPr="0086281A" w:rsidRDefault="00F3532C" w:rsidP="00066DB3">
            <w:pPr>
              <w:jc w:val="center"/>
              <w:rPr>
                <w:rFonts w:ascii="Calibri" w:hAnsi="Calibri"/>
                <w:sz w:val="20"/>
                <w:szCs w:val="20"/>
                <w:lang w:val="en-GB"/>
              </w:rPr>
            </w:pPr>
            <w:r w:rsidRPr="0086281A">
              <w:rPr>
                <w:rFonts w:ascii="Calibri" w:hAnsi="Calibri" w:cs="Times"/>
                <w:sz w:val="20"/>
                <w:szCs w:val="20"/>
                <w:lang w:val="en-GB"/>
              </w:rPr>
              <w:t>6</w:t>
            </w:r>
            <w:r w:rsidRPr="0086281A">
              <w:rPr>
                <w:rFonts w:ascii="Calibri" w:hAnsi="Calibri" w:cs="Times"/>
                <w:vertAlign w:val="superscript"/>
                <w:lang w:val="en-GB"/>
              </w:rPr>
              <w:t xml:space="preserve"> ¥ </w:t>
            </w:r>
            <w:r w:rsidR="00066DB3" w:rsidRPr="0086281A">
              <w:rPr>
                <w:rFonts w:ascii="Calibri" w:hAnsi="Calibri" w:cs="Times"/>
                <w:vertAlign w:val="superscript"/>
                <w:lang w:val="en-GB"/>
              </w:rPr>
              <w:t>†</w:t>
            </w:r>
          </w:p>
          <w:p w:rsidR="00E47097" w:rsidRPr="0086281A" w:rsidRDefault="004B62F3"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066DB3" w:rsidRPr="0086281A">
              <w:rPr>
                <w:rFonts w:ascii="Calibri" w:hAnsi="Calibri"/>
                <w:sz w:val="20"/>
                <w:szCs w:val="20"/>
                <w:lang w:val="en-GB"/>
              </w:rPr>
              <w:t>5.5</w:t>
            </w:r>
            <w:r w:rsidR="00E47097" w:rsidRPr="0086281A">
              <w:rPr>
                <w:rFonts w:ascii="Calibri" w:hAnsi="Calibri"/>
                <w:sz w:val="20"/>
                <w:szCs w:val="20"/>
                <w:lang w:val="en-GB"/>
              </w:rPr>
              <w:t>%)</w:t>
            </w:r>
          </w:p>
        </w:tc>
        <w:tc>
          <w:tcPr>
            <w:tcW w:w="2693" w:type="dxa"/>
            <w:shd w:val="clear" w:color="auto" w:fill="D9D9D9" w:themeFill="background1" w:themeFillShade="D9"/>
          </w:tcPr>
          <w:p w:rsidR="00E47097" w:rsidRPr="0086281A" w:rsidRDefault="00F3532C" w:rsidP="00E47097">
            <w:pPr>
              <w:jc w:val="center"/>
              <w:rPr>
                <w:rFonts w:ascii="Calibri" w:hAnsi="Calibri"/>
                <w:sz w:val="20"/>
                <w:szCs w:val="20"/>
                <w:vertAlign w:val="superscript"/>
                <w:lang w:val="en-GB"/>
              </w:rPr>
            </w:pPr>
            <w:r w:rsidRPr="0086281A">
              <w:rPr>
                <w:rFonts w:ascii="Calibri" w:hAnsi="Calibri"/>
                <w:sz w:val="20"/>
                <w:szCs w:val="20"/>
                <w:lang w:val="en-GB"/>
              </w:rPr>
              <w:t>17</w:t>
            </w:r>
            <w:r w:rsidRPr="0086281A">
              <w:rPr>
                <w:rFonts w:ascii="Calibri" w:hAnsi="Calibri"/>
                <w:sz w:val="20"/>
                <w:szCs w:val="20"/>
                <w:vertAlign w:val="superscript"/>
                <w:lang w:val="en-GB"/>
              </w:rPr>
              <w:t xml:space="preserve"> *</w:t>
            </w:r>
          </w:p>
          <w:p w:rsidR="00E47097" w:rsidRPr="0086281A" w:rsidRDefault="004B62F3" w:rsidP="00E47097">
            <w:pPr>
              <w:tabs>
                <w:tab w:val="left" w:pos="243"/>
                <w:tab w:val="center" w:pos="317"/>
              </w:tabs>
              <w:jc w:val="center"/>
              <w:rPr>
                <w:rFonts w:ascii="Calibri" w:hAnsi="Calibri"/>
                <w:b/>
                <w:sz w:val="20"/>
                <w:szCs w:val="20"/>
                <w:lang w:val="en-GB"/>
              </w:rPr>
            </w:pPr>
            <w:r w:rsidRPr="0086281A">
              <w:rPr>
                <w:rFonts w:ascii="Calibri" w:hAnsi="Calibri"/>
                <w:sz w:val="20"/>
                <w:szCs w:val="20"/>
                <w:lang w:val="en-GB"/>
              </w:rPr>
              <w:t>(</w:t>
            </w:r>
            <w:r w:rsidR="00F3532C" w:rsidRPr="0086281A">
              <w:rPr>
                <w:rFonts w:ascii="Calibri" w:hAnsi="Calibri"/>
                <w:sz w:val="20"/>
                <w:szCs w:val="20"/>
                <w:lang w:val="en-GB"/>
              </w:rPr>
              <w:t>15.5</w:t>
            </w:r>
            <w:r w:rsidR="00E47097" w:rsidRPr="0086281A">
              <w:rPr>
                <w:rFonts w:ascii="Calibri" w:hAnsi="Calibri"/>
                <w:sz w:val="20"/>
                <w:szCs w:val="20"/>
                <w:lang w:val="en-GB"/>
              </w:rPr>
              <w:t>%)</w:t>
            </w:r>
          </w:p>
        </w:tc>
      </w:tr>
    </w:tbl>
    <w:p w:rsidR="00F972FD" w:rsidRPr="0086281A" w:rsidRDefault="00F972FD" w:rsidP="009E05D2">
      <w:pPr>
        <w:tabs>
          <w:tab w:val="left" w:pos="0"/>
        </w:tabs>
        <w:ind w:left="-1276" w:hanging="1"/>
        <w:rPr>
          <w:rFonts w:ascii="Calibri" w:hAnsi="Calibri"/>
          <w:sz w:val="20"/>
          <w:szCs w:val="20"/>
          <w:lang w:val="en-GB"/>
        </w:rPr>
      </w:pPr>
      <w:r w:rsidRPr="0086281A">
        <w:rPr>
          <w:rFonts w:ascii="Calibri" w:hAnsi="Calibri"/>
          <w:sz w:val="20"/>
          <w:szCs w:val="20"/>
          <w:lang w:val="en-GB"/>
        </w:rPr>
        <w:t xml:space="preserve">mGFR: measured Glomerular Filtration Rate; MDRD: Modification Diet in Renal Disease; CKD-EPI: Chronic Kidney Disease Epidemiology; CG: Cockcroft &amp; Gault; </w:t>
      </w:r>
      <w:r w:rsidR="00794E4C">
        <w:rPr>
          <w:rFonts w:ascii="Calibri" w:hAnsi="Calibri"/>
          <w:sz w:val="20"/>
          <w:szCs w:val="20"/>
          <w:lang w:val="en-GB"/>
        </w:rPr>
        <w:t xml:space="preserve">ABW: Actual Body Weight; </w:t>
      </w:r>
      <w:r w:rsidRPr="0086281A">
        <w:rPr>
          <w:rFonts w:ascii="Calibri" w:hAnsi="Calibri"/>
          <w:sz w:val="20"/>
          <w:szCs w:val="20"/>
          <w:lang w:val="en-GB"/>
        </w:rPr>
        <w:t xml:space="preserve">AIBW: Adjusted Ideal Body </w:t>
      </w:r>
      <w:r w:rsidR="008B314E" w:rsidRPr="0086281A">
        <w:rPr>
          <w:rFonts w:ascii="Calibri" w:hAnsi="Calibri"/>
          <w:sz w:val="20"/>
          <w:szCs w:val="20"/>
          <w:lang w:val="en-GB"/>
        </w:rPr>
        <w:t>Weight</w:t>
      </w:r>
    </w:p>
    <w:p w:rsidR="00113182" w:rsidRPr="0086281A" w:rsidRDefault="00113182" w:rsidP="009E05D2">
      <w:pPr>
        <w:tabs>
          <w:tab w:val="left" w:pos="0"/>
        </w:tabs>
        <w:ind w:left="-1276" w:hanging="1"/>
        <w:rPr>
          <w:rFonts w:ascii="Calibri" w:hAnsi="Calibri" w:cs="Helvetica"/>
          <w:color w:val="141413"/>
          <w:sz w:val="20"/>
          <w:szCs w:val="20"/>
          <w:lang w:val="en-GB"/>
        </w:rPr>
      </w:pPr>
      <w:r w:rsidRPr="0086281A">
        <w:rPr>
          <w:rFonts w:ascii="Calibri" w:hAnsi="Calibri"/>
          <w:sz w:val="20"/>
          <w:szCs w:val="20"/>
          <w:vertAlign w:val="superscript"/>
          <w:lang w:val="en-GB"/>
        </w:rPr>
        <w:t>a</w:t>
      </w:r>
      <w:r w:rsidRPr="0086281A">
        <w:rPr>
          <w:rFonts w:ascii="Calibri" w:hAnsi="Calibri"/>
          <w:sz w:val="20"/>
          <w:szCs w:val="20"/>
          <w:lang w:val="en-GB"/>
        </w:rPr>
        <w:t xml:space="preserve"> </w:t>
      </w:r>
      <w:r w:rsidRPr="0086281A">
        <w:rPr>
          <w:rFonts w:ascii="Calibri" w:hAnsi="Calibri" w:cs="Helvetica"/>
          <w:color w:val="141413"/>
          <w:sz w:val="20"/>
          <w:szCs w:val="20"/>
          <w:lang w:val="en-GB"/>
        </w:rPr>
        <w:t>percentage of total population</w:t>
      </w:r>
    </w:p>
    <w:p w:rsidR="005B25AF" w:rsidRPr="0086281A" w:rsidRDefault="00113182" w:rsidP="009E05D2">
      <w:pPr>
        <w:tabs>
          <w:tab w:val="left" w:pos="0"/>
        </w:tabs>
        <w:ind w:left="-1276" w:hanging="1"/>
        <w:rPr>
          <w:rFonts w:ascii="Calibri" w:hAnsi="Calibri" w:cs="Helvetica"/>
          <w:color w:val="141413"/>
          <w:sz w:val="20"/>
          <w:szCs w:val="20"/>
          <w:lang w:val="en-GB"/>
        </w:rPr>
      </w:pPr>
      <w:r w:rsidRPr="0086281A">
        <w:rPr>
          <w:rFonts w:ascii="Calibri" w:hAnsi="Calibri" w:cs="Helvetica"/>
          <w:color w:val="141413"/>
          <w:sz w:val="20"/>
          <w:szCs w:val="20"/>
          <w:vertAlign w:val="superscript"/>
          <w:lang w:val="en-GB"/>
        </w:rPr>
        <w:t>b</w:t>
      </w:r>
      <w:r w:rsidRPr="0086281A">
        <w:rPr>
          <w:rFonts w:ascii="Calibri" w:hAnsi="Calibri" w:cs="Helvetica"/>
          <w:color w:val="141413"/>
          <w:sz w:val="20"/>
          <w:szCs w:val="20"/>
          <w:lang w:val="en-GB"/>
        </w:rPr>
        <w:t xml:space="preserve"> percentage of subgroup population</w:t>
      </w:r>
    </w:p>
    <w:p w:rsidR="00362FA4" w:rsidRPr="0086281A" w:rsidRDefault="00362FA4" w:rsidP="00942D16">
      <w:pPr>
        <w:ind w:left="284"/>
        <w:rPr>
          <w:rFonts w:ascii="Calibri" w:hAnsi="Calibri"/>
          <w:sz w:val="20"/>
          <w:szCs w:val="20"/>
          <w:lang w:val="en-GB"/>
        </w:rPr>
      </w:pPr>
    </w:p>
    <w:p w:rsidR="00E47097" w:rsidRPr="0086281A" w:rsidRDefault="0028385E" w:rsidP="00E47097">
      <w:pPr>
        <w:pStyle w:val="Commentaire"/>
        <w:rPr>
          <w:rFonts w:ascii="Calibri" w:hAnsi="Calibri"/>
          <w:sz w:val="24"/>
          <w:szCs w:val="24"/>
          <w:lang w:val="en-GB"/>
        </w:rPr>
      </w:pPr>
      <w:r w:rsidRPr="0086281A">
        <w:rPr>
          <w:rFonts w:ascii="Calibri" w:hAnsi="Calibri"/>
          <w:b/>
          <w:sz w:val="24"/>
          <w:szCs w:val="24"/>
          <w:lang w:val="en-GB"/>
        </w:rPr>
        <w:lastRenderedPageBreak/>
        <w:t>Table 4.</w:t>
      </w:r>
      <w:r w:rsidRPr="0086281A">
        <w:rPr>
          <w:rFonts w:ascii="Calibri" w:hAnsi="Calibri"/>
          <w:sz w:val="24"/>
          <w:szCs w:val="24"/>
          <w:lang w:val="en-GB"/>
        </w:rPr>
        <w:t xml:space="preserve"> </w:t>
      </w:r>
      <w:r w:rsidR="00E47097" w:rsidRPr="0086281A">
        <w:rPr>
          <w:rFonts w:ascii="Calibri" w:hAnsi="Calibri"/>
          <w:sz w:val="24"/>
          <w:szCs w:val="24"/>
          <w:lang w:val="en-GB"/>
        </w:rPr>
        <w:t>Percentage of patient in the different groups for the adaptation of metformin depending on the type of equations used and misclassification associated</w:t>
      </w:r>
    </w:p>
    <w:p w:rsidR="00E47097" w:rsidRPr="0086281A" w:rsidRDefault="00E47097" w:rsidP="00E47097">
      <w:pPr>
        <w:pStyle w:val="Paragraphedeliste"/>
        <w:numPr>
          <w:ilvl w:val="0"/>
          <w:numId w:val="5"/>
        </w:numPr>
        <w:ind w:left="360"/>
        <w:rPr>
          <w:rFonts w:ascii="Calibri" w:hAnsi="Calibri" w:cs="Times"/>
          <w:lang w:val="en-GB"/>
        </w:rPr>
      </w:pPr>
      <w:r w:rsidRPr="0086281A">
        <w:rPr>
          <w:rFonts w:ascii="Calibri" w:hAnsi="Calibri" w:cs="Times"/>
          <w:lang w:val="en-GB"/>
        </w:rPr>
        <w:t xml:space="preserve">* If p &lt; 0.05 regarding CKD-EPI </w:t>
      </w:r>
      <w:r w:rsidRPr="0086281A">
        <w:rPr>
          <w:rFonts w:ascii="Calibri" w:hAnsi="Calibri" w:cs="Times"/>
          <w:vertAlign w:val="subscript"/>
          <w:lang w:val="en-GB"/>
        </w:rPr>
        <w:t>deindexed</w:t>
      </w:r>
      <w:r w:rsidRPr="0086281A">
        <w:rPr>
          <w:rFonts w:ascii="Calibri" w:hAnsi="Calibri" w:cs="Times"/>
          <w:lang w:val="en-GB"/>
        </w:rPr>
        <w:t xml:space="preserve"> equation</w:t>
      </w:r>
    </w:p>
    <w:p w:rsidR="00E47097" w:rsidRPr="0086281A" w:rsidRDefault="00E47097" w:rsidP="00E47097">
      <w:pPr>
        <w:pStyle w:val="Paragraphedeliste"/>
        <w:numPr>
          <w:ilvl w:val="0"/>
          <w:numId w:val="5"/>
        </w:numPr>
        <w:ind w:left="360"/>
        <w:rPr>
          <w:rFonts w:ascii="Calibri" w:hAnsi="Calibri" w:cs="Times"/>
          <w:lang w:val="en-GB"/>
        </w:rPr>
      </w:pPr>
      <w:r w:rsidRPr="0086281A">
        <w:rPr>
          <w:rFonts w:ascii="Calibri" w:hAnsi="Calibri" w:cs="Times"/>
          <w:lang w:val="en-GB"/>
        </w:rPr>
        <w:t xml:space="preserve">¥ If p &lt; 0.05 regarding MDRD </w:t>
      </w:r>
      <w:r w:rsidRPr="0086281A">
        <w:rPr>
          <w:rFonts w:ascii="Calibri" w:hAnsi="Calibri" w:cs="Times"/>
          <w:vertAlign w:val="subscript"/>
          <w:lang w:val="en-GB"/>
        </w:rPr>
        <w:t>deindexed</w:t>
      </w:r>
      <w:r w:rsidRPr="0086281A">
        <w:rPr>
          <w:rFonts w:ascii="Calibri" w:hAnsi="Calibri" w:cs="Times"/>
          <w:lang w:val="en-GB"/>
        </w:rPr>
        <w:t xml:space="preserve"> equation</w:t>
      </w:r>
    </w:p>
    <w:p w:rsidR="00E47097" w:rsidRPr="0086281A" w:rsidRDefault="00E47097" w:rsidP="00E47097">
      <w:pPr>
        <w:pStyle w:val="Paragraphedeliste"/>
        <w:numPr>
          <w:ilvl w:val="0"/>
          <w:numId w:val="5"/>
        </w:numPr>
        <w:ind w:left="360"/>
        <w:rPr>
          <w:rFonts w:ascii="Calibri" w:hAnsi="Calibri" w:cs="Times"/>
          <w:lang w:val="en-GB"/>
        </w:rPr>
      </w:pPr>
      <w:r w:rsidRPr="0086281A">
        <w:rPr>
          <w:rFonts w:ascii="Calibri" w:hAnsi="Calibri" w:cs="Times"/>
          <w:lang w:val="en-GB"/>
        </w:rPr>
        <w:t xml:space="preserve">† If p &lt; 0.05 regarding CG </w:t>
      </w:r>
      <w:r w:rsidRPr="0086281A">
        <w:rPr>
          <w:rFonts w:ascii="Calibri" w:hAnsi="Calibri" w:cs="Times"/>
          <w:vertAlign w:val="subscript"/>
          <w:lang w:val="en-GB"/>
        </w:rPr>
        <w:t>AIBW</w:t>
      </w:r>
      <w:r w:rsidRPr="0086281A">
        <w:rPr>
          <w:rFonts w:ascii="Calibri" w:hAnsi="Calibri" w:cs="Times"/>
          <w:lang w:val="en-GB"/>
        </w:rPr>
        <w:t xml:space="preserve"> equation</w:t>
      </w:r>
    </w:p>
    <w:p w:rsidR="00A0179B" w:rsidRPr="0086281A" w:rsidRDefault="00A0179B" w:rsidP="00E47097">
      <w:pPr>
        <w:rPr>
          <w:rFonts w:ascii="Calibri" w:hAnsi="Calibri"/>
          <w:sz w:val="20"/>
          <w:szCs w:val="20"/>
          <w:lang w:val="en-GB"/>
        </w:rPr>
      </w:pPr>
    </w:p>
    <w:tbl>
      <w:tblPr>
        <w:tblStyle w:val="Grilledutableau"/>
        <w:tblW w:w="11057" w:type="dxa"/>
        <w:tblInd w:w="-1168" w:type="dxa"/>
        <w:tblLayout w:type="fixed"/>
        <w:tblLook w:val="04A0"/>
      </w:tblPr>
      <w:tblGrid>
        <w:gridCol w:w="1417"/>
        <w:gridCol w:w="1986"/>
        <w:gridCol w:w="2126"/>
        <w:gridCol w:w="2835"/>
        <w:gridCol w:w="2693"/>
      </w:tblGrid>
      <w:tr w:rsidR="00263C28" w:rsidRPr="0086281A" w:rsidTr="00263C28">
        <w:trPr>
          <w:trHeight w:val="372"/>
        </w:trPr>
        <w:tc>
          <w:tcPr>
            <w:tcW w:w="1417" w:type="dxa"/>
            <w:tcBorders>
              <w:top w:val="nil"/>
              <w:left w:val="nil"/>
              <w:bottom w:val="single" w:sz="4" w:space="0" w:color="auto"/>
            </w:tcBorders>
            <w:shd w:val="clear" w:color="auto" w:fill="auto"/>
          </w:tcPr>
          <w:p w:rsidR="00B01A6E" w:rsidRPr="0086281A" w:rsidRDefault="00B01A6E" w:rsidP="00A0179B">
            <w:pPr>
              <w:jc w:val="center"/>
              <w:rPr>
                <w:rFonts w:ascii="Calibri" w:hAnsi="Calibri"/>
                <w:b/>
                <w:sz w:val="20"/>
                <w:szCs w:val="20"/>
                <w:lang w:val="en-GB"/>
              </w:rPr>
            </w:pPr>
          </w:p>
          <w:p w:rsidR="00B01A6E" w:rsidRPr="0086281A" w:rsidRDefault="00B01A6E" w:rsidP="00B01A6E">
            <w:pPr>
              <w:jc w:val="center"/>
              <w:rPr>
                <w:rFonts w:ascii="Calibri" w:hAnsi="Calibri"/>
                <w:b/>
                <w:sz w:val="20"/>
                <w:szCs w:val="20"/>
                <w:lang w:val="en-GB"/>
              </w:rPr>
            </w:pPr>
          </w:p>
        </w:tc>
        <w:tc>
          <w:tcPr>
            <w:tcW w:w="1986" w:type="dxa"/>
            <w:tcBorders>
              <w:left w:val="nil"/>
            </w:tcBorders>
            <w:shd w:val="clear" w:color="auto" w:fill="auto"/>
          </w:tcPr>
          <w:p w:rsidR="00C54C24" w:rsidRPr="0086281A" w:rsidRDefault="00507625" w:rsidP="00EE37A5">
            <w:pPr>
              <w:jc w:val="center"/>
              <w:rPr>
                <w:rFonts w:ascii="Calibri" w:hAnsi="Calibri"/>
                <w:b/>
                <w:sz w:val="20"/>
                <w:szCs w:val="20"/>
                <w:lang w:val="en-GB"/>
              </w:rPr>
            </w:pPr>
            <w:r w:rsidRPr="0086281A">
              <w:rPr>
                <w:rFonts w:ascii="Calibri" w:hAnsi="Calibri" w:cs="Helvetica"/>
                <w:b/>
                <w:bCs/>
                <w:color w:val="141413"/>
                <w:sz w:val="20"/>
                <w:szCs w:val="20"/>
                <w:lang w:val="en-GB"/>
              </w:rPr>
              <w:t>Classified</w:t>
            </w:r>
            <w:r w:rsidRPr="0086281A">
              <w:rPr>
                <w:rFonts w:ascii="Calibri" w:hAnsi="Calibri"/>
                <w:b/>
                <w:sz w:val="20"/>
                <w:szCs w:val="20"/>
                <w:lang w:val="en-GB"/>
              </w:rPr>
              <w:t xml:space="preserve"> by</w:t>
            </w:r>
          </w:p>
          <w:p w:rsidR="00B01A6E" w:rsidRPr="0086281A" w:rsidRDefault="00B01A6E" w:rsidP="00EE37A5">
            <w:pPr>
              <w:jc w:val="center"/>
              <w:rPr>
                <w:rFonts w:ascii="Calibri" w:hAnsi="Calibri"/>
                <w:b/>
                <w:sz w:val="20"/>
                <w:szCs w:val="20"/>
                <w:vertAlign w:val="subscript"/>
                <w:lang w:val="en-GB"/>
              </w:rPr>
            </w:pPr>
            <w:r w:rsidRPr="0086281A">
              <w:rPr>
                <w:rFonts w:ascii="Calibri" w:hAnsi="Calibri"/>
                <w:b/>
                <w:sz w:val="20"/>
                <w:szCs w:val="20"/>
                <w:lang w:val="en-GB"/>
              </w:rPr>
              <w:t>CG</w:t>
            </w:r>
            <w:r w:rsidR="00794E4C" w:rsidRPr="00794E4C">
              <w:rPr>
                <w:rFonts w:ascii="Calibri" w:hAnsi="Calibri"/>
                <w:b/>
                <w:sz w:val="20"/>
                <w:szCs w:val="20"/>
                <w:vertAlign w:val="subscript"/>
                <w:lang w:val="en-GB"/>
              </w:rPr>
              <w:t>ABW</w:t>
            </w:r>
            <w:r w:rsidR="00507625" w:rsidRPr="0086281A">
              <w:rPr>
                <w:rFonts w:ascii="Calibri" w:hAnsi="Calibri"/>
                <w:b/>
                <w:sz w:val="20"/>
                <w:szCs w:val="20"/>
                <w:lang w:val="en-GB"/>
              </w:rPr>
              <w:t xml:space="preserve"> in mGFR stage</w:t>
            </w:r>
          </w:p>
          <w:p w:rsidR="00B01A6E" w:rsidRPr="0086281A" w:rsidRDefault="00B01A6E" w:rsidP="00A0179B">
            <w:pPr>
              <w:jc w:val="center"/>
              <w:rPr>
                <w:rFonts w:ascii="Calibri" w:hAnsi="Calibri"/>
                <w:b/>
                <w:sz w:val="20"/>
                <w:szCs w:val="20"/>
                <w:lang w:val="en-GB"/>
              </w:rPr>
            </w:pPr>
            <w:r w:rsidRPr="0086281A">
              <w:rPr>
                <w:rFonts w:ascii="Calibri" w:hAnsi="Calibri"/>
                <w:b/>
                <w:sz w:val="20"/>
                <w:szCs w:val="20"/>
                <w:lang w:val="en-GB"/>
              </w:rPr>
              <w:t>n patients</w:t>
            </w:r>
          </w:p>
          <w:p w:rsidR="00B01A6E" w:rsidRPr="0086281A" w:rsidRDefault="00B01A6E" w:rsidP="00A0179B">
            <w:pPr>
              <w:jc w:val="center"/>
              <w:rPr>
                <w:rFonts w:ascii="Calibri" w:hAnsi="Calibri"/>
                <w:b/>
                <w:sz w:val="20"/>
                <w:szCs w:val="20"/>
                <w:lang w:val="en-GB"/>
              </w:rPr>
            </w:pPr>
            <w:r w:rsidRPr="0086281A">
              <w:rPr>
                <w:rFonts w:ascii="Calibri" w:hAnsi="Calibri"/>
                <w:b/>
                <w:sz w:val="20"/>
                <w:szCs w:val="20"/>
                <w:lang w:val="en-GB"/>
              </w:rPr>
              <w:t>(%)</w:t>
            </w:r>
            <w:r w:rsidR="009A1650" w:rsidRPr="0086281A">
              <w:rPr>
                <w:rFonts w:ascii="Calibri" w:hAnsi="Calibri"/>
                <w:b/>
                <w:sz w:val="20"/>
                <w:szCs w:val="20"/>
                <w:lang w:val="en-GB"/>
              </w:rPr>
              <w:t xml:space="preserve"> </w:t>
            </w:r>
            <w:r w:rsidR="009A1650" w:rsidRPr="0086281A">
              <w:rPr>
                <w:rFonts w:ascii="Calibri" w:hAnsi="Calibri"/>
                <w:b/>
                <w:sz w:val="20"/>
                <w:szCs w:val="20"/>
                <w:vertAlign w:val="superscript"/>
                <w:lang w:val="en-GB"/>
              </w:rPr>
              <w:t>b</w:t>
            </w:r>
          </w:p>
        </w:tc>
        <w:tc>
          <w:tcPr>
            <w:tcW w:w="2126" w:type="dxa"/>
            <w:shd w:val="clear" w:color="auto" w:fill="auto"/>
          </w:tcPr>
          <w:p w:rsidR="00507625" w:rsidRPr="0086281A" w:rsidRDefault="00507625" w:rsidP="00507625">
            <w:pPr>
              <w:jc w:val="center"/>
              <w:rPr>
                <w:rFonts w:ascii="Calibri" w:hAnsi="Calibri"/>
                <w:b/>
                <w:sz w:val="20"/>
                <w:szCs w:val="20"/>
                <w:lang w:val="en-GB"/>
              </w:rPr>
            </w:pPr>
            <w:r w:rsidRPr="0086281A">
              <w:rPr>
                <w:rFonts w:ascii="Calibri" w:hAnsi="Calibri" w:cs="Helvetica"/>
                <w:b/>
                <w:bCs/>
                <w:color w:val="141413"/>
                <w:sz w:val="20"/>
                <w:szCs w:val="20"/>
                <w:lang w:val="en-GB"/>
              </w:rPr>
              <w:t>Classified</w:t>
            </w:r>
            <w:r w:rsidRPr="0086281A">
              <w:rPr>
                <w:rFonts w:ascii="Calibri" w:hAnsi="Calibri"/>
                <w:b/>
                <w:sz w:val="20"/>
                <w:szCs w:val="20"/>
                <w:lang w:val="en-GB"/>
              </w:rPr>
              <w:t xml:space="preserve"> by</w:t>
            </w:r>
          </w:p>
          <w:p w:rsidR="00B01A6E" w:rsidRPr="0086281A" w:rsidRDefault="00EE37A5" w:rsidP="00EE37A5">
            <w:pPr>
              <w:jc w:val="center"/>
              <w:rPr>
                <w:rFonts w:ascii="Calibri" w:hAnsi="Calibri"/>
                <w:b/>
                <w:sz w:val="20"/>
                <w:szCs w:val="20"/>
                <w:vertAlign w:val="subscript"/>
                <w:lang w:val="en-GB"/>
              </w:rPr>
            </w:pPr>
            <w:r w:rsidRPr="0086281A">
              <w:rPr>
                <w:rFonts w:ascii="Calibri" w:hAnsi="Calibri"/>
                <w:b/>
                <w:sz w:val="20"/>
                <w:szCs w:val="20"/>
                <w:lang w:val="en-GB"/>
              </w:rPr>
              <w:t>CG</w:t>
            </w:r>
            <w:r w:rsidR="00507625" w:rsidRPr="0086281A">
              <w:rPr>
                <w:rFonts w:ascii="Calibri" w:hAnsi="Calibri"/>
                <w:b/>
                <w:sz w:val="20"/>
                <w:szCs w:val="20"/>
                <w:vertAlign w:val="subscript"/>
                <w:lang w:val="en-GB"/>
              </w:rPr>
              <w:t xml:space="preserve">AIBW </w:t>
            </w:r>
            <w:r w:rsidR="00507625" w:rsidRPr="0086281A">
              <w:rPr>
                <w:rFonts w:ascii="Calibri" w:hAnsi="Calibri"/>
                <w:b/>
                <w:sz w:val="20"/>
                <w:szCs w:val="20"/>
                <w:lang w:val="en-GB"/>
              </w:rPr>
              <w:t>in mGFR stage</w:t>
            </w:r>
          </w:p>
          <w:p w:rsidR="00B01A6E" w:rsidRPr="0086281A" w:rsidRDefault="00B01A6E" w:rsidP="00A0179B">
            <w:pPr>
              <w:jc w:val="center"/>
              <w:rPr>
                <w:rFonts w:ascii="Calibri" w:hAnsi="Calibri"/>
                <w:b/>
                <w:sz w:val="20"/>
                <w:szCs w:val="20"/>
                <w:lang w:val="en-GB"/>
              </w:rPr>
            </w:pPr>
            <w:r w:rsidRPr="0086281A">
              <w:rPr>
                <w:rFonts w:ascii="Calibri" w:hAnsi="Calibri"/>
                <w:b/>
                <w:sz w:val="20"/>
                <w:szCs w:val="20"/>
                <w:lang w:val="en-GB"/>
              </w:rPr>
              <w:t>n patients</w:t>
            </w:r>
          </w:p>
          <w:p w:rsidR="00B01A6E" w:rsidRPr="0086281A" w:rsidRDefault="00B01A6E" w:rsidP="00A0179B">
            <w:pPr>
              <w:jc w:val="center"/>
              <w:rPr>
                <w:rFonts w:ascii="Calibri" w:hAnsi="Calibri"/>
                <w:b/>
                <w:sz w:val="20"/>
                <w:szCs w:val="20"/>
                <w:lang w:val="en-GB"/>
              </w:rPr>
            </w:pPr>
            <w:r w:rsidRPr="0086281A">
              <w:rPr>
                <w:rFonts w:ascii="Calibri" w:hAnsi="Calibri"/>
                <w:b/>
                <w:sz w:val="20"/>
                <w:szCs w:val="20"/>
                <w:lang w:val="en-GB"/>
              </w:rPr>
              <w:t>(%)</w:t>
            </w:r>
            <w:r w:rsidR="009A1650" w:rsidRPr="0086281A">
              <w:rPr>
                <w:rFonts w:ascii="Calibri" w:hAnsi="Calibri"/>
                <w:b/>
                <w:sz w:val="20"/>
                <w:szCs w:val="20"/>
                <w:lang w:val="en-GB"/>
              </w:rPr>
              <w:t xml:space="preserve"> </w:t>
            </w:r>
            <w:r w:rsidR="009A1650" w:rsidRPr="0086281A">
              <w:rPr>
                <w:rFonts w:ascii="Calibri" w:hAnsi="Calibri"/>
                <w:b/>
                <w:sz w:val="20"/>
                <w:szCs w:val="20"/>
                <w:vertAlign w:val="superscript"/>
                <w:lang w:val="en-GB"/>
              </w:rPr>
              <w:t>b</w:t>
            </w:r>
          </w:p>
        </w:tc>
        <w:tc>
          <w:tcPr>
            <w:tcW w:w="2835" w:type="dxa"/>
            <w:shd w:val="clear" w:color="auto" w:fill="auto"/>
          </w:tcPr>
          <w:p w:rsidR="00507625" w:rsidRPr="0086281A" w:rsidRDefault="00507625" w:rsidP="00507625">
            <w:pPr>
              <w:jc w:val="center"/>
              <w:rPr>
                <w:rFonts w:ascii="Calibri" w:hAnsi="Calibri"/>
                <w:b/>
                <w:sz w:val="20"/>
                <w:szCs w:val="20"/>
                <w:lang w:val="en-GB"/>
              </w:rPr>
            </w:pPr>
            <w:r w:rsidRPr="0086281A">
              <w:rPr>
                <w:rFonts w:ascii="Calibri" w:hAnsi="Calibri" w:cs="Helvetica"/>
                <w:b/>
                <w:bCs/>
                <w:color w:val="141413"/>
                <w:sz w:val="20"/>
                <w:szCs w:val="20"/>
                <w:lang w:val="en-GB"/>
              </w:rPr>
              <w:t>Classified</w:t>
            </w:r>
            <w:r w:rsidRPr="0086281A">
              <w:rPr>
                <w:rFonts w:ascii="Calibri" w:hAnsi="Calibri"/>
                <w:b/>
                <w:sz w:val="20"/>
                <w:szCs w:val="20"/>
                <w:lang w:val="en-GB"/>
              </w:rPr>
              <w:t xml:space="preserve"> by</w:t>
            </w:r>
          </w:p>
          <w:p w:rsidR="00507625" w:rsidRPr="0086281A" w:rsidRDefault="00507625" w:rsidP="00507625">
            <w:pPr>
              <w:jc w:val="center"/>
              <w:rPr>
                <w:rFonts w:ascii="Calibri" w:hAnsi="Calibri"/>
                <w:b/>
                <w:sz w:val="20"/>
                <w:szCs w:val="20"/>
                <w:vertAlign w:val="subscript"/>
                <w:lang w:val="en-GB"/>
              </w:rPr>
            </w:pPr>
            <w:r w:rsidRPr="0086281A">
              <w:rPr>
                <w:rFonts w:ascii="Calibri" w:hAnsi="Calibri"/>
                <w:b/>
                <w:sz w:val="20"/>
                <w:szCs w:val="20"/>
                <w:lang w:val="en-GB"/>
              </w:rPr>
              <w:t xml:space="preserve">CKD-EPI </w:t>
            </w:r>
            <w:r w:rsidRPr="0086281A">
              <w:rPr>
                <w:rFonts w:ascii="Calibri" w:hAnsi="Calibri"/>
                <w:b/>
                <w:sz w:val="20"/>
                <w:szCs w:val="20"/>
                <w:vertAlign w:val="subscript"/>
                <w:lang w:val="en-GB"/>
              </w:rPr>
              <w:t xml:space="preserve">deindexed </w:t>
            </w:r>
            <w:r w:rsidRPr="0086281A">
              <w:rPr>
                <w:rFonts w:ascii="Calibri" w:hAnsi="Calibri"/>
                <w:b/>
                <w:sz w:val="20"/>
                <w:szCs w:val="20"/>
                <w:lang w:val="en-GB"/>
              </w:rPr>
              <w:t>in mGFR stage</w:t>
            </w:r>
          </w:p>
          <w:p w:rsidR="00B01A6E" w:rsidRPr="0086281A" w:rsidRDefault="00B01A6E" w:rsidP="00A0179B">
            <w:pPr>
              <w:jc w:val="center"/>
              <w:rPr>
                <w:rFonts w:ascii="Calibri" w:hAnsi="Calibri"/>
                <w:b/>
                <w:sz w:val="20"/>
                <w:szCs w:val="20"/>
                <w:lang w:val="en-GB"/>
              </w:rPr>
            </w:pPr>
            <w:r w:rsidRPr="0086281A">
              <w:rPr>
                <w:rFonts w:ascii="Calibri" w:hAnsi="Calibri"/>
                <w:b/>
                <w:sz w:val="20"/>
                <w:szCs w:val="20"/>
                <w:lang w:val="en-GB"/>
              </w:rPr>
              <w:t>n patients</w:t>
            </w:r>
          </w:p>
          <w:p w:rsidR="00B01A6E" w:rsidRPr="0086281A" w:rsidRDefault="00B01A6E" w:rsidP="00A0179B">
            <w:pPr>
              <w:jc w:val="center"/>
              <w:rPr>
                <w:rFonts w:ascii="Calibri" w:hAnsi="Calibri"/>
                <w:b/>
                <w:sz w:val="20"/>
                <w:szCs w:val="20"/>
                <w:lang w:val="en-GB"/>
              </w:rPr>
            </w:pPr>
            <w:r w:rsidRPr="0086281A">
              <w:rPr>
                <w:rFonts w:ascii="Calibri" w:hAnsi="Calibri"/>
                <w:b/>
                <w:sz w:val="20"/>
                <w:szCs w:val="20"/>
                <w:lang w:val="en-GB"/>
              </w:rPr>
              <w:t>(%)</w:t>
            </w:r>
            <w:r w:rsidR="009A1650" w:rsidRPr="0086281A">
              <w:rPr>
                <w:rFonts w:ascii="Calibri" w:hAnsi="Calibri"/>
                <w:b/>
                <w:sz w:val="20"/>
                <w:szCs w:val="20"/>
                <w:lang w:val="en-GB"/>
              </w:rPr>
              <w:t xml:space="preserve"> </w:t>
            </w:r>
            <w:r w:rsidR="009A1650" w:rsidRPr="0086281A">
              <w:rPr>
                <w:rFonts w:ascii="Calibri" w:hAnsi="Calibri"/>
                <w:b/>
                <w:sz w:val="20"/>
                <w:szCs w:val="20"/>
                <w:vertAlign w:val="superscript"/>
                <w:lang w:val="en-GB"/>
              </w:rPr>
              <w:t>b</w:t>
            </w:r>
          </w:p>
        </w:tc>
        <w:tc>
          <w:tcPr>
            <w:tcW w:w="2693" w:type="dxa"/>
            <w:shd w:val="clear" w:color="auto" w:fill="auto"/>
          </w:tcPr>
          <w:p w:rsidR="00507625" w:rsidRPr="0086281A" w:rsidRDefault="00507625" w:rsidP="00507625">
            <w:pPr>
              <w:jc w:val="center"/>
              <w:rPr>
                <w:rFonts w:ascii="Calibri" w:hAnsi="Calibri"/>
                <w:b/>
                <w:sz w:val="20"/>
                <w:szCs w:val="20"/>
                <w:lang w:val="en-GB"/>
              </w:rPr>
            </w:pPr>
            <w:r w:rsidRPr="0086281A">
              <w:rPr>
                <w:rFonts w:ascii="Calibri" w:hAnsi="Calibri" w:cs="Helvetica"/>
                <w:b/>
                <w:bCs/>
                <w:color w:val="141413"/>
                <w:sz w:val="20"/>
                <w:szCs w:val="20"/>
                <w:lang w:val="en-GB"/>
              </w:rPr>
              <w:t>Classified</w:t>
            </w:r>
            <w:r w:rsidRPr="0086281A">
              <w:rPr>
                <w:rFonts w:ascii="Calibri" w:hAnsi="Calibri"/>
                <w:b/>
                <w:sz w:val="20"/>
                <w:szCs w:val="20"/>
                <w:lang w:val="en-GB"/>
              </w:rPr>
              <w:t xml:space="preserve"> by</w:t>
            </w:r>
          </w:p>
          <w:p w:rsidR="00B01A6E" w:rsidRPr="0086281A" w:rsidRDefault="00B01A6E" w:rsidP="00A0179B">
            <w:pPr>
              <w:jc w:val="center"/>
              <w:rPr>
                <w:rFonts w:ascii="Calibri" w:hAnsi="Calibri"/>
                <w:b/>
                <w:sz w:val="20"/>
                <w:szCs w:val="20"/>
                <w:vertAlign w:val="subscript"/>
                <w:lang w:val="en-GB"/>
              </w:rPr>
            </w:pPr>
            <w:r w:rsidRPr="0086281A">
              <w:rPr>
                <w:rFonts w:ascii="Calibri" w:hAnsi="Calibri"/>
                <w:b/>
                <w:sz w:val="20"/>
                <w:szCs w:val="20"/>
                <w:lang w:val="en-GB"/>
              </w:rPr>
              <w:t>MDRD</w:t>
            </w:r>
            <w:r w:rsidRPr="0086281A">
              <w:rPr>
                <w:rFonts w:ascii="Calibri" w:hAnsi="Calibri"/>
                <w:b/>
                <w:sz w:val="20"/>
                <w:szCs w:val="20"/>
                <w:vertAlign w:val="subscript"/>
                <w:lang w:val="en-GB"/>
              </w:rPr>
              <w:t xml:space="preserve"> deindexed</w:t>
            </w:r>
            <w:r w:rsidR="00507625" w:rsidRPr="0086281A">
              <w:rPr>
                <w:rFonts w:ascii="Calibri" w:hAnsi="Calibri"/>
                <w:b/>
                <w:sz w:val="20"/>
                <w:szCs w:val="20"/>
                <w:vertAlign w:val="subscript"/>
                <w:lang w:val="en-GB"/>
              </w:rPr>
              <w:t xml:space="preserve"> </w:t>
            </w:r>
            <w:r w:rsidR="00507625" w:rsidRPr="0086281A">
              <w:rPr>
                <w:rFonts w:ascii="Calibri" w:hAnsi="Calibri"/>
                <w:b/>
                <w:sz w:val="20"/>
                <w:szCs w:val="20"/>
                <w:lang w:val="en-GB"/>
              </w:rPr>
              <w:t>in mGFR stage</w:t>
            </w:r>
          </w:p>
          <w:p w:rsidR="00B01A6E" w:rsidRPr="0086281A" w:rsidRDefault="00B01A6E" w:rsidP="00A0179B">
            <w:pPr>
              <w:jc w:val="center"/>
              <w:rPr>
                <w:rFonts w:ascii="Calibri" w:hAnsi="Calibri"/>
                <w:b/>
                <w:sz w:val="20"/>
                <w:szCs w:val="20"/>
                <w:lang w:val="en-GB"/>
              </w:rPr>
            </w:pPr>
            <w:r w:rsidRPr="0086281A">
              <w:rPr>
                <w:rFonts w:ascii="Calibri" w:hAnsi="Calibri"/>
                <w:b/>
                <w:sz w:val="20"/>
                <w:szCs w:val="20"/>
                <w:lang w:val="en-GB"/>
              </w:rPr>
              <w:t>n patients</w:t>
            </w:r>
          </w:p>
          <w:p w:rsidR="00B01A6E" w:rsidRPr="0086281A" w:rsidRDefault="00B01A6E" w:rsidP="00A0179B">
            <w:pPr>
              <w:jc w:val="center"/>
              <w:rPr>
                <w:rFonts w:ascii="Calibri" w:hAnsi="Calibri"/>
                <w:b/>
                <w:sz w:val="20"/>
                <w:szCs w:val="20"/>
                <w:lang w:val="en-GB"/>
              </w:rPr>
            </w:pPr>
            <w:r w:rsidRPr="0086281A">
              <w:rPr>
                <w:rFonts w:ascii="Calibri" w:hAnsi="Calibri"/>
                <w:b/>
                <w:sz w:val="20"/>
                <w:szCs w:val="20"/>
                <w:lang w:val="en-GB"/>
              </w:rPr>
              <w:t>(%)</w:t>
            </w:r>
            <w:r w:rsidR="009A1650" w:rsidRPr="0086281A">
              <w:rPr>
                <w:rFonts w:ascii="Calibri" w:hAnsi="Calibri"/>
                <w:b/>
                <w:sz w:val="20"/>
                <w:szCs w:val="20"/>
                <w:lang w:val="en-GB"/>
              </w:rPr>
              <w:t xml:space="preserve"> </w:t>
            </w:r>
            <w:r w:rsidR="009A1650" w:rsidRPr="0086281A">
              <w:rPr>
                <w:rFonts w:ascii="Calibri" w:hAnsi="Calibri"/>
                <w:b/>
                <w:sz w:val="20"/>
                <w:szCs w:val="20"/>
                <w:vertAlign w:val="superscript"/>
                <w:lang w:val="en-GB"/>
              </w:rPr>
              <w:t>b</w:t>
            </w:r>
          </w:p>
        </w:tc>
      </w:tr>
      <w:tr w:rsidR="00080B47" w:rsidRPr="0086281A" w:rsidTr="00263C28">
        <w:trPr>
          <w:trHeight w:val="71"/>
        </w:trPr>
        <w:tc>
          <w:tcPr>
            <w:tcW w:w="1417" w:type="dxa"/>
            <w:tcBorders>
              <w:top w:val="single" w:sz="4" w:space="0" w:color="auto"/>
            </w:tcBorders>
            <w:shd w:val="clear" w:color="auto" w:fill="auto"/>
          </w:tcPr>
          <w:p w:rsidR="00080B47" w:rsidRPr="0086281A" w:rsidRDefault="00080B47" w:rsidP="00B01A6E">
            <w:pPr>
              <w:jc w:val="center"/>
              <w:rPr>
                <w:rFonts w:ascii="Calibri" w:hAnsi="Calibri"/>
                <w:b/>
                <w:sz w:val="20"/>
                <w:szCs w:val="20"/>
                <w:lang w:val="en-GB"/>
              </w:rPr>
            </w:pPr>
            <w:r w:rsidRPr="0086281A">
              <w:rPr>
                <w:rFonts w:ascii="Calibri" w:hAnsi="Calibri"/>
                <w:b/>
                <w:sz w:val="20"/>
                <w:szCs w:val="20"/>
                <w:lang w:val="en-GB"/>
              </w:rPr>
              <w:t>mGFR stage</w:t>
            </w:r>
          </w:p>
          <w:p w:rsidR="00080B47" w:rsidRPr="0086281A" w:rsidRDefault="00080B47" w:rsidP="00A0179B">
            <w:pPr>
              <w:jc w:val="center"/>
              <w:rPr>
                <w:rFonts w:ascii="Calibri" w:hAnsi="Calibri"/>
                <w:b/>
                <w:sz w:val="20"/>
                <w:szCs w:val="20"/>
                <w:lang w:val="en-GB"/>
              </w:rPr>
            </w:pPr>
            <w:r w:rsidRPr="0086281A">
              <w:rPr>
                <w:rFonts w:ascii="Calibri" w:hAnsi="Calibri"/>
                <w:b/>
                <w:sz w:val="20"/>
                <w:szCs w:val="20"/>
                <w:lang w:val="en-GB"/>
              </w:rPr>
              <w:t>n patients (%)</w:t>
            </w:r>
            <w:r w:rsidR="009A1650" w:rsidRPr="0086281A">
              <w:rPr>
                <w:rFonts w:ascii="Calibri" w:hAnsi="Calibri"/>
                <w:b/>
                <w:sz w:val="20"/>
                <w:szCs w:val="20"/>
                <w:lang w:val="en-GB"/>
              </w:rPr>
              <w:t xml:space="preserve"> </w:t>
            </w:r>
            <w:r w:rsidR="009A1650" w:rsidRPr="0086281A">
              <w:rPr>
                <w:rFonts w:ascii="Calibri" w:hAnsi="Calibri"/>
                <w:b/>
                <w:sz w:val="20"/>
                <w:szCs w:val="20"/>
                <w:vertAlign w:val="superscript"/>
                <w:lang w:val="en-GB"/>
              </w:rPr>
              <w:t>a</w:t>
            </w:r>
          </w:p>
        </w:tc>
        <w:tc>
          <w:tcPr>
            <w:tcW w:w="9640" w:type="dxa"/>
            <w:gridSpan w:val="4"/>
            <w:shd w:val="clear" w:color="auto" w:fill="D9D9D9" w:themeFill="background1" w:themeFillShade="D9"/>
          </w:tcPr>
          <w:p w:rsidR="00080B47" w:rsidRPr="0086281A" w:rsidRDefault="00263C28" w:rsidP="00A0179B">
            <w:pPr>
              <w:jc w:val="center"/>
              <w:rPr>
                <w:rFonts w:ascii="Calibri" w:hAnsi="Calibri"/>
                <w:b/>
                <w:sz w:val="20"/>
                <w:szCs w:val="20"/>
                <w:lang w:val="en-GB"/>
              </w:rPr>
            </w:pPr>
            <w:r w:rsidRPr="0086281A">
              <w:rPr>
                <w:rFonts w:ascii="Calibri" w:hAnsi="Calibri"/>
                <w:b/>
                <w:sz w:val="20"/>
                <w:szCs w:val="20"/>
                <w:lang w:val="en-GB"/>
              </w:rPr>
              <w:t xml:space="preserve">eGFR regarding </w:t>
            </w:r>
            <w:r w:rsidR="003E4ECA">
              <w:rPr>
                <w:rFonts w:ascii="Calibri" w:hAnsi="Calibri"/>
                <w:b/>
                <w:sz w:val="20"/>
                <w:szCs w:val="20"/>
                <w:lang w:val="en-GB"/>
              </w:rPr>
              <w:t xml:space="preserve">the cut-off of </w:t>
            </w:r>
            <w:r w:rsidRPr="0086281A">
              <w:rPr>
                <w:rFonts w:ascii="Calibri" w:hAnsi="Calibri"/>
                <w:b/>
                <w:sz w:val="20"/>
                <w:szCs w:val="20"/>
                <w:lang w:val="en-GB"/>
              </w:rPr>
              <w:t xml:space="preserve">mGFR </w:t>
            </w:r>
          </w:p>
          <w:p w:rsidR="00263C28" w:rsidRPr="0086281A" w:rsidRDefault="00263C28" w:rsidP="00A0179B">
            <w:pPr>
              <w:jc w:val="center"/>
              <w:rPr>
                <w:rFonts w:ascii="Calibri" w:hAnsi="Calibri"/>
                <w:b/>
                <w:sz w:val="20"/>
                <w:szCs w:val="20"/>
                <w:lang w:val="en-GB"/>
              </w:rPr>
            </w:pPr>
            <w:r w:rsidRPr="0086281A">
              <w:rPr>
                <w:rFonts w:ascii="Calibri" w:hAnsi="Calibri"/>
                <w:b/>
                <w:sz w:val="20"/>
                <w:szCs w:val="20"/>
                <w:lang w:val="en-GB"/>
              </w:rPr>
              <w:t>n patients</w:t>
            </w:r>
          </w:p>
          <w:p w:rsidR="00263C28" w:rsidRPr="0086281A" w:rsidRDefault="00263C28" w:rsidP="00A0179B">
            <w:pPr>
              <w:jc w:val="center"/>
              <w:rPr>
                <w:rFonts w:ascii="Calibri" w:hAnsi="Calibri"/>
                <w:b/>
                <w:sz w:val="20"/>
                <w:szCs w:val="20"/>
                <w:lang w:val="en-GB"/>
              </w:rPr>
            </w:pPr>
            <w:r w:rsidRPr="0086281A">
              <w:rPr>
                <w:rFonts w:ascii="Calibri" w:hAnsi="Calibri"/>
                <w:b/>
                <w:sz w:val="20"/>
                <w:szCs w:val="20"/>
                <w:lang w:val="en-GB"/>
              </w:rPr>
              <w:t>(%)</w:t>
            </w:r>
          </w:p>
        </w:tc>
      </w:tr>
      <w:tr w:rsidR="00263C28" w:rsidRPr="0086281A" w:rsidTr="00263C28">
        <w:trPr>
          <w:trHeight w:val="182"/>
        </w:trPr>
        <w:tc>
          <w:tcPr>
            <w:tcW w:w="1417" w:type="dxa"/>
            <w:vMerge w:val="restart"/>
            <w:shd w:val="clear" w:color="auto" w:fill="auto"/>
          </w:tcPr>
          <w:p w:rsidR="00263C28" w:rsidRPr="0086281A" w:rsidRDefault="00263C28" w:rsidP="007706DC">
            <w:pPr>
              <w:rPr>
                <w:rFonts w:ascii="Calibri" w:hAnsi="Calibri"/>
                <w:i/>
                <w:sz w:val="20"/>
                <w:szCs w:val="20"/>
                <w:lang w:val="en-GB"/>
              </w:rPr>
            </w:pPr>
            <w:r w:rsidRPr="0086281A">
              <w:rPr>
                <w:rFonts w:ascii="Calibri" w:hAnsi="Calibri"/>
                <w:i/>
                <w:sz w:val="20"/>
                <w:szCs w:val="20"/>
                <w:lang w:val="en-GB"/>
              </w:rPr>
              <w:t>&lt; 30 mL/min</w:t>
            </w:r>
          </w:p>
          <w:p w:rsidR="00263C28" w:rsidRPr="0086281A" w:rsidRDefault="00263C28" w:rsidP="007706DC">
            <w:pPr>
              <w:rPr>
                <w:rFonts w:ascii="Calibri" w:hAnsi="Calibri"/>
                <w:i/>
                <w:sz w:val="20"/>
                <w:szCs w:val="20"/>
                <w:lang w:val="en-GB"/>
              </w:rPr>
            </w:pPr>
            <w:r w:rsidRPr="0086281A">
              <w:rPr>
                <w:rFonts w:ascii="Calibri" w:hAnsi="Calibri"/>
                <w:i/>
                <w:sz w:val="20"/>
                <w:szCs w:val="20"/>
                <w:lang w:val="en-GB"/>
              </w:rPr>
              <w:t>49 patients</w:t>
            </w:r>
          </w:p>
          <w:p w:rsidR="00263C28" w:rsidRPr="0086281A" w:rsidRDefault="00263C28" w:rsidP="007706DC">
            <w:pPr>
              <w:rPr>
                <w:rFonts w:ascii="Calibri" w:hAnsi="Calibri"/>
                <w:i/>
                <w:sz w:val="20"/>
                <w:szCs w:val="20"/>
                <w:lang w:val="en-GB"/>
              </w:rPr>
            </w:pPr>
            <w:r w:rsidRPr="0086281A">
              <w:rPr>
                <w:rFonts w:ascii="Calibri" w:hAnsi="Calibri"/>
                <w:i/>
                <w:sz w:val="20"/>
                <w:szCs w:val="20"/>
                <w:lang w:val="en-GB"/>
              </w:rPr>
              <w:t>(13.4%)</w:t>
            </w:r>
          </w:p>
          <w:p w:rsidR="00263C28" w:rsidRPr="0086281A" w:rsidRDefault="00263C28" w:rsidP="007706DC">
            <w:pPr>
              <w:rPr>
                <w:rFonts w:ascii="Calibri" w:hAnsi="Calibri"/>
                <w:i/>
                <w:sz w:val="20"/>
                <w:szCs w:val="20"/>
                <w:lang w:val="en-GB"/>
              </w:rPr>
            </w:pPr>
            <w:r w:rsidRPr="0086281A">
              <w:rPr>
                <w:rFonts w:ascii="Calibri" w:hAnsi="Calibri"/>
                <w:i/>
                <w:sz w:val="20"/>
                <w:szCs w:val="20"/>
                <w:lang w:val="en-GB"/>
              </w:rPr>
              <w:t>Metformin</w:t>
            </w:r>
          </w:p>
          <w:p w:rsidR="00263C28" w:rsidRPr="0086281A" w:rsidRDefault="00263C28" w:rsidP="007706DC">
            <w:pPr>
              <w:rPr>
                <w:rFonts w:ascii="Calibri" w:hAnsi="Calibri"/>
                <w:i/>
                <w:sz w:val="20"/>
                <w:szCs w:val="20"/>
                <w:lang w:val="en-GB"/>
              </w:rPr>
            </w:pPr>
            <w:r w:rsidRPr="0086281A">
              <w:rPr>
                <w:rFonts w:ascii="Calibri" w:hAnsi="Calibri"/>
                <w:i/>
                <w:sz w:val="20"/>
                <w:szCs w:val="20"/>
                <w:lang w:val="en-GB"/>
              </w:rPr>
              <w:t>Contra indicated</w:t>
            </w:r>
          </w:p>
        </w:tc>
        <w:tc>
          <w:tcPr>
            <w:tcW w:w="1986" w:type="dxa"/>
            <w:shd w:val="clear" w:color="auto" w:fill="auto"/>
          </w:tcPr>
          <w:p w:rsidR="00263C28" w:rsidRPr="0086281A" w:rsidRDefault="00263C28" w:rsidP="00EE37A5">
            <w:pPr>
              <w:jc w:val="center"/>
              <w:rPr>
                <w:rFonts w:ascii="Calibri" w:hAnsi="Calibri"/>
                <w:sz w:val="20"/>
                <w:szCs w:val="20"/>
                <w:lang w:val="en-GB"/>
              </w:rPr>
            </w:pPr>
            <w:r w:rsidRPr="0086281A">
              <w:rPr>
                <w:rFonts w:ascii="Calibri" w:hAnsi="Calibri"/>
                <w:sz w:val="20"/>
                <w:szCs w:val="20"/>
                <w:lang w:val="en-GB"/>
              </w:rPr>
              <w:t>28</w:t>
            </w:r>
            <w:r w:rsidR="009B5602" w:rsidRPr="0086281A">
              <w:rPr>
                <w:rFonts w:ascii="Calibri" w:hAnsi="Calibri"/>
                <w:sz w:val="20"/>
                <w:szCs w:val="20"/>
                <w:lang w:val="en-GB"/>
              </w:rPr>
              <w:t xml:space="preserve"> </w:t>
            </w:r>
            <w:r w:rsidR="009B5602" w:rsidRPr="0086281A">
              <w:rPr>
                <w:rFonts w:ascii="Calibri" w:hAnsi="Calibri" w:cs="Times"/>
                <w:vertAlign w:val="superscript"/>
                <w:lang w:val="en-GB"/>
              </w:rPr>
              <w:t>* ¥ †</w:t>
            </w:r>
          </w:p>
          <w:p w:rsidR="00BC3F16" w:rsidRPr="0086281A" w:rsidRDefault="00BC3F16" w:rsidP="00A83925">
            <w:pPr>
              <w:jc w:val="center"/>
              <w:rPr>
                <w:rFonts w:ascii="Calibri" w:hAnsi="Calibri"/>
                <w:sz w:val="20"/>
                <w:szCs w:val="20"/>
                <w:lang w:val="en-GB"/>
              </w:rPr>
            </w:pPr>
            <w:r w:rsidRPr="0086281A">
              <w:rPr>
                <w:rFonts w:ascii="Calibri" w:hAnsi="Calibri"/>
                <w:sz w:val="20"/>
                <w:szCs w:val="20"/>
                <w:lang w:val="en-GB"/>
              </w:rPr>
              <w:t xml:space="preserve"> (</w:t>
            </w:r>
            <w:r w:rsidR="00A83925" w:rsidRPr="0086281A">
              <w:rPr>
                <w:rFonts w:ascii="Calibri" w:hAnsi="Calibri"/>
                <w:sz w:val="20"/>
                <w:szCs w:val="20"/>
                <w:lang w:val="en-GB"/>
              </w:rPr>
              <w:t>5</w:t>
            </w:r>
            <w:r w:rsidRPr="0086281A">
              <w:rPr>
                <w:rFonts w:ascii="Calibri" w:hAnsi="Calibri"/>
                <w:sz w:val="20"/>
                <w:szCs w:val="20"/>
                <w:lang w:val="en-GB"/>
              </w:rPr>
              <w:t>7.1%)</w:t>
            </w:r>
          </w:p>
        </w:tc>
        <w:tc>
          <w:tcPr>
            <w:tcW w:w="2126" w:type="dxa"/>
            <w:shd w:val="clear" w:color="auto" w:fill="auto"/>
          </w:tcPr>
          <w:p w:rsidR="00263C28" w:rsidRPr="0086281A" w:rsidRDefault="00263C28" w:rsidP="00E7405A">
            <w:pPr>
              <w:jc w:val="center"/>
              <w:rPr>
                <w:rFonts w:ascii="Calibri" w:hAnsi="Calibri"/>
                <w:sz w:val="20"/>
                <w:szCs w:val="20"/>
                <w:lang w:val="en-GB"/>
              </w:rPr>
            </w:pPr>
            <w:r w:rsidRPr="0086281A">
              <w:rPr>
                <w:rFonts w:ascii="Calibri" w:hAnsi="Calibri"/>
                <w:sz w:val="20"/>
                <w:szCs w:val="20"/>
                <w:lang w:val="en-GB"/>
              </w:rPr>
              <w:t>40</w:t>
            </w:r>
          </w:p>
          <w:p w:rsidR="00BC3F16" w:rsidRPr="0086281A" w:rsidRDefault="00BC3F16" w:rsidP="00E7405A">
            <w:pPr>
              <w:jc w:val="center"/>
              <w:rPr>
                <w:rFonts w:ascii="Calibri" w:hAnsi="Calibri"/>
                <w:sz w:val="20"/>
                <w:szCs w:val="20"/>
                <w:lang w:val="en-GB"/>
              </w:rPr>
            </w:pPr>
            <w:r w:rsidRPr="0086281A">
              <w:rPr>
                <w:rFonts w:ascii="Calibri" w:hAnsi="Calibri"/>
                <w:sz w:val="20"/>
                <w:szCs w:val="20"/>
                <w:lang w:val="en-GB"/>
              </w:rPr>
              <w:t xml:space="preserve"> (81.6%)</w:t>
            </w:r>
          </w:p>
        </w:tc>
        <w:tc>
          <w:tcPr>
            <w:tcW w:w="2835" w:type="dxa"/>
            <w:shd w:val="clear" w:color="auto" w:fill="auto"/>
          </w:tcPr>
          <w:p w:rsidR="00EA50C7" w:rsidRPr="0086281A" w:rsidRDefault="00263C28" w:rsidP="00EA50C7">
            <w:pPr>
              <w:jc w:val="center"/>
              <w:rPr>
                <w:rFonts w:ascii="Calibri" w:hAnsi="Calibri"/>
                <w:sz w:val="20"/>
                <w:szCs w:val="20"/>
                <w:lang w:val="en-GB"/>
              </w:rPr>
            </w:pPr>
            <w:r w:rsidRPr="0086281A">
              <w:rPr>
                <w:rFonts w:ascii="Calibri" w:hAnsi="Calibri"/>
                <w:sz w:val="20"/>
                <w:szCs w:val="20"/>
                <w:lang w:val="en-GB"/>
              </w:rPr>
              <w:t>43</w:t>
            </w:r>
          </w:p>
          <w:p w:rsidR="00EA50C7" w:rsidRPr="0086281A" w:rsidRDefault="00BC3F16" w:rsidP="00E7405A">
            <w:pPr>
              <w:jc w:val="center"/>
              <w:rPr>
                <w:rFonts w:ascii="Calibri" w:hAnsi="Calibri"/>
                <w:sz w:val="20"/>
                <w:szCs w:val="20"/>
                <w:lang w:val="en-GB"/>
              </w:rPr>
            </w:pPr>
            <w:r w:rsidRPr="0086281A">
              <w:rPr>
                <w:rFonts w:ascii="Calibri" w:hAnsi="Calibri"/>
                <w:sz w:val="20"/>
                <w:szCs w:val="20"/>
                <w:lang w:val="en-GB"/>
              </w:rPr>
              <w:t xml:space="preserve"> (87.8%)</w:t>
            </w:r>
          </w:p>
        </w:tc>
        <w:tc>
          <w:tcPr>
            <w:tcW w:w="2693" w:type="dxa"/>
            <w:shd w:val="clear" w:color="auto" w:fill="auto"/>
          </w:tcPr>
          <w:p w:rsidR="00263C28" w:rsidRPr="0086281A" w:rsidRDefault="00263C28" w:rsidP="005E2F84">
            <w:pPr>
              <w:jc w:val="center"/>
              <w:rPr>
                <w:rFonts w:ascii="Calibri" w:hAnsi="Calibri"/>
                <w:sz w:val="20"/>
                <w:szCs w:val="20"/>
                <w:lang w:val="en-GB"/>
              </w:rPr>
            </w:pPr>
            <w:r w:rsidRPr="0086281A">
              <w:rPr>
                <w:rFonts w:ascii="Calibri" w:hAnsi="Calibri"/>
                <w:sz w:val="20"/>
                <w:szCs w:val="20"/>
                <w:lang w:val="en-GB"/>
              </w:rPr>
              <w:t>42</w:t>
            </w:r>
          </w:p>
          <w:p w:rsidR="00EA50C7" w:rsidRPr="0086281A" w:rsidRDefault="00BC3F16" w:rsidP="005E2F84">
            <w:pPr>
              <w:jc w:val="center"/>
              <w:rPr>
                <w:rFonts w:ascii="Calibri" w:hAnsi="Calibri"/>
                <w:sz w:val="20"/>
                <w:szCs w:val="20"/>
                <w:lang w:val="en-GB"/>
              </w:rPr>
            </w:pPr>
            <w:r w:rsidRPr="0086281A">
              <w:rPr>
                <w:rFonts w:ascii="Calibri" w:hAnsi="Calibri"/>
                <w:sz w:val="20"/>
                <w:szCs w:val="20"/>
                <w:lang w:val="en-GB"/>
              </w:rPr>
              <w:t>(85.7%)</w:t>
            </w:r>
          </w:p>
        </w:tc>
      </w:tr>
      <w:tr w:rsidR="00263C28" w:rsidRPr="0086281A" w:rsidTr="00263C28">
        <w:trPr>
          <w:trHeight w:val="379"/>
        </w:trPr>
        <w:tc>
          <w:tcPr>
            <w:tcW w:w="1417" w:type="dxa"/>
            <w:vMerge/>
            <w:shd w:val="clear" w:color="auto" w:fill="auto"/>
          </w:tcPr>
          <w:p w:rsidR="00263C28" w:rsidRPr="0086281A" w:rsidRDefault="00263C28" w:rsidP="00A0179B">
            <w:pPr>
              <w:jc w:val="center"/>
              <w:rPr>
                <w:rFonts w:ascii="Calibri" w:hAnsi="Calibri"/>
                <w:i/>
                <w:sz w:val="20"/>
                <w:szCs w:val="20"/>
                <w:lang w:val="en-GB"/>
              </w:rPr>
            </w:pPr>
          </w:p>
        </w:tc>
        <w:tc>
          <w:tcPr>
            <w:tcW w:w="9640" w:type="dxa"/>
            <w:gridSpan w:val="4"/>
            <w:shd w:val="clear" w:color="auto" w:fill="D9D9D9" w:themeFill="background1" w:themeFillShade="D9"/>
          </w:tcPr>
          <w:p w:rsidR="00263C28" w:rsidRPr="0086281A" w:rsidRDefault="003E4ECA" w:rsidP="003E4ECA">
            <w:pPr>
              <w:jc w:val="center"/>
              <w:rPr>
                <w:rFonts w:ascii="Calibri" w:hAnsi="Calibri"/>
                <w:sz w:val="20"/>
                <w:szCs w:val="20"/>
                <w:lang w:val="en-GB"/>
              </w:rPr>
            </w:pPr>
            <w:r>
              <w:rPr>
                <w:rFonts w:ascii="Calibri" w:hAnsi="Calibri"/>
                <w:b/>
                <w:sz w:val="20"/>
                <w:szCs w:val="20"/>
                <w:lang w:val="en-GB"/>
              </w:rPr>
              <w:t>eGFR &gt; mGFR</w:t>
            </w:r>
            <w:r w:rsidR="00EA50C7" w:rsidRPr="0086281A">
              <w:rPr>
                <w:rFonts w:ascii="Calibri" w:hAnsi="Calibri"/>
                <w:b/>
                <w:sz w:val="20"/>
                <w:szCs w:val="20"/>
                <w:lang w:val="en-GB"/>
              </w:rPr>
              <w:t>: patients receiving the drug while they should not</w:t>
            </w:r>
          </w:p>
        </w:tc>
      </w:tr>
      <w:tr w:rsidR="00263C28" w:rsidRPr="0086281A" w:rsidTr="00263C28">
        <w:trPr>
          <w:trHeight w:val="554"/>
        </w:trPr>
        <w:tc>
          <w:tcPr>
            <w:tcW w:w="1417" w:type="dxa"/>
            <w:vMerge/>
            <w:shd w:val="clear" w:color="auto" w:fill="auto"/>
          </w:tcPr>
          <w:p w:rsidR="00263C28" w:rsidRPr="0086281A" w:rsidRDefault="00263C28" w:rsidP="00A0179B">
            <w:pPr>
              <w:jc w:val="center"/>
              <w:rPr>
                <w:rFonts w:ascii="Calibri" w:hAnsi="Calibri"/>
                <w:i/>
                <w:sz w:val="20"/>
                <w:szCs w:val="20"/>
                <w:lang w:val="en-GB"/>
              </w:rPr>
            </w:pPr>
          </w:p>
        </w:tc>
        <w:tc>
          <w:tcPr>
            <w:tcW w:w="1986" w:type="dxa"/>
            <w:shd w:val="clear" w:color="auto" w:fill="D9D9D9" w:themeFill="background1" w:themeFillShade="D9"/>
          </w:tcPr>
          <w:p w:rsidR="00263C28" w:rsidRPr="0086281A" w:rsidRDefault="00263C28" w:rsidP="00263C28">
            <w:pPr>
              <w:jc w:val="center"/>
              <w:rPr>
                <w:rFonts w:ascii="Calibri" w:hAnsi="Calibri"/>
                <w:sz w:val="20"/>
                <w:szCs w:val="20"/>
                <w:lang w:val="en-GB"/>
              </w:rPr>
            </w:pPr>
            <w:r w:rsidRPr="0086281A">
              <w:rPr>
                <w:rFonts w:ascii="Calibri" w:hAnsi="Calibri"/>
                <w:sz w:val="20"/>
                <w:szCs w:val="20"/>
                <w:lang w:val="en-GB"/>
              </w:rPr>
              <w:t>21</w:t>
            </w:r>
            <w:r w:rsidR="00A83925" w:rsidRPr="0086281A">
              <w:rPr>
                <w:rFonts w:ascii="Calibri" w:hAnsi="Calibri"/>
                <w:sz w:val="20"/>
                <w:szCs w:val="20"/>
                <w:lang w:val="en-GB"/>
              </w:rPr>
              <w:t xml:space="preserve"> </w:t>
            </w:r>
            <w:r w:rsidR="00A83925" w:rsidRPr="0086281A">
              <w:rPr>
                <w:rFonts w:ascii="Calibri" w:hAnsi="Calibri" w:cs="Times"/>
                <w:vertAlign w:val="superscript"/>
                <w:lang w:val="en-GB"/>
              </w:rPr>
              <w:t>* ¥ †</w:t>
            </w:r>
          </w:p>
          <w:p w:rsidR="00263C28" w:rsidRPr="0086281A" w:rsidRDefault="00DF0504" w:rsidP="00080B47">
            <w:pPr>
              <w:jc w:val="center"/>
              <w:rPr>
                <w:rFonts w:ascii="Calibri" w:hAnsi="Calibri"/>
                <w:sz w:val="20"/>
                <w:szCs w:val="20"/>
                <w:lang w:val="en-GB"/>
              </w:rPr>
            </w:pPr>
            <w:r w:rsidRPr="0086281A">
              <w:rPr>
                <w:rFonts w:ascii="Calibri" w:hAnsi="Calibri"/>
                <w:sz w:val="20"/>
                <w:szCs w:val="20"/>
                <w:lang w:val="en-GB"/>
              </w:rPr>
              <w:t>(42.9%)</w:t>
            </w:r>
          </w:p>
        </w:tc>
        <w:tc>
          <w:tcPr>
            <w:tcW w:w="2126" w:type="dxa"/>
            <w:shd w:val="clear" w:color="auto" w:fill="D9D9D9" w:themeFill="background1" w:themeFillShade="D9"/>
          </w:tcPr>
          <w:p w:rsidR="00263C28" w:rsidRPr="0086281A" w:rsidRDefault="00263C28" w:rsidP="00263C28">
            <w:pPr>
              <w:jc w:val="center"/>
              <w:rPr>
                <w:rFonts w:ascii="Calibri" w:hAnsi="Calibri"/>
                <w:sz w:val="20"/>
                <w:szCs w:val="20"/>
                <w:lang w:val="en-GB"/>
              </w:rPr>
            </w:pPr>
            <w:r w:rsidRPr="0086281A">
              <w:rPr>
                <w:rFonts w:ascii="Calibri" w:hAnsi="Calibri"/>
                <w:sz w:val="20"/>
                <w:szCs w:val="20"/>
                <w:lang w:val="en-GB"/>
              </w:rPr>
              <w:t>9</w:t>
            </w:r>
          </w:p>
          <w:p w:rsidR="00DF0504" w:rsidRPr="0086281A" w:rsidRDefault="00DF0504" w:rsidP="00DF0504">
            <w:pPr>
              <w:jc w:val="center"/>
              <w:rPr>
                <w:rFonts w:ascii="Calibri" w:hAnsi="Calibri"/>
                <w:sz w:val="20"/>
                <w:szCs w:val="20"/>
                <w:lang w:val="en-GB"/>
              </w:rPr>
            </w:pPr>
            <w:r w:rsidRPr="0086281A">
              <w:rPr>
                <w:rFonts w:ascii="Calibri" w:hAnsi="Calibri"/>
                <w:sz w:val="20"/>
                <w:szCs w:val="20"/>
                <w:lang w:val="en-GB"/>
              </w:rPr>
              <w:t>(18.4%)</w:t>
            </w:r>
          </w:p>
        </w:tc>
        <w:tc>
          <w:tcPr>
            <w:tcW w:w="2835" w:type="dxa"/>
            <w:shd w:val="clear" w:color="auto" w:fill="D9D9D9" w:themeFill="background1" w:themeFillShade="D9"/>
          </w:tcPr>
          <w:p w:rsidR="00263C28" w:rsidRPr="0086281A" w:rsidRDefault="00263C28" w:rsidP="00080B47">
            <w:pPr>
              <w:jc w:val="center"/>
              <w:rPr>
                <w:rFonts w:ascii="Calibri" w:hAnsi="Calibri"/>
                <w:sz w:val="20"/>
                <w:szCs w:val="20"/>
                <w:lang w:val="en-GB"/>
              </w:rPr>
            </w:pPr>
            <w:r w:rsidRPr="0086281A">
              <w:rPr>
                <w:rFonts w:ascii="Calibri" w:hAnsi="Calibri"/>
                <w:sz w:val="20"/>
                <w:szCs w:val="20"/>
                <w:lang w:val="en-GB"/>
              </w:rPr>
              <w:t>6</w:t>
            </w:r>
          </w:p>
          <w:p w:rsidR="00DF0504" w:rsidRPr="0086281A" w:rsidRDefault="00DF0504" w:rsidP="00080B47">
            <w:pPr>
              <w:jc w:val="center"/>
              <w:rPr>
                <w:rFonts w:ascii="Calibri" w:hAnsi="Calibri"/>
                <w:sz w:val="20"/>
                <w:szCs w:val="20"/>
                <w:lang w:val="en-GB"/>
              </w:rPr>
            </w:pPr>
            <w:r w:rsidRPr="0086281A">
              <w:rPr>
                <w:rFonts w:ascii="Calibri" w:hAnsi="Calibri"/>
                <w:sz w:val="20"/>
                <w:szCs w:val="20"/>
                <w:lang w:val="en-GB"/>
              </w:rPr>
              <w:t>(12.2%)</w:t>
            </w:r>
          </w:p>
        </w:tc>
        <w:tc>
          <w:tcPr>
            <w:tcW w:w="2693" w:type="dxa"/>
            <w:shd w:val="clear" w:color="auto" w:fill="D9D9D9" w:themeFill="background1" w:themeFillShade="D9"/>
          </w:tcPr>
          <w:p w:rsidR="00DF0504" w:rsidRPr="0086281A" w:rsidRDefault="00263C28" w:rsidP="00DF0504">
            <w:pPr>
              <w:jc w:val="center"/>
              <w:rPr>
                <w:rFonts w:ascii="Calibri" w:hAnsi="Calibri"/>
                <w:sz w:val="20"/>
                <w:szCs w:val="20"/>
                <w:lang w:val="en-GB"/>
              </w:rPr>
            </w:pPr>
            <w:r w:rsidRPr="0086281A">
              <w:rPr>
                <w:rFonts w:ascii="Calibri" w:hAnsi="Calibri"/>
                <w:sz w:val="20"/>
                <w:szCs w:val="20"/>
                <w:lang w:val="en-GB"/>
              </w:rPr>
              <w:t>7</w:t>
            </w:r>
          </w:p>
          <w:p w:rsidR="00DF0504" w:rsidRPr="0086281A" w:rsidRDefault="00DF0504" w:rsidP="00080B47">
            <w:pPr>
              <w:jc w:val="center"/>
              <w:rPr>
                <w:rFonts w:ascii="Calibri" w:hAnsi="Calibri"/>
                <w:sz w:val="20"/>
                <w:szCs w:val="20"/>
                <w:lang w:val="en-GB"/>
              </w:rPr>
            </w:pPr>
            <w:r w:rsidRPr="0086281A">
              <w:rPr>
                <w:rFonts w:ascii="Calibri" w:hAnsi="Calibri"/>
                <w:sz w:val="20"/>
                <w:szCs w:val="20"/>
                <w:lang w:val="en-GB"/>
              </w:rPr>
              <w:t>(14.3%)</w:t>
            </w:r>
          </w:p>
        </w:tc>
      </w:tr>
      <w:tr w:rsidR="00263C28" w:rsidRPr="0086281A" w:rsidTr="00263C28">
        <w:trPr>
          <w:trHeight w:val="182"/>
        </w:trPr>
        <w:tc>
          <w:tcPr>
            <w:tcW w:w="1417" w:type="dxa"/>
            <w:vMerge w:val="restart"/>
            <w:shd w:val="clear" w:color="auto" w:fill="auto"/>
          </w:tcPr>
          <w:p w:rsidR="00263C28" w:rsidRPr="0086281A" w:rsidRDefault="00263C28" w:rsidP="007706DC">
            <w:pPr>
              <w:rPr>
                <w:rFonts w:ascii="Calibri" w:hAnsi="Calibri"/>
                <w:i/>
                <w:sz w:val="20"/>
                <w:szCs w:val="20"/>
                <w:lang w:val="en-GB"/>
              </w:rPr>
            </w:pPr>
            <w:r w:rsidRPr="0086281A">
              <w:rPr>
                <w:rFonts w:ascii="Calibri" w:hAnsi="Calibri"/>
                <w:i/>
                <w:sz w:val="20"/>
                <w:szCs w:val="20"/>
                <w:lang w:val="en-GB"/>
              </w:rPr>
              <w:t>30-44 mL/min</w:t>
            </w:r>
          </w:p>
          <w:p w:rsidR="00263C28" w:rsidRPr="0086281A" w:rsidRDefault="00263C28" w:rsidP="007706DC">
            <w:pPr>
              <w:rPr>
                <w:rFonts w:ascii="Calibri" w:hAnsi="Calibri"/>
                <w:i/>
                <w:sz w:val="20"/>
                <w:szCs w:val="20"/>
                <w:lang w:val="en-GB"/>
              </w:rPr>
            </w:pPr>
            <w:r w:rsidRPr="0086281A">
              <w:rPr>
                <w:rFonts w:ascii="Calibri" w:hAnsi="Calibri"/>
                <w:i/>
                <w:sz w:val="20"/>
                <w:szCs w:val="20"/>
                <w:lang w:val="en-GB"/>
              </w:rPr>
              <w:t>58 patients</w:t>
            </w:r>
          </w:p>
          <w:p w:rsidR="00263C28" w:rsidRPr="0086281A" w:rsidRDefault="00263C28" w:rsidP="007706DC">
            <w:pPr>
              <w:rPr>
                <w:rFonts w:ascii="Calibri" w:hAnsi="Calibri"/>
                <w:i/>
                <w:sz w:val="20"/>
                <w:szCs w:val="20"/>
                <w:lang w:val="en-GB"/>
              </w:rPr>
            </w:pPr>
            <w:r w:rsidRPr="0086281A">
              <w:rPr>
                <w:rFonts w:ascii="Calibri" w:hAnsi="Calibri"/>
                <w:i/>
                <w:sz w:val="20"/>
                <w:szCs w:val="20"/>
                <w:lang w:val="en-GB"/>
              </w:rPr>
              <w:t>(15.9%)</w:t>
            </w:r>
          </w:p>
          <w:p w:rsidR="00263C28" w:rsidRPr="0086281A" w:rsidRDefault="00263C28" w:rsidP="007706DC">
            <w:pPr>
              <w:rPr>
                <w:rFonts w:ascii="Calibri" w:hAnsi="Calibri"/>
                <w:i/>
                <w:sz w:val="20"/>
                <w:szCs w:val="20"/>
                <w:lang w:val="en-GB"/>
              </w:rPr>
            </w:pPr>
            <w:r w:rsidRPr="0086281A">
              <w:rPr>
                <w:rFonts w:ascii="Calibri" w:hAnsi="Calibri"/>
                <w:i/>
                <w:sz w:val="20"/>
                <w:szCs w:val="20"/>
                <w:lang w:val="en-GB"/>
              </w:rPr>
              <w:t>Dose of metformin to adjust</w:t>
            </w:r>
          </w:p>
        </w:tc>
        <w:tc>
          <w:tcPr>
            <w:tcW w:w="1986" w:type="dxa"/>
            <w:shd w:val="clear" w:color="auto" w:fill="auto"/>
          </w:tcPr>
          <w:p w:rsidR="00263C28" w:rsidRPr="0086281A" w:rsidRDefault="00263C28" w:rsidP="00A0179B">
            <w:pPr>
              <w:jc w:val="center"/>
              <w:rPr>
                <w:rFonts w:ascii="Calibri" w:hAnsi="Calibri"/>
                <w:sz w:val="20"/>
                <w:szCs w:val="20"/>
                <w:lang w:val="en-GB"/>
              </w:rPr>
            </w:pPr>
            <w:r w:rsidRPr="0086281A">
              <w:rPr>
                <w:rFonts w:ascii="Calibri" w:hAnsi="Calibri"/>
                <w:sz w:val="20"/>
                <w:szCs w:val="20"/>
                <w:lang w:val="en-GB"/>
              </w:rPr>
              <w:t>24</w:t>
            </w:r>
          </w:p>
          <w:p w:rsidR="00DF0504" w:rsidRPr="0086281A" w:rsidRDefault="00C0194E" w:rsidP="00A0179B">
            <w:pPr>
              <w:jc w:val="center"/>
              <w:rPr>
                <w:rFonts w:ascii="Calibri" w:hAnsi="Calibri"/>
                <w:sz w:val="20"/>
                <w:szCs w:val="20"/>
                <w:lang w:val="en-GB"/>
              </w:rPr>
            </w:pPr>
            <w:r w:rsidRPr="0086281A">
              <w:rPr>
                <w:rFonts w:ascii="Calibri" w:hAnsi="Calibri"/>
                <w:sz w:val="20"/>
                <w:szCs w:val="20"/>
                <w:lang w:val="en-GB"/>
              </w:rPr>
              <w:t>(41</w:t>
            </w:r>
            <w:r w:rsidR="00E50926" w:rsidRPr="0086281A">
              <w:rPr>
                <w:rFonts w:ascii="Calibri" w:hAnsi="Calibri"/>
                <w:sz w:val="20"/>
                <w:szCs w:val="20"/>
                <w:lang w:val="en-GB"/>
              </w:rPr>
              <w:t>.4%)</w:t>
            </w:r>
          </w:p>
        </w:tc>
        <w:tc>
          <w:tcPr>
            <w:tcW w:w="2126" w:type="dxa"/>
            <w:shd w:val="clear" w:color="auto" w:fill="auto"/>
          </w:tcPr>
          <w:p w:rsidR="00263C28" w:rsidRPr="0086281A" w:rsidRDefault="00263C28" w:rsidP="00A0179B">
            <w:pPr>
              <w:jc w:val="center"/>
              <w:rPr>
                <w:rFonts w:ascii="Calibri" w:hAnsi="Calibri"/>
                <w:sz w:val="20"/>
                <w:szCs w:val="20"/>
                <w:lang w:val="en-GB"/>
              </w:rPr>
            </w:pPr>
            <w:r w:rsidRPr="0086281A">
              <w:rPr>
                <w:rFonts w:ascii="Calibri" w:hAnsi="Calibri"/>
                <w:sz w:val="20"/>
                <w:szCs w:val="20"/>
                <w:lang w:val="en-GB"/>
              </w:rPr>
              <w:t>29</w:t>
            </w:r>
          </w:p>
          <w:p w:rsidR="00DF0504" w:rsidRPr="0086281A" w:rsidRDefault="00C0194E" w:rsidP="00A0179B">
            <w:pPr>
              <w:jc w:val="center"/>
              <w:rPr>
                <w:rFonts w:ascii="Calibri" w:hAnsi="Calibri"/>
                <w:sz w:val="20"/>
                <w:szCs w:val="20"/>
                <w:lang w:val="en-GB"/>
              </w:rPr>
            </w:pPr>
            <w:r w:rsidRPr="0086281A">
              <w:rPr>
                <w:rFonts w:ascii="Calibri" w:hAnsi="Calibri"/>
                <w:sz w:val="20"/>
                <w:szCs w:val="20"/>
                <w:lang w:val="en-GB"/>
              </w:rPr>
              <w:t>(50</w:t>
            </w:r>
            <w:r w:rsidR="00E50926" w:rsidRPr="0086281A">
              <w:rPr>
                <w:rFonts w:ascii="Calibri" w:hAnsi="Calibri"/>
                <w:sz w:val="20"/>
                <w:szCs w:val="20"/>
                <w:lang w:val="en-GB"/>
              </w:rPr>
              <w:t>%)</w:t>
            </w:r>
          </w:p>
        </w:tc>
        <w:tc>
          <w:tcPr>
            <w:tcW w:w="2835" w:type="dxa"/>
            <w:shd w:val="clear" w:color="auto" w:fill="auto"/>
          </w:tcPr>
          <w:p w:rsidR="00263C28" w:rsidRPr="0086281A" w:rsidRDefault="00263C28" w:rsidP="00A0179B">
            <w:pPr>
              <w:jc w:val="center"/>
              <w:rPr>
                <w:rFonts w:ascii="Calibri" w:hAnsi="Calibri"/>
                <w:sz w:val="20"/>
                <w:szCs w:val="20"/>
                <w:lang w:val="en-GB"/>
              </w:rPr>
            </w:pPr>
            <w:r w:rsidRPr="0086281A">
              <w:rPr>
                <w:rFonts w:ascii="Calibri" w:hAnsi="Calibri"/>
                <w:sz w:val="20"/>
                <w:szCs w:val="20"/>
                <w:lang w:val="en-GB"/>
              </w:rPr>
              <w:t>28</w:t>
            </w:r>
          </w:p>
          <w:p w:rsidR="00DF0504" w:rsidRPr="0086281A" w:rsidRDefault="00DF0504" w:rsidP="00A0179B">
            <w:pPr>
              <w:jc w:val="center"/>
              <w:rPr>
                <w:rFonts w:ascii="Calibri" w:hAnsi="Calibri"/>
                <w:sz w:val="20"/>
                <w:szCs w:val="20"/>
                <w:lang w:val="en-GB"/>
              </w:rPr>
            </w:pPr>
            <w:r w:rsidRPr="0086281A">
              <w:rPr>
                <w:rFonts w:ascii="Calibri" w:hAnsi="Calibri"/>
                <w:sz w:val="20"/>
                <w:szCs w:val="20"/>
                <w:lang w:val="en-GB"/>
              </w:rPr>
              <w:t>(</w:t>
            </w:r>
            <w:r w:rsidR="00C0194E" w:rsidRPr="0086281A">
              <w:rPr>
                <w:rFonts w:ascii="Calibri" w:hAnsi="Calibri"/>
                <w:sz w:val="20"/>
                <w:szCs w:val="20"/>
                <w:lang w:val="en-GB"/>
              </w:rPr>
              <w:t>48.3</w:t>
            </w:r>
            <w:r w:rsidR="00E50926" w:rsidRPr="0086281A">
              <w:rPr>
                <w:rFonts w:ascii="Calibri" w:hAnsi="Calibri"/>
                <w:sz w:val="20"/>
                <w:szCs w:val="20"/>
                <w:lang w:val="en-GB"/>
              </w:rPr>
              <w:t>%)</w:t>
            </w:r>
          </w:p>
        </w:tc>
        <w:tc>
          <w:tcPr>
            <w:tcW w:w="2693" w:type="dxa"/>
            <w:shd w:val="clear" w:color="auto" w:fill="auto"/>
          </w:tcPr>
          <w:p w:rsidR="00263C28" w:rsidRPr="0086281A" w:rsidRDefault="00263C28" w:rsidP="00A0179B">
            <w:pPr>
              <w:jc w:val="center"/>
              <w:rPr>
                <w:rFonts w:ascii="Calibri" w:hAnsi="Calibri"/>
                <w:sz w:val="20"/>
                <w:szCs w:val="20"/>
                <w:lang w:val="en-GB"/>
              </w:rPr>
            </w:pPr>
            <w:r w:rsidRPr="0086281A">
              <w:rPr>
                <w:rFonts w:ascii="Calibri" w:hAnsi="Calibri"/>
                <w:sz w:val="20"/>
                <w:szCs w:val="20"/>
                <w:lang w:val="en-GB"/>
              </w:rPr>
              <w:t>26</w:t>
            </w:r>
          </w:p>
          <w:p w:rsidR="00DF0504" w:rsidRPr="0086281A" w:rsidRDefault="00E50926" w:rsidP="00C0194E">
            <w:pPr>
              <w:jc w:val="center"/>
              <w:rPr>
                <w:rFonts w:ascii="Calibri" w:hAnsi="Calibri"/>
                <w:sz w:val="20"/>
                <w:szCs w:val="20"/>
                <w:lang w:val="en-GB"/>
              </w:rPr>
            </w:pPr>
            <w:r w:rsidRPr="0086281A">
              <w:rPr>
                <w:rFonts w:ascii="Calibri" w:hAnsi="Calibri"/>
                <w:sz w:val="20"/>
                <w:szCs w:val="20"/>
                <w:lang w:val="en-GB"/>
              </w:rPr>
              <w:t>(</w:t>
            </w:r>
            <w:r w:rsidR="00C0194E" w:rsidRPr="0086281A">
              <w:rPr>
                <w:rFonts w:ascii="Calibri" w:hAnsi="Calibri"/>
                <w:sz w:val="20"/>
                <w:szCs w:val="20"/>
                <w:lang w:val="en-GB"/>
              </w:rPr>
              <w:t>44.8</w:t>
            </w:r>
            <w:r w:rsidRPr="0086281A">
              <w:rPr>
                <w:rFonts w:ascii="Calibri" w:hAnsi="Calibri"/>
                <w:sz w:val="20"/>
                <w:szCs w:val="20"/>
                <w:lang w:val="en-GB"/>
              </w:rPr>
              <w:t>%)</w:t>
            </w:r>
          </w:p>
        </w:tc>
      </w:tr>
      <w:tr w:rsidR="00263C28" w:rsidRPr="0086281A" w:rsidTr="00263C28">
        <w:trPr>
          <w:trHeight w:val="314"/>
        </w:trPr>
        <w:tc>
          <w:tcPr>
            <w:tcW w:w="1417" w:type="dxa"/>
            <w:vMerge/>
            <w:shd w:val="clear" w:color="auto" w:fill="auto"/>
          </w:tcPr>
          <w:p w:rsidR="00263C28" w:rsidRPr="0086281A" w:rsidRDefault="00263C28" w:rsidP="00A0179B">
            <w:pPr>
              <w:jc w:val="center"/>
              <w:rPr>
                <w:rFonts w:ascii="Calibri" w:hAnsi="Calibri"/>
                <w:i/>
                <w:sz w:val="20"/>
                <w:szCs w:val="20"/>
                <w:lang w:val="en-GB"/>
              </w:rPr>
            </w:pPr>
          </w:p>
        </w:tc>
        <w:tc>
          <w:tcPr>
            <w:tcW w:w="9640" w:type="dxa"/>
            <w:gridSpan w:val="4"/>
            <w:shd w:val="clear" w:color="auto" w:fill="D9D9D9" w:themeFill="background1" w:themeFillShade="D9"/>
          </w:tcPr>
          <w:p w:rsidR="00263C28" w:rsidRPr="0086281A" w:rsidRDefault="00263C28" w:rsidP="00A0179B">
            <w:pPr>
              <w:jc w:val="center"/>
              <w:rPr>
                <w:rFonts w:ascii="Calibri" w:hAnsi="Calibri"/>
                <w:sz w:val="20"/>
                <w:szCs w:val="20"/>
                <w:lang w:val="en-GB"/>
              </w:rPr>
            </w:pPr>
            <w:r w:rsidRPr="0086281A">
              <w:rPr>
                <w:rFonts w:ascii="Calibri" w:hAnsi="Calibri"/>
                <w:b/>
                <w:sz w:val="20"/>
                <w:szCs w:val="20"/>
                <w:lang w:val="en-GB"/>
              </w:rPr>
              <w:t>eGFR &gt; mGFR</w:t>
            </w:r>
            <w:r w:rsidR="00DF0504" w:rsidRPr="0086281A">
              <w:rPr>
                <w:rFonts w:ascii="Calibri" w:hAnsi="Calibri"/>
                <w:b/>
                <w:sz w:val="20"/>
                <w:szCs w:val="20"/>
                <w:lang w:val="en-GB"/>
              </w:rPr>
              <w:t>: patients receiving the full dose of the drug while it should be adjusted</w:t>
            </w:r>
          </w:p>
        </w:tc>
      </w:tr>
      <w:tr w:rsidR="00263C28" w:rsidRPr="0086281A" w:rsidTr="00263C28">
        <w:trPr>
          <w:trHeight w:val="493"/>
        </w:trPr>
        <w:tc>
          <w:tcPr>
            <w:tcW w:w="1417" w:type="dxa"/>
            <w:vMerge/>
            <w:shd w:val="clear" w:color="auto" w:fill="auto"/>
          </w:tcPr>
          <w:p w:rsidR="00263C28" w:rsidRPr="0086281A" w:rsidRDefault="00263C28" w:rsidP="00A0179B">
            <w:pPr>
              <w:jc w:val="center"/>
              <w:rPr>
                <w:rFonts w:ascii="Calibri" w:hAnsi="Calibri"/>
                <w:i/>
                <w:sz w:val="20"/>
                <w:szCs w:val="20"/>
                <w:lang w:val="en-GB"/>
              </w:rPr>
            </w:pPr>
          </w:p>
        </w:tc>
        <w:tc>
          <w:tcPr>
            <w:tcW w:w="1986" w:type="dxa"/>
            <w:shd w:val="clear" w:color="auto" w:fill="D9D9D9" w:themeFill="background1" w:themeFillShade="D9"/>
          </w:tcPr>
          <w:p w:rsidR="00263C28" w:rsidRPr="0086281A" w:rsidRDefault="00263C28" w:rsidP="00A0179B">
            <w:pPr>
              <w:jc w:val="center"/>
              <w:rPr>
                <w:rFonts w:ascii="Calibri" w:hAnsi="Calibri"/>
                <w:sz w:val="20"/>
                <w:szCs w:val="20"/>
                <w:lang w:val="en-GB"/>
              </w:rPr>
            </w:pPr>
            <w:r w:rsidRPr="0086281A">
              <w:rPr>
                <w:rFonts w:ascii="Calibri" w:hAnsi="Calibri"/>
                <w:sz w:val="20"/>
                <w:szCs w:val="20"/>
                <w:lang w:val="en-GB"/>
              </w:rPr>
              <w:t>30</w:t>
            </w:r>
            <w:r w:rsidR="00352FB1" w:rsidRPr="0086281A">
              <w:rPr>
                <w:rFonts w:ascii="Calibri" w:hAnsi="Calibri"/>
                <w:sz w:val="20"/>
                <w:szCs w:val="20"/>
                <w:lang w:val="en-GB"/>
              </w:rPr>
              <w:t xml:space="preserve"> </w:t>
            </w:r>
            <w:r w:rsidR="00352FB1" w:rsidRPr="0086281A">
              <w:rPr>
                <w:rFonts w:ascii="Calibri" w:hAnsi="Calibri" w:cs="Times"/>
                <w:vertAlign w:val="superscript"/>
                <w:lang w:val="en-GB"/>
              </w:rPr>
              <w:t>* ¥ †</w:t>
            </w:r>
          </w:p>
          <w:p w:rsidR="00DF0504" w:rsidRPr="0086281A" w:rsidRDefault="00DF0504" w:rsidP="00A0179B">
            <w:pPr>
              <w:jc w:val="center"/>
              <w:rPr>
                <w:rFonts w:ascii="Calibri" w:hAnsi="Calibri"/>
                <w:sz w:val="20"/>
                <w:szCs w:val="20"/>
                <w:lang w:val="en-GB"/>
              </w:rPr>
            </w:pPr>
            <w:r w:rsidRPr="0086281A">
              <w:rPr>
                <w:rFonts w:ascii="Calibri" w:hAnsi="Calibri"/>
                <w:sz w:val="20"/>
                <w:szCs w:val="20"/>
                <w:lang w:val="en-GB"/>
              </w:rPr>
              <w:t>(51.7%)</w:t>
            </w:r>
          </w:p>
        </w:tc>
        <w:tc>
          <w:tcPr>
            <w:tcW w:w="2126" w:type="dxa"/>
            <w:shd w:val="clear" w:color="auto" w:fill="D9D9D9" w:themeFill="background1" w:themeFillShade="D9"/>
          </w:tcPr>
          <w:p w:rsidR="00263C28" w:rsidRPr="0086281A" w:rsidRDefault="00263C28" w:rsidP="00A0179B">
            <w:pPr>
              <w:jc w:val="center"/>
              <w:rPr>
                <w:rFonts w:ascii="Calibri" w:hAnsi="Calibri"/>
                <w:sz w:val="20"/>
                <w:szCs w:val="20"/>
                <w:lang w:val="en-GB"/>
              </w:rPr>
            </w:pPr>
            <w:r w:rsidRPr="0086281A">
              <w:rPr>
                <w:rFonts w:ascii="Calibri" w:hAnsi="Calibri"/>
                <w:sz w:val="20"/>
                <w:szCs w:val="20"/>
                <w:lang w:val="en-GB"/>
              </w:rPr>
              <w:t>10</w:t>
            </w:r>
          </w:p>
          <w:p w:rsidR="00DF0504" w:rsidRPr="0086281A" w:rsidRDefault="005728C4" w:rsidP="00A0179B">
            <w:pPr>
              <w:jc w:val="center"/>
              <w:rPr>
                <w:rFonts w:ascii="Calibri" w:hAnsi="Calibri"/>
                <w:sz w:val="20"/>
                <w:szCs w:val="20"/>
                <w:lang w:val="en-GB"/>
              </w:rPr>
            </w:pPr>
            <w:r w:rsidRPr="0086281A">
              <w:rPr>
                <w:rFonts w:ascii="Calibri" w:hAnsi="Calibri"/>
                <w:sz w:val="20"/>
                <w:szCs w:val="20"/>
                <w:lang w:val="en-GB"/>
              </w:rPr>
              <w:t>(17.2%)</w:t>
            </w:r>
          </w:p>
        </w:tc>
        <w:tc>
          <w:tcPr>
            <w:tcW w:w="2835" w:type="dxa"/>
            <w:shd w:val="clear" w:color="auto" w:fill="D9D9D9" w:themeFill="background1" w:themeFillShade="D9"/>
          </w:tcPr>
          <w:p w:rsidR="00263C28" w:rsidRPr="0086281A" w:rsidRDefault="00263C28" w:rsidP="00A0179B">
            <w:pPr>
              <w:jc w:val="center"/>
              <w:rPr>
                <w:rFonts w:ascii="Calibri" w:hAnsi="Calibri"/>
                <w:sz w:val="20"/>
                <w:szCs w:val="20"/>
                <w:lang w:val="en-GB"/>
              </w:rPr>
            </w:pPr>
            <w:r w:rsidRPr="0086281A">
              <w:rPr>
                <w:rFonts w:ascii="Calibri" w:hAnsi="Calibri"/>
                <w:sz w:val="20"/>
                <w:szCs w:val="20"/>
                <w:lang w:val="en-GB"/>
              </w:rPr>
              <w:t>13</w:t>
            </w:r>
          </w:p>
          <w:p w:rsidR="005728C4" w:rsidRPr="0086281A" w:rsidRDefault="005728C4" w:rsidP="00A0179B">
            <w:pPr>
              <w:jc w:val="center"/>
              <w:rPr>
                <w:rFonts w:ascii="Calibri" w:hAnsi="Calibri"/>
                <w:sz w:val="20"/>
                <w:szCs w:val="20"/>
                <w:lang w:val="en-GB"/>
              </w:rPr>
            </w:pPr>
            <w:r w:rsidRPr="0086281A">
              <w:rPr>
                <w:rFonts w:ascii="Calibri" w:hAnsi="Calibri"/>
                <w:sz w:val="20"/>
                <w:szCs w:val="20"/>
                <w:lang w:val="en-GB"/>
              </w:rPr>
              <w:t>(22.4%)</w:t>
            </w:r>
          </w:p>
        </w:tc>
        <w:tc>
          <w:tcPr>
            <w:tcW w:w="2693" w:type="dxa"/>
            <w:shd w:val="clear" w:color="auto" w:fill="D9D9D9" w:themeFill="background1" w:themeFillShade="D9"/>
          </w:tcPr>
          <w:p w:rsidR="00263C28" w:rsidRPr="0086281A" w:rsidRDefault="00263C28" w:rsidP="00263C28">
            <w:pPr>
              <w:jc w:val="center"/>
              <w:rPr>
                <w:rFonts w:ascii="Calibri" w:hAnsi="Calibri"/>
                <w:sz w:val="20"/>
                <w:szCs w:val="20"/>
                <w:lang w:val="en-GB"/>
              </w:rPr>
            </w:pPr>
            <w:r w:rsidRPr="0086281A">
              <w:rPr>
                <w:rFonts w:ascii="Calibri" w:hAnsi="Calibri"/>
                <w:sz w:val="20"/>
                <w:szCs w:val="20"/>
                <w:lang w:val="en-GB"/>
              </w:rPr>
              <w:t>15</w:t>
            </w:r>
          </w:p>
          <w:p w:rsidR="00263C28" w:rsidRPr="0086281A" w:rsidRDefault="005728C4" w:rsidP="00A0179B">
            <w:pPr>
              <w:jc w:val="center"/>
              <w:rPr>
                <w:rFonts w:ascii="Calibri" w:hAnsi="Calibri"/>
                <w:sz w:val="20"/>
                <w:szCs w:val="20"/>
                <w:lang w:val="en-GB"/>
              </w:rPr>
            </w:pPr>
            <w:r w:rsidRPr="0086281A">
              <w:rPr>
                <w:rFonts w:ascii="Calibri" w:hAnsi="Calibri"/>
                <w:sz w:val="20"/>
                <w:szCs w:val="20"/>
                <w:lang w:val="en-GB"/>
              </w:rPr>
              <w:t>(25.9%)</w:t>
            </w:r>
          </w:p>
        </w:tc>
      </w:tr>
      <w:tr w:rsidR="00263C28" w:rsidRPr="0086281A" w:rsidTr="00263C28">
        <w:trPr>
          <w:trHeight w:val="440"/>
        </w:trPr>
        <w:tc>
          <w:tcPr>
            <w:tcW w:w="1417" w:type="dxa"/>
            <w:vMerge w:val="restart"/>
            <w:shd w:val="clear" w:color="auto" w:fill="auto"/>
          </w:tcPr>
          <w:p w:rsidR="00263C28" w:rsidRPr="0086281A" w:rsidRDefault="00263C28" w:rsidP="007C0E2E">
            <w:pPr>
              <w:rPr>
                <w:rFonts w:ascii="Calibri" w:hAnsi="Calibri"/>
                <w:i/>
                <w:sz w:val="20"/>
                <w:szCs w:val="20"/>
                <w:lang w:val="en-GB"/>
              </w:rPr>
            </w:pPr>
            <w:r w:rsidRPr="0086281A">
              <w:rPr>
                <w:rFonts w:ascii="Calibri" w:hAnsi="Calibri"/>
                <w:i/>
                <w:sz w:val="20"/>
                <w:szCs w:val="20"/>
                <w:lang w:val="en-GB"/>
              </w:rPr>
              <w:t>≥ 45 mL/min</w:t>
            </w:r>
          </w:p>
          <w:p w:rsidR="00263C28" w:rsidRPr="0086281A" w:rsidRDefault="00263C28" w:rsidP="007C0E2E">
            <w:pPr>
              <w:rPr>
                <w:rFonts w:ascii="Calibri" w:hAnsi="Calibri"/>
                <w:i/>
                <w:sz w:val="20"/>
                <w:szCs w:val="20"/>
                <w:lang w:val="en-GB"/>
              </w:rPr>
            </w:pPr>
            <w:r w:rsidRPr="0086281A">
              <w:rPr>
                <w:rFonts w:ascii="Calibri" w:hAnsi="Calibri"/>
                <w:i/>
                <w:sz w:val="20"/>
                <w:szCs w:val="20"/>
                <w:lang w:val="en-GB"/>
              </w:rPr>
              <w:t>259 patients</w:t>
            </w:r>
          </w:p>
          <w:p w:rsidR="00263C28" w:rsidRPr="0086281A" w:rsidRDefault="00263C28" w:rsidP="007C0E2E">
            <w:pPr>
              <w:rPr>
                <w:rFonts w:ascii="Calibri" w:hAnsi="Calibri"/>
                <w:i/>
                <w:sz w:val="20"/>
                <w:szCs w:val="20"/>
                <w:lang w:val="en-GB"/>
              </w:rPr>
            </w:pPr>
            <w:r w:rsidRPr="0086281A">
              <w:rPr>
                <w:rFonts w:ascii="Calibri" w:hAnsi="Calibri"/>
                <w:i/>
                <w:sz w:val="20"/>
                <w:szCs w:val="20"/>
                <w:lang w:val="en-GB"/>
              </w:rPr>
              <w:t>(70.8%)</w:t>
            </w:r>
          </w:p>
          <w:p w:rsidR="00263C28" w:rsidRPr="0086281A" w:rsidRDefault="00263C28" w:rsidP="00AC6141">
            <w:pPr>
              <w:rPr>
                <w:rFonts w:ascii="Calibri" w:hAnsi="Calibri"/>
                <w:i/>
                <w:sz w:val="20"/>
                <w:szCs w:val="20"/>
                <w:lang w:val="en-GB"/>
              </w:rPr>
            </w:pPr>
            <w:r w:rsidRPr="0086281A">
              <w:rPr>
                <w:rFonts w:ascii="Calibri" w:hAnsi="Calibri"/>
                <w:i/>
                <w:sz w:val="20"/>
                <w:szCs w:val="20"/>
                <w:lang w:val="en-GB"/>
              </w:rPr>
              <w:t xml:space="preserve">Normal dose of metformin </w:t>
            </w:r>
          </w:p>
        </w:tc>
        <w:tc>
          <w:tcPr>
            <w:tcW w:w="1986" w:type="dxa"/>
            <w:shd w:val="clear" w:color="auto" w:fill="auto"/>
          </w:tcPr>
          <w:p w:rsidR="00263C28" w:rsidRPr="0086281A" w:rsidRDefault="00263C28" w:rsidP="007C0E2E">
            <w:pPr>
              <w:jc w:val="center"/>
              <w:rPr>
                <w:rFonts w:ascii="Calibri" w:hAnsi="Calibri"/>
                <w:sz w:val="20"/>
                <w:szCs w:val="20"/>
                <w:lang w:val="en-GB"/>
              </w:rPr>
            </w:pPr>
            <w:r w:rsidRPr="0086281A">
              <w:rPr>
                <w:rFonts w:ascii="Calibri" w:hAnsi="Calibri"/>
                <w:sz w:val="20"/>
                <w:szCs w:val="20"/>
                <w:lang w:val="en-GB"/>
              </w:rPr>
              <w:t>253</w:t>
            </w:r>
            <w:r w:rsidR="00BE451D" w:rsidRPr="0086281A">
              <w:rPr>
                <w:rFonts w:ascii="Calibri" w:hAnsi="Calibri"/>
                <w:sz w:val="20"/>
                <w:szCs w:val="20"/>
                <w:lang w:val="en-GB"/>
              </w:rPr>
              <w:t xml:space="preserve"> </w:t>
            </w:r>
            <w:r w:rsidR="00B01074" w:rsidRPr="0086281A">
              <w:rPr>
                <w:rFonts w:ascii="Calibri" w:hAnsi="Calibri" w:cs="Times"/>
                <w:vertAlign w:val="superscript"/>
                <w:lang w:val="en-GB"/>
              </w:rPr>
              <w:t>* ¥ †</w:t>
            </w:r>
          </w:p>
          <w:p w:rsidR="005728C4" w:rsidRPr="0086281A" w:rsidRDefault="005728C4" w:rsidP="00E50926">
            <w:pPr>
              <w:jc w:val="center"/>
              <w:rPr>
                <w:rFonts w:ascii="Calibri" w:hAnsi="Calibri"/>
                <w:sz w:val="20"/>
                <w:szCs w:val="20"/>
                <w:lang w:val="en-GB"/>
              </w:rPr>
            </w:pPr>
            <w:r w:rsidRPr="0086281A">
              <w:rPr>
                <w:rFonts w:ascii="Calibri" w:hAnsi="Calibri"/>
                <w:sz w:val="20"/>
                <w:szCs w:val="20"/>
                <w:lang w:val="en-GB"/>
              </w:rPr>
              <w:t>(</w:t>
            </w:r>
            <w:r w:rsidR="00E50926" w:rsidRPr="0086281A">
              <w:rPr>
                <w:rFonts w:ascii="Calibri" w:hAnsi="Calibri"/>
                <w:sz w:val="20"/>
                <w:szCs w:val="20"/>
                <w:lang w:val="en-GB"/>
              </w:rPr>
              <w:t>97.7%)</w:t>
            </w:r>
          </w:p>
        </w:tc>
        <w:tc>
          <w:tcPr>
            <w:tcW w:w="2126" w:type="dxa"/>
            <w:shd w:val="clear" w:color="auto" w:fill="auto"/>
          </w:tcPr>
          <w:p w:rsidR="00263C28" w:rsidRPr="0086281A" w:rsidRDefault="00263C28" w:rsidP="007C0E2E">
            <w:pPr>
              <w:jc w:val="center"/>
              <w:rPr>
                <w:rFonts w:ascii="Calibri" w:hAnsi="Calibri"/>
                <w:sz w:val="20"/>
                <w:szCs w:val="20"/>
                <w:lang w:val="en-GB"/>
              </w:rPr>
            </w:pPr>
            <w:r w:rsidRPr="0086281A">
              <w:rPr>
                <w:rFonts w:ascii="Calibri" w:hAnsi="Calibri"/>
                <w:sz w:val="20"/>
                <w:szCs w:val="20"/>
                <w:lang w:val="en-GB"/>
              </w:rPr>
              <w:t>232</w:t>
            </w:r>
            <w:r w:rsidR="00B01074" w:rsidRPr="0086281A">
              <w:rPr>
                <w:rFonts w:ascii="Calibri" w:hAnsi="Calibri"/>
                <w:sz w:val="20"/>
                <w:szCs w:val="20"/>
                <w:lang w:val="en-GB"/>
              </w:rPr>
              <w:t xml:space="preserve"> </w:t>
            </w:r>
            <w:r w:rsidR="00B01074" w:rsidRPr="0086281A">
              <w:rPr>
                <w:rFonts w:ascii="Calibri" w:hAnsi="Calibri" w:cs="Times"/>
                <w:vertAlign w:val="superscript"/>
                <w:lang w:val="en-GB"/>
              </w:rPr>
              <w:t>* ¥</w:t>
            </w:r>
          </w:p>
          <w:p w:rsidR="005728C4" w:rsidRPr="0086281A" w:rsidRDefault="00E50926" w:rsidP="007C0E2E">
            <w:pPr>
              <w:jc w:val="center"/>
              <w:rPr>
                <w:rFonts w:ascii="Calibri" w:hAnsi="Calibri"/>
                <w:sz w:val="20"/>
                <w:szCs w:val="20"/>
                <w:lang w:val="en-GB"/>
              </w:rPr>
            </w:pPr>
            <w:r w:rsidRPr="0086281A">
              <w:rPr>
                <w:rFonts w:ascii="Calibri" w:hAnsi="Calibri"/>
                <w:sz w:val="20"/>
                <w:szCs w:val="20"/>
                <w:lang w:val="en-GB"/>
              </w:rPr>
              <w:t>(89.6%)</w:t>
            </w:r>
          </w:p>
        </w:tc>
        <w:tc>
          <w:tcPr>
            <w:tcW w:w="2835" w:type="dxa"/>
            <w:shd w:val="clear" w:color="auto" w:fill="auto"/>
          </w:tcPr>
          <w:p w:rsidR="00263C28" w:rsidRPr="0086281A" w:rsidRDefault="00263C28" w:rsidP="007C0E2E">
            <w:pPr>
              <w:jc w:val="center"/>
              <w:rPr>
                <w:rFonts w:ascii="Calibri" w:hAnsi="Calibri"/>
                <w:sz w:val="20"/>
                <w:szCs w:val="20"/>
                <w:lang w:val="en-GB"/>
              </w:rPr>
            </w:pPr>
            <w:r w:rsidRPr="0086281A">
              <w:rPr>
                <w:rFonts w:ascii="Calibri" w:hAnsi="Calibri"/>
                <w:sz w:val="20"/>
                <w:szCs w:val="20"/>
                <w:lang w:val="en-GB"/>
              </w:rPr>
              <w:t>240</w:t>
            </w:r>
          </w:p>
          <w:p w:rsidR="005728C4" w:rsidRPr="0086281A" w:rsidRDefault="005728C4" w:rsidP="007C0E2E">
            <w:pPr>
              <w:jc w:val="center"/>
              <w:rPr>
                <w:rFonts w:ascii="Calibri" w:hAnsi="Calibri"/>
                <w:sz w:val="20"/>
                <w:szCs w:val="20"/>
                <w:lang w:val="en-GB"/>
              </w:rPr>
            </w:pPr>
            <w:r w:rsidRPr="0086281A">
              <w:rPr>
                <w:rFonts w:ascii="Calibri" w:hAnsi="Calibri"/>
                <w:sz w:val="20"/>
                <w:szCs w:val="20"/>
                <w:lang w:val="en-GB"/>
              </w:rPr>
              <w:t>(</w:t>
            </w:r>
            <w:r w:rsidR="00E50926" w:rsidRPr="0086281A">
              <w:rPr>
                <w:rFonts w:ascii="Calibri" w:hAnsi="Calibri"/>
                <w:sz w:val="20"/>
                <w:szCs w:val="20"/>
                <w:lang w:val="en-GB"/>
              </w:rPr>
              <w:t>92.7%)</w:t>
            </w:r>
          </w:p>
        </w:tc>
        <w:tc>
          <w:tcPr>
            <w:tcW w:w="2693" w:type="dxa"/>
            <w:shd w:val="clear" w:color="auto" w:fill="auto"/>
          </w:tcPr>
          <w:p w:rsidR="00263C28" w:rsidRPr="0086281A" w:rsidRDefault="00263C28" w:rsidP="007C0E2E">
            <w:pPr>
              <w:jc w:val="center"/>
              <w:rPr>
                <w:rFonts w:ascii="Calibri" w:hAnsi="Calibri"/>
                <w:sz w:val="20"/>
                <w:szCs w:val="20"/>
                <w:lang w:val="en-GB"/>
              </w:rPr>
            </w:pPr>
            <w:r w:rsidRPr="0086281A">
              <w:rPr>
                <w:rFonts w:ascii="Calibri" w:hAnsi="Calibri"/>
                <w:sz w:val="20"/>
                <w:szCs w:val="20"/>
                <w:lang w:val="en-GB"/>
              </w:rPr>
              <w:t>242</w:t>
            </w:r>
          </w:p>
          <w:p w:rsidR="005728C4" w:rsidRPr="0086281A" w:rsidRDefault="00E50926" w:rsidP="007C0E2E">
            <w:pPr>
              <w:jc w:val="center"/>
              <w:rPr>
                <w:rFonts w:ascii="Calibri" w:hAnsi="Calibri"/>
                <w:sz w:val="20"/>
                <w:szCs w:val="20"/>
                <w:lang w:val="en-GB"/>
              </w:rPr>
            </w:pPr>
            <w:r w:rsidRPr="0086281A">
              <w:rPr>
                <w:rFonts w:ascii="Calibri" w:hAnsi="Calibri"/>
                <w:sz w:val="20"/>
                <w:szCs w:val="20"/>
                <w:lang w:val="en-GB"/>
              </w:rPr>
              <w:t>(93.4%)</w:t>
            </w:r>
          </w:p>
        </w:tc>
      </w:tr>
      <w:tr w:rsidR="00263C28" w:rsidRPr="0086281A" w:rsidTr="00263C28">
        <w:trPr>
          <w:trHeight w:val="316"/>
        </w:trPr>
        <w:tc>
          <w:tcPr>
            <w:tcW w:w="1417" w:type="dxa"/>
            <w:vMerge/>
            <w:shd w:val="clear" w:color="auto" w:fill="auto"/>
          </w:tcPr>
          <w:p w:rsidR="00263C28" w:rsidRPr="0086281A" w:rsidRDefault="00263C28" w:rsidP="007C0E2E">
            <w:pPr>
              <w:rPr>
                <w:rFonts w:ascii="Calibri" w:hAnsi="Calibri"/>
                <w:i/>
                <w:sz w:val="20"/>
                <w:szCs w:val="20"/>
                <w:lang w:val="en-GB"/>
              </w:rPr>
            </w:pPr>
          </w:p>
        </w:tc>
        <w:tc>
          <w:tcPr>
            <w:tcW w:w="9640" w:type="dxa"/>
            <w:gridSpan w:val="4"/>
            <w:shd w:val="clear" w:color="auto" w:fill="D9D9D9" w:themeFill="background1" w:themeFillShade="D9"/>
          </w:tcPr>
          <w:p w:rsidR="00263C28" w:rsidRPr="0086281A" w:rsidRDefault="00263C28" w:rsidP="007C0E2E">
            <w:pPr>
              <w:jc w:val="center"/>
              <w:rPr>
                <w:rFonts w:ascii="Calibri" w:hAnsi="Calibri"/>
                <w:b/>
                <w:sz w:val="20"/>
                <w:szCs w:val="20"/>
                <w:lang w:val="en-GB"/>
              </w:rPr>
            </w:pPr>
            <w:r w:rsidRPr="0086281A">
              <w:rPr>
                <w:rFonts w:ascii="Calibri" w:hAnsi="Calibri"/>
                <w:b/>
                <w:sz w:val="20"/>
                <w:szCs w:val="20"/>
                <w:lang w:val="en-GB"/>
              </w:rPr>
              <w:t>eGFR &lt; mGFR</w:t>
            </w:r>
            <w:r w:rsidR="005728C4" w:rsidRPr="0086281A">
              <w:rPr>
                <w:rFonts w:ascii="Calibri" w:hAnsi="Calibri"/>
                <w:b/>
                <w:sz w:val="20"/>
                <w:szCs w:val="20"/>
                <w:lang w:val="en-GB"/>
              </w:rPr>
              <w:t>: patients receiving a adjusted dose while they should receive the complete dose</w:t>
            </w:r>
          </w:p>
        </w:tc>
      </w:tr>
      <w:tr w:rsidR="00263C28" w:rsidRPr="0086281A" w:rsidTr="00263C28">
        <w:trPr>
          <w:trHeight w:val="315"/>
        </w:trPr>
        <w:tc>
          <w:tcPr>
            <w:tcW w:w="1417" w:type="dxa"/>
            <w:vMerge/>
            <w:shd w:val="clear" w:color="auto" w:fill="auto"/>
          </w:tcPr>
          <w:p w:rsidR="00263C28" w:rsidRPr="0086281A" w:rsidRDefault="00263C28" w:rsidP="007C0E2E">
            <w:pPr>
              <w:rPr>
                <w:rFonts w:ascii="Calibri" w:hAnsi="Calibri"/>
                <w:i/>
                <w:sz w:val="20"/>
                <w:szCs w:val="20"/>
                <w:lang w:val="en-GB"/>
              </w:rPr>
            </w:pPr>
          </w:p>
        </w:tc>
        <w:tc>
          <w:tcPr>
            <w:tcW w:w="1986" w:type="dxa"/>
            <w:shd w:val="clear" w:color="auto" w:fill="D9D9D9" w:themeFill="background1" w:themeFillShade="D9"/>
          </w:tcPr>
          <w:p w:rsidR="00263C28" w:rsidRPr="0086281A" w:rsidRDefault="00263C28" w:rsidP="007C0E2E">
            <w:pPr>
              <w:jc w:val="center"/>
              <w:rPr>
                <w:rFonts w:ascii="Calibri" w:hAnsi="Calibri"/>
                <w:sz w:val="20"/>
                <w:szCs w:val="20"/>
                <w:lang w:val="en-GB"/>
              </w:rPr>
            </w:pPr>
            <w:r w:rsidRPr="0086281A">
              <w:rPr>
                <w:rFonts w:ascii="Calibri" w:hAnsi="Calibri"/>
                <w:sz w:val="20"/>
                <w:szCs w:val="20"/>
                <w:lang w:val="en-GB"/>
              </w:rPr>
              <w:t>6</w:t>
            </w:r>
            <w:r w:rsidR="00A83925" w:rsidRPr="0086281A">
              <w:rPr>
                <w:rFonts w:ascii="Calibri" w:hAnsi="Calibri"/>
                <w:sz w:val="20"/>
                <w:szCs w:val="20"/>
                <w:lang w:val="en-GB"/>
              </w:rPr>
              <w:t xml:space="preserve"> </w:t>
            </w:r>
            <w:r w:rsidR="00A83925" w:rsidRPr="0086281A">
              <w:rPr>
                <w:rFonts w:ascii="Calibri" w:hAnsi="Calibri" w:cs="Times"/>
                <w:vertAlign w:val="superscript"/>
                <w:lang w:val="en-GB"/>
              </w:rPr>
              <w:t>* ¥ †</w:t>
            </w:r>
          </w:p>
          <w:p w:rsidR="005728C4" w:rsidRPr="0086281A" w:rsidRDefault="005728C4" w:rsidP="007C0E2E">
            <w:pPr>
              <w:jc w:val="center"/>
              <w:rPr>
                <w:rFonts w:ascii="Calibri" w:hAnsi="Calibri"/>
                <w:sz w:val="20"/>
                <w:szCs w:val="20"/>
                <w:lang w:val="en-GB"/>
              </w:rPr>
            </w:pPr>
            <w:r w:rsidRPr="0086281A">
              <w:rPr>
                <w:rFonts w:ascii="Calibri" w:hAnsi="Calibri"/>
                <w:sz w:val="20"/>
                <w:szCs w:val="20"/>
                <w:lang w:val="en-GB"/>
              </w:rPr>
              <w:t>(2.3%)</w:t>
            </w:r>
          </w:p>
        </w:tc>
        <w:tc>
          <w:tcPr>
            <w:tcW w:w="2126" w:type="dxa"/>
            <w:shd w:val="clear" w:color="auto" w:fill="D9D9D9" w:themeFill="background1" w:themeFillShade="D9"/>
          </w:tcPr>
          <w:p w:rsidR="00263C28" w:rsidRPr="0086281A" w:rsidRDefault="00263C28" w:rsidP="007C0E2E">
            <w:pPr>
              <w:jc w:val="center"/>
              <w:rPr>
                <w:rFonts w:ascii="Calibri" w:hAnsi="Calibri"/>
                <w:sz w:val="20"/>
                <w:szCs w:val="20"/>
                <w:lang w:val="en-GB"/>
              </w:rPr>
            </w:pPr>
            <w:r w:rsidRPr="0086281A">
              <w:rPr>
                <w:rFonts w:ascii="Calibri" w:hAnsi="Calibri"/>
                <w:sz w:val="20"/>
                <w:szCs w:val="20"/>
                <w:lang w:val="en-GB"/>
              </w:rPr>
              <w:t>27</w:t>
            </w:r>
            <w:r w:rsidR="00B01074" w:rsidRPr="0086281A">
              <w:rPr>
                <w:rFonts w:ascii="Calibri" w:hAnsi="Calibri"/>
                <w:sz w:val="20"/>
                <w:szCs w:val="20"/>
                <w:lang w:val="en-GB"/>
              </w:rPr>
              <w:t xml:space="preserve"> </w:t>
            </w:r>
            <w:r w:rsidR="00B01074" w:rsidRPr="0086281A">
              <w:rPr>
                <w:rFonts w:ascii="Calibri" w:hAnsi="Calibri" w:cs="Times"/>
                <w:vertAlign w:val="superscript"/>
                <w:lang w:val="en-GB"/>
              </w:rPr>
              <w:t>* ¥</w:t>
            </w:r>
          </w:p>
          <w:p w:rsidR="005728C4" w:rsidRPr="0086281A" w:rsidRDefault="005728C4" w:rsidP="007C0E2E">
            <w:pPr>
              <w:jc w:val="center"/>
              <w:rPr>
                <w:rFonts w:ascii="Calibri" w:hAnsi="Calibri"/>
                <w:sz w:val="20"/>
                <w:szCs w:val="20"/>
                <w:lang w:val="en-GB"/>
              </w:rPr>
            </w:pPr>
            <w:r w:rsidRPr="0086281A">
              <w:rPr>
                <w:rFonts w:ascii="Calibri" w:hAnsi="Calibri"/>
                <w:sz w:val="20"/>
                <w:szCs w:val="20"/>
                <w:lang w:val="en-GB"/>
              </w:rPr>
              <w:t>(10.4%)</w:t>
            </w:r>
          </w:p>
        </w:tc>
        <w:tc>
          <w:tcPr>
            <w:tcW w:w="2835" w:type="dxa"/>
            <w:shd w:val="clear" w:color="auto" w:fill="D9D9D9" w:themeFill="background1" w:themeFillShade="D9"/>
          </w:tcPr>
          <w:p w:rsidR="00263C28" w:rsidRPr="0086281A" w:rsidRDefault="00263C28" w:rsidP="007C0E2E">
            <w:pPr>
              <w:jc w:val="center"/>
              <w:rPr>
                <w:rFonts w:ascii="Calibri" w:hAnsi="Calibri"/>
                <w:sz w:val="20"/>
                <w:szCs w:val="20"/>
                <w:lang w:val="en-GB"/>
              </w:rPr>
            </w:pPr>
            <w:r w:rsidRPr="0086281A">
              <w:rPr>
                <w:rFonts w:ascii="Calibri" w:hAnsi="Calibri"/>
                <w:sz w:val="20"/>
                <w:szCs w:val="20"/>
                <w:lang w:val="en-GB"/>
              </w:rPr>
              <w:t>19</w:t>
            </w:r>
          </w:p>
          <w:p w:rsidR="005728C4" w:rsidRPr="0086281A" w:rsidRDefault="005728C4" w:rsidP="007C0E2E">
            <w:pPr>
              <w:jc w:val="center"/>
              <w:rPr>
                <w:rFonts w:ascii="Calibri" w:hAnsi="Calibri"/>
                <w:sz w:val="20"/>
                <w:szCs w:val="20"/>
                <w:lang w:val="en-GB"/>
              </w:rPr>
            </w:pPr>
            <w:r w:rsidRPr="0086281A">
              <w:rPr>
                <w:rFonts w:ascii="Calibri" w:hAnsi="Calibri"/>
                <w:sz w:val="20"/>
                <w:szCs w:val="20"/>
                <w:lang w:val="en-GB"/>
              </w:rPr>
              <w:t>(7.3%)</w:t>
            </w:r>
          </w:p>
        </w:tc>
        <w:tc>
          <w:tcPr>
            <w:tcW w:w="2693" w:type="dxa"/>
            <w:shd w:val="clear" w:color="auto" w:fill="D9D9D9" w:themeFill="background1" w:themeFillShade="D9"/>
          </w:tcPr>
          <w:p w:rsidR="00263C28" w:rsidRPr="0086281A" w:rsidRDefault="00263C28" w:rsidP="007C0E2E">
            <w:pPr>
              <w:jc w:val="center"/>
              <w:rPr>
                <w:rFonts w:ascii="Calibri" w:hAnsi="Calibri"/>
                <w:sz w:val="20"/>
                <w:szCs w:val="20"/>
                <w:lang w:val="en-GB"/>
              </w:rPr>
            </w:pPr>
            <w:r w:rsidRPr="0086281A">
              <w:rPr>
                <w:rFonts w:ascii="Calibri" w:hAnsi="Calibri"/>
                <w:sz w:val="20"/>
                <w:szCs w:val="20"/>
                <w:lang w:val="en-GB"/>
              </w:rPr>
              <w:t>17</w:t>
            </w:r>
          </w:p>
          <w:p w:rsidR="005728C4" w:rsidRPr="0086281A" w:rsidRDefault="005728C4" w:rsidP="007C0E2E">
            <w:pPr>
              <w:jc w:val="center"/>
              <w:rPr>
                <w:rFonts w:ascii="Calibri" w:hAnsi="Calibri"/>
                <w:sz w:val="20"/>
                <w:szCs w:val="20"/>
                <w:lang w:val="en-GB"/>
              </w:rPr>
            </w:pPr>
            <w:r w:rsidRPr="0086281A">
              <w:rPr>
                <w:rFonts w:ascii="Calibri" w:hAnsi="Calibri"/>
                <w:sz w:val="20"/>
                <w:szCs w:val="20"/>
                <w:lang w:val="en-GB"/>
              </w:rPr>
              <w:t>(6.6%)</w:t>
            </w:r>
          </w:p>
        </w:tc>
      </w:tr>
    </w:tbl>
    <w:p w:rsidR="00F972FD" w:rsidRPr="0086281A" w:rsidRDefault="00F972FD" w:rsidP="00301FB7">
      <w:pPr>
        <w:ind w:left="-1276"/>
        <w:rPr>
          <w:rFonts w:ascii="Calibri" w:hAnsi="Calibri"/>
          <w:sz w:val="20"/>
          <w:szCs w:val="20"/>
          <w:lang w:val="en-GB"/>
        </w:rPr>
      </w:pPr>
      <w:r w:rsidRPr="0086281A">
        <w:rPr>
          <w:rFonts w:ascii="Calibri" w:hAnsi="Calibri"/>
          <w:sz w:val="20"/>
          <w:szCs w:val="20"/>
          <w:lang w:val="en-GB"/>
        </w:rPr>
        <w:t xml:space="preserve">mGFR: measured Glomerular Filtration Rate; </w:t>
      </w:r>
      <w:r w:rsidR="009E05D2" w:rsidRPr="0086281A">
        <w:rPr>
          <w:rFonts w:ascii="Calibri" w:hAnsi="Calibri"/>
          <w:sz w:val="20"/>
          <w:szCs w:val="20"/>
          <w:lang w:val="en-GB"/>
        </w:rPr>
        <w:t xml:space="preserve">eGFR: estimated Glomerular Filtration Rate; </w:t>
      </w:r>
      <w:r w:rsidRPr="0086281A">
        <w:rPr>
          <w:rFonts w:ascii="Calibri" w:hAnsi="Calibri"/>
          <w:sz w:val="20"/>
          <w:szCs w:val="20"/>
          <w:lang w:val="en-GB"/>
        </w:rPr>
        <w:t>MDRD: Modification Diet in Renal Disease; CKD-EPI: Chronic Kidney Disease Epidemiology; CG: Cockcroft &amp; Gault;</w:t>
      </w:r>
      <w:r w:rsidR="00794E4C">
        <w:rPr>
          <w:rFonts w:ascii="Calibri" w:hAnsi="Calibri"/>
          <w:sz w:val="20"/>
          <w:szCs w:val="20"/>
          <w:lang w:val="en-GB"/>
        </w:rPr>
        <w:t xml:space="preserve"> ABW: Actual Body Weight;</w:t>
      </w:r>
      <w:r w:rsidRPr="0086281A">
        <w:rPr>
          <w:rFonts w:ascii="Calibri" w:hAnsi="Calibri"/>
          <w:sz w:val="20"/>
          <w:szCs w:val="20"/>
          <w:lang w:val="en-GB"/>
        </w:rPr>
        <w:t xml:space="preserve"> AIBW: Adjusted Ideal</w:t>
      </w:r>
      <w:r w:rsidR="00BE451D" w:rsidRPr="0086281A">
        <w:rPr>
          <w:rFonts w:ascii="Calibri" w:hAnsi="Calibri"/>
          <w:sz w:val="20"/>
          <w:szCs w:val="20"/>
          <w:lang w:val="en-GB"/>
        </w:rPr>
        <w:t xml:space="preserve"> Body Weight</w:t>
      </w:r>
    </w:p>
    <w:p w:rsidR="009A1650" w:rsidRPr="0086281A" w:rsidRDefault="009A1650" w:rsidP="009E05D2">
      <w:pPr>
        <w:ind w:left="284" w:hanging="1560"/>
        <w:rPr>
          <w:rFonts w:ascii="Calibri" w:hAnsi="Calibri" w:cs="Helvetica"/>
          <w:color w:val="141413"/>
          <w:sz w:val="20"/>
          <w:szCs w:val="20"/>
          <w:lang w:val="en-GB"/>
        </w:rPr>
      </w:pPr>
      <w:r w:rsidRPr="0086281A">
        <w:rPr>
          <w:rFonts w:ascii="Calibri" w:hAnsi="Calibri"/>
          <w:sz w:val="20"/>
          <w:szCs w:val="20"/>
          <w:vertAlign w:val="superscript"/>
          <w:lang w:val="en-GB"/>
        </w:rPr>
        <w:t>a</w:t>
      </w:r>
      <w:r w:rsidRPr="0086281A">
        <w:rPr>
          <w:rFonts w:ascii="Calibri" w:hAnsi="Calibri"/>
          <w:sz w:val="20"/>
          <w:szCs w:val="20"/>
          <w:lang w:val="en-GB"/>
        </w:rPr>
        <w:t xml:space="preserve"> </w:t>
      </w:r>
      <w:r w:rsidRPr="0086281A">
        <w:rPr>
          <w:rFonts w:ascii="Calibri" w:hAnsi="Calibri" w:cs="Helvetica"/>
          <w:color w:val="141413"/>
          <w:sz w:val="20"/>
          <w:szCs w:val="20"/>
          <w:lang w:val="en-GB"/>
        </w:rPr>
        <w:t>percentage of total population</w:t>
      </w:r>
    </w:p>
    <w:p w:rsidR="009A1650" w:rsidRPr="0086281A" w:rsidRDefault="009A1650" w:rsidP="009E05D2">
      <w:pPr>
        <w:ind w:left="284" w:hanging="1560"/>
        <w:rPr>
          <w:rFonts w:ascii="Calibri" w:hAnsi="Calibri"/>
          <w:sz w:val="20"/>
          <w:szCs w:val="20"/>
          <w:lang w:val="en-GB"/>
        </w:rPr>
      </w:pPr>
      <w:r w:rsidRPr="0086281A">
        <w:rPr>
          <w:rFonts w:ascii="Calibri" w:hAnsi="Calibri" w:cs="Helvetica"/>
          <w:color w:val="141413"/>
          <w:sz w:val="20"/>
          <w:szCs w:val="20"/>
          <w:vertAlign w:val="superscript"/>
          <w:lang w:val="en-GB"/>
        </w:rPr>
        <w:t>b</w:t>
      </w:r>
      <w:r w:rsidRPr="0086281A">
        <w:rPr>
          <w:rFonts w:ascii="Calibri" w:hAnsi="Calibri" w:cs="Helvetica"/>
          <w:color w:val="141413"/>
          <w:sz w:val="20"/>
          <w:szCs w:val="20"/>
          <w:lang w:val="en-GB"/>
        </w:rPr>
        <w:t xml:space="preserve"> percentage of subgroup population</w:t>
      </w:r>
    </w:p>
    <w:p w:rsidR="00C93205" w:rsidRPr="0086281A" w:rsidRDefault="00C93205" w:rsidP="009E05D2">
      <w:pPr>
        <w:ind w:hanging="1560"/>
        <w:rPr>
          <w:rFonts w:ascii="Calibri" w:hAnsi="Calibri"/>
          <w:lang w:val="en-GB"/>
        </w:rPr>
      </w:pPr>
    </w:p>
    <w:p w:rsidR="00B01074" w:rsidRPr="0086281A" w:rsidRDefault="0001074A" w:rsidP="00A65151">
      <w:pPr>
        <w:rPr>
          <w:rFonts w:ascii="Calibri" w:hAnsi="Calibri"/>
          <w:lang w:val="en-GB" w:eastAsia="ja-JP"/>
        </w:rPr>
      </w:pPr>
      <w:r w:rsidRPr="0086281A">
        <w:rPr>
          <w:rFonts w:ascii="Calibri" w:hAnsi="Calibri"/>
          <w:b/>
          <w:lang w:val="en-GB" w:eastAsia="ja-JP"/>
        </w:rPr>
        <w:t>Table 5.</w:t>
      </w:r>
      <w:r w:rsidR="00F86868" w:rsidRPr="0086281A">
        <w:rPr>
          <w:rFonts w:ascii="Calibri" w:hAnsi="Calibri"/>
          <w:lang w:val="en-GB" w:eastAsia="ja-JP"/>
        </w:rPr>
        <w:t xml:space="preserve"> Classification of </w:t>
      </w:r>
      <w:r w:rsidR="002F125B">
        <w:rPr>
          <w:rFonts w:ascii="Calibri" w:hAnsi="Calibri"/>
          <w:lang w:val="en-GB" w:eastAsia="ja-JP"/>
        </w:rPr>
        <w:t xml:space="preserve">hyperfiltrating </w:t>
      </w:r>
      <w:r w:rsidR="00F86868" w:rsidRPr="0086281A">
        <w:rPr>
          <w:rFonts w:ascii="Calibri" w:hAnsi="Calibri"/>
          <w:lang w:val="en-GB" w:eastAsia="ja-JP"/>
        </w:rPr>
        <w:t xml:space="preserve">patients </w:t>
      </w:r>
      <w:r w:rsidRPr="0086281A">
        <w:rPr>
          <w:rFonts w:ascii="Calibri" w:hAnsi="Calibri"/>
          <w:lang w:val="en-GB" w:eastAsia="ja-JP"/>
        </w:rPr>
        <w:t>according to the different eGFR</w:t>
      </w:r>
      <w:r w:rsidR="00F86868" w:rsidRPr="0086281A">
        <w:rPr>
          <w:rFonts w:ascii="Calibri" w:hAnsi="Calibri"/>
          <w:lang w:val="en-GB" w:eastAsia="ja-JP"/>
        </w:rPr>
        <w:t xml:space="preserve"> and the number of patients with an mGFR below the eGFR</w:t>
      </w:r>
    </w:p>
    <w:tbl>
      <w:tblPr>
        <w:tblStyle w:val="Grilledutableau"/>
        <w:tblW w:w="11056" w:type="dxa"/>
        <w:tblInd w:w="-1168" w:type="dxa"/>
        <w:tblLayout w:type="fixed"/>
        <w:tblLook w:val="04A0"/>
      </w:tblPr>
      <w:tblGrid>
        <w:gridCol w:w="1560"/>
        <w:gridCol w:w="2126"/>
        <w:gridCol w:w="2835"/>
        <w:gridCol w:w="2410"/>
        <w:gridCol w:w="2125"/>
      </w:tblGrid>
      <w:tr w:rsidR="00233F41" w:rsidRPr="0086281A" w:rsidTr="00233F41">
        <w:trPr>
          <w:trHeight w:val="372"/>
        </w:trPr>
        <w:tc>
          <w:tcPr>
            <w:tcW w:w="1560" w:type="dxa"/>
            <w:vMerge w:val="restart"/>
            <w:shd w:val="clear" w:color="auto" w:fill="auto"/>
          </w:tcPr>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mGFR n</w:t>
            </w:r>
          </w:p>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w:t>
            </w:r>
            <w:r w:rsidR="00BE451D" w:rsidRPr="0086281A">
              <w:rPr>
                <w:rFonts w:ascii="Calibri" w:hAnsi="Calibri"/>
                <w:b/>
                <w:sz w:val="20"/>
                <w:szCs w:val="20"/>
                <w:lang w:val="en-GB"/>
              </w:rPr>
              <w:t xml:space="preserve"> </w:t>
            </w:r>
            <w:r w:rsidR="009B5602" w:rsidRPr="0086281A">
              <w:rPr>
                <w:rFonts w:ascii="Calibri" w:hAnsi="Calibri"/>
                <w:sz w:val="20"/>
                <w:szCs w:val="20"/>
                <w:vertAlign w:val="superscript"/>
                <w:lang w:val="en-GB"/>
              </w:rPr>
              <w:t>a</w:t>
            </w:r>
          </w:p>
          <w:p w:rsidR="00233F41" w:rsidRPr="0086281A" w:rsidRDefault="00233F41" w:rsidP="00233F41">
            <w:pPr>
              <w:jc w:val="center"/>
              <w:rPr>
                <w:rFonts w:ascii="Calibri" w:hAnsi="Calibri"/>
                <w:b/>
                <w:sz w:val="20"/>
                <w:szCs w:val="20"/>
                <w:lang w:val="en-GB"/>
              </w:rPr>
            </w:pPr>
          </w:p>
        </w:tc>
        <w:tc>
          <w:tcPr>
            <w:tcW w:w="2126" w:type="dxa"/>
            <w:shd w:val="clear" w:color="auto" w:fill="8DB3E2" w:themeFill="text2" w:themeFillTint="66"/>
          </w:tcPr>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CG</w:t>
            </w:r>
            <w:r w:rsidR="00794E4C" w:rsidRPr="00794E4C">
              <w:rPr>
                <w:rFonts w:ascii="Calibri" w:hAnsi="Calibri"/>
                <w:b/>
                <w:sz w:val="20"/>
                <w:szCs w:val="20"/>
                <w:vertAlign w:val="subscript"/>
                <w:lang w:val="en-GB"/>
              </w:rPr>
              <w:t>ABW</w:t>
            </w:r>
          </w:p>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n patients</w:t>
            </w:r>
          </w:p>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w:t>
            </w:r>
            <w:r w:rsidR="00BE451D" w:rsidRPr="0086281A">
              <w:rPr>
                <w:rFonts w:ascii="Calibri" w:hAnsi="Calibri"/>
                <w:b/>
                <w:sz w:val="20"/>
                <w:szCs w:val="20"/>
                <w:lang w:val="en-GB"/>
              </w:rPr>
              <w:t xml:space="preserve"> </w:t>
            </w:r>
            <w:r w:rsidR="00BE451D" w:rsidRPr="0086281A">
              <w:rPr>
                <w:rFonts w:ascii="Calibri" w:hAnsi="Calibri"/>
                <w:sz w:val="20"/>
                <w:szCs w:val="20"/>
                <w:vertAlign w:val="superscript"/>
                <w:lang w:val="en-GB"/>
              </w:rPr>
              <w:t>a</w:t>
            </w:r>
          </w:p>
        </w:tc>
        <w:tc>
          <w:tcPr>
            <w:tcW w:w="2835" w:type="dxa"/>
            <w:shd w:val="clear" w:color="auto" w:fill="8DB3E2" w:themeFill="text2" w:themeFillTint="66"/>
          </w:tcPr>
          <w:p w:rsidR="00233F41" w:rsidRPr="0086281A" w:rsidRDefault="00233F41" w:rsidP="00233F41">
            <w:pPr>
              <w:jc w:val="center"/>
              <w:rPr>
                <w:rFonts w:ascii="Calibri" w:hAnsi="Calibri"/>
                <w:b/>
                <w:sz w:val="20"/>
                <w:szCs w:val="20"/>
                <w:vertAlign w:val="subscript"/>
                <w:lang w:val="en-GB"/>
              </w:rPr>
            </w:pPr>
            <w:r w:rsidRPr="0086281A">
              <w:rPr>
                <w:rFonts w:ascii="Calibri" w:hAnsi="Calibri"/>
                <w:b/>
                <w:sz w:val="20"/>
                <w:szCs w:val="20"/>
                <w:lang w:val="en-GB"/>
              </w:rPr>
              <w:t>CG</w:t>
            </w:r>
            <w:r w:rsidRPr="0086281A">
              <w:rPr>
                <w:rFonts w:ascii="Calibri" w:hAnsi="Calibri"/>
                <w:b/>
                <w:sz w:val="20"/>
                <w:szCs w:val="20"/>
                <w:vertAlign w:val="subscript"/>
                <w:lang w:val="en-GB"/>
              </w:rPr>
              <w:t>AIBW</w:t>
            </w:r>
          </w:p>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n patients</w:t>
            </w:r>
          </w:p>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w:t>
            </w:r>
            <w:r w:rsidR="00BE451D" w:rsidRPr="0086281A">
              <w:rPr>
                <w:rFonts w:ascii="Calibri" w:hAnsi="Calibri"/>
                <w:b/>
                <w:sz w:val="20"/>
                <w:szCs w:val="20"/>
                <w:lang w:val="en-GB"/>
              </w:rPr>
              <w:t xml:space="preserve"> </w:t>
            </w:r>
            <w:r w:rsidR="00BE451D" w:rsidRPr="0086281A">
              <w:rPr>
                <w:rFonts w:ascii="Calibri" w:hAnsi="Calibri"/>
                <w:sz w:val="20"/>
                <w:szCs w:val="20"/>
                <w:vertAlign w:val="superscript"/>
                <w:lang w:val="en-GB"/>
              </w:rPr>
              <w:t>a</w:t>
            </w:r>
          </w:p>
        </w:tc>
        <w:tc>
          <w:tcPr>
            <w:tcW w:w="2410" w:type="dxa"/>
            <w:shd w:val="clear" w:color="auto" w:fill="8DB3E2" w:themeFill="text2" w:themeFillTint="66"/>
          </w:tcPr>
          <w:p w:rsidR="00233F41" w:rsidRPr="0086281A" w:rsidRDefault="00233F41" w:rsidP="00233F41">
            <w:pPr>
              <w:jc w:val="center"/>
              <w:rPr>
                <w:rFonts w:ascii="Calibri" w:hAnsi="Calibri"/>
                <w:b/>
                <w:sz w:val="20"/>
                <w:szCs w:val="20"/>
                <w:vertAlign w:val="subscript"/>
                <w:lang w:val="en-GB"/>
              </w:rPr>
            </w:pPr>
            <w:r w:rsidRPr="0086281A">
              <w:rPr>
                <w:rFonts w:ascii="Calibri" w:hAnsi="Calibri"/>
                <w:b/>
                <w:sz w:val="20"/>
                <w:szCs w:val="20"/>
                <w:lang w:val="en-GB"/>
              </w:rPr>
              <w:t xml:space="preserve">CKD-EPI </w:t>
            </w:r>
            <w:r w:rsidRPr="0086281A">
              <w:rPr>
                <w:rFonts w:ascii="Calibri" w:hAnsi="Calibri"/>
                <w:b/>
                <w:sz w:val="20"/>
                <w:szCs w:val="20"/>
                <w:vertAlign w:val="subscript"/>
                <w:lang w:val="en-GB"/>
              </w:rPr>
              <w:t>deindexed</w:t>
            </w:r>
          </w:p>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n patients</w:t>
            </w:r>
          </w:p>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w:t>
            </w:r>
            <w:r w:rsidR="00BE451D" w:rsidRPr="0086281A">
              <w:rPr>
                <w:rFonts w:ascii="Calibri" w:hAnsi="Calibri"/>
                <w:b/>
                <w:sz w:val="20"/>
                <w:szCs w:val="20"/>
                <w:lang w:val="en-GB"/>
              </w:rPr>
              <w:t xml:space="preserve"> </w:t>
            </w:r>
            <w:r w:rsidR="00BE451D" w:rsidRPr="0086281A">
              <w:rPr>
                <w:rFonts w:ascii="Calibri" w:hAnsi="Calibri"/>
                <w:sz w:val="20"/>
                <w:szCs w:val="20"/>
                <w:vertAlign w:val="superscript"/>
                <w:lang w:val="en-GB"/>
              </w:rPr>
              <w:t>a</w:t>
            </w:r>
          </w:p>
        </w:tc>
        <w:tc>
          <w:tcPr>
            <w:tcW w:w="2125" w:type="dxa"/>
            <w:shd w:val="clear" w:color="auto" w:fill="8DB3E2" w:themeFill="text2" w:themeFillTint="66"/>
          </w:tcPr>
          <w:p w:rsidR="00233F41" w:rsidRPr="0086281A" w:rsidRDefault="00233F41" w:rsidP="00233F41">
            <w:pPr>
              <w:jc w:val="center"/>
              <w:rPr>
                <w:rFonts w:ascii="Calibri" w:hAnsi="Calibri"/>
                <w:b/>
                <w:sz w:val="20"/>
                <w:szCs w:val="20"/>
                <w:vertAlign w:val="subscript"/>
                <w:lang w:val="en-GB"/>
              </w:rPr>
            </w:pPr>
            <w:r w:rsidRPr="0086281A">
              <w:rPr>
                <w:rFonts w:ascii="Calibri" w:hAnsi="Calibri"/>
                <w:b/>
                <w:sz w:val="20"/>
                <w:szCs w:val="20"/>
                <w:lang w:val="en-GB"/>
              </w:rPr>
              <w:t>MDRD</w:t>
            </w:r>
            <w:r w:rsidRPr="0086281A">
              <w:rPr>
                <w:rFonts w:ascii="Calibri" w:hAnsi="Calibri"/>
                <w:b/>
                <w:sz w:val="20"/>
                <w:szCs w:val="20"/>
                <w:vertAlign w:val="subscript"/>
                <w:lang w:val="en-GB"/>
              </w:rPr>
              <w:t xml:space="preserve"> deindexed</w:t>
            </w:r>
          </w:p>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n patients</w:t>
            </w:r>
          </w:p>
          <w:p w:rsidR="00233F41" w:rsidRPr="0086281A" w:rsidRDefault="00233F41" w:rsidP="00233F41">
            <w:pPr>
              <w:jc w:val="center"/>
              <w:rPr>
                <w:rFonts w:ascii="Calibri" w:hAnsi="Calibri"/>
                <w:b/>
                <w:sz w:val="20"/>
                <w:szCs w:val="20"/>
                <w:lang w:val="en-GB"/>
              </w:rPr>
            </w:pPr>
            <w:r w:rsidRPr="0086281A">
              <w:rPr>
                <w:rFonts w:ascii="Calibri" w:hAnsi="Calibri"/>
                <w:b/>
                <w:sz w:val="20"/>
                <w:szCs w:val="20"/>
                <w:lang w:val="en-GB"/>
              </w:rPr>
              <w:t>(%)</w:t>
            </w:r>
            <w:r w:rsidR="00BE451D" w:rsidRPr="0086281A">
              <w:rPr>
                <w:rFonts w:ascii="Calibri" w:hAnsi="Calibri"/>
                <w:b/>
                <w:sz w:val="20"/>
                <w:szCs w:val="20"/>
                <w:lang w:val="en-GB"/>
              </w:rPr>
              <w:t xml:space="preserve"> </w:t>
            </w:r>
            <w:r w:rsidR="00BE451D" w:rsidRPr="0086281A">
              <w:rPr>
                <w:rFonts w:ascii="Calibri" w:hAnsi="Calibri"/>
                <w:sz w:val="20"/>
                <w:szCs w:val="20"/>
                <w:vertAlign w:val="superscript"/>
                <w:lang w:val="en-GB"/>
              </w:rPr>
              <w:t>a</w:t>
            </w:r>
          </w:p>
        </w:tc>
      </w:tr>
      <w:tr w:rsidR="00895D9C" w:rsidRPr="0086281A" w:rsidTr="00895D9C">
        <w:trPr>
          <w:trHeight w:val="71"/>
        </w:trPr>
        <w:tc>
          <w:tcPr>
            <w:tcW w:w="1560" w:type="dxa"/>
            <w:vMerge/>
            <w:shd w:val="clear" w:color="auto" w:fill="auto"/>
          </w:tcPr>
          <w:p w:rsidR="00895D9C" w:rsidRPr="0086281A" w:rsidRDefault="00895D9C" w:rsidP="00233F41">
            <w:pPr>
              <w:jc w:val="center"/>
              <w:rPr>
                <w:rFonts w:ascii="Calibri" w:hAnsi="Calibri"/>
                <w:b/>
                <w:sz w:val="20"/>
                <w:szCs w:val="20"/>
                <w:lang w:val="en-GB"/>
              </w:rPr>
            </w:pPr>
          </w:p>
        </w:tc>
        <w:tc>
          <w:tcPr>
            <w:tcW w:w="9496" w:type="dxa"/>
            <w:gridSpan w:val="4"/>
            <w:shd w:val="clear" w:color="auto" w:fill="D9D9D9" w:themeFill="background1" w:themeFillShade="D9"/>
          </w:tcPr>
          <w:p w:rsidR="00895D9C" w:rsidRPr="0086281A" w:rsidRDefault="00895D9C" w:rsidP="00233F41">
            <w:pPr>
              <w:jc w:val="center"/>
              <w:rPr>
                <w:rFonts w:ascii="Calibri" w:hAnsi="Calibri" w:cs="Helvetica"/>
                <w:color w:val="141413"/>
                <w:sz w:val="20"/>
                <w:szCs w:val="20"/>
                <w:vertAlign w:val="superscript"/>
                <w:lang w:val="en-GB"/>
              </w:rPr>
            </w:pPr>
            <w:r w:rsidRPr="0086281A">
              <w:rPr>
                <w:rFonts w:ascii="Calibri" w:hAnsi="Calibri"/>
                <w:b/>
                <w:sz w:val="20"/>
                <w:szCs w:val="20"/>
                <w:lang w:val="en-GB"/>
              </w:rPr>
              <w:t>mGFR&lt;eGFR</w:t>
            </w:r>
            <w:r w:rsidR="00BE451D" w:rsidRPr="0086281A">
              <w:rPr>
                <w:rFonts w:ascii="Calibri" w:hAnsi="Calibri"/>
                <w:b/>
                <w:sz w:val="20"/>
                <w:szCs w:val="20"/>
                <w:lang w:val="en-GB"/>
              </w:rPr>
              <w:t xml:space="preserve"> </w:t>
            </w:r>
            <w:r w:rsidR="00BE451D" w:rsidRPr="0086281A">
              <w:rPr>
                <w:rFonts w:ascii="Calibri" w:hAnsi="Calibri" w:cs="Helvetica"/>
                <w:color w:val="141413"/>
                <w:sz w:val="20"/>
                <w:szCs w:val="20"/>
                <w:vertAlign w:val="superscript"/>
                <w:lang w:val="en-GB"/>
              </w:rPr>
              <w:t>b</w:t>
            </w:r>
          </w:p>
          <w:p w:rsidR="00BE451D" w:rsidRPr="0086281A" w:rsidRDefault="00BE451D" w:rsidP="00233F41">
            <w:pPr>
              <w:jc w:val="center"/>
              <w:rPr>
                <w:rFonts w:ascii="Calibri" w:hAnsi="Calibri" w:cs="Helvetica"/>
                <w:color w:val="141413"/>
                <w:sz w:val="20"/>
                <w:szCs w:val="20"/>
                <w:lang w:val="en-GB"/>
              </w:rPr>
            </w:pPr>
            <w:r w:rsidRPr="0086281A">
              <w:rPr>
                <w:rFonts w:ascii="Calibri" w:hAnsi="Calibri" w:cs="Helvetica"/>
                <w:color w:val="141413"/>
                <w:sz w:val="20"/>
                <w:szCs w:val="20"/>
                <w:lang w:val="en-GB"/>
              </w:rPr>
              <w:t>n patients</w:t>
            </w:r>
          </w:p>
          <w:p w:rsidR="00895D9C" w:rsidRPr="0086281A" w:rsidRDefault="00BE451D" w:rsidP="00BE451D">
            <w:pPr>
              <w:jc w:val="center"/>
              <w:rPr>
                <w:rFonts w:ascii="Calibri" w:hAnsi="Calibri"/>
                <w:b/>
                <w:sz w:val="20"/>
                <w:szCs w:val="20"/>
                <w:lang w:val="en-GB"/>
              </w:rPr>
            </w:pPr>
            <w:r w:rsidRPr="0086281A">
              <w:rPr>
                <w:rFonts w:ascii="Calibri" w:hAnsi="Calibri" w:cs="Helvetica"/>
                <w:color w:val="141413"/>
                <w:sz w:val="20"/>
                <w:szCs w:val="20"/>
                <w:lang w:val="en-GB"/>
              </w:rPr>
              <w:t>(%)</w:t>
            </w:r>
          </w:p>
        </w:tc>
      </w:tr>
      <w:tr w:rsidR="007C311C" w:rsidRPr="0086281A" w:rsidTr="007C311C">
        <w:trPr>
          <w:trHeight w:val="162"/>
        </w:trPr>
        <w:tc>
          <w:tcPr>
            <w:tcW w:w="1560" w:type="dxa"/>
            <w:vMerge w:val="restart"/>
            <w:shd w:val="clear" w:color="auto" w:fill="auto"/>
          </w:tcPr>
          <w:p w:rsidR="007C311C" w:rsidRPr="0086281A" w:rsidRDefault="007C311C" w:rsidP="007C311C">
            <w:pPr>
              <w:rPr>
                <w:rFonts w:ascii="Calibri" w:hAnsi="Calibri"/>
                <w:i/>
                <w:sz w:val="20"/>
                <w:szCs w:val="20"/>
                <w:lang w:val="en-GB"/>
              </w:rPr>
            </w:pPr>
            <w:r w:rsidRPr="0086281A">
              <w:rPr>
                <w:rFonts w:ascii="Calibri" w:hAnsi="Calibri"/>
                <w:i/>
                <w:sz w:val="20"/>
                <w:szCs w:val="20"/>
                <w:lang w:val="en-GB"/>
              </w:rPr>
              <w:t>≥ 130</w:t>
            </w:r>
          </w:p>
          <w:p w:rsidR="007C311C" w:rsidRPr="0086281A" w:rsidRDefault="007C311C" w:rsidP="007C311C">
            <w:pPr>
              <w:rPr>
                <w:rFonts w:ascii="Calibri" w:hAnsi="Calibri"/>
                <w:i/>
                <w:sz w:val="20"/>
                <w:szCs w:val="20"/>
                <w:lang w:val="en-GB"/>
              </w:rPr>
            </w:pPr>
            <w:r w:rsidRPr="0086281A">
              <w:rPr>
                <w:rFonts w:ascii="Calibri" w:hAnsi="Calibri"/>
                <w:i/>
                <w:sz w:val="20"/>
                <w:szCs w:val="20"/>
                <w:lang w:val="en-GB"/>
              </w:rPr>
              <w:t>mL/min</w:t>
            </w:r>
          </w:p>
          <w:p w:rsidR="007C311C" w:rsidRPr="0086281A" w:rsidRDefault="007C311C" w:rsidP="007C311C">
            <w:pPr>
              <w:rPr>
                <w:rFonts w:ascii="Calibri" w:hAnsi="Calibri"/>
                <w:i/>
                <w:sz w:val="20"/>
                <w:szCs w:val="20"/>
                <w:lang w:val="en-GB"/>
              </w:rPr>
            </w:pPr>
            <w:r w:rsidRPr="0086281A">
              <w:rPr>
                <w:rFonts w:ascii="Calibri" w:hAnsi="Calibri"/>
                <w:i/>
                <w:sz w:val="20"/>
                <w:szCs w:val="20"/>
                <w:lang w:val="en-GB"/>
              </w:rPr>
              <w:t>19 patients</w:t>
            </w:r>
          </w:p>
          <w:p w:rsidR="007C311C" w:rsidRPr="0086281A" w:rsidRDefault="007C311C" w:rsidP="00233F41">
            <w:pPr>
              <w:rPr>
                <w:rFonts w:ascii="Calibri" w:hAnsi="Calibri"/>
                <w:i/>
                <w:sz w:val="20"/>
                <w:szCs w:val="20"/>
                <w:lang w:val="en-GB"/>
              </w:rPr>
            </w:pPr>
            <w:r w:rsidRPr="0086281A">
              <w:rPr>
                <w:rFonts w:ascii="Calibri" w:hAnsi="Calibri"/>
                <w:i/>
                <w:sz w:val="20"/>
                <w:szCs w:val="20"/>
                <w:lang w:val="en-GB"/>
              </w:rPr>
              <w:t>(5.2%)</w:t>
            </w:r>
          </w:p>
        </w:tc>
        <w:tc>
          <w:tcPr>
            <w:tcW w:w="2126" w:type="dxa"/>
            <w:shd w:val="clear" w:color="auto" w:fill="8DB3E2" w:themeFill="text2" w:themeFillTint="66"/>
          </w:tcPr>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90 patients</w:t>
            </w:r>
          </w:p>
          <w:p w:rsidR="007C311C" w:rsidRPr="0086281A" w:rsidRDefault="007C311C" w:rsidP="00A32687">
            <w:pPr>
              <w:jc w:val="center"/>
              <w:rPr>
                <w:rFonts w:ascii="Calibri" w:hAnsi="Calibri"/>
                <w:sz w:val="20"/>
                <w:szCs w:val="20"/>
                <w:lang w:val="en-GB"/>
              </w:rPr>
            </w:pPr>
            <w:r w:rsidRPr="0086281A">
              <w:rPr>
                <w:rFonts w:ascii="Calibri" w:hAnsi="Calibri"/>
                <w:sz w:val="20"/>
                <w:szCs w:val="20"/>
                <w:lang w:val="en-GB"/>
              </w:rPr>
              <w:t>(24.6%)</w:t>
            </w:r>
          </w:p>
        </w:tc>
        <w:tc>
          <w:tcPr>
            <w:tcW w:w="2835" w:type="dxa"/>
            <w:shd w:val="clear" w:color="auto" w:fill="8DB3E2" w:themeFill="text2" w:themeFillTint="66"/>
          </w:tcPr>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36 patients</w:t>
            </w:r>
          </w:p>
          <w:p w:rsidR="007C311C" w:rsidRPr="0086281A" w:rsidRDefault="007C311C" w:rsidP="00A32687">
            <w:pPr>
              <w:jc w:val="center"/>
              <w:rPr>
                <w:rFonts w:ascii="Calibri" w:hAnsi="Calibri"/>
                <w:sz w:val="20"/>
                <w:szCs w:val="20"/>
                <w:lang w:val="en-GB"/>
              </w:rPr>
            </w:pPr>
            <w:r w:rsidRPr="0086281A">
              <w:rPr>
                <w:rFonts w:ascii="Calibri" w:hAnsi="Calibri"/>
                <w:sz w:val="20"/>
                <w:szCs w:val="20"/>
                <w:lang w:val="en-GB"/>
              </w:rPr>
              <w:t>(9.8%)</w:t>
            </w:r>
          </w:p>
        </w:tc>
        <w:tc>
          <w:tcPr>
            <w:tcW w:w="2410" w:type="dxa"/>
            <w:shd w:val="clear" w:color="auto" w:fill="8DB3E2" w:themeFill="text2" w:themeFillTint="66"/>
          </w:tcPr>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50 patients</w:t>
            </w:r>
          </w:p>
          <w:p w:rsidR="007C311C" w:rsidRPr="0086281A" w:rsidRDefault="007C311C" w:rsidP="00233F41">
            <w:pPr>
              <w:jc w:val="center"/>
              <w:rPr>
                <w:rFonts w:ascii="Calibri" w:hAnsi="Calibri"/>
                <w:sz w:val="20"/>
                <w:szCs w:val="20"/>
                <w:lang w:val="en-GB"/>
              </w:rPr>
            </w:pPr>
            <w:r w:rsidRPr="0086281A">
              <w:rPr>
                <w:rFonts w:ascii="Calibri" w:hAnsi="Calibri"/>
                <w:sz w:val="20"/>
                <w:szCs w:val="20"/>
                <w:lang w:val="en-GB"/>
              </w:rPr>
              <w:t>(13.7%)</w:t>
            </w:r>
          </w:p>
        </w:tc>
        <w:tc>
          <w:tcPr>
            <w:tcW w:w="2125" w:type="dxa"/>
            <w:shd w:val="clear" w:color="auto" w:fill="8DB3E2" w:themeFill="text2" w:themeFillTint="66"/>
          </w:tcPr>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31 patients</w:t>
            </w:r>
          </w:p>
          <w:p w:rsidR="007C311C" w:rsidRPr="0086281A" w:rsidRDefault="007C311C" w:rsidP="00A32687">
            <w:pPr>
              <w:jc w:val="center"/>
              <w:rPr>
                <w:rFonts w:ascii="Calibri" w:hAnsi="Calibri"/>
                <w:sz w:val="20"/>
                <w:szCs w:val="20"/>
                <w:lang w:val="en-GB"/>
              </w:rPr>
            </w:pPr>
            <w:r w:rsidRPr="0086281A">
              <w:rPr>
                <w:rFonts w:ascii="Calibri" w:hAnsi="Calibri"/>
                <w:sz w:val="20"/>
                <w:szCs w:val="20"/>
                <w:lang w:val="en-GB"/>
              </w:rPr>
              <w:t>(8.5%)</w:t>
            </w:r>
          </w:p>
        </w:tc>
      </w:tr>
      <w:tr w:rsidR="007C311C" w:rsidRPr="0086281A" w:rsidTr="004C4C54">
        <w:trPr>
          <w:trHeight w:val="162"/>
        </w:trPr>
        <w:tc>
          <w:tcPr>
            <w:tcW w:w="1560" w:type="dxa"/>
            <w:vMerge/>
            <w:shd w:val="clear" w:color="auto" w:fill="auto"/>
          </w:tcPr>
          <w:p w:rsidR="007C311C" w:rsidRPr="0086281A" w:rsidRDefault="007C311C" w:rsidP="007C311C">
            <w:pPr>
              <w:rPr>
                <w:rFonts w:ascii="Calibri" w:hAnsi="Calibri"/>
                <w:i/>
                <w:sz w:val="20"/>
                <w:szCs w:val="20"/>
                <w:lang w:val="en-GB"/>
              </w:rPr>
            </w:pPr>
          </w:p>
        </w:tc>
        <w:tc>
          <w:tcPr>
            <w:tcW w:w="2126" w:type="dxa"/>
            <w:shd w:val="clear" w:color="auto" w:fill="D9D9D9" w:themeFill="background1" w:themeFillShade="D9"/>
          </w:tcPr>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28 patients</w:t>
            </w:r>
          </w:p>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(31.1%)</w:t>
            </w:r>
          </w:p>
        </w:tc>
        <w:tc>
          <w:tcPr>
            <w:tcW w:w="2835" w:type="dxa"/>
            <w:shd w:val="clear" w:color="auto" w:fill="D9D9D9" w:themeFill="background1" w:themeFillShade="D9"/>
          </w:tcPr>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21 patients</w:t>
            </w:r>
          </w:p>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(58.3%)</w:t>
            </w:r>
          </w:p>
        </w:tc>
        <w:tc>
          <w:tcPr>
            <w:tcW w:w="2410" w:type="dxa"/>
            <w:shd w:val="clear" w:color="auto" w:fill="D9D9D9" w:themeFill="background1" w:themeFillShade="D9"/>
          </w:tcPr>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26 patients</w:t>
            </w:r>
          </w:p>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(52%)</w:t>
            </w:r>
          </w:p>
        </w:tc>
        <w:tc>
          <w:tcPr>
            <w:tcW w:w="2125" w:type="dxa"/>
            <w:shd w:val="clear" w:color="auto" w:fill="D9D9D9" w:themeFill="background1" w:themeFillShade="D9"/>
          </w:tcPr>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22 patients</w:t>
            </w:r>
          </w:p>
          <w:p w:rsidR="007C311C" w:rsidRPr="0086281A" w:rsidRDefault="007C311C" w:rsidP="007C311C">
            <w:pPr>
              <w:jc w:val="center"/>
              <w:rPr>
                <w:rFonts w:ascii="Calibri" w:hAnsi="Calibri"/>
                <w:sz w:val="20"/>
                <w:szCs w:val="20"/>
                <w:lang w:val="en-GB"/>
              </w:rPr>
            </w:pPr>
            <w:r w:rsidRPr="0086281A">
              <w:rPr>
                <w:rFonts w:ascii="Calibri" w:hAnsi="Calibri"/>
                <w:sz w:val="20"/>
                <w:szCs w:val="20"/>
                <w:lang w:val="en-GB"/>
              </w:rPr>
              <w:t>(71%)</w:t>
            </w:r>
          </w:p>
        </w:tc>
      </w:tr>
    </w:tbl>
    <w:p w:rsidR="00BE451D" w:rsidRPr="0086281A" w:rsidRDefault="00BE451D" w:rsidP="009E05D2">
      <w:pPr>
        <w:ind w:left="-1276"/>
        <w:rPr>
          <w:rFonts w:ascii="Calibri" w:hAnsi="Calibri"/>
          <w:sz w:val="20"/>
          <w:szCs w:val="20"/>
          <w:lang w:val="en-GB"/>
        </w:rPr>
      </w:pPr>
      <w:r w:rsidRPr="0086281A">
        <w:rPr>
          <w:rFonts w:ascii="Calibri" w:hAnsi="Calibri"/>
          <w:sz w:val="20"/>
          <w:szCs w:val="20"/>
          <w:lang w:val="en-GB"/>
        </w:rPr>
        <w:t xml:space="preserve">mGFR: measured Glomerular Filtration Rate; </w:t>
      </w:r>
      <w:r w:rsidR="009E05D2" w:rsidRPr="0086281A">
        <w:rPr>
          <w:rFonts w:ascii="Calibri" w:hAnsi="Calibri"/>
          <w:sz w:val="20"/>
          <w:szCs w:val="20"/>
          <w:lang w:val="en-GB"/>
        </w:rPr>
        <w:t xml:space="preserve">eGFR: estimated Glomerular Filtration Rate; </w:t>
      </w:r>
      <w:r w:rsidRPr="0086281A">
        <w:rPr>
          <w:rFonts w:ascii="Calibri" w:hAnsi="Calibri"/>
          <w:sz w:val="20"/>
          <w:szCs w:val="20"/>
          <w:lang w:val="en-GB"/>
        </w:rPr>
        <w:t xml:space="preserve">MDRD: Modification Diet in Renal Disease; CKD-EPI: Chronic Kidney Disease Epidemiology; CG: Cockcroft &amp; Gault; </w:t>
      </w:r>
      <w:r w:rsidR="00794E4C">
        <w:rPr>
          <w:rFonts w:ascii="Calibri" w:hAnsi="Calibri"/>
          <w:sz w:val="20"/>
          <w:szCs w:val="20"/>
          <w:lang w:val="en-GB"/>
        </w:rPr>
        <w:t xml:space="preserve">ABW: Actual Body Weight; </w:t>
      </w:r>
      <w:r w:rsidRPr="0086281A">
        <w:rPr>
          <w:rFonts w:ascii="Calibri" w:hAnsi="Calibri"/>
          <w:sz w:val="20"/>
          <w:szCs w:val="20"/>
          <w:lang w:val="en-GB"/>
        </w:rPr>
        <w:t>AIBW: Adjusted Ideal Body Weight</w:t>
      </w:r>
    </w:p>
    <w:p w:rsidR="009B5602" w:rsidRPr="0086281A" w:rsidRDefault="009B5602" w:rsidP="009E05D2">
      <w:pPr>
        <w:ind w:left="-1134" w:hanging="142"/>
        <w:rPr>
          <w:rFonts w:ascii="Calibri" w:hAnsi="Calibri" w:cs="Helvetica"/>
          <w:color w:val="141413"/>
          <w:sz w:val="20"/>
          <w:szCs w:val="20"/>
          <w:lang w:val="en-GB"/>
        </w:rPr>
      </w:pPr>
      <w:r w:rsidRPr="0086281A">
        <w:rPr>
          <w:rFonts w:ascii="Calibri" w:hAnsi="Calibri"/>
          <w:sz w:val="20"/>
          <w:szCs w:val="20"/>
          <w:vertAlign w:val="superscript"/>
          <w:lang w:val="en-GB"/>
        </w:rPr>
        <w:t>a</w:t>
      </w:r>
      <w:r w:rsidRPr="0086281A">
        <w:rPr>
          <w:rFonts w:ascii="Calibri" w:hAnsi="Calibri"/>
          <w:sz w:val="20"/>
          <w:szCs w:val="20"/>
          <w:lang w:val="en-GB"/>
        </w:rPr>
        <w:t xml:space="preserve"> </w:t>
      </w:r>
      <w:r w:rsidRPr="0086281A">
        <w:rPr>
          <w:rFonts w:ascii="Calibri" w:hAnsi="Calibri" w:cs="Helvetica"/>
          <w:color w:val="141413"/>
          <w:sz w:val="20"/>
          <w:szCs w:val="20"/>
          <w:lang w:val="en-GB"/>
        </w:rPr>
        <w:t>percentage of total population</w:t>
      </w:r>
    </w:p>
    <w:p w:rsidR="009B5602" w:rsidRPr="0086281A" w:rsidRDefault="009B5602" w:rsidP="009E05D2">
      <w:pPr>
        <w:ind w:left="-1276"/>
        <w:rPr>
          <w:rFonts w:ascii="Calibri" w:hAnsi="Calibri"/>
          <w:sz w:val="20"/>
          <w:szCs w:val="20"/>
          <w:lang w:val="en-GB"/>
        </w:rPr>
      </w:pPr>
      <w:r w:rsidRPr="0086281A">
        <w:rPr>
          <w:rFonts w:ascii="Calibri" w:hAnsi="Calibri" w:cs="Helvetica"/>
          <w:color w:val="141413"/>
          <w:sz w:val="20"/>
          <w:szCs w:val="20"/>
          <w:vertAlign w:val="superscript"/>
          <w:lang w:val="en-GB"/>
        </w:rPr>
        <w:t>b</w:t>
      </w:r>
      <w:r w:rsidRPr="0086281A">
        <w:rPr>
          <w:rFonts w:ascii="Calibri" w:hAnsi="Calibri" w:cs="Helvetica"/>
          <w:color w:val="141413"/>
          <w:sz w:val="20"/>
          <w:szCs w:val="20"/>
          <w:lang w:val="en-GB"/>
        </w:rPr>
        <w:t xml:space="preserve"> percentage of subgroup population</w:t>
      </w:r>
    </w:p>
    <w:p w:rsidR="00233F41" w:rsidRPr="0086281A" w:rsidRDefault="00233F41" w:rsidP="00F83E2B">
      <w:pPr>
        <w:spacing w:line="360" w:lineRule="auto"/>
        <w:jc w:val="both"/>
        <w:rPr>
          <w:rFonts w:ascii="Calibri" w:eastAsia="MS Mincho" w:hAnsi="Calibri" w:cs="Arial"/>
          <w:lang w:val="en-GB" w:eastAsia="ja-JP"/>
        </w:rPr>
      </w:pPr>
    </w:p>
    <w:p w:rsidR="00184353" w:rsidRPr="0086281A" w:rsidRDefault="00184353" w:rsidP="0072239C">
      <w:pPr>
        <w:ind w:left="-284"/>
        <w:rPr>
          <w:rFonts w:ascii="Calibri" w:hAnsi="Calibri"/>
          <w:b/>
          <w:lang w:val="en-GB"/>
        </w:rPr>
      </w:pPr>
    </w:p>
    <w:p w:rsidR="00624D9E" w:rsidRPr="0086281A" w:rsidRDefault="00184353" w:rsidP="00624D9E">
      <w:pPr>
        <w:rPr>
          <w:rFonts w:ascii="Calibri" w:hAnsi="Calibri" w:cs="Times"/>
          <w:color w:val="141413"/>
          <w:lang w:val="en-GB"/>
        </w:rPr>
      </w:pPr>
      <w:r w:rsidRPr="0086281A">
        <w:rPr>
          <w:rFonts w:ascii="Calibri" w:hAnsi="Calibri"/>
          <w:b/>
          <w:lang w:val="en-GB"/>
        </w:rPr>
        <w:t xml:space="preserve">Figure </w:t>
      </w:r>
      <w:r w:rsidR="00476AC2" w:rsidRPr="0086281A">
        <w:rPr>
          <w:rFonts w:ascii="Calibri" w:hAnsi="Calibri"/>
          <w:b/>
          <w:lang w:val="en-GB"/>
        </w:rPr>
        <w:t>1</w:t>
      </w:r>
      <w:r w:rsidR="00E61119" w:rsidRPr="0086281A">
        <w:rPr>
          <w:rFonts w:ascii="Calibri" w:hAnsi="Calibri"/>
          <w:b/>
          <w:lang w:val="en-GB"/>
        </w:rPr>
        <w:t>a</w:t>
      </w:r>
      <w:r w:rsidRPr="0086281A">
        <w:rPr>
          <w:rFonts w:ascii="Calibri" w:hAnsi="Calibri"/>
          <w:b/>
          <w:lang w:val="en-GB"/>
        </w:rPr>
        <w:t>.</w:t>
      </w:r>
      <w:r w:rsidRPr="0086281A">
        <w:rPr>
          <w:rFonts w:ascii="Calibri" w:hAnsi="Calibri" w:cs="Times"/>
          <w:color w:val="000000"/>
          <w:lang w:val="en-GB"/>
        </w:rPr>
        <w:t xml:space="preserve"> </w:t>
      </w:r>
      <w:r w:rsidR="00624D9E" w:rsidRPr="0086281A">
        <w:rPr>
          <w:rFonts w:ascii="Calibri" w:hAnsi="Calibri" w:cs="Times"/>
          <w:color w:val="141413"/>
          <w:lang w:val="en-GB"/>
        </w:rPr>
        <w:t>Bland and Altman analysis for the</w:t>
      </w:r>
      <w:r w:rsidR="00DD7B40" w:rsidRPr="0086281A">
        <w:rPr>
          <w:rFonts w:ascii="Calibri" w:hAnsi="Calibri" w:cs="Times"/>
          <w:color w:val="141413"/>
          <w:lang w:val="en-GB"/>
        </w:rPr>
        <w:t xml:space="preserve"> CG</w:t>
      </w:r>
      <w:r w:rsidR="00794E4C" w:rsidRPr="00794E4C">
        <w:rPr>
          <w:rFonts w:ascii="Calibri" w:hAnsi="Calibri" w:cs="Times"/>
          <w:color w:val="141413"/>
          <w:vertAlign w:val="subscript"/>
          <w:lang w:val="en-GB"/>
        </w:rPr>
        <w:t>ABW</w:t>
      </w:r>
      <w:r w:rsidR="00DD7B40" w:rsidRPr="0086281A">
        <w:rPr>
          <w:rFonts w:ascii="Calibri" w:hAnsi="Calibri" w:cs="Times"/>
          <w:color w:val="141413"/>
          <w:lang w:val="en-GB"/>
        </w:rPr>
        <w:t xml:space="preserve"> (</w:t>
      </w:r>
      <w:r w:rsidR="002B2EB8" w:rsidRPr="0086281A">
        <w:rPr>
          <w:rFonts w:ascii="Calibri" w:hAnsi="Calibri" w:cs="Times"/>
          <w:color w:val="141413"/>
          <w:lang w:val="en-GB"/>
        </w:rPr>
        <w:t>upper</w:t>
      </w:r>
      <w:r w:rsidR="00DD7B40" w:rsidRPr="0086281A">
        <w:rPr>
          <w:rFonts w:ascii="Calibri" w:hAnsi="Calibri" w:cs="Times"/>
          <w:color w:val="141413"/>
          <w:lang w:val="en-GB"/>
        </w:rPr>
        <w:t xml:space="preserve"> panel) and</w:t>
      </w:r>
      <w:r w:rsidR="00624D9E" w:rsidRPr="0086281A">
        <w:rPr>
          <w:rFonts w:ascii="Calibri" w:hAnsi="Calibri" w:cs="Times"/>
          <w:color w:val="141413"/>
          <w:lang w:val="en-GB"/>
        </w:rPr>
        <w:t xml:space="preserve"> CG</w:t>
      </w:r>
      <w:r w:rsidR="00624D9E" w:rsidRPr="0086281A">
        <w:rPr>
          <w:rFonts w:ascii="Calibri" w:hAnsi="Calibri" w:cs="Times"/>
          <w:color w:val="141413"/>
          <w:vertAlign w:val="subscript"/>
          <w:lang w:val="en-GB"/>
        </w:rPr>
        <w:t>AIBW</w:t>
      </w:r>
      <w:r w:rsidR="00743CEF" w:rsidRPr="0086281A">
        <w:rPr>
          <w:rFonts w:ascii="Calibri" w:hAnsi="Calibri" w:cs="Times"/>
          <w:color w:val="141413"/>
          <w:vertAlign w:val="subscript"/>
          <w:lang w:val="en-GB"/>
        </w:rPr>
        <w:t xml:space="preserve"> </w:t>
      </w:r>
      <w:r w:rsidR="00DD7B40" w:rsidRPr="0086281A">
        <w:rPr>
          <w:rFonts w:ascii="Calibri" w:hAnsi="Calibri" w:cs="Times"/>
          <w:color w:val="141413"/>
          <w:lang w:val="en-GB"/>
        </w:rPr>
        <w:t>(</w:t>
      </w:r>
      <w:r w:rsidR="002B2EB8" w:rsidRPr="0086281A">
        <w:rPr>
          <w:rFonts w:ascii="Calibri" w:hAnsi="Calibri" w:cs="Times"/>
          <w:color w:val="141413"/>
          <w:lang w:val="en-GB"/>
        </w:rPr>
        <w:t>lower</w:t>
      </w:r>
      <w:r w:rsidR="00DD7B40" w:rsidRPr="0086281A">
        <w:rPr>
          <w:rFonts w:ascii="Calibri" w:hAnsi="Calibri" w:cs="Times"/>
          <w:color w:val="141413"/>
          <w:lang w:val="en-GB"/>
        </w:rPr>
        <w:t xml:space="preserve"> panel) </w:t>
      </w:r>
      <w:r w:rsidR="00624D9E" w:rsidRPr="0086281A">
        <w:rPr>
          <w:rFonts w:ascii="Calibri" w:hAnsi="Calibri" w:cs="Times"/>
          <w:color w:val="141413"/>
          <w:lang w:val="en-GB"/>
        </w:rPr>
        <w:t>compared to mGFR.</w:t>
      </w:r>
    </w:p>
    <w:p w:rsidR="00DD7B40" w:rsidRPr="0086281A" w:rsidRDefault="00743CEF" w:rsidP="00624D9E">
      <w:pPr>
        <w:rPr>
          <w:rFonts w:ascii="Calibri" w:hAnsi="Calibri" w:cs="Times"/>
          <w:b/>
          <w:color w:val="000000"/>
          <w:lang w:val="en-GB"/>
        </w:rPr>
      </w:pPr>
      <w:r w:rsidRPr="0086281A">
        <w:rPr>
          <w:rFonts w:ascii="Calibri" w:hAnsi="Calibri" w:cs="Times"/>
          <w:b/>
          <w:color w:val="000000"/>
          <w:lang w:val="en-GB"/>
        </w:rPr>
        <w:br w:type="textWrapping" w:clear="all"/>
      </w:r>
    </w:p>
    <w:p w:rsidR="00743CEF" w:rsidRDefault="00194680" w:rsidP="00624D9E">
      <w:pPr>
        <w:rPr>
          <w:rFonts w:ascii="Calibri" w:hAnsi="Calibri" w:cs="Times"/>
          <w:b/>
          <w:color w:val="000000"/>
          <w:lang w:val="en-GB"/>
        </w:rPr>
      </w:pPr>
      <w:r>
        <w:rPr>
          <w:rFonts w:ascii="Calibri" w:hAnsi="Calibri" w:cs="Times"/>
          <w:b/>
          <w:noProof/>
          <w:color w:val="000000"/>
          <w:lang w:val="fr-BE" w:eastAsia="fr-BE"/>
        </w:rPr>
        <w:drawing>
          <wp:inline distT="0" distB="0" distL="0" distR="0">
            <wp:extent cx="3697182" cy="27983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697182" cy="2798374"/>
                    </a:xfrm>
                    <a:prstGeom prst="rect">
                      <a:avLst/>
                    </a:prstGeom>
                  </pic:spPr>
                </pic:pic>
              </a:graphicData>
            </a:graphic>
          </wp:inline>
        </w:drawing>
      </w:r>
    </w:p>
    <w:p w:rsidR="00194680" w:rsidRPr="0086281A" w:rsidRDefault="00194680" w:rsidP="00624D9E">
      <w:pPr>
        <w:rPr>
          <w:rFonts w:ascii="Calibri" w:hAnsi="Calibri" w:cs="Times"/>
          <w:b/>
          <w:color w:val="000000"/>
          <w:lang w:val="en-GB"/>
        </w:rPr>
      </w:pPr>
      <w:r>
        <w:rPr>
          <w:rFonts w:ascii="Calibri" w:hAnsi="Calibri" w:cs="Times"/>
          <w:b/>
          <w:noProof/>
          <w:color w:val="000000"/>
          <w:lang w:val="fr-BE" w:eastAsia="fr-BE"/>
        </w:rPr>
        <w:drawing>
          <wp:inline distT="0" distB="0" distL="0" distR="0">
            <wp:extent cx="3999324" cy="297412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PIA.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999324" cy="2974128"/>
                    </a:xfrm>
                    <a:prstGeom prst="rect">
                      <a:avLst/>
                    </a:prstGeom>
                  </pic:spPr>
                </pic:pic>
              </a:graphicData>
            </a:graphic>
          </wp:inline>
        </w:drawing>
      </w:r>
    </w:p>
    <w:p w:rsidR="00743CEF" w:rsidRPr="0086281A" w:rsidRDefault="00743CEF" w:rsidP="00624D9E">
      <w:pPr>
        <w:rPr>
          <w:rFonts w:ascii="Calibri" w:hAnsi="Calibri" w:cs="Times"/>
          <w:b/>
          <w:color w:val="000000"/>
          <w:lang w:val="en-GB"/>
        </w:rPr>
      </w:pPr>
    </w:p>
    <w:p w:rsidR="00624D9E" w:rsidRPr="0086281A" w:rsidRDefault="00B26BF2" w:rsidP="00624D9E">
      <w:pPr>
        <w:rPr>
          <w:rFonts w:ascii="Calibri" w:hAnsi="Calibri" w:cs="Times"/>
          <w:color w:val="000000"/>
          <w:lang w:val="en-GB"/>
        </w:rPr>
      </w:pPr>
      <w:r w:rsidRPr="0086281A">
        <w:rPr>
          <w:rFonts w:ascii="Calibri" w:hAnsi="Calibri" w:cs="Times"/>
          <w:b/>
          <w:color w:val="141413"/>
          <w:lang w:val="en-GB"/>
        </w:rPr>
        <w:t xml:space="preserve">Figure </w:t>
      </w:r>
      <w:r w:rsidR="00476AC2" w:rsidRPr="0086281A">
        <w:rPr>
          <w:rFonts w:ascii="Calibri" w:hAnsi="Calibri" w:cs="Times"/>
          <w:b/>
          <w:color w:val="141413"/>
          <w:lang w:val="en-GB"/>
        </w:rPr>
        <w:t>1</w:t>
      </w:r>
      <w:r w:rsidRPr="0086281A">
        <w:rPr>
          <w:rFonts w:ascii="Calibri" w:hAnsi="Calibri" w:cs="Times"/>
          <w:b/>
          <w:color w:val="141413"/>
          <w:lang w:val="en-GB"/>
        </w:rPr>
        <w:t xml:space="preserve">b. </w:t>
      </w:r>
      <w:r w:rsidR="00624D9E" w:rsidRPr="0086281A">
        <w:rPr>
          <w:rFonts w:ascii="Calibri" w:hAnsi="Calibri" w:cs="Times"/>
          <w:color w:val="141413"/>
          <w:lang w:val="en-GB"/>
        </w:rPr>
        <w:t>Bland and Altman analysis for the MDRD</w:t>
      </w:r>
      <w:r w:rsidR="00624D9E" w:rsidRPr="0086281A">
        <w:rPr>
          <w:rFonts w:ascii="Calibri" w:hAnsi="Calibri" w:cs="Times"/>
          <w:color w:val="141413"/>
          <w:vertAlign w:val="subscript"/>
          <w:lang w:val="en-GB"/>
        </w:rPr>
        <w:t>deindexed</w:t>
      </w:r>
      <w:r w:rsidR="00624D9E" w:rsidRPr="0086281A">
        <w:rPr>
          <w:rFonts w:ascii="Calibri" w:hAnsi="Calibri" w:cs="Times"/>
          <w:color w:val="141413"/>
          <w:lang w:val="en-GB"/>
        </w:rPr>
        <w:t xml:space="preserve"> </w:t>
      </w:r>
      <w:r w:rsidR="002B2EB8" w:rsidRPr="0086281A">
        <w:rPr>
          <w:rFonts w:ascii="Calibri" w:hAnsi="Calibri" w:cs="Times"/>
          <w:color w:val="141413"/>
          <w:lang w:val="en-GB"/>
        </w:rPr>
        <w:t xml:space="preserve">(upper panel) </w:t>
      </w:r>
      <w:r w:rsidR="00624D9E" w:rsidRPr="0086281A">
        <w:rPr>
          <w:rFonts w:ascii="Calibri" w:hAnsi="Calibri" w:cs="Times"/>
          <w:color w:val="141413"/>
          <w:lang w:val="en-GB"/>
        </w:rPr>
        <w:t>and CKD-EPI</w:t>
      </w:r>
      <w:r w:rsidR="00624D9E" w:rsidRPr="0086281A">
        <w:rPr>
          <w:rFonts w:ascii="Calibri" w:hAnsi="Calibri" w:cs="Times"/>
          <w:color w:val="141413"/>
          <w:vertAlign w:val="subscript"/>
          <w:lang w:val="en-GB"/>
        </w:rPr>
        <w:t>deindexed</w:t>
      </w:r>
      <w:r w:rsidR="002B2EB8" w:rsidRPr="0086281A">
        <w:rPr>
          <w:rFonts w:ascii="Calibri" w:hAnsi="Calibri" w:cs="Times"/>
          <w:color w:val="141413"/>
          <w:lang w:val="en-GB"/>
        </w:rPr>
        <w:t xml:space="preserve"> (lower panel) </w:t>
      </w:r>
      <w:r w:rsidR="00624D9E" w:rsidRPr="0086281A">
        <w:rPr>
          <w:rFonts w:ascii="Calibri" w:hAnsi="Calibri" w:cs="Times"/>
          <w:color w:val="141413"/>
          <w:lang w:val="en-GB"/>
        </w:rPr>
        <w:t>equations compared to mGFR.</w:t>
      </w:r>
    </w:p>
    <w:p w:rsidR="00B26BF2" w:rsidRPr="0086281A" w:rsidRDefault="00B26BF2" w:rsidP="00B26BF2">
      <w:pPr>
        <w:rPr>
          <w:rFonts w:ascii="Calibri" w:hAnsi="Calibri" w:cs="Times"/>
          <w:b/>
          <w:color w:val="000000"/>
          <w:lang w:val="en-GB"/>
        </w:rPr>
      </w:pPr>
    </w:p>
    <w:p w:rsidR="00743CEF" w:rsidRDefault="00194680" w:rsidP="00B26BF2">
      <w:pPr>
        <w:rPr>
          <w:rFonts w:ascii="Calibri" w:hAnsi="Calibri" w:cs="Times"/>
          <w:b/>
          <w:color w:val="000000"/>
          <w:lang w:val="en-GB"/>
        </w:rPr>
      </w:pPr>
      <w:r>
        <w:rPr>
          <w:rFonts w:ascii="Calibri" w:hAnsi="Calibri" w:cs="Times"/>
          <w:b/>
          <w:noProof/>
          <w:color w:val="000000"/>
          <w:lang w:val="fr-BE" w:eastAsia="fr-BE"/>
        </w:rPr>
        <w:lastRenderedPageBreak/>
        <w:drawing>
          <wp:inline distT="0" distB="0" distL="0" distR="0">
            <wp:extent cx="3956488" cy="3016462"/>
            <wp:effectExtent l="0" t="0" r="635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RD.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956488" cy="3016462"/>
                    </a:xfrm>
                    <a:prstGeom prst="rect">
                      <a:avLst/>
                    </a:prstGeom>
                  </pic:spPr>
                </pic:pic>
              </a:graphicData>
            </a:graphic>
          </wp:inline>
        </w:drawing>
      </w:r>
    </w:p>
    <w:p w:rsidR="00194680" w:rsidRPr="0086281A" w:rsidRDefault="00194680" w:rsidP="00B26BF2">
      <w:pPr>
        <w:rPr>
          <w:rFonts w:ascii="Calibri" w:hAnsi="Calibri" w:cs="Times"/>
          <w:b/>
          <w:color w:val="000000"/>
          <w:lang w:val="en-GB"/>
        </w:rPr>
      </w:pPr>
      <w:r>
        <w:rPr>
          <w:rFonts w:ascii="Calibri" w:hAnsi="Calibri" w:cs="Times"/>
          <w:b/>
          <w:noProof/>
          <w:color w:val="000000"/>
          <w:lang w:val="fr-BE" w:eastAsia="fr-BE"/>
        </w:rPr>
        <w:drawing>
          <wp:inline distT="0" distB="0" distL="0" distR="0">
            <wp:extent cx="3888528" cy="297194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KD-EPI.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889410" cy="2972615"/>
                    </a:xfrm>
                    <a:prstGeom prst="rect">
                      <a:avLst/>
                    </a:prstGeom>
                  </pic:spPr>
                </pic:pic>
              </a:graphicData>
            </a:graphic>
          </wp:inline>
        </w:drawing>
      </w:r>
      <w:bookmarkStart w:id="0" w:name="_GoBack"/>
      <w:bookmarkEnd w:id="0"/>
    </w:p>
    <w:sectPr w:rsidR="00194680" w:rsidRPr="0086281A" w:rsidSect="00002088">
      <w:footerReference w:type="even" r:id="rId12"/>
      <w:footerReference w:type="default" r:id="rId13"/>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698" w:rsidRDefault="00F25698" w:rsidP="00DA6246">
      <w:r>
        <w:separator/>
      </w:r>
    </w:p>
  </w:endnote>
  <w:endnote w:type="continuationSeparator" w:id="0">
    <w:p w:rsidR="00F25698" w:rsidRDefault="00F25698" w:rsidP="00DA62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535" w:rsidRDefault="00727535" w:rsidP="00DA62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27535" w:rsidRDefault="00727535" w:rsidP="001559CC">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535" w:rsidRDefault="00727535" w:rsidP="00DA62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178B9">
      <w:rPr>
        <w:rStyle w:val="Numrodepage"/>
        <w:noProof/>
      </w:rPr>
      <w:t>10</w:t>
    </w:r>
    <w:r>
      <w:rPr>
        <w:rStyle w:val="Numrodepage"/>
      </w:rPr>
      <w:fldChar w:fldCharType="end"/>
    </w:r>
  </w:p>
  <w:p w:rsidR="00727535" w:rsidRDefault="00727535" w:rsidP="00DA6246">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698" w:rsidRDefault="00F25698" w:rsidP="00DA6246">
      <w:r>
        <w:separator/>
      </w:r>
    </w:p>
  </w:footnote>
  <w:footnote w:type="continuationSeparator" w:id="0">
    <w:p w:rsidR="00F25698" w:rsidRDefault="00F25698" w:rsidP="00DA6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73912"/>
    <w:multiLevelType w:val="hybridMultilevel"/>
    <w:tmpl w:val="8D1AB0D4"/>
    <w:lvl w:ilvl="0" w:tplc="6EE0F5F6">
      <w:start w:val="50"/>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7A438D"/>
    <w:multiLevelType w:val="hybridMultilevel"/>
    <w:tmpl w:val="365486F8"/>
    <w:lvl w:ilvl="0" w:tplc="3C281F82">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AA05FA"/>
    <w:multiLevelType w:val="hybridMultilevel"/>
    <w:tmpl w:val="C72684E6"/>
    <w:lvl w:ilvl="0" w:tplc="000F040C">
      <w:start w:val="1"/>
      <w:numFmt w:val="decimal"/>
      <w:lvlText w:val="%1."/>
      <w:lvlJc w:val="left"/>
      <w:pPr>
        <w:ind w:left="720" w:hanging="360"/>
      </w:pPr>
    </w:lvl>
    <w:lvl w:ilvl="1" w:tplc="0019040C">
      <w:start w:val="1"/>
      <w:numFmt w:val="decimal"/>
      <w:lvlText w:val="%2."/>
      <w:lvlJc w:val="left"/>
      <w:pPr>
        <w:tabs>
          <w:tab w:val="num" w:pos="1440"/>
        </w:tabs>
        <w:ind w:left="1440" w:hanging="360"/>
      </w:pPr>
    </w:lvl>
    <w:lvl w:ilvl="2" w:tplc="001B040C">
      <w:start w:val="1"/>
      <w:numFmt w:val="decimal"/>
      <w:lvlText w:val="%3."/>
      <w:lvlJc w:val="left"/>
      <w:pPr>
        <w:tabs>
          <w:tab w:val="num" w:pos="2160"/>
        </w:tabs>
        <w:ind w:left="2160" w:hanging="360"/>
      </w:pPr>
    </w:lvl>
    <w:lvl w:ilvl="3" w:tplc="000F040C">
      <w:start w:val="1"/>
      <w:numFmt w:val="decimal"/>
      <w:lvlText w:val="%4."/>
      <w:lvlJc w:val="left"/>
      <w:pPr>
        <w:tabs>
          <w:tab w:val="num" w:pos="2880"/>
        </w:tabs>
        <w:ind w:left="2880" w:hanging="360"/>
      </w:pPr>
    </w:lvl>
    <w:lvl w:ilvl="4" w:tplc="0019040C">
      <w:start w:val="1"/>
      <w:numFmt w:val="decimal"/>
      <w:lvlText w:val="%5."/>
      <w:lvlJc w:val="left"/>
      <w:pPr>
        <w:tabs>
          <w:tab w:val="num" w:pos="3600"/>
        </w:tabs>
        <w:ind w:left="3600" w:hanging="360"/>
      </w:pPr>
    </w:lvl>
    <w:lvl w:ilvl="5" w:tplc="001B040C">
      <w:start w:val="1"/>
      <w:numFmt w:val="decimal"/>
      <w:lvlText w:val="%6."/>
      <w:lvlJc w:val="left"/>
      <w:pPr>
        <w:tabs>
          <w:tab w:val="num" w:pos="4320"/>
        </w:tabs>
        <w:ind w:left="4320" w:hanging="360"/>
      </w:pPr>
    </w:lvl>
    <w:lvl w:ilvl="6" w:tplc="000F040C">
      <w:start w:val="1"/>
      <w:numFmt w:val="decimal"/>
      <w:lvlText w:val="%7."/>
      <w:lvlJc w:val="left"/>
      <w:pPr>
        <w:tabs>
          <w:tab w:val="num" w:pos="5040"/>
        </w:tabs>
        <w:ind w:left="5040" w:hanging="360"/>
      </w:pPr>
    </w:lvl>
    <w:lvl w:ilvl="7" w:tplc="0019040C">
      <w:start w:val="1"/>
      <w:numFmt w:val="decimal"/>
      <w:lvlText w:val="%8."/>
      <w:lvlJc w:val="left"/>
      <w:pPr>
        <w:tabs>
          <w:tab w:val="num" w:pos="5760"/>
        </w:tabs>
        <w:ind w:left="5760" w:hanging="360"/>
      </w:pPr>
    </w:lvl>
    <w:lvl w:ilvl="8" w:tplc="001B040C">
      <w:start w:val="1"/>
      <w:numFmt w:val="decimal"/>
      <w:lvlText w:val="%9."/>
      <w:lvlJc w:val="left"/>
      <w:pPr>
        <w:tabs>
          <w:tab w:val="num" w:pos="6480"/>
        </w:tabs>
        <w:ind w:left="6480" w:hanging="360"/>
      </w:pPr>
    </w:lvl>
  </w:abstractNum>
  <w:abstractNum w:abstractNumId="3">
    <w:nsid w:val="73A60633"/>
    <w:multiLevelType w:val="hybridMultilevel"/>
    <w:tmpl w:val="4B6E3DA0"/>
    <w:lvl w:ilvl="0" w:tplc="7C5A2FEE">
      <w:start w:val="366"/>
      <w:numFmt w:val="bullet"/>
      <w:lvlText w:val=""/>
      <w:lvlJc w:val="left"/>
      <w:pPr>
        <w:ind w:left="720" w:hanging="360"/>
      </w:pPr>
      <w:rPr>
        <w:rFonts w:ascii="Symbol" w:eastAsiaTheme="minorEastAsia" w:hAnsi="Symbol" w:cs="Times"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4E1D2E"/>
    <w:multiLevelType w:val="hybridMultilevel"/>
    <w:tmpl w:val="9BEE87D6"/>
    <w:lvl w:ilvl="0" w:tplc="C6CE5AE6">
      <w:start w:val="45"/>
      <w:numFmt w:val="bullet"/>
      <w:lvlText w:val="-"/>
      <w:lvlJc w:val="left"/>
      <w:pPr>
        <w:ind w:left="720" w:hanging="360"/>
      </w:pPr>
      <w:rPr>
        <w:rFonts w:ascii="Helvetica" w:eastAsiaTheme="minorEastAsia" w:hAnsi="Helvetica" w:cs="Helvetica" w:hint="default"/>
        <w:sz w:val="2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705C3F"/>
    <w:multiLevelType w:val="hybridMultilevel"/>
    <w:tmpl w:val="F72AA49A"/>
    <w:lvl w:ilvl="0" w:tplc="4A9A8EC0">
      <w:numFmt w:val="bullet"/>
      <w:lvlText w:val="-"/>
      <w:lvlJc w:val="left"/>
      <w:pPr>
        <w:ind w:left="720" w:hanging="360"/>
      </w:pPr>
      <w:rPr>
        <w:rFonts w:ascii="Calibri" w:eastAsiaTheme="minorEastAsia" w:hAnsi="Calibri" w:cs="Time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é Scheen">
    <w15:presenceInfo w15:providerId="None" w15:userId="André Sche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B34EAA"/>
    <w:rsid w:val="0000135A"/>
    <w:rsid w:val="00002088"/>
    <w:rsid w:val="000105CB"/>
    <w:rsid w:val="0001074A"/>
    <w:rsid w:val="0001787C"/>
    <w:rsid w:val="0002249E"/>
    <w:rsid w:val="0002594A"/>
    <w:rsid w:val="00027CC0"/>
    <w:rsid w:val="000325A7"/>
    <w:rsid w:val="000354AC"/>
    <w:rsid w:val="00041A94"/>
    <w:rsid w:val="00043B1B"/>
    <w:rsid w:val="00050EE5"/>
    <w:rsid w:val="0005310A"/>
    <w:rsid w:val="00053597"/>
    <w:rsid w:val="00061B74"/>
    <w:rsid w:val="00063AEE"/>
    <w:rsid w:val="00065D28"/>
    <w:rsid w:val="00066DB3"/>
    <w:rsid w:val="00072935"/>
    <w:rsid w:val="00075C30"/>
    <w:rsid w:val="00080B47"/>
    <w:rsid w:val="00083ADC"/>
    <w:rsid w:val="00084D3D"/>
    <w:rsid w:val="0008530F"/>
    <w:rsid w:val="000909CB"/>
    <w:rsid w:val="00092BBA"/>
    <w:rsid w:val="00093EC0"/>
    <w:rsid w:val="00095398"/>
    <w:rsid w:val="00095C12"/>
    <w:rsid w:val="000A1220"/>
    <w:rsid w:val="000B0A94"/>
    <w:rsid w:val="000C0A39"/>
    <w:rsid w:val="000C16D3"/>
    <w:rsid w:val="000D1D30"/>
    <w:rsid w:val="000D224D"/>
    <w:rsid w:val="000D4A59"/>
    <w:rsid w:val="000E517E"/>
    <w:rsid w:val="000E5772"/>
    <w:rsid w:val="000F038A"/>
    <w:rsid w:val="000F1279"/>
    <w:rsid w:val="000F19CD"/>
    <w:rsid w:val="000F3D77"/>
    <w:rsid w:val="000F5E82"/>
    <w:rsid w:val="000F68D5"/>
    <w:rsid w:val="001026C2"/>
    <w:rsid w:val="0010333B"/>
    <w:rsid w:val="001071EA"/>
    <w:rsid w:val="00112209"/>
    <w:rsid w:val="00113182"/>
    <w:rsid w:val="001139AC"/>
    <w:rsid w:val="001206CB"/>
    <w:rsid w:val="001209EF"/>
    <w:rsid w:val="00121994"/>
    <w:rsid w:val="001254C6"/>
    <w:rsid w:val="00132546"/>
    <w:rsid w:val="0013511F"/>
    <w:rsid w:val="00142078"/>
    <w:rsid w:val="001425B5"/>
    <w:rsid w:val="00142E33"/>
    <w:rsid w:val="00146750"/>
    <w:rsid w:val="00146B8A"/>
    <w:rsid w:val="00146CAC"/>
    <w:rsid w:val="00150ED2"/>
    <w:rsid w:val="0015147C"/>
    <w:rsid w:val="00153880"/>
    <w:rsid w:val="001559CC"/>
    <w:rsid w:val="001559F6"/>
    <w:rsid w:val="001563B1"/>
    <w:rsid w:val="00160403"/>
    <w:rsid w:val="00160A35"/>
    <w:rsid w:val="0016133B"/>
    <w:rsid w:val="00163104"/>
    <w:rsid w:val="001641E7"/>
    <w:rsid w:val="0016452B"/>
    <w:rsid w:val="00166C82"/>
    <w:rsid w:val="00170C93"/>
    <w:rsid w:val="0017381F"/>
    <w:rsid w:val="00174C42"/>
    <w:rsid w:val="00175049"/>
    <w:rsid w:val="001755E0"/>
    <w:rsid w:val="0017674D"/>
    <w:rsid w:val="00182D70"/>
    <w:rsid w:val="00184353"/>
    <w:rsid w:val="0018438B"/>
    <w:rsid w:val="001849D6"/>
    <w:rsid w:val="0018635A"/>
    <w:rsid w:val="001870CF"/>
    <w:rsid w:val="001907D7"/>
    <w:rsid w:val="00192341"/>
    <w:rsid w:val="00193AB5"/>
    <w:rsid w:val="00194108"/>
    <w:rsid w:val="00194680"/>
    <w:rsid w:val="001951E6"/>
    <w:rsid w:val="0019586C"/>
    <w:rsid w:val="001960E2"/>
    <w:rsid w:val="001A12C9"/>
    <w:rsid w:val="001A3DC9"/>
    <w:rsid w:val="001A55C9"/>
    <w:rsid w:val="001A5EAD"/>
    <w:rsid w:val="001B056C"/>
    <w:rsid w:val="001B0C98"/>
    <w:rsid w:val="001B1B31"/>
    <w:rsid w:val="001B222A"/>
    <w:rsid w:val="001B7F92"/>
    <w:rsid w:val="001B7FA0"/>
    <w:rsid w:val="001C0BDC"/>
    <w:rsid w:val="001C1050"/>
    <w:rsid w:val="001C1872"/>
    <w:rsid w:val="001C19E8"/>
    <w:rsid w:val="001C2B18"/>
    <w:rsid w:val="001C46A3"/>
    <w:rsid w:val="001D0EA7"/>
    <w:rsid w:val="001D124D"/>
    <w:rsid w:val="001D1BB5"/>
    <w:rsid w:val="001D544B"/>
    <w:rsid w:val="001D5788"/>
    <w:rsid w:val="001D5DD4"/>
    <w:rsid w:val="001E0291"/>
    <w:rsid w:val="001E1637"/>
    <w:rsid w:val="001E59CD"/>
    <w:rsid w:val="001F0A0A"/>
    <w:rsid w:val="001F5B94"/>
    <w:rsid w:val="001F7CB6"/>
    <w:rsid w:val="00203E26"/>
    <w:rsid w:val="0020420E"/>
    <w:rsid w:val="00212A6C"/>
    <w:rsid w:val="0021403D"/>
    <w:rsid w:val="0021456E"/>
    <w:rsid w:val="0021516F"/>
    <w:rsid w:val="00215A3B"/>
    <w:rsid w:val="00215E7F"/>
    <w:rsid w:val="00215ECB"/>
    <w:rsid w:val="0021716D"/>
    <w:rsid w:val="00223E22"/>
    <w:rsid w:val="00226D5A"/>
    <w:rsid w:val="00227AB7"/>
    <w:rsid w:val="0023063B"/>
    <w:rsid w:val="00231198"/>
    <w:rsid w:val="00233F41"/>
    <w:rsid w:val="00240C9F"/>
    <w:rsid w:val="00241F6A"/>
    <w:rsid w:val="00253352"/>
    <w:rsid w:val="00253B55"/>
    <w:rsid w:val="00255904"/>
    <w:rsid w:val="0026212C"/>
    <w:rsid w:val="00263C28"/>
    <w:rsid w:val="00264653"/>
    <w:rsid w:val="002753C0"/>
    <w:rsid w:val="0028385E"/>
    <w:rsid w:val="002849BB"/>
    <w:rsid w:val="0029274C"/>
    <w:rsid w:val="002940D8"/>
    <w:rsid w:val="002946ED"/>
    <w:rsid w:val="002956AD"/>
    <w:rsid w:val="002A0C8D"/>
    <w:rsid w:val="002A1F08"/>
    <w:rsid w:val="002A227B"/>
    <w:rsid w:val="002A46FA"/>
    <w:rsid w:val="002A5F56"/>
    <w:rsid w:val="002A6132"/>
    <w:rsid w:val="002A69D2"/>
    <w:rsid w:val="002B1834"/>
    <w:rsid w:val="002B2EB8"/>
    <w:rsid w:val="002B3C69"/>
    <w:rsid w:val="002B67A9"/>
    <w:rsid w:val="002C1D9E"/>
    <w:rsid w:val="002D0DF1"/>
    <w:rsid w:val="002D16AC"/>
    <w:rsid w:val="002D1C6E"/>
    <w:rsid w:val="002E1400"/>
    <w:rsid w:val="002E47CF"/>
    <w:rsid w:val="002F125B"/>
    <w:rsid w:val="002F1CC1"/>
    <w:rsid w:val="002F2011"/>
    <w:rsid w:val="002F4514"/>
    <w:rsid w:val="002F4CA8"/>
    <w:rsid w:val="002F5B84"/>
    <w:rsid w:val="002F659F"/>
    <w:rsid w:val="003008D7"/>
    <w:rsid w:val="00301FB7"/>
    <w:rsid w:val="00302362"/>
    <w:rsid w:val="00302409"/>
    <w:rsid w:val="003028FD"/>
    <w:rsid w:val="00311001"/>
    <w:rsid w:val="00311879"/>
    <w:rsid w:val="0032099F"/>
    <w:rsid w:val="003213C8"/>
    <w:rsid w:val="003266B9"/>
    <w:rsid w:val="00335825"/>
    <w:rsid w:val="003359C9"/>
    <w:rsid w:val="0033625C"/>
    <w:rsid w:val="00336C63"/>
    <w:rsid w:val="00341911"/>
    <w:rsid w:val="00343AFF"/>
    <w:rsid w:val="00344150"/>
    <w:rsid w:val="00346199"/>
    <w:rsid w:val="00346C4E"/>
    <w:rsid w:val="00347383"/>
    <w:rsid w:val="00347B91"/>
    <w:rsid w:val="00347C16"/>
    <w:rsid w:val="00350002"/>
    <w:rsid w:val="00350857"/>
    <w:rsid w:val="00350AFC"/>
    <w:rsid w:val="00352530"/>
    <w:rsid w:val="00352FB1"/>
    <w:rsid w:val="00353D72"/>
    <w:rsid w:val="003565C7"/>
    <w:rsid w:val="003573A4"/>
    <w:rsid w:val="003574DE"/>
    <w:rsid w:val="00360FDD"/>
    <w:rsid w:val="00361CCB"/>
    <w:rsid w:val="00362209"/>
    <w:rsid w:val="00362FA4"/>
    <w:rsid w:val="0037483C"/>
    <w:rsid w:val="0038157F"/>
    <w:rsid w:val="003819B0"/>
    <w:rsid w:val="003946CE"/>
    <w:rsid w:val="003952AB"/>
    <w:rsid w:val="003A106D"/>
    <w:rsid w:val="003A11CA"/>
    <w:rsid w:val="003A3498"/>
    <w:rsid w:val="003A3A2F"/>
    <w:rsid w:val="003A6E9F"/>
    <w:rsid w:val="003B1DB8"/>
    <w:rsid w:val="003B3A50"/>
    <w:rsid w:val="003B3D43"/>
    <w:rsid w:val="003B63FE"/>
    <w:rsid w:val="003B7493"/>
    <w:rsid w:val="003C0E75"/>
    <w:rsid w:val="003C1CC7"/>
    <w:rsid w:val="003C263A"/>
    <w:rsid w:val="003C3581"/>
    <w:rsid w:val="003C39E7"/>
    <w:rsid w:val="003C42F1"/>
    <w:rsid w:val="003C4CB8"/>
    <w:rsid w:val="003C5DA1"/>
    <w:rsid w:val="003D4E1A"/>
    <w:rsid w:val="003E4748"/>
    <w:rsid w:val="003E4ECA"/>
    <w:rsid w:val="003E71F1"/>
    <w:rsid w:val="003E7575"/>
    <w:rsid w:val="003F2394"/>
    <w:rsid w:val="003F251A"/>
    <w:rsid w:val="003F4022"/>
    <w:rsid w:val="003F4980"/>
    <w:rsid w:val="003F6082"/>
    <w:rsid w:val="00400579"/>
    <w:rsid w:val="00400783"/>
    <w:rsid w:val="00403D54"/>
    <w:rsid w:val="00403ED1"/>
    <w:rsid w:val="0040619C"/>
    <w:rsid w:val="00411D9F"/>
    <w:rsid w:val="004127A2"/>
    <w:rsid w:val="004133DA"/>
    <w:rsid w:val="00423A9A"/>
    <w:rsid w:val="0042478D"/>
    <w:rsid w:val="004256A3"/>
    <w:rsid w:val="00426202"/>
    <w:rsid w:val="00431035"/>
    <w:rsid w:val="004345B6"/>
    <w:rsid w:val="004352B8"/>
    <w:rsid w:val="004372CC"/>
    <w:rsid w:val="00440D46"/>
    <w:rsid w:val="00444498"/>
    <w:rsid w:val="00444C09"/>
    <w:rsid w:val="004454D8"/>
    <w:rsid w:val="004468F6"/>
    <w:rsid w:val="0045089A"/>
    <w:rsid w:val="00453038"/>
    <w:rsid w:val="00453660"/>
    <w:rsid w:val="00456635"/>
    <w:rsid w:val="0045697E"/>
    <w:rsid w:val="00456BB6"/>
    <w:rsid w:val="0046722C"/>
    <w:rsid w:val="00467657"/>
    <w:rsid w:val="0047215A"/>
    <w:rsid w:val="00473B06"/>
    <w:rsid w:val="00474060"/>
    <w:rsid w:val="0047571C"/>
    <w:rsid w:val="00476AC2"/>
    <w:rsid w:val="0048172E"/>
    <w:rsid w:val="004859EC"/>
    <w:rsid w:val="00494E84"/>
    <w:rsid w:val="004977B1"/>
    <w:rsid w:val="004A06BD"/>
    <w:rsid w:val="004A4170"/>
    <w:rsid w:val="004A56A9"/>
    <w:rsid w:val="004A5AEC"/>
    <w:rsid w:val="004A74BD"/>
    <w:rsid w:val="004B0F3A"/>
    <w:rsid w:val="004B541D"/>
    <w:rsid w:val="004B62F3"/>
    <w:rsid w:val="004B7994"/>
    <w:rsid w:val="004C4C54"/>
    <w:rsid w:val="004C5E71"/>
    <w:rsid w:val="004C6CEE"/>
    <w:rsid w:val="004D23D2"/>
    <w:rsid w:val="004D7800"/>
    <w:rsid w:val="004E1EC8"/>
    <w:rsid w:val="004E40F5"/>
    <w:rsid w:val="004E4154"/>
    <w:rsid w:val="004E79B7"/>
    <w:rsid w:val="004E7AC7"/>
    <w:rsid w:val="004F5F1E"/>
    <w:rsid w:val="004F6334"/>
    <w:rsid w:val="004F7DBD"/>
    <w:rsid w:val="00501046"/>
    <w:rsid w:val="00503E1C"/>
    <w:rsid w:val="0050478C"/>
    <w:rsid w:val="005075ED"/>
    <w:rsid w:val="00507625"/>
    <w:rsid w:val="00510BFF"/>
    <w:rsid w:val="00511915"/>
    <w:rsid w:val="00523E77"/>
    <w:rsid w:val="00523FC4"/>
    <w:rsid w:val="0052482A"/>
    <w:rsid w:val="00527A82"/>
    <w:rsid w:val="00531B56"/>
    <w:rsid w:val="00535193"/>
    <w:rsid w:val="00535326"/>
    <w:rsid w:val="005361C6"/>
    <w:rsid w:val="00536A8E"/>
    <w:rsid w:val="0053767B"/>
    <w:rsid w:val="00543383"/>
    <w:rsid w:val="0054434A"/>
    <w:rsid w:val="00547DFB"/>
    <w:rsid w:val="005539CC"/>
    <w:rsid w:val="00556E96"/>
    <w:rsid w:val="0056254E"/>
    <w:rsid w:val="00562E23"/>
    <w:rsid w:val="00562F49"/>
    <w:rsid w:val="00565D7D"/>
    <w:rsid w:val="005719D0"/>
    <w:rsid w:val="005728C4"/>
    <w:rsid w:val="00574416"/>
    <w:rsid w:val="005754B8"/>
    <w:rsid w:val="00576530"/>
    <w:rsid w:val="0058477F"/>
    <w:rsid w:val="00584D6F"/>
    <w:rsid w:val="0058758B"/>
    <w:rsid w:val="00597105"/>
    <w:rsid w:val="005A15F2"/>
    <w:rsid w:val="005A56EB"/>
    <w:rsid w:val="005A7117"/>
    <w:rsid w:val="005A7F41"/>
    <w:rsid w:val="005B1DAA"/>
    <w:rsid w:val="005B25AF"/>
    <w:rsid w:val="005B6E85"/>
    <w:rsid w:val="005B7899"/>
    <w:rsid w:val="005C0DC3"/>
    <w:rsid w:val="005C15CE"/>
    <w:rsid w:val="005C17A7"/>
    <w:rsid w:val="005C2378"/>
    <w:rsid w:val="005C2673"/>
    <w:rsid w:val="005C7FED"/>
    <w:rsid w:val="005D00AF"/>
    <w:rsid w:val="005D0BDB"/>
    <w:rsid w:val="005D1D7F"/>
    <w:rsid w:val="005D2644"/>
    <w:rsid w:val="005D36DC"/>
    <w:rsid w:val="005D7B5A"/>
    <w:rsid w:val="005E17E6"/>
    <w:rsid w:val="005E2F84"/>
    <w:rsid w:val="005E5537"/>
    <w:rsid w:val="005F3F4C"/>
    <w:rsid w:val="005F54BA"/>
    <w:rsid w:val="005F5791"/>
    <w:rsid w:val="005F5DA3"/>
    <w:rsid w:val="00600FBE"/>
    <w:rsid w:val="00601C09"/>
    <w:rsid w:val="00601D44"/>
    <w:rsid w:val="00601FBA"/>
    <w:rsid w:val="00603D66"/>
    <w:rsid w:val="006062DD"/>
    <w:rsid w:val="0060656E"/>
    <w:rsid w:val="00607004"/>
    <w:rsid w:val="00615BF3"/>
    <w:rsid w:val="00615DF5"/>
    <w:rsid w:val="0062269D"/>
    <w:rsid w:val="00623EE8"/>
    <w:rsid w:val="00624D9E"/>
    <w:rsid w:val="0063241A"/>
    <w:rsid w:val="00634D80"/>
    <w:rsid w:val="006351AF"/>
    <w:rsid w:val="0063581E"/>
    <w:rsid w:val="00635D6E"/>
    <w:rsid w:val="00636758"/>
    <w:rsid w:val="006478D0"/>
    <w:rsid w:val="006479B0"/>
    <w:rsid w:val="00647DBF"/>
    <w:rsid w:val="0065100B"/>
    <w:rsid w:val="00652C4D"/>
    <w:rsid w:val="00652F32"/>
    <w:rsid w:val="006554F9"/>
    <w:rsid w:val="0065556D"/>
    <w:rsid w:val="00656205"/>
    <w:rsid w:val="0066450B"/>
    <w:rsid w:val="00664FF5"/>
    <w:rsid w:val="0066598C"/>
    <w:rsid w:val="006666AC"/>
    <w:rsid w:val="00666DE7"/>
    <w:rsid w:val="00666FE8"/>
    <w:rsid w:val="00671CD9"/>
    <w:rsid w:val="00676796"/>
    <w:rsid w:val="00684AEB"/>
    <w:rsid w:val="00690B46"/>
    <w:rsid w:val="00691A63"/>
    <w:rsid w:val="00692FC8"/>
    <w:rsid w:val="00696146"/>
    <w:rsid w:val="0069690F"/>
    <w:rsid w:val="006A0445"/>
    <w:rsid w:val="006A2DC6"/>
    <w:rsid w:val="006A2E6A"/>
    <w:rsid w:val="006A6860"/>
    <w:rsid w:val="006A7DE9"/>
    <w:rsid w:val="006B0A73"/>
    <w:rsid w:val="006B0C23"/>
    <w:rsid w:val="006B149E"/>
    <w:rsid w:val="006B3461"/>
    <w:rsid w:val="006B42BF"/>
    <w:rsid w:val="006B7EE2"/>
    <w:rsid w:val="006B7F56"/>
    <w:rsid w:val="006C0A06"/>
    <w:rsid w:val="006C33B2"/>
    <w:rsid w:val="006C60B6"/>
    <w:rsid w:val="006D0D50"/>
    <w:rsid w:val="006D12DB"/>
    <w:rsid w:val="006D2816"/>
    <w:rsid w:val="006D4F40"/>
    <w:rsid w:val="006E0568"/>
    <w:rsid w:val="006E09CF"/>
    <w:rsid w:val="006E166F"/>
    <w:rsid w:val="006E668B"/>
    <w:rsid w:val="006E7E7C"/>
    <w:rsid w:val="006F24D2"/>
    <w:rsid w:val="006F2CC2"/>
    <w:rsid w:val="006F4E49"/>
    <w:rsid w:val="006F6E8D"/>
    <w:rsid w:val="00701F44"/>
    <w:rsid w:val="007039F1"/>
    <w:rsid w:val="007053B4"/>
    <w:rsid w:val="00707ACC"/>
    <w:rsid w:val="00707C62"/>
    <w:rsid w:val="007109F4"/>
    <w:rsid w:val="00715CB6"/>
    <w:rsid w:val="00715DF1"/>
    <w:rsid w:val="0071773E"/>
    <w:rsid w:val="00721E93"/>
    <w:rsid w:val="0072239C"/>
    <w:rsid w:val="0072299A"/>
    <w:rsid w:val="007230D8"/>
    <w:rsid w:val="007242D9"/>
    <w:rsid w:val="00727535"/>
    <w:rsid w:val="00727E1B"/>
    <w:rsid w:val="00731312"/>
    <w:rsid w:val="00734173"/>
    <w:rsid w:val="00735006"/>
    <w:rsid w:val="007358FD"/>
    <w:rsid w:val="00736567"/>
    <w:rsid w:val="00736BA7"/>
    <w:rsid w:val="00741778"/>
    <w:rsid w:val="00743960"/>
    <w:rsid w:val="00743CEF"/>
    <w:rsid w:val="007442CA"/>
    <w:rsid w:val="00744DE4"/>
    <w:rsid w:val="0075207F"/>
    <w:rsid w:val="0075233D"/>
    <w:rsid w:val="0075358D"/>
    <w:rsid w:val="007537CB"/>
    <w:rsid w:val="00754D7B"/>
    <w:rsid w:val="007566A4"/>
    <w:rsid w:val="007575C7"/>
    <w:rsid w:val="007612D4"/>
    <w:rsid w:val="007615BB"/>
    <w:rsid w:val="00763EF7"/>
    <w:rsid w:val="00764E3C"/>
    <w:rsid w:val="007658F4"/>
    <w:rsid w:val="00765D56"/>
    <w:rsid w:val="00766B7D"/>
    <w:rsid w:val="0077030D"/>
    <w:rsid w:val="007706DC"/>
    <w:rsid w:val="00776CA3"/>
    <w:rsid w:val="00777D1E"/>
    <w:rsid w:val="00780965"/>
    <w:rsid w:val="00783B83"/>
    <w:rsid w:val="0079081B"/>
    <w:rsid w:val="007919F5"/>
    <w:rsid w:val="0079479F"/>
    <w:rsid w:val="00794E4C"/>
    <w:rsid w:val="007960AA"/>
    <w:rsid w:val="007A06FD"/>
    <w:rsid w:val="007A1383"/>
    <w:rsid w:val="007B0969"/>
    <w:rsid w:val="007B121C"/>
    <w:rsid w:val="007B7B55"/>
    <w:rsid w:val="007C0E2E"/>
    <w:rsid w:val="007C10AF"/>
    <w:rsid w:val="007C1F5B"/>
    <w:rsid w:val="007C2BF1"/>
    <w:rsid w:val="007C311C"/>
    <w:rsid w:val="007C53C3"/>
    <w:rsid w:val="007C6FAC"/>
    <w:rsid w:val="007D48C3"/>
    <w:rsid w:val="007E05BF"/>
    <w:rsid w:val="007E3450"/>
    <w:rsid w:val="007E55E1"/>
    <w:rsid w:val="007E596E"/>
    <w:rsid w:val="007F0DAD"/>
    <w:rsid w:val="007F17D8"/>
    <w:rsid w:val="007F3424"/>
    <w:rsid w:val="007F4896"/>
    <w:rsid w:val="007F4B14"/>
    <w:rsid w:val="008008C7"/>
    <w:rsid w:val="008009BC"/>
    <w:rsid w:val="00800F46"/>
    <w:rsid w:val="008017DF"/>
    <w:rsid w:val="00801DB0"/>
    <w:rsid w:val="00805AA5"/>
    <w:rsid w:val="00805FB0"/>
    <w:rsid w:val="00816EB7"/>
    <w:rsid w:val="00824230"/>
    <w:rsid w:val="00824817"/>
    <w:rsid w:val="00824F6F"/>
    <w:rsid w:val="008272FF"/>
    <w:rsid w:val="008275F1"/>
    <w:rsid w:val="0083055F"/>
    <w:rsid w:val="008311CB"/>
    <w:rsid w:val="008328DD"/>
    <w:rsid w:val="008331CD"/>
    <w:rsid w:val="008348C3"/>
    <w:rsid w:val="00836AB9"/>
    <w:rsid w:val="00841098"/>
    <w:rsid w:val="00843D3C"/>
    <w:rsid w:val="00847C86"/>
    <w:rsid w:val="00853E06"/>
    <w:rsid w:val="0085643E"/>
    <w:rsid w:val="0085743C"/>
    <w:rsid w:val="00860444"/>
    <w:rsid w:val="0086281A"/>
    <w:rsid w:val="00866AEA"/>
    <w:rsid w:val="008679B8"/>
    <w:rsid w:val="008707C1"/>
    <w:rsid w:val="0087099C"/>
    <w:rsid w:val="008727E8"/>
    <w:rsid w:val="00872DBE"/>
    <w:rsid w:val="008730C9"/>
    <w:rsid w:val="00883001"/>
    <w:rsid w:val="00884A88"/>
    <w:rsid w:val="008860F3"/>
    <w:rsid w:val="0089393B"/>
    <w:rsid w:val="00895D11"/>
    <w:rsid w:val="00895D9C"/>
    <w:rsid w:val="008961B1"/>
    <w:rsid w:val="008A2717"/>
    <w:rsid w:val="008A3C1D"/>
    <w:rsid w:val="008A5321"/>
    <w:rsid w:val="008A55FA"/>
    <w:rsid w:val="008A5DBF"/>
    <w:rsid w:val="008B314E"/>
    <w:rsid w:val="008B4D72"/>
    <w:rsid w:val="008B4F46"/>
    <w:rsid w:val="008B5658"/>
    <w:rsid w:val="008B7566"/>
    <w:rsid w:val="008C0281"/>
    <w:rsid w:val="008C22DE"/>
    <w:rsid w:val="008C391A"/>
    <w:rsid w:val="008C6479"/>
    <w:rsid w:val="008D00A9"/>
    <w:rsid w:val="008D04B7"/>
    <w:rsid w:val="008D35E6"/>
    <w:rsid w:val="008D35F6"/>
    <w:rsid w:val="008D3867"/>
    <w:rsid w:val="008D529F"/>
    <w:rsid w:val="008D61FC"/>
    <w:rsid w:val="008E09B6"/>
    <w:rsid w:val="008E13C8"/>
    <w:rsid w:val="008E3A2C"/>
    <w:rsid w:val="008E6410"/>
    <w:rsid w:val="008E712D"/>
    <w:rsid w:val="008E7879"/>
    <w:rsid w:val="008F1237"/>
    <w:rsid w:val="008F2793"/>
    <w:rsid w:val="008F55D7"/>
    <w:rsid w:val="008F5A9B"/>
    <w:rsid w:val="008F5EC1"/>
    <w:rsid w:val="008F6B75"/>
    <w:rsid w:val="009000BC"/>
    <w:rsid w:val="009010BB"/>
    <w:rsid w:val="00903260"/>
    <w:rsid w:val="00903291"/>
    <w:rsid w:val="00905CF6"/>
    <w:rsid w:val="00906757"/>
    <w:rsid w:val="009075E8"/>
    <w:rsid w:val="009119C7"/>
    <w:rsid w:val="0092030D"/>
    <w:rsid w:val="009253D6"/>
    <w:rsid w:val="0093261C"/>
    <w:rsid w:val="00936FD1"/>
    <w:rsid w:val="00937D3D"/>
    <w:rsid w:val="00942D16"/>
    <w:rsid w:val="00951994"/>
    <w:rsid w:val="0095486E"/>
    <w:rsid w:val="00955598"/>
    <w:rsid w:val="009563E3"/>
    <w:rsid w:val="00960DB6"/>
    <w:rsid w:val="0096108B"/>
    <w:rsid w:val="00961F3F"/>
    <w:rsid w:val="009703E6"/>
    <w:rsid w:val="00972CA1"/>
    <w:rsid w:val="0098478B"/>
    <w:rsid w:val="009852DE"/>
    <w:rsid w:val="00990D2E"/>
    <w:rsid w:val="00991343"/>
    <w:rsid w:val="009937F8"/>
    <w:rsid w:val="00993902"/>
    <w:rsid w:val="00994243"/>
    <w:rsid w:val="009947DC"/>
    <w:rsid w:val="00996BA7"/>
    <w:rsid w:val="009A11B1"/>
    <w:rsid w:val="009A13E8"/>
    <w:rsid w:val="009A1650"/>
    <w:rsid w:val="009A1910"/>
    <w:rsid w:val="009A26E6"/>
    <w:rsid w:val="009A5A63"/>
    <w:rsid w:val="009B5602"/>
    <w:rsid w:val="009B6152"/>
    <w:rsid w:val="009B659C"/>
    <w:rsid w:val="009B7205"/>
    <w:rsid w:val="009B7754"/>
    <w:rsid w:val="009C6275"/>
    <w:rsid w:val="009C6F29"/>
    <w:rsid w:val="009C70E6"/>
    <w:rsid w:val="009D13A2"/>
    <w:rsid w:val="009D449E"/>
    <w:rsid w:val="009D5030"/>
    <w:rsid w:val="009E05D2"/>
    <w:rsid w:val="009E7CC6"/>
    <w:rsid w:val="009F0256"/>
    <w:rsid w:val="009F1066"/>
    <w:rsid w:val="009F1233"/>
    <w:rsid w:val="009F1607"/>
    <w:rsid w:val="009F5289"/>
    <w:rsid w:val="009F76B6"/>
    <w:rsid w:val="00A002F4"/>
    <w:rsid w:val="00A0179B"/>
    <w:rsid w:val="00A01913"/>
    <w:rsid w:val="00A02AC7"/>
    <w:rsid w:val="00A07E78"/>
    <w:rsid w:val="00A1059D"/>
    <w:rsid w:val="00A12B86"/>
    <w:rsid w:val="00A17FB4"/>
    <w:rsid w:val="00A21C1E"/>
    <w:rsid w:val="00A23442"/>
    <w:rsid w:val="00A24270"/>
    <w:rsid w:val="00A32687"/>
    <w:rsid w:val="00A33CD7"/>
    <w:rsid w:val="00A370A4"/>
    <w:rsid w:val="00A464A0"/>
    <w:rsid w:val="00A51968"/>
    <w:rsid w:val="00A5307E"/>
    <w:rsid w:val="00A54BD7"/>
    <w:rsid w:val="00A55209"/>
    <w:rsid w:val="00A553C8"/>
    <w:rsid w:val="00A556F4"/>
    <w:rsid w:val="00A56137"/>
    <w:rsid w:val="00A5785D"/>
    <w:rsid w:val="00A602C1"/>
    <w:rsid w:val="00A606BE"/>
    <w:rsid w:val="00A6457F"/>
    <w:rsid w:val="00A65151"/>
    <w:rsid w:val="00A71C79"/>
    <w:rsid w:val="00A733E9"/>
    <w:rsid w:val="00A7373D"/>
    <w:rsid w:val="00A7393D"/>
    <w:rsid w:val="00A74D03"/>
    <w:rsid w:val="00A75375"/>
    <w:rsid w:val="00A75928"/>
    <w:rsid w:val="00A76F09"/>
    <w:rsid w:val="00A8141E"/>
    <w:rsid w:val="00A83925"/>
    <w:rsid w:val="00A87B7E"/>
    <w:rsid w:val="00A93B73"/>
    <w:rsid w:val="00A977B5"/>
    <w:rsid w:val="00AA4649"/>
    <w:rsid w:val="00AA527B"/>
    <w:rsid w:val="00AB2B25"/>
    <w:rsid w:val="00AB303D"/>
    <w:rsid w:val="00AB47E7"/>
    <w:rsid w:val="00AC6141"/>
    <w:rsid w:val="00AC67FA"/>
    <w:rsid w:val="00AC7D0F"/>
    <w:rsid w:val="00AD0406"/>
    <w:rsid w:val="00AD319E"/>
    <w:rsid w:val="00AD513B"/>
    <w:rsid w:val="00AE0BE4"/>
    <w:rsid w:val="00AE3DE4"/>
    <w:rsid w:val="00AE4646"/>
    <w:rsid w:val="00AE50F1"/>
    <w:rsid w:val="00AE5E5D"/>
    <w:rsid w:val="00AE75FA"/>
    <w:rsid w:val="00AE7B85"/>
    <w:rsid w:val="00AF02A3"/>
    <w:rsid w:val="00AF4ED2"/>
    <w:rsid w:val="00AF6336"/>
    <w:rsid w:val="00B00569"/>
    <w:rsid w:val="00B01074"/>
    <w:rsid w:val="00B01A6E"/>
    <w:rsid w:val="00B024FF"/>
    <w:rsid w:val="00B02D51"/>
    <w:rsid w:val="00B04C81"/>
    <w:rsid w:val="00B064E6"/>
    <w:rsid w:val="00B107E7"/>
    <w:rsid w:val="00B130C8"/>
    <w:rsid w:val="00B16E40"/>
    <w:rsid w:val="00B17956"/>
    <w:rsid w:val="00B25CA1"/>
    <w:rsid w:val="00B25DB4"/>
    <w:rsid w:val="00B26BF2"/>
    <w:rsid w:val="00B27096"/>
    <w:rsid w:val="00B33987"/>
    <w:rsid w:val="00B34EAA"/>
    <w:rsid w:val="00B42DDB"/>
    <w:rsid w:val="00B443E9"/>
    <w:rsid w:val="00B45417"/>
    <w:rsid w:val="00B45922"/>
    <w:rsid w:val="00B46D0B"/>
    <w:rsid w:val="00B51EDC"/>
    <w:rsid w:val="00B5464D"/>
    <w:rsid w:val="00B61B34"/>
    <w:rsid w:val="00B6230B"/>
    <w:rsid w:val="00B62387"/>
    <w:rsid w:val="00B6391B"/>
    <w:rsid w:val="00B65D9A"/>
    <w:rsid w:val="00B65ED8"/>
    <w:rsid w:val="00B67D72"/>
    <w:rsid w:val="00B711F5"/>
    <w:rsid w:val="00B71791"/>
    <w:rsid w:val="00B74763"/>
    <w:rsid w:val="00B75018"/>
    <w:rsid w:val="00B766A4"/>
    <w:rsid w:val="00B82062"/>
    <w:rsid w:val="00B86C22"/>
    <w:rsid w:val="00B87BED"/>
    <w:rsid w:val="00B90A88"/>
    <w:rsid w:val="00B90D13"/>
    <w:rsid w:val="00B94D30"/>
    <w:rsid w:val="00BA15CE"/>
    <w:rsid w:val="00BA2438"/>
    <w:rsid w:val="00BA3CBE"/>
    <w:rsid w:val="00BA6A8B"/>
    <w:rsid w:val="00BA7C1D"/>
    <w:rsid w:val="00BB2539"/>
    <w:rsid w:val="00BB6E87"/>
    <w:rsid w:val="00BB74C5"/>
    <w:rsid w:val="00BC0275"/>
    <w:rsid w:val="00BC09ED"/>
    <w:rsid w:val="00BC3439"/>
    <w:rsid w:val="00BC3F16"/>
    <w:rsid w:val="00BC66F3"/>
    <w:rsid w:val="00BD0BA2"/>
    <w:rsid w:val="00BD7C45"/>
    <w:rsid w:val="00BE1320"/>
    <w:rsid w:val="00BE2D17"/>
    <w:rsid w:val="00BE3106"/>
    <w:rsid w:val="00BE3B56"/>
    <w:rsid w:val="00BE451D"/>
    <w:rsid w:val="00BE70E8"/>
    <w:rsid w:val="00BF7D11"/>
    <w:rsid w:val="00C00421"/>
    <w:rsid w:val="00C0194E"/>
    <w:rsid w:val="00C0268A"/>
    <w:rsid w:val="00C06132"/>
    <w:rsid w:val="00C06431"/>
    <w:rsid w:val="00C07F97"/>
    <w:rsid w:val="00C13C5D"/>
    <w:rsid w:val="00C14F2D"/>
    <w:rsid w:val="00C1574B"/>
    <w:rsid w:val="00C16ED9"/>
    <w:rsid w:val="00C22AE5"/>
    <w:rsid w:val="00C23C77"/>
    <w:rsid w:val="00C23DB8"/>
    <w:rsid w:val="00C24B17"/>
    <w:rsid w:val="00C25C60"/>
    <w:rsid w:val="00C266F8"/>
    <w:rsid w:val="00C3066B"/>
    <w:rsid w:val="00C31BB4"/>
    <w:rsid w:val="00C31E14"/>
    <w:rsid w:val="00C32CA4"/>
    <w:rsid w:val="00C3324E"/>
    <w:rsid w:val="00C34175"/>
    <w:rsid w:val="00C34A29"/>
    <w:rsid w:val="00C34ABD"/>
    <w:rsid w:val="00C3601C"/>
    <w:rsid w:val="00C36463"/>
    <w:rsid w:val="00C45C58"/>
    <w:rsid w:val="00C45D33"/>
    <w:rsid w:val="00C50817"/>
    <w:rsid w:val="00C51CDD"/>
    <w:rsid w:val="00C522B2"/>
    <w:rsid w:val="00C52E25"/>
    <w:rsid w:val="00C54C24"/>
    <w:rsid w:val="00C55FE2"/>
    <w:rsid w:val="00C562B9"/>
    <w:rsid w:val="00C62BFC"/>
    <w:rsid w:val="00C6595C"/>
    <w:rsid w:val="00C65F34"/>
    <w:rsid w:val="00C675DC"/>
    <w:rsid w:val="00C710E1"/>
    <w:rsid w:val="00C746B9"/>
    <w:rsid w:val="00C77ACD"/>
    <w:rsid w:val="00C839DF"/>
    <w:rsid w:val="00C8530D"/>
    <w:rsid w:val="00C864E5"/>
    <w:rsid w:val="00C90A19"/>
    <w:rsid w:val="00C93205"/>
    <w:rsid w:val="00C938BC"/>
    <w:rsid w:val="00C93B78"/>
    <w:rsid w:val="00C947CE"/>
    <w:rsid w:val="00C9480A"/>
    <w:rsid w:val="00C94C6F"/>
    <w:rsid w:val="00C9536C"/>
    <w:rsid w:val="00C97E9B"/>
    <w:rsid w:val="00CA04B2"/>
    <w:rsid w:val="00CA1B8B"/>
    <w:rsid w:val="00CA4478"/>
    <w:rsid w:val="00CB0813"/>
    <w:rsid w:val="00CB4896"/>
    <w:rsid w:val="00CB48B9"/>
    <w:rsid w:val="00CB6A20"/>
    <w:rsid w:val="00CC3595"/>
    <w:rsid w:val="00CC3C09"/>
    <w:rsid w:val="00CC3EC3"/>
    <w:rsid w:val="00CC4528"/>
    <w:rsid w:val="00CC525F"/>
    <w:rsid w:val="00CC6007"/>
    <w:rsid w:val="00CD0E5E"/>
    <w:rsid w:val="00CE097C"/>
    <w:rsid w:val="00CE1383"/>
    <w:rsid w:val="00CE33A0"/>
    <w:rsid w:val="00CE3E23"/>
    <w:rsid w:val="00CF11A2"/>
    <w:rsid w:val="00CF169B"/>
    <w:rsid w:val="00CF26B3"/>
    <w:rsid w:val="00CF69A1"/>
    <w:rsid w:val="00D01826"/>
    <w:rsid w:val="00D01CDF"/>
    <w:rsid w:val="00D0370B"/>
    <w:rsid w:val="00D0419C"/>
    <w:rsid w:val="00D12E43"/>
    <w:rsid w:val="00D1446E"/>
    <w:rsid w:val="00D327D1"/>
    <w:rsid w:val="00D347E0"/>
    <w:rsid w:val="00D353AB"/>
    <w:rsid w:val="00D366E5"/>
    <w:rsid w:val="00D40856"/>
    <w:rsid w:val="00D41094"/>
    <w:rsid w:val="00D4137D"/>
    <w:rsid w:val="00D42113"/>
    <w:rsid w:val="00D42D9C"/>
    <w:rsid w:val="00D4460D"/>
    <w:rsid w:val="00D44FCF"/>
    <w:rsid w:val="00D46613"/>
    <w:rsid w:val="00D47354"/>
    <w:rsid w:val="00D515A7"/>
    <w:rsid w:val="00D52119"/>
    <w:rsid w:val="00D53F82"/>
    <w:rsid w:val="00D552E3"/>
    <w:rsid w:val="00D61AD0"/>
    <w:rsid w:val="00D6379F"/>
    <w:rsid w:val="00D63B3A"/>
    <w:rsid w:val="00D7670F"/>
    <w:rsid w:val="00D77A4A"/>
    <w:rsid w:val="00D8192B"/>
    <w:rsid w:val="00D81AC5"/>
    <w:rsid w:val="00D81FF4"/>
    <w:rsid w:val="00D835B4"/>
    <w:rsid w:val="00D84C54"/>
    <w:rsid w:val="00D862BE"/>
    <w:rsid w:val="00D871DB"/>
    <w:rsid w:val="00D92806"/>
    <w:rsid w:val="00D978D5"/>
    <w:rsid w:val="00DA52D1"/>
    <w:rsid w:val="00DA6246"/>
    <w:rsid w:val="00DA631E"/>
    <w:rsid w:val="00DB11EC"/>
    <w:rsid w:val="00DB508F"/>
    <w:rsid w:val="00DB6DCA"/>
    <w:rsid w:val="00DC3446"/>
    <w:rsid w:val="00DC4CA5"/>
    <w:rsid w:val="00DC4E40"/>
    <w:rsid w:val="00DD262B"/>
    <w:rsid w:val="00DD6501"/>
    <w:rsid w:val="00DD6B3A"/>
    <w:rsid w:val="00DD7B40"/>
    <w:rsid w:val="00DE12E8"/>
    <w:rsid w:val="00DE1C7C"/>
    <w:rsid w:val="00DE27CD"/>
    <w:rsid w:val="00DE41F0"/>
    <w:rsid w:val="00DF0504"/>
    <w:rsid w:val="00DF3DE6"/>
    <w:rsid w:val="00E03FC4"/>
    <w:rsid w:val="00E04B14"/>
    <w:rsid w:val="00E060CB"/>
    <w:rsid w:val="00E10208"/>
    <w:rsid w:val="00E12504"/>
    <w:rsid w:val="00E16EE4"/>
    <w:rsid w:val="00E16F33"/>
    <w:rsid w:val="00E17210"/>
    <w:rsid w:val="00E1761E"/>
    <w:rsid w:val="00E20244"/>
    <w:rsid w:val="00E205FE"/>
    <w:rsid w:val="00E25903"/>
    <w:rsid w:val="00E27A38"/>
    <w:rsid w:val="00E30109"/>
    <w:rsid w:val="00E32EA1"/>
    <w:rsid w:val="00E3324B"/>
    <w:rsid w:val="00E351D5"/>
    <w:rsid w:val="00E411F9"/>
    <w:rsid w:val="00E41896"/>
    <w:rsid w:val="00E41FC5"/>
    <w:rsid w:val="00E443C6"/>
    <w:rsid w:val="00E44679"/>
    <w:rsid w:val="00E47097"/>
    <w:rsid w:val="00E47368"/>
    <w:rsid w:val="00E50926"/>
    <w:rsid w:val="00E50D2E"/>
    <w:rsid w:val="00E5572A"/>
    <w:rsid w:val="00E561E2"/>
    <w:rsid w:val="00E60E6C"/>
    <w:rsid w:val="00E60F2B"/>
    <w:rsid w:val="00E61119"/>
    <w:rsid w:val="00E62877"/>
    <w:rsid w:val="00E72015"/>
    <w:rsid w:val="00E72E9B"/>
    <w:rsid w:val="00E7405A"/>
    <w:rsid w:val="00E741F1"/>
    <w:rsid w:val="00E74854"/>
    <w:rsid w:val="00E74E8E"/>
    <w:rsid w:val="00E75B8F"/>
    <w:rsid w:val="00E76739"/>
    <w:rsid w:val="00E76B76"/>
    <w:rsid w:val="00E8014A"/>
    <w:rsid w:val="00E8046D"/>
    <w:rsid w:val="00E81BEB"/>
    <w:rsid w:val="00E8520A"/>
    <w:rsid w:val="00E87642"/>
    <w:rsid w:val="00E90C2F"/>
    <w:rsid w:val="00E92ED6"/>
    <w:rsid w:val="00EA50C7"/>
    <w:rsid w:val="00EA7DDF"/>
    <w:rsid w:val="00EB2C50"/>
    <w:rsid w:val="00EC002E"/>
    <w:rsid w:val="00EC07FD"/>
    <w:rsid w:val="00EC105F"/>
    <w:rsid w:val="00EC2598"/>
    <w:rsid w:val="00EC70CF"/>
    <w:rsid w:val="00EC7443"/>
    <w:rsid w:val="00ED0759"/>
    <w:rsid w:val="00ED1614"/>
    <w:rsid w:val="00ED2AEF"/>
    <w:rsid w:val="00EE1CE1"/>
    <w:rsid w:val="00EE1F01"/>
    <w:rsid w:val="00EE2662"/>
    <w:rsid w:val="00EE35E9"/>
    <w:rsid w:val="00EE37A5"/>
    <w:rsid w:val="00EE5DAB"/>
    <w:rsid w:val="00EE7BE6"/>
    <w:rsid w:val="00EF19DB"/>
    <w:rsid w:val="00EF530B"/>
    <w:rsid w:val="00EF798F"/>
    <w:rsid w:val="00F04B37"/>
    <w:rsid w:val="00F05E08"/>
    <w:rsid w:val="00F06BB8"/>
    <w:rsid w:val="00F178B9"/>
    <w:rsid w:val="00F201AC"/>
    <w:rsid w:val="00F24B2E"/>
    <w:rsid w:val="00F25698"/>
    <w:rsid w:val="00F25774"/>
    <w:rsid w:val="00F27EB9"/>
    <w:rsid w:val="00F30BC1"/>
    <w:rsid w:val="00F34AB8"/>
    <w:rsid w:val="00F3532C"/>
    <w:rsid w:val="00F37A8D"/>
    <w:rsid w:val="00F42F24"/>
    <w:rsid w:val="00F42F48"/>
    <w:rsid w:val="00F43DC6"/>
    <w:rsid w:val="00F469CD"/>
    <w:rsid w:val="00F5007F"/>
    <w:rsid w:val="00F5245E"/>
    <w:rsid w:val="00F5266E"/>
    <w:rsid w:val="00F6284D"/>
    <w:rsid w:val="00F64877"/>
    <w:rsid w:val="00F72D7B"/>
    <w:rsid w:val="00F7478E"/>
    <w:rsid w:val="00F7686E"/>
    <w:rsid w:val="00F80870"/>
    <w:rsid w:val="00F830CC"/>
    <w:rsid w:val="00F83E2B"/>
    <w:rsid w:val="00F86868"/>
    <w:rsid w:val="00F87B56"/>
    <w:rsid w:val="00F93907"/>
    <w:rsid w:val="00F949F3"/>
    <w:rsid w:val="00F972FD"/>
    <w:rsid w:val="00FA066C"/>
    <w:rsid w:val="00FA071E"/>
    <w:rsid w:val="00FA0987"/>
    <w:rsid w:val="00FA3383"/>
    <w:rsid w:val="00FA3A7E"/>
    <w:rsid w:val="00FA7723"/>
    <w:rsid w:val="00FB14F8"/>
    <w:rsid w:val="00FB1728"/>
    <w:rsid w:val="00FB211B"/>
    <w:rsid w:val="00FB2418"/>
    <w:rsid w:val="00FB2961"/>
    <w:rsid w:val="00FB3E26"/>
    <w:rsid w:val="00FB6A3C"/>
    <w:rsid w:val="00FB7454"/>
    <w:rsid w:val="00FB7551"/>
    <w:rsid w:val="00FC0903"/>
    <w:rsid w:val="00FC4226"/>
    <w:rsid w:val="00FC4A27"/>
    <w:rsid w:val="00FC652C"/>
    <w:rsid w:val="00FC67EF"/>
    <w:rsid w:val="00FD0B2D"/>
    <w:rsid w:val="00FD2E97"/>
    <w:rsid w:val="00FD4827"/>
    <w:rsid w:val="00FD7879"/>
    <w:rsid w:val="00FE3AA3"/>
    <w:rsid w:val="00FE5107"/>
    <w:rsid w:val="00FF1A48"/>
    <w:rsid w:val="00FF2AE9"/>
    <w:rsid w:val="00FF347A"/>
    <w:rsid w:val="00FF5865"/>
    <w:rsid w:val="00FF6FCA"/>
  </w:rsids>
  <m:mathPr>
    <m:mathFont m:val="Cambria Math"/>
    <m:brkBin m:val="before"/>
    <m:brkBinSub m:val="--"/>
    <m:smallFrac m:val="off"/>
    <m:dispDef m:val="off"/>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D1E"/>
    <w:rPr>
      <w:lang w:val="en-US"/>
    </w:rPr>
  </w:style>
  <w:style w:type="paragraph" w:styleId="Titre1">
    <w:name w:val="heading 1"/>
    <w:basedOn w:val="Normal"/>
    <w:next w:val="Normal"/>
    <w:link w:val="Titre1Car"/>
    <w:uiPriority w:val="9"/>
    <w:qFormat/>
    <w:rsid w:val="00D408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8707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479B0"/>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6A68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34E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34EAA"/>
    <w:rPr>
      <w:rFonts w:asciiTheme="majorHAnsi" w:eastAsiaTheme="majorEastAsia" w:hAnsiTheme="majorHAnsi" w:cstheme="majorBidi"/>
      <w:color w:val="17365D" w:themeColor="text2" w:themeShade="BF"/>
      <w:spacing w:val="5"/>
      <w:kern w:val="28"/>
      <w:sz w:val="52"/>
      <w:szCs w:val="52"/>
      <w:lang w:val="en-US"/>
    </w:rPr>
  </w:style>
  <w:style w:type="character" w:customStyle="1" w:styleId="Titre1Car">
    <w:name w:val="Titre 1 Car"/>
    <w:basedOn w:val="Policepardfaut"/>
    <w:link w:val="Titre1"/>
    <w:uiPriority w:val="9"/>
    <w:rsid w:val="00D40856"/>
    <w:rPr>
      <w:rFonts w:asciiTheme="majorHAnsi" w:eastAsiaTheme="majorEastAsia" w:hAnsiTheme="majorHAnsi" w:cstheme="majorBidi"/>
      <w:b/>
      <w:bCs/>
      <w:color w:val="345A8A" w:themeColor="accent1" w:themeShade="B5"/>
      <w:sz w:val="32"/>
      <w:szCs w:val="32"/>
      <w:lang w:val="en-US"/>
    </w:rPr>
  </w:style>
  <w:style w:type="paragraph" w:customStyle="1" w:styleId="Bibliographie1">
    <w:name w:val="Bibliographie1"/>
    <w:basedOn w:val="Normal"/>
    <w:rsid w:val="00241F6A"/>
    <w:pPr>
      <w:tabs>
        <w:tab w:val="left" w:pos="380"/>
      </w:tabs>
      <w:spacing w:after="240"/>
      <w:ind w:left="384" w:hanging="384"/>
    </w:pPr>
    <w:rPr>
      <w:rFonts w:ascii="Calibri" w:hAnsi="Calibri"/>
      <w:lang w:val="en-GB"/>
    </w:rPr>
  </w:style>
  <w:style w:type="paragraph" w:styleId="Paragraphedeliste">
    <w:name w:val="List Paragraph"/>
    <w:basedOn w:val="Normal"/>
    <w:uiPriority w:val="34"/>
    <w:qFormat/>
    <w:rsid w:val="007575C7"/>
    <w:pPr>
      <w:ind w:left="720"/>
      <w:contextualSpacing/>
    </w:pPr>
  </w:style>
  <w:style w:type="paragraph" w:customStyle="1" w:styleId="Paragraphedeliste1">
    <w:name w:val="Paragraphe de liste1"/>
    <w:basedOn w:val="Normal"/>
    <w:rsid w:val="0072239C"/>
    <w:pPr>
      <w:overflowPunct w:val="0"/>
      <w:autoSpaceDE w:val="0"/>
      <w:autoSpaceDN w:val="0"/>
      <w:adjustRightInd w:val="0"/>
      <w:spacing w:after="200" w:line="276" w:lineRule="auto"/>
      <w:ind w:left="720"/>
      <w:contextualSpacing/>
      <w:textAlignment w:val="baseline"/>
    </w:pPr>
    <w:rPr>
      <w:rFonts w:ascii="Calibri" w:eastAsia="Times New Roman" w:hAnsi="Calibri" w:cs="Times New Roman"/>
      <w:sz w:val="22"/>
      <w:szCs w:val="22"/>
      <w:lang w:eastAsia="en-US" w:bidi="fr-FR"/>
    </w:rPr>
  </w:style>
  <w:style w:type="table" w:styleId="Grilledutableau">
    <w:name w:val="Table Grid"/>
    <w:basedOn w:val="TableauNormal"/>
    <w:uiPriority w:val="59"/>
    <w:rsid w:val="007223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8707C1"/>
    <w:rPr>
      <w:rFonts w:asciiTheme="majorHAnsi" w:eastAsiaTheme="majorEastAsia" w:hAnsiTheme="majorHAnsi" w:cstheme="majorBidi"/>
      <w:b/>
      <w:bCs/>
      <w:color w:val="4F81BD" w:themeColor="accent1"/>
      <w:sz w:val="26"/>
      <w:szCs w:val="26"/>
      <w:lang w:val="en-US"/>
    </w:rPr>
  </w:style>
  <w:style w:type="paragraph" w:styleId="Sous-titre">
    <w:name w:val="Subtitle"/>
    <w:basedOn w:val="Normal"/>
    <w:next w:val="Normal"/>
    <w:link w:val="Sous-titreCar"/>
    <w:uiPriority w:val="11"/>
    <w:qFormat/>
    <w:rsid w:val="006479B0"/>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6479B0"/>
    <w:rPr>
      <w:rFonts w:asciiTheme="majorHAnsi" w:eastAsiaTheme="majorEastAsia" w:hAnsiTheme="majorHAnsi" w:cstheme="majorBidi"/>
      <w:i/>
      <w:iCs/>
      <w:color w:val="4F81BD" w:themeColor="accent1"/>
      <w:spacing w:val="15"/>
      <w:lang w:val="en-US"/>
    </w:rPr>
  </w:style>
  <w:style w:type="character" w:customStyle="1" w:styleId="Titre3Car">
    <w:name w:val="Titre 3 Car"/>
    <w:basedOn w:val="Policepardfaut"/>
    <w:link w:val="Titre3"/>
    <w:uiPriority w:val="9"/>
    <w:rsid w:val="006479B0"/>
    <w:rPr>
      <w:rFonts w:asciiTheme="majorHAnsi" w:eastAsiaTheme="majorEastAsia" w:hAnsiTheme="majorHAnsi" w:cstheme="majorBidi"/>
      <w:b/>
      <w:bCs/>
      <w:color w:val="4F81BD" w:themeColor="accent1"/>
      <w:lang w:val="en-US"/>
    </w:rPr>
  </w:style>
  <w:style w:type="paragraph" w:styleId="Textedebulles">
    <w:name w:val="Balloon Text"/>
    <w:basedOn w:val="Normal"/>
    <w:link w:val="TextedebullesCar"/>
    <w:uiPriority w:val="99"/>
    <w:semiHidden/>
    <w:unhideWhenUsed/>
    <w:rsid w:val="00F27EB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27EB9"/>
    <w:rPr>
      <w:rFonts w:ascii="Lucida Grande" w:hAnsi="Lucida Grande" w:cs="Lucida Grande"/>
      <w:sz w:val="18"/>
      <w:szCs w:val="18"/>
      <w:lang w:val="en-US"/>
    </w:rPr>
  </w:style>
  <w:style w:type="character" w:customStyle="1" w:styleId="Titre4Car">
    <w:name w:val="Titre 4 Car"/>
    <w:basedOn w:val="Policepardfaut"/>
    <w:link w:val="Titre4"/>
    <w:uiPriority w:val="9"/>
    <w:rsid w:val="006A6860"/>
    <w:rPr>
      <w:rFonts w:asciiTheme="majorHAnsi" w:eastAsiaTheme="majorEastAsia" w:hAnsiTheme="majorHAnsi" w:cstheme="majorBidi"/>
      <w:b/>
      <w:bCs/>
      <w:i/>
      <w:iCs/>
      <w:color w:val="4F81BD" w:themeColor="accent1"/>
      <w:lang w:val="en-US"/>
    </w:rPr>
  </w:style>
  <w:style w:type="character" w:styleId="Marquedecommentaire">
    <w:name w:val="annotation reference"/>
    <w:basedOn w:val="Policepardfaut"/>
    <w:uiPriority w:val="99"/>
    <w:semiHidden/>
    <w:unhideWhenUsed/>
    <w:rsid w:val="00E03FC4"/>
    <w:rPr>
      <w:sz w:val="16"/>
      <w:szCs w:val="16"/>
    </w:rPr>
  </w:style>
  <w:style w:type="paragraph" w:styleId="Commentaire">
    <w:name w:val="annotation text"/>
    <w:basedOn w:val="Normal"/>
    <w:link w:val="CommentaireCar"/>
    <w:uiPriority w:val="99"/>
    <w:unhideWhenUsed/>
    <w:rsid w:val="00E03FC4"/>
    <w:rPr>
      <w:sz w:val="20"/>
      <w:szCs w:val="20"/>
    </w:rPr>
  </w:style>
  <w:style w:type="character" w:customStyle="1" w:styleId="CommentaireCar">
    <w:name w:val="Commentaire Car"/>
    <w:basedOn w:val="Policepardfaut"/>
    <w:link w:val="Commentaire"/>
    <w:uiPriority w:val="99"/>
    <w:rsid w:val="00E03FC4"/>
    <w:rPr>
      <w:sz w:val="20"/>
      <w:szCs w:val="20"/>
      <w:lang w:val="en-US"/>
    </w:rPr>
  </w:style>
  <w:style w:type="paragraph" w:styleId="Objetducommentaire">
    <w:name w:val="annotation subject"/>
    <w:basedOn w:val="Commentaire"/>
    <w:next w:val="Commentaire"/>
    <w:link w:val="ObjetducommentaireCar"/>
    <w:uiPriority w:val="99"/>
    <w:semiHidden/>
    <w:unhideWhenUsed/>
    <w:rsid w:val="00E03FC4"/>
    <w:rPr>
      <w:b/>
      <w:bCs/>
    </w:rPr>
  </w:style>
  <w:style w:type="character" w:customStyle="1" w:styleId="ObjetducommentaireCar">
    <w:name w:val="Objet du commentaire Car"/>
    <w:basedOn w:val="CommentaireCar"/>
    <w:link w:val="Objetducommentaire"/>
    <w:uiPriority w:val="99"/>
    <w:semiHidden/>
    <w:rsid w:val="00E03FC4"/>
    <w:rPr>
      <w:b/>
      <w:bCs/>
      <w:sz w:val="20"/>
      <w:szCs w:val="20"/>
      <w:lang w:val="en-US"/>
    </w:rPr>
  </w:style>
  <w:style w:type="paragraph" w:styleId="Rvision">
    <w:name w:val="Revision"/>
    <w:hidden/>
    <w:uiPriority w:val="99"/>
    <w:semiHidden/>
    <w:rsid w:val="000B0A94"/>
    <w:rPr>
      <w:lang w:val="en-US"/>
    </w:rPr>
  </w:style>
  <w:style w:type="paragraph" w:styleId="Pieddepage">
    <w:name w:val="footer"/>
    <w:basedOn w:val="Normal"/>
    <w:link w:val="PieddepageCar"/>
    <w:uiPriority w:val="99"/>
    <w:unhideWhenUsed/>
    <w:rsid w:val="00DA6246"/>
    <w:pPr>
      <w:tabs>
        <w:tab w:val="center" w:pos="4536"/>
        <w:tab w:val="right" w:pos="9072"/>
      </w:tabs>
    </w:pPr>
  </w:style>
  <w:style w:type="character" w:customStyle="1" w:styleId="PieddepageCar">
    <w:name w:val="Pied de page Car"/>
    <w:basedOn w:val="Policepardfaut"/>
    <w:link w:val="Pieddepage"/>
    <w:uiPriority w:val="99"/>
    <w:rsid w:val="00DA6246"/>
    <w:rPr>
      <w:lang w:val="en-US"/>
    </w:rPr>
  </w:style>
  <w:style w:type="character" w:styleId="Numrodepage">
    <w:name w:val="page number"/>
    <w:basedOn w:val="Policepardfaut"/>
    <w:uiPriority w:val="99"/>
    <w:semiHidden/>
    <w:unhideWhenUsed/>
    <w:rsid w:val="00DA6246"/>
  </w:style>
  <w:style w:type="paragraph" w:styleId="En-tte">
    <w:name w:val="header"/>
    <w:basedOn w:val="Normal"/>
    <w:link w:val="En-tteCar"/>
    <w:uiPriority w:val="99"/>
    <w:unhideWhenUsed/>
    <w:rsid w:val="00961F3F"/>
    <w:pPr>
      <w:tabs>
        <w:tab w:val="center" w:pos="4536"/>
        <w:tab w:val="right" w:pos="9072"/>
      </w:tabs>
    </w:pPr>
  </w:style>
  <w:style w:type="character" w:customStyle="1" w:styleId="En-tteCar">
    <w:name w:val="En-tête Car"/>
    <w:basedOn w:val="Policepardfaut"/>
    <w:link w:val="En-tte"/>
    <w:uiPriority w:val="99"/>
    <w:rsid w:val="00961F3F"/>
    <w:rPr>
      <w:lang w:val="en-US"/>
    </w:rPr>
  </w:style>
  <w:style w:type="paragraph" w:customStyle="1" w:styleId="EndNoteBibliography">
    <w:name w:val="EndNote Bibliography"/>
    <w:basedOn w:val="Normal"/>
    <w:link w:val="EndNoteBibliographyCar"/>
    <w:rsid w:val="00666FE8"/>
    <w:rPr>
      <w:rFonts w:ascii="Times New Roman" w:eastAsia="Times New Roman" w:hAnsi="Times New Roman" w:cs="Times New Roman"/>
      <w:noProof/>
      <w:color w:val="365F91" w:themeColor="accent1" w:themeShade="BF"/>
      <w:sz w:val="32"/>
      <w:szCs w:val="32"/>
    </w:rPr>
  </w:style>
  <w:style w:type="character" w:customStyle="1" w:styleId="EndNoteBibliographyCar">
    <w:name w:val="EndNote Bibliography Car"/>
    <w:basedOn w:val="Titre1Car"/>
    <w:link w:val="EndNoteBibliography"/>
    <w:rsid w:val="00666FE8"/>
    <w:rPr>
      <w:rFonts w:ascii="Times New Roman" w:eastAsia="Times New Roman" w:hAnsi="Times New Roman" w:cs="Times New Roman"/>
      <w:b w:val="0"/>
      <w:bCs w:val="0"/>
      <w:noProof/>
      <w:color w:val="365F91" w:themeColor="accent1" w:themeShade="BF"/>
      <w:sz w:val="32"/>
      <w:szCs w:val="3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itre1">
    <w:name w:val="heading 1"/>
    <w:basedOn w:val="Normal"/>
    <w:next w:val="Normal"/>
    <w:link w:val="Titre1Car"/>
    <w:uiPriority w:val="9"/>
    <w:qFormat/>
    <w:rsid w:val="00D408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8707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479B0"/>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6A68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34E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34EAA"/>
    <w:rPr>
      <w:rFonts w:asciiTheme="majorHAnsi" w:eastAsiaTheme="majorEastAsia" w:hAnsiTheme="majorHAnsi" w:cstheme="majorBidi"/>
      <w:color w:val="17365D" w:themeColor="text2" w:themeShade="BF"/>
      <w:spacing w:val="5"/>
      <w:kern w:val="28"/>
      <w:sz w:val="52"/>
      <w:szCs w:val="52"/>
      <w:lang w:val="en-US"/>
    </w:rPr>
  </w:style>
  <w:style w:type="character" w:customStyle="1" w:styleId="Titre1Car">
    <w:name w:val="Titre 1 Car"/>
    <w:basedOn w:val="Policepardfaut"/>
    <w:link w:val="Titre1"/>
    <w:uiPriority w:val="9"/>
    <w:rsid w:val="00D40856"/>
    <w:rPr>
      <w:rFonts w:asciiTheme="majorHAnsi" w:eastAsiaTheme="majorEastAsia" w:hAnsiTheme="majorHAnsi" w:cstheme="majorBidi"/>
      <w:b/>
      <w:bCs/>
      <w:color w:val="345A8A" w:themeColor="accent1" w:themeShade="B5"/>
      <w:sz w:val="32"/>
      <w:szCs w:val="32"/>
      <w:lang w:val="en-US"/>
    </w:rPr>
  </w:style>
  <w:style w:type="paragraph" w:customStyle="1" w:styleId="Bibliographie1">
    <w:name w:val="Bibliographie1"/>
    <w:basedOn w:val="Normal"/>
    <w:rsid w:val="00241F6A"/>
    <w:pPr>
      <w:tabs>
        <w:tab w:val="left" w:pos="380"/>
      </w:tabs>
      <w:spacing w:after="240"/>
      <w:ind w:left="384" w:hanging="384"/>
    </w:pPr>
    <w:rPr>
      <w:rFonts w:ascii="Calibri" w:hAnsi="Calibri"/>
      <w:lang w:val="en-GB"/>
    </w:rPr>
  </w:style>
  <w:style w:type="paragraph" w:styleId="Paragraphedeliste">
    <w:name w:val="List Paragraph"/>
    <w:basedOn w:val="Normal"/>
    <w:uiPriority w:val="34"/>
    <w:qFormat/>
    <w:rsid w:val="007575C7"/>
    <w:pPr>
      <w:ind w:left="720"/>
      <w:contextualSpacing/>
    </w:pPr>
  </w:style>
  <w:style w:type="paragraph" w:customStyle="1" w:styleId="Paragraphedeliste1">
    <w:name w:val="Paragraphe de liste1"/>
    <w:basedOn w:val="Normal"/>
    <w:rsid w:val="0072239C"/>
    <w:pPr>
      <w:overflowPunct w:val="0"/>
      <w:autoSpaceDE w:val="0"/>
      <w:autoSpaceDN w:val="0"/>
      <w:adjustRightInd w:val="0"/>
      <w:spacing w:after="200" w:line="276" w:lineRule="auto"/>
      <w:ind w:left="720"/>
      <w:contextualSpacing/>
      <w:textAlignment w:val="baseline"/>
    </w:pPr>
    <w:rPr>
      <w:rFonts w:ascii="Calibri" w:eastAsia="Times New Roman" w:hAnsi="Calibri" w:cs="Times New Roman"/>
      <w:sz w:val="22"/>
      <w:szCs w:val="22"/>
      <w:lang w:eastAsia="en-US" w:bidi="fr-FR"/>
    </w:rPr>
  </w:style>
  <w:style w:type="table" w:styleId="Grille">
    <w:name w:val="Table Grid"/>
    <w:basedOn w:val="TableauNormal"/>
    <w:uiPriority w:val="59"/>
    <w:rsid w:val="007223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8707C1"/>
    <w:rPr>
      <w:rFonts w:asciiTheme="majorHAnsi" w:eastAsiaTheme="majorEastAsia" w:hAnsiTheme="majorHAnsi" w:cstheme="majorBidi"/>
      <w:b/>
      <w:bCs/>
      <w:color w:val="4F81BD" w:themeColor="accent1"/>
      <w:sz w:val="26"/>
      <w:szCs w:val="26"/>
      <w:lang w:val="en-US"/>
    </w:rPr>
  </w:style>
  <w:style w:type="paragraph" w:styleId="Sous-titre">
    <w:name w:val="Subtitle"/>
    <w:basedOn w:val="Normal"/>
    <w:next w:val="Normal"/>
    <w:link w:val="Sous-titreCar"/>
    <w:uiPriority w:val="11"/>
    <w:qFormat/>
    <w:rsid w:val="006479B0"/>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6479B0"/>
    <w:rPr>
      <w:rFonts w:asciiTheme="majorHAnsi" w:eastAsiaTheme="majorEastAsia" w:hAnsiTheme="majorHAnsi" w:cstheme="majorBidi"/>
      <w:i/>
      <w:iCs/>
      <w:color w:val="4F81BD" w:themeColor="accent1"/>
      <w:spacing w:val="15"/>
      <w:lang w:val="en-US"/>
    </w:rPr>
  </w:style>
  <w:style w:type="character" w:customStyle="1" w:styleId="Titre3Car">
    <w:name w:val="Titre 3 Car"/>
    <w:basedOn w:val="Policepardfaut"/>
    <w:link w:val="Titre3"/>
    <w:uiPriority w:val="9"/>
    <w:rsid w:val="006479B0"/>
    <w:rPr>
      <w:rFonts w:asciiTheme="majorHAnsi" w:eastAsiaTheme="majorEastAsia" w:hAnsiTheme="majorHAnsi" w:cstheme="majorBidi"/>
      <w:b/>
      <w:bCs/>
      <w:color w:val="4F81BD" w:themeColor="accent1"/>
      <w:lang w:val="en-US"/>
    </w:rPr>
  </w:style>
  <w:style w:type="paragraph" w:styleId="Textedebulles">
    <w:name w:val="Balloon Text"/>
    <w:basedOn w:val="Normal"/>
    <w:link w:val="TextedebullesCar"/>
    <w:uiPriority w:val="99"/>
    <w:semiHidden/>
    <w:unhideWhenUsed/>
    <w:rsid w:val="00F27EB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27EB9"/>
    <w:rPr>
      <w:rFonts w:ascii="Lucida Grande" w:hAnsi="Lucida Grande" w:cs="Lucida Grande"/>
      <w:sz w:val="18"/>
      <w:szCs w:val="18"/>
      <w:lang w:val="en-US"/>
    </w:rPr>
  </w:style>
  <w:style w:type="character" w:customStyle="1" w:styleId="Titre4Car">
    <w:name w:val="Titre 4 Car"/>
    <w:basedOn w:val="Policepardfaut"/>
    <w:link w:val="Titre4"/>
    <w:uiPriority w:val="9"/>
    <w:rsid w:val="006A6860"/>
    <w:rPr>
      <w:rFonts w:asciiTheme="majorHAnsi" w:eastAsiaTheme="majorEastAsia" w:hAnsiTheme="majorHAnsi" w:cstheme="majorBidi"/>
      <w:b/>
      <w:bCs/>
      <w:i/>
      <w:iCs/>
      <w:color w:val="4F81BD" w:themeColor="accent1"/>
      <w:lang w:val="en-US"/>
    </w:rPr>
  </w:style>
  <w:style w:type="character" w:styleId="Marquedannotation">
    <w:name w:val="annotation reference"/>
    <w:basedOn w:val="Policepardfaut"/>
    <w:uiPriority w:val="99"/>
    <w:semiHidden/>
    <w:unhideWhenUsed/>
    <w:rsid w:val="00E03FC4"/>
    <w:rPr>
      <w:sz w:val="16"/>
      <w:szCs w:val="16"/>
    </w:rPr>
  </w:style>
  <w:style w:type="paragraph" w:styleId="Commentaire">
    <w:name w:val="annotation text"/>
    <w:basedOn w:val="Normal"/>
    <w:link w:val="CommentaireCar"/>
    <w:uiPriority w:val="99"/>
    <w:unhideWhenUsed/>
    <w:rsid w:val="00E03FC4"/>
    <w:rPr>
      <w:sz w:val="20"/>
      <w:szCs w:val="20"/>
    </w:rPr>
  </w:style>
  <w:style w:type="character" w:customStyle="1" w:styleId="CommentaireCar">
    <w:name w:val="Commentaire Car"/>
    <w:basedOn w:val="Policepardfaut"/>
    <w:link w:val="Commentaire"/>
    <w:uiPriority w:val="99"/>
    <w:rsid w:val="00E03FC4"/>
    <w:rPr>
      <w:sz w:val="20"/>
      <w:szCs w:val="20"/>
      <w:lang w:val="en-US"/>
    </w:rPr>
  </w:style>
  <w:style w:type="paragraph" w:styleId="Objetducommentaire">
    <w:name w:val="annotation subject"/>
    <w:basedOn w:val="Commentaire"/>
    <w:next w:val="Commentaire"/>
    <w:link w:val="ObjetducommentaireCar"/>
    <w:uiPriority w:val="99"/>
    <w:semiHidden/>
    <w:unhideWhenUsed/>
    <w:rsid w:val="00E03FC4"/>
    <w:rPr>
      <w:b/>
      <w:bCs/>
    </w:rPr>
  </w:style>
  <w:style w:type="character" w:customStyle="1" w:styleId="ObjetducommentaireCar">
    <w:name w:val="Objet du commentaire Car"/>
    <w:basedOn w:val="CommentaireCar"/>
    <w:link w:val="Objetducommentaire"/>
    <w:uiPriority w:val="99"/>
    <w:semiHidden/>
    <w:rsid w:val="00E03FC4"/>
    <w:rPr>
      <w:b/>
      <w:bCs/>
      <w:sz w:val="20"/>
      <w:szCs w:val="20"/>
      <w:lang w:val="en-US"/>
    </w:rPr>
  </w:style>
  <w:style w:type="paragraph" w:styleId="Rvision">
    <w:name w:val="Revision"/>
    <w:hidden/>
    <w:uiPriority w:val="99"/>
    <w:semiHidden/>
    <w:rsid w:val="000B0A94"/>
    <w:rPr>
      <w:lang w:val="en-US"/>
    </w:rPr>
  </w:style>
  <w:style w:type="paragraph" w:styleId="Pieddepage">
    <w:name w:val="footer"/>
    <w:basedOn w:val="Normal"/>
    <w:link w:val="PieddepageCar"/>
    <w:uiPriority w:val="99"/>
    <w:unhideWhenUsed/>
    <w:rsid w:val="00DA6246"/>
    <w:pPr>
      <w:tabs>
        <w:tab w:val="center" w:pos="4536"/>
        <w:tab w:val="right" w:pos="9072"/>
      </w:tabs>
    </w:pPr>
  </w:style>
  <w:style w:type="character" w:customStyle="1" w:styleId="PieddepageCar">
    <w:name w:val="Pied de page Car"/>
    <w:basedOn w:val="Policepardfaut"/>
    <w:link w:val="Pieddepage"/>
    <w:uiPriority w:val="99"/>
    <w:rsid w:val="00DA6246"/>
    <w:rPr>
      <w:lang w:val="en-US"/>
    </w:rPr>
  </w:style>
  <w:style w:type="character" w:styleId="Numrodepage">
    <w:name w:val="page number"/>
    <w:basedOn w:val="Policepardfaut"/>
    <w:uiPriority w:val="99"/>
    <w:semiHidden/>
    <w:unhideWhenUsed/>
    <w:rsid w:val="00DA6246"/>
  </w:style>
  <w:style w:type="paragraph" w:styleId="En-tte">
    <w:name w:val="header"/>
    <w:basedOn w:val="Normal"/>
    <w:link w:val="En-tteCar"/>
    <w:uiPriority w:val="99"/>
    <w:unhideWhenUsed/>
    <w:rsid w:val="00961F3F"/>
    <w:pPr>
      <w:tabs>
        <w:tab w:val="center" w:pos="4536"/>
        <w:tab w:val="right" w:pos="9072"/>
      </w:tabs>
    </w:pPr>
  </w:style>
  <w:style w:type="character" w:customStyle="1" w:styleId="En-tteCar">
    <w:name w:val="En-tête Car"/>
    <w:basedOn w:val="Policepardfaut"/>
    <w:link w:val="En-tte"/>
    <w:uiPriority w:val="99"/>
    <w:rsid w:val="00961F3F"/>
    <w:rPr>
      <w:lang w:val="en-US"/>
    </w:rPr>
  </w:style>
  <w:style w:type="paragraph" w:customStyle="1" w:styleId="EndNoteBibliography">
    <w:name w:val="EndNote Bibliography"/>
    <w:basedOn w:val="Normal"/>
    <w:link w:val="EndNoteBibliographyCar"/>
    <w:rsid w:val="00666FE8"/>
    <w:rPr>
      <w:rFonts w:ascii="Times New Roman" w:eastAsia="Times New Roman" w:hAnsi="Times New Roman" w:cs="Times New Roman"/>
      <w:noProof/>
      <w:color w:val="365F91" w:themeColor="accent1" w:themeShade="BF"/>
      <w:sz w:val="32"/>
      <w:szCs w:val="32"/>
    </w:rPr>
  </w:style>
  <w:style w:type="character" w:customStyle="1" w:styleId="EndNoteBibliographyCar">
    <w:name w:val="EndNote Bibliography Car"/>
    <w:basedOn w:val="Titre1Car"/>
    <w:link w:val="EndNoteBibliography"/>
    <w:rsid w:val="00666FE8"/>
    <w:rPr>
      <w:rFonts w:ascii="Times New Roman" w:eastAsia="Times New Roman" w:hAnsi="Times New Roman" w:cs="Times New Roman"/>
      <w:b w:val="0"/>
      <w:bCs w:val="0"/>
      <w:noProof/>
      <w:color w:val="365F91" w:themeColor="accent1" w:themeShade="BF"/>
      <w:sz w:val="32"/>
      <w:szCs w:val="32"/>
      <w:lang w:val="en-US"/>
    </w:rPr>
  </w:style>
</w:styles>
</file>

<file path=word/webSettings.xml><?xml version="1.0" encoding="utf-8"?>
<w:webSettings xmlns:r="http://schemas.openxmlformats.org/officeDocument/2006/relationships" xmlns:w="http://schemas.openxmlformats.org/wordprocessingml/2006/main">
  <w:divs>
    <w:div w:id="467360834">
      <w:bodyDiv w:val="1"/>
      <w:marLeft w:val="0"/>
      <w:marRight w:val="0"/>
      <w:marTop w:val="0"/>
      <w:marBottom w:val="0"/>
      <w:divBdr>
        <w:top w:val="none" w:sz="0" w:space="0" w:color="auto"/>
        <w:left w:val="none" w:sz="0" w:space="0" w:color="auto"/>
        <w:bottom w:val="none" w:sz="0" w:space="0" w:color="auto"/>
        <w:right w:val="none" w:sz="0" w:space="0" w:color="auto"/>
      </w:divBdr>
    </w:div>
    <w:div w:id="1207179641">
      <w:bodyDiv w:val="1"/>
      <w:marLeft w:val="0"/>
      <w:marRight w:val="0"/>
      <w:marTop w:val="0"/>
      <w:marBottom w:val="0"/>
      <w:divBdr>
        <w:top w:val="none" w:sz="0" w:space="0" w:color="auto"/>
        <w:left w:val="none" w:sz="0" w:space="0" w:color="auto"/>
        <w:bottom w:val="none" w:sz="0" w:space="0" w:color="auto"/>
        <w:right w:val="none" w:sz="0" w:space="0" w:color="auto"/>
      </w:divBdr>
    </w:div>
    <w:div w:id="1571111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37EA2-2895-4C74-9107-49F544BB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21</Pages>
  <Words>43920</Words>
  <Characters>241562</Characters>
  <Application>Microsoft Office Word</Application>
  <DocSecurity>0</DocSecurity>
  <Lines>2013</Lines>
  <Paragraphs>569</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284913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pdelanaye</cp:lastModifiedBy>
  <cp:revision>10</cp:revision>
  <cp:lastPrinted>2015-03-23T15:18:00Z</cp:lastPrinted>
  <dcterms:created xsi:type="dcterms:W3CDTF">2015-05-13T07:33:00Z</dcterms:created>
  <dcterms:modified xsi:type="dcterms:W3CDTF">2015-05-13T10:52:00Z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zotero-version="4.0.26.3"&gt;&lt;session id="90RYFFQ2"/&gt;&lt;style id="http://www.zotero.org/styles/vancouver" hasBibliography="1" bibliographyStyleHasBeenSet="1"/&gt;&lt;prefs&gt;&lt;pref name="fieldType" value="Field"/&gt;&lt;pref name="storeReferences" valu</vt:lpwstr>
  </property>
  <property fmtid="{D5CDD505-2E9C-101B-9397-08002B2CF9AE}" pid="3" name="ZOTERO_PREF_2">
    <vt:lpwstr>e="true"/&gt;&lt;pref name="automaticJournalAbbreviations" value="true"/&gt;&lt;pref name="noteType" value="0"/&gt;&lt;/prefs&gt;&lt;/data&gt;</vt:lpwstr>
  </property>
</Properties>
</file>