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021" w:rsidRPr="00CD598F" w:rsidRDefault="00F27021" w:rsidP="00F27021">
      <w:pPr>
        <w:rPr>
          <w:rFonts w:ascii="Times" w:hAnsi="Times" w:cs="Helvetica"/>
          <w:sz w:val="20"/>
          <w:szCs w:val="20"/>
          <w:lang w:val="en-GB"/>
        </w:rPr>
      </w:pPr>
      <w:r w:rsidRPr="00CD598F">
        <w:rPr>
          <w:rFonts w:ascii="Times" w:hAnsi="Times" w:cs="Helvetica"/>
          <w:sz w:val="20"/>
          <w:szCs w:val="20"/>
          <w:lang w:val="en-GB"/>
        </w:rPr>
        <w:t>Abstract N°2</w:t>
      </w:r>
    </w:p>
    <w:p w:rsidR="00F27021" w:rsidRPr="00CD598F" w:rsidRDefault="00F27021" w:rsidP="00F27021">
      <w:pPr>
        <w:rPr>
          <w:rFonts w:ascii="Times" w:hAnsi="Times" w:cs="Helvetica"/>
          <w:sz w:val="20"/>
          <w:szCs w:val="20"/>
          <w:lang w:val="en-GB"/>
        </w:rPr>
      </w:pPr>
    </w:p>
    <w:p w:rsidR="00F27021" w:rsidRPr="00CD598F" w:rsidRDefault="00F27021" w:rsidP="00F27021">
      <w:pPr>
        <w:widowControl w:val="0"/>
        <w:autoSpaceDE w:val="0"/>
        <w:autoSpaceDN w:val="0"/>
        <w:adjustRightInd w:val="0"/>
        <w:rPr>
          <w:rFonts w:ascii="Times" w:hAnsi="Times"/>
          <w:b/>
          <w:sz w:val="20"/>
          <w:szCs w:val="20"/>
          <w:lang w:val="en-GB"/>
        </w:rPr>
      </w:pPr>
      <w:proofErr w:type="spellStart"/>
      <w:r w:rsidRPr="00CD598F">
        <w:rPr>
          <w:rFonts w:ascii="Times" w:hAnsi="Times" w:cs="Lucida Grande"/>
          <w:b/>
          <w:color w:val="000000"/>
          <w:sz w:val="20"/>
          <w:szCs w:val="20"/>
          <w:lang w:val="en-GB"/>
        </w:rPr>
        <w:t>Cockcroft&amp;Gault</w:t>
      </w:r>
      <w:proofErr w:type="spellEnd"/>
      <w:r w:rsidRPr="00CD598F">
        <w:rPr>
          <w:rFonts w:ascii="Times" w:hAnsi="Times" w:cs="Lucida Grande"/>
          <w:b/>
          <w:color w:val="000000"/>
          <w:sz w:val="20"/>
          <w:szCs w:val="20"/>
          <w:lang w:val="en-GB"/>
        </w:rPr>
        <w:t xml:space="preserve"> and </w:t>
      </w:r>
      <w:r w:rsidRPr="00CD598F">
        <w:rPr>
          <w:rFonts w:ascii="Times" w:hAnsi="Times"/>
          <w:b/>
          <w:sz w:val="20"/>
          <w:szCs w:val="20"/>
          <w:lang w:val="en-GB"/>
        </w:rPr>
        <w:t>CKD-EPI equations</w:t>
      </w:r>
      <w:r>
        <w:rPr>
          <w:rFonts w:ascii="Times" w:hAnsi="Times"/>
          <w:b/>
          <w:sz w:val="20"/>
          <w:szCs w:val="20"/>
          <w:lang w:val="en-GB"/>
        </w:rPr>
        <w:t>: are these equations concordant to adjust drug dosage?</w:t>
      </w:r>
    </w:p>
    <w:p w:rsidR="00F27021" w:rsidRPr="00CD598F" w:rsidRDefault="00F27021" w:rsidP="00F27021">
      <w:pPr>
        <w:rPr>
          <w:rFonts w:ascii="Times" w:hAnsi="Times"/>
          <w:sz w:val="20"/>
          <w:szCs w:val="20"/>
          <w:u w:val="single"/>
          <w:lang w:val="en-GB"/>
        </w:rPr>
      </w:pPr>
    </w:p>
    <w:p w:rsidR="00F27021" w:rsidRPr="00DD105B" w:rsidRDefault="00F27021" w:rsidP="00F27021">
      <w:pPr>
        <w:widowControl w:val="0"/>
        <w:autoSpaceDE w:val="0"/>
        <w:autoSpaceDN w:val="0"/>
        <w:adjustRightInd w:val="0"/>
        <w:rPr>
          <w:rFonts w:ascii="Times" w:hAnsi="Times" w:cs="Times New Roman"/>
          <w:sz w:val="20"/>
          <w:szCs w:val="20"/>
        </w:rPr>
      </w:pPr>
      <w:r w:rsidRPr="00447847">
        <w:rPr>
          <w:rFonts w:ascii="Times" w:hAnsi="Times" w:cs="Times New Roman"/>
          <w:sz w:val="20"/>
          <w:szCs w:val="20"/>
          <w:lang w:val="fr-BE"/>
        </w:rPr>
        <w:t>Antoine Bouquegneau</w:t>
      </w:r>
      <w:r w:rsidRPr="00447847">
        <w:rPr>
          <w:rFonts w:ascii="Times" w:hAnsi="Times" w:cs="Times New Roman"/>
          <w:sz w:val="20"/>
          <w:szCs w:val="20"/>
          <w:vertAlign w:val="superscript"/>
          <w:lang w:val="fr-BE"/>
        </w:rPr>
        <w:t>1</w:t>
      </w:r>
      <w:r w:rsidRPr="00447847">
        <w:rPr>
          <w:rFonts w:ascii="Times" w:hAnsi="Times" w:cs="Times New Roman"/>
          <w:sz w:val="20"/>
          <w:szCs w:val="20"/>
          <w:lang w:val="fr-BE"/>
        </w:rPr>
        <w:t>, Emmanuelle Vidal-Petiot</w:t>
      </w:r>
      <w:r w:rsidRPr="00447847">
        <w:rPr>
          <w:rFonts w:ascii="Times" w:hAnsi="Times" w:cs="Times New Roman"/>
          <w:sz w:val="20"/>
          <w:szCs w:val="20"/>
          <w:vertAlign w:val="superscript"/>
          <w:lang w:val="fr-BE"/>
        </w:rPr>
        <w:t>2</w:t>
      </w:r>
      <w:r w:rsidRPr="00447847">
        <w:rPr>
          <w:rFonts w:ascii="Times" w:hAnsi="Times" w:cs="Times New Roman"/>
          <w:sz w:val="20"/>
          <w:szCs w:val="20"/>
          <w:lang w:val="fr-BE"/>
        </w:rPr>
        <w:t>, François Vrtovsnik</w:t>
      </w:r>
      <w:r w:rsidRPr="00447847">
        <w:rPr>
          <w:rFonts w:ascii="Times" w:hAnsi="Times" w:cs="Times New Roman"/>
          <w:sz w:val="20"/>
          <w:szCs w:val="20"/>
          <w:vertAlign w:val="superscript"/>
          <w:lang w:val="fr-BE"/>
        </w:rPr>
        <w:t>2</w:t>
      </w:r>
      <w:r w:rsidRPr="00447847">
        <w:rPr>
          <w:rFonts w:ascii="Times" w:hAnsi="Times" w:cs="Times New Roman"/>
          <w:sz w:val="20"/>
          <w:szCs w:val="20"/>
          <w:lang w:val="fr-BE"/>
        </w:rPr>
        <w:t>, Et</w:t>
      </w:r>
      <w:proofErr w:type="spellStart"/>
      <w:r w:rsidRPr="00DD105B">
        <w:rPr>
          <w:rFonts w:ascii="Times" w:hAnsi="Times" w:cs="Times New Roman"/>
          <w:sz w:val="20"/>
          <w:szCs w:val="20"/>
        </w:rPr>
        <w:t>ienne</w:t>
      </w:r>
      <w:proofErr w:type="spellEnd"/>
      <w:r w:rsidRPr="00DD105B">
        <w:rPr>
          <w:rFonts w:ascii="Times" w:hAnsi="Times" w:cs="Times New Roman"/>
          <w:sz w:val="20"/>
          <w:szCs w:val="20"/>
        </w:rPr>
        <w:t xml:space="preserve"> Cavalier</w:t>
      </w:r>
      <w:r w:rsidRPr="00DD105B">
        <w:rPr>
          <w:rFonts w:ascii="Times" w:hAnsi="Times" w:cs="Times New Roman"/>
          <w:sz w:val="20"/>
          <w:szCs w:val="20"/>
          <w:vertAlign w:val="superscript"/>
        </w:rPr>
        <w:t>3</w:t>
      </w:r>
      <w:r>
        <w:rPr>
          <w:rFonts w:ascii="Times" w:hAnsi="Times" w:cs="Times New Roman"/>
          <w:sz w:val="20"/>
          <w:szCs w:val="20"/>
        </w:rPr>
        <w:t xml:space="preserve">, </w:t>
      </w:r>
      <w:r w:rsidRPr="00DD105B">
        <w:rPr>
          <w:rFonts w:ascii="Times" w:hAnsi="Times" w:cs="Times New Roman"/>
          <w:sz w:val="20"/>
          <w:szCs w:val="20"/>
        </w:rPr>
        <w:t>Jean-Marie Krzesinski</w:t>
      </w:r>
      <w:r w:rsidRPr="00DD105B">
        <w:rPr>
          <w:rFonts w:ascii="Times" w:hAnsi="Times" w:cs="Times New Roman"/>
          <w:sz w:val="20"/>
          <w:szCs w:val="20"/>
          <w:vertAlign w:val="superscript"/>
        </w:rPr>
        <w:t>1</w:t>
      </w:r>
      <w:r w:rsidRPr="00DD105B">
        <w:rPr>
          <w:rFonts w:ascii="Times" w:hAnsi="Times" w:cs="Times New Roman"/>
          <w:sz w:val="20"/>
          <w:szCs w:val="20"/>
        </w:rPr>
        <w:t>, Martin Flamant</w:t>
      </w:r>
      <w:r w:rsidRPr="00DD105B">
        <w:rPr>
          <w:rFonts w:ascii="Times" w:hAnsi="Times" w:cs="Times New Roman"/>
          <w:sz w:val="20"/>
          <w:szCs w:val="20"/>
          <w:vertAlign w:val="superscript"/>
        </w:rPr>
        <w:t>2</w:t>
      </w:r>
      <w:r w:rsidRPr="00DD105B">
        <w:rPr>
          <w:rFonts w:ascii="Times" w:hAnsi="Times" w:cs="Times New Roman"/>
          <w:sz w:val="20"/>
          <w:szCs w:val="20"/>
        </w:rPr>
        <w:t>, Pierre Delanaye</w:t>
      </w:r>
      <w:r w:rsidRPr="00DD105B">
        <w:rPr>
          <w:rFonts w:ascii="Times" w:hAnsi="Times" w:cs="Times New Roman"/>
          <w:sz w:val="20"/>
          <w:szCs w:val="20"/>
          <w:vertAlign w:val="superscript"/>
        </w:rPr>
        <w:t>1</w:t>
      </w:r>
    </w:p>
    <w:p w:rsidR="00F27021" w:rsidRPr="003B5584" w:rsidRDefault="00F27021" w:rsidP="00F27021">
      <w:pPr>
        <w:rPr>
          <w:rFonts w:ascii="Times" w:hAnsi="Times"/>
          <w:color w:val="000000"/>
          <w:sz w:val="20"/>
          <w:szCs w:val="20"/>
          <w:lang w:val="fr-BE"/>
        </w:rPr>
      </w:pPr>
    </w:p>
    <w:p w:rsidR="00F27021" w:rsidRPr="00DD105B" w:rsidRDefault="00F27021" w:rsidP="00F27021">
      <w:pPr>
        <w:widowControl w:val="0"/>
        <w:autoSpaceDE w:val="0"/>
        <w:autoSpaceDN w:val="0"/>
        <w:adjustRightInd w:val="0"/>
        <w:rPr>
          <w:rFonts w:ascii="Times" w:hAnsi="Times" w:cs="Times New Roman"/>
          <w:sz w:val="20"/>
          <w:szCs w:val="20"/>
          <w:lang w:val="en-GB"/>
        </w:rPr>
      </w:pPr>
      <w:r w:rsidRPr="00DD105B">
        <w:rPr>
          <w:rFonts w:ascii="Times" w:hAnsi="Times" w:cs="Times New Roman"/>
          <w:sz w:val="20"/>
          <w:szCs w:val="20"/>
          <w:vertAlign w:val="superscript"/>
          <w:lang w:val="en-GB"/>
        </w:rPr>
        <w:t xml:space="preserve">1 </w:t>
      </w:r>
      <w:r w:rsidRPr="00DD105B">
        <w:rPr>
          <w:rFonts w:ascii="Times" w:hAnsi="Times" w:cs="Times New Roman"/>
          <w:sz w:val="20"/>
          <w:szCs w:val="20"/>
          <w:lang w:val="en-GB"/>
        </w:rPr>
        <w:t xml:space="preserve">Department of Nephrology-Dialysis-Transplantation, University of Liège, CHU </w:t>
      </w:r>
      <w:proofErr w:type="spellStart"/>
      <w:r w:rsidRPr="00DD105B">
        <w:rPr>
          <w:rFonts w:ascii="Times" w:hAnsi="Times" w:cs="Times New Roman"/>
          <w:sz w:val="20"/>
          <w:szCs w:val="20"/>
          <w:lang w:val="en-GB"/>
        </w:rPr>
        <w:t>Sart</w:t>
      </w:r>
      <w:proofErr w:type="spellEnd"/>
      <w:r w:rsidRPr="00DD105B">
        <w:rPr>
          <w:rFonts w:ascii="Times" w:hAnsi="Times" w:cs="Times New Roman"/>
          <w:sz w:val="20"/>
          <w:szCs w:val="20"/>
          <w:lang w:val="en-GB"/>
        </w:rPr>
        <w:t xml:space="preserve"> </w:t>
      </w:r>
      <w:proofErr w:type="spellStart"/>
      <w:r w:rsidRPr="00DD105B">
        <w:rPr>
          <w:rFonts w:ascii="Times" w:hAnsi="Times" w:cs="Times New Roman"/>
          <w:sz w:val="20"/>
          <w:szCs w:val="20"/>
          <w:lang w:val="en-GB"/>
        </w:rPr>
        <w:t>Tilman</w:t>
      </w:r>
      <w:proofErr w:type="spellEnd"/>
      <w:r w:rsidRPr="00DD105B">
        <w:rPr>
          <w:rFonts w:ascii="Times" w:hAnsi="Times" w:cs="Times New Roman"/>
          <w:sz w:val="20"/>
          <w:szCs w:val="20"/>
          <w:lang w:val="en-GB"/>
        </w:rPr>
        <w:t>,</w:t>
      </w:r>
    </w:p>
    <w:p w:rsidR="00F27021" w:rsidRPr="00DD105B" w:rsidRDefault="00F27021" w:rsidP="00F27021">
      <w:pPr>
        <w:widowControl w:val="0"/>
        <w:autoSpaceDE w:val="0"/>
        <w:autoSpaceDN w:val="0"/>
        <w:adjustRightInd w:val="0"/>
        <w:rPr>
          <w:rFonts w:ascii="Times" w:hAnsi="Times" w:cs="Times New Roman"/>
          <w:sz w:val="20"/>
          <w:szCs w:val="20"/>
          <w:lang w:val="en-GB"/>
        </w:rPr>
      </w:pPr>
      <w:r w:rsidRPr="00DD105B">
        <w:rPr>
          <w:rFonts w:ascii="Times" w:hAnsi="Times" w:cs="Times New Roman"/>
          <w:sz w:val="20"/>
          <w:szCs w:val="20"/>
          <w:lang w:val="en-GB"/>
        </w:rPr>
        <w:t>Liège, Belgium</w:t>
      </w:r>
    </w:p>
    <w:p w:rsidR="00F27021" w:rsidRPr="00DD105B" w:rsidRDefault="00F27021" w:rsidP="00F27021">
      <w:pPr>
        <w:widowControl w:val="0"/>
        <w:autoSpaceDE w:val="0"/>
        <w:autoSpaceDN w:val="0"/>
        <w:adjustRightInd w:val="0"/>
        <w:rPr>
          <w:rFonts w:ascii="Times" w:hAnsi="Times" w:cs="Times New Roman"/>
          <w:sz w:val="20"/>
          <w:szCs w:val="20"/>
          <w:lang w:val="en-GB"/>
        </w:rPr>
      </w:pPr>
      <w:r w:rsidRPr="00DD105B">
        <w:rPr>
          <w:rFonts w:ascii="Times" w:hAnsi="Times" w:cs="Times New Roman"/>
          <w:sz w:val="20"/>
          <w:szCs w:val="20"/>
          <w:vertAlign w:val="superscript"/>
          <w:lang w:val="en-GB"/>
        </w:rPr>
        <w:t>2</w:t>
      </w:r>
      <w:r w:rsidRPr="00DD105B">
        <w:rPr>
          <w:rFonts w:ascii="Times" w:hAnsi="Times" w:cs="Times New Roman"/>
          <w:sz w:val="20"/>
          <w:szCs w:val="20"/>
          <w:lang w:val="en-GB"/>
        </w:rPr>
        <w:t xml:space="preserve"> Department of Renal Physiology, </w:t>
      </w:r>
      <w:proofErr w:type="spellStart"/>
      <w:r w:rsidRPr="00DD105B">
        <w:rPr>
          <w:rFonts w:ascii="Times" w:hAnsi="Times" w:cs="Times New Roman"/>
          <w:sz w:val="20"/>
          <w:szCs w:val="20"/>
          <w:lang w:val="en-GB"/>
        </w:rPr>
        <w:t>Hôpital</w:t>
      </w:r>
      <w:proofErr w:type="spellEnd"/>
      <w:r w:rsidRPr="00DD105B">
        <w:rPr>
          <w:rFonts w:ascii="Times" w:hAnsi="Times" w:cs="Times New Roman"/>
          <w:sz w:val="20"/>
          <w:szCs w:val="20"/>
          <w:lang w:val="en-GB"/>
        </w:rPr>
        <w:t xml:space="preserve"> Bichat, AP-HP and Denis Diderot University,</w:t>
      </w:r>
    </w:p>
    <w:p w:rsidR="00F27021" w:rsidRPr="00DD105B" w:rsidRDefault="00F27021" w:rsidP="00F27021">
      <w:pPr>
        <w:widowControl w:val="0"/>
        <w:autoSpaceDE w:val="0"/>
        <w:autoSpaceDN w:val="0"/>
        <w:adjustRightInd w:val="0"/>
        <w:rPr>
          <w:rFonts w:ascii="Times" w:hAnsi="Times" w:cs="Times New Roman"/>
          <w:sz w:val="20"/>
          <w:szCs w:val="20"/>
          <w:lang w:val="en-GB"/>
        </w:rPr>
      </w:pPr>
      <w:r w:rsidRPr="00DD105B">
        <w:rPr>
          <w:rFonts w:ascii="Times" w:hAnsi="Times" w:cs="Times New Roman"/>
          <w:sz w:val="20"/>
          <w:szCs w:val="20"/>
          <w:lang w:val="en-GB"/>
        </w:rPr>
        <w:t>Paris, France</w:t>
      </w:r>
    </w:p>
    <w:p w:rsidR="00F27021" w:rsidRPr="00DD105B" w:rsidRDefault="00F27021" w:rsidP="00F27021">
      <w:pPr>
        <w:widowControl w:val="0"/>
        <w:autoSpaceDE w:val="0"/>
        <w:autoSpaceDN w:val="0"/>
        <w:adjustRightInd w:val="0"/>
        <w:rPr>
          <w:rFonts w:ascii="Times" w:hAnsi="Times" w:cs="Times New Roman"/>
          <w:sz w:val="20"/>
          <w:szCs w:val="20"/>
          <w:lang w:val="en-GB"/>
        </w:rPr>
      </w:pPr>
      <w:r w:rsidRPr="00DD105B">
        <w:rPr>
          <w:rFonts w:ascii="Times" w:hAnsi="Times" w:cs="Times New Roman"/>
          <w:sz w:val="20"/>
          <w:szCs w:val="20"/>
          <w:vertAlign w:val="superscript"/>
          <w:lang w:val="en-GB"/>
        </w:rPr>
        <w:t>3</w:t>
      </w:r>
      <w:r w:rsidRPr="00DD105B">
        <w:rPr>
          <w:rFonts w:ascii="Times" w:hAnsi="Times" w:cs="Times New Roman"/>
          <w:sz w:val="20"/>
          <w:szCs w:val="20"/>
          <w:lang w:val="en-GB"/>
        </w:rPr>
        <w:t xml:space="preserve"> Department of Clinical Chemistry, University of Liège, CHU </w:t>
      </w:r>
      <w:proofErr w:type="spellStart"/>
      <w:r w:rsidRPr="00DD105B">
        <w:rPr>
          <w:rFonts w:ascii="Times" w:hAnsi="Times" w:cs="Times New Roman"/>
          <w:sz w:val="20"/>
          <w:szCs w:val="20"/>
          <w:lang w:val="en-GB"/>
        </w:rPr>
        <w:t>Sart</w:t>
      </w:r>
      <w:proofErr w:type="spellEnd"/>
      <w:r w:rsidRPr="00DD105B">
        <w:rPr>
          <w:rFonts w:ascii="Times" w:hAnsi="Times" w:cs="Times New Roman"/>
          <w:sz w:val="20"/>
          <w:szCs w:val="20"/>
          <w:lang w:val="en-GB"/>
        </w:rPr>
        <w:t xml:space="preserve"> </w:t>
      </w:r>
      <w:proofErr w:type="spellStart"/>
      <w:r w:rsidRPr="00DD105B">
        <w:rPr>
          <w:rFonts w:ascii="Times" w:hAnsi="Times" w:cs="Times New Roman"/>
          <w:sz w:val="20"/>
          <w:szCs w:val="20"/>
          <w:lang w:val="en-GB"/>
        </w:rPr>
        <w:t>Tilman</w:t>
      </w:r>
      <w:proofErr w:type="spellEnd"/>
      <w:r w:rsidRPr="00DD105B">
        <w:rPr>
          <w:rFonts w:ascii="Times" w:hAnsi="Times" w:cs="Times New Roman"/>
          <w:sz w:val="20"/>
          <w:szCs w:val="20"/>
          <w:lang w:val="en-GB"/>
        </w:rPr>
        <w:t>, Liège, Belgium</w:t>
      </w:r>
    </w:p>
    <w:p w:rsidR="00F27021" w:rsidRPr="00DD105B" w:rsidRDefault="00F27021" w:rsidP="00F27021">
      <w:pPr>
        <w:rPr>
          <w:rFonts w:ascii="Times" w:hAnsi="Times" w:cs="Times New Roman"/>
          <w:sz w:val="20"/>
          <w:szCs w:val="20"/>
          <w:lang w:val="en-GB"/>
        </w:rPr>
      </w:pPr>
      <w:r w:rsidRPr="00DD105B">
        <w:rPr>
          <w:rFonts w:ascii="Times" w:hAnsi="Times" w:cs="Times New Roman"/>
          <w:sz w:val="20"/>
          <w:szCs w:val="20"/>
          <w:vertAlign w:val="superscript"/>
          <w:lang w:val="en-GB"/>
        </w:rPr>
        <w:t>4</w:t>
      </w:r>
      <w:r w:rsidRPr="00DD105B">
        <w:rPr>
          <w:rFonts w:ascii="Times" w:hAnsi="Times" w:cs="Times New Roman"/>
          <w:sz w:val="20"/>
          <w:szCs w:val="20"/>
          <w:lang w:val="en-GB"/>
        </w:rPr>
        <w:t xml:space="preserve"> Department of </w:t>
      </w:r>
      <w:proofErr w:type="spellStart"/>
      <w:r w:rsidRPr="00DD105B">
        <w:rPr>
          <w:rFonts w:ascii="Times" w:hAnsi="Times" w:cs="Times New Roman"/>
          <w:sz w:val="20"/>
          <w:szCs w:val="20"/>
          <w:lang w:val="en-GB"/>
        </w:rPr>
        <w:t>Diabetology</w:t>
      </w:r>
      <w:proofErr w:type="spellEnd"/>
      <w:r w:rsidRPr="00DD105B">
        <w:rPr>
          <w:rFonts w:ascii="Times" w:hAnsi="Times" w:cs="Times New Roman"/>
          <w:sz w:val="20"/>
          <w:szCs w:val="20"/>
          <w:lang w:val="en-GB"/>
        </w:rPr>
        <w:t xml:space="preserve">, University of Liège, CHU </w:t>
      </w:r>
      <w:proofErr w:type="spellStart"/>
      <w:r w:rsidRPr="00DD105B">
        <w:rPr>
          <w:rFonts w:ascii="Times" w:hAnsi="Times" w:cs="Times New Roman"/>
          <w:sz w:val="20"/>
          <w:szCs w:val="20"/>
          <w:lang w:val="en-GB"/>
        </w:rPr>
        <w:t>Sart</w:t>
      </w:r>
      <w:proofErr w:type="spellEnd"/>
      <w:r w:rsidRPr="00DD105B">
        <w:rPr>
          <w:rFonts w:ascii="Times" w:hAnsi="Times" w:cs="Times New Roman"/>
          <w:sz w:val="20"/>
          <w:szCs w:val="20"/>
          <w:lang w:val="en-GB"/>
        </w:rPr>
        <w:t xml:space="preserve"> </w:t>
      </w:r>
      <w:proofErr w:type="spellStart"/>
      <w:r w:rsidRPr="00DD105B">
        <w:rPr>
          <w:rFonts w:ascii="Times" w:hAnsi="Times" w:cs="Times New Roman"/>
          <w:sz w:val="20"/>
          <w:szCs w:val="20"/>
          <w:lang w:val="en-GB"/>
        </w:rPr>
        <w:t>Tilman</w:t>
      </w:r>
      <w:proofErr w:type="spellEnd"/>
      <w:r w:rsidRPr="00DD105B">
        <w:rPr>
          <w:rFonts w:ascii="Times" w:hAnsi="Times" w:cs="Times New Roman"/>
          <w:sz w:val="20"/>
          <w:szCs w:val="20"/>
          <w:lang w:val="en-GB"/>
        </w:rPr>
        <w:t>, Liège, Belgium</w:t>
      </w:r>
    </w:p>
    <w:p w:rsidR="00F27021" w:rsidRPr="00DD105B" w:rsidRDefault="00F27021" w:rsidP="00F27021">
      <w:pPr>
        <w:rPr>
          <w:rFonts w:ascii="Times" w:hAnsi="Times"/>
          <w:color w:val="000000"/>
          <w:sz w:val="20"/>
          <w:szCs w:val="20"/>
          <w:lang w:val="en-GB"/>
        </w:rPr>
      </w:pPr>
    </w:p>
    <w:p w:rsidR="00F27021" w:rsidRPr="00DD105B" w:rsidRDefault="00F27021" w:rsidP="00F27021">
      <w:pPr>
        <w:widowControl w:val="0"/>
        <w:autoSpaceDE w:val="0"/>
        <w:autoSpaceDN w:val="0"/>
        <w:adjustRightInd w:val="0"/>
        <w:rPr>
          <w:rFonts w:ascii="Times" w:hAnsi="Times"/>
          <w:sz w:val="20"/>
          <w:szCs w:val="20"/>
          <w:lang w:val="en-GB"/>
        </w:rPr>
      </w:pPr>
      <w:r w:rsidRPr="00DD105B">
        <w:rPr>
          <w:rFonts w:ascii="Times" w:hAnsi="Times"/>
          <w:sz w:val="20"/>
          <w:szCs w:val="20"/>
          <w:u w:val="single"/>
          <w:lang w:val="en-GB"/>
        </w:rPr>
        <w:t>Introduction:</w:t>
      </w:r>
      <w:r w:rsidRPr="00DD105B">
        <w:rPr>
          <w:rFonts w:ascii="Times" w:hAnsi="Times"/>
          <w:sz w:val="20"/>
          <w:szCs w:val="20"/>
          <w:lang w:val="en-GB"/>
        </w:rPr>
        <w:t xml:space="preserve"> </w:t>
      </w:r>
    </w:p>
    <w:p w:rsidR="00F27021" w:rsidRPr="00CD598F" w:rsidRDefault="00F27021" w:rsidP="00F27021">
      <w:pPr>
        <w:widowControl w:val="0"/>
        <w:autoSpaceDE w:val="0"/>
        <w:autoSpaceDN w:val="0"/>
        <w:adjustRightInd w:val="0"/>
        <w:rPr>
          <w:rFonts w:ascii="Times" w:hAnsi="Times" w:cs="Times New Roman"/>
          <w:sz w:val="20"/>
          <w:szCs w:val="20"/>
          <w:lang w:val="en-GB"/>
        </w:rPr>
      </w:pPr>
      <w:r w:rsidRPr="00CD598F">
        <w:rPr>
          <w:rFonts w:ascii="Times" w:hAnsi="Times"/>
          <w:sz w:val="20"/>
          <w:szCs w:val="20"/>
          <w:lang w:val="en-GB"/>
        </w:rPr>
        <w:t xml:space="preserve">When obese patients are considered, one important issue is the question of </w:t>
      </w:r>
      <w:r>
        <w:rPr>
          <w:rFonts w:ascii="Times" w:hAnsi="Times"/>
          <w:sz w:val="20"/>
          <w:szCs w:val="20"/>
          <w:lang w:val="en-GB"/>
        </w:rPr>
        <w:t>body surface area (</w:t>
      </w:r>
      <w:r w:rsidRPr="00CD598F">
        <w:rPr>
          <w:rFonts w:ascii="Times" w:hAnsi="Times"/>
          <w:sz w:val="20"/>
          <w:szCs w:val="20"/>
          <w:lang w:val="en-GB"/>
        </w:rPr>
        <w:t>BSA</w:t>
      </w:r>
      <w:r>
        <w:rPr>
          <w:rFonts w:ascii="Times" w:hAnsi="Times"/>
          <w:sz w:val="20"/>
          <w:szCs w:val="20"/>
          <w:lang w:val="en-GB"/>
        </w:rPr>
        <w:t>)</w:t>
      </w:r>
      <w:r w:rsidRPr="00CD598F">
        <w:rPr>
          <w:rFonts w:ascii="Times" w:hAnsi="Times"/>
          <w:sz w:val="20"/>
          <w:szCs w:val="20"/>
          <w:lang w:val="en-GB"/>
        </w:rPr>
        <w:t xml:space="preserve"> indexation.</w:t>
      </w:r>
      <w:r>
        <w:rPr>
          <w:rFonts w:ascii="Times" w:hAnsi="Times"/>
          <w:sz w:val="20"/>
          <w:szCs w:val="20"/>
          <w:lang w:val="en-GB"/>
        </w:rPr>
        <w:t xml:space="preserve"> In Pharmacology, the </w:t>
      </w:r>
      <w:proofErr w:type="spellStart"/>
      <w:r w:rsidRPr="00096FD1">
        <w:rPr>
          <w:rFonts w:ascii="Times" w:hAnsi="Times" w:cs="Lucida Grande"/>
          <w:color w:val="000000"/>
          <w:sz w:val="20"/>
          <w:szCs w:val="20"/>
          <w:lang w:val="en-GB"/>
        </w:rPr>
        <w:t>Cockcroft&amp;Gault</w:t>
      </w:r>
      <w:proofErr w:type="spellEnd"/>
      <w:r>
        <w:rPr>
          <w:rFonts w:ascii="Times" w:hAnsi="Times" w:cs="Lucida Grande"/>
          <w:color w:val="000000"/>
          <w:sz w:val="20"/>
          <w:szCs w:val="20"/>
          <w:lang w:val="en-GB"/>
        </w:rPr>
        <w:t xml:space="preserve"> (CG)</w:t>
      </w:r>
      <w:r w:rsidRPr="00CD598F">
        <w:rPr>
          <w:rFonts w:ascii="Times" w:hAnsi="Times" w:cs="Lucida Grande"/>
          <w:b/>
          <w:color w:val="000000"/>
          <w:sz w:val="20"/>
          <w:szCs w:val="20"/>
          <w:lang w:val="en-GB"/>
        </w:rPr>
        <w:t xml:space="preserve"> </w:t>
      </w:r>
      <w:r w:rsidRPr="0085246D">
        <w:rPr>
          <w:rFonts w:ascii="Times" w:hAnsi="Times" w:cs="Lucida Grande"/>
          <w:color w:val="000000"/>
          <w:sz w:val="20"/>
          <w:szCs w:val="20"/>
          <w:lang w:val="en-GB"/>
        </w:rPr>
        <w:t>equation</w:t>
      </w:r>
      <w:r>
        <w:rPr>
          <w:rFonts w:ascii="Times" w:hAnsi="Times" w:cs="Lucida Grande"/>
          <w:color w:val="000000"/>
          <w:sz w:val="20"/>
          <w:szCs w:val="20"/>
          <w:lang w:val="en-GB"/>
        </w:rPr>
        <w:t xml:space="preserve"> is still recommended </w:t>
      </w:r>
      <w:r w:rsidRPr="00CD598F">
        <w:rPr>
          <w:rFonts w:ascii="Times" w:hAnsi="Times" w:cs="Lucida Grande"/>
          <w:color w:val="000000"/>
          <w:sz w:val="20"/>
          <w:szCs w:val="20"/>
          <w:lang w:val="en-GB"/>
        </w:rPr>
        <w:t>to adapt</w:t>
      </w:r>
      <w:r>
        <w:rPr>
          <w:rFonts w:ascii="Times" w:hAnsi="Times" w:cs="Lucida Grande"/>
          <w:color w:val="000000"/>
          <w:sz w:val="20"/>
          <w:szCs w:val="20"/>
          <w:lang w:val="en-GB"/>
        </w:rPr>
        <w:t xml:space="preserve"> drug dosage</w:t>
      </w:r>
      <w:r>
        <w:rPr>
          <w:rFonts w:ascii="Times" w:hAnsi="Times" w:cs="Times New Roman"/>
          <w:sz w:val="20"/>
          <w:szCs w:val="20"/>
          <w:lang w:val="en-GB"/>
        </w:rPr>
        <w:t>. In Nephrology, KDIGO recommend using CKD-EPI equation to estimate glomerular filtration rate (</w:t>
      </w:r>
      <w:proofErr w:type="spellStart"/>
      <w:r>
        <w:rPr>
          <w:rFonts w:ascii="Times" w:hAnsi="Times" w:cs="Times New Roman"/>
          <w:sz w:val="20"/>
          <w:szCs w:val="20"/>
          <w:lang w:val="en-GB"/>
        </w:rPr>
        <w:t>eGFR</w:t>
      </w:r>
      <w:proofErr w:type="spellEnd"/>
      <w:r>
        <w:rPr>
          <w:rFonts w:ascii="Times" w:hAnsi="Times" w:cs="Times New Roman"/>
          <w:sz w:val="20"/>
          <w:szCs w:val="20"/>
          <w:lang w:val="en-GB"/>
        </w:rPr>
        <w:t xml:space="preserve">) and to “de-index” the equation to adjust drugs. Both in </w:t>
      </w:r>
      <w:proofErr w:type="spellStart"/>
      <w:r>
        <w:rPr>
          <w:rFonts w:ascii="Times" w:hAnsi="Times" w:cs="Times New Roman"/>
          <w:sz w:val="20"/>
          <w:szCs w:val="20"/>
          <w:lang w:val="en-GB"/>
        </w:rPr>
        <w:t>Pharmocology</w:t>
      </w:r>
      <w:proofErr w:type="spellEnd"/>
      <w:r>
        <w:rPr>
          <w:rFonts w:ascii="Times" w:hAnsi="Times" w:cs="Times New Roman"/>
          <w:sz w:val="20"/>
          <w:szCs w:val="20"/>
          <w:lang w:val="en-GB"/>
        </w:rPr>
        <w:t xml:space="preserve"> and Nephrology, the variable “weight” matters in the context of obesity. Therefore, </w:t>
      </w:r>
      <w:r w:rsidRPr="00CD598F">
        <w:rPr>
          <w:rFonts w:ascii="Times" w:hAnsi="Times"/>
          <w:sz w:val="20"/>
          <w:szCs w:val="20"/>
          <w:lang w:val="en-GB"/>
        </w:rPr>
        <w:t>adjusted ideal body weight (AIBW)</w:t>
      </w:r>
      <w:r>
        <w:rPr>
          <w:rFonts w:ascii="Times" w:hAnsi="Times"/>
          <w:sz w:val="20"/>
          <w:szCs w:val="20"/>
          <w:lang w:val="en-GB"/>
        </w:rPr>
        <w:t xml:space="preserve"> is sometimes preferred to actual body weight in these patients.</w:t>
      </w:r>
      <w:r>
        <w:rPr>
          <w:rFonts w:ascii="Times" w:hAnsi="Times" w:cs="Times New Roman"/>
          <w:sz w:val="20"/>
          <w:szCs w:val="20"/>
          <w:lang w:val="en-GB"/>
        </w:rPr>
        <w:t xml:space="preserve"> In this study, we test the concordance of the different equations to adjust drug dosage.</w:t>
      </w:r>
    </w:p>
    <w:p w:rsidR="00F27021" w:rsidRPr="00CD598F" w:rsidRDefault="00F27021" w:rsidP="00F27021">
      <w:pPr>
        <w:rPr>
          <w:rFonts w:ascii="Times" w:hAnsi="Times"/>
          <w:sz w:val="20"/>
          <w:szCs w:val="20"/>
          <w:u w:val="single"/>
          <w:lang w:val="en-GB"/>
        </w:rPr>
      </w:pPr>
    </w:p>
    <w:p w:rsidR="00F27021" w:rsidRPr="00CD598F" w:rsidRDefault="00F27021" w:rsidP="00F27021">
      <w:pPr>
        <w:widowControl w:val="0"/>
        <w:autoSpaceDE w:val="0"/>
        <w:autoSpaceDN w:val="0"/>
        <w:adjustRightInd w:val="0"/>
        <w:rPr>
          <w:rFonts w:ascii="Times" w:hAnsi="Times"/>
          <w:sz w:val="20"/>
          <w:szCs w:val="20"/>
          <w:lang w:val="en-GB"/>
        </w:rPr>
      </w:pPr>
      <w:r w:rsidRPr="00CD598F">
        <w:rPr>
          <w:rFonts w:ascii="Times" w:hAnsi="Times"/>
          <w:sz w:val="20"/>
          <w:szCs w:val="20"/>
          <w:u w:val="single"/>
          <w:lang w:val="en-GB"/>
        </w:rPr>
        <w:t>Methods:</w:t>
      </w:r>
      <w:r w:rsidRPr="00CD598F">
        <w:rPr>
          <w:rFonts w:ascii="Times" w:hAnsi="Times"/>
          <w:sz w:val="20"/>
          <w:szCs w:val="20"/>
          <w:lang w:val="en-GB"/>
        </w:rPr>
        <w:t xml:space="preserve"> </w:t>
      </w:r>
      <w:r w:rsidRPr="00CD598F">
        <w:rPr>
          <w:rFonts w:ascii="Times" w:hAnsi="Times"/>
          <w:sz w:val="20"/>
          <w:szCs w:val="20"/>
          <w:lang w:val="en-GB"/>
        </w:rPr>
        <w:br/>
      </w:r>
      <w:r w:rsidRPr="007B210E">
        <w:rPr>
          <w:rFonts w:ascii="Times" w:hAnsi="Times"/>
          <w:sz w:val="20"/>
          <w:szCs w:val="20"/>
          <w:lang w:val="en-GB"/>
        </w:rPr>
        <w:t xml:space="preserve">Patients with body mass index (BMI) higher than 30 kg/m² were included. </w:t>
      </w:r>
      <w:r w:rsidRPr="007B210E">
        <w:rPr>
          <w:rFonts w:ascii="Times" w:hAnsi="Times" w:cs="Times New Roman"/>
          <w:sz w:val="20"/>
          <w:szCs w:val="20"/>
          <w:lang w:val="en-GB"/>
        </w:rPr>
        <w:t xml:space="preserve"> We calculate AIBW as followed:</w:t>
      </w:r>
      <w:r>
        <w:rPr>
          <w:rFonts w:ascii="Times" w:hAnsi="Times" w:cs="Times New Roman"/>
          <w:sz w:val="20"/>
          <w:szCs w:val="20"/>
          <w:lang w:val="en-GB"/>
        </w:rPr>
        <w:t xml:space="preserve"> Ideal Body Weight + (0.4</w:t>
      </w:r>
      <w:r w:rsidRPr="006F18AE">
        <w:rPr>
          <w:rFonts w:ascii="Times" w:hAnsi="Times" w:cs="Times New Roman"/>
          <w:sz w:val="20"/>
          <w:szCs w:val="20"/>
          <w:lang w:val="en-GB"/>
        </w:rPr>
        <w:t xml:space="preserve"> *(Actual Body Weight - Ideal Body Weight)).</w:t>
      </w:r>
      <w:r w:rsidRPr="007B210E">
        <w:rPr>
          <w:rFonts w:ascii="Times" w:hAnsi="Times" w:cs="Times New Roman"/>
          <w:sz w:val="20"/>
          <w:szCs w:val="20"/>
          <w:lang w:val="en-GB"/>
        </w:rPr>
        <w:t xml:space="preserve"> </w:t>
      </w:r>
      <w:r w:rsidRPr="007B210E">
        <w:rPr>
          <w:rFonts w:ascii="Times" w:hAnsi="Times"/>
          <w:sz w:val="20"/>
          <w:szCs w:val="20"/>
          <w:lang w:val="en-GB"/>
        </w:rPr>
        <w:t xml:space="preserve">In this work, we will </w:t>
      </w:r>
      <w:r>
        <w:rPr>
          <w:rFonts w:ascii="Times" w:hAnsi="Times"/>
          <w:sz w:val="20"/>
          <w:szCs w:val="20"/>
          <w:lang w:val="en-GB"/>
        </w:rPr>
        <w:t>compare</w:t>
      </w:r>
      <w:r w:rsidRPr="007B210E">
        <w:rPr>
          <w:rFonts w:ascii="Times" w:hAnsi="Times"/>
          <w:sz w:val="20"/>
          <w:szCs w:val="20"/>
          <w:lang w:val="en-GB"/>
        </w:rPr>
        <w:t xml:space="preserve"> results</w:t>
      </w:r>
      <w:r>
        <w:rPr>
          <w:rFonts w:ascii="Times" w:hAnsi="Times"/>
          <w:sz w:val="20"/>
          <w:szCs w:val="20"/>
          <w:lang w:val="en-GB"/>
        </w:rPr>
        <w:t xml:space="preserve"> obtained</w:t>
      </w:r>
      <w:r w:rsidRPr="007B210E">
        <w:rPr>
          <w:rFonts w:ascii="Times" w:hAnsi="Times"/>
          <w:sz w:val="20"/>
          <w:szCs w:val="20"/>
          <w:lang w:val="en-GB"/>
        </w:rPr>
        <w:t xml:space="preserve"> with CKD-EPI</w:t>
      </w:r>
      <w:r>
        <w:rPr>
          <w:rFonts w:ascii="Times" w:hAnsi="Times"/>
          <w:sz w:val="20"/>
          <w:szCs w:val="20"/>
          <w:lang w:val="en-GB"/>
        </w:rPr>
        <w:t>, using the “de-indexed” value, as recommended.</w:t>
      </w:r>
      <w:r w:rsidRPr="007B210E">
        <w:rPr>
          <w:rFonts w:ascii="Times" w:hAnsi="Times" w:cs="Times New Roman"/>
          <w:sz w:val="20"/>
          <w:szCs w:val="20"/>
          <w:lang w:val="en-GB"/>
        </w:rPr>
        <w:t xml:space="preserve"> </w:t>
      </w:r>
      <w:r w:rsidRPr="006F18AE">
        <w:rPr>
          <w:rFonts w:ascii="Times" w:hAnsi="Times" w:cs="Times New Roman"/>
          <w:sz w:val="20"/>
          <w:szCs w:val="20"/>
          <w:lang w:val="en-GB"/>
        </w:rPr>
        <w:t xml:space="preserve">It is calculated by multiplying </w:t>
      </w:r>
      <w:proofErr w:type="spellStart"/>
      <w:r w:rsidRPr="006F18AE">
        <w:rPr>
          <w:rFonts w:ascii="Times" w:hAnsi="Times" w:cs="Times New Roman"/>
          <w:sz w:val="20"/>
          <w:szCs w:val="20"/>
          <w:lang w:val="en-GB"/>
        </w:rPr>
        <w:t>eGFR</w:t>
      </w:r>
      <w:proofErr w:type="spellEnd"/>
      <w:r w:rsidRPr="006F18AE">
        <w:rPr>
          <w:rFonts w:ascii="Times" w:hAnsi="Times" w:cs="Times New Roman"/>
          <w:sz w:val="20"/>
          <w:szCs w:val="20"/>
          <w:lang w:val="en-GB"/>
        </w:rPr>
        <w:t xml:space="preserve"> by each individual’s body surface area and by dividing this intermediate result by 1.73 m</w:t>
      </w:r>
      <w:r w:rsidRPr="006F18AE">
        <w:rPr>
          <w:rFonts w:ascii="Times" w:hAnsi="Times" w:cs="Times New Roman"/>
          <w:sz w:val="20"/>
          <w:szCs w:val="20"/>
          <w:vertAlign w:val="superscript"/>
          <w:lang w:val="en-GB"/>
        </w:rPr>
        <w:t>2</w:t>
      </w:r>
      <w:r w:rsidRPr="007B210E">
        <w:rPr>
          <w:rFonts w:ascii="Times" w:hAnsi="Times"/>
          <w:sz w:val="20"/>
          <w:szCs w:val="20"/>
          <w:lang w:val="en-GB"/>
        </w:rPr>
        <w:t>. CG and CG</w:t>
      </w:r>
      <w:r w:rsidRPr="007B210E">
        <w:rPr>
          <w:rFonts w:ascii="Times" w:hAnsi="Times" w:cs="Lucida Grande"/>
          <w:color w:val="000000"/>
          <w:sz w:val="20"/>
          <w:szCs w:val="20"/>
          <w:vertAlign w:val="subscript"/>
          <w:lang w:val="en-GB"/>
        </w:rPr>
        <w:t xml:space="preserve">AIBW </w:t>
      </w:r>
      <w:r w:rsidRPr="007B210E">
        <w:rPr>
          <w:rFonts w:ascii="Times" w:hAnsi="Times" w:cs="Lucida Grande"/>
          <w:color w:val="000000"/>
          <w:sz w:val="20"/>
          <w:szCs w:val="20"/>
          <w:lang w:val="en-GB"/>
        </w:rPr>
        <w:t>are</w:t>
      </w:r>
      <w:r w:rsidRPr="007B210E">
        <w:rPr>
          <w:rFonts w:ascii="Times" w:hAnsi="Times" w:cs="Lucida Grande"/>
          <w:color w:val="000000"/>
          <w:sz w:val="20"/>
          <w:szCs w:val="20"/>
          <w:vertAlign w:val="subscript"/>
          <w:lang w:val="en-GB"/>
        </w:rPr>
        <w:t xml:space="preserve"> </w:t>
      </w:r>
      <w:r w:rsidRPr="007B210E">
        <w:rPr>
          <w:rFonts w:ascii="Times" w:hAnsi="Times"/>
          <w:sz w:val="20"/>
          <w:szCs w:val="20"/>
          <w:lang w:val="en-GB"/>
        </w:rPr>
        <w:t>non-indexed and</w:t>
      </w:r>
      <w:r>
        <w:rPr>
          <w:rFonts w:ascii="Times" w:hAnsi="Times"/>
          <w:sz w:val="20"/>
          <w:szCs w:val="20"/>
          <w:lang w:val="en-GB"/>
        </w:rPr>
        <w:t xml:space="preserve"> also</w:t>
      </w:r>
      <w:r w:rsidRPr="007B210E">
        <w:rPr>
          <w:rFonts w:ascii="Times" w:hAnsi="Times"/>
          <w:sz w:val="20"/>
          <w:szCs w:val="20"/>
          <w:lang w:val="en-GB"/>
        </w:rPr>
        <w:t xml:space="preserve"> expressed in mL/min. We calculated bias (defined as the mean difference between CKD-</w:t>
      </w:r>
      <w:proofErr w:type="spellStart"/>
      <w:r w:rsidRPr="007B210E">
        <w:rPr>
          <w:rFonts w:ascii="Times" w:hAnsi="Times"/>
          <w:sz w:val="20"/>
          <w:szCs w:val="20"/>
          <w:lang w:val="en-GB"/>
        </w:rPr>
        <w:t>EPI</w:t>
      </w:r>
      <w:r w:rsidRPr="007B210E">
        <w:rPr>
          <w:rFonts w:ascii="Times" w:hAnsi="Times" w:cs="Times"/>
          <w:sz w:val="20"/>
          <w:szCs w:val="20"/>
          <w:vertAlign w:val="subscript"/>
          <w:lang w:val="en-GB"/>
        </w:rPr>
        <w:t>deindexed</w:t>
      </w:r>
      <w:proofErr w:type="spellEnd"/>
      <w:r w:rsidRPr="007B210E">
        <w:rPr>
          <w:rFonts w:ascii="Times" w:hAnsi="Times"/>
          <w:sz w:val="20"/>
          <w:szCs w:val="20"/>
          <w:lang w:val="en-GB"/>
        </w:rPr>
        <w:t xml:space="preserve"> and CGs), precision (defined as the SD around the bias), and accuracy 30% (defined as the percentage of CKD-</w:t>
      </w:r>
      <w:proofErr w:type="spellStart"/>
      <w:r w:rsidRPr="007B210E">
        <w:rPr>
          <w:rFonts w:ascii="Times" w:hAnsi="Times"/>
          <w:sz w:val="20"/>
          <w:szCs w:val="20"/>
          <w:lang w:val="en-GB"/>
        </w:rPr>
        <w:t>EPI</w:t>
      </w:r>
      <w:r w:rsidRPr="007B210E">
        <w:rPr>
          <w:rFonts w:ascii="Times" w:hAnsi="Times" w:cs="Times"/>
          <w:sz w:val="20"/>
          <w:szCs w:val="20"/>
          <w:vertAlign w:val="subscript"/>
          <w:lang w:val="en-GB"/>
        </w:rPr>
        <w:t>deindexed</w:t>
      </w:r>
      <w:proofErr w:type="spellEnd"/>
      <w:r w:rsidRPr="007B210E">
        <w:rPr>
          <w:rFonts w:ascii="Times" w:hAnsi="Times"/>
          <w:sz w:val="20"/>
          <w:szCs w:val="20"/>
          <w:lang w:val="en-GB"/>
        </w:rPr>
        <w:t xml:space="preserve"> within ± 30% of CGs)</w:t>
      </w:r>
      <w:r>
        <w:rPr>
          <w:rFonts w:ascii="Times" w:hAnsi="Times"/>
          <w:sz w:val="20"/>
          <w:szCs w:val="20"/>
          <w:lang w:val="en-GB"/>
        </w:rPr>
        <w:t>. All patients were then classified according the level of GFR</w:t>
      </w:r>
      <w:r w:rsidRPr="007B210E">
        <w:rPr>
          <w:rFonts w:ascii="Times" w:hAnsi="Times"/>
          <w:sz w:val="20"/>
          <w:szCs w:val="20"/>
          <w:lang w:val="en-GB"/>
        </w:rPr>
        <w:t xml:space="preserve"> </w:t>
      </w:r>
      <w:r>
        <w:rPr>
          <w:rFonts w:ascii="Times" w:hAnsi="Times"/>
          <w:sz w:val="20"/>
          <w:szCs w:val="20"/>
          <w:lang w:val="en-GB"/>
        </w:rPr>
        <w:t xml:space="preserve">(stage 1: </w:t>
      </w:r>
      <w:proofErr w:type="spellStart"/>
      <w:r>
        <w:rPr>
          <w:rFonts w:ascii="Times" w:hAnsi="Times"/>
          <w:sz w:val="20"/>
          <w:szCs w:val="20"/>
          <w:lang w:val="en-GB"/>
        </w:rPr>
        <w:t>eGFR</w:t>
      </w:r>
      <w:proofErr w:type="spellEnd"/>
      <w:r>
        <w:rPr>
          <w:rFonts w:ascii="Times" w:hAnsi="Times"/>
          <w:sz w:val="20"/>
          <w:szCs w:val="20"/>
          <w:lang w:val="en-GB"/>
        </w:rPr>
        <w:t xml:space="preserve"> &gt; 90, stage 2: </w:t>
      </w:r>
      <w:proofErr w:type="spellStart"/>
      <w:r>
        <w:rPr>
          <w:rFonts w:ascii="Times" w:hAnsi="Times"/>
          <w:sz w:val="20"/>
          <w:szCs w:val="20"/>
          <w:lang w:val="en-GB"/>
        </w:rPr>
        <w:t>eGFR</w:t>
      </w:r>
      <w:proofErr w:type="spellEnd"/>
      <w:r>
        <w:rPr>
          <w:rFonts w:ascii="Times" w:hAnsi="Times"/>
          <w:sz w:val="20"/>
          <w:szCs w:val="20"/>
          <w:lang w:val="en-GB"/>
        </w:rPr>
        <w:t xml:space="preserve"> 60-90, stage 3: </w:t>
      </w:r>
      <w:proofErr w:type="spellStart"/>
      <w:r>
        <w:rPr>
          <w:rFonts w:ascii="Times" w:hAnsi="Times"/>
          <w:sz w:val="20"/>
          <w:szCs w:val="20"/>
          <w:lang w:val="en-GB"/>
        </w:rPr>
        <w:t>eGFR</w:t>
      </w:r>
      <w:proofErr w:type="spellEnd"/>
      <w:r>
        <w:rPr>
          <w:rFonts w:ascii="Times" w:hAnsi="Times"/>
          <w:sz w:val="20"/>
          <w:szCs w:val="20"/>
          <w:lang w:val="en-GB"/>
        </w:rPr>
        <w:t xml:space="preserve"> 30-60 and stage 4: </w:t>
      </w:r>
      <w:proofErr w:type="spellStart"/>
      <w:r>
        <w:rPr>
          <w:rFonts w:ascii="Times" w:hAnsi="Times"/>
          <w:sz w:val="20"/>
          <w:szCs w:val="20"/>
          <w:lang w:val="en-GB"/>
        </w:rPr>
        <w:t>eGFR</w:t>
      </w:r>
      <w:proofErr w:type="spellEnd"/>
      <w:r>
        <w:rPr>
          <w:rFonts w:ascii="Times" w:hAnsi="Times"/>
          <w:sz w:val="20"/>
          <w:szCs w:val="20"/>
          <w:lang w:val="en-GB"/>
        </w:rPr>
        <w:t>&lt;30 mL/min). We then calculated the concordance in this classification between these equations</w:t>
      </w:r>
      <w:r w:rsidRPr="007B210E">
        <w:rPr>
          <w:rFonts w:ascii="Times" w:hAnsi="Times"/>
          <w:sz w:val="20"/>
          <w:szCs w:val="20"/>
          <w:lang w:val="en-GB"/>
        </w:rPr>
        <w:t>.</w:t>
      </w:r>
    </w:p>
    <w:p w:rsidR="00F27021" w:rsidRPr="000E1E9E" w:rsidRDefault="00F27021" w:rsidP="00F27021">
      <w:pPr>
        <w:widowControl w:val="0"/>
        <w:autoSpaceDE w:val="0"/>
        <w:autoSpaceDN w:val="0"/>
        <w:adjustRightInd w:val="0"/>
        <w:rPr>
          <w:rFonts w:ascii="Times" w:hAnsi="Times"/>
          <w:b/>
          <w:sz w:val="20"/>
          <w:szCs w:val="20"/>
          <w:lang w:val="en-GB"/>
        </w:rPr>
      </w:pPr>
      <w:r>
        <w:rPr>
          <w:rFonts w:ascii="Times" w:hAnsi="Times"/>
          <w:sz w:val="20"/>
          <w:szCs w:val="20"/>
          <w:u w:val="single"/>
          <w:lang w:val="en-GB"/>
        </w:rPr>
        <w:br/>
      </w:r>
      <w:r w:rsidRPr="00CD598F">
        <w:rPr>
          <w:rFonts w:ascii="Times" w:hAnsi="Times"/>
          <w:sz w:val="20"/>
          <w:szCs w:val="20"/>
          <w:u w:val="single"/>
          <w:lang w:val="en-GB"/>
        </w:rPr>
        <w:t>Results:</w:t>
      </w:r>
      <w:r w:rsidRPr="00CD598F">
        <w:rPr>
          <w:rFonts w:ascii="Times" w:hAnsi="Times"/>
          <w:sz w:val="20"/>
          <w:szCs w:val="20"/>
          <w:lang w:val="en-GB"/>
        </w:rPr>
        <w:t xml:space="preserve"> </w:t>
      </w:r>
      <w:r w:rsidRPr="00CD598F">
        <w:rPr>
          <w:rFonts w:ascii="Times" w:hAnsi="Times"/>
          <w:sz w:val="20"/>
          <w:szCs w:val="20"/>
          <w:lang w:val="en-GB"/>
        </w:rPr>
        <w:br/>
      </w:r>
      <w:r>
        <w:rPr>
          <w:rFonts w:ascii="Times" w:hAnsi="Times" w:cs="Times"/>
          <w:sz w:val="20"/>
          <w:szCs w:val="20"/>
          <w:lang w:val="en-GB"/>
        </w:rPr>
        <w:t>The population included 366 patients (185 women) from two different areas. Mean age was 55 ± 14 years and mean BMI was 36 ± 7 kg/m</w:t>
      </w:r>
      <w:r>
        <w:rPr>
          <w:rFonts w:ascii="Times" w:hAnsi="Times" w:cs="Times"/>
          <w:sz w:val="20"/>
          <w:szCs w:val="20"/>
          <w:vertAlign w:val="superscript"/>
          <w:lang w:val="en-GB"/>
        </w:rPr>
        <w:t>2</w:t>
      </w:r>
      <w:r>
        <w:rPr>
          <w:rFonts w:ascii="Times" w:hAnsi="Times" w:cs="Times"/>
          <w:sz w:val="20"/>
          <w:szCs w:val="20"/>
          <w:lang w:val="en-GB"/>
        </w:rPr>
        <w:t xml:space="preserve">. Mean </w:t>
      </w:r>
      <w:proofErr w:type="spellStart"/>
      <w:r>
        <w:rPr>
          <w:rFonts w:ascii="Times" w:hAnsi="Times" w:cs="Times"/>
          <w:sz w:val="20"/>
          <w:szCs w:val="20"/>
          <w:lang w:val="en-GB"/>
        </w:rPr>
        <w:t>eGFR</w:t>
      </w:r>
      <w:proofErr w:type="spellEnd"/>
      <w:r>
        <w:rPr>
          <w:rFonts w:ascii="Times" w:hAnsi="Times" w:cs="Times"/>
          <w:sz w:val="20"/>
          <w:szCs w:val="20"/>
          <w:lang w:val="en-GB"/>
        </w:rPr>
        <w:t xml:space="preserve"> by CG and CG</w:t>
      </w:r>
      <w:r w:rsidRPr="006F18AE">
        <w:rPr>
          <w:rFonts w:ascii="Times" w:hAnsi="Times" w:cs="Times"/>
          <w:sz w:val="20"/>
          <w:szCs w:val="20"/>
          <w:vertAlign w:val="subscript"/>
          <w:lang w:val="en-GB"/>
        </w:rPr>
        <w:t>AIBW</w:t>
      </w:r>
      <w:r>
        <w:rPr>
          <w:rFonts w:ascii="Times" w:hAnsi="Times" w:cs="Times"/>
          <w:sz w:val="20"/>
          <w:szCs w:val="20"/>
          <w:vertAlign w:val="subscript"/>
          <w:lang w:val="en-GB"/>
        </w:rPr>
        <w:t xml:space="preserve"> </w:t>
      </w:r>
      <w:r w:rsidRPr="007B210E">
        <w:rPr>
          <w:rFonts w:ascii="Times" w:hAnsi="Times" w:cs="Times"/>
          <w:sz w:val="20"/>
          <w:szCs w:val="20"/>
          <w:lang w:val="en-GB"/>
        </w:rPr>
        <w:t>w</w:t>
      </w:r>
      <w:r>
        <w:rPr>
          <w:rFonts w:ascii="Times" w:hAnsi="Times" w:cs="Times"/>
          <w:sz w:val="20"/>
          <w:szCs w:val="20"/>
          <w:lang w:val="en-GB"/>
        </w:rPr>
        <w:t>ere</w:t>
      </w:r>
      <w:r w:rsidRPr="007B210E">
        <w:rPr>
          <w:rFonts w:ascii="Times" w:hAnsi="Times" w:cs="Times"/>
          <w:sz w:val="20"/>
          <w:szCs w:val="20"/>
          <w:lang w:val="en-GB"/>
        </w:rPr>
        <w:t xml:space="preserve"> 96 ± 64 </w:t>
      </w:r>
      <w:r>
        <w:rPr>
          <w:rFonts w:ascii="Times" w:hAnsi="Times" w:cs="Times"/>
          <w:sz w:val="20"/>
          <w:szCs w:val="20"/>
          <w:lang w:val="en-GB"/>
        </w:rPr>
        <w:t>and</w:t>
      </w:r>
      <w:r w:rsidRPr="007B210E">
        <w:rPr>
          <w:rFonts w:ascii="Times" w:hAnsi="Times" w:cs="Times"/>
          <w:sz w:val="20"/>
          <w:szCs w:val="20"/>
          <w:lang w:val="en-GB"/>
        </w:rPr>
        <w:t xml:space="preserve"> </w:t>
      </w:r>
      <w:r w:rsidRPr="0085246D">
        <w:rPr>
          <w:rFonts w:ascii="Times" w:hAnsi="Times" w:cs="Times"/>
          <w:sz w:val="20"/>
          <w:szCs w:val="20"/>
          <w:lang w:val="en-GB"/>
        </w:rPr>
        <w:t>73</w:t>
      </w:r>
      <w:r w:rsidRPr="007B210E">
        <w:rPr>
          <w:rFonts w:ascii="Times" w:hAnsi="Times" w:cs="Times"/>
          <w:sz w:val="20"/>
          <w:szCs w:val="20"/>
          <w:lang w:val="en-GB"/>
        </w:rPr>
        <w:t xml:space="preserve"> ± 45 mL/min,</w:t>
      </w:r>
      <w:r>
        <w:rPr>
          <w:rFonts w:ascii="Times" w:hAnsi="Times" w:cs="Times"/>
          <w:sz w:val="20"/>
          <w:szCs w:val="20"/>
          <w:lang w:val="en-GB"/>
        </w:rPr>
        <w:t xml:space="preserve"> respectively.</w:t>
      </w:r>
      <w:r w:rsidRPr="007B210E">
        <w:rPr>
          <w:rFonts w:ascii="Times" w:hAnsi="Times" w:cs="Times"/>
          <w:sz w:val="20"/>
          <w:szCs w:val="20"/>
          <w:lang w:val="en-GB"/>
        </w:rPr>
        <w:t xml:space="preserve"> </w:t>
      </w:r>
      <w:r>
        <w:rPr>
          <w:rFonts w:ascii="Times" w:hAnsi="Times" w:cs="Times"/>
          <w:sz w:val="20"/>
          <w:szCs w:val="20"/>
          <w:lang w:val="en-GB"/>
        </w:rPr>
        <w:t>M</w:t>
      </w:r>
      <w:r w:rsidRPr="007B210E">
        <w:rPr>
          <w:rFonts w:ascii="Times" w:hAnsi="Times" w:cs="Times"/>
          <w:sz w:val="20"/>
          <w:szCs w:val="20"/>
          <w:lang w:val="en-GB"/>
        </w:rPr>
        <w:t xml:space="preserve">ean </w:t>
      </w:r>
      <w:proofErr w:type="spellStart"/>
      <w:r w:rsidRPr="007B210E">
        <w:rPr>
          <w:rFonts w:ascii="Times" w:hAnsi="Times" w:cs="Times"/>
          <w:sz w:val="20"/>
          <w:szCs w:val="20"/>
          <w:lang w:val="en-GB"/>
        </w:rPr>
        <w:t>eGFR</w:t>
      </w:r>
      <w:proofErr w:type="spellEnd"/>
      <w:r w:rsidRPr="007B210E">
        <w:rPr>
          <w:rFonts w:ascii="Times" w:hAnsi="Times" w:cs="Times"/>
          <w:sz w:val="20"/>
          <w:szCs w:val="20"/>
          <w:lang w:val="en-GB"/>
        </w:rPr>
        <w:t xml:space="preserve"> by </w:t>
      </w:r>
      <w:r w:rsidRPr="007B210E">
        <w:rPr>
          <w:rFonts w:ascii="Times" w:hAnsi="Times"/>
          <w:sz w:val="20"/>
          <w:szCs w:val="20"/>
          <w:lang w:val="en-GB"/>
        </w:rPr>
        <w:t>CKD-EPI</w:t>
      </w:r>
      <w:r w:rsidRPr="007B210E">
        <w:rPr>
          <w:rFonts w:ascii="Times" w:hAnsi="Times" w:cs="Times"/>
          <w:sz w:val="20"/>
          <w:szCs w:val="20"/>
          <w:vertAlign w:val="subscript"/>
          <w:lang w:val="en-GB"/>
        </w:rPr>
        <w:t xml:space="preserve"> deindexed </w:t>
      </w:r>
      <w:r w:rsidRPr="007B210E">
        <w:rPr>
          <w:rFonts w:ascii="Times" w:hAnsi="Times" w:cs="Times"/>
          <w:sz w:val="20"/>
          <w:szCs w:val="20"/>
          <w:lang w:val="en-GB"/>
        </w:rPr>
        <w:t xml:space="preserve">was 77 ± 44 mL/min. In the global population, when we considered CG and </w:t>
      </w:r>
      <w:r w:rsidRPr="007B210E">
        <w:rPr>
          <w:rFonts w:ascii="Times" w:hAnsi="Times"/>
          <w:sz w:val="20"/>
          <w:szCs w:val="20"/>
          <w:lang w:val="en-GB"/>
        </w:rPr>
        <w:t>CKD-</w:t>
      </w:r>
      <w:proofErr w:type="spellStart"/>
      <w:r w:rsidRPr="007B210E">
        <w:rPr>
          <w:rFonts w:ascii="Times" w:hAnsi="Times"/>
          <w:sz w:val="20"/>
          <w:szCs w:val="20"/>
          <w:lang w:val="en-GB"/>
        </w:rPr>
        <w:t>EPI</w:t>
      </w:r>
      <w:r w:rsidRPr="007B210E">
        <w:rPr>
          <w:rFonts w:ascii="Times" w:hAnsi="Times" w:cs="Times"/>
          <w:sz w:val="20"/>
          <w:szCs w:val="20"/>
          <w:vertAlign w:val="subscript"/>
          <w:lang w:val="en-GB"/>
        </w:rPr>
        <w:t>deindexed</w:t>
      </w:r>
      <w:proofErr w:type="spellEnd"/>
      <w:r w:rsidRPr="007B210E">
        <w:rPr>
          <w:rFonts w:ascii="Times" w:hAnsi="Times" w:cs="Times"/>
          <w:sz w:val="20"/>
          <w:szCs w:val="20"/>
          <w:lang w:val="en-GB"/>
        </w:rPr>
        <w:t xml:space="preserve">, mean bias was -18.8 ± 24.7 and accuracy 30% </w:t>
      </w:r>
      <w:r>
        <w:rPr>
          <w:rFonts w:ascii="Times" w:hAnsi="Times" w:cs="Times"/>
          <w:sz w:val="20"/>
          <w:szCs w:val="20"/>
          <w:lang w:val="en-GB"/>
        </w:rPr>
        <w:t xml:space="preserve">between the equations </w:t>
      </w:r>
      <w:r w:rsidRPr="007B210E">
        <w:rPr>
          <w:rFonts w:ascii="Times" w:hAnsi="Times" w:cs="Times"/>
          <w:sz w:val="20"/>
          <w:szCs w:val="20"/>
          <w:lang w:val="en-GB"/>
        </w:rPr>
        <w:t>was 86%. When we used CG</w:t>
      </w:r>
      <w:r w:rsidRPr="007B210E">
        <w:rPr>
          <w:rFonts w:ascii="Times" w:hAnsi="Times" w:cs="Times"/>
          <w:sz w:val="20"/>
          <w:szCs w:val="20"/>
          <w:vertAlign w:val="subscript"/>
          <w:lang w:val="en-GB"/>
        </w:rPr>
        <w:t>AIBW</w:t>
      </w:r>
      <w:r w:rsidRPr="007B210E">
        <w:rPr>
          <w:rFonts w:ascii="Times" w:hAnsi="Times" w:cs="Times"/>
          <w:sz w:val="20"/>
          <w:szCs w:val="20"/>
          <w:lang w:val="en-GB"/>
        </w:rPr>
        <w:t xml:space="preserve">, mean bias was +3.6 ± 8.6 and accuracy 30% was 99% </w:t>
      </w:r>
      <w:r w:rsidRPr="006F18AE">
        <w:rPr>
          <w:rFonts w:ascii="Times" w:hAnsi="Times" w:cs="Times"/>
          <w:sz w:val="20"/>
          <w:szCs w:val="20"/>
          <w:lang w:val="en-GB"/>
        </w:rPr>
        <w:t>(p&lt;0</w:t>
      </w:r>
      <w:r>
        <w:rPr>
          <w:rFonts w:ascii="Times" w:hAnsi="Times" w:cs="Times"/>
          <w:sz w:val="20"/>
          <w:szCs w:val="20"/>
          <w:lang w:val="en-GB"/>
        </w:rPr>
        <w:t>.</w:t>
      </w:r>
      <w:r w:rsidRPr="006F18AE">
        <w:rPr>
          <w:rFonts w:ascii="Times" w:hAnsi="Times" w:cs="Times"/>
          <w:sz w:val="20"/>
          <w:szCs w:val="20"/>
          <w:lang w:val="en-GB"/>
        </w:rPr>
        <w:t>0001)</w:t>
      </w:r>
      <w:r w:rsidRPr="007B210E">
        <w:rPr>
          <w:rFonts w:ascii="Times" w:hAnsi="Times" w:cs="Times"/>
          <w:sz w:val="20"/>
          <w:szCs w:val="20"/>
          <w:lang w:val="en-GB"/>
        </w:rPr>
        <w:t xml:space="preserve">. </w:t>
      </w:r>
      <w:r>
        <w:rPr>
          <w:rFonts w:ascii="Times" w:hAnsi="Times" w:cs="Times"/>
          <w:sz w:val="20"/>
          <w:szCs w:val="20"/>
          <w:lang w:val="en-GB"/>
        </w:rPr>
        <w:t xml:space="preserve">Regarding the classification of the patients, </w:t>
      </w:r>
      <w:r>
        <w:rPr>
          <w:rFonts w:ascii="Times" w:hAnsi="Times"/>
          <w:sz w:val="20"/>
          <w:szCs w:val="20"/>
          <w:lang w:val="en-GB"/>
        </w:rPr>
        <w:t>t</w:t>
      </w:r>
      <w:r w:rsidRPr="006F18AE">
        <w:rPr>
          <w:rFonts w:ascii="Times" w:hAnsi="Times"/>
          <w:sz w:val="20"/>
          <w:szCs w:val="20"/>
          <w:lang w:val="en-GB"/>
        </w:rPr>
        <w:t xml:space="preserve">he concordance </w:t>
      </w:r>
      <w:r>
        <w:rPr>
          <w:rFonts w:ascii="Times" w:hAnsi="Times"/>
          <w:sz w:val="20"/>
          <w:szCs w:val="20"/>
          <w:lang w:val="en-GB"/>
        </w:rPr>
        <w:t>between</w:t>
      </w:r>
      <w:r w:rsidRPr="006F18AE">
        <w:rPr>
          <w:rFonts w:ascii="Times" w:hAnsi="Times"/>
          <w:sz w:val="20"/>
          <w:szCs w:val="20"/>
          <w:lang w:val="en-GB"/>
        </w:rPr>
        <w:t xml:space="preserve"> CG and CKD-EPI </w:t>
      </w:r>
      <w:r w:rsidRPr="006F18AE">
        <w:rPr>
          <w:rFonts w:ascii="Times" w:hAnsi="Times"/>
          <w:sz w:val="20"/>
          <w:szCs w:val="20"/>
          <w:vertAlign w:val="subscript"/>
          <w:lang w:val="en-GB"/>
        </w:rPr>
        <w:t>deindexed</w:t>
      </w:r>
      <w:r w:rsidRPr="006F18AE">
        <w:rPr>
          <w:rFonts w:ascii="Times" w:hAnsi="Times"/>
          <w:sz w:val="20"/>
          <w:szCs w:val="20"/>
          <w:lang w:val="en-GB"/>
        </w:rPr>
        <w:t xml:space="preserve"> </w:t>
      </w:r>
      <w:r>
        <w:rPr>
          <w:rFonts w:ascii="Times" w:hAnsi="Times"/>
          <w:sz w:val="20"/>
          <w:szCs w:val="20"/>
          <w:lang w:val="en-GB"/>
        </w:rPr>
        <w:t xml:space="preserve">versus between </w:t>
      </w:r>
      <w:r>
        <w:rPr>
          <w:rFonts w:ascii="Times" w:hAnsi="Times" w:cs="Times"/>
          <w:sz w:val="20"/>
          <w:szCs w:val="20"/>
          <w:lang w:val="en-GB"/>
        </w:rPr>
        <w:t>CG</w:t>
      </w:r>
      <w:r w:rsidRPr="00736362">
        <w:rPr>
          <w:rFonts w:ascii="Times" w:hAnsi="Times" w:cs="Times"/>
          <w:sz w:val="20"/>
          <w:szCs w:val="20"/>
          <w:vertAlign w:val="subscript"/>
          <w:lang w:val="en-GB"/>
        </w:rPr>
        <w:t>AIBW</w:t>
      </w:r>
      <w:r>
        <w:rPr>
          <w:rFonts w:ascii="Times" w:hAnsi="Times" w:cs="Times"/>
          <w:sz w:val="20"/>
          <w:szCs w:val="20"/>
          <w:vertAlign w:val="subscript"/>
          <w:lang w:val="en-GB"/>
        </w:rPr>
        <w:t xml:space="preserve"> and </w:t>
      </w:r>
      <w:r>
        <w:rPr>
          <w:rFonts w:ascii="Times" w:hAnsi="Times"/>
          <w:sz w:val="20"/>
          <w:szCs w:val="20"/>
          <w:lang w:val="en-GB"/>
        </w:rPr>
        <w:t xml:space="preserve">between </w:t>
      </w:r>
      <w:r w:rsidRPr="007B210E">
        <w:rPr>
          <w:rFonts w:ascii="Times" w:hAnsi="Times"/>
          <w:sz w:val="20"/>
          <w:szCs w:val="20"/>
          <w:lang w:val="en-GB"/>
        </w:rPr>
        <w:t xml:space="preserve">CKD-EPI </w:t>
      </w:r>
      <w:r w:rsidRPr="007B210E">
        <w:rPr>
          <w:rFonts w:ascii="Times" w:hAnsi="Times"/>
          <w:sz w:val="20"/>
          <w:szCs w:val="20"/>
          <w:vertAlign w:val="subscript"/>
          <w:lang w:val="en-GB"/>
        </w:rPr>
        <w:t>deindexed</w:t>
      </w:r>
      <w:r>
        <w:rPr>
          <w:rFonts w:ascii="Times" w:hAnsi="Times"/>
          <w:sz w:val="20"/>
          <w:szCs w:val="20"/>
          <w:lang w:val="en-GB"/>
        </w:rPr>
        <w:t xml:space="preserve"> </w:t>
      </w:r>
      <w:r w:rsidRPr="006F18AE">
        <w:rPr>
          <w:rFonts w:ascii="Times" w:hAnsi="Times"/>
          <w:sz w:val="20"/>
          <w:szCs w:val="20"/>
          <w:lang w:val="en-GB"/>
        </w:rPr>
        <w:t>was 79.2% and 84.9%</w:t>
      </w:r>
      <w:r>
        <w:rPr>
          <w:rFonts w:ascii="Times" w:hAnsi="Times"/>
          <w:sz w:val="20"/>
          <w:szCs w:val="20"/>
          <w:lang w:val="en-GB"/>
        </w:rPr>
        <w:t xml:space="preserve">, </w:t>
      </w:r>
      <w:r w:rsidRPr="006F18AE">
        <w:rPr>
          <w:rFonts w:ascii="Times" w:hAnsi="Times"/>
          <w:sz w:val="20"/>
          <w:szCs w:val="20"/>
          <w:lang w:val="en-GB"/>
        </w:rPr>
        <w:t>respectively (p</w:t>
      </w:r>
      <w:r>
        <w:rPr>
          <w:rFonts w:ascii="Times" w:hAnsi="Times"/>
          <w:sz w:val="20"/>
          <w:szCs w:val="20"/>
          <w:lang w:val="en-GB"/>
        </w:rPr>
        <w:t>=0.</w:t>
      </w:r>
      <w:r w:rsidRPr="006F18AE">
        <w:rPr>
          <w:rFonts w:ascii="Times" w:hAnsi="Times"/>
          <w:sz w:val="20"/>
          <w:szCs w:val="20"/>
          <w:lang w:val="en-GB"/>
        </w:rPr>
        <w:t>06).</w:t>
      </w:r>
    </w:p>
    <w:p w:rsidR="00F27021" w:rsidRPr="000E1E9E" w:rsidRDefault="00F27021" w:rsidP="00F27021">
      <w:pPr>
        <w:widowControl w:val="0"/>
        <w:autoSpaceDE w:val="0"/>
        <w:autoSpaceDN w:val="0"/>
        <w:adjustRightInd w:val="0"/>
        <w:rPr>
          <w:rFonts w:ascii="Times" w:hAnsi="Times"/>
          <w:sz w:val="20"/>
          <w:szCs w:val="20"/>
          <w:lang w:val="en-GB"/>
        </w:rPr>
      </w:pPr>
    </w:p>
    <w:p w:rsidR="00F27021" w:rsidRDefault="00F27021" w:rsidP="00F27021">
      <w:pPr>
        <w:rPr>
          <w:rFonts w:ascii="Times" w:hAnsi="Times" w:cs="Times"/>
          <w:sz w:val="20"/>
          <w:szCs w:val="20"/>
          <w:lang w:val="en-GB"/>
        </w:rPr>
      </w:pPr>
      <w:r w:rsidRPr="00CD598F">
        <w:rPr>
          <w:rFonts w:ascii="Times" w:hAnsi="Times"/>
          <w:sz w:val="20"/>
          <w:szCs w:val="20"/>
          <w:u w:val="single"/>
          <w:lang w:val="en-GB"/>
        </w:rPr>
        <w:t>Conclusion:</w:t>
      </w:r>
      <w:r w:rsidRPr="00CD598F">
        <w:rPr>
          <w:rFonts w:ascii="Times" w:hAnsi="Times"/>
          <w:sz w:val="20"/>
          <w:szCs w:val="20"/>
          <w:lang w:val="en-GB"/>
        </w:rPr>
        <w:t xml:space="preserve"> </w:t>
      </w:r>
      <w:r w:rsidRPr="00CD598F">
        <w:rPr>
          <w:rFonts w:ascii="Times" w:hAnsi="Times"/>
          <w:sz w:val="20"/>
          <w:szCs w:val="20"/>
          <w:lang w:val="en-GB"/>
        </w:rPr>
        <w:br/>
      </w:r>
      <w:r>
        <w:rPr>
          <w:rFonts w:ascii="Times" w:hAnsi="Times" w:cs="Times"/>
          <w:sz w:val="20"/>
          <w:szCs w:val="20"/>
          <w:lang w:val="en-GB"/>
        </w:rPr>
        <w:t>In the context of obesity, we observed a good concordance between the results given by t</w:t>
      </w:r>
      <w:r w:rsidRPr="007B210E">
        <w:rPr>
          <w:rFonts w:ascii="Times" w:hAnsi="Times" w:cs="Times"/>
          <w:sz w:val="20"/>
          <w:szCs w:val="20"/>
          <w:lang w:val="en-GB"/>
        </w:rPr>
        <w:t>he CG equation</w:t>
      </w:r>
      <w:r>
        <w:rPr>
          <w:rFonts w:ascii="Times" w:hAnsi="Times" w:cs="Times"/>
          <w:sz w:val="20"/>
          <w:szCs w:val="20"/>
          <w:lang w:val="en-GB"/>
        </w:rPr>
        <w:t xml:space="preserve"> and </w:t>
      </w:r>
      <w:r w:rsidRPr="007B210E">
        <w:rPr>
          <w:rFonts w:ascii="Times" w:hAnsi="Times"/>
          <w:sz w:val="20"/>
          <w:szCs w:val="20"/>
          <w:lang w:val="en-GB"/>
        </w:rPr>
        <w:t xml:space="preserve">CKD-EPI </w:t>
      </w:r>
      <w:r w:rsidRPr="007B210E">
        <w:rPr>
          <w:rFonts w:ascii="Times" w:hAnsi="Times"/>
          <w:sz w:val="20"/>
          <w:szCs w:val="20"/>
          <w:vertAlign w:val="subscript"/>
          <w:lang w:val="en-GB"/>
        </w:rPr>
        <w:t>deindexed</w:t>
      </w:r>
      <w:r w:rsidRPr="007B210E">
        <w:rPr>
          <w:rFonts w:ascii="Times" w:hAnsi="Times" w:cs="Times"/>
          <w:sz w:val="20"/>
          <w:szCs w:val="20"/>
          <w:lang w:val="en-GB"/>
        </w:rPr>
        <w:t xml:space="preserve"> </w:t>
      </w:r>
      <w:r>
        <w:rPr>
          <w:rFonts w:ascii="Times" w:hAnsi="Times" w:cs="Times"/>
          <w:sz w:val="20"/>
          <w:szCs w:val="20"/>
          <w:lang w:val="en-GB"/>
        </w:rPr>
        <w:t xml:space="preserve">if the AIBW is considered. Using actual weight induces discrepancies between the equations with potential consequences on drug dosage adjustment. Our study illustrates these potential discrepancies but it remained to be definitively proven that </w:t>
      </w:r>
      <w:r w:rsidRPr="007B210E">
        <w:rPr>
          <w:rFonts w:ascii="Times" w:hAnsi="Times"/>
          <w:sz w:val="20"/>
          <w:szCs w:val="20"/>
          <w:lang w:val="en-GB"/>
        </w:rPr>
        <w:t xml:space="preserve">CKD-EPI </w:t>
      </w:r>
      <w:r w:rsidRPr="007B210E">
        <w:rPr>
          <w:rFonts w:ascii="Times" w:hAnsi="Times"/>
          <w:sz w:val="20"/>
          <w:szCs w:val="20"/>
          <w:vertAlign w:val="subscript"/>
          <w:lang w:val="en-GB"/>
        </w:rPr>
        <w:t>deindexed</w:t>
      </w:r>
      <w:r w:rsidRPr="007B210E">
        <w:rPr>
          <w:rFonts w:ascii="Times" w:hAnsi="Times"/>
          <w:sz w:val="20"/>
          <w:szCs w:val="20"/>
          <w:lang w:val="en-GB"/>
        </w:rPr>
        <w:t xml:space="preserve"> </w:t>
      </w:r>
      <w:r>
        <w:rPr>
          <w:rFonts w:ascii="Times" w:hAnsi="Times"/>
          <w:sz w:val="20"/>
          <w:szCs w:val="20"/>
          <w:lang w:val="en-GB"/>
        </w:rPr>
        <w:t xml:space="preserve">(or </w:t>
      </w:r>
      <w:proofErr w:type="gramStart"/>
      <w:r>
        <w:rPr>
          <w:rFonts w:ascii="Times" w:hAnsi="Times" w:cs="Times"/>
          <w:sz w:val="20"/>
          <w:szCs w:val="20"/>
          <w:lang w:val="en-GB"/>
        </w:rPr>
        <w:t>CG</w:t>
      </w:r>
      <w:r w:rsidRPr="00736362">
        <w:rPr>
          <w:rFonts w:ascii="Times" w:hAnsi="Times" w:cs="Times"/>
          <w:sz w:val="20"/>
          <w:szCs w:val="20"/>
          <w:vertAlign w:val="subscript"/>
          <w:lang w:val="en-GB"/>
        </w:rPr>
        <w:t>AIBW</w:t>
      </w:r>
      <w:r w:rsidRPr="007B210E">
        <w:rPr>
          <w:rFonts w:ascii="Times" w:hAnsi="Times" w:cs="Times"/>
          <w:sz w:val="20"/>
          <w:szCs w:val="20"/>
          <w:lang w:val="en-GB"/>
        </w:rPr>
        <w:t xml:space="preserve"> </w:t>
      </w:r>
      <w:r>
        <w:rPr>
          <w:rFonts w:ascii="Times" w:hAnsi="Times" w:cs="Times"/>
          <w:sz w:val="20"/>
          <w:szCs w:val="20"/>
          <w:lang w:val="en-GB"/>
        </w:rPr>
        <w:t>)</w:t>
      </w:r>
      <w:proofErr w:type="gramEnd"/>
      <w:r>
        <w:rPr>
          <w:rFonts w:ascii="Times" w:hAnsi="Times" w:cs="Times"/>
          <w:sz w:val="20"/>
          <w:szCs w:val="20"/>
          <w:lang w:val="en-GB"/>
        </w:rPr>
        <w:t xml:space="preserve"> performs better than CG with actual weight for the adjustment of drug dosage in obese patients.</w:t>
      </w:r>
    </w:p>
    <w:tbl>
      <w:tblPr>
        <w:tblStyle w:val="Grilledutableau"/>
        <w:tblpPr w:leftFromText="141" w:rightFromText="141" w:vertAnchor="text" w:horzAnchor="page" w:tblpX="1526" w:tblpY="178"/>
        <w:tblW w:w="2560" w:type="pct"/>
        <w:tblLook w:val="04A0" w:firstRow="1" w:lastRow="0" w:firstColumn="1" w:lastColumn="0" w:noHBand="0" w:noVBand="1"/>
      </w:tblPr>
      <w:tblGrid>
        <w:gridCol w:w="1475"/>
        <w:gridCol w:w="1583"/>
        <w:gridCol w:w="1582"/>
      </w:tblGrid>
      <w:tr w:rsidR="00F27021" w:rsidRPr="00406BC4" w:rsidTr="00835666">
        <w:trPr>
          <w:trHeight w:val="553"/>
        </w:trPr>
        <w:tc>
          <w:tcPr>
            <w:tcW w:w="1589" w:type="pct"/>
          </w:tcPr>
          <w:p w:rsidR="00F27021" w:rsidRPr="003B5584" w:rsidRDefault="00F27021" w:rsidP="00835666">
            <w:pPr>
              <w:ind w:right="-87"/>
              <w:rPr>
                <w:rFonts w:ascii="Times" w:hAnsi="Times"/>
                <w:sz w:val="20"/>
                <w:szCs w:val="20"/>
                <w:lang w:val="en-US"/>
              </w:rPr>
            </w:pPr>
          </w:p>
        </w:tc>
        <w:tc>
          <w:tcPr>
            <w:tcW w:w="1706" w:type="pct"/>
          </w:tcPr>
          <w:p w:rsidR="00F27021" w:rsidRPr="003B7488" w:rsidRDefault="00F27021" w:rsidP="00835666">
            <w:pPr>
              <w:ind w:right="-87"/>
              <w:rPr>
                <w:rFonts w:ascii="Times" w:hAnsi="Times"/>
                <w:b/>
                <w:sz w:val="20"/>
                <w:szCs w:val="20"/>
                <w:lang w:val="en-GB"/>
              </w:rPr>
            </w:pPr>
            <w:r w:rsidRPr="003B7488">
              <w:rPr>
                <w:rFonts w:ascii="Times" w:hAnsi="Times"/>
                <w:b/>
                <w:sz w:val="20"/>
                <w:szCs w:val="20"/>
                <w:lang w:val="en-GB"/>
              </w:rPr>
              <w:t>CG</w:t>
            </w:r>
          </w:p>
          <w:p w:rsidR="00F27021" w:rsidRPr="003B7488" w:rsidRDefault="00F27021" w:rsidP="00835666">
            <w:pPr>
              <w:rPr>
                <w:rFonts w:ascii="Times" w:hAnsi="Times"/>
                <w:b/>
                <w:i/>
                <w:sz w:val="20"/>
                <w:szCs w:val="20"/>
                <w:vertAlign w:val="subscript"/>
              </w:rPr>
            </w:pPr>
            <w:r w:rsidRPr="003B7488">
              <w:rPr>
                <w:rFonts w:ascii="Times" w:hAnsi="Times"/>
                <w:b/>
                <w:i/>
                <w:sz w:val="20"/>
                <w:szCs w:val="20"/>
                <w:lang w:val="en-GB"/>
              </w:rPr>
              <w:t>CKD</w:t>
            </w:r>
            <w:r>
              <w:rPr>
                <w:rFonts w:ascii="Times" w:hAnsi="Times"/>
                <w:b/>
                <w:i/>
                <w:sz w:val="20"/>
                <w:szCs w:val="20"/>
                <w:lang w:val="en-GB"/>
              </w:rPr>
              <w:t>-</w:t>
            </w:r>
            <w:proofErr w:type="spellStart"/>
            <w:r w:rsidRPr="003B7488">
              <w:rPr>
                <w:rFonts w:ascii="Times" w:hAnsi="Times"/>
                <w:b/>
                <w:i/>
                <w:sz w:val="20"/>
                <w:szCs w:val="20"/>
                <w:lang w:val="en-GB"/>
              </w:rPr>
              <w:t>EPI</w:t>
            </w:r>
            <w:r w:rsidRPr="003B7488">
              <w:rPr>
                <w:rFonts w:ascii="Times" w:hAnsi="Times"/>
                <w:b/>
                <w:i/>
                <w:sz w:val="20"/>
                <w:szCs w:val="20"/>
                <w:vertAlign w:val="subscript"/>
                <w:lang w:val="en-GB"/>
              </w:rPr>
              <w:t>deindexed</w:t>
            </w:r>
            <w:proofErr w:type="spellEnd"/>
          </w:p>
        </w:tc>
        <w:tc>
          <w:tcPr>
            <w:tcW w:w="1706" w:type="pct"/>
          </w:tcPr>
          <w:p w:rsidR="00F27021" w:rsidRPr="003B7488" w:rsidRDefault="00F27021" w:rsidP="00835666">
            <w:pPr>
              <w:ind w:right="-87"/>
              <w:rPr>
                <w:rFonts w:ascii="Times" w:hAnsi="Times"/>
                <w:b/>
                <w:sz w:val="20"/>
                <w:szCs w:val="20"/>
              </w:rPr>
            </w:pPr>
            <w:r w:rsidRPr="003B7488">
              <w:rPr>
                <w:rFonts w:ascii="Times" w:hAnsi="Times"/>
                <w:b/>
                <w:sz w:val="20"/>
                <w:szCs w:val="20"/>
              </w:rPr>
              <w:t>CG</w:t>
            </w:r>
            <w:r w:rsidRPr="003B7488">
              <w:rPr>
                <w:rFonts w:ascii="Times" w:hAnsi="Times"/>
                <w:b/>
                <w:sz w:val="20"/>
                <w:szCs w:val="20"/>
                <w:vertAlign w:val="subscript"/>
              </w:rPr>
              <w:t xml:space="preserve"> AIBW</w:t>
            </w:r>
          </w:p>
          <w:p w:rsidR="00F27021" w:rsidRPr="003B7488" w:rsidRDefault="00F27021" w:rsidP="00835666">
            <w:pPr>
              <w:rPr>
                <w:rFonts w:ascii="Times" w:hAnsi="Times"/>
                <w:b/>
                <w:i/>
                <w:sz w:val="20"/>
                <w:szCs w:val="20"/>
                <w:vertAlign w:val="subscript"/>
              </w:rPr>
            </w:pPr>
            <w:r w:rsidRPr="003B7488">
              <w:rPr>
                <w:rFonts w:ascii="Times" w:hAnsi="Times"/>
                <w:b/>
                <w:i/>
                <w:sz w:val="20"/>
                <w:szCs w:val="20"/>
              </w:rPr>
              <w:t>CKD-</w:t>
            </w:r>
            <w:proofErr w:type="spellStart"/>
            <w:r w:rsidRPr="003B7488">
              <w:rPr>
                <w:rFonts w:ascii="Times" w:hAnsi="Times"/>
                <w:b/>
                <w:i/>
                <w:sz w:val="20"/>
                <w:szCs w:val="20"/>
              </w:rPr>
              <w:t>EPI</w:t>
            </w:r>
            <w:r w:rsidRPr="003B7488">
              <w:rPr>
                <w:rFonts w:ascii="Times" w:hAnsi="Times"/>
                <w:b/>
                <w:i/>
                <w:sz w:val="20"/>
                <w:szCs w:val="20"/>
                <w:vertAlign w:val="subscript"/>
              </w:rPr>
              <w:t>deindexed</w:t>
            </w:r>
            <w:proofErr w:type="spellEnd"/>
          </w:p>
        </w:tc>
      </w:tr>
      <w:tr w:rsidR="00F27021" w:rsidRPr="00406BC4" w:rsidTr="00835666">
        <w:trPr>
          <w:trHeight w:val="356"/>
        </w:trPr>
        <w:tc>
          <w:tcPr>
            <w:tcW w:w="1589" w:type="pct"/>
          </w:tcPr>
          <w:p w:rsidR="00F27021" w:rsidRPr="00406BC4" w:rsidRDefault="00F27021" w:rsidP="00835666">
            <w:pPr>
              <w:rPr>
                <w:rFonts w:ascii="Times" w:hAnsi="Times"/>
                <w:i/>
                <w:sz w:val="20"/>
                <w:szCs w:val="20"/>
              </w:rPr>
            </w:pPr>
            <w:r w:rsidRPr="00406BC4">
              <w:rPr>
                <w:rFonts w:ascii="Times" w:hAnsi="Times"/>
                <w:i/>
                <w:sz w:val="20"/>
                <w:szCs w:val="20"/>
              </w:rPr>
              <w:t>Biais</w:t>
            </w:r>
          </w:p>
        </w:tc>
        <w:tc>
          <w:tcPr>
            <w:tcW w:w="1706" w:type="pct"/>
          </w:tcPr>
          <w:p w:rsidR="00F27021" w:rsidRPr="005C63CC" w:rsidRDefault="00F27021" w:rsidP="00835666">
            <w:pPr>
              <w:jc w:val="center"/>
              <w:rPr>
                <w:rFonts w:ascii="Times" w:hAnsi="Times"/>
                <w:sz w:val="20"/>
                <w:szCs w:val="20"/>
                <w:lang w:val="en-GB"/>
              </w:rPr>
            </w:pPr>
            <w:r w:rsidRPr="005C63CC">
              <w:rPr>
                <w:rFonts w:ascii="Times" w:hAnsi="Times"/>
                <w:sz w:val="20"/>
                <w:szCs w:val="20"/>
                <w:lang w:val="en-GB"/>
              </w:rPr>
              <w:t>-18.8</w:t>
            </w:r>
          </w:p>
        </w:tc>
        <w:tc>
          <w:tcPr>
            <w:tcW w:w="1706" w:type="pct"/>
          </w:tcPr>
          <w:p w:rsidR="00F27021" w:rsidRPr="005C63CC" w:rsidRDefault="00F27021" w:rsidP="00835666">
            <w:pPr>
              <w:jc w:val="center"/>
              <w:rPr>
                <w:rFonts w:ascii="Times" w:hAnsi="Times"/>
                <w:sz w:val="20"/>
                <w:szCs w:val="20"/>
                <w:lang w:val="en-GB"/>
              </w:rPr>
            </w:pPr>
            <w:r w:rsidRPr="005C63CC">
              <w:rPr>
                <w:rFonts w:ascii="Times" w:hAnsi="Times"/>
                <w:sz w:val="20"/>
                <w:szCs w:val="20"/>
                <w:lang w:val="en-GB"/>
              </w:rPr>
              <w:t>3.6</w:t>
            </w:r>
          </w:p>
        </w:tc>
      </w:tr>
      <w:tr w:rsidR="00F27021" w:rsidRPr="00406BC4" w:rsidTr="00835666">
        <w:trPr>
          <w:trHeight w:val="356"/>
        </w:trPr>
        <w:tc>
          <w:tcPr>
            <w:tcW w:w="1589" w:type="pct"/>
          </w:tcPr>
          <w:p w:rsidR="00F27021" w:rsidRPr="00406BC4" w:rsidRDefault="00F27021" w:rsidP="00835666">
            <w:pPr>
              <w:rPr>
                <w:rFonts w:ascii="Times" w:hAnsi="Times"/>
                <w:i/>
                <w:sz w:val="20"/>
                <w:szCs w:val="20"/>
              </w:rPr>
            </w:pPr>
            <w:proofErr w:type="spellStart"/>
            <w:r w:rsidRPr="00406BC4">
              <w:rPr>
                <w:rFonts w:ascii="Times" w:hAnsi="Times"/>
                <w:i/>
                <w:sz w:val="20"/>
                <w:szCs w:val="20"/>
              </w:rPr>
              <w:t>Precision</w:t>
            </w:r>
            <w:proofErr w:type="spellEnd"/>
          </w:p>
        </w:tc>
        <w:tc>
          <w:tcPr>
            <w:tcW w:w="1706" w:type="pct"/>
          </w:tcPr>
          <w:p w:rsidR="00F27021" w:rsidRPr="005C63CC" w:rsidRDefault="00F27021" w:rsidP="00835666">
            <w:pPr>
              <w:jc w:val="center"/>
              <w:rPr>
                <w:rFonts w:ascii="Times" w:hAnsi="Times"/>
                <w:sz w:val="20"/>
                <w:szCs w:val="20"/>
                <w:lang w:val="en-GB"/>
              </w:rPr>
            </w:pPr>
            <w:r w:rsidRPr="005C63CC">
              <w:rPr>
                <w:rFonts w:ascii="Times" w:hAnsi="Times"/>
                <w:sz w:val="20"/>
                <w:szCs w:val="20"/>
                <w:lang w:val="en-GB"/>
              </w:rPr>
              <w:t>24.7</w:t>
            </w:r>
          </w:p>
        </w:tc>
        <w:tc>
          <w:tcPr>
            <w:tcW w:w="1706" w:type="pct"/>
          </w:tcPr>
          <w:p w:rsidR="00F27021" w:rsidRPr="005C63CC" w:rsidRDefault="00F27021" w:rsidP="00835666">
            <w:pPr>
              <w:jc w:val="center"/>
              <w:rPr>
                <w:rFonts w:ascii="Times" w:hAnsi="Times"/>
                <w:sz w:val="20"/>
                <w:szCs w:val="20"/>
                <w:lang w:val="en-GB"/>
              </w:rPr>
            </w:pPr>
            <w:r w:rsidRPr="005C63CC">
              <w:rPr>
                <w:rFonts w:ascii="Times" w:hAnsi="Times"/>
                <w:sz w:val="20"/>
                <w:szCs w:val="20"/>
                <w:lang w:val="en-GB"/>
              </w:rPr>
              <w:t>8.6</w:t>
            </w:r>
          </w:p>
        </w:tc>
      </w:tr>
      <w:tr w:rsidR="00F27021" w:rsidRPr="00406BC4" w:rsidTr="00835666">
        <w:trPr>
          <w:trHeight w:val="356"/>
        </w:trPr>
        <w:tc>
          <w:tcPr>
            <w:tcW w:w="1589" w:type="pct"/>
          </w:tcPr>
          <w:p w:rsidR="00F27021" w:rsidRPr="00406BC4" w:rsidRDefault="00F27021" w:rsidP="00835666">
            <w:pPr>
              <w:rPr>
                <w:rFonts w:ascii="Times" w:hAnsi="Times"/>
                <w:i/>
                <w:sz w:val="20"/>
                <w:szCs w:val="20"/>
              </w:rPr>
            </w:pPr>
            <w:proofErr w:type="spellStart"/>
            <w:r w:rsidRPr="00406BC4">
              <w:rPr>
                <w:rFonts w:ascii="Times" w:hAnsi="Times"/>
                <w:i/>
                <w:sz w:val="20"/>
                <w:szCs w:val="20"/>
              </w:rPr>
              <w:t>Accuracy</w:t>
            </w:r>
            <w:proofErr w:type="spellEnd"/>
            <w:r>
              <w:rPr>
                <w:rFonts w:ascii="Times" w:hAnsi="Times"/>
                <w:i/>
                <w:sz w:val="20"/>
                <w:szCs w:val="20"/>
              </w:rPr>
              <w:t xml:space="preserve"> 30%</w:t>
            </w:r>
          </w:p>
        </w:tc>
        <w:tc>
          <w:tcPr>
            <w:tcW w:w="1706" w:type="pct"/>
          </w:tcPr>
          <w:p w:rsidR="00F27021" w:rsidRPr="005C63CC" w:rsidRDefault="00F27021" w:rsidP="00835666">
            <w:pPr>
              <w:jc w:val="center"/>
              <w:rPr>
                <w:rFonts w:ascii="Times" w:hAnsi="Times"/>
                <w:sz w:val="20"/>
                <w:szCs w:val="20"/>
                <w:lang w:val="en-GB"/>
              </w:rPr>
            </w:pPr>
            <w:r w:rsidRPr="005C63CC">
              <w:rPr>
                <w:rFonts w:ascii="Times" w:hAnsi="Times"/>
                <w:sz w:val="20"/>
                <w:szCs w:val="20"/>
                <w:lang w:val="en-GB"/>
              </w:rPr>
              <w:t>86</w:t>
            </w:r>
          </w:p>
        </w:tc>
        <w:tc>
          <w:tcPr>
            <w:tcW w:w="1706" w:type="pct"/>
          </w:tcPr>
          <w:p w:rsidR="00F27021" w:rsidRPr="005C63CC" w:rsidRDefault="00F27021" w:rsidP="00835666">
            <w:pPr>
              <w:jc w:val="center"/>
              <w:rPr>
                <w:rFonts w:ascii="Times" w:hAnsi="Times"/>
                <w:sz w:val="20"/>
                <w:szCs w:val="20"/>
                <w:lang w:val="en-GB"/>
              </w:rPr>
            </w:pPr>
            <w:r w:rsidRPr="005C63CC">
              <w:rPr>
                <w:rFonts w:ascii="Times" w:hAnsi="Times"/>
                <w:sz w:val="20"/>
                <w:szCs w:val="20"/>
                <w:lang w:val="en-GB"/>
              </w:rPr>
              <w:t>99</w:t>
            </w:r>
          </w:p>
        </w:tc>
      </w:tr>
    </w:tbl>
    <w:p w:rsidR="00572829" w:rsidRDefault="00572829">
      <w:bookmarkStart w:id="0" w:name="_GoBack"/>
      <w:bookmarkEnd w:id="0"/>
    </w:p>
    <w:sectPr w:rsidR="005728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21"/>
    <w:rsid w:val="00572829"/>
    <w:rsid w:val="00F270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4206B-E885-497A-8335-B530368A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021"/>
    <w:pPr>
      <w:spacing w:after="0" w:line="240" w:lineRule="auto"/>
    </w:pPr>
    <w:rPr>
      <w:rFonts w:asciiTheme="minorHAnsi" w:eastAsiaTheme="minorEastAsia" w:hAnsiTheme="minorHAnsi" w:cstheme="minorBidi"/>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27021"/>
    <w:pPr>
      <w:spacing w:after="0" w:line="240" w:lineRule="auto"/>
    </w:pPr>
    <w:rPr>
      <w:rFonts w:asciiTheme="minorHAnsi" w:eastAsiaTheme="minorEastAsia" w:hAnsiTheme="minorHAnsi" w:cstheme="minorBidi"/>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2989</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PDelanaye</dc:creator>
  <cp:keywords/>
  <dc:description/>
  <cp:lastModifiedBy>PDelanaye</cp:lastModifiedBy>
  <cp:revision>1</cp:revision>
  <dcterms:created xsi:type="dcterms:W3CDTF">2016-01-22T09:47:00Z</dcterms:created>
  <dcterms:modified xsi:type="dcterms:W3CDTF">2016-01-22T09:48:00Z</dcterms:modified>
</cp:coreProperties>
</file>