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FA" w:rsidRPr="00DD6262" w:rsidRDefault="00CF4E8D" w:rsidP="00D22EFA">
      <w:pPr>
        <w:jc w:val="center"/>
        <w:rPr>
          <w:rFonts w:cs="Times New Roman"/>
          <w:b/>
          <w:u w:val="single"/>
          <w:lang w:val="fr-BE"/>
        </w:rPr>
      </w:pPr>
      <w:r>
        <w:rPr>
          <w:rFonts w:cs="Times New Roman"/>
          <w:b/>
          <w:u w:val="single"/>
          <w:lang w:val="fr-BE"/>
        </w:rPr>
        <w:t>Effet de la v</w:t>
      </w:r>
      <w:r w:rsidR="00B50CC1" w:rsidRPr="00DD6262">
        <w:rPr>
          <w:rFonts w:cs="Times New Roman"/>
          <w:b/>
          <w:u w:val="single"/>
          <w:lang w:val="fr-BE"/>
        </w:rPr>
        <w:t xml:space="preserve">itamine D native </w:t>
      </w:r>
      <w:r>
        <w:rPr>
          <w:rFonts w:cs="Times New Roman"/>
          <w:b/>
          <w:u w:val="single"/>
          <w:lang w:val="fr-BE"/>
        </w:rPr>
        <w:t xml:space="preserve">sur la concentration de parathormone </w:t>
      </w:r>
      <w:r w:rsidR="00B50CC1" w:rsidRPr="00DD6262">
        <w:rPr>
          <w:rFonts w:cs="Times New Roman"/>
          <w:b/>
          <w:u w:val="single"/>
          <w:lang w:val="fr-BE"/>
        </w:rPr>
        <w:t xml:space="preserve">chez le patient hémodialysé: </w:t>
      </w:r>
      <w:r>
        <w:rPr>
          <w:rFonts w:cs="Times New Roman"/>
          <w:b/>
          <w:u w:val="single"/>
          <w:lang w:val="fr-BE"/>
        </w:rPr>
        <w:t>y a-t-il un intérêt au dosage de la parathormone</w:t>
      </w:r>
      <w:r w:rsidR="00C22511">
        <w:rPr>
          <w:rFonts w:cs="Times New Roman"/>
          <w:b/>
          <w:u w:val="single"/>
          <w:lang w:val="fr-BE"/>
        </w:rPr>
        <w:t xml:space="preserve"> non-</w:t>
      </w:r>
      <w:r>
        <w:rPr>
          <w:rFonts w:cs="Times New Roman"/>
          <w:b/>
          <w:u w:val="single"/>
          <w:lang w:val="fr-BE"/>
        </w:rPr>
        <w:t>oxydée ?</w:t>
      </w:r>
    </w:p>
    <w:p w:rsidR="00D22EFA" w:rsidRPr="00DD6262" w:rsidRDefault="00D22EFA" w:rsidP="00D22EFA">
      <w:pPr>
        <w:rPr>
          <w:rFonts w:cs="Times New Roman"/>
          <w:lang w:val="fr-BE"/>
        </w:rPr>
      </w:pPr>
    </w:p>
    <w:p w:rsidR="00D22EFA" w:rsidRPr="00DD6262" w:rsidRDefault="00D22EFA" w:rsidP="00D22EFA">
      <w:pPr>
        <w:rPr>
          <w:rFonts w:cs="Times New Roman"/>
          <w:lang w:val="fr-BE"/>
        </w:rPr>
      </w:pPr>
    </w:p>
    <w:p w:rsidR="00D22EFA" w:rsidRPr="00AC0F35" w:rsidRDefault="00CC21DC" w:rsidP="00D22EFA">
      <w:pPr>
        <w:rPr>
          <w:rFonts w:cs="Times New Roman"/>
          <w:b/>
          <w:lang w:val="en-US"/>
        </w:rPr>
      </w:pPr>
      <w:r w:rsidRPr="00AC0F35">
        <w:rPr>
          <w:rFonts w:cs="Times New Roman"/>
          <w:b/>
          <w:lang w:val="en-US"/>
        </w:rPr>
        <w:t xml:space="preserve">Pierre Delanaye, </w:t>
      </w:r>
      <w:r w:rsidR="00880E79" w:rsidRPr="00AC0F35">
        <w:rPr>
          <w:rFonts w:cs="Times New Roman"/>
          <w:b/>
          <w:lang w:val="en-US"/>
        </w:rPr>
        <w:t>Laurent Weekers,</w:t>
      </w:r>
      <w:r w:rsidR="00D22EFA" w:rsidRPr="00AC0F35">
        <w:rPr>
          <w:rFonts w:cs="Times New Roman"/>
          <w:b/>
          <w:lang w:val="en-US"/>
        </w:rPr>
        <w:t xml:space="preserve"> Xavier Warling, Martial Moonen, Nicole Smelten, </w:t>
      </w:r>
      <w:r w:rsidR="00584C10" w:rsidRPr="00DD6262">
        <w:rPr>
          <w:rFonts w:cs="Times New Roman"/>
          <w:b/>
          <w:lang w:val="fr-BE"/>
        </w:rPr>
        <w:t>Jean-Marie Krzesinski, Etienne Cavalier</w:t>
      </w:r>
    </w:p>
    <w:p w:rsidR="00CF6CF7" w:rsidRPr="00DD6262" w:rsidRDefault="00CF6CF7" w:rsidP="00CF6CF7">
      <w:pPr>
        <w:rPr>
          <w:rFonts w:cs="Times New Roman"/>
          <w:b/>
          <w:lang w:val="fr-BE"/>
        </w:rPr>
      </w:pPr>
    </w:p>
    <w:p w:rsidR="00CC3A76" w:rsidRPr="00DD6262" w:rsidRDefault="00CC3A76" w:rsidP="00D22EFA">
      <w:pPr>
        <w:rPr>
          <w:rFonts w:cs="Times New Roman"/>
          <w:b/>
          <w:lang w:val="fr-BE"/>
        </w:rPr>
      </w:pPr>
    </w:p>
    <w:p w:rsidR="00584C10" w:rsidRPr="00DD6262" w:rsidRDefault="00584C10" w:rsidP="00D22EFA">
      <w:pPr>
        <w:rPr>
          <w:rFonts w:cs="Times New Roman"/>
          <w:b/>
          <w:lang w:val="fr-BE"/>
        </w:rPr>
      </w:pPr>
    </w:p>
    <w:p w:rsidR="00584C10" w:rsidRPr="00DD6262" w:rsidRDefault="00584C10" w:rsidP="00D22EFA">
      <w:pPr>
        <w:rPr>
          <w:rFonts w:cs="Times New Roman"/>
          <w:b/>
          <w:lang w:val="fr-BE"/>
        </w:rPr>
      </w:pPr>
    </w:p>
    <w:p w:rsidR="00584C10" w:rsidRPr="00DD6262" w:rsidRDefault="00D824DD" w:rsidP="00D22EFA">
      <w:pPr>
        <w:rPr>
          <w:rFonts w:cs="Times New Roman"/>
          <w:b/>
          <w:lang w:val="fr-BE"/>
        </w:rPr>
      </w:pPr>
      <w:r w:rsidRPr="00DD6262">
        <w:rPr>
          <w:rFonts w:cs="Times New Roman"/>
          <w:b/>
          <w:lang w:val="fr-BE"/>
        </w:rPr>
        <w:t>Introduction</w:t>
      </w:r>
    </w:p>
    <w:p w:rsidR="006A6454" w:rsidRPr="00342A57" w:rsidRDefault="00645ED8" w:rsidP="00D22EFA">
      <w:pPr>
        <w:rPr>
          <w:rFonts w:cs="Times New Roman"/>
          <w:color w:val="auto"/>
          <w:lang w:val="fr-BE"/>
        </w:rPr>
      </w:pPr>
      <w:r w:rsidRPr="00342A57">
        <w:rPr>
          <w:rFonts w:cs="Times New Roman"/>
          <w:color w:val="auto"/>
          <w:lang w:val="fr-BE"/>
        </w:rPr>
        <w:t xml:space="preserve">La vitamine D native est maintenant </w:t>
      </w:r>
      <w:r w:rsidR="00DD6262" w:rsidRPr="00342A57">
        <w:rPr>
          <w:rFonts w:cs="Times New Roman"/>
          <w:color w:val="auto"/>
          <w:lang w:val="fr-BE"/>
        </w:rPr>
        <w:t>recommandée</w:t>
      </w:r>
      <w:r w:rsidRPr="00342A57">
        <w:rPr>
          <w:rFonts w:cs="Times New Roman"/>
          <w:color w:val="auto"/>
          <w:lang w:val="fr-BE"/>
        </w:rPr>
        <w:t xml:space="preserve"> dans le traitement du patient hémodialysé. </w:t>
      </w:r>
      <w:r w:rsidR="00CF4E8D" w:rsidRPr="00342A57">
        <w:rPr>
          <w:rFonts w:cs="Times New Roman"/>
          <w:color w:val="auto"/>
          <w:lang w:val="fr-BE"/>
        </w:rPr>
        <w:t>Dans une étude randomisée sur 1 an,</w:t>
      </w:r>
      <w:r w:rsidRPr="00342A57">
        <w:rPr>
          <w:rFonts w:cs="Times New Roman"/>
          <w:color w:val="auto"/>
          <w:lang w:val="fr-BE"/>
        </w:rPr>
        <w:t xml:space="preserve"> </w:t>
      </w:r>
      <w:r w:rsidR="00CF4E8D" w:rsidRPr="00342A57">
        <w:rPr>
          <w:rFonts w:cs="Times New Roman"/>
          <w:color w:val="auto"/>
          <w:lang w:val="fr-BE"/>
        </w:rPr>
        <w:t>n</w:t>
      </w:r>
      <w:r w:rsidRPr="00342A57">
        <w:rPr>
          <w:rFonts w:cs="Times New Roman"/>
          <w:color w:val="auto"/>
          <w:lang w:val="fr-BE"/>
        </w:rPr>
        <w:t>ous avons</w:t>
      </w:r>
      <w:r w:rsidR="00CF4E8D" w:rsidRPr="00342A57">
        <w:rPr>
          <w:rFonts w:cs="Times New Roman"/>
          <w:color w:val="auto"/>
          <w:lang w:val="fr-BE"/>
        </w:rPr>
        <w:t xml:space="preserve"> précédemment montré que le cholecalciférol pouvait avoir un effet bénéfique sur la concentration de parathormone (PTH). En effet, les variations de PTH </w:t>
      </w:r>
      <w:r w:rsidR="00AB05EC" w:rsidRPr="00342A57">
        <w:rPr>
          <w:rFonts w:cs="Times New Roman"/>
          <w:color w:val="auto"/>
          <w:lang w:val="fr-BE"/>
        </w:rPr>
        <w:t>étaient</w:t>
      </w:r>
      <w:r w:rsidR="00CF4E8D" w:rsidRPr="00342A57">
        <w:rPr>
          <w:rFonts w:cs="Times New Roman"/>
          <w:color w:val="auto"/>
          <w:lang w:val="fr-BE"/>
        </w:rPr>
        <w:t xml:space="preserve"> significativement différentes dans le groupe placebo par rapport au groupe traité. Cependant, les concentrations de PTH atteintes dans les deux groupes à 1 an n’étaient pas différentes. </w:t>
      </w:r>
      <w:r w:rsidR="00AB05EC" w:rsidRPr="00342A57">
        <w:rPr>
          <w:rFonts w:cs="Times New Roman"/>
          <w:color w:val="auto"/>
          <w:lang w:val="fr-BE"/>
        </w:rPr>
        <w:t>Une étude récente a montré que la PTH non-oxydée</w:t>
      </w:r>
      <w:r w:rsidR="00414F9A" w:rsidRPr="00342A57">
        <w:rPr>
          <w:rFonts w:cs="Times New Roman"/>
          <w:color w:val="auto"/>
          <w:lang w:val="fr-BE"/>
        </w:rPr>
        <w:t xml:space="preserve"> était celle qui était biologiquement active. </w:t>
      </w:r>
      <w:r w:rsidR="00AB05EC" w:rsidRPr="00342A57">
        <w:rPr>
          <w:rFonts w:cs="Times New Roman"/>
          <w:color w:val="auto"/>
          <w:lang w:val="fr-BE"/>
        </w:rPr>
        <w:t xml:space="preserve">Nous avons voulu voir si un traitement par vitamine D influençait différemment la PTH </w:t>
      </w:r>
      <w:r w:rsidR="00C22511">
        <w:rPr>
          <w:rFonts w:cs="Times New Roman"/>
          <w:color w:val="auto"/>
          <w:lang w:val="fr-BE"/>
        </w:rPr>
        <w:t>non-</w:t>
      </w:r>
      <w:r w:rsidR="00AB05EC" w:rsidRPr="00342A57">
        <w:rPr>
          <w:rFonts w:cs="Times New Roman"/>
          <w:color w:val="auto"/>
          <w:lang w:val="fr-BE"/>
        </w:rPr>
        <w:t xml:space="preserve">oxydée par rapport à </w:t>
      </w:r>
      <w:r w:rsidR="00414F9A" w:rsidRPr="00342A57">
        <w:rPr>
          <w:rFonts w:cs="Times New Roman"/>
          <w:color w:val="auto"/>
          <w:lang w:val="fr-BE"/>
        </w:rPr>
        <w:t>la PTH intacte.</w:t>
      </w:r>
    </w:p>
    <w:p w:rsidR="00D824DD" w:rsidRPr="00342A57" w:rsidRDefault="00DD6262" w:rsidP="00D22EFA">
      <w:pPr>
        <w:rPr>
          <w:rFonts w:cs="Times New Roman"/>
          <w:b/>
          <w:color w:val="auto"/>
          <w:lang w:val="fr-BE"/>
        </w:rPr>
      </w:pPr>
      <w:r w:rsidRPr="00342A57">
        <w:rPr>
          <w:rFonts w:cs="Times New Roman"/>
          <w:b/>
          <w:color w:val="auto"/>
          <w:lang w:val="fr-BE"/>
        </w:rPr>
        <w:t>Méthodes</w:t>
      </w:r>
    </w:p>
    <w:p w:rsidR="002C0EA0" w:rsidRPr="00342A57" w:rsidRDefault="00CF4E8D" w:rsidP="00D22EFA">
      <w:pPr>
        <w:rPr>
          <w:rFonts w:cs="Times New Roman"/>
          <w:color w:val="auto"/>
          <w:lang w:val="fr-BE"/>
        </w:rPr>
      </w:pPr>
      <w:r w:rsidRPr="00342A57">
        <w:rPr>
          <w:rFonts w:cs="Times New Roman"/>
          <w:color w:val="auto"/>
          <w:lang w:val="fr-BE"/>
        </w:rPr>
        <w:t xml:space="preserve">Nous avons </w:t>
      </w:r>
      <w:r w:rsidR="00414F9A" w:rsidRPr="00342A57">
        <w:rPr>
          <w:rFonts w:cs="Times New Roman"/>
          <w:color w:val="auto"/>
          <w:lang w:val="fr-BE"/>
        </w:rPr>
        <w:t xml:space="preserve">réanalysé les échantillons </w:t>
      </w:r>
      <w:r w:rsidRPr="00342A57">
        <w:rPr>
          <w:rFonts w:cs="Times New Roman"/>
          <w:color w:val="auto"/>
          <w:lang w:val="fr-BE"/>
        </w:rPr>
        <w:t>de l’étude prospective. L’analyse porte sur 27</w:t>
      </w:r>
      <w:r w:rsidR="006A6454" w:rsidRPr="00342A57">
        <w:rPr>
          <w:rFonts w:cs="Times New Roman"/>
          <w:color w:val="auto"/>
          <w:lang w:val="fr-BE"/>
        </w:rPr>
        <w:t xml:space="preserve"> patients qui ont terminé l’étude à 1 an. </w:t>
      </w:r>
      <w:r w:rsidR="00DD6262" w:rsidRPr="00342A57">
        <w:rPr>
          <w:rFonts w:cs="Times New Roman"/>
          <w:color w:val="auto"/>
          <w:lang w:val="fr-BE"/>
        </w:rPr>
        <w:t>Les concentrations</w:t>
      </w:r>
      <w:r w:rsidR="006A6454" w:rsidRPr="00342A57">
        <w:rPr>
          <w:rFonts w:cs="Times New Roman"/>
          <w:color w:val="auto"/>
          <w:lang w:val="fr-BE"/>
        </w:rPr>
        <w:t xml:space="preserve"> </w:t>
      </w:r>
      <w:r w:rsidR="00414F9A" w:rsidRPr="00342A57">
        <w:rPr>
          <w:rFonts w:cs="Times New Roman"/>
          <w:color w:val="auto"/>
          <w:lang w:val="fr-BE"/>
        </w:rPr>
        <w:t xml:space="preserve">de </w:t>
      </w:r>
      <w:r w:rsidR="00DD6262" w:rsidRPr="00342A57">
        <w:rPr>
          <w:rFonts w:cs="Times New Roman"/>
          <w:color w:val="auto"/>
          <w:lang w:val="fr-BE"/>
        </w:rPr>
        <w:t>PTH</w:t>
      </w:r>
      <w:r w:rsidR="00654E48" w:rsidRPr="00342A57">
        <w:rPr>
          <w:rFonts w:cs="Times New Roman"/>
          <w:color w:val="auto"/>
          <w:lang w:val="fr-BE"/>
        </w:rPr>
        <w:t xml:space="preserve"> sont mesurées au début de l’étude et à 1 an </w:t>
      </w:r>
      <w:r w:rsidR="00414F9A" w:rsidRPr="00342A57">
        <w:rPr>
          <w:rFonts w:cs="Times New Roman"/>
          <w:color w:val="auto"/>
          <w:lang w:val="fr-BE"/>
        </w:rPr>
        <w:t xml:space="preserve">avec une trousse de  PTH intacte (Elecsys) </w:t>
      </w:r>
      <w:r w:rsidR="00342A57" w:rsidRPr="00342A57">
        <w:rPr>
          <w:rFonts w:cs="Times New Roman"/>
          <w:color w:val="auto"/>
          <w:lang w:val="fr-BE"/>
        </w:rPr>
        <w:t>et, avec cette même trousse, après traitement avec des anticorps anti-PTH oxydée (Immundiagnostik).</w:t>
      </w:r>
      <w:r w:rsidR="006A6454" w:rsidRPr="00342A57">
        <w:rPr>
          <w:rFonts w:cs="Times New Roman"/>
          <w:color w:val="auto"/>
          <w:lang w:val="fr-BE"/>
        </w:rPr>
        <w:t xml:space="preserve"> </w:t>
      </w:r>
      <w:r w:rsidR="00654E48" w:rsidRPr="00342A57">
        <w:rPr>
          <w:rFonts w:cs="Times New Roman"/>
          <w:color w:val="auto"/>
          <w:lang w:val="fr-BE"/>
        </w:rPr>
        <w:t xml:space="preserve">Les concentrations de PTH ont été comparées par un test de Mann-Whitney ou de Wilcoxon. </w:t>
      </w:r>
    </w:p>
    <w:p w:rsidR="002C0EA0" w:rsidRPr="00F90BAC" w:rsidRDefault="00DD6262" w:rsidP="00D22EFA">
      <w:pPr>
        <w:rPr>
          <w:rFonts w:cs="Times New Roman"/>
          <w:color w:val="FF0000"/>
          <w:lang w:val="fr-BE"/>
        </w:rPr>
      </w:pPr>
      <w:r w:rsidRPr="00F90BAC">
        <w:rPr>
          <w:rFonts w:cs="Times New Roman"/>
          <w:b/>
          <w:lang w:val="fr-BE"/>
        </w:rPr>
        <w:t>Résultats</w:t>
      </w:r>
      <w:r w:rsidR="002C0EA0" w:rsidRPr="00F90BAC">
        <w:rPr>
          <w:rFonts w:cs="Times New Roman"/>
          <w:color w:val="FF0000"/>
          <w:lang w:val="fr-BE"/>
        </w:rPr>
        <w:t xml:space="preserve"> </w:t>
      </w:r>
    </w:p>
    <w:p w:rsidR="00654E48" w:rsidRPr="00DD6262" w:rsidRDefault="00654E48" w:rsidP="00654E48">
      <w:pPr>
        <w:rPr>
          <w:rFonts w:cs="Times New Roman"/>
          <w:color w:val="auto"/>
          <w:lang w:val="fr-BE"/>
        </w:rPr>
      </w:pPr>
      <w:r>
        <w:rPr>
          <w:rFonts w:cs="Times New Roman"/>
          <w:color w:val="auto"/>
          <w:lang w:val="fr-BE"/>
        </w:rPr>
        <w:t>Les patients</w:t>
      </w:r>
      <w:r w:rsidRPr="00DD6262">
        <w:rPr>
          <w:rFonts w:cs="Times New Roman"/>
          <w:color w:val="auto"/>
          <w:lang w:val="fr-BE"/>
        </w:rPr>
        <w:t xml:space="preserve"> traités par placebo </w:t>
      </w:r>
      <w:r>
        <w:rPr>
          <w:rFonts w:cs="Times New Roman"/>
          <w:color w:val="auto"/>
          <w:lang w:val="fr-BE"/>
        </w:rPr>
        <w:t>(n=11</w:t>
      </w:r>
      <w:r w:rsidRPr="00DD6262">
        <w:rPr>
          <w:rFonts w:cs="Times New Roman"/>
          <w:color w:val="auto"/>
          <w:lang w:val="fr-BE"/>
        </w:rPr>
        <w:t xml:space="preserve">) </w:t>
      </w:r>
      <w:r>
        <w:rPr>
          <w:rFonts w:cs="Times New Roman"/>
          <w:color w:val="auto"/>
          <w:lang w:val="fr-BE"/>
        </w:rPr>
        <w:t>et ceux traité</w:t>
      </w:r>
      <w:r w:rsidR="00393FD6">
        <w:rPr>
          <w:rFonts w:cs="Times New Roman"/>
          <w:color w:val="auto"/>
          <w:lang w:val="fr-BE"/>
        </w:rPr>
        <w:t xml:space="preserve"> par</w:t>
      </w:r>
      <w:r w:rsidRPr="00DD6262">
        <w:rPr>
          <w:rFonts w:cs="Times New Roman"/>
          <w:color w:val="auto"/>
          <w:lang w:val="fr-BE"/>
        </w:rPr>
        <w:t xml:space="preserve"> </w:t>
      </w:r>
      <w:r>
        <w:rPr>
          <w:rFonts w:cs="Times New Roman"/>
          <w:color w:val="auto"/>
          <w:lang w:val="fr-BE"/>
        </w:rPr>
        <w:t>25</w:t>
      </w:r>
      <w:r w:rsidRPr="00DD6262">
        <w:rPr>
          <w:rFonts w:cs="Times New Roman"/>
          <w:color w:val="auto"/>
          <w:lang w:val="fr-BE"/>
        </w:rPr>
        <w:t>.000 UI de cholécalciférol</w:t>
      </w:r>
      <w:r>
        <w:rPr>
          <w:rFonts w:cs="Times New Roman"/>
          <w:color w:val="auto"/>
          <w:lang w:val="fr-BE"/>
        </w:rPr>
        <w:t xml:space="preserve"> (1x/15j) avaient, au départ, une concentration de PTH identique</w:t>
      </w:r>
      <w:r w:rsidR="00342A57">
        <w:rPr>
          <w:rFonts w:cs="Times New Roman"/>
          <w:color w:val="auto"/>
          <w:lang w:val="fr-BE"/>
        </w:rPr>
        <w:t> : 189</w:t>
      </w:r>
      <w:r>
        <w:rPr>
          <w:rFonts w:cs="Times New Roman"/>
          <w:color w:val="auto"/>
          <w:lang w:val="fr-BE"/>
        </w:rPr>
        <w:t xml:space="preserve"> [</w:t>
      </w:r>
      <w:r w:rsidR="00DB55BD">
        <w:rPr>
          <w:rFonts w:cs="Times New Roman"/>
          <w:color w:val="auto"/>
          <w:lang w:val="fr-BE"/>
        </w:rPr>
        <w:t>1</w:t>
      </w:r>
      <w:r w:rsidR="00342A57">
        <w:rPr>
          <w:rFonts w:cs="Times New Roman"/>
          <w:color w:val="auto"/>
          <w:lang w:val="fr-BE"/>
        </w:rPr>
        <w:t>14</w:t>
      </w:r>
      <w:r w:rsidR="00DB55BD">
        <w:rPr>
          <w:rFonts w:cs="Times New Roman"/>
          <w:color w:val="auto"/>
          <w:lang w:val="fr-BE"/>
        </w:rPr>
        <w:t>;</w:t>
      </w:r>
      <w:r w:rsidR="00342A57">
        <w:rPr>
          <w:rFonts w:cs="Times New Roman"/>
          <w:color w:val="auto"/>
          <w:lang w:val="fr-BE"/>
        </w:rPr>
        <w:t>290</w:t>
      </w:r>
      <w:r>
        <w:rPr>
          <w:rFonts w:cs="Times New Roman"/>
          <w:color w:val="auto"/>
          <w:lang w:val="fr-BE"/>
        </w:rPr>
        <w:t>]</w:t>
      </w:r>
      <w:r w:rsidR="00342A57">
        <w:rPr>
          <w:rFonts w:cs="Times New Roman"/>
          <w:color w:val="auto"/>
          <w:lang w:val="fr-BE"/>
        </w:rPr>
        <w:t xml:space="preserve"> et</w:t>
      </w:r>
      <w:r>
        <w:rPr>
          <w:rFonts w:cs="Times New Roman"/>
          <w:color w:val="auto"/>
          <w:lang w:val="fr-BE"/>
        </w:rPr>
        <w:t xml:space="preserve">  2</w:t>
      </w:r>
      <w:r w:rsidR="00342A57">
        <w:rPr>
          <w:rFonts w:cs="Times New Roman"/>
          <w:color w:val="auto"/>
          <w:lang w:val="fr-BE"/>
        </w:rPr>
        <w:t>30</w:t>
      </w:r>
      <w:r>
        <w:rPr>
          <w:rFonts w:cs="Times New Roman"/>
          <w:color w:val="auto"/>
          <w:lang w:val="fr-BE"/>
        </w:rPr>
        <w:t xml:space="preserve"> [</w:t>
      </w:r>
      <w:r w:rsidR="00DB55BD">
        <w:rPr>
          <w:rFonts w:cs="Times New Roman"/>
          <w:color w:val="auto"/>
          <w:lang w:val="fr-BE"/>
        </w:rPr>
        <w:t>1</w:t>
      </w:r>
      <w:r w:rsidR="00342A57">
        <w:rPr>
          <w:rFonts w:cs="Times New Roman"/>
          <w:color w:val="auto"/>
          <w:lang w:val="fr-BE"/>
        </w:rPr>
        <w:t>25</w:t>
      </w:r>
      <w:r w:rsidR="00DB55BD">
        <w:rPr>
          <w:rFonts w:cs="Times New Roman"/>
          <w:color w:val="auto"/>
          <w:lang w:val="fr-BE"/>
        </w:rPr>
        <w:t>;</w:t>
      </w:r>
      <w:r w:rsidR="00342A57">
        <w:rPr>
          <w:rFonts w:cs="Times New Roman"/>
          <w:color w:val="auto"/>
          <w:lang w:val="fr-BE"/>
        </w:rPr>
        <w:t>280</w:t>
      </w:r>
      <w:r>
        <w:rPr>
          <w:rFonts w:cs="Times New Roman"/>
          <w:color w:val="auto"/>
          <w:lang w:val="fr-BE"/>
        </w:rPr>
        <w:t xml:space="preserve">] pg/mL pour la </w:t>
      </w:r>
      <w:r w:rsidR="00342A57">
        <w:rPr>
          <w:rFonts w:cs="Times New Roman"/>
          <w:color w:val="auto"/>
          <w:lang w:val="fr-BE"/>
        </w:rPr>
        <w:t xml:space="preserve">PTH intacte, respectivement dans le groupe placebo vs traité et  </w:t>
      </w:r>
      <w:r w:rsidR="00DB55BD">
        <w:rPr>
          <w:rFonts w:cs="Times New Roman"/>
          <w:color w:val="auto"/>
          <w:lang w:val="fr-BE"/>
        </w:rPr>
        <w:t xml:space="preserve">25 </w:t>
      </w:r>
      <w:r>
        <w:rPr>
          <w:rFonts w:cs="Times New Roman"/>
          <w:color w:val="auto"/>
          <w:lang w:val="fr-BE"/>
        </w:rPr>
        <w:t>[</w:t>
      </w:r>
      <w:r w:rsidR="00DB55BD">
        <w:rPr>
          <w:rFonts w:cs="Times New Roman"/>
          <w:color w:val="auto"/>
          <w:lang w:val="fr-BE"/>
        </w:rPr>
        <w:t>17;35</w:t>
      </w:r>
      <w:r>
        <w:rPr>
          <w:rFonts w:cs="Times New Roman"/>
          <w:color w:val="auto"/>
          <w:lang w:val="fr-BE"/>
        </w:rPr>
        <w:t xml:space="preserve">] </w:t>
      </w:r>
      <w:r w:rsidR="00342A57">
        <w:rPr>
          <w:rFonts w:cs="Times New Roman"/>
          <w:color w:val="auto"/>
          <w:lang w:val="fr-BE"/>
        </w:rPr>
        <w:t xml:space="preserve">et </w:t>
      </w:r>
      <w:r w:rsidR="00DB55BD">
        <w:rPr>
          <w:rFonts w:cs="Times New Roman"/>
          <w:color w:val="auto"/>
          <w:lang w:val="fr-BE"/>
        </w:rPr>
        <w:t xml:space="preserve">28 </w:t>
      </w:r>
      <w:r>
        <w:rPr>
          <w:rFonts w:cs="Times New Roman"/>
          <w:color w:val="auto"/>
          <w:lang w:val="fr-BE"/>
        </w:rPr>
        <w:t>[</w:t>
      </w:r>
      <w:r w:rsidR="00DB55BD">
        <w:rPr>
          <w:rFonts w:cs="Times New Roman"/>
          <w:color w:val="auto"/>
          <w:lang w:val="fr-BE"/>
        </w:rPr>
        <w:t>18;34</w:t>
      </w:r>
      <w:r>
        <w:rPr>
          <w:rFonts w:cs="Times New Roman"/>
          <w:color w:val="auto"/>
          <w:lang w:val="fr-BE"/>
        </w:rPr>
        <w:t xml:space="preserve">] pg/mL pour la PTH </w:t>
      </w:r>
      <w:r w:rsidR="00342A57">
        <w:rPr>
          <w:rFonts w:cs="Times New Roman"/>
          <w:color w:val="auto"/>
          <w:lang w:val="fr-BE"/>
        </w:rPr>
        <w:t>non-</w:t>
      </w:r>
      <w:r>
        <w:rPr>
          <w:rFonts w:cs="Times New Roman"/>
          <w:color w:val="auto"/>
          <w:lang w:val="fr-BE"/>
        </w:rPr>
        <w:t>oxydée</w:t>
      </w:r>
      <w:r w:rsidR="00342A57">
        <w:rPr>
          <w:rFonts w:cs="Times New Roman"/>
          <w:color w:val="auto"/>
          <w:lang w:val="fr-BE"/>
        </w:rPr>
        <w:t xml:space="preserve"> dans ces mêmes groupes</w:t>
      </w:r>
      <w:r>
        <w:rPr>
          <w:rFonts w:cs="Times New Roman"/>
          <w:color w:val="auto"/>
          <w:lang w:val="fr-BE"/>
        </w:rPr>
        <w:t xml:space="preserve">. </w:t>
      </w:r>
      <w:r w:rsidR="00DB55BD">
        <w:rPr>
          <w:rFonts w:cs="Times New Roman"/>
          <w:color w:val="auto"/>
          <w:lang w:val="fr-BE"/>
        </w:rPr>
        <w:t xml:space="preserve">Les variations de PTH sur 1 an étaient significativement différentes entre les groupes. La PTH </w:t>
      </w:r>
      <w:r w:rsidR="00342A57">
        <w:rPr>
          <w:rFonts w:cs="Times New Roman"/>
          <w:color w:val="auto"/>
          <w:lang w:val="fr-BE"/>
        </w:rPr>
        <w:t>intacte</w:t>
      </w:r>
      <w:r w:rsidR="00DB55BD">
        <w:rPr>
          <w:rFonts w:cs="Times New Roman"/>
          <w:color w:val="auto"/>
          <w:lang w:val="fr-BE"/>
        </w:rPr>
        <w:t xml:space="preserve"> diminue en médiane de </w:t>
      </w:r>
      <w:r w:rsidR="006B269A">
        <w:rPr>
          <w:rFonts w:cs="Times New Roman"/>
          <w:color w:val="auto"/>
          <w:lang w:val="fr-BE"/>
        </w:rPr>
        <w:t>-41 [-145;-3]</w:t>
      </w:r>
      <w:r w:rsidR="00DB55BD">
        <w:rPr>
          <w:rFonts w:cs="Times New Roman"/>
          <w:color w:val="auto"/>
          <w:lang w:val="fr-BE"/>
        </w:rPr>
        <w:t xml:space="preserve"> pg/mL dans le groupe traité et augmente de </w:t>
      </w:r>
      <w:r w:rsidR="006B269A">
        <w:rPr>
          <w:rFonts w:cs="Times New Roman"/>
          <w:color w:val="auto"/>
          <w:lang w:val="fr-BE"/>
        </w:rPr>
        <w:t>60 [-8;146] pg/mL dans le groupe placebo (p=0,005</w:t>
      </w:r>
      <w:r w:rsidR="00DB55BD">
        <w:rPr>
          <w:rFonts w:cs="Times New Roman"/>
          <w:color w:val="auto"/>
          <w:lang w:val="fr-BE"/>
        </w:rPr>
        <w:t xml:space="preserve">6). Les résultats de la PTH </w:t>
      </w:r>
      <w:r w:rsidR="00342A57">
        <w:rPr>
          <w:rFonts w:cs="Times New Roman"/>
          <w:color w:val="auto"/>
          <w:lang w:val="fr-BE"/>
        </w:rPr>
        <w:t>non-</w:t>
      </w:r>
      <w:r w:rsidR="00DB55BD">
        <w:rPr>
          <w:rFonts w:cs="Times New Roman"/>
          <w:color w:val="auto"/>
          <w:lang w:val="fr-BE"/>
        </w:rPr>
        <w:t>oxydée sont superposables : -5 [-13;0] et 6 [-1 ;13]</w:t>
      </w:r>
      <w:r w:rsidR="00342A57">
        <w:rPr>
          <w:rFonts w:cs="Times New Roman"/>
          <w:color w:val="auto"/>
          <w:lang w:val="fr-BE"/>
        </w:rPr>
        <w:t xml:space="preserve"> pg/</w:t>
      </w:r>
      <w:r w:rsidR="006B269A">
        <w:rPr>
          <w:rFonts w:cs="Times New Roman"/>
          <w:color w:val="auto"/>
          <w:lang w:val="fr-BE"/>
        </w:rPr>
        <w:t>Ml (p=0,0232)</w:t>
      </w:r>
      <w:r w:rsidR="00DB55BD">
        <w:rPr>
          <w:rFonts w:cs="Times New Roman"/>
          <w:color w:val="auto"/>
          <w:lang w:val="fr-BE"/>
        </w:rPr>
        <w:t xml:space="preserve">. </w:t>
      </w:r>
      <w:r w:rsidR="00C36C09">
        <w:rPr>
          <w:rFonts w:cs="Times New Roman"/>
          <w:color w:val="auto"/>
          <w:lang w:val="fr-BE"/>
        </w:rPr>
        <w:t>Les concentrations à 1 an ne sont pas significativement différentes entre le groupe placebo et actif</w:t>
      </w:r>
      <w:r w:rsidR="00342A57">
        <w:rPr>
          <w:rFonts w:cs="Times New Roman"/>
          <w:color w:val="auto"/>
          <w:lang w:val="fr-BE"/>
        </w:rPr>
        <w:t>,</w:t>
      </w:r>
      <w:r w:rsidR="00C36C09">
        <w:rPr>
          <w:rFonts w:cs="Times New Roman"/>
          <w:color w:val="auto"/>
          <w:lang w:val="fr-BE"/>
        </w:rPr>
        <w:t xml:space="preserve"> que </w:t>
      </w:r>
      <w:r w:rsidR="00342A57">
        <w:rPr>
          <w:rFonts w:cs="Times New Roman"/>
          <w:color w:val="auto"/>
          <w:lang w:val="fr-BE"/>
        </w:rPr>
        <w:t xml:space="preserve">ce soit pour la </w:t>
      </w:r>
      <w:r w:rsidR="00C36C09">
        <w:rPr>
          <w:rFonts w:cs="Times New Roman"/>
          <w:color w:val="auto"/>
          <w:lang w:val="fr-BE"/>
        </w:rPr>
        <w:t xml:space="preserve">PTH </w:t>
      </w:r>
      <w:r w:rsidR="00342A57">
        <w:rPr>
          <w:rFonts w:cs="Times New Roman"/>
          <w:color w:val="auto"/>
          <w:lang w:val="fr-BE"/>
        </w:rPr>
        <w:t>intacte</w:t>
      </w:r>
      <w:r w:rsidR="00C36C09">
        <w:rPr>
          <w:rFonts w:cs="Times New Roman"/>
          <w:color w:val="auto"/>
          <w:lang w:val="fr-BE"/>
        </w:rPr>
        <w:t xml:space="preserve"> </w:t>
      </w:r>
      <w:r w:rsidR="00342A57">
        <w:rPr>
          <w:rFonts w:cs="Times New Roman"/>
          <w:color w:val="auto"/>
          <w:lang w:val="fr-BE"/>
        </w:rPr>
        <w:t xml:space="preserve">ou la PTH non-oxydée </w:t>
      </w:r>
      <w:r w:rsidR="00C36C09">
        <w:rPr>
          <w:rFonts w:cs="Times New Roman"/>
          <w:color w:val="auto"/>
          <w:lang w:val="fr-BE"/>
        </w:rPr>
        <w:t>(</w:t>
      </w:r>
      <w:r w:rsidR="00C22511">
        <w:rPr>
          <w:rFonts w:cs="Times New Roman"/>
          <w:color w:val="auto"/>
          <w:lang w:val="fr-BE"/>
        </w:rPr>
        <w:t>260[100;437] et 153[104;192]</w:t>
      </w:r>
      <w:r w:rsidR="00342A57">
        <w:rPr>
          <w:rFonts w:cs="Times New Roman"/>
          <w:color w:val="auto"/>
          <w:lang w:val="fr-BE"/>
        </w:rPr>
        <w:t xml:space="preserve"> vs. </w:t>
      </w:r>
      <w:r w:rsidR="00C36C09">
        <w:rPr>
          <w:rFonts w:cs="Times New Roman"/>
          <w:color w:val="auto"/>
          <w:lang w:val="fr-BE"/>
        </w:rPr>
        <w:t>31[16;37] et 24[13;28]</w:t>
      </w:r>
      <w:r w:rsidR="00342A57">
        <w:rPr>
          <w:rFonts w:cs="Times New Roman"/>
          <w:color w:val="auto"/>
          <w:lang w:val="fr-BE"/>
        </w:rPr>
        <w:t xml:space="preserve"> pg/mL</w:t>
      </w:r>
      <w:r w:rsidR="00C36C09">
        <w:rPr>
          <w:rFonts w:cs="Times New Roman"/>
          <w:color w:val="auto"/>
          <w:lang w:val="fr-BE"/>
        </w:rPr>
        <w:t>).</w:t>
      </w:r>
      <w:r w:rsidR="00DB55BD">
        <w:rPr>
          <w:rFonts w:cs="Times New Roman"/>
          <w:color w:val="auto"/>
          <w:lang w:val="fr-BE"/>
        </w:rPr>
        <w:t xml:space="preserve"> </w:t>
      </w:r>
    </w:p>
    <w:p w:rsidR="00D824DD" w:rsidRPr="00DD6262" w:rsidRDefault="002C0EA0" w:rsidP="00D22EFA">
      <w:pPr>
        <w:rPr>
          <w:rFonts w:cs="Times New Roman"/>
          <w:b/>
          <w:lang w:val="fr-BE"/>
        </w:rPr>
      </w:pPr>
      <w:r w:rsidRPr="00DD6262">
        <w:rPr>
          <w:rFonts w:cs="Times New Roman"/>
          <w:b/>
          <w:lang w:val="fr-BE"/>
        </w:rPr>
        <w:t>Conclusion</w:t>
      </w:r>
    </w:p>
    <w:p w:rsidR="00584C10" w:rsidRPr="00DD6262" w:rsidRDefault="00C36C09" w:rsidP="00D22EFA">
      <w:pPr>
        <w:rPr>
          <w:rFonts w:cs="Times New Roman"/>
          <w:b/>
          <w:lang w:val="fr-BE"/>
        </w:rPr>
      </w:pPr>
      <w:r>
        <w:rPr>
          <w:rFonts w:cs="Times New Roman"/>
          <w:lang w:val="fr-BE"/>
        </w:rPr>
        <w:t xml:space="preserve">L’utilisation de la PTH </w:t>
      </w:r>
      <w:r w:rsidR="00D31AE7">
        <w:rPr>
          <w:rFonts w:cs="Times New Roman"/>
          <w:lang w:val="fr-BE"/>
        </w:rPr>
        <w:t>non-</w:t>
      </w:r>
      <w:r>
        <w:rPr>
          <w:rFonts w:cs="Times New Roman"/>
          <w:lang w:val="fr-BE"/>
        </w:rPr>
        <w:t xml:space="preserve">oxydée ne change rien, par rapport à </w:t>
      </w:r>
      <w:r w:rsidR="00342A57">
        <w:rPr>
          <w:rFonts w:cs="Times New Roman"/>
          <w:lang w:val="fr-BE"/>
        </w:rPr>
        <w:t>la</w:t>
      </w:r>
      <w:r>
        <w:rPr>
          <w:rFonts w:cs="Times New Roman"/>
          <w:lang w:val="fr-BE"/>
        </w:rPr>
        <w:t xml:space="preserve"> PTH </w:t>
      </w:r>
      <w:r w:rsidR="00342A57">
        <w:rPr>
          <w:rFonts w:cs="Times New Roman"/>
          <w:lang w:val="fr-BE"/>
        </w:rPr>
        <w:t>intacte</w:t>
      </w:r>
      <w:r>
        <w:rPr>
          <w:rFonts w:cs="Times New Roman"/>
          <w:lang w:val="fr-BE"/>
        </w:rPr>
        <w:t>, aux conclusions de notre étude sur l’effet (bénéfique) de la vitamine D native sur l’évolution de la PTH chez le dialysé</w:t>
      </w:r>
      <w:r w:rsidR="009E3FCD">
        <w:rPr>
          <w:rFonts w:cs="Times New Roman"/>
          <w:lang w:val="fr-BE"/>
        </w:rPr>
        <w:t>.</w:t>
      </w:r>
    </w:p>
    <w:sectPr w:rsidR="00584C10" w:rsidRPr="00DD6262" w:rsidSect="00C1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0784"/>
    <w:multiLevelType w:val="hybridMultilevel"/>
    <w:tmpl w:val="9C40AA7E"/>
    <w:lvl w:ilvl="0" w:tplc="47D40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D22EFA"/>
    <w:rsid w:val="00001441"/>
    <w:rsid w:val="00011899"/>
    <w:rsid w:val="00012E14"/>
    <w:rsid w:val="000150D8"/>
    <w:rsid w:val="0001515A"/>
    <w:rsid w:val="000250F7"/>
    <w:rsid w:val="00031ED8"/>
    <w:rsid w:val="00035A83"/>
    <w:rsid w:val="00041D8E"/>
    <w:rsid w:val="00043AAB"/>
    <w:rsid w:val="0007198B"/>
    <w:rsid w:val="000766C8"/>
    <w:rsid w:val="000B7ACA"/>
    <w:rsid w:val="000D3002"/>
    <w:rsid w:val="000F42F2"/>
    <w:rsid w:val="001240D1"/>
    <w:rsid w:val="00134538"/>
    <w:rsid w:val="001403EA"/>
    <w:rsid w:val="00155B17"/>
    <w:rsid w:val="00155F51"/>
    <w:rsid w:val="00171D13"/>
    <w:rsid w:val="001A1058"/>
    <w:rsid w:val="001A3851"/>
    <w:rsid w:val="001B2942"/>
    <w:rsid w:val="001C542D"/>
    <w:rsid w:val="001C557E"/>
    <w:rsid w:val="001D3AB9"/>
    <w:rsid w:val="001E4AB5"/>
    <w:rsid w:val="001F068F"/>
    <w:rsid w:val="00207330"/>
    <w:rsid w:val="00214A2B"/>
    <w:rsid w:val="00241E27"/>
    <w:rsid w:val="0025500B"/>
    <w:rsid w:val="0025748F"/>
    <w:rsid w:val="002728B0"/>
    <w:rsid w:val="00285CA0"/>
    <w:rsid w:val="002901F5"/>
    <w:rsid w:val="00290448"/>
    <w:rsid w:val="002B208D"/>
    <w:rsid w:val="002B582F"/>
    <w:rsid w:val="002C0EA0"/>
    <w:rsid w:val="002C4999"/>
    <w:rsid w:val="002D315D"/>
    <w:rsid w:val="002D642B"/>
    <w:rsid w:val="002D65EE"/>
    <w:rsid w:val="002E10D7"/>
    <w:rsid w:val="002F4E6D"/>
    <w:rsid w:val="003131B0"/>
    <w:rsid w:val="00335BFA"/>
    <w:rsid w:val="00342A57"/>
    <w:rsid w:val="003507D0"/>
    <w:rsid w:val="00354657"/>
    <w:rsid w:val="00370823"/>
    <w:rsid w:val="00393FD6"/>
    <w:rsid w:val="00395170"/>
    <w:rsid w:val="003A5E2B"/>
    <w:rsid w:val="003E16AE"/>
    <w:rsid w:val="003E6079"/>
    <w:rsid w:val="00414F9A"/>
    <w:rsid w:val="00433636"/>
    <w:rsid w:val="00441FD1"/>
    <w:rsid w:val="004555CA"/>
    <w:rsid w:val="00456D86"/>
    <w:rsid w:val="00457FDC"/>
    <w:rsid w:val="004721A4"/>
    <w:rsid w:val="00486002"/>
    <w:rsid w:val="004A1966"/>
    <w:rsid w:val="004A712A"/>
    <w:rsid w:val="004C3830"/>
    <w:rsid w:val="004D3256"/>
    <w:rsid w:val="004E1B87"/>
    <w:rsid w:val="004E5B3A"/>
    <w:rsid w:val="004F16AE"/>
    <w:rsid w:val="00511169"/>
    <w:rsid w:val="00515803"/>
    <w:rsid w:val="005179DF"/>
    <w:rsid w:val="00522602"/>
    <w:rsid w:val="00524404"/>
    <w:rsid w:val="0052586A"/>
    <w:rsid w:val="00526656"/>
    <w:rsid w:val="0053429C"/>
    <w:rsid w:val="00551917"/>
    <w:rsid w:val="005551F7"/>
    <w:rsid w:val="00584C10"/>
    <w:rsid w:val="005933D9"/>
    <w:rsid w:val="005973C2"/>
    <w:rsid w:val="005A460C"/>
    <w:rsid w:val="005A7A40"/>
    <w:rsid w:val="005A7FD0"/>
    <w:rsid w:val="005B7F1F"/>
    <w:rsid w:val="005D06E5"/>
    <w:rsid w:val="005D3401"/>
    <w:rsid w:val="005E5AE6"/>
    <w:rsid w:val="00603E4E"/>
    <w:rsid w:val="006322DE"/>
    <w:rsid w:val="00645ED8"/>
    <w:rsid w:val="0065191A"/>
    <w:rsid w:val="00654E48"/>
    <w:rsid w:val="006655BF"/>
    <w:rsid w:val="00673FE5"/>
    <w:rsid w:val="00691757"/>
    <w:rsid w:val="006A02DB"/>
    <w:rsid w:val="006A27FD"/>
    <w:rsid w:val="006A6454"/>
    <w:rsid w:val="006B269A"/>
    <w:rsid w:val="006C04B0"/>
    <w:rsid w:val="006D1B5A"/>
    <w:rsid w:val="006E217D"/>
    <w:rsid w:val="00727CA7"/>
    <w:rsid w:val="007548B4"/>
    <w:rsid w:val="00766E3E"/>
    <w:rsid w:val="00771754"/>
    <w:rsid w:val="007718B6"/>
    <w:rsid w:val="00786414"/>
    <w:rsid w:val="00790236"/>
    <w:rsid w:val="0079461E"/>
    <w:rsid w:val="007959BF"/>
    <w:rsid w:val="0079760F"/>
    <w:rsid w:val="007E286F"/>
    <w:rsid w:val="00812585"/>
    <w:rsid w:val="008457AE"/>
    <w:rsid w:val="00863338"/>
    <w:rsid w:val="008654E6"/>
    <w:rsid w:val="00870F60"/>
    <w:rsid w:val="00871AE9"/>
    <w:rsid w:val="00880E79"/>
    <w:rsid w:val="00885871"/>
    <w:rsid w:val="00887B86"/>
    <w:rsid w:val="00897BEC"/>
    <w:rsid w:val="008A051F"/>
    <w:rsid w:val="008B2614"/>
    <w:rsid w:val="008E4818"/>
    <w:rsid w:val="008E71BE"/>
    <w:rsid w:val="00900546"/>
    <w:rsid w:val="0090192F"/>
    <w:rsid w:val="009069FD"/>
    <w:rsid w:val="00912319"/>
    <w:rsid w:val="00933567"/>
    <w:rsid w:val="00967CAF"/>
    <w:rsid w:val="00967FE1"/>
    <w:rsid w:val="00972372"/>
    <w:rsid w:val="00975EDC"/>
    <w:rsid w:val="0098086F"/>
    <w:rsid w:val="009830CB"/>
    <w:rsid w:val="00984C57"/>
    <w:rsid w:val="009A0003"/>
    <w:rsid w:val="009B4439"/>
    <w:rsid w:val="009D43F5"/>
    <w:rsid w:val="009E3FCD"/>
    <w:rsid w:val="009E6A30"/>
    <w:rsid w:val="009F471F"/>
    <w:rsid w:val="009F4B41"/>
    <w:rsid w:val="00A023BD"/>
    <w:rsid w:val="00A02D19"/>
    <w:rsid w:val="00A04149"/>
    <w:rsid w:val="00A0514A"/>
    <w:rsid w:val="00A20D65"/>
    <w:rsid w:val="00A409BB"/>
    <w:rsid w:val="00A633D6"/>
    <w:rsid w:val="00A70091"/>
    <w:rsid w:val="00A7009A"/>
    <w:rsid w:val="00A80F52"/>
    <w:rsid w:val="00AB05EC"/>
    <w:rsid w:val="00AB0878"/>
    <w:rsid w:val="00AB21A0"/>
    <w:rsid w:val="00AB2A59"/>
    <w:rsid w:val="00AB790E"/>
    <w:rsid w:val="00AC0F35"/>
    <w:rsid w:val="00AD2DEC"/>
    <w:rsid w:val="00AD44A0"/>
    <w:rsid w:val="00AE68CA"/>
    <w:rsid w:val="00B15B8E"/>
    <w:rsid w:val="00B174D2"/>
    <w:rsid w:val="00B17D9B"/>
    <w:rsid w:val="00B3383C"/>
    <w:rsid w:val="00B35436"/>
    <w:rsid w:val="00B42B3D"/>
    <w:rsid w:val="00B43B00"/>
    <w:rsid w:val="00B50CC1"/>
    <w:rsid w:val="00B77046"/>
    <w:rsid w:val="00B87981"/>
    <w:rsid w:val="00BA6E3E"/>
    <w:rsid w:val="00BD28DD"/>
    <w:rsid w:val="00BF52D9"/>
    <w:rsid w:val="00C125BA"/>
    <w:rsid w:val="00C22511"/>
    <w:rsid w:val="00C24886"/>
    <w:rsid w:val="00C36C09"/>
    <w:rsid w:val="00C6027A"/>
    <w:rsid w:val="00C67BF5"/>
    <w:rsid w:val="00C84A52"/>
    <w:rsid w:val="00CC21DC"/>
    <w:rsid w:val="00CC3A76"/>
    <w:rsid w:val="00CC45AA"/>
    <w:rsid w:val="00CD169B"/>
    <w:rsid w:val="00CF4E8D"/>
    <w:rsid w:val="00CF6CF7"/>
    <w:rsid w:val="00D05ABD"/>
    <w:rsid w:val="00D21364"/>
    <w:rsid w:val="00D22EFA"/>
    <w:rsid w:val="00D233DE"/>
    <w:rsid w:val="00D263C0"/>
    <w:rsid w:val="00D31AE7"/>
    <w:rsid w:val="00D35EC9"/>
    <w:rsid w:val="00D51A77"/>
    <w:rsid w:val="00D60A43"/>
    <w:rsid w:val="00D63F16"/>
    <w:rsid w:val="00D64362"/>
    <w:rsid w:val="00D824DD"/>
    <w:rsid w:val="00D8658A"/>
    <w:rsid w:val="00DB55BD"/>
    <w:rsid w:val="00DB7C65"/>
    <w:rsid w:val="00DD6262"/>
    <w:rsid w:val="00DF5674"/>
    <w:rsid w:val="00E20857"/>
    <w:rsid w:val="00E27AAD"/>
    <w:rsid w:val="00E4317E"/>
    <w:rsid w:val="00E458EE"/>
    <w:rsid w:val="00E4653F"/>
    <w:rsid w:val="00E86A53"/>
    <w:rsid w:val="00E94A62"/>
    <w:rsid w:val="00EA6C69"/>
    <w:rsid w:val="00EB7AB2"/>
    <w:rsid w:val="00ED34D0"/>
    <w:rsid w:val="00EF37F0"/>
    <w:rsid w:val="00F14967"/>
    <w:rsid w:val="00F25C5C"/>
    <w:rsid w:val="00F44C92"/>
    <w:rsid w:val="00F54794"/>
    <w:rsid w:val="00F60491"/>
    <w:rsid w:val="00F64E5D"/>
    <w:rsid w:val="00F74A02"/>
    <w:rsid w:val="00F8410B"/>
    <w:rsid w:val="00F86817"/>
    <w:rsid w:val="00F90BAC"/>
    <w:rsid w:val="00FA2651"/>
    <w:rsid w:val="00FB427A"/>
    <w:rsid w:val="00FC3B7C"/>
    <w:rsid w:val="00FE6D3D"/>
    <w:rsid w:val="00FE6E53"/>
    <w:rsid w:val="00FE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5BA"/>
    <w:rPr>
      <w:rFonts w:cs="Arial"/>
      <w:color w:val="000000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76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849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Quels sont les paramètres biologiques qui sont prédictifs des calcifications vasculaires chez le patient hémodialysé</vt:lpstr>
    </vt:vector>
  </TitlesOfParts>
  <Company>ULG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Quels sont les paramètres biologiques qui sont prédictifs des calcifications vasculaires chez le patient hémodialysé</dc:title>
  <dc:creator>Delanaye</dc:creator>
  <cp:lastModifiedBy>pdelanaye</cp:lastModifiedBy>
  <cp:revision>6</cp:revision>
  <dcterms:created xsi:type="dcterms:W3CDTF">2014-04-28T18:19:00Z</dcterms:created>
  <dcterms:modified xsi:type="dcterms:W3CDTF">2014-04-28T18:55:00Z</dcterms:modified>
</cp:coreProperties>
</file>