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EE" w:rsidRPr="00CD598F" w:rsidRDefault="004A37EE" w:rsidP="00FF1237">
      <w:pPr>
        <w:widowControl w:val="0"/>
        <w:autoSpaceDE w:val="0"/>
        <w:autoSpaceDN w:val="0"/>
        <w:adjustRightInd w:val="0"/>
        <w:rPr>
          <w:rFonts w:ascii="Times" w:hAnsi="Times" w:cs="Lucida Grande"/>
          <w:color w:val="000000"/>
          <w:sz w:val="20"/>
          <w:szCs w:val="20"/>
          <w:lang w:val="en-GB"/>
        </w:rPr>
      </w:pPr>
      <w:r w:rsidRPr="00CD598F">
        <w:rPr>
          <w:rFonts w:ascii="Times" w:hAnsi="Times" w:cs="Lucida Grande"/>
          <w:color w:val="000000"/>
          <w:sz w:val="20"/>
          <w:szCs w:val="20"/>
          <w:lang w:val="en-GB"/>
        </w:rPr>
        <w:t xml:space="preserve">Abstract N°1 </w:t>
      </w:r>
    </w:p>
    <w:p w:rsidR="00863F24" w:rsidRPr="00CD598F" w:rsidRDefault="00863F24" w:rsidP="00FF1237">
      <w:pPr>
        <w:widowControl w:val="0"/>
        <w:autoSpaceDE w:val="0"/>
        <w:autoSpaceDN w:val="0"/>
        <w:adjustRightInd w:val="0"/>
        <w:rPr>
          <w:rFonts w:ascii="Times" w:hAnsi="Times" w:cs="Lucida Grande"/>
          <w:color w:val="000000"/>
          <w:sz w:val="20"/>
          <w:szCs w:val="20"/>
          <w:lang w:val="en-GB"/>
        </w:rPr>
      </w:pPr>
    </w:p>
    <w:p w:rsidR="00D56953" w:rsidRPr="003B5584" w:rsidRDefault="00863F24" w:rsidP="00FF12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 xml:space="preserve">Accuracy of </w:t>
      </w:r>
      <w:r w:rsidR="00BB5FB7" w:rsidRPr="003B5584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Cockcroft</w:t>
      </w:r>
      <w:r w:rsidRPr="003B5584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&amp;Gault</w:t>
      </w:r>
      <w:r w:rsidR="00BB5FB7" w:rsidRPr="003B5584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r w:rsidRPr="003B5584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 xml:space="preserve">and </w:t>
      </w:r>
      <w:r w:rsidR="00D56953" w:rsidRPr="003B5584">
        <w:rPr>
          <w:rFonts w:ascii="Times New Roman" w:hAnsi="Times New Roman" w:cs="Times New Roman"/>
          <w:b/>
          <w:sz w:val="20"/>
          <w:szCs w:val="20"/>
          <w:lang w:val="en-GB"/>
        </w:rPr>
        <w:t xml:space="preserve">CKD-EPI </w:t>
      </w:r>
      <w:r w:rsidR="00BB5FB7" w:rsidRPr="003B5584">
        <w:rPr>
          <w:rFonts w:ascii="Times New Roman" w:hAnsi="Times New Roman" w:cs="Times New Roman"/>
          <w:b/>
          <w:sz w:val="20"/>
          <w:szCs w:val="20"/>
          <w:lang w:val="en-GB"/>
        </w:rPr>
        <w:t>equations to estimate glomerular filtration rate in obese population</w:t>
      </w:r>
      <w:r w:rsidRPr="003B5584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</w:p>
    <w:p w:rsidR="00D56953" w:rsidRPr="003B5584" w:rsidRDefault="00D56953" w:rsidP="00D56953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:rsidR="00D56953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B5584">
        <w:rPr>
          <w:rFonts w:ascii="Times New Roman" w:hAnsi="Times New Roman" w:cs="Times New Roman"/>
          <w:sz w:val="20"/>
          <w:szCs w:val="20"/>
        </w:rPr>
        <w:t>Antoine Bouquegneau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B5584">
        <w:rPr>
          <w:rFonts w:ascii="Times New Roman" w:hAnsi="Times New Roman" w:cs="Times New Roman"/>
          <w:sz w:val="20"/>
          <w:szCs w:val="20"/>
        </w:rPr>
        <w:t>, Emmanuelle Vidal-Petiot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5584">
        <w:rPr>
          <w:rFonts w:ascii="Times New Roman" w:hAnsi="Times New Roman" w:cs="Times New Roman"/>
          <w:sz w:val="20"/>
          <w:szCs w:val="20"/>
        </w:rPr>
        <w:t>, François Vrtovsnik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5584">
        <w:rPr>
          <w:rFonts w:ascii="Times New Roman" w:hAnsi="Times New Roman" w:cs="Times New Roman"/>
          <w:sz w:val="20"/>
          <w:szCs w:val="20"/>
        </w:rPr>
        <w:t>, Etienne Cavalier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B5584">
        <w:rPr>
          <w:rFonts w:ascii="Times New Roman" w:hAnsi="Times New Roman" w:cs="Times New Roman"/>
          <w:sz w:val="20"/>
          <w:szCs w:val="20"/>
        </w:rPr>
        <w:t>, Jean-Marie Krzesinski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B5584">
        <w:rPr>
          <w:rFonts w:ascii="Times New Roman" w:hAnsi="Times New Roman" w:cs="Times New Roman"/>
          <w:sz w:val="20"/>
          <w:szCs w:val="20"/>
        </w:rPr>
        <w:t>, Martin Flamant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5584">
        <w:rPr>
          <w:rFonts w:ascii="Times New Roman" w:hAnsi="Times New Roman" w:cs="Times New Roman"/>
          <w:sz w:val="20"/>
          <w:szCs w:val="20"/>
        </w:rPr>
        <w:t>, Pierre Delanaye</w:t>
      </w:r>
      <w:r w:rsidRPr="003B5584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D71A98" w:rsidRPr="003B5584" w:rsidRDefault="00D71A98" w:rsidP="00D71A98">
      <w:pPr>
        <w:rPr>
          <w:rFonts w:ascii="Times New Roman" w:hAnsi="Times New Roman" w:cs="Times New Roman"/>
          <w:color w:val="000000"/>
          <w:sz w:val="20"/>
          <w:szCs w:val="20"/>
          <w:lang w:val="fr-BE"/>
        </w:rPr>
      </w:pPr>
    </w:p>
    <w:p w:rsidR="00D71A98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r w:rsidRPr="003B5584">
        <w:rPr>
          <w:rFonts w:ascii="Times New Roman" w:hAnsi="Times New Roman" w:cs="Times New Roman"/>
          <w:sz w:val="20"/>
          <w:szCs w:val="20"/>
          <w:lang w:val="en-GB"/>
        </w:rPr>
        <w:t>Department of Nephrology-Dialysis-Transplantation, University of Liège, CHU Sart Tilman,</w:t>
      </w:r>
    </w:p>
    <w:p w:rsidR="00D71A98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lang w:val="en-GB"/>
        </w:rPr>
        <w:t>Liège, Belgium</w:t>
      </w:r>
    </w:p>
    <w:p w:rsidR="00D71A98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3B5584">
        <w:rPr>
          <w:rFonts w:ascii="Times New Roman" w:hAnsi="Times New Roman" w:cs="Times New Roman"/>
          <w:sz w:val="20"/>
          <w:szCs w:val="20"/>
          <w:lang w:val="en-GB"/>
        </w:rPr>
        <w:t xml:space="preserve"> Department of Renal Physiology, Hôpital Bichat, AP-HP and Denis Diderot University,</w:t>
      </w:r>
    </w:p>
    <w:p w:rsidR="00D71A98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lang w:val="en-GB"/>
        </w:rPr>
        <w:t>Paris, France</w:t>
      </w:r>
    </w:p>
    <w:p w:rsidR="00D71A98" w:rsidRPr="003B5584" w:rsidRDefault="00D71A98" w:rsidP="00D71A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3B5584">
        <w:rPr>
          <w:rFonts w:ascii="Times New Roman" w:hAnsi="Times New Roman" w:cs="Times New Roman"/>
          <w:sz w:val="20"/>
          <w:szCs w:val="20"/>
          <w:lang w:val="en-GB"/>
        </w:rPr>
        <w:t xml:space="preserve"> Department of Clinical Chemistry, University of Liège, CHU Sart Tilman, Liège, Belgium</w:t>
      </w:r>
    </w:p>
    <w:p w:rsidR="00D56953" w:rsidRPr="003B5584" w:rsidRDefault="00D71A98" w:rsidP="00D71A9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B558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4</w:t>
      </w:r>
      <w:r w:rsidRPr="003B5584">
        <w:rPr>
          <w:rFonts w:ascii="Times New Roman" w:hAnsi="Times New Roman" w:cs="Times New Roman"/>
          <w:sz w:val="20"/>
          <w:szCs w:val="20"/>
          <w:lang w:val="en-GB"/>
        </w:rPr>
        <w:t xml:space="preserve"> Department of Diabetology, University of Liège, CHU Sart Tilman, Liège, Belgium</w:t>
      </w:r>
    </w:p>
    <w:p w:rsidR="00D71A98" w:rsidRPr="003B5584" w:rsidRDefault="00D71A98" w:rsidP="00D71A98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863F24" w:rsidRPr="00CD598F" w:rsidRDefault="00D56953" w:rsidP="00811BB9">
      <w:pPr>
        <w:widowControl w:val="0"/>
        <w:autoSpaceDE w:val="0"/>
        <w:autoSpaceDN w:val="0"/>
        <w:adjustRightInd w:val="0"/>
        <w:rPr>
          <w:rFonts w:ascii="Times" w:hAnsi="Times"/>
          <w:sz w:val="20"/>
          <w:szCs w:val="20"/>
          <w:lang w:val="en-GB"/>
        </w:rPr>
      </w:pPr>
      <w:r w:rsidRPr="00CD598F">
        <w:rPr>
          <w:rFonts w:ascii="Times" w:hAnsi="Times"/>
          <w:sz w:val="20"/>
          <w:szCs w:val="20"/>
          <w:u w:val="single"/>
          <w:lang w:val="en-GB"/>
        </w:rPr>
        <w:t>Introduction:</w:t>
      </w:r>
      <w:r w:rsidRPr="00CD598F">
        <w:rPr>
          <w:rFonts w:ascii="Times" w:hAnsi="Times"/>
          <w:sz w:val="20"/>
          <w:szCs w:val="20"/>
          <w:lang w:val="en-GB"/>
        </w:rPr>
        <w:t xml:space="preserve"> </w:t>
      </w:r>
    </w:p>
    <w:p w:rsidR="00D56953" w:rsidRPr="00CD598F" w:rsidRDefault="002C2C6E" w:rsidP="00811BB9">
      <w:pPr>
        <w:widowControl w:val="0"/>
        <w:autoSpaceDE w:val="0"/>
        <w:autoSpaceDN w:val="0"/>
        <w:adjustRightInd w:val="0"/>
        <w:rPr>
          <w:rFonts w:ascii="Times" w:hAnsi="Times"/>
          <w:sz w:val="20"/>
          <w:szCs w:val="20"/>
          <w:u w:val="single"/>
          <w:lang w:val="en-GB"/>
        </w:rPr>
      </w:pPr>
      <w:r w:rsidRPr="00CD598F">
        <w:rPr>
          <w:rFonts w:ascii="Times" w:hAnsi="Times"/>
          <w:sz w:val="20"/>
          <w:szCs w:val="20"/>
          <w:lang w:val="en-GB"/>
        </w:rPr>
        <w:t>The prevalence of o</w:t>
      </w:r>
      <w:r w:rsidR="00D56953" w:rsidRPr="00CD598F">
        <w:rPr>
          <w:rFonts w:ascii="Times" w:hAnsi="Times"/>
          <w:sz w:val="20"/>
          <w:szCs w:val="20"/>
          <w:lang w:val="en-GB"/>
        </w:rPr>
        <w:t>besity is</w:t>
      </w:r>
      <w:r w:rsidRPr="00CD598F">
        <w:rPr>
          <w:rFonts w:ascii="Times" w:hAnsi="Times"/>
          <w:sz w:val="20"/>
          <w:szCs w:val="20"/>
          <w:lang w:val="en-GB"/>
        </w:rPr>
        <w:t xml:space="preserve"> </w:t>
      </w:r>
      <w:r w:rsidRPr="00CD598F">
        <w:rPr>
          <w:rFonts w:ascii="Times" w:hAnsi="Times" w:cs="Times New Roman"/>
          <w:sz w:val="20"/>
          <w:szCs w:val="20"/>
          <w:lang w:val="en-GB"/>
        </w:rPr>
        <w:t>dramat</w:t>
      </w:r>
      <w:r w:rsidR="00811BB9" w:rsidRPr="00CD598F">
        <w:rPr>
          <w:rFonts w:ascii="Times" w:hAnsi="Times" w:cs="Times New Roman"/>
          <w:sz w:val="20"/>
          <w:szCs w:val="20"/>
          <w:lang w:val="en-GB"/>
        </w:rPr>
        <w:t xml:space="preserve">ically rising </w:t>
      </w:r>
      <w:r w:rsidR="003B5584">
        <w:rPr>
          <w:rFonts w:ascii="Times" w:hAnsi="Times" w:cs="Times New Roman"/>
          <w:sz w:val="20"/>
          <w:szCs w:val="20"/>
          <w:lang w:val="en-GB"/>
        </w:rPr>
        <w:t>worldwide</w:t>
      </w:r>
      <w:r w:rsidR="00D56953" w:rsidRPr="00CD598F">
        <w:rPr>
          <w:rFonts w:ascii="Times" w:hAnsi="Times"/>
          <w:sz w:val="20"/>
          <w:szCs w:val="20"/>
          <w:lang w:val="en-GB"/>
        </w:rPr>
        <w:t xml:space="preserve">. </w:t>
      </w:r>
      <w:r w:rsidR="005A572A">
        <w:rPr>
          <w:rFonts w:ascii="Times" w:hAnsi="Times"/>
          <w:sz w:val="20"/>
          <w:szCs w:val="20"/>
          <w:lang w:val="en-GB"/>
        </w:rPr>
        <w:t>W</w:t>
      </w:r>
      <w:r w:rsidR="005A572A" w:rsidRPr="00CD598F">
        <w:rPr>
          <w:rFonts w:ascii="Times" w:hAnsi="Times"/>
          <w:sz w:val="20"/>
          <w:szCs w:val="20"/>
          <w:lang w:val="en-GB"/>
        </w:rPr>
        <w:t xml:space="preserve">hen drug dosing is </w:t>
      </w:r>
      <w:r w:rsidR="003B5584">
        <w:rPr>
          <w:rFonts w:ascii="Times" w:hAnsi="Times"/>
          <w:sz w:val="20"/>
          <w:szCs w:val="20"/>
          <w:lang w:val="en-GB"/>
        </w:rPr>
        <w:t>considered</w:t>
      </w:r>
      <w:r w:rsidR="005A572A">
        <w:rPr>
          <w:rFonts w:ascii="Times" w:hAnsi="Times" w:cs="Times New Roman"/>
          <w:sz w:val="20"/>
          <w:szCs w:val="20"/>
          <w:lang w:val="en-GB"/>
        </w:rPr>
        <w:t xml:space="preserve">, </w:t>
      </w:r>
      <w:r w:rsidR="00E30778" w:rsidRPr="00CD598F">
        <w:rPr>
          <w:rFonts w:ascii="Times" w:hAnsi="Times" w:cs="Times New Roman"/>
          <w:sz w:val="20"/>
          <w:szCs w:val="20"/>
          <w:lang w:val="en-GB"/>
        </w:rPr>
        <w:t>KDIGO recommends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using estimated glomerular filtration rate (</w:t>
      </w:r>
      <w:r w:rsidR="003B5584">
        <w:rPr>
          <w:rFonts w:ascii="Times" w:hAnsi="Times"/>
          <w:sz w:val="20"/>
          <w:szCs w:val="20"/>
          <w:lang w:val="en-GB"/>
        </w:rPr>
        <w:t>e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GFR), which is not adjusted </w:t>
      </w:r>
      <w:r w:rsidR="00110CE7">
        <w:rPr>
          <w:rFonts w:ascii="Times" w:hAnsi="Times"/>
          <w:sz w:val="20"/>
          <w:szCs w:val="20"/>
          <w:lang w:val="en-GB"/>
        </w:rPr>
        <w:t>to the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5A572A">
        <w:rPr>
          <w:rFonts w:ascii="Times" w:hAnsi="Times"/>
          <w:sz w:val="20"/>
          <w:szCs w:val="20"/>
          <w:lang w:val="en-GB"/>
        </w:rPr>
        <w:t>body surface area (</w:t>
      </w:r>
      <w:r w:rsidR="00E30778" w:rsidRPr="00CD598F">
        <w:rPr>
          <w:rFonts w:ascii="Times" w:hAnsi="Times"/>
          <w:sz w:val="20"/>
          <w:szCs w:val="20"/>
          <w:lang w:val="en-GB"/>
        </w:rPr>
        <w:t>BSA</w:t>
      </w:r>
      <w:r w:rsidR="005A572A">
        <w:rPr>
          <w:rFonts w:ascii="Times" w:hAnsi="Times"/>
          <w:sz w:val="20"/>
          <w:szCs w:val="20"/>
          <w:lang w:val="en-GB"/>
        </w:rPr>
        <w:t>)</w:t>
      </w:r>
      <w:r w:rsidR="00485620" w:rsidRPr="00CD598F">
        <w:rPr>
          <w:rFonts w:ascii="Times" w:hAnsi="Times" w:cs="Times New Roman"/>
          <w:sz w:val="20"/>
          <w:szCs w:val="20"/>
          <w:lang w:val="en-GB"/>
        </w:rPr>
        <w:t xml:space="preserve">. </w:t>
      </w:r>
      <w:r w:rsidR="00811BB9" w:rsidRPr="00CD598F">
        <w:rPr>
          <w:rFonts w:ascii="Times" w:hAnsi="Times"/>
          <w:sz w:val="20"/>
          <w:szCs w:val="20"/>
          <w:lang w:val="en-GB"/>
        </w:rPr>
        <w:t xml:space="preserve">We have tested the performances of </w:t>
      </w:r>
      <w:r w:rsidR="00110CE7">
        <w:rPr>
          <w:rFonts w:ascii="Times" w:hAnsi="Times"/>
          <w:sz w:val="20"/>
          <w:szCs w:val="20"/>
          <w:lang w:val="en-GB"/>
        </w:rPr>
        <w:t>two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creatinine</w:t>
      </w:r>
      <w:r w:rsidR="009A45A2" w:rsidRPr="00CD598F">
        <w:rPr>
          <w:rFonts w:ascii="Times" w:hAnsi="Times"/>
          <w:sz w:val="20"/>
          <w:szCs w:val="20"/>
          <w:lang w:val="en-GB"/>
        </w:rPr>
        <w:t>-based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equation</w:t>
      </w:r>
      <w:r w:rsidR="009A45A2">
        <w:rPr>
          <w:rFonts w:ascii="Times" w:hAnsi="Times"/>
          <w:sz w:val="20"/>
          <w:szCs w:val="20"/>
          <w:lang w:val="en-GB"/>
        </w:rPr>
        <w:t>s: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DA7F8A" w:rsidRPr="00CD598F">
        <w:rPr>
          <w:rFonts w:ascii="Times" w:hAnsi="Times" w:cs="Arial"/>
          <w:sz w:val="20"/>
          <w:szCs w:val="20"/>
          <w:lang w:val="en-GB"/>
        </w:rPr>
        <w:t>Chronic Kidney Disease Epidemiology Collaboration (CKD-EPI)</w:t>
      </w:r>
      <w:r w:rsidR="00E30778" w:rsidRPr="00CD598F">
        <w:rPr>
          <w:rFonts w:ascii="Times" w:hAnsi="Times" w:cs="Arial"/>
          <w:sz w:val="20"/>
          <w:szCs w:val="20"/>
          <w:lang w:val="en-GB"/>
        </w:rPr>
        <w:t xml:space="preserve"> </w:t>
      </w:r>
      <w:r w:rsidR="00447847">
        <w:rPr>
          <w:rFonts w:ascii="Times" w:hAnsi="Times" w:cs="Arial"/>
          <w:sz w:val="20"/>
          <w:szCs w:val="20"/>
          <w:lang w:val="en-GB"/>
        </w:rPr>
        <w:t>“</w:t>
      </w:r>
      <w:r w:rsidR="00E30778" w:rsidRPr="00CD598F">
        <w:rPr>
          <w:rFonts w:ascii="Times" w:hAnsi="Times" w:cs="Arial"/>
          <w:sz w:val="20"/>
          <w:szCs w:val="20"/>
          <w:lang w:val="en-GB"/>
        </w:rPr>
        <w:t>de</w:t>
      </w:r>
      <w:r w:rsidR="00447847">
        <w:rPr>
          <w:rFonts w:ascii="Times" w:hAnsi="Times" w:cs="Arial"/>
          <w:sz w:val="20"/>
          <w:szCs w:val="20"/>
          <w:lang w:val="en-GB"/>
        </w:rPr>
        <w:t>-</w:t>
      </w:r>
      <w:r w:rsidR="00E30778" w:rsidRPr="00CD598F">
        <w:rPr>
          <w:rFonts w:ascii="Times" w:hAnsi="Times" w:cs="Arial"/>
          <w:sz w:val="20"/>
          <w:szCs w:val="20"/>
          <w:lang w:val="en-GB"/>
        </w:rPr>
        <w:t>indexed</w:t>
      </w:r>
      <w:r w:rsidR="00447847">
        <w:rPr>
          <w:rFonts w:ascii="Times" w:hAnsi="Times" w:cs="Arial"/>
          <w:sz w:val="20"/>
          <w:szCs w:val="20"/>
          <w:lang w:val="en-GB"/>
        </w:rPr>
        <w:t>”</w:t>
      </w:r>
      <w:r w:rsidR="00E30778" w:rsidRPr="00CD598F">
        <w:rPr>
          <w:rFonts w:ascii="Times" w:hAnsi="Times" w:cs="Arial"/>
          <w:sz w:val="20"/>
          <w:szCs w:val="20"/>
          <w:lang w:val="en-GB"/>
        </w:rPr>
        <w:t xml:space="preserve"> by </w:t>
      </w:r>
      <w:r w:rsidR="009A45A2">
        <w:rPr>
          <w:rFonts w:ascii="Times" w:hAnsi="Times" w:cs="Arial"/>
          <w:sz w:val="20"/>
          <w:szCs w:val="20"/>
          <w:lang w:val="en-GB"/>
        </w:rPr>
        <w:t xml:space="preserve">BSA, </w:t>
      </w:r>
      <w:r w:rsidR="00110CE7">
        <w:rPr>
          <w:rFonts w:ascii="Times" w:hAnsi="Times" w:cs="Arial"/>
          <w:sz w:val="20"/>
          <w:szCs w:val="20"/>
          <w:lang w:val="en-GB"/>
        </w:rPr>
        <w:t xml:space="preserve">and </w:t>
      </w:r>
      <w:r w:rsidR="00DA7F8A" w:rsidRPr="00CD598F">
        <w:rPr>
          <w:rFonts w:ascii="Times" w:hAnsi="Times"/>
          <w:sz w:val="20"/>
          <w:szCs w:val="20"/>
          <w:lang w:val="en-GB"/>
        </w:rPr>
        <w:t>Cock</w:t>
      </w:r>
      <w:r w:rsidR="003B5584">
        <w:rPr>
          <w:rFonts w:ascii="Times" w:hAnsi="Times"/>
          <w:sz w:val="20"/>
          <w:szCs w:val="20"/>
          <w:lang w:val="en-GB"/>
        </w:rPr>
        <w:t>c</w:t>
      </w:r>
      <w:r w:rsidR="00DA7F8A" w:rsidRPr="00CD598F">
        <w:rPr>
          <w:rFonts w:ascii="Times" w:hAnsi="Times"/>
          <w:sz w:val="20"/>
          <w:szCs w:val="20"/>
          <w:lang w:val="en-GB"/>
        </w:rPr>
        <w:t>roft</w:t>
      </w:r>
      <w:r w:rsidR="00E30778" w:rsidRPr="00CD598F">
        <w:rPr>
          <w:rFonts w:ascii="Times" w:hAnsi="Times" w:cs="Lucida Grande"/>
          <w:color w:val="000000"/>
          <w:sz w:val="20"/>
          <w:szCs w:val="20"/>
          <w:lang w:val="en-GB"/>
        </w:rPr>
        <w:t>&amp;Gault</w:t>
      </w:r>
      <w:r w:rsidR="009A45A2">
        <w:rPr>
          <w:rFonts w:ascii="Times" w:hAnsi="Times" w:cs="Lucida Grande"/>
          <w:color w:val="000000"/>
          <w:sz w:val="20"/>
          <w:szCs w:val="20"/>
          <w:lang w:val="en-GB"/>
        </w:rPr>
        <w:t xml:space="preserve"> (CG)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equation </w:t>
      </w:r>
      <w:r w:rsidR="008832D3">
        <w:rPr>
          <w:rFonts w:ascii="Times" w:hAnsi="Times"/>
          <w:sz w:val="20"/>
          <w:szCs w:val="20"/>
          <w:lang w:val="en-GB"/>
        </w:rPr>
        <w:t>(</w:t>
      </w:r>
      <w:r w:rsidR="00905A91">
        <w:rPr>
          <w:rFonts w:ascii="Times" w:hAnsi="Times"/>
          <w:sz w:val="20"/>
          <w:szCs w:val="20"/>
          <w:lang w:val="en-GB"/>
        </w:rPr>
        <w:t>non-indexed</w:t>
      </w:r>
      <w:r w:rsidR="008832D3">
        <w:rPr>
          <w:rFonts w:ascii="Times" w:hAnsi="Times"/>
          <w:sz w:val="20"/>
          <w:szCs w:val="20"/>
          <w:lang w:val="en-GB"/>
        </w:rPr>
        <w:t xml:space="preserve"> by BSA) </w:t>
      </w:r>
      <w:r w:rsidR="00447847">
        <w:rPr>
          <w:rFonts w:ascii="Times" w:hAnsi="Times"/>
          <w:sz w:val="20"/>
          <w:szCs w:val="20"/>
          <w:lang w:val="en-GB"/>
        </w:rPr>
        <w:t>with actual body weight or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DA7F8A" w:rsidRPr="00CD598F">
        <w:rPr>
          <w:rFonts w:ascii="Times" w:hAnsi="Times"/>
          <w:sz w:val="20"/>
          <w:szCs w:val="20"/>
          <w:lang w:val="en-GB"/>
        </w:rPr>
        <w:t>adjusted ideal body weight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(AIBW)</w:t>
      </w:r>
      <w:r w:rsidR="00106740" w:rsidRPr="00CD598F">
        <w:rPr>
          <w:rFonts w:ascii="Times" w:hAnsi="Times"/>
          <w:sz w:val="20"/>
          <w:szCs w:val="20"/>
          <w:lang w:val="en-GB"/>
        </w:rPr>
        <w:t>.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We</w:t>
      </w:r>
      <w:r w:rsidR="003B5584">
        <w:rPr>
          <w:rFonts w:ascii="Times" w:hAnsi="Times"/>
          <w:sz w:val="20"/>
          <w:szCs w:val="20"/>
          <w:lang w:val="en-GB"/>
        </w:rPr>
        <w:t xml:space="preserve"> test the performance</w:t>
      </w:r>
      <w:r w:rsidR="009B2B4C" w:rsidRPr="00CD598F">
        <w:rPr>
          <w:rFonts w:ascii="Times" w:hAnsi="Times"/>
          <w:sz w:val="20"/>
          <w:szCs w:val="20"/>
          <w:lang w:val="en-GB"/>
        </w:rPr>
        <w:t xml:space="preserve"> of these </w:t>
      </w:r>
      <w:r w:rsidR="008C3097">
        <w:rPr>
          <w:rFonts w:ascii="Times" w:hAnsi="Times"/>
          <w:sz w:val="20"/>
          <w:szCs w:val="20"/>
          <w:lang w:val="en-GB"/>
        </w:rPr>
        <w:t xml:space="preserve">equations </w:t>
      </w:r>
      <w:r w:rsidR="003B5584">
        <w:rPr>
          <w:rFonts w:ascii="Times" w:hAnsi="Times"/>
          <w:sz w:val="20"/>
          <w:szCs w:val="20"/>
          <w:lang w:val="en-GB"/>
        </w:rPr>
        <w:t>by comparing them with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F22809" w:rsidRPr="00CD598F">
        <w:rPr>
          <w:rFonts w:ascii="Times" w:hAnsi="Times"/>
          <w:sz w:val="20"/>
          <w:szCs w:val="20"/>
          <w:lang w:val="en-GB"/>
        </w:rPr>
        <w:t>measure</w:t>
      </w:r>
      <w:r w:rsidR="008C3097">
        <w:rPr>
          <w:rFonts w:ascii="Times" w:hAnsi="Times"/>
          <w:sz w:val="20"/>
          <w:szCs w:val="20"/>
          <w:lang w:val="en-GB"/>
        </w:rPr>
        <w:t>d</w:t>
      </w:r>
      <w:r w:rsidR="00DA7F8A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E30778" w:rsidRPr="00CD598F">
        <w:rPr>
          <w:rFonts w:ascii="Times" w:hAnsi="Times"/>
          <w:sz w:val="20"/>
          <w:szCs w:val="20"/>
          <w:lang w:val="en-GB"/>
        </w:rPr>
        <w:t>GFR</w:t>
      </w:r>
      <w:r w:rsidR="003B5584">
        <w:rPr>
          <w:rFonts w:ascii="Times" w:hAnsi="Times"/>
          <w:sz w:val="20"/>
          <w:szCs w:val="20"/>
          <w:lang w:val="en-GB"/>
        </w:rPr>
        <w:t xml:space="preserve"> (mGFR)</w:t>
      </w:r>
      <w:r w:rsidR="00E30778" w:rsidRPr="00CD598F">
        <w:rPr>
          <w:rFonts w:ascii="Times" w:hAnsi="Times"/>
          <w:sz w:val="20"/>
          <w:szCs w:val="20"/>
          <w:lang w:val="en-GB"/>
        </w:rPr>
        <w:t xml:space="preserve"> also expressed in </w:t>
      </w:r>
      <w:r w:rsidR="00110CE7">
        <w:rPr>
          <w:rFonts w:ascii="Times" w:hAnsi="Times"/>
          <w:sz w:val="20"/>
          <w:szCs w:val="20"/>
          <w:lang w:val="en-GB"/>
        </w:rPr>
        <w:t>mL/min</w:t>
      </w:r>
      <w:r w:rsidR="00DA7F8A" w:rsidRPr="00CD598F">
        <w:rPr>
          <w:rFonts w:ascii="Times" w:hAnsi="Times"/>
          <w:sz w:val="20"/>
          <w:szCs w:val="20"/>
          <w:lang w:val="en-GB"/>
        </w:rPr>
        <w:t>.</w:t>
      </w:r>
      <w:r w:rsidR="00FF1237" w:rsidRPr="00CD598F">
        <w:rPr>
          <w:rFonts w:ascii="Times" w:hAnsi="Times" w:cs="Arial"/>
          <w:sz w:val="20"/>
          <w:szCs w:val="20"/>
          <w:lang w:val="en-GB"/>
        </w:rPr>
        <w:t xml:space="preserve"> </w:t>
      </w:r>
    </w:p>
    <w:p w:rsidR="00D56953" w:rsidRPr="00CD598F" w:rsidRDefault="00D56953" w:rsidP="00D56953">
      <w:pPr>
        <w:rPr>
          <w:rFonts w:ascii="Times" w:hAnsi="Times"/>
          <w:sz w:val="20"/>
          <w:szCs w:val="20"/>
          <w:u w:val="single"/>
          <w:lang w:val="en-GB"/>
        </w:rPr>
      </w:pPr>
    </w:p>
    <w:p w:rsidR="00D56953" w:rsidRPr="00CD598F" w:rsidRDefault="00D56953" w:rsidP="00F22809">
      <w:pPr>
        <w:widowControl w:val="0"/>
        <w:autoSpaceDE w:val="0"/>
        <w:autoSpaceDN w:val="0"/>
        <w:adjustRightInd w:val="0"/>
        <w:rPr>
          <w:rFonts w:ascii="Times" w:hAnsi="Times"/>
          <w:sz w:val="20"/>
          <w:szCs w:val="20"/>
          <w:lang w:val="en-GB"/>
        </w:rPr>
      </w:pPr>
      <w:r w:rsidRPr="00CD598F">
        <w:rPr>
          <w:rFonts w:ascii="Times" w:hAnsi="Times"/>
          <w:sz w:val="20"/>
          <w:szCs w:val="20"/>
          <w:u w:val="single"/>
          <w:lang w:val="en-GB"/>
        </w:rPr>
        <w:t>Methods:</w:t>
      </w:r>
      <w:r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707604" w:rsidRPr="00CD598F">
        <w:rPr>
          <w:rFonts w:ascii="Times" w:hAnsi="Times"/>
          <w:sz w:val="20"/>
          <w:szCs w:val="20"/>
          <w:lang w:val="en-GB"/>
        </w:rPr>
        <w:br/>
      </w:r>
      <w:r w:rsidRPr="00CD598F">
        <w:rPr>
          <w:rFonts w:ascii="Times" w:hAnsi="Times"/>
          <w:sz w:val="20"/>
          <w:szCs w:val="20"/>
          <w:lang w:val="en-GB"/>
        </w:rPr>
        <w:t>Patients with body mass index (BMI) hi</w:t>
      </w:r>
      <w:r w:rsidR="00905A91">
        <w:rPr>
          <w:rFonts w:ascii="Times" w:hAnsi="Times"/>
          <w:sz w:val="20"/>
          <w:szCs w:val="20"/>
          <w:lang w:val="en-GB"/>
        </w:rPr>
        <w:t>gher than 30 kg/m² were included</w:t>
      </w:r>
      <w:r w:rsidRPr="00CD598F">
        <w:rPr>
          <w:rFonts w:ascii="Times" w:hAnsi="Times"/>
          <w:sz w:val="20"/>
          <w:szCs w:val="20"/>
          <w:lang w:val="en-GB"/>
        </w:rPr>
        <w:t>. The reference method for GFR measurement was</w:t>
      </w:r>
      <w:r w:rsidR="003B5584">
        <w:rPr>
          <w:rFonts w:ascii="Times" w:hAnsi="Times"/>
          <w:sz w:val="20"/>
          <w:szCs w:val="20"/>
          <w:lang w:val="en-GB"/>
        </w:rPr>
        <w:t xml:space="preserve"> plasma clearance of </w:t>
      </w:r>
      <w:r w:rsidRPr="00CD598F">
        <w:rPr>
          <w:rFonts w:ascii="Times" w:hAnsi="Times"/>
          <w:sz w:val="20"/>
          <w:szCs w:val="20"/>
          <w:vertAlign w:val="superscript"/>
          <w:lang w:val="en-GB"/>
        </w:rPr>
        <w:t>51</w:t>
      </w:r>
      <w:r w:rsidR="00F22809" w:rsidRPr="00CD598F">
        <w:rPr>
          <w:rFonts w:ascii="Times" w:hAnsi="Times"/>
          <w:sz w:val="20"/>
          <w:szCs w:val="20"/>
          <w:lang w:val="en-GB"/>
        </w:rPr>
        <w:t xml:space="preserve">Cr-EDTA. 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We </w:t>
      </w:r>
      <w:r w:rsidR="00B52FBD">
        <w:rPr>
          <w:rFonts w:ascii="Times" w:hAnsi="Times" w:cs="Times New Roman"/>
          <w:sz w:val="20"/>
          <w:szCs w:val="20"/>
          <w:lang w:val="en-GB"/>
        </w:rPr>
        <w:t xml:space="preserve">have </w:t>
      </w:r>
      <w:r w:rsidR="003B5584">
        <w:rPr>
          <w:rFonts w:ascii="Times" w:hAnsi="Times" w:cs="Times New Roman"/>
          <w:sz w:val="20"/>
          <w:szCs w:val="20"/>
          <w:lang w:val="en-GB"/>
        </w:rPr>
        <w:t>“</w:t>
      </w:r>
      <w:r w:rsidR="00B52FBD">
        <w:rPr>
          <w:rFonts w:ascii="Times" w:hAnsi="Times" w:cs="Times New Roman"/>
          <w:sz w:val="20"/>
          <w:szCs w:val="20"/>
          <w:lang w:val="en-GB"/>
        </w:rPr>
        <w:t>de</w:t>
      </w:r>
      <w:r w:rsidR="00447847">
        <w:rPr>
          <w:rFonts w:ascii="Times" w:hAnsi="Times" w:cs="Times New Roman"/>
          <w:sz w:val="20"/>
          <w:szCs w:val="20"/>
          <w:lang w:val="en-GB"/>
        </w:rPr>
        <w:t>-</w:t>
      </w:r>
      <w:r w:rsidR="00B52FBD">
        <w:rPr>
          <w:rFonts w:ascii="Times" w:hAnsi="Times" w:cs="Times New Roman"/>
          <w:sz w:val="20"/>
          <w:szCs w:val="20"/>
          <w:lang w:val="en-GB"/>
        </w:rPr>
        <w:t>indexed</w:t>
      </w:r>
      <w:r w:rsidR="003B5584">
        <w:rPr>
          <w:rFonts w:ascii="Times" w:hAnsi="Times" w:cs="Times New Roman"/>
          <w:sz w:val="20"/>
          <w:szCs w:val="20"/>
          <w:lang w:val="en-GB"/>
        </w:rPr>
        <w:t>”</w:t>
      </w:r>
      <w:r w:rsidR="00B52FBD">
        <w:rPr>
          <w:rFonts w:ascii="Times" w:hAnsi="Times" w:cs="Times New Roman"/>
          <w:sz w:val="20"/>
          <w:szCs w:val="20"/>
          <w:lang w:val="en-GB"/>
        </w:rPr>
        <w:t xml:space="preserve"> CKD-EPI</w:t>
      </w:r>
      <w:r w:rsidR="00106740" w:rsidRPr="00CD598F">
        <w:rPr>
          <w:rFonts w:ascii="Times" w:hAnsi="Times" w:cs="Times New Roman"/>
          <w:sz w:val="20"/>
          <w:szCs w:val="20"/>
          <w:lang w:val="en-GB"/>
        </w:rPr>
        <w:t>, which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 </w:t>
      </w:r>
      <w:r w:rsidR="00106740" w:rsidRPr="00CD598F">
        <w:rPr>
          <w:rFonts w:ascii="Times" w:hAnsi="Times" w:cs="Times New Roman"/>
          <w:sz w:val="20"/>
          <w:szCs w:val="20"/>
          <w:lang w:val="en-GB"/>
        </w:rPr>
        <w:t>is a BSA-adjusted value</w:t>
      </w:r>
      <w:r w:rsidR="00B52FBD">
        <w:rPr>
          <w:rFonts w:ascii="Times" w:hAnsi="Times" w:cs="Times New Roman"/>
          <w:sz w:val="20"/>
          <w:szCs w:val="20"/>
          <w:lang w:val="en-GB"/>
        </w:rPr>
        <w:t>,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 by multiplying </w:t>
      </w:r>
      <w:r w:rsidR="00B52FBD">
        <w:rPr>
          <w:rFonts w:ascii="Times" w:hAnsi="Times" w:cs="Times New Roman"/>
          <w:sz w:val="20"/>
          <w:szCs w:val="20"/>
          <w:lang w:val="en-GB"/>
        </w:rPr>
        <w:t xml:space="preserve">eGFR 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by each individual’s body surface area and </w:t>
      </w:r>
      <w:r w:rsidR="00B52FBD">
        <w:rPr>
          <w:rFonts w:ascii="Times" w:hAnsi="Times" w:cs="Times New Roman"/>
          <w:sz w:val="20"/>
          <w:szCs w:val="20"/>
          <w:lang w:val="en-GB"/>
        </w:rPr>
        <w:t xml:space="preserve">by 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dividing </w:t>
      </w:r>
      <w:r w:rsidR="00B52FBD">
        <w:rPr>
          <w:rFonts w:ascii="Times" w:hAnsi="Times" w:cs="Times New Roman"/>
          <w:sz w:val="20"/>
          <w:szCs w:val="20"/>
          <w:lang w:val="en-GB"/>
        </w:rPr>
        <w:t xml:space="preserve">this intermediate result 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>by 1.73 m</w:t>
      </w:r>
      <w:r w:rsidR="00F22809" w:rsidRPr="00CD598F">
        <w:rPr>
          <w:rFonts w:ascii="Times" w:hAnsi="Times" w:cs="Times New Roman"/>
          <w:sz w:val="20"/>
          <w:szCs w:val="20"/>
          <w:vertAlign w:val="superscript"/>
          <w:lang w:val="en-GB"/>
        </w:rPr>
        <w:t>2</w:t>
      </w:r>
      <w:r w:rsidR="00F22809" w:rsidRPr="00CD598F">
        <w:rPr>
          <w:rFonts w:ascii="Times" w:hAnsi="Times" w:cs="Times New Roman"/>
          <w:sz w:val="20"/>
          <w:szCs w:val="20"/>
          <w:lang w:val="en-GB"/>
        </w:rPr>
        <w:t xml:space="preserve"> (</w:t>
      </w:r>
      <w:r w:rsidR="00F22809" w:rsidRPr="00CD598F">
        <w:rPr>
          <w:rFonts w:ascii="Times" w:hAnsi="Times"/>
          <w:sz w:val="20"/>
          <w:szCs w:val="20"/>
          <w:lang w:val="en-GB"/>
        </w:rPr>
        <w:t>CKD-EPI</w:t>
      </w:r>
      <w:r w:rsidR="00F22809" w:rsidRPr="00CD598F">
        <w:rPr>
          <w:rFonts w:ascii="Times" w:hAnsi="Times"/>
          <w:sz w:val="20"/>
          <w:szCs w:val="20"/>
          <w:vertAlign w:val="subscript"/>
          <w:lang w:val="en-GB"/>
        </w:rPr>
        <w:t>deindexed</w:t>
      </w:r>
      <w:r w:rsidR="00F22809" w:rsidRPr="00CD598F">
        <w:rPr>
          <w:rFonts w:ascii="Times" w:hAnsi="Times"/>
          <w:sz w:val="20"/>
          <w:szCs w:val="20"/>
          <w:lang w:val="en-GB"/>
        </w:rPr>
        <w:t xml:space="preserve">). </w:t>
      </w:r>
      <w:r w:rsidRPr="00CD598F">
        <w:rPr>
          <w:rFonts w:ascii="Times" w:hAnsi="Times"/>
          <w:sz w:val="20"/>
          <w:szCs w:val="20"/>
          <w:lang w:val="en-GB"/>
        </w:rPr>
        <w:t>We calculated bias (defined as the mean difference between estimated</w:t>
      </w:r>
      <w:r w:rsidR="00B10558">
        <w:rPr>
          <w:rFonts w:ascii="Times" w:hAnsi="Times"/>
          <w:sz w:val="20"/>
          <w:szCs w:val="20"/>
          <w:lang w:val="en-GB"/>
        </w:rPr>
        <w:t xml:space="preserve"> and </w:t>
      </w:r>
      <w:r w:rsidR="00B10558" w:rsidRPr="00CD598F">
        <w:rPr>
          <w:rFonts w:ascii="Times" w:hAnsi="Times"/>
          <w:sz w:val="20"/>
          <w:szCs w:val="20"/>
          <w:lang w:val="en-GB"/>
        </w:rPr>
        <w:t>measured</w:t>
      </w:r>
      <w:r w:rsidRPr="00CD598F">
        <w:rPr>
          <w:rFonts w:ascii="Times" w:hAnsi="Times"/>
          <w:sz w:val="20"/>
          <w:szCs w:val="20"/>
          <w:lang w:val="en-GB"/>
        </w:rPr>
        <w:t xml:space="preserve"> GFR), precision (defined as the SD around the bias) and accuracy 30% (defined as the percentage of estimations </w:t>
      </w:r>
      <w:r w:rsidR="00B10558">
        <w:rPr>
          <w:rFonts w:ascii="Times" w:hAnsi="Times"/>
          <w:sz w:val="20"/>
          <w:szCs w:val="20"/>
          <w:lang w:val="en-GB"/>
        </w:rPr>
        <w:t>within</w:t>
      </w:r>
      <w:r w:rsidRPr="00CD598F">
        <w:rPr>
          <w:rFonts w:ascii="Times" w:hAnsi="Times"/>
          <w:sz w:val="20"/>
          <w:szCs w:val="20"/>
          <w:lang w:val="en-GB"/>
        </w:rPr>
        <w:t xml:space="preserve"> ± 30% of measured GFR). </w:t>
      </w:r>
    </w:p>
    <w:p w:rsidR="00F22809" w:rsidRPr="00CD598F" w:rsidRDefault="00F22809" w:rsidP="00F22809">
      <w:pPr>
        <w:widowControl w:val="0"/>
        <w:autoSpaceDE w:val="0"/>
        <w:autoSpaceDN w:val="0"/>
        <w:adjustRightInd w:val="0"/>
        <w:rPr>
          <w:rFonts w:ascii="Times" w:hAnsi="Times"/>
          <w:sz w:val="20"/>
          <w:szCs w:val="20"/>
          <w:u w:val="single"/>
          <w:lang w:val="en-GB"/>
        </w:rPr>
      </w:pPr>
    </w:p>
    <w:p w:rsidR="00706039" w:rsidRPr="00CD598F" w:rsidRDefault="00D56953" w:rsidP="00706039">
      <w:pPr>
        <w:widowControl w:val="0"/>
        <w:autoSpaceDE w:val="0"/>
        <w:autoSpaceDN w:val="0"/>
        <w:adjustRightInd w:val="0"/>
        <w:spacing w:after="240"/>
        <w:rPr>
          <w:rFonts w:ascii="Times" w:hAnsi="Times"/>
          <w:sz w:val="20"/>
          <w:szCs w:val="20"/>
          <w:lang w:val="en-GB"/>
        </w:rPr>
      </w:pPr>
      <w:r w:rsidRPr="00CD598F">
        <w:rPr>
          <w:rFonts w:ascii="Times" w:hAnsi="Times"/>
          <w:sz w:val="20"/>
          <w:szCs w:val="20"/>
          <w:u w:val="single"/>
          <w:lang w:val="en-GB"/>
        </w:rPr>
        <w:t>Results:</w:t>
      </w:r>
      <w:r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707604" w:rsidRPr="00CD598F">
        <w:rPr>
          <w:rFonts w:ascii="Times" w:hAnsi="Times"/>
          <w:sz w:val="20"/>
          <w:szCs w:val="20"/>
          <w:lang w:val="en-GB"/>
        </w:rPr>
        <w:br/>
      </w:r>
      <w:r w:rsidR="00706039" w:rsidRPr="00CD598F">
        <w:rPr>
          <w:rFonts w:ascii="Times" w:hAnsi="Times" w:cs="Times"/>
          <w:sz w:val="20"/>
          <w:szCs w:val="20"/>
          <w:lang w:val="en-GB"/>
        </w:rPr>
        <w:t>The population included 366 patients (185 women) from two different areas. Mean age was 55 ± 14 years and mean BMI was 36 ± 7 kg/m</w:t>
      </w:r>
      <w:r w:rsidR="00706039" w:rsidRPr="00CD598F">
        <w:rPr>
          <w:rFonts w:ascii="Times" w:hAnsi="Times" w:cs="Times"/>
          <w:sz w:val="20"/>
          <w:szCs w:val="20"/>
          <w:vertAlign w:val="superscript"/>
          <w:lang w:val="en-GB"/>
        </w:rPr>
        <w:t>2</w:t>
      </w:r>
      <w:r w:rsidR="00706039" w:rsidRPr="00CD598F">
        <w:rPr>
          <w:rFonts w:ascii="Times" w:hAnsi="Times" w:cs="Times"/>
          <w:sz w:val="20"/>
          <w:szCs w:val="20"/>
          <w:lang w:val="en-GB"/>
        </w:rPr>
        <w:t>. Mean mGFR was 71</w:t>
      </w:r>
      <w:r w:rsidR="00DA7F8A" w:rsidRPr="00CD598F">
        <w:rPr>
          <w:rFonts w:ascii="Times" w:hAnsi="Times" w:cs="Times"/>
          <w:sz w:val="20"/>
          <w:szCs w:val="20"/>
          <w:lang w:val="en-GB"/>
        </w:rPr>
        <w:t xml:space="preserve"> ± 35 mL/</w:t>
      </w:r>
      <w:r w:rsidR="00431965">
        <w:rPr>
          <w:rFonts w:ascii="Times" w:hAnsi="Times" w:cs="Times"/>
          <w:sz w:val="20"/>
          <w:szCs w:val="20"/>
          <w:lang w:val="en-GB"/>
        </w:rPr>
        <w:t>min</w:t>
      </w:r>
      <w:r w:rsidR="00706039" w:rsidRPr="00CD598F">
        <w:rPr>
          <w:rFonts w:ascii="Times" w:hAnsi="Times" w:cs="Times"/>
          <w:sz w:val="20"/>
          <w:szCs w:val="20"/>
          <w:lang w:val="en-GB"/>
        </w:rPr>
        <w:t>. In the global population, bias</w:t>
      </w:r>
      <w:r w:rsidR="00431965">
        <w:rPr>
          <w:rFonts w:ascii="Times" w:hAnsi="Times" w:cs="Times"/>
          <w:sz w:val="20"/>
          <w:szCs w:val="20"/>
          <w:lang w:val="en-GB"/>
        </w:rPr>
        <w:t xml:space="preserve"> of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CG and CG</w:t>
      </w:r>
      <w:r w:rsidR="00707604" w:rsidRPr="00CD598F">
        <w:rPr>
          <w:rFonts w:ascii="Times" w:hAnsi="Times" w:cs="Times"/>
          <w:sz w:val="20"/>
          <w:szCs w:val="20"/>
          <w:vertAlign w:val="subscript"/>
          <w:lang w:val="en-GB"/>
        </w:rPr>
        <w:t>AIBW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</w:t>
      </w:r>
      <w:r w:rsidR="00706039" w:rsidRPr="00CD598F">
        <w:rPr>
          <w:rFonts w:ascii="Times" w:hAnsi="Times" w:cs="Times"/>
          <w:sz w:val="20"/>
          <w:szCs w:val="20"/>
          <w:lang w:val="en-GB"/>
        </w:rPr>
        <w:t>was +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25 ± </w:t>
      </w:r>
      <w:r w:rsidR="006104B1" w:rsidRPr="00CD598F">
        <w:rPr>
          <w:rFonts w:ascii="Times" w:hAnsi="Times" w:cs="Times"/>
          <w:sz w:val="20"/>
          <w:szCs w:val="20"/>
          <w:lang w:val="en-GB"/>
        </w:rPr>
        <w:t>39.8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m</w:t>
      </w:r>
      <w:r w:rsidR="00485620" w:rsidRPr="00CD598F">
        <w:rPr>
          <w:rFonts w:ascii="Times" w:hAnsi="Times" w:cs="Times"/>
          <w:sz w:val="20"/>
          <w:szCs w:val="20"/>
          <w:lang w:val="en-GB"/>
        </w:rPr>
        <w:t>L</w:t>
      </w:r>
      <w:r w:rsidR="00707604" w:rsidRPr="00CD598F">
        <w:rPr>
          <w:rFonts w:ascii="Times" w:hAnsi="Times" w:cs="Times"/>
          <w:sz w:val="20"/>
          <w:szCs w:val="20"/>
          <w:lang w:val="en-GB"/>
        </w:rPr>
        <w:t>/</w:t>
      </w:r>
      <w:r w:rsidR="00706039" w:rsidRPr="00CD598F">
        <w:rPr>
          <w:rFonts w:ascii="Times" w:hAnsi="Times" w:cs="Times"/>
          <w:sz w:val="20"/>
          <w:szCs w:val="20"/>
          <w:lang w:val="en-GB"/>
        </w:rPr>
        <w:t>min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and + </w:t>
      </w:r>
      <w:r w:rsidR="006104B1" w:rsidRPr="00CD598F">
        <w:rPr>
          <w:rFonts w:ascii="Times" w:hAnsi="Times" w:cs="Times"/>
          <w:sz w:val="20"/>
          <w:szCs w:val="20"/>
          <w:lang w:val="en-GB"/>
        </w:rPr>
        <w:t>2.6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± 2</w:t>
      </w:r>
      <w:r w:rsidR="006104B1" w:rsidRPr="00CD598F">
        <w:rPr>
          <w:rFonts w:ascii="Times" w:hAnsi="Times" w:cs="Times"/>
          <w:sz w:val="20"/>
          <w:szCs w:val="20"/>
          <w:lang w:val="en-GB"/>
        </w:rPr>
        <w:t>1.7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m</w:t>
      </w:r>
      <w:r w:rsidR="00485620" w:rsidRPr="00CD598F">
        <w:rPr>
          <w:rFonts w:ascii="Times" w:hAnsi="Times" w:cs="Times"/>
          <w:sz w:val="20"/>
          <w:szCs w:val="20"/>
          <w:lang w:val="en-GB"/>
        </w:rPr>
        <w:t>L</w:t>
      </w:r>
      <w:r w:rsidR="00707604" w:rsidRPr="00CD598F">
        <w:rPr>
          <w:rFonts w:ascii="Times" w:hAnsi="Times" w:cs="Times"/>
          <w:sz w:val="20"/>
          <w:szCs w:val="20"/>
          <w:lang w:val="en-GB"/>
        </w:rPr>
        <w:t>/min</w:t>
      </w:r>
      <w:r w:rsidR="005771CE">
        <w:rPr>
          <w:rFonts w:ascii="Times" w:hAnsi="Times" w:cs="Times"/>
          <w:sz w:val="20"/>
          <w:szCs w:val="20"/>
          <w:lang w:val="en-GB"/>
        </w:rPr>
        <w:t>,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respectively</w:t>
      </w:r>
      <w:r w:rsidR="00B52FBD">
        <w:rPr>
          <w:rFonts w:ascii="Times" w:hAnsi="Times" w:cs="Times"/>
          <w:sz w:val="20"/>
          <w:szCs w:val="20"/>
          <w:lang w:val="en-GB"/>
        </w:rPr>
        <w:t>.</w:t>
      </w:r>
      <w:r w:rsidR="00706039" w:rsidRPr="00CD598F">
        <w:rPr>
          <w:rFonts w:ascii="Times" w:hAnsi="Times" w:cs="Times"/>
          <w:sz w:val="20"/>
          <w:szCs w:val="20"/>
          <w:lang w:val="en-GB"/>
        </w:rPr>
        <w:t xml:space="preserve"> </w:t>
      </w:r>
      <w:r w:rsidR="00B52FBD">
        <w:rPr>
          <w:rFonts w:ascii="Times" w:hAnsi="Times" w:cs="Times"/>
          <w:sz w:val="20"/>
          <w:szCs w:val="20"/>
          <w:lang w:val="en-GB"/>
        </w:rPr>
        <w:t>A</w:t>
      </w:r>
      <w:r w:rsidR="00706039" w:rsidRPr="00CD598F">
        <w:rPr>
          <w:rFonts w:ascii="Times" w:hAnsi="Times" w:cs="Times"/>
          <w:sz w:val="20"/>
          <w:szCs w:val="20"/>
          <w:lang w:val="en-GB"/>
        </w:rPr>
        <w:t xml:space="preserve">ccuracy 30% was </w:t>
      </w:r>
      <w:r w:rsidR="00707604" w:rsidRPr="00CD598F">
        <w:rPr>
          <w:rFonts w:ascii="Times" w:hAnsi="Times" w:cs="Times"/>
          <w:sz w:val="20"/>
          <w:szCs w:val="20"/>
          <w:lang w:val="en-GB"/>
        </w:rPr>
        <w:t>57</w:t>
      </w:r>
      <w:r w:rsidR="00B52FBD">
        <w:rPr>
          <w:rFonts w:ascii="Times" w:hAnsi="Times" w:cs="Times"/>
          <w:sz w:val="20"/>
          <w:szCs w:val="20"/>
          <w:lang w:val="en-GB"/>
        </w:rPr>
        <w:t>%</w:t>
      </w:r>
      <w:r w:rsidR="00706039" w:rsidRPr="00CD598F">
        <w:rPr>
          <w:rFonts w:ascii="Times" w:hAnsi="Times" w:cs="Times"/>
          <w:sz w:val="20"/>
          <w:szCs w:val="20"/>
          <w:lang w:val="en-GB"/>
        </w:rPr>
        <w:t xml:space="preserve"> and 7</w:t>
      </w:r>
      <w:r w:rsidR="00707604" w:rsidRPr="00CD598F">
        <w:rPr>
          <w:rFonts w:ascii="Times" w:hAnsi="Times" w:cs="Times"/>
          <w:sz w:val="20"/>
          <w:szCs w:val="20"/>
          <w:lang w:val="en-GB"/>
        </w:rPr>
        <w:t>8</w:t>
      </w:r>
      <w:r w:rsidR="00431965">
        <w:rPr>
          <w:rFonts w:ascii="Times" w:hAnsi="Times" w:cs="Times"/>
          <w:sz w:val="20"/>
          <w:szCs w:val="20"/>
          <w:lang w:val="en-GB"/>
        </w:rPr>
        <w:t>%, respectively</w:t>
      </w:r>
      <w:r w:rsidR="00096FD1" w:rsidRPr="00431965">
        <w:rPr>
          <w:rFonts w:ascii="Times" w:hAnsi="Times" w:cs="Times"/>
          <w:sz w:val="20"/>
          <w:szCs w:val="20"/>
          <w:vertAlign w:val="subscript"/>
          <w:lang w:val="en-GB"/>
        </w:rPr>
        <w:t xml:space="preserve"> </w:t>
      </w:r>
      <w:r w:rsidR="00096FD1" w:rsidRPr="00431965">
        <w:rPr>
          <w:rFonts w:ascii="Times" w:hAnsi="Times" w:cs="Times"/>
          <w:sz w:val="20"/>
          <w:szCs w:val="20"/>
          <w:lang w:val="en-GB"/>
        </w:rPr>
        <w:t>(p&lt;0</w:t>
      </w:r>
      <w:r w:rsidR="00431965">
        <w:rPr>
          <w:rFonts w:ascii="Times" w:hAnsi="Times" w:cs="Times"/>
          <w:sz w:val="20"/>
          <w:szCs w:val="20"/>
          <w:lang w:val="en-GB"/>
        </w:rPr>
        <w:t>.0</w:t>
      </w:r>
      <w:r w:rsidR="00431965" w:rsidRPr="00431965">
        <w:rPr>
          <w:rFonts w:ascii="Times" w:hAnsi="Times" w:cs="Times"/>
          <w:sz w:val="20"/>
          <w:szCs w:val="20"/>
          <w:lang w:val="en-GB"/>
        </w:rPr>
        <w:t>5</w:t>
      </w:r>
      <w:r w:rsidR="00096FD1" w:rsidRPr="00431965">
        <w:rPr>
          <w:rFonts w:ascii="Times" w:hAnsi="Times" w:cs="Times"/>
          <w:sz w:val="20"/>
          <w:szCs w:val="20"/>
          <w:lang w:val="en-GB"/>
        </w:rPr>
        <w:t>)</w:t>
      </w:r>
      <w:r w:rsidR="00707604" w:rsidRPr="00CD598F">
        <w:rPr>
          <w:rFonts w:ascii="Times" w:hAnsi="Times" w:cs="Times"/>
          <w:sz w:val="20"/>
          <w:szCs w:val="20"/>
          <w:lang w:val="en-GB"/>
        </w:rPr>
        <w:t>.</w:t>
      </w:r>
      <w:r w:rsidR="00706039" w:rsidRPr="00CD598F">
        <w:rPr>
          <w:rFonts w:ascii="Times" w:hAnsi="Times" w:cs="Times"/>
          <w:sz w:val="20"/>
          <w:szCs w:val="20"/>
          <w:lang w:val="en-GB"/>
        </w:rPr>
        <w:t xml:space="preserve"> </w:t>
      </w:r>
      <w:r w:rsidR="00431965">
        <w:rPr>
          <w:rFonts w:ascii="Times" w:hAnsi="Times" w:cs="Times"/>
          <w:sz w:val="20"/>
          <w:szCs w:val="20"/>
          <w:lang w:val="en-GB"/>
        </w:rPr>
        <w:t>For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the</w:t>
      </w:r>
      <w:r w:rsidR="00106740" w:rsidRPr="00CD598F">
        <w:rPr>
          <w:rFonts w:ascii="Times" w:hAnsi="Times"/>
          <w:sz w:val="20"/>
          <w:szCs w:val="20"/>
          <w:lang w:val="en-GB"/>
        </w:rPr>
        <w:t xml:space="preserve"> </w:t>
      </w:r>
      <w:r w:rsidR="00E30778" w:rsidRPr="00CD598F">
        <w:rPr>
          <w:rFonts w:ascii="Times" w:hAnsi="Times"/>
          <w:sz w:val="20"/>
          <w:szCs w:val="20"/>
          <w:lang w:val="en-GB"/>
        </w:rPr>
        <w:t>CKD-EPI</w:t>
      </w:r>
      <w:r w:rsidR="00707604" w:rsidRPr="00CD598F">
        <w:rPr>
          <w:rFonts w:ascii="Times" w:hAnsi="Times" w:cs="Times"/>
          <w:sz w:val="20"/>
          <w:szCs w:val="20"/>
          <w:vertAlign w:val="subscript"/>
          <w:lang w:val="en-GB"/>
        </w:rPr>
        <w:t>deindexed</w:t>
      </w:r>
      <w:r w:rsidR="00431965">
        <w:rPr>
          <w:rFonts w:ascii="Times" w:hAnsi="Times" w:cs="Times"/>
          <w:sz w:val="20"/>
          <w:szCs w:val="20"/>
          <w:vertAlign w:val="subscript"/>
          <w:lang w:val="en-GB"/>
        </w:rPr>
        <w:t xml:space="preserve"> </w:t>
      </w:r>
      <w:r w:rsidR="00431965" w:rsidRPr="00431965">
        <w:rPr>
          <w:rFonts w:ascii="Times" w:hAnsi="Times" w:cs="Times"/>
          <w:sz w:val="20"/>
          <w:szCs w:val="20"/>
          <w:lang w:val="en-GB"/>
        </w:rPr>
        <w:t>equation</w:t>
      </w:r>
      <w:r w:rsidR="00B52FBD" w:rsidRPr="00431965">
        <w:rPr>
          <w:rFonts w:ascii="Times" w:hAnsi="Times" w:cs="Times"/>
          <w:sz w:val="20"/>
          <w:szCs w:val="20"/>
          <w:lang w:val="en-GB"/>
        </w:rPr>
        <w:t>,</w:t>
      </w:r>
      <w:r w:rsidR="00B52FBD">
        <w:rPr>
          <w:rFonts w:ascii="Times" w:hAnsi="Times" w:cs="Times"/>
          <w:sz w:val="20"/>
          <w:szCs w:val="20"/>
          <w:lang w:val="en-GB"/>
        </w:rPr>
        <w:t xml:space="preserve"> </w:t>
      </w:r>
      <w:r w:rsidR="00431965">
        <w:rPr>
          <w:rFonts w:ascii="Times" w:hAnsi="Times" w:cs="Times"/>
          <w:sz w:val="20"/>
          <w:szCs w:val="20"/>
          <w:lang w:val="en-GB"/>
        </w:rPr>
        <w:t xml:space="preserve">the </w:t>
      </w:r>
      <w:r w:rsidR="00706039" w:rsidRPr="00CD598F">
        <w:rPr>
          <w:rFonts w:ascii="Times" w:hAnsi="Times" w:cs="Times"/>
          <w:sz w:val="20"/>
          <w:szCs w:val="20"/>
          <w:lang w:val="en-GB"/>
        </w:rPr>
        <w:t>bias was +</w:t>
      </w:r>
      <w:r w:rsidR="00707604" w:rsidRPr="00CD598F">
        <w:rPr>
          <w:rFonts w:ascii="Times" w:hAnsi="Times" w:cs="Times"/>
          <w:sz w:val="20"/>
          <w:szCs w:val="20"/>
          <w:lang w:val="en-GB"/>
        </w:rPr>
        <w:t xml:space="preserve"> 6</w:t>
      </w:r>
      <w:r w:rsidR="006104B1" w:rsidRPr="00CD598F">
        <w:rPr>
          <w:rFonts w:ascii="Times" w:hAnsi="Times" w:cs="Times"/>
          <w:sz w:val="20"/>
          <w:szCs w:val="20"/>
          <w:lang w:val="en-GB"/>
        </w:rPr>
        <w:t>.2 ± 19.7</w:t>
      </w:r>
      <w:r w:rsidR="00431965">
        <w:rPr>
          <w:rFonts w:ascii="Times" w:hAnsi="Times" w:cs="Times"/>
          <w:sz w:val="20"/>
          <w:szCs w:val="20"/>
          <w:lang w:val="en-GB"/>
        </w:rPr>
        <w:t>mL/min and the a</w:t>
      </w:r>
      <w:r w:rsidR="00706039" w:rsidRPr="00CD598F">
        <w:rPr>
          <w:rFonts w:ascii="Times" w:hAnsi="Times" w:cs="Times"/>
          <w:sz w:val="20"/>
          <w:szCs w:val="20"/>
          <w:lang w:val="en-GB"/>
        </w:rPr>
        <w:t>ccu</w:t>
      </w:r>
      <w:r w:rsidR="003D7473" w:rsidRPr="00CD598F">
        <w:rPr>
          <w:rFonts w:ascii="Times" w:hAnsi="Times" w:cs="Times"/>
          <w:sz w:val="20"/>
          <w:szCs w:val="20"/>
          <w:lang w:val="en-GB"/>
        </w:rPr>
        <w:t xml:space="preserve">racy 30% was </w:t>
      </w:r>
      <w:r w:rsidR="005771CE">
        <w:rPr>
          <w:rFonts w:ascii="Times" w:hAnsi="Times" w:cs="Times"/>
          <w:sz w:val="20"/>
          <w:szCs w:val="20"/>
          <w:lang w:val="en-GB"/>
        </w:rPr>
        <w:t>76%</w:t>
      </w:r>
      <w:r w:rsidR="00707604" w:rsidRPr="00CD598F">
        <w:rPr>
          <w:rFonts w:ascii="Times" w:hAnsi="Times" w:cs="Times"/>
          <w:sz w:val="20"/>
          <w:szCs w:val="20"/>
          <w:lang w:val="en-GB"/>
        </w:rPr>
        <w:t>.</w:t>
      </w:r>
      <w:r w:rsidR="00EE6C7E" w:rsidRPr="00CD598F">
        <w:rPr>
          <w:rFonts w:ascii="Times" w:hAnsi="Times" w:cs="Times"/>
          <w:sz w:val="20"/>
          <w:szCs w:val="20"/>
          <w:lang w:val="en-GB"/>
        </w:rPr>
        <w:t xml:space="preserve"> </w:t>
      </w:r>
    </w:p>
    <w:p w:rsidR="00E30778" w:rsidRPr="00CD598F" w:rsidRDefault="00D56953" w:rsidP="00B43E98">
      <w:pPr>
        <w:rPr>
          <w:rFonts w:ascii="Times" w:hAnsi="Times"/>
          <w:sz w:val="20"/>
          <w:szCs w:val="20"/>
          <w:u w:val="single"/>
          <w:lang w:val="en-GB"/>
        </w:rPr>
      </w:pPr>
      <w:r w:rsidRPr="00CD598F">
        <w:rPr>
          <w:rFonts w:ascii="Times" w:hAnsi="Times"/>
          <w:sz w:val="20"/>
          <w:szCs w:val="20"/>
          <w:u w:val="single"/>
          <w:lang w:val="en-GB"/>
        </w:rPr>
        <w:t>Conclusion:</w:t>
      </w:r>
    </w:p>
    <w:p w:rsidR="004A37EE" w:rsidRDefault="0021041E" w:rsidP="00706039">
      <w:pPr>
        <w:rPr>
          <w:rFonts w:ascii="Times" w:hAnsi="Times"/>
          <w:sz w:val="20"/>
          <w:szCs w:val="20"/>
          <w:lang w:val="en-GB"/>
        </w:rPr>
      </w:pPr>
      <w:r w:rsidRPr="00CD598F">
        <w:rPr>
          <w:rFonts w:ascii="Times" w:hAnsi="Times" w:cs="Times"/>
          <w:sz w:val="20"/>
          <w:szCs w:val="20"/>
          <w:lang w:val="en-GB"/>
        </w:rPr>
        <w:t xml:space="preserve">CG is actually </w:t>
      </w:r>
      <w:r w:rsidR="003770DC" w:rsidRPr="00CD598F">
        <w:rPr>
          <w:rFonts w:ascii="Times" w:hAnsi="Times" w:cs="Times"/>
          <w:sz w:val="20"/>
          <w:szCs w:val="20"/>
          <w:lang w:val="en-GB"/>
        </w:rPr>
        <w:t>the equation use</w:t>
      </w:r>
      <w:r w:rsidR="00B52FBD">
        <w:rPr>
          <w:rFonts w:ascii="Times" w:hAnsi="Times" w:cs="Times"/>
          <w:sz w:val="20"/>
          <w:szCs w:val="20"/>
          <w:lang w:val="en-GB"/>
        </w:rPr>
        <w:t>d</w:t>
      </w:r>
      <w:r w:rsidRPr="00CD598F">
        <w:rPr>
          <w:rFonts w:ascii="Times" w:hAnsi="Times" w:cs="Times"/>
          <w:sz w:val="20"/>
          <w:szCs w:val="20"/>
          <w:lang w:val="en-GB"/>
        </w:rPr>
        <w:t xml:space="preserve"> for drug dosing adaptation</w:t>
      </w:r>
      <w:r w:rsidR="00DA64F2">
        <w:rPr>
          <w:rFonts w:ascii="Times" w:hAnsi="Times" w:cs="Times"/>
          <w:sz w:val="20"/>
          <w:szCs w:val="20"/>
          <w:lang w:val="en-GB"/>
        </w:rPr>
        <w:t xml:space="preserve">. </w:t>
      </w:r>
      <w:r w:rsidR="00F54F4F">
        <w:rPr>
          <w:rFonts w:ascii="Times" w:hAnsi="Times" w:cs="Times"/>
          <w:sz w:val="20"/>
          <w:szCs w:val="20"/>
          <w:lang w:val="en-GB"/>
        </w:rPr>
        <w:t>Its</w:t>
      </w:r>
      <w:r w:rsidR="00DA64F2">
        <w:rPr>
          <w:rFonts w:ascii="Times" w:hAnsi="Times" w:cs="Times"/>
          <w:sz w:val="20"/>
          <w:szCs w:val="20"/>
          <w:lang w:val="en-GB"/>
        </w:rPr>
        <w:t xml:space="preserve"> accuracy </w:t>
      </w:r>
      <w:r w:rsidR="00447847">
        <w:rPr>
          <w:rFonts w:ascii="Times" w:hAnsi="Times" w:cs="Times"/>
          <w:sz w:val="20"/>
          <w:szCs w:val="20"/>
          <w:lang w:val="en-GB"/>
        </w:rPr>
        <w:t xml:space="preserve">to estimate GFR </w:t>
      </w:r>
      <w:r w:rsidR="00DA64F2">
        <w:rPr>
          <w:rFonts w:ascii="Times" w:hAnsi="Times" w:cs="Times"/>
          <w:sz w:val="20"/>
          <w:szCs w:val="20"/>
          <w:lang w:val="en-GB"/>
        </w:rPr>
        <w:t xml:space="preserve">is </w:t>
      </w:r>
      <w:r w:rsidR="00447847">
        <w:rPr>
          <w:rFonts w:ascii="Times" w:hAnsi="Times" w:cs="Times"/>
          <w:sz w:val="20"/>
          <w:szCs w:val="20"/>
          <w:lang w:val="en-GB"/>
        </w:rPr>
        <w:t xml:space="preserve">however </w:t>
      </w:r>
      <w:r w:rsidR="00DA64F2">
        <w:rPr>
          <w:rFonts w:ascii="Times" w:hAnsi="Times" w:cs="Times"/>
          <w:sz w:val="20"/>
          <w:szCs w:val="20"/>
          <w:lang w:val="en-GB"/>
        </w:rPr>
        <w:t>not optimal in obese p</w:t>
      </w:r>
      <w:r w:rsidR="00395646">
        <w:rPr>
          <w:rFonts w:ascii="Times" w:hAnsi="Times" w:cs="Times"/>
          <w:sz w:val="20"/>
          <w:szCs w:val="20"/>
          <w:lang w:val="en-GB"/>
        </w:rPr>
        <w:t xml:space="preserve">atients, as expected by the </w:t>
      </w:r>
      <w:r w:rsidR="00431965">
        <w:rPr>
          <w:rFonts w:ascii="Times" w:hAnsi="Times" w:cs="Times"/>
          <w:sz w:val="20"/>
          <w:szCs w:val="20"/>
          <w:lang w:val="en-GB"/>
        </w:rPr>
        <w:t>bias induced by the actual body</w:t>
      </w:r>
      <w:r w:rsidR="00DA64F2">
        <w:rPr>
          <w:rFonts w:ascii="Times" w:hAnsi="Times" w:cs="Times"/>
          <w:sz w:val="20"/>
          <w:szCs w:val="20"/>
          <w:lang w:val="en-GB"/>
        </w:rPr>
        <w:t xml:space="preserve"> weight in the equation. </w:t>
      </w:r>
      <w:r w:rsidR="00431965">
        <w:rPr>
          <w:rFonts w:ascii="Times" w:hAnsi="Times" w:cs="Times"/>
          <w:sz w:val="20"/>
          <w:szCs w:val="20"/>
          <w:lang w:val="en-GB"/>
        </w:rPr>
        <w:t>Using</w:t>
      </w:r>
      <w:r w:rsidR="00DA64F2">
        <w:rPr>
          <w:rFonts w:ascii="Times" w:hAnsi="Times" w:cs="Times"/>
          <w:sz w:val="20"/>
          <w:szCs w:val="20"/>
          <w:lang w:val="en-GB"/>
        </w:rPr>
        <w:t xml:space="preserve"> adjusted ideal body weight in CG avoids this inadequacy and </w:t>
      </w:r>
      <w:r w:rsidR="00431965">
        <w:rPr>
          <w:rFonts w:ascii="Times" w:hAnsi="Times" w:cs="Times"/>
          <w:sz w:val="20"/>
          <w:szCs w:val="20"/>
          <w:lang w:val="en-GB"/>
        </w:rPr>
        <w:t>significantly improves the performance of the CG</w:t>
      </w:r>
      <w:r w:rsidR="00DA64F2">
        <w:rPr>
          <w:rFonts w:ascii="Times" w:hAnsi="Times" w:cs="Times"/>
          <w:sz w:val="20"/>
          <w:szCs w:val="20"/>
          <w:lang w:val="en-GB"/>
        </w:rPr>
        <w:t>.</w:t>
      </w:r>
      <w:r w:rsidR="00431965">
        <w:rPr>
          <w:rFonts w:ascii="Times" w:hAnsi="Times" w:cs="Times"/>
          <w:sz w:val="20"/>
          <w:szCs w:val="20"/>
          <w:lang w:val="en-GB"/>
        </w:rPr>
        <w:t xml:space="preserve"> </w:t>
      </w:r>
      <w:r w:rsidR="00B43E98" w:rsidRPr="00CD598F">
        <w:rPr>
          <w:rFonts w:ascii="Times" w:hAnsi="Times"/>
          <w:sz w:val="20"/>
          <w:szCs w:val="20"/>
          <w:lang w:val="en-GB"/>
        </w:rPr>
        <w:t>We demonstrated that CKD-EPI</w:t>
      </w:r>
      <w:r w:rsidR="00B43E98" w:rsidRPr="00CD598F">
        <w:rPr>
          <w:rFonts w:ascii="Times" w:hAnsi="Times"/>
          <w:sz w:val="20"/>
          <w:szCs w:val="20"/>
          <w:vertAlign w:val="subscript"/>
          <w:lang w:val="en-GB"/>
        </w:rPr>
        <w:t>deindexed</w:t>
      </w:r>
      <w:r w:rsidR="00DA64F2">
        <w:rPr>
          <w:rFonts w:ascii="Times" w:hAnsi="Times"/>
          <w:sz w:val="20"/>
          <w:szCs w:val="20"/>
          <w:lang w:val="en-GB"/>
        </w:rPr>
        <w:t xml:space="preserve"> had </w:t>
      </w:r>
      <w:r w:rsidR="00431965">
        <w:rPr>
          <w:rFonts w:ascii="Times" w:hAnsi="Times"/>
          <w:sz w:val="20"/>
          <w:szCs w:val="20"/>
          <w:lang w:val="en-GB"/>
        </w:rPr>
        <w:t xml:space="preserve">globally the same performance as the </w:t>
      </w:r>
      <w:r w:rsidR="00DA64F2">
        <w:rPr>
          <w:rFonts w:ascii="Times" w:hAnsi="Times"/>
          <w:sz w:val="20"/>
          <w:szCs w:val="20"/>
          <w:lang w:val="en-GB"/>
        </w:rPr>
        <w:t>CG</w:t>
      </w:r>
      <w:r w:rsidR="00DA64F2" w:rsidRPr="00DA64F2">
        <w:rPr>
          <w:rFonts w:ascii="Times" w:hAnsi="Times"/>
          <w:sz w:val="20"/>
          <w:szCs w:val="20"/>
          <w:vertAlign w:val="subscript"/>
          <w:lang w:val="en-GB"/>
        </w:rPr>
        <w:t>AIBW</w:t>
      </w:r>
      <w:r w:rsidR="00DA1CEA">
        <w:rPr>
          <w:rFonts w:ascii="Times" w:hAnsi="Times"/>
          <w:sz w:val="20"/>
          <w:szCs w:val="20"/>
          <w:lang w:val="en-GB"/>
        </w:rPr>
        <w:t xml:space="preserve"> </w:t>
      </w:r>
      <w:r w:rsidR="00431965">
        <w:rPr>
          <w:rFonts w:ascii="Times" w:hAnsi="Times"/>
          <w:sz w:val="20"/>
          <w:szCs w:val="20"/>
          <w:lang w:val="en-GB"/>
        </w:rPr>
        <w:t>equation to estimate non-indexed mGFR.</w:t>
      </w:r>
    </w:p>
    <w:p w:rsidR="00431965" w:rsidRPr="00CD598F" w:rsidRDefault="00431965" w:rsidP="00706039">
      <w:pPr>
        <w:rPr>
          <w:rFonts w:ascii="Times" w:hAnsi="Times"/>
          <w:sz w:val="20"/>
          <w:szCs w:val="20"/>
          <w:u w:val="single"/>
          <w:lang w:val="en-GB"/>
        </w:rPr>
      </w:pPr>
    </w:p>
    <w:tbl>
      <w:tblPr>
        <w:tblStyle w:val="Grilledutableau"/>
        <w:tblpPr w:leftFromText="141" w:rightFromText="141" w:vertAnchor="text" w:horzAnchor="page" w:tblpX="1458" w:tblpY="234"/>
        <w:tblW w:w="2503" w:type="pct"/>
        <w:tblLook w:val="04A0" w:firstRow="1" w:lastRow="0" w:firstColumn="1" w:lastColumn="0" w:noHBand="0" w:noVBand="1"/>
      </w:tblPr>
      <w:tblGrid>
        <w:gridCol w:w="1802"/>
        <w:gridCol w:w="694"/>
        <w:gridCol w:w="881"/>
        <w:gridCol w:w="1156"/>
      </w:tblGrid>
      <w:tr w:rsidR="005771CE" w:rsidRPr="00CD598F" w:rsidTr="005771CE">
        <w:trPr>
          <w:trHeight w:val="553"/>
        </w:trPr>
        <w:tc>
          <w:tcPr>
            <w:tcW w:w="1988" w:type="pct"/>
          </w:tcPr>
          <w:p w:rsidR="005771CE" w:rsidRPr="00CD598F" w:rsidRDefault="005771CE" w:rsidP="002B674E">
            <w:pPr>
              <w:ind w:right="-87"/>
              <w:jc w:val="center"/>
              <w:rPr>
                <w:rFonts w:ascii="Times" w:hAnsi="Times"/>
                <w:b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b/>
                <w:sz w:val="20"/>
                <w:szCs w:val="20"/>
                <w:lang w:val="en-GB"/>
              </w:rPr>
              <w:t>De</w:t>
            </w:r>
            <w:r w:rsidR="00447847">
              <w:rPr>
                <w:rFonts w:ascii="Times" w:hAnsi="Times"/>
                <w:b/>
                <w:sz w:val="20"/>
                <w:szCs w:val="20"/>
                <w:lang w:val="en-GB"/>
              </w:rPr>
              <w:t>-</w:t>
            </w:r>
            <w:r w:rsidRPr="00CD598F">
              <w:rPr>
                <w:rFonts w:ascii="Times" w:hAnsi="Times"/>
                <w:b/>
                <w:sz w:val="20"/>
                <w:szCs w:val="20"/>
                <w:lang w:val="en-GB"/>
              </w:rPr>
              <w:t>indexed mGFR</w:t>
            </w:r>
          </w:p>
          <w:p w:rsidR="005771CE" w:rsidRPr="00CD598F" w:rsidRDefault="005771CE" w:rsidP="002B674E">
            <w:pPr>
              <w:ind w:right="-87"/>
              <w:jc w:val="center"/>
              <w:rPr>
                <w:rFonts w:ascii="Times" w:hAnsi="Times"/>
                <w:b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b/>
                <w:sz w:val="20"/>
                <w:szCs w:val="20"/>
                <w:lang w:val="en-GB"/>
              </w:rPr>
              <w:t>(mL/min)</w:t>
            </w:r>
          </w:p>
        </w:tc>
        <w:tc>
          <w:tcPr>
            <w:tcW w:w="765" w:type="pct"/>
          </w:tcPr>
          <w:p w:rsidR="005771CE" w:rsidRPr="00CD598F" w:rsidRDefault="005771CE" w:rsidP="002B674E">
            <w:pPr>
              <w:jc w:val="center"/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CG</w:t>
            </w:r>
          </w:p>
        </w:tc>
        <w:tc>
          <w:tcPr>
            <w:tcW w:w="972" w:type="pct"/>
          </w:tcPr>
          <w:p w:rsidR="005771CE" w:rsidRPr="00CD598F" w:rsidRDefault="005771CE" w:rsidP="002B674E">
            <w:pPr>
              <w:jc w:val="center"/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CG</w:t>
            </w:r>
            <w:r w:rsidRPr="00CD598F">
              <w:rPr>
                <w:rFonts w:ascii="Times" w:hAnsi="Times"/>
                <w:i/>
                <w:sz w:val="20"/>
                <w:szCs w:val="20"/>
                <w:vertAlign w:val="subscript"/>
                <w:lang w:val="en-GB"/>
              </w:rPr>
              <w:t>AIBW</w:t>
            </w:r>
          </w:p>
        </w:tc>
        <w:tc>
          <w:tcPr>
            <w:tcW w:w="1275" w:type="pct"/>
          </w:tcPr>
          <w:p w:rsidR="005771CE" w:rsidRPr="00CD598F" w:rsidRDefault="005771CE" w:rsidP="002B674E">
            <w:pPr>
              <w:jc w:val="center"/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CKD-EPI</w:t>
            </w:r>
          </w:p>
          <w:p w:rsidR="005771CE" w:rsidRPr="00CD598F" w:rsidRDefault="005771CE" w:rsidP="002B674E">
            <w:pPr>
              <w:jc w:val="center"/>
              <w:rPr>
                <w:rFonts w:ascii="Times" w:hAnsi="Times"/>
                <w:i/>
                <w:sz w:val="20"/>
                <w:szCs w:val="20"/>
                <w:vertAlign w:val="subscript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vertAlign w:val="subscript"/>
                <w:lang w:val="en-GB"/>
              </w:rPr>
              <w:t>deindexed</w:t>
            </w:r>
          </w:p>
        </w:tc>
      </w:tr>
      <w:tr w:rsidR="005771CE" w:rsidRPr="00CD598F" w:rsidTr="005771CE">
        <w:trPr>
          <w:trHeight w:val="356"/>
        </w:trPr>
        <w:tc>
          <w:tcPr>
            <w:tcW w:w="1988" w:type="pct"/>
          </w:tcPr>
          <w:p w:rsidR="005771CE" w:rsidRPr="00CD598F" w:rsidRDefault="005771CE" w:rsidP="00447847">
            <w:pPr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B</w:t>
            </w:r>
            <w:r w:rsidR="00447847">
              <w:rPr>
                <w:rFonts w:ascii="Times" w:hAnsi="Times"/>
                <w:i/>
                <w:sz w:val="20"/>
                <w:szCs w:val="20"/>
                <w:lang w:val="en-GB"/>
              </w:rPr>
              <w:t>ias</w:t>
            </w:r>
          </w:p>
        </w:tc>
        <w:tc>
          <w:tcPr>
            <w:tcW w:w="76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25</w:t>
            </w:r>
            <w:r w:rsidR="00DA64F2">
              <w:rPr>
                <w:rFonts w:ascii="Times" w:hAnsi="Times"/>
                <w:sz w:val="20"/>
                <w:szCs w:val="20"/>
                <w:lang w:val="en-GB"/>
              </w:rPr>
              <w:t>.0</w:t>
            </w:r>
          </w:p>
        </w:tc>
        <w:tc>
          <w:tcPr>
            <w:tcW w:w="972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2.6</w:t>
            </w:r>
          </w:p>
        </w:tc>
        <w:tc>
          <w:tcPr>
            <w:tcW w:w="127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6.2</w:t>
            </w:r>
          </w:p>
        </w:tc>
      </w:tr>
      <w:tr w:rsidR="005771CE" w:rsidRPr="00CD598F" w:rsidTr="005771CE">
        <w:trPr>
          <w:trHeight w:val="356"/>
        </w:trPr>
        <w:tc>
          <w:tcPr>
            <w:tcW w:w="1988" w:type="pct"/>
          </w:tcPr>
          <w:p w:rsidR="005771CE" w:rsidRPr="00CD598F" w:rsidRDefault="005771CE" w:rsidP="00CD598F">
            <w:pPr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76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39.8</w:t>
            </w:r>
          </w:p>
        </w:tc>
        <w:tc>
          <w:tcPr>
            <w:tcW w:w="972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21.7</w:t>
            </w:r>
          </w:p>
        </w:tc>
        <w:tc>
          <w:tcPr>
            <w:tcW w:w="127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19.7</w:t>
            </w:r>
          </w:p>
        </w:tc>
      </w:tr>
      <w:tr w:rsidR="005771CE" w:rsidRPr="00CD598F" w:rsidTr="005771CE">
        <w:trPr>
          <w:trHeight w:val="356"/>
        </w:trPr>
        <w:tc>
          <w:tcPr>
            <w:tcW w:w="1988" w:type="pct"/>
          </w:tcPr>
          <w:p w:rsidR="005771CE" w:rsidRPr="00CD598F" w:rsidRDefault="005771CE" w:rsidP="00CD598F">
            <w:pPr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Accuracy 30%</w:t>
            </w:r>
          </w:p>
        </w:tc>
        <w:tc>
          <w:tcPr>
            <w:tcW w:w="76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57</w:t>
            </w:r>
          </w:p>
        </w:tc>
        <w:tc>
          <w:tcPr>
            <w:tcW w:w="972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78</w:t>
            </w:r>
          </w:p>
        </w:tc>
        <w:tc>
          <w:tcPr>
            <w:tcW w:w="127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76</w:t>
            </w:r>
          </w:p>
        </w:tc>
      </w:tr>
      <w:tr w:rsidR="005771CE" w:rsidRPr="00CD598F" w:rsidTr="005771CE">
        <w:trPr>
          <w:trHeight w:val="356"/>
        </w:trPr>
        <w:tc>
          <w:tcPr>
            <w:tcW w:w="1988" w:type="pct"/>
          </w:tcPr>
          <w:p w:rsidR="005771CE" w:rsidRPr="00CD598F" w:rsidRDefault="005771CE" w:rsidP="00CD598F">
            <w:pPr>
              <w:rPr>
                <w:rFonts w:ascii="Times" w:hAnsi="Times"/>
                <w:i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i/>
                <w:sz w:val="20"/>
                <w:szCs w:val="20"/>
                <w:lang w:val="en-GB"/>
              </w:rPr>
              <w:t>Accuracy 15%</w:t>
            </w:r>
          </w:p>
        </w:tc>
        <w:tc>
          <w:tcPr>
            <w:tcW w:w="76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/>
              </w:rPr>
              <w:t>34</w:t>
            </w:r>
          </w:p>
        </w:tc>
        <w:tc>
          <w:tcPr>
            <w:tcW w:w="972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45</w:t>
            </w:r>
          </w:p>
        </w:tc>
        <w:tc>
          <w:tcPr>
            <w:tcW w:w="1275" w:type="pct"/>
          </w:tcPr>
          <w:p w:rsidR="005771CE" w:rsidRPr="00CD598F" w:rsidRDefault="005771CE" w:rsidP="00CD598F">
            <w:pPr>
              <w:jc w:val="center"/>
              <w:rPr>
                <w:rFonts w:ascii="Times" w:hAnsi="Times"/>
                <w:sz w:val="20"/>
                <w:szCs w:val="20"/>
                <w:lang w:val="en-GB"/>
              </w:rPr>
            </w:pPr>
            <w:r w:rsidRPr="00CD598F">
              <w:rPr>
                <w:rFonts w:ascii="Times" w:hAnsi="Times"/>
                <w:sz w:val="20"/>
                <w:szCs w:val="20"/>
                <w:lang w:val="en-GB"/>
              </w:rPr>
              <w:t>46</w:t>
            </w:r>
          </w:p>
        </w:tc>
      </w:tr>
    </w:tbl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7F8A" w:rsidRPr="00CD598F" w:rsidRDefault="00DA7F8A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EE6C7E" w:rsidRPr="00CD598F" w:rsidRDefault="00EE6C7E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EE6C7E" w:rsidRPr="00CD598F" w:rsidRDefault="00EE6C7E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21041E" w:rsidRDefault="0021041E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DA64F2" w:rsidRDefault="00DA64F2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85246D" w:rsidRDefault="0085246D" w:rsidP="00706039">
      <w:pPr>
        <w:rPr>
          <w:rFonts w:ascii="Times" w:hAnsi="Times" w:cs="Helvetica"/>
          <w:sz w:val="20"/>
          <w:szCs w:val="20"/>
          <w:lang w:val="en-GB"/>
        </w:rPr>
      </w:pPr>
    </w:p>
    <w:p w:rsidR="0099656C" w:rsidRPr="00CD598F" w:rsidRDefault="0099656C" w:rsidP="00706039">
      <w:pPr>
        <w:rPr>
          <w:rFonts w:ascii="Times" w:hAnsi="Times" w:cs="Helvetica"/>
          <w:sz w:val="20"/>
          <w:szCs w:val="20"/>
          <w:lang w:val="en-GB"/>
        </w:rPr>
      </w:pPr>
      <w:bookmarkStart w:id="0" w:name="_GoBack"/>
      <w:bookmarkEnd w:id="0"/>
    </w:p>
    <w:sectPr w:rsidR="0099656C" w:rsidRPr="00CD598F" w:rsidSect="00C70988">
      <w:pgSz w:w="11900" w:h="16840"/>
      <w:pgMar w:top="1417" w:right="1417" w:bottom="1417" w:left="1417" w:header="708" w:footer="708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02"/>
    <w:rsid w:val="000773B0"/>
    <w:rsid w:val="00093787"/>
    <w:rsid w:val="00096FD1"/>
    <w:rsid w:val="000A096D"/>
    <w:rsid w:val="000A1028"/>
    <w:rsid w:val="000B0A73"/>
    <w:rsid w:val="000B7493"/>
    <w:rsid w:val="000D7EB2"/>
    <w:rsid w:val="000E1E9E"/>
    <w:rsid w:val="000E2256"/>
    <w:rsid w:val="00106740"/>
    <w:rsid w:val="00110CE7"/>
    <w:rsid w:val="00121DF2"/>
    <w:rsid w:val="001A6F1E"/>
    <w:rsid w:val="0021041E"/>
    <w:rsid w:val="00223F22"/>
    <w:rsid w:val="002514A7"/>
    <w:rsid w:val="002605C6"/>
    <w:rsid w:val="002A4DF8"/>
    <w:rsid w:val="002B2013"/>
    <w:rsid w:val="002B674E"/>
    <w:rsid w:val="002C2C6E"/>
    <w:rsid w:val="00313537"/>
    <w:rsid w:val="00317185"/>
    <w:rsid w:val="0032501B"/>
    <w:rsid w:val="00364364"/>
    <w:rsid w:val="00373F02"/>
    <w:rsid w:val="003770DC"/>
    <w:rsid w:val="00395646"/>
    <w:rsid w:val="003B5584"/>
    <w:rsid w:val="003B7488"/>
    <w:rsid w:val="003D7473"/>
    <w:rsid w:val="00401126"/>
    <w:rsid w:val="00431965"/>
    <w:rsid w:val="00447847"/>
    <w:rsid w:val="00485620"/>
    <w:rsid w:val="00492ECA"/>
    <w:rsid w:val="004A37EE"/>
    <w:rsid w:val="004B6802"/>
    <w:rsid w:val="004B6D6B"/>
    <w:rsid w:val="00533B6C"/>
    <w:rsid w:val="005771CE"/>
    <w:rsid w:val="00584ACD"/>
    <w:rsid w:val="005A572A"/>
    <w:rsid w:val="005E5079"/>
    <w:rsid w:val="006104B1"/>
    <w:rsid w:val="00682F55"/>
    <w:rsid w:val="00686F4D"/>
    <w:rsid w:val="006C6AA9"/>
    <w:rsid w:val="00706039"/>
    <w:rsid w:val="00707604"/>
    <w:rsid w:val="00720E62"/>
    <w:rsid w:val="00721445"/>
    <w:rsid w:val="00761B67"/>
    <w:rsid w:val="00775A7E"/>
    <w:rsid w:val="007A6A7C"/>
    <w:rsid w:val="007B126A"/>
    <w:rsid w:val="007B1659"/>
    <w:rsid w:val="007E226D"/>
    <w:rsid w:val="007E71BE"/>
    <w:rsid w:val="00811BB9"/>
    <w:rsid w:val="0082328D"/>
    <w:rsid w:val="0085246D"/>
    <w:rsid w:val="00863F24"/>
    <w:rsid w:val="008832D3"/>
    <w:rsid w:val="008C2D78"/>
    <w:rsid w:val="008C3097"/>
    <w:rsid w:val="008D251B"/>
    <w:rsid w:val="00904936"/>
    <w:rsid w:val="00905A91"/>
    <w:rsid w:val="00957A49"/>
    <w:rsid w:val="00971C55"/>
    <w:rsid w:val="009800F3"/>
    <w:rsid w:val="0099656C"/>
    <w:rsid w:val="009A45A2"/>
    <w:rsid w:val="009B2B4C"/>
    <w:rsid w:val="00A22B96"/>
    <w:rsid w:val="00A51FD4"/>
    <w:rsid w:val="00B10558"/>
    <w:rsid w:val="00B335E1"/>
    <w:rsid w:val="00B43E98"/>
    <w:rsid w:val="00B52FBD"/>
    <w:rsid w:val="00B571AD"/>
    <w:rsid w:val="00B801FA"/>
    <w:rsid w:val="00BB5FB7"/>
    <w:rsid w:val="00BE12D2"/>
    <w:rsid w:val="00C43F9D"/>
    <w:rsid w:val="00C70988"/>
    <w:rsid w:val="00C915AB"/>
    <w:rsid w:val="00C91B48"/>
    <w:rsid w:val="00CD0576"/>
    <w:rsid w:val="00CD598F"/>
    <w:rsid w:val="00D4655B"/>
    <w:rsid w:val="00D55915"/>
    <w:rsid w:val="00D56953"/>
    <w:rsid w:val="00D578C8"/>
    <w:rsid w:val="00D66A7B"/>
    <w:rsid w:val="00D71A98"/>
    <w:rsid w:val="00DA1CEA"/>
    <w:rsid w:val="00DA64F2"/>
    <w:rsid w:val="00DA7F8A"/>
    <w:rsid w:val="00DC44C4"/>
    <w:rsid w:val="00DD105B"/>
    <w:rsid w:val="00DD6D62"/>
    <w:rsid w:val="00E30778"/>
    <w:rsid w:val="00E76A4B"/>
    <w:rsid w:val="00EE6C7E"/>
    <w:rsid w:val="00F22809"/>
    <w:rsid w:val="00F54F4F"/>
    <w:rsid w:val="00FE6D74"/>
    <w:rsid w:val="00FF1237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D935"/>
  <w15:docId w15:val="{6D591A7B-0C38-442D-B899-DC985A55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802"/>
  </w:style>
  <w:style w:type="paragraph" w:styleId="Titre1">
    <w:name w:val="heading 1"/>
    <w:basedOn w:val="Normal"/>
    <w:next w:val="Normal"/>
    <w:link w:val="Titre1Car"/>
    <w:uiPriority w:val="9"/>
    <w:qFormat/>
    <w:rsid w:val="00373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02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028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73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2B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524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4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143B-A0C6-4859-856D-20D6CDEB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Bouquegneau</dc:creator>
  <cp:lastModifiedBy>PDelanaye</cp:lastModifiedBy>
  <cp:revision>2</cp:revision>
  <cp:lastPrinted>2014-01-23T16:55:00Z</cp:lastPrinted>
  <dcterms:created xsi:type="dcterms:W3CDTF">2016-01-22T09:48:00Z</dcterms:created>
  <dcterms:modified xsi:type="dcterms:W3CDTF">2016-01-22T09:48:00Z</dcterms:modified>
</cp:coreProperties>
</file>