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74" w:rsidRDefault="005A5274" w:rsidP="00652613">
      <w:pPr>
        <w:jc w:val="both"/>
      </w:pPr>
      <w:bookmarkStart w:id="0" w:name="_GoBack"/>
      <w:bookmarkEnd w:id="0"/>
    </w:p>
    <w:p w:rsidR="005A5274" w:rsidRDefault="005A5274" w:rsidP="00652613">
      <w:pPr>
        <w:jc w:val="both"/>
      </w:pPr>
    </w:p>
    <w:p w:rsidR="005A5274" w:rsidRDefault="005A5274" w:rsidP="005A5274">
      <w:pPr>
        <w:widowControl w:val="0"/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Introduction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 Maladie Rénale Chronique (MRC) affecte environ 10 % des personnes vivants avec le VIH (PVVIH). De nombreux antirétroviraux (ARV) sont à adapter au débit de filtration glomérulaire (DFG) ou à éviter lorsque le DFG est en deçà de 70 ou 90 mL/min. L’HAS recommande le CKD-EPI pour le dépistage et le suivi de la maladie rénale. Cependant, la formule Cockcroft-Gault (CG) reste recommandée pour l’adaptation posologique. L’objectif de notre étude est d’évaluer la performance des estimateurs pour identifier les PVVIH dont le DFG est inférieur à 90 ml/min, et 70 ml/min.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Patients et Méthodes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Evaluation du biais, de la précision, de l’exactitude (valeurs estimées à +/- 30 % de la valeur mesurée) et des capacités de classification des eDFG (CG, CKD-EPI indexé et non indexé à la surface corporelle (SC) ) par rapport à une mesure du DFG par la clairance plasmatique au iohexol (DFGm) chez des PVVIH. 230 Patients (âge moyen 48 (±10) ans, ratio H/F 4,5/1, 212 (92 %) traités par ARV, 184 (84%) avec CV&lt;40 copies/mL) ont été inclus.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Résultats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Le DFG mesuré moyen est de 95±28 mL/min/1.73m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2"/>
          <w:szCs w:val="22"/>
        </w:rPr>
        <w:t>. Les biais moyens sont respectivement pour CG indexé à la SC, CKD-EPI 4 ± 26 et 5 ± 21 L/min/1.73m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2"/>
          <w:szCs w:val="22"/>
        </w:rPr>
        <w:t xml:space="preserve">. Le CKD-EPI est significativement plus exact que le CG (82 </w:t>
      </w:r>
      <w:r>
        <w:rPr>
          <w:rFonts w:ascii="Verdana" w:hAnsi="Verdana" w:cs="Verdana"/>
          <w:i/>
          <w:iCs/>
          <w:sz w:val="22"/>
          <w:szCs w:val="22"/>
        </w:rPr>
        <w:t>vs</w:t>
      </w:r>
      <w:r>
        <w:rPr>
          <w:rFonts w:ascii="Verdana" w:hAnsi="Verdana" w:cs="Verdana"/>
          <w:sz w:val="22"/>
          <w:szCs w:val="22"/>
        </w:rPr>
        <w:t xml:space="preserve"> 75 %). Pour une valeur de DFG inférieure à 90 ml/min/1,73m</w:t>
      </w:r>
      <w:r>
        <w:rPr>
          <w:rFonts w:ascii="Verdana" w:hAnsi="Verdana" w:cs="Verdana"/>
          <w:sz w:val="22"/>
          <w:szCs w:val="22"/>
          <w:vertAlign w:val="superscript"/>
        </w:rPr>
        <w:t xml:space="preserve">2 </w:t>
      </w:r>
      <w:r>
        <w:rPr>
          <w:rFonts w:ascii="Verdana" w:hAnsi="Verdana" w:cs="Verdana"/>
          <w:sz w:val="22"/>
          <w:szCs w:val="22"/>
        </w:rPr>
        <w:t>(n = 71), seulement 52 et 36 % des estimations étaient concordantes avec le DFGm respectivement pour CG indexé à la SC et CKD-EPI. Pour une valeur de DFG&lt;70 ml/min/1,73m</w:t>
      </w:r>
      <w:r>
        <w:rPr>
          <w:rFonts w:ascii="Verdana" w:hAnsi="Verdana" w:cs="Verdana"/>
          <w:sz w:val="22"/>
          <w:szCs w:val="22"/>
          <w:vertAlign w:val="superscript"/>
        </w:rPr>
        <w:t xml:space="preserve">2 </w:t>
      </w:r>
      <w:r>
        <w:rPr>
          <w:rFonts w:ascii="Verdana" w:hAnsi="Verdana" w:cs="Verdana"/>
          <w:sz w:val="22"/>
          <w:szCs w:val="22"/>
        </w:rPr>
        <w:t>(n = 27), seulement 30 et 22 % des estimations du DFG étaient concordantes avec le DFGm. La concordance entre le CG et le DFGm est meilleure sans indexation à la SC, de 58 et 43 % à respectivement 90 et 70 mL/min.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Default="005A5274" w:rsidP="005A5274">
      <w:pPr>
        <w:widowControl w:val="0"/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Discussion et Conclusion</w:t>
      </w:r>
    </w:p>
    <w:p w:rsidR="005A5274" w:rsidRDefault="005A5274" w:rsidP="005A5274">
      <w:pPr>
        <w:widowControl w:val="0"/>
        <w:autoSpaceDE w:val="0"/>
        <w:autoSpaceDN w:val="0"/>
        <w:adjustRightInd w:val="0"/>
        <w:spacing w:after="100"/>
        <w:jc w:val="both"/>
        <w:rPr>
          <w:rFonts w:ascii="Verdana" w:hAnsi="Verdana" w:cs="Verdana"/>
          <w:sz w:val="22"/>
          <w:szCs w:val="22"/>
        </w:rPr>
      </w:pPr>
    </w:p>
    <w:p w:rsidR="005A5274" w:rsidRPr="009405FB" w:rsidRDefault="005A5274" w:rsidP="005A5274">
      <w:pPr>
        <w:jc w:val="both"/>
      </w:pPr>
      <w:r>
        <w:rPr>
          <w:rFonts w:ascii="Verdana" w:hAnsi="Verdana" w:cs="Verdana"/>
          <w:sz w:val="22"/>
          <w:szCs w:val="22"/>
        </w:rPr>
        <w:t>Malgré une meilleure estimation du DFGm avec CKD-EPI que le CG, le CKD-EPI ne permet pas de mieux identifier les patients dont le DFG est inférieur à 90 et 70 mL/min/1,73m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2"/>
          <w:szCs w:val="22"/>
        </w:rPr>
        <w:t>, avec comme impact une prescription inadaptée des ARV, potentiellement associé à une risque accru de toxicité.</w:t>
      </w:r>
    </w:p>
    <w:p w:rsidR="009405FB" w:rsidRPr="009405FB" w:rsidRDefault="009405FB" w:rsidP="00652613">
      <w:pPr>
        <w:jc w:val="both"/>
      </w:pPr>
    </w:p>
    <w:p w:rsidR="00D36D3E" w:rsidRPr="00FB5479" w:rsidRDefault="00D36D3E" w:rsidP="00652613">
      <w:pPr>
        <w:jc w:val="both"/>
      </w:pPr>
    </w:p>
    <w:p w:rsidR="00D36D3E" w:rsidRDefault="00D36D3E" w:rsidP="00652613">
      <w:pPr>
        <w:jc w:val="both"/>
      </w:pPr>
    </w:p>
    <w:p w:rsidR="00652613" w:rsidRDefault="00652613" w:rsidP="00652613"/>
    <w:p w:rsidR="00652613" w:rsidRDefault="00652613" w:rsidP="00652613"/>
    <w:sectPr w:rsidR="00652613" w:rsidSect="002114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8FE"/>
    <w:multiLevelType w:val="hybridMultilevel"/>
    <w:tmpl w:val="5942ADAC"/>
    <w:lvl w:ilvl="0" w:tplc="41EC4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682D70"/>
    <w:multiLevelType w:val="hybridMultilevel"/>
    <w:tmpl w:val="F6EA33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compat>
    <w:useFELayout/>
  </w:compat>
  <w:rsids>
    <w:rsidRoot w:val="00652613"/>
    <w:rsid w:val="000C7A22"/>
    <w:rsid w:val="0011318D"/>
    <w:rsid w:val="0019262E"/>
    <w:rsid w:val="00211456"/>
    <w:rsid w:val="00224500"/>
    <w:rsid w:val="003B395E"/>
    <w:rsid w:val="003C05DA"/>
    <w:rsid w:val="004B0CCD"/>
    <w:rsid w:val="004D17D3"/>
    <w:rsid w:val="0056759F"/>
    <w:rsid w:val="00583D61"/>
    <w:rsid w:val="005A5274"/>
    <w:rsid w:val="005E31EF"/>
    <w:rsid w:val="005E4DED"/>
    <w:rsid w:val="00650824"/>
    <w:rsid w:val="00652613"/>
    <w:rsid w:val="006B5E84"/>
    <w:rsid w:val="007D0984"/>
    <w:rsid w:val="008A0447"/>
    <w:rsid w:val="009302C5"/>
    <w:rsid w:val="009405FB"/>
    <w:rsid w:val="00A85B7A"/>
    <w:rsid w:val="00B53A47"/>
    <w:rsid w:val="00CC0406"/>
    <w:rsid w:val="00D272AF"/>
    <w:rsid w:val="00D36D3E"/>
    <w:rsid w:val="00D64630"/>
    <w:rsid w:val="00EF3F83"/>
    <w:rsid w:val="00FB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26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3F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F8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85B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B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B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B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B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26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3F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F83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A85B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B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B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B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B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Gagneux-Brunon</dc:creator>
  <cp:lastModifiedBy>pdelanaye</cp:lastModifiedBy>
  <cp:revision>2</cp:revision>
  <dcterms:created xsi:type="dcterms:W3CDTF">2014-04-24T15:21:00Z</dcterms:created>
  <dcterms:modified xsi:type="dcterms:W3CDTF">2014-04-24T15:21:00Z</dcterms:modified>
</cp:coreProperties>
</file>