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04" w:rsidRPr="00047FDF" w:rsidRDefault="00BE2F27" w:rsidP="009B0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47FDF">
        <w:rPr>
          <w:rFonts w:ascii="Times New Roman" w:hAnsi="Times New Roman" w:cs="Times New Roman"/>
          <w:sz w:val="24"/>
          <w:szCs w:val="24"/>
        </w:rPr>
        <w:t>Estimation du DFG et adaptation posologique : la formule de Cockcroft-Gault et l’équation CKD-EPI désindexée sont-elles interchangeables ?</w:t>
      </w:r>
    </w:p>
    <w:p w:rsidR="002A05E7" w:rsidRDefault="002A05E7" w:rsidP="009B0F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05E7" w:rsidRPr="00C4037F" w:rsidRDefault="00857C8A" w:rsidP="009B0F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37F">
        <w:rPr>
          <w:rFonts w:ascii="Times New Roman" w:hAnsi="Times New Roman" w:cs="Times New Roman"/>
          <w:b/>
          <w:sz w:val="24"/>
          <w:szCs w:val="24"/>
        </w:rPr>
        <w:t>Christophe Mariat</w:t>
      </w:r>
      <w:r w:rsidR="00CD4B24" w:rsidRPr="00C4037F">
        <w:rPr>
          <w:rFonts w:ascii="Times New Roman" w:hAnsi="Times New Roman" w:cs="Times New Roman"/>
          <w:b/>
          <w:sz w:val="24"/>
          <w:szCs w:val="24"/>
        </w:rPr>
        <w:t xml:space="preserve"> (Université Jean Monnet Saint Etienne),</w:t>
      </w:r>
      <w:r w:rsidRPr="00C40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504" w:rsidRPr="00C4037F">
        <w:rPr>
          <w:rFonts w:ascii="Times New Roman" w:hAnsi="Times New Roman" w:cs="Times New Roman"/>
          <w:b/>
          <w:sz w:val="24"/>
          <w:szCs w:val="24"/>
        </w:rPr>
        <w:t>Fabrice Guerber</w:t>
      </w:r>
      <w:r w:rsidR="006552C9" w:rsidRPr="00C4037F">
        <w:rPr>
          <w:rFonts w:ascii="Times New Roman" w:hAnsi="Times New Roman" w:cs="Times New Roman"/>
          <w:b/>
          <w:sz w:val="24"/>
          <w:szCs w:val="24"/>
        </w:rPr>
        <w:t xml:space="preserve"> (laboratoire ORIADE, Vizille</w:t>
      </w:r>
      <w:r w:rsidR="00245B85" w:rsidRPr="00C4037F">
        <w:rPr>
          <w:rFonts w:ascii="Times New Roman" w:hAnsi="Times New Roman" w:cs="Times New Roman"/>
          <w:b/>
          <w:sz w:val="24"/>
          <w:szCs w:val="24"/>
        </w:rPr>
        <w:t>)</w:t>
      </w:r>
      <w:r w:rsidR="000C1504" w:rsidRPr="00C4037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552C9" w:rsidRPr="00C4037F">
        <w:rPr>
          <w:rFonts w:ascii="Times New Roman" w:hAnsi="Times New Roman" w:cs="Times New Roman"/>
          <w:b/>
          <w:sz w:val="24"/>
          <w:szCs w:val="24"/>
        </w:rPr>
        <w:t>Dora Guergour</w:t>
      </w:r>
      <w:r w:rsidR="00245B85" w:rsidRPr="00C4037F">
        <w:rPr>
          <w:rFonts w:ascii="Times New Roman" w:hAnsi="Times New Roman" w:cs="Times New Roman"/>
          <w:b/>
          <w:sz w:val="24"/>
          <w:szCs w:val="24"/>
        </w:rPr>
        <w:t xml:space="preserve"> (Service de Biochimie, CHU de Grenoble)</w:t>
      </w:r>
      <w:r w:rsidR="006552C9" w:rsidRPr="00C4037F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2A05E7" w:rsidRPr="00C4037F">
        <w:rPr>
          <w:rFonts w:ascii="Times New Roman" w:hAnsi="Times New Roman" w:cs="Times New Roman"/>
          <w:b/>
          <w:sz w:val="24"/>
          <w:szCs w:val="24"/>
        </w:rPr>
        <w:t>Hans Pottel</w:t>
      </w:r>
      <w:r w:rsidR="00CD4B24" w:rsidRPr="00C4037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4037F" w:rsidRPr="00C4037F">
        <w:rPr>
          <w:rFonts w:ascii="Times New Roman" w:eastAsia="Arial Unicode MS" w:hAnsi="Times New Roman" w:cs="Times New Roman"/>
          <w:b/>
          <w:sz w:val="24"/>
          <w:szCs w:val="24"/>
        </w:rPr>
        <w:t>Interdisciplinary Research Center, University of Leuven, Kulak, Kortrijk, Belgium</w:t>
      </w:r>
      <w:r w:rsidR="00CD4B24" w:rsidRPr="00C4037F">
        <w:rPr>
          <w:rFonts w:ascii="Times New Roman" w:hAnsi="Times New Roman" w:cs="Times New Roman"/>
          <w:b/>
          <w:sz w:val="24"/>
          <w:szCs w:val="24"/>
        </w:rPr>
        <w:t>)</w:t>
      </w:r>
      <w:r w:rsidR="00BE2F27" w:rsidRPr="00C4037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037F">
        <w:rPr>
          <w:rFonts w:ascii="Times New Roman" w:hAnsi="Times New Roman" w:cs="Times New Roman"/>
          <w:b/>
          <w:sz w:val="24"/>
          <w:szCs w:val="24"/>
        </w:rPr>
        <w:t>Pierre Delanaye,</w:t>
      </w:r>
    </w:p>
    <w:p w:rsidR="000A7B97" w:rsidRDefault="000A7B97" w:rsidP="009B0F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7B97" w:rsidRPr="006552C9" w:rsidRDefault="000A7B97" w:rsidP="009B0F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Introduction</w:t>
      </w:r>
      <w:r w:rsidR="006552C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E2F27">
        <w:rPr>
          <w:rFonts w:ascii="Times New Roman" w:hAnsi="Times New Roman" w:cs="Times New Roman"/>
          <w:sz w:val="24"/>
          <w:szCs w:val="24"/>
        </w:rPr>
        <w:t>Les recommandations K/DIGO suggèrent l’utilisation de l’équation CKD-EPI désindexée</w:t>
      </w:r>
      <w:r w:rsidR="000C6C1C">
        <w:rPr>
          <w:rFonts w:ascii="Times New Roman" w:hAnsi="Times New Roman" w:cs="Times New Roman"/>
          <w:sz w:val="24"/>
          <w:szCs w:val="24"/>
        </w:rPr>
        <w:t xml:space="preserve"> (CKD-EPI</w:t>
      </w:r>
      <w:r w:rsidR="000C6C1C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0C6C1C">
        <w:rPr>
          <w:rFonts w:ascii="Times New Roman" w:hAnsi="Times New Roman" w:cs="Times New Roman"/>
          <w:sz w:val="24"/>
          <w:szCs w:val="24"/>
        </w:rPr>
        <w:t xml:space="preserve">) </w:t>
      </w:r>
      <w:r w:rsidR="00BE2F27">
        <w:rPr>
          <w:rFonts w:ascii="Times New Roman" w:hAnsi="Times New Roman" w:cs="Times New Roman"/>
          <w:sz w:val="24"/>
          <w:szCs w:val="24"/>
        </w:rPr>
        <w:t>(reformul</w:t>
      </w:r>
      <w:r w:rsidR="006552C9">
        <w:rPr>
          <w:rFonts w:ascii="Times New Roman" w:hAnsi="Times New Roman" w:cs="Times New Roman"/>
          <w:sz w:val="24"/>
          <w:szCs w:val="24"/>
        </w:rPr>
        <w:t xml:space="preserve">ée </w:t>
      </w:r>
      <w:r w:rsidR="00BE2F27">
        <w:rPr>
          <w:rFonts w:ascii="Times New Roman" w:hAnsi="Times New Roman" w:cs="Times New Roman"/>
          <w:sz w:val="24"/>
          <w:szCs w:val="24"/>
        </w:rPr>
        <w:t xml:space="preserve">en fonction de la surface corporelle de l’individu) </w:t>
      </w:r>
      <w:r w:rsidR="006552C9">
        <w:rPr>
          <w:rFonts w:ascii="Times New Roman" w:hAnsi="Times New Roman" w:cs="Times New Roman"/>
          <w:sz w:val="24"/>
          <w:szCs w:val="24"/>
        </w:rPr>
        <w:t xml:space="preserve">pour ajuster </w:t>
      </w:r>
      <w:r w:rsidR="00BE2F27">
        <w:rPr>
          <w:rFonts w:ascii="Times New Roman" w:hAnsi="Times New Roman" w:cs="Times New Roman"/>
          <w:sz w:val="24"/>
          <w:szCs w:val="24"/>
        </w:rPr>
        <w:t>les posologies des médicaments</w:t>
      </w:r>
      <w:r w:rsidR="000C1504">
        <w:rPr>
          <w:rFonts w:ascii="Times New Roman" w:hAnsi="Times New Roman" w:cs="Times New Roman"/>
          <w:sz w:val="24"/>
          <w:szCs w:val="24"/>
        </w:rPr>
        <w:t xml:space="preserve"> à élimination rénale</w:t>
      </w:r>
      <w:r w:rsidR="001778B5">
        <w:rPr>
          <w:rFonts w:ascii="Times New Roman" w:hAnsi="Times New Roman" w:cs="Times New Roman"/>
          <w:sz w:val="24"/>
          <w:szCs w:val="24"/>
        </w:rPr>
        <w:t xml:space="preserve"> alors que</w:t>
      </w:r>
      <w:r w:rsidR="000C1504">
        <w:rPr>
          <w:rFonts w:ascii="Times New Roman" w:hAnsi="Times New Roman" w:cs="Times New Roman"/>
          <w:sz w:val="24"/>
          <w:szCs w:val="24"/>
        </w:rPr>
        <w:t xml:space="preserve"> les instances françaises (HAS et CNAM) recommandent d’utiliser la formule de Cockcroft-Gault</w:t>
      </w:r>
      <w:r w:rsidR="00B44A21">
        <w:rPr>
          <w:rFonts w:ascii="Times New Roman" w:hAnsi="Times New Roman" w:cs="Times New Roman"/>
          <w:sz w:val="24"/>
          <w:szCs w:val="24"/>
        </w:rPr>
        <w:t xml:space="preserve"> (C-G)</w:t>
      </w:r>
      <w:r w:rsidR="000C1504">
        <w:rPr>
          <w:rFonts w:ascii="Times New Roman" w:hAnsi="Times New Roman" w:cs="Times New Roman"/>
          <w:sz w:val="24"/>
          <w:szCs w:val="24"/>
        </w:rPr>
        <w:t xml:space="preserve">. </w:t>
      </w:r>
      <w:r w:rsidR="0020584A">
        <w:rPr>
          <w:rFonts w:ascii="Times New Roman" w:hAnsi="Times New Roman" w:cs="Times New Roman"/>
          <w:sz w:val="24"/>
          <w:szCs w:val="24"/>
        </w:rPr>
        <w:t xml:space="preserve">Nous avons </w:t>
      </w:r>
      <w:r w:rsidR="0010289F">
        <w:rPr>
          <w:rFonts w:ascii="Times New Roman" w:hAnsi="Times New Roman" w:cs="Times New Roman"/>
          <w:sz w:val="24"/>
          <w:szCs w:val="24"/>
        </w:rPr>
        <w:t xml:space="preserve">(1) comparé les facteurs influençant l’estimation du DFG donné par ces 2 estimateurs et </w:t>
      </w:r>
      <w:r w:rsidR="00CB4B1E">
        <w:rPr>
          <w:rFonts w:ascii="Times New Roman" w:hAnsi="Times New Roman" w:cs="Times New Roman"/>
          <w:sz w:val="24"/>
          <w:szCs w:val="24"/>
        </w:rPr>
        <w:t>(</w:t>
      </w:r>
      <w:r w:rsidR="0010289F">
        <w:rPr>
          <w:rFonts w:ascii="Times New Roman" w:hAnsi="Times New Roman" w:cs="Times New Roman"/>
          <w:sz w:val="24"/>
          <w:szCs w:val="24"/>
        </w:rPr>
        <w:t>2</w:t>
      </w:r>
      <w:r w:rsidR="00CB4B1E">
        <w:rPr>
          <w:rFonts w:ascii="Times New Roman" w:hAnsi="Times New Roman" w:cs="Times New Roman"/>
          <w:sz w:val="24"/>
          <w:szCs w:val="24"/>
        </w:rPr>
        <w:t xml:space="preserve">) </w:t>
      </w:r>
      <w:r w:rsidR="0010289F">
        <w:rPr>
          <w:rFonts w:ascii="Times New Roman" w:hAnsi="Times New Roman" w:cs="Times New Roman"/>
          <w:sz w:val="24"/>
          <w:szCs w:val="24"/>
        </w:rPr>
        <w:t xml:space="preserve">étudié si </w:t>
      </w:r>
      <w:r w:rsidR="00CB4B1E">
        <w:rPr>
          <w:rFonts w:ascii="Times New Roman" w:hAnsi="Times New Roman" w:cs="Times New Roman"/>
          <w:sz w:val="24"/>
          <w:szCs w:val="24"/>
        </w:rPr>
        <w:t>l’utilisation en pratique clinique de l’un ou l’autre de ces estimateurs conduisait à</w:t>
      </w:r>
      <w:r w:rsidR="00927FD2">
        <w:rPr>
          <w:rFonts w:ascii="Times New Roman" w:hAnsi="Times New Roman" w:cs="Times New Roman"/>
          <w:sz w:val="24"/>
          <w:szCs w:val="24"/>
        </w:rPr>
        <w:t xml:space="preserve"> des recommandations similaires d’adaptation </w:t>
      </w:r>
      <w:r w:rsidR="00855A5F">
        <w:rPr>
          <w:rFonts w:ascii="Times New Roman" w:hAnsi="Times New Roman" w:cs="Times New Roman"/>
          <w:sz w:val="24"/>
          <w:szCs w:val="24"/>
        </w:rPr>
        <w:t>du dabigatran</w:t>
      </w:r>
      <w:r w:rsidR="000C6C1C">
        <w:rPr>
          <w:rFonts w:ascii="Times New Roman" w:hAnsi="Times New Roman" w:cs="Times New Roman"/>
          <w:sz w:val="24"/>
          <w:szCs w:val="24"/>
        </w:rPr>
        <w:t xml:space="preserve"> (demi-dose si DFG&lt;30 ml/min, contre-indication si DFG&lt;15 ml/min)</w:t>
      </w:r>
      <w:r w:rsidR="00927FD2">
        <w:rPr>
          <w:rFonts w:ascii="Times New Roman" w:hAnsi="Times New Roman" w:cs="Times New Roman"/>
          <w:sz w:val="24"/>
          <w:szCs w:val="24"/>
        </w:rPr>
        <w:t>.</w:t>
      </w:r>
    </w:p>
    <w:p w:rsidR="000A7B97" w:rsidRPr="006552C9" w:rsidRDefault="000A7B97" w:rsidP="009B0F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Méthodologie</w:t>
      </w:r>
      <w:r w:rsidR="006552C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778B5">
        <w:rPr>
          <w:rFonts w:ascii="Times New Roman" w:hAnsi="Times New Roman" w:cs="Times New Roman"/>
          <w:sz w:val="24"/>
          <w:szCs w:val="24"/>
        </w:rPr>
        <w:t>N</w:t>
      </w:r>
      <w:r w:rsidR="00D854E4">
        <w:rPr>
          <w:rFonts w:ascii="Times New Roman" w:hAnsi="Times New Roman" w:cs="Times New Roman"/>
          <w:sz w:val="24"/>
          <w:szCs w:val="24"/>
        </w:rPr>
        <w:t>ous avons</w:t>
      </w:r>
      <w:r w:rsidR="0010289F">
        <w:rPr>
          <w:rFonts w:ascii="Times New Roman" w:hAnsi="Times New Roman" w:cs="Times New Roman"/>
          <w:sz w:val="24"/>
          <w:szCs w:val="24"/>
        </w:rPr>
        <w:t xml:space="preserve"> modélisé l’estimation du DFG </w:t>
      </w:r>
      <w:r w:rsidR="000C6C1C">
        <w:rPr>
          <w:rFonts w:ascii="Times New Roman" w:hAnsi="Times New Roman" w:cs="Times New Roman"/>
          <w:sz w:val="24"/>
          <w:szCs w:val="24"/>
        </w:rPr>
        <w:t xml:space="preserve">donnée par </w:t>
      </w:r>
      <w:r w:rsidR="001778B5">
        <w:rPr>
          <w:rFonts w:ascii="Times New Roman" w:hAnsi="Times New Roman" w:cs="Times New Roman"/>
          <w:sz w:val="24"/>
          <w:szCs w:val="24"/>
        </w:rPr>
        <w:t xml:space="preserve">C-G et </w:t>
      </w:r>
      <w:r w:rsidR="000C6C1C">
        <w:rPr>
          <w:rFonts w:ascii="Times New Roman" w:hAnsi="Times New Roman" w:cs="Times New Roman"/>
          <w:sz w:val="24"/>
          <w:szCs w:val="24"/>
        </w:rPr>
        <w:t>CKD-EPI</w:t>
      </w:r>
      <w:r w:rsidR="000C6C1C">
        <w:rPr>
          <w:rFonts w:ascii="Times New Roman" w:hAnsi="Times New Roman" w:cs="Times New Roman"/>
          <w:sz w:val="24"/>
          <w:szCs w:val="24"/>
          <w:vertAlign w:val="superscript"/>
        </w:rPr>
        <w:t xml:space="preserve">D </w:t>
      </w:r>
      <w:r w:rsidR="0010289F">
        <w:rPr>
          <w:rFonts w:ascii="Times New Roman" w:hAnsi="Times New Roman" w:cs="Times New Roman"/>
          <w:sz w:val="24"/>
          <w:szCs w:val="24"/>
        </w:rPr>
        <w:t xml:space="preserve">à partir de </w:t>
      </w:r>
      <w:r>
        <w:rPr>
          <w:rFonts w:ascii="Times New Roman" w:hAnsi="Times New Roman" w:cs="Times New Roman"/>
          <w:sz w:val="24"/>
          <w:szCs w:val="24"/>
        </w:rPr>
        <w:t xml:space="preserve">1500 </w:t>
      </w:r>
      <w:r w:rsidR="0010289F">
        <w:rPr>
          <w:rFonts w:ascii="Times New Roman" w:hAnsi="Times New Roman" w:cs="Times New Roman"/>
          <w:sz w:val="24"/>
          <w:szCs w:val="24"/>
        </w:rPr>
        <w:t>simulations d’âge (entre 50 et 90 ans)</w:t>
      </w:r>
      <w:r w:rsidR="00927FD2">
        <w:rPr>
          <w:rFonts w:ascii="Times New Roman" w:hAnsi="Times New Roman" w:cs="Times New Roman"/>
          <w:sz w:val="24"/>
          <w:szCs w:val="24"/>
        </w:rPr>
        <w:t>, de poids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47E9">
        <w:rPr>
          <w:rFonts w:ascii="Times New Roman" w:hAnsi="Times New Roman" w:cs="Times New Roman"/>
          <w:sz w:val="24"/>
          <w:szCs w:val="24"/>
        </w:rPr>
        <w:t>(entre 50 et 125 kg)</w:t>
      </w:r>
      <w:r w:rsidR="00927FD2">
        <w:rPr>
          <w:rFonts w:ascii="Times New Roman" w:hAnsi="Times New Roman" w:cs="Times New Roman"/>
          <w:sz w:val="24"/>
          <w:szCs w:val="24"/>
        </w:rPr>
        <w:t>, de</w:t>
      </w:r>
      <w:r>
        <w:rPr>
          <w:rFonts w:ascii="Times New Roman" w:hAnsi="Times New Roman" w:cs="Times New Roman"/>
          <w:sz w:val="24"/>
          <w:szCs w:val="24"/>
        </w:rPr>
        <w:t xml:space="preserve"> taille</w:t>
      </w:r>
      <w:r w:rsidR="00BE47E9">
        <w:rPr>
          <w:rFonts w:ascii="Times New Roman" w:hAnsi="Times New Roman" w:cs="Times New Roman"/>
          <w:sz w:val="24"/>
          <w:szCs w:val="24"/>
        </w:rPr>
        <w:t xml:space="preserve"> (entre 140 et 190 cm)</w:t>
      </w:r>
      <w:r w:rsidR="00927FD2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 xml:space="preserve">sexe et </w:t>
      </w:r>
      <w:r w:rsidR="00927FD2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créatinine sérique</w:t>
      </w:r>
      <w:r w:rsidR="00BE47E9">
        <w:rPr>
          <w:rFonts w:ascii="Times New Roman" w:hAnsi="Times New Roman" w:cs="Times New Roman"/>
          <w:sz w:val="24"/>
          <w:szCs w:val="24"/>
        </w:rPr>
        <w:t xml:space="preserve"> (entre 0,5 et 3 mg/dL)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54E4">
        <w:rPr>
          <w:rFonts w:ascii="Times New Roman" w:hAnsi="Times New Roman" w:cs="Times New Roman"/>
          <w:sz w:val="24"/>
          <w:szCs w:val="24"/>
        </w:rPr>
        <w:t xml:space="preserve">Les conséquences en pratique  clinique de l’utilisation de l’un ou l’autre de ces estimateurs </w:t>
      </w:r>
      <w:r w:rsidR="001778B5">
        <w:rPr>
          <w:rFonts w:ascii="Times New Roman" w:hAnsi="Times New Roman" w:cs="Times New Roman"/>
          <w:sz w:val="24"/>
          <w:szCs w:val="24"/>
        </w:rPr>
        <w:t xml:space="preserve">pour l’adaptation du dabigatran </w:t>
      </w:r>
      <w:r w:rsidR="00D854E4">
        <w:rPr>
          <w:rFonts w:ascii="Times New Roman" w:hAnsi="Times New Roman" w:cs="Times New Roman"/>
          <w:sz w:val="24"/>
          <w:szCs w:val="24"/>
        </w:rPr>
        <w:t>ont été analysés à partir de 9535 dosages des créatinine sériques réalisés consécutivement dans un laboratoire de ville (n=8840) ou hospitalier (n=695).</w:t>
      </w:r>
    </w:p>
    <w:p w:rsidR="000A7B97" w:rsidRPr="006552C9" w:rsidRDefault="000A7B97" w:rsidP="009B0F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Résultats</w:t>
      </w:r>
      <w:r w:rsidR="006552C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6158">
        <w:rPr>
          <w:rFonts w:ascii="Times New Roman" w:hAnsi="Times New Roman" w:cs="Times New Roman"/>
          <w:sz w:val="24"/>
          <w:szCs w:val="24"/>
        </w:rPr>
        <w:t xml:space="preserve">L’âge, le poids et la créatininémie sont indépendamment </w:t>
      </w:r>
      <w:r w:rsidR="001778B5">
        <w:rPr>
          <w:rFonts w:ascii="Times New Roman" w:hAnsi="Times New Roman" w:cs="Times New Roman"/>
          <w:sz w:val="24"/>
          <w:szCs w:val="24"/>
        </w:rPr>
        <w:t>le plus fortement associé</w:t>
      </w:r>
      <w:r w:rsidR="003C6158">
        <w:rPr>
          <w:rFonts w:ascii="Times New Roman" w:hAnsi="Times New Roman" w:cs="Times New Roman"/>
          <w:sz w:val="24"/>
          <w:szCs w:val="24"/>
        </w:rPr>
        <w:t xml:space="preserve">s </w:t>
      </w:r>
      <w:r w:rsidR="001778B5">
        <w:rPr>
          <w:rFonts w:ascii="Times New Roman" w:hAnsi="Times New Roman" w:cs="Times New Roman"/>
          <w:sz w:val="24"/>
          <w:szCs w:val="24"/>
        </w:rPr>
        <w:t>à</w:t>
      </w:r>
      <w:r w:rsidR="003C6158">
        <w:rPr>
          <w:rFonts w:ascii="Times New Roman" w:hAnsi="Times New Roman" w:cs="Times New Roman"/>
          <w:sz w:val="24"/>
          <w:szCs w:val="24"/>
        </w:rPr>
        <w:t xml:space="preserve"> une divergence d’estimation </w:t>
      </w:r>
      <w:r w:rsidR="001778B5">
        <w:rPr>
          <w:rFonts w:ascii="Times New Roman" w:hAnsi="Times New Roman" w:cs="Times New Roman"/>
          <w:sz w:val="24"/>
          <w:szCs w:val="24"/>
        </w:rPr>
        <w:t>entre</w:t>
      </w:r>
      <w:r w:rsidR="000C6C1C">
        <w:rPr>
          <w:rFonts w:ascii="Times New Roman" w:hAnsi="Times New Roman" w:cs="Times New Roman"/>
          <w:sz w:val="24"/>
          <w:szCs w:val="24"/>
        </w:rPr>
        <w:t xml:space="preserve"> le C-G et CKD-EPI</w:t>
      </w:r>
      <w:r w:rsidR="000C6C1C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3C6158">
        <w:rPr>
          <w:rFonts w:ascii="Times New Roman" w:hAnsi="Times New Roman" w:cs="Times New Roman"/>
          <w:sz w:val="24"/>
          <w:szCs w:val="24"/>
        </w:rPr>
        <w:t>. En combinant c</w:t>
      </w:r>
      <w:r w:rsidR="00B44A21">
        <w:rPr>
          <w:rFonts w:ascii="Times New Roman" w:hAnsi="Times New Roman" w:cs="Times New Roman"/>
          <w:sz w:val="24"/>
          <w:szCs w:val="24"/>
        </w:rPr>
        <w:t xml:space="preserve">es 3 variables, le biais négatif de C-G par rapport au </w:t>
      </w:r>
      <w:r w:rsidR="000C6C1C">
        <w:rPr>
          <w:rFonts w:ascii="Times New Roman" w:hAnsi="Times New Roman" w:cs="Times New Roman"/>
          <w:sz w:val="24"/>
          <w:szCs w:val="24"/>
        </w:rPr>
        <w:t>CKD-EPI</w:t>
      </w:r>
      <w:r w:rsidR="000C6C1C">
        <w:rPr>
          <w:rFonts w:ascii="Times New Roman" w:hAnsi="Times New Roman" w:cs="Times New Roman"/>
          <w:sz w:val="24"/>
          <w:szCs w:val="24"/>
          <w:vertAlign w:val="superscript"/>
        </w:rPr>
        <w:t xml:space="preserve">D </w:t>
      </w:r>
      <w:r w:rsidR="00B44A21">
        <w:rPr>
          <w:rFonts w:ascii="Times New Roman" w:hAnsi="Times New Roman" w:cs="Times New Roman"/>
          <w:sz w:val="24"/>
          <w:szCs w:val="24"/>
        </w:rPr>
        <w:t xml:space="preserve">est maximum pour un âge </w:t>
      </w:r>
      <w:r w:rsidR="001778B5">
        <w:rPr>
          <w:rFonts w:ascii="Times New Roman" w:hAnsi="Times New Roman" w:cs="Times New Roman"/>
          <w:sz w:val="24"/>
          <w:szCs w:val="24"/>
        </w:rPr>
        <w:t>&gt;</w:t>
      </w:r>
      <w:r w:rsidR="00B44A21">
        <w:rPr>
          <w:rFonts w:ascii="Times New Roman" w:hAnsi="Times New Roman" w:cs="Times New Roman"/>
          <w:sz w:val="24"/>
          <w:szCs w:val="24"/>
        </w:rPr>
        <w:t xml:space="preserve"> 80 ans et un poids </w:t>
      </w:r>
      <w:r w:rsidR="001778B5">
        <w:rPr>
          <w:rFonts w:ascii="Times New Roman" w:hAnsi="Times New Roman" w:cs="Times New Roman"/>
          <w:sz w:val="24"/>
          <w:szCs w:val="24"/>
        </w:rPr>
        <w:t xml:space="preserve">&lt; </w:t>
      </w:r>
      <w:r w:rsidR="00B44A21">
        <w:rPr>
          <w:rFonts w:ascii="Times New Roman" w:hAnsi="Times New Roman" w:cs="Times New Roman"/>
          <w:sz w:val="24"/>
          <w:szCs w:val="24"/>
        </w:rPr>
        <w:t xml:space="preserve">60 kgs, et ce d’autant plus que la créatininémie est basse. A âge élevé et poids bas constants, la divergence d’estimation entre C-G et </w:t>
      </w:r>
      <w:r w:rsidR="000C6C1C">
        <w:rPr>
          <w:rFonts w:ascii="Times New Roman" w:hAnsi="Times New Roman" w:cs="Times New Roman"/>
          <w:sz w:val="24"/>
          <w:szCs w:val="24"/>
        </w:rPr>
        <w:t>CKD-EPI</w:t>
      </w:r>
      <w:r w:rsidR="000C6C1C">
        <w:rPr>
          <w:rFonts w:ascii="Times New Roman" w:hAnsi="Times New Roman" w:cs="Times New Roman"/>
          <w:sz w:val="24"/>
          <w:szCs w:val="24"/>
          <w:vertAlign w:val="superscript"/>
        </w:rPr>
        <w:t xml:space="preserve">D </w:t>
      </w:r>
      <w:r w:rsidR="00B44A21">
        <w:rPr>
          <w:rFonts w:ascii="Times New Roman" w:hAnsi="Times New Roman" w:cs="Times New Roman"/>
          <w:sz w:val="24"/>
          <w:szCs w:val="24"/>
        </w:rPr>
        <w:t xml:space="preserve">diminue avec l’augmentation de la créatinémie. </w:t>
      </w:r>
      <w:r w:rsidR="001778B5">
        <w:rPr>
          <w:rFonts w:ascii="Times New Roman" w:hAnsi="Times New Roman" w:cs="Times New Roman"/>
          <w:sz w:val="24"/>
          <w:szCs w:val="24"/>
        </w:rPr>
        <w:t>Sur les 9535 dosages de créatinémies analysés, C-G aurait conduit à une dim</w:t>
      </w:r>
      <w:r w:rsidR="006552C9">
        <w:rPr>
          <w:rFonts w:ascii="Times New Roman" w:hAnsi="Times New Roman" w:cs="Times New Roman"/>
          <w:sz w:val="24"/>
          <w:szCs w:val="24"/>
        </w:rPr>
        <w:t>in</w:t>
      </w:r>
      <w:r w:rsidR="001778B5">
        <w:rPr>
          <w:rFonts w:ascii="Times New Roman" w:hAnsi="Times New Roman" w:cs="Times New Roman"/>
          <w:sz w:val="24"/>
          <w:szCs w:val="24"/>
        </w:rPr>
        <w:t xml:space="preserve">ution des doses de dabigatran dans 12% des cas contre 18% pour </w:t>
      </w:r>
      <w:r w:rsidR="000C6C1C">
        <w:rPr>
          <w:rFonts w:ascii="Times New Roman" w:hAnsi="Times New Roman" w:cs="Times New Roman"/>
          <w:sz w:val="24"/>
          <w:szCs w:val="24"/>
        </w:rPr>
        <w:t>CKD-EPI</w:t>
      </w:r>
      <w:r w:rsidR="000C6C1C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0C6C1C">
        <w:rPr>
          <w:rFonts w:ascii="Times New Roman" w:hAnsi="Times New Roman" w:cs="Times New Roman"/>
          <w:sz w:val="24"/>
          <w:szCs w:val="24"/>
        </w:rPr>
        <w:t xml:space="preserve"> </w:t>
      </w:r>
      <w:r w:rsidR="001778B5">
        <w:rPr>
          <w:rFonts w:ascii="Times New Roman" w:hAnsi="Times New Roman" w:cs="Times New Roman"/>
          <w:sz w:val="24"/>
          <w:szCs w:val="24"/>
        </w:rPr>
        <w:t>(p&lt;0,05) et à une contre-indication dans 7% et 6% des cas respectivement (NS).</w:t>
      </w:r>
    </w:p>
    <w:p w:rsidR="000C6C1C" w:rsidRDefault="00266276" w:rsidP="009B0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Conclusions</w:t>
      </w:r>
      <w:r w:rsidR="006552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0F2D">
        <w:rPr>
          <w:rFonts w:ascii="Times New Roman" w:hAnsi="Times New Roman" w:cs="Times New Roman"/>
          <w:sz w:val="24"/>
          <w:szCs w:val="24"/>
        </w:rPr>
        <w:t>Nos résultats suggèrent qu’en</w:t>
      </w:r>
      <w:r w:rsidR="000C6C1C">
        <w:rPr>
          <w:rFonts w:ascii="Times New Roman" w:hAnsi="Times New Roman" w:cs="Times New Roman"/>
          <w:sz w:val="24"/>
          <w:szCs w:val="24"/>
        </w:rPr>
        <w:t xml:space="preserve"> population globale, C-G et CKD-EPI</w:t>
      </w:r>
      <w:r w:rsidR="000C6C1C">
        <w:rPr>
          <w:rFonts w:ascii="Times New Roman" w:hAnsi="Times New Roman" w:cs="Times New Roman"/>
          <w:sz w:val="24"/>
          <w:szCs w:val="24"/>
          <w:vertAlign w:val="superscript"/>
        </w:rPr>
        <w:t xml:space="preserve">D </w:t>
      </w:r>
      <w:r w:rsidR="006552C9">
        <w:rPr>
          <w:rFonts w:ascii="Times New Roman" w:hAnsi="Times New Roman" w:cs="Times New Roman"/>
          <w:sz w:val="24"/>
          <w:szCs w:val="24"/>
        </w:rPr>
        <w:t>aboutisse</w:t>
      </w:r>
      <w:r w:rsidR="000C6C1C">
        <w:rPr>
          <w:rFonts w:ascii="Times New Roman" w:hAnsi="Times New Roman" w:cs="Times New Roman"/>
          <w:sz w:val="24"/>
          <w:szCs w:val="24"/>
        </w:rPr>
        <w:t>nt à des recommandations thérapeutiques le plus souvent identique</w:t>
      </w:r>
      <w:r w:rsidR="009B0F2D">
        <w:rPr>
          <w:rFonts w:ascii="Times New Roman" w:hAnsi="Times New Roman" w:cs="Times New Roman"/>
          <w:sz w:val="24"/>
          <w:szCs w:val="24"/>
        </w:rPr>
        <w:t xml:space="preserve">s. </w:t>
      </w:r>
      <w:r w:rsidR="006552C9">
        <w:rPr>
          <w:rFonts w:ascii="Times New Roman" w:hAnsi="Times New Roman" w:cs="Times New Roman"/>
          <w:sz w:val="24"/>
          <w:szCs w:val="24"/>
        </w:rPr>
        <w:t xml:space="preserve">Pour certains profils de patients, ces 2 </w:t>
      </w:r>
      <w:r w:rsidR="009B0F2D">
        <w:rPr>
          <w:rFonts w:ascii="Times New Roman" w:hAnsi="Times New Roman" w:cs="Times New Roman"/>
          <w:sz w:val="24"/>
          <w:szCs w:val="24"/>
        </w:rPr>
        <w:t xml:space="preserve">estimateurs pourraient toutefois </w:t>
      </w:r>
      <w:r w:rsidR="006552C9">
        <w:rPr>
          <w:rFonts w:ascii="Times New Roman" w:hAnsi="Times New Roman" w:cs="Times New Roman"/>
          <w:sz w:val="24"/>
          <w:szCs w:val="24"/>
        </w:rPr>
        <w:t xml:space="preserve">fréquemment </w:t>
      </w:r>
      <w:r w:rsidR="009B0F2D">
        <w:rPr>
          <w:rFonts w:ascii="Times New Roman" w:hAnsi="Times New Roman" w:cs="Times New Roman"/>
          <w:sz w:val="24"/>
          <w:szCs w:val="24"/>
        </w:rPr>
        <w:t xml:space="preserve">conduire à des recommandations </w:t>
      </w:r>
      <w:r w:rsidR="006552C9">
        <w:rPr>
          <w:rFonts w:ascii="Times New Roman" w:hAnsi="Times New Roman" w:cs="Times New Roman"/>
          <w:sz w:val="24"/>
          <w:szCs w:val="24"/>
        </w:rPr>
        <w:t>contradictoires</w:t>
      </w:r>
      <w:r w:rsidR="009B0F2D">
        <w:rPr>
          <w:rFonts w:ascii="Times New Roman" w:hAnsi="Times New Roman" w:cs="Times New Roman"/>
          <w:sz w:val="24"/>
          <w:szCs w:val="24"/>
        </w:rPr>
        <w:t>, particulièrement en milieu gériatrique.</w:t>
      </w:r>
    </w:p>
    <w:p w:rsidR="00CE6DFC" w:rsidRDefault="00CE6DFC" w:rsidP="009B0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DFC" w:rsidRDefault="00CE6DFC" w:rsidP="009B0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DFC" w:rsidRDefault="00CE6DFC" w:rsidP="009B0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DFC" w:rsidRDefault="00CE6DFC" w:rsidP="009B0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DFC" w:rsidRDefault="00CE6DFC" w:rsidP="00CE6D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Simulation des différences entre Cockcroft et CKD-EPI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chez un sujet hypothétique de 80 ans, en fonction de la créatinine et du poids.</w:t>
      </w:r>
      <w:r w:rsidRPr="00CE6DFC">
        <w:rPr>
          <w:rFonts w:ascii="Times New Roman" w:hAnsi="Times New Roman" w:cs="Times New Roman"/>
          <w:b/>
          <w:bCs/>
          <w:sz w:val="24"/>
          <w:szCs w:val="24"/>
        </w:rPr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35pt;height:318.05pt" o:ole="">
            <v:imagedata r:id="rId5" o:title=""/>
          </v:shape>
          <o:OLEObject Type="Embed" ProgID="PowerPoint.Slide.12" ShapeID="_x0000_i1025" DrawAspect="Content" ObjectID="_1472364935" r:id="rId6"/>
        </w:object>
      </w:r>
    </w:p>
    <w:p w:rsidR="00CE6DFC" w:rsidRDefault="00CE6DFC" w:rsidP="00CE6D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6DFC" w:rsidRDefault="00CE6DFC" w:rsidP="00CE6D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6DFC" w:rsidRDefault="00CE6DFC" w:rsidP="00CE6D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6DFC" w:rsidRDefault="00CE6DFC" w:rsidP="00CE6D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Discordance hypothétique de prescription de dabigatran (n=9535)</w:t>
      </w:r>
    </w:p>
    <w:p w:rsidR="00CE6DFC" w:rsidRDefault="00CE6DFC" w:rsidP="00CE6D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2481"/>
        <w:gridCol w:w="2435"/>
        <w:gridCol w:w="2292"/>
        <w:gridCol w:w="2080"/>
      </w:tblGrid>
      <w:tr w:rsidR="00CE6DFC" w:rsidTr="00CE6DFC">
        <w:tc>
          <w:tcPr>
            <w:tcW w:w="2481" w:type="dxa"/>
          </w:tcPr>
          <w:p w:rsidR="00CE6DFC" w:rsidRDefault="00CE6DFC" w:rsidP="00CE6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CE6DFC" w:rsidRDefault="00CE6DFC" w:rsidP="00CE6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Cockcroft</w:t>
            </w:r>
          </w:p>
        </w:tc>
        <w:tc>
          <w:tcPr>
            <w:tcW w:w="2292" w:type="dxa"/>
          </w:tcPr>
          <w:p w:rsidR="00CE6DFC" w:rsidRPr="00CE6DFC" w:rsidRDefault="00CE6DFC" w:rsidP="00CE6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CKD-EPI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080" w:type="dxa"/>
          </w:tcPr>
          <w:p w:rsidR="00CE6DFC" w:rsidRDefault="00CE6DFC" w:rsidP="00CE6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CE6DFC" w:rsidTr="00CE6DFC">
        <w:tc>
          <w:tcPr>
            <w:tcW w:w="2481" w:type="dxa"/>
          </w:tcPr>
          <w:p w:rsidR="00CE6DFC" w:rsidRDefault="00CE6DFC" w:rsidP="00CE6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Adaptation de la dose</w:t>
            </w:r>
          </w:p>
        </w:tc>
        <w:tc>
          <w:tcPr>
            <w:tcW w:w="2435" w:type="dxa"/>
          </w:tcPr>
          <w:p w:rsidR="00CE6DFC" w:rsidRDefault="00CE6DFC" w:rsidP="00CE6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12%</w:t>
            </w:r>
          </w:p>
        </w:tc>
        <w:tc>
          <w:tcPr>
            <w:tcW w:w="2292" w:type="dxa"/>
          </w:tcPr>
          <w:p w:rsidR="00CE6DFC" w:rsidRDefault="00CE6DFC" w:rsidP="00CE6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18%</w:t>
            </w:r>
          </w:p>
        </w:tc>
        <w:tc>
          <w:tcPr>
            <w:tcW w:w="2080" w:type="dxa"/>
          </w:tcPr>
          <w:p w:rsidR="00CE6DFC" w:rsidRDefault="00CE6DFC" w:rsidP="00CE6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&lt;0,05</w:t>
            </w:r>
          </w:p>
        </w:tc>
      </w:tr>
      <w:tr w:rsidR="00CE6DFC" w:rsidTr="00CE6DFC">
        <w:tc>
          <w:tcPr>
            <w:tcW w:w="2481" w:type="dxa"/>
          </w:tcPr>
          <w:p w:rsidR="00CE6DFC" w:rsidRDefault="00CE6DFC" w:rsidP="00CE6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Contre-indication</w:t>
            </w:r>
          </w:p>
        </w:tc>
        <w:tc>
          <w:tcPr>
            <w:tcW w:w="2435" w:type="dxa"/>
          </w:tcPr>
          <w:p w:rsidR="00CE6DFC" w:rsidRDefault="00CE6DFC" w:rsidP="00CE6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7%</w:t>
            </w:r>
          </w:p>
        </w:tc>
        <w:tc>
          <w:tcPr>
            <w:tcW w:w="2292" w:type="dxa"/>
          </w:tcPr>
          <w:p w:rsidR="00CE6DFC" w:rsidRDefault="00CE6DFC" w:rsidP="00CE6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6%</w:t>
            </w:r>
          </w:p>
        </w:tc>
        <w:tc>
          <w:tcPr>
            <w:tcW w:w="2080" w:type="dxa"/>
          </w:tcPr>
          <w:p w:rsidR="00CE6DFC" w:rsidRDefault="00CE6DFC" w:rsidP="00CE6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&gt;0,05</w:t>
            </w:r>
          </w:p>
        </w:tc>
      </w:tr>
    </w:tbl>
    <w:p w:rsidR="00CE6DFC" w:rsidRPr="006552C9" w:rsidRDefault="00CE6DFC" w:rsidP="00CE6D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E6DFC" w:rsidRPr="006552C9" w:rsidSect="00C7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A0784"/>
    <w:multiLevelType w:val="hybridMultilevel"/>
    <w:tmpl w:val="9C40AA7E"/>
    <w:lvl w:ilvl="0" w:tplc="47D4098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0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2A05E7"/>
    <w:rsid w:val="00047FDF"/>
    <w:rsid w:val="000A7B97"/>
    <w:rsid w:val="000C1504"/>
    <w:rsid w:val="000C6C1C"/>
    <w:rsid w:val="0010289F"/>
    <w:rsid w:val="001778B5"/>
    <w:rsid w:val="0020584A"/>
    <w:rsid w:val="00245B85"/>
    <w:rsid w:val="00252EE6"/>
    <w:rsid w:val="00266276"/>
    <w:rsid w:val="002A05E7"/>
    <w:rsid w:val="0035752B"/>
    <w:rsid w:val="003C6158"/>
    <w:rsid w:val="00437D26"/>
    <w:rsid w:val="00623D71"/>
    <w:rsid w:val="006552C9"/>
    <w:rsid w:val="00665869"/>
    <w:rsid w:val="00855A5F"/>
    <w:rsid w:val="00857C8A"/>
    <w:rsid w:val="00882804"/>
    <w:rsid w:val="00927FD2"/>
    <w:rsid w:val="009B0F2D"/>
    <w:rsid w:val="009D0506"/>
    <w:rsid w:val="00B44A21"/>
    <w:rsid w:val="00BC7D5C"/>
    <w:rsid w:val="00BE2F27"/>
    <w:rsid w:val="00BE47E9"/>
    <w:rsid w:val="00C4037F"/>
    <w:rsid w:val="00C76E04"/>
    <w:rsid w:val="00CB4B1E"/>
    <w:rsid w:val="00CD4B24"/>
    <w:rsid w:val="00CE6DFC"/>
    <w:rsid w:val="00D854E4"/>
    <w:rsid w:val="00F9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E0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6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E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iapositive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pdelanaye</dc:creator>
  <cp:lastModifiedBy>pdelanaye</cp:lastModifiedBy>
  <cp:revision>5</cp:revision>
  <dcterms:created xsi:type="dcterms:W3CDTF">2014-09-16T07:18:00Z</dcterms:created>
  <dcterms:modified xsi:type="dcterms:W3CDTF">2014-09-16T07:29:00Z</dcterms:modified>
</cp:coreProperties>
</file>