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6C" w:rsidRDefault="00CA3C6C" w:rsidP="0027401A">
      <w:pPr>
        <w:pStyle w:val="Titre1"/>
        <w:spacing w:line="360" w:lineRule="auto"/>
      </w:pPr>
      <w:r>
        <w:t>Apports des techniques électrophysiologiques</w:t>
      </w:r>
      <w:r w:rsidR="00D176D5">
        <w:t xml:space="preserve"> à la médecine d’expertise</w:t>
      </w:r>
    </w:p>
    <w:p w:rsidR="00CA3C6C" w:rsidRDefault="00CA3C6C" w:rsidP="0027401A">
      <w:pPr>
        <w:spacing w:line="360" w:lineRule="auto"/>
      </w:pPr>
      <w:r>
        <w:t>François Charles WANG</w:t>
      </w:r>
    </w:p>
    <w:p w:rsidR="00CA3C6C" w:rsidRDefault="00CA3C6C" w:rsidP="0027401A">
      <w:pPr>
        <w:spacing w:line="360" w:lineRule="auto"/>
      </w:pPr>
      <w:r>
        <w:t xml:space="preserve">Département de neurophysiologie, CHU Sart </w:t>
      </w:r>
      <w:proofErr w:type="spellStart"/>
      <w:r>
        <w:t>Tilman</w:t>
      </w:r>
      <w:proofErr w:type="spellEnd"/>
      <w:r>
        <w:t xml:space="preserve"> B35, B-4000 Liège</w:t>
      </w:r>
    </w:p>
    <w:p w:rsidR="00CA3C6C" w:rsidRDefault="00CA3C6C" w:rsidP="0027401A">
      <w:pPr>
        <w:spacing w:line="360" w:lineRule="auto"/>
      </w:pPr>
      <w:r>
        <w:t xml:space="preserve">Email : </w:t>
      </w:r>
      <w:hyperlink r:id="rId5" w:history="1">
        <w:proofErr w:type="spellStart"/>
        <w:r w:rsidRPr="001F7FBC">
          <w:rPr>
            <w:rStyle w:val="Lienhypertexte"/>
          </w:rPr>
          <w:t>fc.wang@chu.ulg.ac.be</w:t>
        </w:r>
        <w:proofErr w:type="spellEnd"/>
      </w:hyperlink>
    </w:p>
    <w:p w:rsidR="005D63D0" w:rsidRDefault="002953EE" w:rsidP="005D63D0">
      <w:pPr>
        <w:pStyle w:val="Titre1"/>
        <w:spacing w:line="360" w:lineRule="auto"/>
      </w:pPr>
      <w:r>
        <w:br w:type="page"/>
        <w:t>Apports des techniques électrophysiologiques à la médecine d’expertise</w:t>
      </w:r>
    </w:p>
    <w:p w:rsidR="005D63D0" w:rsidRDefault="005D63D0" w:rsidP="005D63D0">
      <w:pPr>
        <w:pStyle w:val="Titre2"/>
        <w:spacing w:line="360" w:lineRule="auto"/>
      </w:pPr>
      <w:r>
        <w:t>Résumé</w:t>
      </w:r>
    </w:p>
    <w:p w:rsidR="00927DCA" w:rsidRDefault="00002E2F" w:rsidP="003B30E7">
      <w:pPr>
        <w:spacing w:line="360" w:lineRule="auto"/>
      </w:pPr>
      <w:r w:rsidRPr="003B30E7">
        <w:t>L’électrophysiologie est un domaine de la médecine qui explore le fonctionnement du système nerveux central et périphérique. L’électroneuromyographie (ENMG) est dédiée au système nerveux périphérique (SNP). Les buts de l’ENMG, dans le domaine de l’expertise et du dommage corporel, sont d’objectiver l’atteinte du SNP, de la quantifier, de la comparer à un éventuel état antérieur et, dans certains cas, d’imputer cette lésion à un traumatisme. Dans les suites d’une compression chronique</w:t>
      </w:r>
      <w:r w:rsidR="00EA7B13" w:rsidRPr="003B30E7">
        <w:t xml:space="preserve"> ou d’un traumatisme aigu, il existe trois degré d’atteinte du SNP, du simple ralentissement focal de la conduction nerveuse (degré 1) à la perte axonale motrice (degré 3) en passant par la perte axonale sensitive (degré 2). L’ENMG dispose de cinq paramètres d’analyse pour décrire les répercussions fonctionnelles de l’atteinte du SNP : la vitesse de conduction sensitive, l’amplitude des réponses sensitives, la vitesse de conduction motrice, l’amplitude des réponses motrices</w:t>
      </w:r>
      <w:r w:rsidR="00E63629" w:rsidRPr="003B30E7">
        <w:t xml:space="preserve"> et les tracés </w:t>
      </w:r>
      <w:proofErr w:type="spellStart"/>
      <w:r w:rsidR="00E63629" w:rsidRPr="003B30E7">
        <w:t>électromyographiques</w:t>
      </w:r>
      <w:proofErr w:type="spellEnd"/>
      <w:r w:rsidR="00E63629" w:rsidRPr="003B30E7">
        <w:t xml:space="preserve"> par </w:t>
      </w:r>
      <w:proofErr w:type="spellStart"/>
      <w:r w:rsidR="00E63629" w:rsidRPr="003B30E7">
        <w:t>aiguille-électrode</w:t>
      </w:r>
      <w:proofErr w:type="spellEnd"/>
      <w:r w:rsidR="00E63629" w:rsidRPr="003B30E7">
        <w:t>. Les apports de l’ENMG à la médecine d’expertise se situent à trois niveaux, certains (atteintes focales distales avérées), probables (atteintes focales distales légères à modérées et radiculopathies) et possibles (corrélation avec la clinique et imputation d’une lésion nerveuse à un traumatisme). Pour clore cette mise au point, un po</w:t>
      </w:r>
      <w:r w:rsidR="00927DCA">
        <w:t>int de vue personnel sera donné</w:t>
      </w:r>
      <w:r w:rsidR="00E63629" w:rsidRPr="003B30E7">
        <w:t xml:space="preserve"> sur deux questions fréquemment posées : </w:t>
      </w:r>
      <w:r w:rsidR="00D751A9">
        <w:t>« C</w:t>
      </w:r>
      <w:r w:rsidR="00E63629" w:rsidRPr="003B30E7">
        <w:t>omment rédiger une demande d’ENMG dans le cad</w:t>
      </w:r>
      <w:r w:rsidR="00CE6581" w:rsidRPr="003B30E7">
        <w:t>re d’une expertise ?</w:t>
      </w:r>
      <w:r w:rsidR="00D751A9">
        <w:t> »</w:t>
      </w:r>
      <w:r w:rsidR="00CE6581" w:rsidRPr="003B30E7">
        <w:t xml:space="preserve"> et, </w:t>
      </w:r>
      <w:r w:rsidR="00D751A9">
        <w:t>« C</w:t>
      </w:r>
      <w:r w:rsidR="00CE6581" w:rsidRPr="003B30E7">
        <w:t>omment</w:t>
      </w:r>
      <w:r w:rsidR="00E63629" w:rsidRPr="003B30E7">
        <w:t xml:space="preserve"> </w:t>
      </w:r>
      <w:r w:rsidR="00CE6581" w:rsidRPr="003B30E7">
        <w:t>expliquer les discordances entre deux ENMG réalisés par des médecins différents ?</w:t>
      </w:r>
      <w:r w:rsidR="00D751A9">
        <w:t> ».</w:t>
      </w:r>
    </w:p>
    <w:p w:rsidR="00927DCA" w:rsidRDefault="00927DCA" w:rsidP="003B30E7">
      <w:pPr>
        <w:spacing w:line="360" w:lineRule="auto"/>
      </w:pPr>
    </w:p>
    <w:p w:rsidR="00E35D7A" w:rsidRDefault="00927DCA" w:rsidP="003B30E7">
      <w:pPr>
        <w:spacing w:line="360" w:lineRule="auto"/>
      </w:pPr>
      <w:r>
        <w:t>Mots clés : médecine d’expertise ; ENMG ; neuropathie, radiculopathie</w:t>
      </w:r>
    </w:p>
    <w:p w:rsidR="00E35D7A" w:rsidRDefault="00E35D7A" w:rsidP="003B30E7">
      <w:pPr>
        <w:spacing w:line="360" w:lineRule="auto"/>
      </w:pPr>
    </w:p>
    <w:p w:rsidR="00927DCA" w:rsidRDefault="00A075ED" w:rsidP="00590ADC">
      <w:pPr>
        <w:pStyle w:val="Titre1"/>
        <w:spacing w:line="360" w:lineRule="auto"/>
      </w:pPr>
      <w:r>
        <w:br w:type="page"/>
      </w:r>
      <w:r w:rsidR="00927DCA">
        <w:t xml:space="preserve">Contributions of </w:t>
      </w:r>
      <w:proofErr w:type="spellStart"/>
      <w:r w:rsidR="00590ADC">
        <w:t>electrophysiological</w:t>
      </w:r>
      <w:proofErr w:type="spellEnd"/>
      <w:r w:rsidR="00590ADC">
        <w:t xml:space="preserve"> techniques to </w:t>
      </w:r>
      <w:r w:rsidR="001B36C9">
        <w:t>médical experts</w:t>
      </w:r>
    </w:p>
    <w:p w:rsidR="00470F72" w:rsidRDefault="00470F72" w:rsidP="00470F72">
      <w:pPr>
        <w:pStyle w:val="Titre2"/>
      </w:pPr>
      <w:proofErr w:type="spellStart"/>
      <w:r>
        <w:t>Summary</w:t>
      </w:r>
      <w:proofErr w:type="spellEnd"/>
    </w:p>
    <w:p w:rsidR="00470F72" w:rsidRDefault="00470F72" w:rsidP="003B30E7">
      <w:pPr>
        <w:spacing w:line="360" w:lineRule="auto"/>
      </w:pPr>
    </w:p>
    <w:p w:rsidR="00927DCA" w:rsidRPr="00D50D77" w:rsidRDefault="00470F72" w:rsidP="003B30E7">
      <w:pPr>
        <w:spacing w:line="360" w:lineRule="auto"/>
        <w:rPr>
          <w:lang w:val="en-US"/>
        </w:rPr>
      </w:pPr>
      <w:r w:rsidRPr="00D50D77">
        <w:rPr>
          <w:rFonts w:cs="Times"/>
          <w:color w:val="343434"/>
          <w:szCs w:val="28"/>
          <w:lang w:val="en-US"/>
        </w:rPr>
        <w:t>Electrophysiology is a field of medicine that explores the central and peripheral nervous system</w:t>
      </w:r>
      <w:r w:rsidR="00B34BDB" w:rsidRPr="00D50D77">
        <w:rPr>
          <w:rFonts w:cs="Times"/>
          <w:color w:val="343434"/>
          <w:szCs w:val="28"/>
          <w:lang w:val="en-US"/>
        </w:rPr>
        <w:t xml:space="preserve"> function. </w:t>
      </w:r>
      <w:proofErr w:type="spellStart"/>
      <w:r w:rsidR="00B34BDB" w:rsidRPr="00D50D77">
        <w:rPr>
          <w:rFonts w:cs="Times"/>
          <w:color w:val="343434"/>
          <w:szCs w:val="28"/>
          <w:lang w:val="en-US"/>
        </w:rPr>
        <w:t>Electrodiagnostic</w:t>
      </w:r>
      <w:proofErr w:type="spellEnd"/>
      <w:r w:rsidRPr="00D50D77">
        <w:rPr>
          <w:rFonts w:cs="Times"/>
          <w:color w:val="343434"/>
          <w:szCs w:val="28"/>
          <w:lang w:val="en-US"/>
        </w:rPr>
        <w:t xml:space="preserve"> (</w:t>
      </w:r>
      <w:r w:rsidR="00B34BDB" w:rsidRPr="00D50D77">
        <w:rPr>
          <w:rFonts w:cs="Times"/>
          <w:color w:val="343434"/>
          <w:szCs w:val="28"/>
          <w:lang w:val="en-US"/>
        </w:rPr>
        <w:t>EDX)</w:t>
      </w:r>
      <w:r w:rsidRPr="00D50D77">
        <w:rPr>
          <w:rFonts w:cs="Times"/>
          <w:color w:val="343434"/>
          <w:szCs w:val="28"/>
          <w:lang w:val="en-US"/>
        </w:rPr>
        <w:t xml:space="preserve"> is dedicated to th</w:t>
      </w:r>
      <w:r w:rsidR="00B34BDB" w:rsidRPr="00D50D77">
        <w:rPr>
          <w:rFonts w:cs="Times"/>
          <w:color w:val="343434"/>
          <w:szCs w:val="28"/>
          <w:lang w:val="en-US"/>
        </w:rPr>
        <w:t>e peripheral nervous system (PNS</w:t>
      </w:r>
      <w:r w:rsidRPr="00D50D77">
        <w:rPr>
          <w:rFonts w:cs="Times"/>
          <w:color w:val="343434"/>
          <w:szCs w:val="28"/>
          <w:lang w:val="en-US"/>
        </w:rPr>
        <w:t xml:space="preserve">). The goals of </w:t>
      </w:r>
      <w:r w:rsidR="00B34BDB" w:rsidRPr="00D50D77">
        <w:rPr>
          <w:rFonts w:cs="Times"/>
          <w:color w:val="343434"/>
          <w:szCs w:val="28"/>
          <w:lang w:val="en-US"/>
        </w:rPr>
        <w:t>EDX</w:t>
      </w:r>
      <w:r w:rsidRPr="00D50D77">
        <w:rPr>
          <w:rFonts w:cs="Times"/>
          <w:color w:val="343434"/>
          <w:szCs w:val="28"/>
          <w:lang w:val="en-US"/>
        </w:rPr>
        <w:t xml:space="preserve">, in the field of </w:t>
      </w:r>
      <w:r w:rsidR="001B36C9" w:rsidRPr="00D50D77">
        <w:rPr>
          <w:rFonts w:cs="Times"/>
          <w:color w:val="343434"/>
          <w:szCs w:val="28"/>
          <w:lang w:val="en-US"/>
        </w:rPr>
        <w:t xml:space="preserve">medical </w:t>
      </w:r>
      <w:r w:rsidRPr="00D50D77">
        <w:rPr>
          <w:rFonts w:cs="Times"/>
          <w:color w:val="343434"/>
          <w:szCs w:val="28"/>
          <w:lang w:val="en-US"/>
        </w:rPr>
        <w:t>expertise</w:t>
      </w:r>
      <w:r w:rsidR="00927DCA" w:rsidRPr="00D50D77">
        <w:rPr>
          <w:rFonts w:cs="Times"/>
          <w:color w:val="343434"/>
          <w:szCs w:val="28"/>
          <w:lang w:val="en-US"/>
        </w:rPr>
        <w:t>,</w:t>
      </w:r>
      <w:r w:rsidRPr="00D50D77">
        <w:rPr>
          <w:rFonts w:cs="Times"/>
          <w:color w:val="343434"/>
          <w:szCs w:val="28"/>
          <w:lang w:val="en-US"/>
        </w:rPr>
        <w:t xml:space="preserve"> </w:t>
      </w:r>
      <w:proofErr w:type="gramStart"/>
      <w:r w:rsidRPr="00D50D77">
        <w:rPr>
          <w:rFonts w:cs="Times"/>
          <w:color w:val="343434"/>
          <w:szCs w:val="28"/>
          <w:lang w:val="en-US"/>
        </w:rPr>
        <w:t xml:space="preserve">are </w:t>
      </w:r>
      <w:r w:rsidR="00927DCA" w:rsidRPr="00D50D77">
        <w:rPr>
          <w:rFonts w:cs="Times"/>
          <w:color w:val="343434"/>
          <w:szCs w:val="28"/>
          <w:lang w:val="en-US"/>
        </w:rPr>
        <w:t>:</w:t>
      </w:r>
      <w:proofErr w:type="gramEnd"/>
      <w:r w:rsidR="00927DCA" w:rsidRPr="00D50D77">
        <w:rPr>
          <w:rFonts w:cs="Times"/>
          <w:color w:val="343434"/>
          <w:szCs w:val="28"/>
          <w:lang w:val="en-US"/>
        </w:rPr>
        <w:t xml:space="preserve"> </w:t>
      </w:r>
      <w:r w:rsidRPr="00D50D77">
        <w:rPr>
          <w:rFonts w:cs="Times"/>
          <w:color w:val="343434"/>
          <w:szCs w:val="28"/>
          <w:lang w:val="en-US"/>
        </w:rPr>
        <w:t xml:space="preserve">to </w:t>
      </w:r>
      <w:r w:rsidR="00B34BDB" w:rsidRPr="00D50D77">
        <w:rPr>
          <w:rFonts w:cs="Times"/>
          <w:color w:val="343434"/>
          <w:szCs w:val="28"/>
          <w:lang w:val="en-US"/>
        </w:rPr>
        <w:t xml:space="preserve">demonstrate </w:t>
      </w:r>
      <w:r w:rsidRPr="00D50D77">
        <w:rPr>
          <w:rFonts w:cs="Times"/>
          <w:color w:val="343434"/>
          <w:szCs w:val="28"/>
          <w:lang w:val="en-US"/>
        </w:rPr>
        <w:t xml:space="preserve">the </w:t>
      </w:r>
      <w:r w:rsidR="00B34BDB" w:rsidRPr="00D50D77">
        <w:rPr>
          <w:rFonts w:cs="Times"/>
          <w:color w:val="343434"/>
          <w:szCs w:val="28"/>
          <w:lang w:val="en-US"/>
        </w:rPr>
        <w:t xml:space="preserve">PNS </w:t>
      </w:r>
      <w:r w:rsidR="00927DCA" w:rsidRPr="00D50D77">
        <w:rPr>
          <w:rFonts w:cs="Times"/>
          <w:color w:val="343434"/>
          <w:szCs w:val="28"/>
          <w:lang w:val="en-US"/>
        </w:rPr>
        <w:t>damage</w:t>
      </w:r>
      <w:r w:rsidRPr="00D50D77">
        <w:rPr>
          <w:rFonts w:cs="Times"/>
          <w:color w:val="343434"/>
          <w:szCs w:val="28"/>
          <w:lang w:val="en-US"/>
        </w:rPr>
        <w:t xml:space="preserve">, to quantify it, </w:t>
      </w:r>
      <w:r w:rsidR="00927DCA" w:rsidRPr="00D50D77">
        <w:rPr>
          <w:rFonts w:cs="Times"/>
          <w:color w:val="343434"/>
          <w:szCs w:val="28"/>
          <w:lang w:val="en-US"/>
        </w:rPr>
        <w:t xml:space="preserve">to </w:t>
      </w:r>
      <w:r w:rsidRPr="00D50D77">
        <w:rPr>
          <w:rFonts w:cs="Times"/>
          <w:color w:val="343434"/>
          <w:szCs w:val="28"/>
          <w:lang w:val="en-US"/>
        </w:rPr>
        <w:t xml:space="preserve">compare it to any previous state and, in some cases, to attribute this injury to trauma. </w:t>
      </w:r>
      <w:r w:rsidR="00B34BDB" w:rsidRPr="00D50D77">
        <w:rPr>
          <w:rFonts w:cs="Times"/>
          <w:color w:val="343434"/>
          <w:szCs w:val="28"/>
          <w:lang w:val="en-US"/>
        </w:rPr>
        <w:t>Following</w:t>
      </w:r>
      <w:r w:rsidRPr="00D50D77">
        <w:rPr>
          <w:rFonts w:cs="Times"/>
          <w:color w:val="343434"/>
          <w:szCs w:val="28"/>
          <w:lang w:val="en-US"/>
        </w:rPr>
        <w:t xml:space="preserve"> chronic compression or acute trauma, there are three level</w:t>
      </w:r>
      <w:r w:rsidR="00B34BDB" w:rsidRPr="00D50D77">
        <w:rPr>
          <w:rFonts w:cs="Times"/>
          <w:color w:val="343434"/>
          <w:szCs w:val="28"/>
          <w:lang w:val="en-US"/>
        </w:rPr>
        <w:t>s</w:t>
      </w:r>
      <w:r w:rsidRPr="00D50D77">
        <w:rPr>
          <w:rFonts w:cs="Times"/>
          <w:color w:val="343434"/>
          <w:szCs w:val="28"/>
          <w:lang w:val="en-US"/>
        </w:rPr>
        <w:t xml:space="preserve"> of </w:t>
      </w:r>
      <w:r w:rsidR="00B34BDB" w:rsidRPr="00D50D77">
        <w:rPr>
          <w:rFonts w:cs="Times"/>
          <w:color w:val="343434"/>
          <w:szCs w:val="28"/>
          <w:lang w:val="en-US"/>
        </w:rPr>
        <w:t xml:space="preserve">PNS </w:t>
      </w:r>
      <w:r w:rsidR="00927DCA" w:rsidRPr="00D50D77">
        <w:rPr>
          <w:rFonts w:cs="Times"/>
          <w:color w:val="343434"/>
          <w:szCs w:val="28"/>
          <w:lang w:val="en-US"/>
        </w:rPr>
        <w:t>lesions</w:t>
      </w:r>
      <w:r w:rsidRPr="00D50D77">
        <w:rPr>
          <w:rFonts w:cs="Times"/>
          <w:color w:val="343434"/>
          <w:szCs w:val="28"/>
          <w:lang w:val="en-US"/>
        </w:rPr>
        <w:t xml:space="preserve">, </w:t>
      </w:r>
      <w:r w:rsidR="00B34BDB" w:rsidRPr="00D50D77">
        <w:rPr>
          <w:rFonts w:cs="Times"/>
          <w:color w:val="343434"/>
          <w:szCs w:val="28"/>
          <w:lang w:val="en-US"/>
        </w:rPr>
        <w:t>an isolated</w:t>
      </w:r>
      <w:r w:rsidRPr="00D50D77">
        <w:rPr>
          <w:rFonts w:cs="Times"/>
          <w:color w:val="343434"/>
          <w:szCs w:val="28"/>
          <w:lang w:val="en-US"/>
        </w:rPr>
        <w:t xml:space="preserve"> nerve conduction </w:t>
      </w:r>
      <w:r w:rsidR="00B34BDB" w:rsidRPr="00D50D77">
        <w:rPr>
          <w:rFonts w:cs="Times"/>
          <w:color w:val="343434"/>
          <w:szCs w:val="28"/>
          <w:lang w:val="en-US"/>
        </w:rPr>
        <w:t xml:space="preserve">slowing </w:t>
      </w:r>
      <w:r w:rsidRPr="00D50D77">
        <w:rPr>
          <w:rFonts w:cs="Times"/>
          <w:color w:val="343434"/>
          <w:szCs w:val="28"/>
          <w:lang w:val="en-US"/>
        </w:rPr>
        <w:t>(level 1)</w:t>
      </w:r>
      <w:r w:rsidR="00B34BDB" w:rsidRPr="00D50D77">
        <w:rPr>
          <w:rFonts w:cs="Times"/>
          <w:color w:val="343434"/>
          <w:szCs w:val="28"/>
          <w:lang w:val="en-US"/>
        </w:rPr>
        <w:t>, a n</w:t>
      </w:r>
      <w:r w:rsidR="00927DCA" w:rsidRPr="00D50D77">
        <w:rPr>
          <w:rFonts w:cs="Times"/>
          <w:color w:val="343434"/>
          <w:szCs w:val="28"/>
          <w:lang w:val="en-US"/>
        </w:rPr>
        <w:t>erve conduction slowing combined</w:t>
      </w:r>
      <w:r w:rsidR="00B34BDB" w:rsidRPr="00D50D77">
        <w:rPr>
          <w:rFonts w:cs="Times"/>
          <w:color w:val="343434"/>
          <w:szCs w:val="28"/>
          <w:lang w:val="en-US"/>
        </w:rPr>
        <w:t xml:space="preserve"> with a sensory axonal loss (grade 2) or with a sensory and </w:t>
      </w:r>
      <w:r w:rsidRPr="00D50D77">
        <w:rPr>
          <w:rFonts w:cs="Times"/>
          <w:color w:val="343434"/>
          <w:szCs w:val="28"/>
          <w:lang w:val="en-US"/>
        </w:rPr>
        <w:t xml:space="preserve">motor axonal loss (grade 3). </w:t>
      </w:r>
      <w:r w:rsidR="00B34BDB" w:rsidRPr="00D50D77">
        <w:rPr>
          <w:rFonts w:cs="Times"/>
          <w:color w:val="343434"/>
          <w:szCs w:val="28"/>
          <w:lang w:val="en-US"/>
        </w:rPr>
        <w:t>There are</w:t>
      </w:r>
      <w:r w:rsidRPr="00D50D77">
        <w:rPr>
          <w:rFonts w:cs="Times"/>
          <w:color w:val="343434"/>
          <w:szCs w:val="28"/>
          <w:lang w:val="en-US"/>
        </w:rPr>
        <w:t xml:space="preserve"> five </w:t>
      </w:r>
      <w:r w:rsidR="00B34BDB" w:rsidRPr="00D50D77">
        <w:rPr>
          <w:rFonts w:cs="Times"/>
          <w:color w:val="343434"/>
          <w:szCs w:val="28"/>
          <w:lang w:val="en-US"/>
        </w:rPr>
        <w:t xml:space="preserve">EDX </w:t>
      </w:r>
      <w:r w:rsidRPr="00D50D77">
        <w:rPr>
          <w:rFonts w:cs="Times"/>
          <w:color w:val="343434"/>
          <w:szCs w:val="28"/>
          <w:lang w:val="en-US"/>
        </w:rPr>
        <w:t xml:space="preserve">parameters to describe the functional impact of the </w:t>
      </w:r>
      <w:r w:rsidR="00B34BDB" w:rsidRPr="00D50D77">
        <w:rPr>
          <w:rFonts w:cs="Times"/>
          <w:color w:val="343434"/>
          <w:szCs w:val="28"/>
          <w:lang w:val="en-US"/>
        </w:rPr>
        <w:t>PNS</w:t>
      </w:r>
      <w:r w:rsidR="00927DCA" w:rsidRPr="00D50D77">
        <w:rPr>
          <w:rFonts w:cs="Times"/>
          <w:color w:val="343434"/>
          <w:szCs w:val="28"/>
          <w:lang w:val="en-US"/>
        </w:rPr>
        <w:t xml:space="preserve"> injury</w:t>
      </w:r>
      <w:r w:rsidRPr="00D50D77">
        <w:rPr>
          <w:rFonts w:cs="Times"/>
          <w:color w:val="343434"/>
          <w:szCs w:val="28"/>
          <w:lang w:val="en-US"/>
        </w:rPr>
        <w:t xml:space="preserve">: sensory conduction velocity, sensory </w:t>
      </w:r>
      <w:r w:rsidR="00B34BDB" w:rsidRPr="00D50D77">
        <w:rPr>
          <w:rFonts w:cs="Times"/>
          <w:color w:val="343434"/>
          <w:szCs w:val="28"/>
          <w:lang w:val="en-US"/>
        </w:rPr>
        <w:t xml:space="preserve">potential amplitude, </w:t>
      </w:r>
      <w:r w:rsidRPr="00D50D77">
        <w:rPr>
          <w:rFonts w:cs="Times"/>
          <w:color w:val="343434"/>
          <w:szCs w:val="28"/>
          <w:lang w:val="en-US"/>
        </w:rPr>
        <w:t xml:space="preserve">motor conduction velocity, </w:t>
      </w:r>
      <w:r w:rsidR="00B34BDB" w:rsidRPr="00D50D77">
        <w:rPr>
          <w:rFonts w:cs="Times"/>
          <w:color w:val="343434"/>
          <w:szCs w:val="28"/>
          <w:lang w:val="en-US"/>
        </w:rPr>
        <w:t>motor response amplitude</w:t>
      </w:r>
      <w:r w:rsidRPr="00D50D77">
        <w:rPr>
          <w:rFonts w:cs="Times"/>
          <w:color w:val="343434"/>
          <w:szCs w:val="28"/>
          <w:lang w:val="en-US"/>
        </w:rPr>
        <w:t xml:space="preserve"> and </w:t>
      </w:r>
      <w:proofErr w:type="spellStart"/>
      <w:r w:rsidRPr="00D50D77">
        <w:rPr>
          <w:rFonts w:cs="Times"/>
          <w:color w:val="343434"/>
          <w:szCs w:val="28"/>
          <w:lang w:val="en-US"/>
        </w:rPr>
        <w:t>electromyographic</w:t>
      </w:r>
      <w:proofErr w:type="spellEnd"/>
      <w:r w:rsidRPr="00D50D77">
        <w:rPr>
          <w:rFonts w:cs="Times"/>
          <w:color w:val="343434"/>
          <w:szCs w:val="28"/>
          <w:lang w:val="en-US"/>
        </w:rPr>
        <w:t xml:space="preserve"> traces by needle-electrode. </w:t>
      </w:r>
      <w:r w:rsidR="00B34BDB" w:rsidRPr="00D50D77">
        <w:rPr>
          <w:rFonts w:cs="Times"/>
          <w:color w:val="343434"/>
          <w:szCs w:val="28"/>
          <w:lang w:val="en-US"/>
        </w:rPr>
        <w:t xml:space="preserve">EDX </w:t>
      </w:r>
      <w:r w:rsidR="00927DCA" w:rsidRPr="00D50D77">
        <w:rPr>
          <w:rFonts w:cs="Times"/>
          <w:color w:val="343434"/>
          <w:szCs w:val="28"/>
          <w:lang w:val="en-US"/>
        </w:rPr>
        <w:t>usefulness</w:t>
      </w:r>
      <w:r w:rsidR="00B34BDB" w:rsidRPr="00D50D77">
        <w:rPr>
          <w:rFonts w:cs="Times"/>
          <w:color w:val="343434"/>
          <w:szCs w:val="28"/>
          <w:lang w:val="en-US"/>
        </w:rPr>
        <w:t xml:space="preserve"> to</w:t>
      </w:r>
      <w:r w:rsidRPr="00D50D77">
        <w:rPr>
          <w:rFonts w:cs="Times"/>
          <w:color w:val="343434"/>
          <w:szCs w:val="28"/>
          <w:lang w:val="en-US"/>
        </w:rPr>
        <w:t xml:space="preserve"> </w:t>
      </w:r>
      <w:r w:rsidR="001B36C9" w:rsidRPr="00D50D77">
        <w:rPr>
          <w:rFonts w:cs="Times"/>
          <w:color w:val="343434"/>
          <w:szCs w:val="28"/>
          <w:lang w:val="en-US"/>
        </w:rPr>
        <w:t>medical experts</w:t>
      </w:r>
      <w:r w:rsidRPr="00D50D77">
        <w:rPr>
          <w:rFonts w:cs="Times"/>
          <w:color w:val="343434"/>
          <w:szCs w:val="28"/>
          <w:lang w:val="en-US"/>
        </w:rPr>
        <w:t xml:space="preserve"> </w:t>
      </w:r>
      <w:r w:rsidR="00927DCA" w:rsidRPr="00D50D77">
        <w:rPr>
          <w:rFonts w:cs="Times"/>
          <w:color w:val="343434"/>
          <w:szCs w:val="28"/>
          <w:lang w:val="en-US"/>
        </w:rPr>
        <w:t>is</w:t>
      </w:r>
      <w:r w:rsidRPr="00D50D77">
        <w:rPr>
          <w:rFonts w:cs="Times"/>
          <w:color w:val="343434"/>
          <w:szCs w:val="28"/>
          <w:lang w:val="en-US"/>
        </w:rPr>
        <w:t xml:space="preserve"> located </w:t>
      </w:r>
      <w:r w:rsidR="00B34BDB" w:rsidRPr="00D50D77">
        <w:rPr>
          <w:rFonts w:cs="Times"/>
          <w:color w:val="343434"/>
          <w:szCs w:val="28"/>
          <w:lang w:val="en-US"/>
        </w:rPr>
        <w:t>at</w:t>
      </w:r>
      <w:r w:rsidRPr="00D50D77">
        <w:rPr>
          <w:rFonts w:cs="Times"/>
          <w:color w:val="343434"/>
          <w:szCs w:val="28"/>
          <w:lang w:val="en-US"/>
        </w:rPr>
        <w:t xml:space="preserve"> three levels, </w:t>
      </w:r>
      <w:r w:rsidR="00D460D7" w:rsidRPr="00D50D77">
        <w:rPr>
          <w:rFonts w:cs="Times"/>
          <w:color w:val="343434"/>
          <w:szCs w:val="28"/>
          <w:lang w:val="en-US"/>
        </w:rPr>
        <w:t>definite</w:t>
      </w:r>
      <w:r w:rsidRPr="00D50D77">
        <w:rPr>
          <w:rFonts w:cs="Times"/>
          <w:color w:val="343434"/>
          <w:szCs w:val="28"/>
          <w:lang w:val="en-US"/>
        </w:rPr>
        <w:t xml:space="preserve"> (proven distal focal </w:t>
      </w:r>
      <w:r w:rsidR="00D460D7" w:rsidRPr="00D50D77">
        <w:rPr>
          <w:rFonts w:cs="Times"/>
          <w:color w:val="343434"/>
          <w:szCs w:val="28"/>
          <w:lang w:val="en-US"/>
        </w:rPr>
        <w:t>neuropathy</w:t>
      </w:r>
      <w:r w:rsidRPr="00D50D77">
        <w:rPr>
          <w:rFonts w:cs="Times"/>
          <w:color w:val="343434"/>
          <w:szCs w:val="28"/>
          <w:lang w:val="en-US"/>
        </w:rPr>
        <w:t xml:space="preserve">), probable (slight </w:t>
      </w:r>
      <w:r w:rsidR="00D460D7" w:rsidRPr="00D50D77">
        <w:rPr>
          <w:rFonts w:cs="Times"/>
          <w:color w:val="343434"/>
          <w:szCs w:val="28"/>
          <w:lang w:val="en-US"/>
        </w:rPr>
        <w:t xml:space="preserve">or moderate </w:t>
      </w:r>
      <w:r w:rsidRPr="00D50D77">
        <w:rPr>
          <w:rFonts w:cs="Times"/>
          <w:color w:val="343434"/>
          <w:szCs w:val="28"/>
          <w:lang w:val="en-US"/>
        </w:rPr>
        <w:t xml:space="preserve">distal focal </w:t>
      </w:r>
      <w:r w:rsidR="00D460D7" w:rsidRPr="00D50D77">
        <w:rPr>
          <w:rFonts w:cs="Times"/>
          <w:color w:val="343434"/>
          <w:szCs w:val="28"/>
          <w:lang w:val="en-US"/>
        </w:rPr>
        <w:t>neuropathy</w:t>
      </w:r>
      <w:r w:rsidRPr="00D50D77">
        <w:rPr>
          <w:rFonts w:cs="Times"/>
          <w:color w:val="343434"/>
          <w:szCs w:val="28"/>
          <w:lang w:val="en-US"/>
        </w:rPr>
        <w:t xml:space="preserve"> </w:t>
      </w:r>
      <w:r w:rsidR="00D460D7" w:rsidRPr="00D50D77">
        <w:rPr>
          <w:rFonts w:cs="Times"/>
          <w:color w:val="343434"/>
          <w:szCs w:val="28"/>
          <w:lang w:val="en-US"/>
        </w:rPr>
        <w:t xml:space="preserve">and </w:t>
      </w:r>
      <w:proofErr w:type="spellStart"/>
      <w:r w:rsidR="00D460D7" w:rsidRPr="00D50D77">
        <w:rPr>
          <w:rFonts w:cs="Times"/>
          <w:color w:val="343434"/>
          <w:szCs w:val="28"/>
          <w:lang w:val="en-US"/>
        </w:rPr>
        <w:t>radiculopathy</w:t>
      </w:r>
      <w:proofErr w:type="spellEnd"/>
      <w:r w:rsidRPr="00D50D77">
        <w:rPr>
          <w:rFonts w:cs="Times"/>
          <w:color w:val="343434"/>
          <w:szCs w:val="28"/>
          <w:lang w:val="en-US"/>
        </w:rPr>
        <w:t xml:space="preserve">) and possible (correlation with clinical </w:t>
      </w:r>
      <w:r w:rsidR="00D460D7" w:rsidRPr="00D50D77">
        <w:rPr>
          <w:rFonts w:cs="Times"/>
          <w:color w:val="343434"/>
          <w:szCs w:val="28"/>
          <w:lang w:val="en-US"/>
        </w:rPr>
        <w:t xml:space="preserve">data </w:t>
      </w:r>
      <w:r w:rsidRPr="00D50D77">
        <w:rPr>
          <w:rFonts w:cs="Times"/>
          <w:color w:val="343434"/>
          <w:szCs w:val="28"/>
          <w:lang w:val="en-US"/>
        </w:rPr>
        <w:t xml:space="preserve">and imputation of a nerve injury to trauma). To conclude this </w:t>
      </w:r>
      <w:r w:rsidR="00D460D7" w:rsidRPr="00D50D77">
        <w:rPr>
          <w:rFonts w:cs="Times"/>
          <w:color w:val="343434"/>
          <w:szCs w:val="28"/>
          <w:lang w:val="en-US"/>
        </w:rPr>
        <w:t>review</w:t>
      </w:r>
      <w:r w:rsidRPr="00D50D77">
        <w:rPr>
          <w:rFonts w:cs="Times"/>
          <w:color w:val="343434"/>
          <w:szCs w:val="28"/>
          <w:lang w:val="en-US"/>
        </w:rPr>
        <w:t>, a personal point of view will be given on t</w:t>
      </w:r>
      <w:r w:rsidR="007B20B9" w:rsidRPr="00D50D77">
        <w:rPr>
          <w:rFonts w:cs="Times"/>
          <w:color w:val="343434"/>
          <w:szCs w:val="28"/>
          <w:lang w:val="en-US"/>
        </w:rPr>
        <w:t>wo frequently asked questions: “H</w:t>
      </w:r>
      <w:r w:rsidRPr="00D50D77">
        <w:rPr>
          <w:rFonts w:cs="Times"/>
          <w:color w:val="343434"/>
          <w:szCs w:val="28"/>
          <w:lang w:val="en-US"/>
        </w:rPr>
        <w:t xml:space="preserve">ow to write an </w:t>
      </w:r>
      <w:r w:rsidR="00D460D7" w:rsidRPr="00D50D77">
        <w:rPr>
          <w:rFonts w:cs="Times"/>
          <w:color w:val="343434"/>
          <w:szCs w:val="28"/>
          <w:lang w:val="en-US"/>
        </w:rPr>
        <w:t>EDX request</w:t>
      </w:r>
      <w:r w:rsidR="007B20B9" w:rsidRPr="00D50D77">
        <w:rPr>
          <w:rFonts w:cs="Times"/>
          <w:color w:val="343434"/>
          <w:szCs w:val="28"/>
          <w:lang w:val="en-US"/>
        </w:rPr>
        <w:t>?”</w:t>
      </w:r>
      <w:r w:rsidRPr="00D50D77">
        <w:rPr>
          <w:rFonts w:cs="Times"/>
          <w:color w:val="343434"/>
          <w:szCs w:val="28"/>
          <w:lang w:val="en-US"/>
        </w:rPr>
        <w:t xml:space="preserve"> </w:t>
      </w:r>
      <w:r w:rsidR="007B20B9" w:rsidRPr="00D50D77">
        <w:rPr>
          <w:rFonts w:cs="Times"/>
          <w:color w:val="343434"/>
          <w:szCs w:val="28"/>
          <w:lang w:val="en-US"/>
        </w:rPr>
        <w:t>a</w:t>
      </w:r>
      <w:r w:rsidRPr="00D50D77">
        <w:rPr>
          <w:rFonts w:cs="Times"/>
          <w:color w:val="343434"/>
          <w:szCs w:val="28"/>
          <w:lang w:val="en-US"/>
        </w:rPr>
        <w:t>nd</w:t>
      </w:r>
      <w:r w:rsidR="007B20B9" w:rsidRPr="00D50D77">
        <w:rPr>
          <w:rFonts w:cs="Times"/>
          <w:color w:val="343434"/>
          <w:szCs w:val="28"/>
          <w:lang w:val="en-US"/>
        </w:rPr>
        <w:t>,  “H</w:t>
      </w:r>
      <w:r w:rsidRPr="00D50D77">
        <w:rPr>
          <w:rFonts w:cs="Times"/>
          <w:color w:val="343434"/>
          <w:szCs w:val="28"/>
          <w:lang w:val="en-US"/>
        </w:rPr>
        <w:t xml:space="preserve">ow to explain discrepancies between two </w:t>
      </w:r>
      <w:r w:rsidR="00D460D7" w:rsidRPr="00D50D77">
        <w:rPr>
          <w:rFonts w:cs="Times"/>
          <w:color w:val="343434"/>
          <w:szCs w:val="28"/>
          <w:lang w:val="en-US"/>
        </w:rPr>
        <w:t>EDX</w:t>
      </w:r>
      <w:r w:rsidRPr="00D50D77">
        <w:rPr>
          <w:rFonts w:cs="Times"/>
          <w:color w:val="343434"/>
          <w:szCs w:val="28"/>
          <w:lang w:val="en-US"/>
        </w:rPr>
        <w:t xml:space="preserve"> performed by different doctors?</w:t>
      </w:r>
      <w:proofErr w:type="gramStart"/>
      <w:r w:rsidR="007B20B9" w:rsidRPr="00D50D77">
        <w:rPr>
          <w:rFonts w:cs="Times"/>
          <w:color w:val="343434"/>
          <w:szCs w:val="28"/>
          <w:lang w:val="en-US"/>
        </w:rPr>
        <w:t>”</w:t>
      </w:r>
      <w:r w:rsidR="00D751A9" w:rsidRPr="00D50D77">
        <w:rPr>
          <w:lang w:val="en-US"/>
        </w:rPr>
        <w:t>.</w:t>
      </w:r>
      <w:proofErr w:type="gramEnd"/>
    </w:p>
    <w:p w:rsidR="00927DCA" w:rsidRDefault="00927DCA" w:rsidP="003B30E7">
      <w:pPr>
        <w:spacing w:line="360" w:lineRule="auto"/>
        <w:rPr>
          <w:lang w:val="en-US"/>
        </w:rPr>
      </w:pPr>
    </w:p>
    <w:p w:rsidR="003B30E7" w:rsidRPr="00B34BDB" w:rsidRDefault="00927DCA" w:rsidP="003B30E7">
      <w:pPr>
        <w:spacing w:line="360" w:lineRule="auto"/>
        <w:rPr>
          <w:lang w:val="en-US"/>
        </w:rPr>
      </w:pPr>
      <w:proofErr w:type="gramStart"/>
      <w:r>
        <w:rPr>
          <w:lang w:val="en-US"/>
        </w:rPr>
        <w:t>Keywords :</w:t>
      </w:r>
      <w:proofErr w:type="gramEnd"/>
      <w:r>
        <w:rPr>
          <w:lang w:val="en-US"/>
        </w:rPr>
        <w:t xml:space="preserve"> </w:t>
      </w:r>
      <w:r w:rsidR="002A06C5">
        <w:rPr>
          <w:lang w:val="en-US"/>
        </w:rPr>
        <w:t>medical experts</w:t>
      </w:r>
      <w:r>
        <w:rPr>
          <w:lang w:val="en-US"/>
        </w:rPr>
        <w:t xml:space="preserve"> ; EDX ; neuropathy ; </w:t>
      </w:r>
      <w:proofErr w:type="spellStart"/>
      <w:r>
        <w:rPr>
          <w:lang w:val="en-US"/>
        </w:rPr>
        <w:t>radiculopathy</w:t>
      </w:r>
      <w:proofErr w:type="spellEnd"/>
    </w:p>
    <w:p w:rsidR="003B30E7" w:rsidRDefault="003B30E7" w:rsidP="003B30E7">
      <w:pPr>
        <w:pStyle w:val="Titre2"/>
      </w:pPr>
    </w:p>
    <w:p w:rsidR="000C2B3D" w:rsidRDefault="00CA3C6C" w:rsidP="003B30E7">
      <w:pPr>
        <w:pStyle w:val="Titre2"/>
      </w:pPr>
      <w:r>
        <w:br w:type="page"/>
      </w:r>
      <w:r w:rsidR="00892502">
        <w:t>I</w:t>
      </w:r>
      <w:r w:rsidR="00FE3F8B">
        <w:t>.</w:t>
      </w:r>
      <w:r w:rsidR="00892502">
        <w:t xml:space="preserve"> </w:t>
      </w:r>
      <w:r>
        <w:t>Introduction</w:t>
      </w:r>
    </w:p>
    <w:p w:rsidR="00CA3C6C" w:rsidRPr="000C2B3D" w:rsidRDefault="00CA3C6C" w:rsidP="000C2B3D"/>
    <w:p w:rsidR="00B366CF" w:rsidRDefault="00CA3C6C" w:rsidP="0027401A">
      <w:pPr>
        <w:spacing w:line="360" w:lineRule="auto"/>
      </w:pPr>
      <w:r>
        <w:t xml:space="preserve">Les techniques électrophysiologiques permettent une évaluation fonctionnelle du système nerveux. </w:t>
      </w:r>
      <w:r w:rsidR="00FF750E">
        <w:t xml:space="preserve">Le terme fonctionnel est important, car à ce jour, pour la part périphérique du système nerveux, il n’y a aucune autre méthode </w:t>
      </w:r>
      <w:r w:rsidR="00A13686">
        <w:t>disponible</w:t>
      </w:r>
      <w:r w:rsidR="00FF750E">
        <w:t xml:space="preserve">. </w:t>
      </w:r>
      <w:r>
        <w:t>L</w:t>
      </w:r>
      <w:r w:rsidR="00F33461">
        <w:t xml:space="preserve">es potentiels évoqués </w:t>
      </w:r>
      <w:r>
        <w:t xml:space="preserve">visuels, auditifs, somesthésiques </w:t>
      </w:r>
      <w:r w:rsidR="006141B6">
        <w:t xml:space="preserve">(PES) </w:t>
      </w:r>
      <w:r>
        <w:t xml:space="preserve">et moteurs </w:t>
      </w:r>
      <w:r w:rsidR="006141B6">
        <w:t xml:space="preserve">(PEM) </w:t>
      </w:r>
      <w:r>
        <w:t xml:space="preserve">évaluent principalement la conduction nerveuse centrale ; tandis que, l’électroneuromyographie (ENMG) est destinée à l’exploration fonctionnelle du </w:t>
      </w:r>
      <w:r w:rsidR="00453A4B">
        <w:t>système nerveux périphérique (SNP)</w:t>
      </w:r>
      <w:r>
        <w:t xml:space="preserve">. L’ENMG réunit sous un même terme l’enregistrement de l’activité électrique musculaire par </w:t>
      </w:r>
      <w:proofErr w:type="spellStart"/>
      <w:r w:rsidR="00E077F6">
        <w:t>aiguille-électrode</w:t>
      </w:r>
      <w:proofErr w:type="spellEnd"/>
      <w:r>
        <w:t>, ou électromyographie (EMG), et l’étude de la conduction des influx nerveux (neurographie sensitive et motri</w:t>
      </w:r>
      <w:r w:rsidR="00E077F6">
        <w:t>ce, réflexologie)</w:t>
      </w:r>
      <w:r>
        <w:t>.</w:t>
      </w:r>
    </w:p>
    <w:p w:rsidR="00B366CF" w:rsidRDefault="00B366CF" w:rsidP="0027401A">
      <w:pPr>
        <w:spacing w:line="360" w:lineRule="auto"/>
      </w:pPr>
    </w:p>
    <w:p w:rsidR="000C2B3D" w:rsidRDefault="00892502" w:rsidP="0027401A">
      <w:pPr>
        <w:pStyle w:val="Titre2"/>
        <w:spacing w:line="360" w:lineRule="auto"/>
      </w:pPr>
      <w:r>
        <w:t>II</w:t>
      </w:r>
      <w:r w:rsidR="00FE3F8B">
        <w:t>.</w:t>
      </w:r>
      <w:r>
        <w:t xml:space="preserve"> </w:t>
      </w:r>
      <w:r w:rsidR="00CA3C6C">
        <w:t>Les quatre grands buts de l’ENMG</w:t>
      </w:r>
    </w:p>
    <w:p w:rsidR="00CA3C6C" w:rsidRPr="000C2B3D" w:rsidRDefault="00CA3C6C" w:rsidP="000C2B3D"/>
    <w:p w:rsidR="0077438E" w:rsidRDefault="00C6541F" w:rsidP="0027401A">
      <w:pPr>
        <w:spacing w:line="360" w:lineRule="auto"/>
      </w:pPr>
      <w:r>
        <w:t xml:space="preserve">Dans </w:t>
      </w:r>
      <w:r w:rsidR="0077438E">
        <w:t>la pratique clinique de routine, l’ENMG est destinée à</w:t>
      </w:r>
      <w:r w:rsidR="00F23996">
        <w:t xml:space="preserve"> : </w:t>
      </w:r>
      <w:r w:rsidR="00CA3C6C" w:rsidRPr="00CA3C6C">
        <w:t xml:space="preserve">1) </w:t>
      </w:r>
      <w:r w:rsidR="0077438E">
        <w:rPr>
          <w:bCs/>
        </w:rPr>
        <w:t>c</w:t>
      </w:r>
      <w:r w:rsidR="00CA3C6C" w:rsidRPr="00CA3C6C">
        <w:rPr>
          <w:bCs/>
        </w:rPr>
        <w:t>onfirmer</w:t>
      </w:r>
      <w:r w:rsidR="00CA3C6C" w:rsidRPr="00CA3C6C">
        <w:t xml:space="preserve"> ou infirmer </w:t>
      </w:r>
      <w:r w:rsidR="00CA3C6C" w:rsidRPr="00CA3C6C">
        <w:rPr>
          <w:bCs/>
        </w:rPr>
        <w:t>une hypothèse clinique</w:t>
      </w:r>
      <w:r w:rsidR="00CA3C6C" w:rsidRPr="00CA3C6C">
        <w:t xml:space="preserve"> d’atteinte du </w:t>
      </w:r>
      <w:r w:rsidR="00453A4B">
        <w:t>SNP</w:t>
      </w:r>
      <w:r w:rsidR="00F23996">
        <w:t> ;</w:t>
      </w:r>
      <w:r w:rsidR="0077438E">
        <w:t xml:space="preserve"> 2) p</w:t>
      </w:r>
      <w:r w:rsidR="00CA3C6C" w:rsidRPr="00CA3C6C">
        <w:t xml:space="preserve">réciser le </w:t>
      </w:r>
      <w:r w:rsidR="00CA3C6C" w:rsidRPr="00CA3C6C">
        <w:rPr>
          <w:bCs/>
        </w:rPr>
        <w:t>site lésionnel</w:t>
      </w:r>
      <w:r w:rsidR="00F23996">
        <w:t>,</w:t>
      </w:r>
      <w:r w:rsidR="00CA3C6C" w:rsidRPr="00CA3C6C">
        <w:t xml:space="preserve"> proximal (corps neuronaux moteurs et/ou sensitifs, une ou plusieurs racines nerveuses</w:t>
      </w:r>
      <w:r w:rsidR="00CA3C6C">
        <w:t>, plexus</w:t>
      </w:r>
      <w:r w:rsidR="00CA3C6C" w:rsidRPr="00CA3C6C">
        <w:t>), distal focal (mononeuropathie tronculaire), distal diffus (polyneuropat</w:t>
      </w:r>
      <w:r w:rsidR="00296BBD">
        <w:t xml:space="preserve">hie, mononeuropathie multiple) ou </w:t>
      </w:r>
      <w:proofErr w:type="spellStart"/>
      <w:r w:rsidR="00CA3C6C" w:rsidRPr="00CA3C6C">
        <w:t>proximo-distal</w:t>
      </w:r>
      <w:proofErr w:type="spellEnd"/>
      <w:r w:rsidR="00CA3C6C" w:rsidRPr="00CA3C6C">
        <w:t xml:space="preserve"> (polyradiculonévrite)</w:t>
      </w:r>
      <w:r w:rsidR="00F23996">
        <w:t> ;</w:t>
      </w:r>
      <w:r w:rsidR="0077438E">
        <w:t xml:space="preserve"> </w:t>
      </w:r>
      <w:r w:rsidR="00CA3C6C" w:rsidRPr="00CA3C6C">
        <w:t xml:space="preserve">3) </w:t>
      </w:r>
      <w:r w:rsidR="0077438E">
        <w:rPr>
          <w:bCs/>
        </w:rPr>
        <w:t>q</w:t>
      </w:r>
      <w:r w:rsidR="00CA3C6C" w:rsidRPr="00CA3C6C">
        <w:rPr>
          <w:bCs/>
        </w:rPr>
        <w:t>uantifier</w:t>
      </w:r>
      <w:r w:rsidR="00CA3C6C" w:rsidRPr="00CA3C6C">
        <w:t xml:space="preserve"> </w:t>
      </w:r>
      <w:r w:rsidR="005C3FE9">
        <w:t>(légère, modérée, moyenne, sévère, très sévère, complète) et évaluer le pronos</w:t>
      </w:r>
      <w:r w:rsidR="007C64C1">
        <w:t>tic fonctionnel</w:t>
      </w:r>
      <w:r w:rsidR="00CA3C6C" w:rsidRPr="00CA3C6C">
        <w:t xml:space="preserve"> d’une pathologie connue ou révélée par l’ENMG</w:t>
      </w:r>
      <w:r w:rsidR="000D1CB5">
        <w:rPr>
          <w:rStyle w:val="Marquenotebasdepage"/>
        </w:rPr>
        <w:footnoteReference w:id="-1"/>
      </w:r>
      <w:r w:rsidR="0077438E">
        <w:t xml:space="preserve"> et </w:t>
      </w:r>
      <w:r w:rsidR="00CA3C6C" w:rsidRPr="00CA3C6C">
        <w:t>4) </w:t>
      </w:r>
      <w:r w:rsidR="0077438E">
        <w:rPr>
          <w:bCs/>
        </w:rPr>
        <w:t>m</w:t>
      </w:r>
      <w:r w:rsidR="00CA3C6C" w:rsidRPr="00CA3C6C">
        <w:rPr>
          <w:bCs/>
        </w:rPr>
        <w:t>ontrer ce qu’aucun autre examen</w:t>
      </w:r>
      <w:r w:rsidR="00F23996">
        <w:rPr>
          <w:bCs/>
        </w:rPr>
        <w:t xml:space="preserve"> non invasif </w:t>
      </w:r>
      <w:r w:rsidR="00CA3C6C" w:rsidRPr="00CA3C6C">
        <w:rPr>
          <w:bCs/>
        </w:rPr>
        <w:t>ne peut montrer</w:t>
      </w:r>
      <w:r w:rsidR="00F23996">
        <w:rPr>
          <w:bCs/>
        </w:rPr>
        <w:t>, à savoir</w:t>
      </w:r>
      <w:r w:rsidR="00F23996">
        <w:t xml:space="preserve"> </w:t>
      </w:r>
      <w:r w:rsidR="00CA3C6C" w:rsidRPr="00CA3C6C">
        <w:t>un ralentissement</w:t>
      </w:r>
      <w:r w:rsidR="00CA3C6C">
        <w:t xml:space="preserve"> ou un bloc</w:t>
      </w:r>
      <w:r w:rsidR="00CA3C6C" w:rsidRPr="00CA3C6C">
        <w:t xml:space="preserve"> de la conduction nerveuse (</w:t>
      </w:r>
      <w:r w:rsidR="006238F6">
        <w:t xml:space="preserve">ex. : </w:t>
      </w:r>
      <w:r w:rsidR="00CA3C6C" w:rsidRPr="00CA3C6C">
        <w:t>syndrome canalaire</w:t>
      </w:r>
      <w:r w:rsidR="00F82A8B">
        <w:t>, neuropathie</w:t>
      </w:r>
      <w:r w:rsidR="00CA3C6C">
        <w:t xml:space="preserve"> </w:t>
      </w:r>
      <w:proofErr w:type="spellStart"/>
      <w:r w:rsidR="00CA3C6C">
        <w:t>d</w:t>
      </w:r>
      <w:r w:rsidR="00F82A8B">
        <w:t>ysimmunitaire</w:t>
      </w:r>
      <w:proofErr w:type="spellEnd"/>
      <w:r w:rsidR="00CA3C6C" w:rsidRPr="00CA3C6C">
        <w:t>), un bloc de la transmission neuromusculaire (</w:t>
      </w:r>
      <w:r w:rsidR="006238F6">
        <w:t>ex. : myasthénie</w:t>
      </w:r>
      <w:r w:rsidR="00CA3C6C" w:rsidRPr="00CA3C6C">
        <w:t>)</w:t>
      </w:r>
      <w:r w:rsidR="0077438E">
        <w:t>,</w:t>
      </w:r>
      <w:r w:rsidR="00CA3C6C" w:rsidRPr="00CA3C6C">
        <w:t xml:space="preserve"> un bloc </w:t>
      </w:r>
      <w:r w:rsidR="00CA3C6C">
        <w:t xml:space="preserve">de la conduction </w:t>
      </w:r>
      <w:r w:rsidR="00CA3C6C" w:rsidRPr="00CA3C6C">
        <w:t>musculair</w:t>
      </w:r>
      <w:r w:rsidR="00F33461">
        <w:t>e (</w:t>
      </w:r>
      <w:r w:rsidR="006238F6">
        <w:t>ex. : paralysie périodique</w:t>
      </w:r>
      <w:r w:rsidR="00CA3C6C">
        <w:t>), des anomalies infracliniques telles qu’</w:t>
      </w:r>
      <w:r w:rsidR="00CA3C6C" w:rsidRPr="00CA3C6C">
        <w:t xml:space="preserve">une perte axonale </w:t>
      </w:r>
      <w:r w:rsidR="00F33461">
        <w:t xml:space="preserve">très </w:t>
      </w:r>
      <w:r w:rsidR="00CA3C6C" w:rsidRPr="00CA3C6C">
        <w:t>chronique ou des décharges myotoniques</w:t>
      </w:r>
      <w:r>
        <w:t>.</w:t>
      </w:r>
    </w:p>
    <w:p w:rsidR="00CA3C6C" w:rsidRDefault="00CA3C6C" w:rsidP="0027401A">
      <w:pPr>
        <w:spacing w:line="360" w:lineRule="auto"/>
      </w:pPr>
    </w:p>
    <w:p w:rsidR="0077438E" w:rsidRDefault="00CA3C6C" w:rsidP="0027401A">
      <w:pPr>
        <w:tabs>
          <w:tab w:val="left" w:pos="6237"/>
        </w:tabs>
        <w:spacing w:line="360" w:lineRule="auto"/>
      </w:pPr>
      <w:r>
        <w:t>Dans le domaine de l’expertise et du dommage corporel</w:t>
      </w:r>
      <w:r w:rsidR="00C6541F">
        <w:t>, les buts de l’ENMG s</w:t>
      </w:r>
      <w:r w:rsidR="00F23996">
        <w:t xml:space="preserve">ont </w:t>
      </w:r>
      <w:r w:rsidR="00CB6452">
        <w:t>légèrement</w:t>
      </w:r>
      <w:r w:rsidR="00F23996">
        <w:t xml:space="preserve"> différents. I</w:t>
      </w:r>
      <w:r w:rsidR="00C6541F">
        <w:t>l s’agit</w:t>
      </w:r>
      <w:r w:rsidR="00F23996">
        <w:t xml:space="preserve"> : </w:t>
      </w:r>
      <w:r w:rsidR="00C6541F">
        <w:t>1) d’o</w:t>
      </w:r>
      <w:r w:rsidR="00F23996">
        <w:t>bjectiver une séquelle nerveuse ;</w:t>
      </w:r>
      <w:r w:rsidR="00C6541F">
        <w:t xml:space="preserve"> 2) </w:t>
      </w:r>
      <w:r w:rsidR="0077438E">
        <w:t xml:space="preserve">de </w:t>
      </w:r>
      <w:r w:rsidR="00F23996">
        <w:t>la quantifier ;</w:t>
      </w:r>
      <w:r w:rsidR="00C6541F">
        <w:t xml:space="preserve"> 3) de la comparer à un état antérieur</w:t>
      </w:r>
      <w:r w:rsidR="00976FB1">
        <w:t xml:space="preserve"> éventuel</w:t>
      </w:r>
      <w:r w:rsidR="00C6541F">
        <w:t xml:space="preserve"> et 4), </w:t>
      </w:r>
      <w:r w:rsidR="007E70EB">
        <w:t>si possible</w:t>
      </w:r>
      <w:r w:rsidR="00C6541F">
        <w:t>, d’imputer cette atteinte nerveuse périphérique à un traumatisme.</w:t>
      </w:r>
    </w:p>
    <w:p w:rsidR="000C2B3D" w:rsidRDefault="00892502" w:rsidP="0027401A">
      <w:pPr>
        <w:pStyle w:val="Titre2"/>
        <w:spacing w:line="360" w:lineRule="auto"/>
      </w:pPr>
      <w:r>
        <w:t>III</w:t>
      </w:r>
      <w:r w:rsidR="00FE3F8B">
        <w:t>.</w:t>
      </w:r>
      <w:r>
        <w:t xml:space="preserve"> </w:t>
      </w:r>
      <w:r w:rsidR="0077438E">
        <w:t>Apports de l’ENMG au médecin expert</w:t>
      </w:r>
    </w:p>
    <w:p w:rsidR="000A08F9" w:rsidRPr="000C2B3D" w:rsidRDefault="000A08F9" w:rsidP="000C2B3D"/>
    <w:p w:rsidR="005D7CCD" w:rsidRDefault="00405213" w:rsidP="0027401A">
      <w:pPr>
        <w:spacing w:line="360" w:lineRule="auto"/>
      </w:pPr>
      <w:r>
        <w:t>Sur le plan physiopathologique, il existe trois degré</w:t>
      </w:r>
      <w:r w:rsidR="00997416">
        <w:t>s</w:t>
      </w:r>
      <w:r>
        <w:t xml:space="preserve"> d’atteinte </w:t>
      </w:r>
      <w:r w:rsidR="00E06F86">
        <w:t>compressive ou traumatique du SNP</w:t>
      </w:r>
      <w:r>
        <w:t>. Le premier degré correspond au ralentissement isolé de la conduction nerveuse. Il traduit une atteinte strictement</w:t>
      </w:r>
      <w:r w:rsidR="002855DE">
        <w:t xml:space="preserve"> </w:t>
      </w:r>
      <w:r>
        <w:t>limitée aux gaines de myéline (dé</w:t>
      </w:r>
      <w:r w:rsidR="00A13686">
        <w:t>myélinisation</w:t>
      </w:r>
      <w:r w:rsidR="002855DE">
        <w:t xml:space="preserve">) et dont la récupération </w:t>
      </w:r>
      <w:r w:rsidR="00A13686">
        <w:t>(</w:t>
      </w:r>
      <w:proofErr w:type="spellStart"/>
      <w:r w:rsidR="00A13686">
        <w:t>remyélinisation</w:t>
      </w:r>
      <w:proofErr w:type="spellEnd"/>
      <w:r w:rsidR="00A13686">
        <w:t xml:space="preserve"> par des espaces </w:t>
      </w:r>
      <w:proofErr w:type="spellStart"/>
      <w:r w:rsidR="00A13686">
        <w:t>internodaux</w:t>
      </w:r>
      <w:proofErr w:type="spellEnd"/>
      <w:r w:rsidR="00A13686">
        <w:t xml:space="preserve"> plus courts) </w:t>
      </w:r>
      <w:r>
        <w:t xml:space="preserve">se fait sans séquelle </w:t>
      </w:r>
      <w:r w:rsidR="00A13686">
        <w:t xml:space="preserve">clinique </w:t>
      </w:r>
      <w:r>
        <w:t xml:space="preserve">fonctionnelle. </w:t>
      </w:r>
      <w:r w:rsidR="00B314FD">
        <w:t xml:space="preserve">Le second degré est atteint lorsqu’il existe une perte axonale sensitive et le troisième lorsqu’il s’y associe une perte axonale motrice. La récupération d’une lésion du deuxième ou du troisième degré est susceptible de s’accompagner d’une séquelle </w:t>
      </w:r>
      <w:r w:rsidR="006940E5">
        <w:t xml:space="preserve">clinique </w:t>
      </w:r>
      <w:r w:rsidR="00B314FD">
        <w:t>fonctionnelle</w:t>
      </w:r>
      <w:r w:rsidR="006940E5">
        <w:t>, en particulier si la perte axonale n’est pas compensée par la réinnervation</w:t>
      </w:r>
      <w:r w:rsidR="00B314FD">
        <w:t xml:space="preserve">. </w:t>
      </w:r>
      <w:r w:rsidR="00A63294">
        <w:t xml:space="preserve">Les outils </w:t>
      </w:r>
      <w:r w:rsidR="00D44BFE">
        <w:t>ENMG permet</w:t>
      </w:r>
      <w:r w:rsidR="00A63294">
        <w:t>tent</w:t>
      </w:r>
      <w:r w:rsidR="00D44BFE">
        <w:t xml:space="preserve"> de documenter ces trois niveaux d’atteinte. L’augmentation des latences distales (LD) et la diminution des vitesses de conduction (VC) révèlent le ralentissement focal de la conduction nerveuse au site de compression. </w:t>
      </w:r>
      <w:r w:rsidR="005D7CCD">
        <w:t xml:space="preserve">La diminution de l’amplitude des réponses sensitives, évoquées dans le territoire nerveux lésé, traduit la perte axonale sensitive. </w:t>
      </w:r>
      <w:r>
        <w:t xml:space="preserve">La réduction de la taille des réponses motrices et l’enregistrement de tracés neurogènes signent </w:t>
      </w:r>
      <w:r w:rsidR="00D44BFE">
        <w:t>le troisième</w:t>
      </w:r>
      <w:r>
        <w:t xml:space="preserve"> degré avec une réduction du nombre des unités motrices</w:t>
      </w:r>
      <w:r w:rsidR="00D44BFE">
        <w:t xml:space="preserve"> fonctionnelles</w:t>
      </w:r>
      <w:r w:rsidR="00A63294">
        <w:t xml:space="preserve"> et les processus de réinnervation qui s’en suivent</w:t>
      </w:r>
      <w:r>
        <w:t xml:space="preserve">. </w:t>
      </w:r>
    </w:p>
    <w:p w:rsidR="00972F6A" w:rsidRDefault="00972F6A" w:rsidP="0027401A">
      <w:pPr>
        <w:spacing w:line="360" w:lineRule="auto"/>
      </w:pPr>
    </w:p>
    <w:p w:rsidR="00982F43" w:rsidRDefault="0039645C" w:rsidP="0027401A">
      <w:pPr>
        <w:spacing w:line="360" w:lineRule="auto"/>
      </w:pPr>
      <w:r>
        <w:t xml:space="preserve">La question des apports de l’ENMG à la médecine d’expertise ne peut pas être abordée globalement. D’emblée, il faut souligner des apports différents selon le type d’atteinte du SNP et en particulier en fonction du </w:t>
      </w:r>
      <w:r w:rsidR="000A08F9">
        <w:t xml:space="preserve">site lésionnel. </w:t>
      </w:r>
      <w:r w:rsidR="001B4B32">
        <w:t xml:space="preserve"> Dans une atteinte distale (ex.</w:t>
      </w:r>
      <w:r>
        <w:t> :</w:t>
      </w:r>
      <w:r w:rsidR="001B4B32">
        <w:t xml:space="preserve"> neuropathie du nerf médian au poignet), tous les </w:t>
      </w:r>
      <w:r w:rsidR="00A17090">
        <w:t>paramètres d’analyse</w:t>
      </w:r>
      <w:r w:rsidR="001B4B32">
        <w:t xml:space="preserve"> sont à disposition, en particulier les </w:t>
      </w:r>
      <w:r w:rsidR="00A17090">
        <w:t>paramètres</w:t>
      </w:r>
      <w:r w:rsidR="001B4B32">
        <w:t xml:space="preserve"> les plus performants </w:t>
      </w:r>
      <w:r w:rsidR="00A17090">
        <w:t xml:space="preserve">(VC et LD sensitives et motrices) </w:t>
      </w:r>
      <w:r w:rsidR="001B4B32">
        <w:t>permettant de mesurer avec une grande précision tout ralentissement de la conduction nerveuse. Dans une atteinte proximale (ex.</w:t>
      </w:r>
      <w:r>
        <w:t> :</w:t>
      </w:r>
      <w:r w:rsidR="001B4B32">
        <w:t xml:space="preserve"> radiculopathie lombo-sacrée), l’ENMG est le plus souvent en échec pour </w:t>
      </w:r>
      <w:r>
        <w:t xml:space="preserve">documenter la </w:t>
      </w:r>
      <w:r w:rsidR="00F86B1A">
        <w:t>perte axonale sensitive</w:t>
      </w:r>
      <w:r w:rsidR="00982F43">
        <w:t xml:space="preserve"> </w:t>
      </w:r>
      <w:r w:rsidR="001B4B32">
        <w:t xml:space="preserve">et pour démontrer le ralentissement de la conduction nerveuse dans la zone de conflit. </w:t>
      </w:r>
    </w:p>
    <w:p w:rsidR="0077438E" w:rsidRPr="000A08F9" w:rsidRDefault="0077438E" w:rsidP="0027401A">
      <w:pPr>
        <w:spacing w:line="360" w:lineRule="auto"/>
      </w:pPr>
    </w:p>
    <w:p w:rsidR="000C2B3D" w:rsidRDefault="0077438E" w:rsidP="00892502">
      <w:pPr>
        <w:pStyle w:val="Titre3"/>
        <w:numPr>
          <w:ilvl w:val="0"/>
          <w:numId w:val="6"/>
        </w:numPr>
        <w:spacing w:line="360" w:lineRule="auto"/>
        <w:ind w:left="284" w:hanging="284"/>
      </w:pPr>
      <w:r>
        <w:t>Apports certains</w:t>
      </w:r>
    </w:p>
    <w:p w:rsidR="0077438E" w:rsidRPr="000C2B3D" w:rsidRDefault="0077438E" w:rsidP="000C2B3D"/>
    <w:p w:rsidR="00A63294" w:rsidRDefault="00F61153" w:rsidP="0027401A">
      <w:pPr>
        <w:spacing w:line="360" w:lineRule="auto"/>
      </w:pPr>
      <w:r>
        <w:t>Il ressort de</w:t>
      </w:r>
      <w:r w:rsidR="0099076D">
        <w:t>s données de</w:t>
      </w:r>
      <w:r>
        <w:t xml:space="preserve"> la littérature</w:t>
      </w:r>
      <w:r w:rsidR="0099076D">
        <w:t xml:space="preserve"> et de la pratique journalière de l’ENMG </w:t>
      </w:r>
      <w:r w:rsidR="0077438E">
        <w:t>que</w:t>
      </w:r>
      <w:r w:rsidR="00D176D5">
        <w:t xml:space="preserve"> </w:t>
      </w:r>
      <w:r w:rsidR="0099076D">
        <w:t>les explorations électrophysiologiques</w:t>
      </w:r>
      <w:r w:rsidR="00D176D5">
        <w:t xml:space="preserve"> permet</w:t>
      </w:r>
      <w:r w:rsidR="0099076D">
        <w:t>tent</w:t>
      </w:r>
      <w:r w:rsidR="00D176D5">
        <w:t xml:space="preserve"> d’apporter la preuve d’une atteinte focale distale (ex.</w:t>
      </w:r>
      <w:r w:rsidR="0039645C">
        <w:t xml:space="preserve"> : </w:t>
      </w:r>
      <w:r w:rsidR="00D176D5">
        <w:t xml:space="preserve">neuropathie du nerf médian au poignet, du nerf ulnaire au coude, du nerf fibulaire à la tête de la </w:t>
      </w:r>
      <w:proofErr w:type="spellStart"/>
      <w:r w:rsidR="00D176D5" w:rsidRPr="00D176D5">
        <w:rPr>
          <w:i/>
        </w:rPr>
        <w:t>fibula</w:t>
      </w:r>
      <w:proofErr w:type="spellEnd"/>
      <w:r w:rsidR="00D176D5">
        <w:t xml:space="preserve"> </w:t>
      </w:r>
      <w:proofErr w:type="spellStart"/>
      <w:proofErr w:type="gramStart"/>
      <w:r w:rsidR="00D176D5">
        <w:t>etc</w:t>
      </w:r>
      <w:proofErr w:type="spellEnd"/>
      <w:r w:rsidR="00D176D5">
        <w:t>…)</w:t>
      </w:r>
      <w:proofErr w:type="gramEnd"/>
      <w:r w:rsidR="00D176D5">
        <w:t>.</w:t>
      </w:r>
      <w:r w:rsidR="0074454F">
        <w:t xml:space="preserve"> </w:t>
      </w:r>
      <w:r w:rsidR="00067335">
        <w:t xml:space="preserve">En effet, les techniques </w:t>
      </w:r>
      <w:proofErr w:type="spellStart"/>
      <w:r w:rsidR="00F86B1A">
        <w:t>neurographiques</w:t>
      </w:r>
      <w:proofErr w:type="spellEnd"/>
      <w:r w:rsidR="00067335">
        <w:t xml:space="preserve"> (fibres sensitives et motrices) </w:t>
      </w:r>
      <w:r w:rsidR="0039645C">
        <w:t>montrent</w:t>
      </w:r>
      <w:r w:rsidR="00067335">
        <w:t xml:space="preserve"> avec une très grande fiabilité et sensibilité </w:t>
      </w:r>
      <w:r w:rsidR="0039645C">
        <w:t>les</w:t>
      </w:r>
      <w:r w:rsidR="00067335">
        <w:t xml:space="preserve"> ralentissement</w:t>
      </w:r>
      <w:r w:rsidR="0039645C">
        <w:t>s focaux</w:t>
      </w:r>
      <w:r w:rsidR="00067335">
        <w:t xml:space="preserve"> de la conduction nerveuse.</w:t>
      </w:r>
      <w:r w:rsidR="001B4B32">
        <w:t xml:space="preserve"> Contrairement</w:t>
      </w:r>
      <w:r w:rsidR="00FE1329">
        <w:t xml:space="preserve"> à une atteinte proximale, </w:t>
      </w:r>
      <w:proofErr w:type="spellStart"/>
      <w:r w:rsidR="00FE1329">
        <w:t>distalement</w:t>
      </w:r>
      <w:proofErr w:type="spellEnd"/>
      <w:r w:rsidR="00FE1329">
        <w:t>, il est possible de stimuler le tronc nerveux de part et d’autre du site lésionnel ou de stimuler le nerf en amont de la lésion et d’enregistrer la réponse évoquée en aval</w:t>
      </w:r>
      <w:r w:rsidR="00166842">
        <w:t xml:space="preserve"> de </w:t>
      </w:r>
      <w:r w:rsidR="00FE1B7A">
        <w:t>celle-ci</w:t>
      </w:r>
      <w:r w:rsidR="00166842">
        <w:t xml:space="preserve"> (ou inversement). </w:t>
      </w:r>
    </w:p>
    <w:p w:rsidR="00FE1329" w:rsidRDefault="00FE1329" w:rsidP="0027401A">
      <w:pPr>
        <w:spacing w:line="360" w:lineRule="auto"/>
      </w:pPr>
    </w:p>
    <w:p w:rsidR="00436615" w:rsidRDefault="00FE1329" w:rsidP="0027401A">
      <w:pPr>
        <w:spacing w:line="360" w:lineRule="auto"/>
      </w:pPr>
      <w:r>
        <w:t xml:space="preserve">L’interprétation des anomalies mesurées (allongement des </w:t>
      </w:r>
      <w:r w:rsidR="00A63294">
        <w:t>LD</w:t>
      </w:r>
      <w:r>
        <w:t xml:space="preserve"> et diminution des </w:t>
      </w:r>
      <w:r w:rsidR="00A63294">
        <w:t>VC</w:t>
      </w:r>
      <w:r w:rsidR="00FE1B7A">
        <w:t xml:space="preserve"> en particulier</w:t>
      </w:r>
      <w:r>
        <w:t>) est aisée pour autant que certaines précautions méthodologiques soient prises.</w:t>
      </w:r>
      <w:r w:rsidR="00072396">
        <w:t xml:space="preserve"> Il faut notamment s’assurer que les anomalies enregistrées ne </w:t>
      </w:r>
      <w:r w:rsidR="00AD6D08">
        <w:t>soient</w:t>
      </w:r>
      <w:r w:rsidR="00072396">
        <w:t xml:space="preserve"> pas liées à un facteur « physiologique » (ex.</w:t>
      </w:r>
      <w:r w:rsidR="0039645C">
        <w:t xml:space="preserve"> : </w:t>
      </w:r>
      <w:r w:rsidR="00072396">
        <w:t xml:space="preserve">extrémités froides) ou à une atteinte diffuse du </w:t>
      </w:r>
      <w:r w:rsidR="00453A4B">
        <w:t>SNP</w:t>
      </w:r>
      <w:r w:rsidR="00072396">
        <w:t xml:space="preserve"> (ex.</w:t>
      </w:r>
      <w:r w:rsidR="0039645C">
        <w:t xml:space="preserve"> : </w:t>
      </w:r>
      <w:r w:rsidR="00072396">
        <w:t>polyneuropathie).</w:t>
      </w:r>
    </w:p>
    <w:p w:rsidR="00436615" w:rsidRDefault="00436615" w:rsidP="0027401A">
      <w:pPr>
        <w:spacing w:line="360" w:lineRule="auto"/>
      </w:pPr>
    </w:p>
    <w:p w:rsidR="00C04B60" w:rsidRDefault="00436615" w:rsidP="0027401A">
      <w:pPr>
        <w:spacing w:line="360" w:lineRule="auto"/>
      </w:pPr>
      <w:r>
        <w:t>Pour certaines pathologies, il existe des recommandations internationales quant à la stratégie à mettre en œuvre.</w:t>
      </w:r>
      <w:r w:rsidR="00AD6D08">
        <w:t xml:space="preserve"> Concernant la neuropathie du nerf médian au poignet (syndrome du canal carpien), les recommandations de l’</w:t>
      </w:r>
      <w:r w:rsidR="00794408">
        <w:t>association</w:t>
      </w:r>
      <w:r w:rsidR="00AD6D08">
        <w:t xml:space="preserve"> américaine d’ENMG précisent </w:t>
      </w:r>
      <w:r w:rsidR="000838AD">
        <w:t xml:space="preserve">notamment </w:t>
      </w:r>
      <w:r w:rsidR="00AD6D08">
        <w:t>qu’il faut : 1) r</w:t>
      </w:r>
      <w:r w:rsidR="00AD6D08" w:rsidRPr="00AD6D08">
        <w:t>éaliser une mesure de la VC</w:t>
      </w:r>
      <w:r w:rsidR="00AD6D08">
        <w:t xml:space="preserve"> sensitive</w:t>
      </w:r>
      <w:r w:rsidR="00AD6D08" w:rsidRPr="00AD6D08">
        <w:t xml:space="preserve"> du </w:t>
      </w:r>
      <w:r w:rsidR="00AD6D08">
        <w:t xml:space="preserve">nerf médian à travers le canal </w:t>
      </w:r>
      <w:r w:rsidR="00AD6D08" w:rsidRPr="00AD6D08">
        <w:t>carpien (segment de 13-14 cm) e</w:t>
      </w:r>
      <w:r w:rsidR="00AD6D08">
        <w:t xml:space="preserve">t/ou une mesure de la VC mixte </w:t>
      </w:r>
      <w:r w:rsidR="00AD6D08" w:rsidRPr="00AD6D08">
        <w:t>du nerf médian à travers le canal carpien (segment de 7-8 cm)</w:t>
      </w:r>
      <w:r w:rsidR="00AD6D08">
        <w:t xml:space="preserve">, 2) </w:t>
      </w:r>
      <w:r w:rsidR="00AD6D08">
        <w:rPr>
          <w:bCs/>
        </w:rPr>
        <w:t>c</w:t>
      </w:r>
      <w:r w:rsidR="00AD6D08" w:rsidRPr="00AD6D08">
        <w:rPr>
          <w:bCs/>
        </w:rPr>
        <w:t xml:space="preserve">omparer </w:t>
      </w:r>
      <w:r w:rsidR="00AD6D08" w:rsidRPr="00AD6D08">
        <w:t>cette mesure à celle d’u</w:t>
      </w:r>
      <w:r w:rsidR="00AD6D08">
        <w:t xml:space="preserve">n nerf adjacent (nerf ulnaire) </w:t>
      </w:r>
      <w:r w:rsidR="00AD6D08" w:rsidRPr="00AD6D08">
        <w:t>sur un segment de longueur comparable</w:t>
      </w:r>
      <w:r w:rsidR="00AD6D08">
        <w:t>, 3)</w:t>
      </w:r>
      <w:r w:rsidR="00AD6D08" w:rsidRPr="00AD6D08">
        <w:t xml:space="preserve"> </w:t>
      </w:r>
      <w:r w:rsidR="00AD6D08">
        <w:t>r</w:t>
      </w:r>
      <w:r w:rsidR="00AD6D08" w:rsidRPr="00AD6D08">
        <w:t>éaliser une mesure de la LD</w:t>
      </w:r>
      <w:r w:rsidR="00AD6D08">
        <w:t xml:space="preserve"> motrice</w:t>
      </w:r>
      <w:r w:rsidR="00AD6D08" w:rsidRPr="00AD6D08">
        <w:t xml:space="preserve"> du nerf médian</w:t>
      </w:r>
      <w:r w:rsidR="00AD6D08">
        <w:t xml:space="preserve">, 4) </w:t>
      </w:r>
      <w:r w:rsidR="00AD6D08" w:rsidRPr="00AD6D08">
        <w:rPr>
          <w:bCs/>
        </w:rPr>
        <w:t xml:space="preserve">Comparer </w:t>
      </w:r>
      <w:r w:rsidR="00AD6D08" w:rsidRPr="00AD6D08">
        <w:t>cette mesure à celle d’u</w:t>
      </w:r>
      <w:r w:rsidR="00AD6D08">
        <w:t xml:space="preserve">n nerf adjacent (nerf ulnaire) </w:t>
      </w:r>
      <w:r w:rsidR="00AD6D08" w:rsidRPr="00AD6D08">
        <w:t>sur un segment de longueur comparable</w:t>
      </w:r>
      <w:r w:rsidR="000D1CB5">
        <w:rPr>
          <w:rStyle w:val="Marquenotebasdepage"/>
        </w:rPr>
        <w:footnoteReference w:id="0"/>
      </w:r>
      <w:r w:rsidR="00AD6D08">
        <w:t>.</w:t>
      </w:r>
    </w:p>
    <w:p w:rsidR="000C2B3D" w:rsidRDefault="00892502" w:rsidP="00892502">
      <w:pPr>
        <w:pStyle w:val="Titre3"/>
        <w:spacing w:line="360" w:lineRule="auto"/>
        <w:ind w:left="284" w:hanging="284"/>
      </w:pPr>
      <w:r>
        <w:t>2.</w:t>
      </w:r>
      <w:r w:rsidR="00C04B60">
        <w:t xml:space="preserve"> </w:t>
      </w:r>
      <w:r>
        <w:tab/>
      </w:r>
      <w:r w:rsidR="00D1134F">
        <w:t>Apports probables</w:t>
      </w:r>
    </w:p>
    <w:p w:rsidR="00545369" w:rsidRPr="000C2B3D" w:rsidRDefault="00545369" w:rsidP="000C2B3D"/>
    <w:p w:rsidR="000C2B3D" w:rsidRPr="00892502" w:rsidRDefault="00892502" w:rsidP="00892502">
      <w:pPr>
        <w:spacing w:line="360" w:lineRule="auto"/>
        <w:rPr>
          <w:b/>
        </w:rPr>
      </w:pPr>
      <w:r>
        <w:rPr>
          <w:b/>
        </w:rPr>
        <w:t xml:space="preserve">A. </w:t>
      </w:r>
      <w:r w:rsidR="00545369" w:rsidRPr="00892502">
        <w:rPr>
          <w:b/>
        </w:rPr>
        <w:t xml:space="preserve">Neuropathies focales distales légères </w:t>
      </w:r>
      <w:proofErr w:type="gramStart"/>
      <w:r w:rsidR="00545369" w:rsidRPr="00892502">
        <w:rPr>
          <w:b/>
        </w:rPr>
        <w:t>à</w:t>
      </w:r>
      <w:proofErr w:type="gramEnd"/>
      <w:r w:rsidR="00545369" w:rsidRPr="00892502">
        <w:rPr>
          <w:b/>
        </w:rPr>
        <w:t xml:space="preserve"> modérées</w:t>
      </w:r>
    </w:p>
    <w:p w:rsidR="00D1134F" w:rsidRPr="000C2B3D" w:rsidRDefault="00D1134F" w:rsidP="000C2B3D">
      <w:pPr>
        <w:spacing w:line="360" w:lineRule="auto"/>
        <w:ind w:left="360"/>
        <w:rPr>
          <w:b/>
        </w:rPr>
      </w:pPr>
    </w:p>
    <w:p w:rsidR="001E3DC1" w:rsidRDefault="00C118CF" w:rsidP="0027401A">
      <w:pPr>
        <w:spacing w:line="360" w:lineRule="auto"/>
      </w:pPr>
      <w:r>
        <w:t xml:space="preserve">Apporter la preuve d’une discrète atteinte focale distale pose le problème des valeurs normatives auxquelles nous confrontons nos mesures pour décider que celles-ci sont normales ou pathologiques. Les limites de normalité des techniques ENMG quantitatives sont définies par des outils statistiques (moyenne </w:t>
      </w:r>
      <w:r>
        <w:sym w:font="Symbol" w:char="F0B1"/>
      </w:r>
      <w:r>
        <w:t xml:space="preserve"> </w:t>
      </w:r>
      <w:proofErr w:type="spellStart"/>
      <w:r>
        <w:t>écart-type</w:t>
      </w:r>
      <w:proofErr w:type="spellEnd"/>
      <w:r>
        <w:t>, méthode des percentiles</w:t>
      </w:r>
      <w:r w:rsidR="00976FB1">
        <w:t xml:space="preserve">, </w:t>
      </w:r>
      <w:r w:rsidR="00C67384">
        <w:t>etc.</w:t>
      </w:r>
      <w:r>
        <w:t>). Chaque limite inférieure ou supérieure de la normale est calculée en acceptant un risque statistique de se tromper qui est souvent de l’ordre de</w:t>
      </w:r>
      <w:r w:rsidR="006940E5">
        <w:t xml:space="preserve"> 1 à</w:t>
      </w:r>
      <w:r>
        <w:t xml:space="preserve"> 5%. Comme par ailleurs, il existe toujours un certain chevauchement des populations réputées saines et des populations dites pathologiques, aucune technique ne peut offrir 100% de sensibilité (pas de </w:t>
      </w:r>
      <w:proofErr w:type="spellStart"/>
      <w:r>
        <w:t>faux-négatif</w:t>
      </w:r>
      <w:proofErr w:type="spellEnd"/>
      <w:r>
        <w:t xml:space="preserve">) et 100% de spécificité (pas de </w:t>
      </w:r>
      <w:proofErr w:type="spellStart"/>
      <w:r>
        <w:t>faux-positif</w:t>
      </w:r>
      <w:proofErr w:type="spellEnd"/>
      <w:r>
        <w:t>).</w:t>
      </w:r>
      <w:r w:rsidR="004C1CA9">
        <w:t xml:space="preserve"> Pour diminuer le risque statistique, il faut multiplier les mesures et varier les référentiels (comparaison avec un nerf adjacent, comparaison de deux segments d’un même nerf, comparaison avec le côté supposé sain)</w:t>
      </w:r>
      <w:r w:rsidR="000D1CB5">
        <w:rPr>
          <w:rStyle w:val="Marquenotebasdepage"/>
        </w:rPr>
        <w:footnoteReference w:id="1"/>
      </w:r>
      <w:r w:rsidR="004C1CA9">
        <w:t xml:space="preserve">. </w:t>
      </w:r>
    </w:p>
    <w:p w:rsidR="001E3DC1" w:rsidRDefault="001E3DC1" w:rsidP="0027401A">
      <w:pPr>
        <w:spacing w:line="360" w:lineRule="auto"/>
      </w:pPr>
    </w:p>
    <w:p w:rsidR="00545369" w:rsidRDefault="004C1CA9" w:rsidP="0027401A">
      <w:pPr>
        <w:spacing w:line="360" w:lineRule="auto"/>
      </w:pPr>
      <w:r>
        <w:t xml:space="preserve">La stratégie développée au CHU de Liège </w:t>
      </w:r>
      <w:r w:rsidR="001E3DC1">
        <w:t xml:space="preserve">pour explorer le syndrome du canal carpien </w:t>
      </w:r>
      <w:r>
        <w:t xml:space="preserve">permet d’atteindre une spécificité de 100% et une sensibilité de </w:t>
      </w:r>
      <w:r w:rsidR="001E3DC1">
        <w:t>89%</w:t>
      </w:r>
      <w:r w:rsidR="00A5125C">
        <w:rPr>
          <w:rStyle w:val="Marquenotebasdepage"/>
        </w:rPr>
        <w:footnoteReference w:id="2"/>
      </w:r>
      <w:r w:rsidR="001E3DC1">
        <w:t xml:space="preserve">. </w:t>
      </w:r>
      <w:r w:rsidR="00502946">
        <w:t xml:space="preserve">Une neuropathie légère du nerf médian au poignet </w:t>
      </w:r>
      <w:r w:rsidR="00CC29E7">
        <w:t>peut</w:t>
      </w:r>
      <w:r w:rsidR="00502946">
        <w:t xml:space="preserve"> donc échapper à la mise en évidence ENMG. Par contre, dans le cadre de l’évaluation d’une séquelle de syndrome du canal carpien, après un</w:t>
      </w:r>
      <w:r w:rsidR="00545369">
        <w:t>e</w:t>
      </w:r>
      <w:r w:rsidR="00502946">
        <w:t xml:space="preserve"> cure chirurgicale, la normalité de l’exploration neurophysiologique, mêm</w:t>
      </w:r>
      <w:r w:rsidR="00545369">
        <w:t xml:space="preserve">e s’il s’agit d’un faux négatif, permet de conclure à l’absence de séquelle </w:t>
      </w:r>
      <w:r w:rsidR="00F120B0">
        <w:t xml:space="preserve">clinique </w:t>
      </w:r>
      <w:r w:rsidR="00545369">
        <w:t>significative</w:t>
      </w:r>
      <w:r w:rsidR="00C67384">
        <w:t xml:space="preserve">. En effet, une séquelle </w:t>
      </w:r>
      <w:r w:rsidR="00F120B0">
        <w:t xml:space="preserve">strictement </w:t>
      </w:r>
      <w:proofErr w:type="spellStart"/>
      <w:r w:rsidR="00C67384">
        <w:t>myélinique</w:t>
      </w:r>
      <w:proofErr w:type="spellEnd"/>
      <w:r w:rsidR="00F120B0">
        <w:t xml:space="preserve"> (sans perte axonale associée)</w:t>
      </w:r>
      <w:r w:rsidR="00C67384">
        <w:t xml:space="preserve">, </w:t>
      </w:r>
      <w:r w:rsidR="00C67384" w:rsidRPr="00C67384">
        <w:rPr>
          <w:i/>
        </w:rPr>
        <w:t>a fortiori</w:t>
      </w:r>
      <w:r w:rsidR="00C67384">
        <w:t xml:space="preserve"> </w:t>
      </w:r>
      <w:proofErr w:type="spellStart"/>
      <w:r w:rsidR="00C67384">
        <w:t>infra-ENMG</w:t>
      </w:r>
      <w:proofErr w:type="spellEnd"/>
      <w:r w:rsidR="00C67384">
        <w:t>, n’</w:t>
      </w:r>
      <w:r w:rsidR="00F120B0">
        <w:t xml:space="preserve">a </w:t>
      </w:r>
      <w:r w:rsidR="00C67384">
        <w:t>habituellement aucune traduction clinique</w:t>
      </w:r>
      <w:r w:rsidR="00545369">
        <w:t>.</w:t>
      </w:r>
    </w:p>
    <w:p w:rsidR="00545369" w:rsidRDefault="00545369" w:rsidP="0027401A">
      <w:pPr>
        <w:spacing w:line="360" w:lineRule="auto"/>
      </w:pPr>
    </w:p>
    <w:p w:rsidR="000C2B3D" w:rsidRDefault="00892502" w:rsidP="0027401A">
      <w:pPr>
        <w:spacing w:line="360" w:lineRule="auto"/>
        <w:rPr>
          <w:b/>
        </w:rPr>
      </w:pPr>
      <w:r>
        <w:rPr>
          <w:b/>
        </w:rPr>
        <w:t xml:space="preserve">B. </w:t>
      </w:r>
      <w:r w:rsidR="00545369" w:rsidRPr="00545369">
        <w:rPr>
          <w:b/>
        </w:rPr>
        <w:t>Radiculopathies</w:t>
      </w:r>
    </w:p>
    <w:p w:rsidR="000C2B3D" w:rsidRDefault="000C2B3D" w:rsidP="0027401A">
      <w:pPr>
        <w:spacing w:line="360" w:lineRule="auto"/>
        <w:rPr>
          <w:b/>
        </w:rPr>
      </w:pPr>
    </w:p>
    <w:p w:rsidR="001D3207" w:rsidRDefault="000C2B3D" w:rsidP="0027401A">
      <w:pPr>
        <w:spacing w:line="360" w:lineRule="auto"/>
      </w:pPr>
      <w:r w:rsidRPr="000C2B3D">
        <w:t xml:space="preserve">La fiabilité </w:t>
      </w:r>
      <w:r w:rsidR="001D3207">
        <w:t xml:space="preserve">et la sensibilité </w:t>
      </w:r>
      <w:r>
        <w:t xml:space="preserve">de l’ENMG dans les radiculopathies </w:t>
      </w:r>
      <w:r w:rsidR="001D3207">
        <w:t>sont</w:t>
      </w:r>
      <w:r>
        <w:t xml:space="preserve"> moindre</w:t>
      </w:r>
      <w:r w:rsidR="001D3207">
        <w:t>s</w:t>
      </w:r>
      <w:r>
        <w:t xml:space="preserve"> que dans les neuropathies focales distales. </w:t>
      </w:r>
      <w:r w:rsidR="002101BB">
        <w:t>Plusieur</w:t>
      </w:r>
      <w:r w:rsidR="001D3207">
        <w:t>s raisons peuvent être avancées</w:t>
      </w:r>
      <w:r w:rsidR="002101BB">
        <w:t xml:space="preserve">. </w:t>
      </w:r>
    </w:p>
    <w:p w:rsidR="001D3207" w:rsidRDefault="001D3207" w:rsidP="0027401A">
      <w:pPr>
        <w:spacing w:line="360" w:lineRule="auto"/>
      </w:pPr>
    </w:p>
    <w:p w:rsidR="001D3207" w:rsidRDefault="000F33ED" w:rsidP="0027401A">
      <w:pPr>
        <w:spacing w:line="360" w:lineRule="auto"/>
      </w:pPr>
      <w:r>
        <w:t xml:space="preserve">Les premiers stades de la compression nerveuse échappent à l’ENMG. En </w:t>
      </w:r>
      <w:r w:rsidR="00E81B15">
        <w:t>particulier</w:t>
      </w:r>
      <w:r>
        <w:t>, l</w:t>
      </w:r>
      <w:r w:rsidR="002101BB">
        <w:t xml:space="preserve">es techniques </w:t>
      </w:r>
      <w:proofErr w:type="spellStart"/>
      <w:r w:rsidR="002101BB">
        <w:t>neurographiques</w:t>
      </w:r>
      <w:proofErr w:type="spellEnd"/>
      <w:r w:rsidR="002101BB">
        <w:t xml:space="preserve"> ne permettent pas de documenter le ralentissement de la conduction nerveuse secondaire à la compression radiculaire. En effet, il n’est pas techniquement possible d’explorer la racine nerveuse de part et d’autre de la zone de conflit. </w:t>
      </w:r>
      <w:r w:rsidR="007327D4">
        <w:t xml:space="preserve">De plus, l’ENMG ne peut pas mettre en évidence une atteinte </w:t>
      </w:r>
      <w:proofErr w:type="spellStart"/>
      <w:r w:rsidR="007327D4">
        <w:t>pré-ganglionnaire</w:t>
      </w:r>
      <w:proofErr w:type="spellEnd"/>
      <w:r w:rsidR="007327D4">
        <w:t xml:space="preserve"> de la racine sensitive</w:t>
      </w:r>
      <w:r>
        <w:t xml:space="preserve">, même si celle-ci </w:t>
      </w:r>
      <w:r w:rsidR="00E81B15">
        <w:t>est</w:t>
      </w:r>
      <w:r>
        <w:t xml:space="preserve"> complète</w:t>
      </w:r>
      <w:r w:rsidR="009F46CB">
        <w:t xml:space="preserve"> (absence de dégénérescence distale des axones sensitifs).</w:t>
      </w:r>
      <w:r w:rsidR="007327D4">
        <w:t xml:space="preserve"> </w:t>
      </w:r>
      <w:r w:rsidR="002101BB">
        <w:t xml:space="preserve">Autrement dit, </w:t>
      </w:r>
      <w:r w:rsidR="009F46CB">
        <w:t xml:space="preserve">les </w:t>
      </w:r>
      <w:r w:rsidR="00C346AB">
        <w:t>paramètres d’analyse</w:t>
      </w:r>
      <w:r w:rsidR="009F46CB">
        <w:t xml:space="preserve"> sont peu nombreux pour démo</w:t>
      </w:r>
      <w:r w:rsidR="00D507AF">
        <w:t xml:space="preserve">ntrer l’atteinte radiculaire, </w:t>
      </w:r>
      <w:r w:rsidR="00CC29E7">
        <w:t>le diagnostic reposant</w:t>
      </w:r>
      <w:r w:rsidR="002101BB">
        <w:t xml:space="preserve"> principalement sur la mise en évidence</w:t>
      </w:r>
      <w:r w:rsidR="00CB6DB5">
        <w:t>, dans la musculature des membres,</w:t>
      </w:r>
      <w:r w:rsidR="002101BB">
        <w:t xml:space="preserve"> de signes de dénervation/réinnervation</w:t>
      </w:r>
      <w:r w:rsidR="00CB6DB5">
        <w:t xml:space="preserve"> </w:t>
      </w:r>
      <w:r w:rsidR="00E81B15">
        <w:t xml:space="preserve">à l’EMG par </w:t>
      </w:r>
      <w:proofErr w:type="spellStart"/>
      <w:r w:rsidR="00E81B15">
        <w:t>aigui</w:t>
      </w:r>
      <w:r w:rsidR="00CC29E7">
        <w:t>lle-électrode</w:t>
      </w:r>
      <w:proofErr w:type="spellEnd"/>
      <w:r w:rsidR="00CC29E7">
        <w:t>. De plus</w:t>
      </w:r>
      <w:r w:rsidR="00774C0C">
        <w:t>, en</w:t>
      </w:r>
      <w:r>
        <w:t xml:space="preserve"> comparaison avec une neuropathie tronculaire distale, le diagnostic de radiculopathie ne peut se faire qu’à un stade relativement avancé de compression, à un </w:t>
      </w:r>
      <w:r w:rsidR="00E81B15">
        <w:t>stade</w:t>
      </w:r>
      <w:r>
        <w:t xml:space="preserve"> où existe déjà une perte axonale motrice. </w:t>
      </w:r>
    </w:p>
    <w:p w:rsidR="001D3207" w:rsidRDefault="001D3207" w:rsidP="0027401A">
      <w:pPr>
        <w:spacing w:line="360" w:lineRule="auto"/>
      </w:pPr>
    </w:p>
    <w:p w:rsidR="001D3207" w:rsidRDefault="001D3207" w:rsidP="0027401A">
      <w:pPr>
        <w:spacing w:line="360" w:lineRule="auto"/>
      </w:pPr>
      <w:r>
        <w:t>Il persiste toujours aussi un certain degré d’incertitude quant au site lésionnel précis, puisqu’il n’est pas possible, comme dans une neuropathie tronculaire distale, de documenter le ralentissement focal de la conduction nerveuse au site présumé de compression</w:t>
      </w:r>
      <w:r w:rsidR="00DB351E">
        <w:t>.</w:t>
      </w:r>
    </w:p>
    <w:p w:rsidR="001D3207" w:rsidRDefault="001D3207" w:rsidP="0027401A">
      <w:pPr>
        <w:spacing w:line="360" w:lineRule="auto"/>
      </w:pPr>
    </w:p>
    <w:p w:rsidR="00CB6DB5" w:rsidRDefault="007327D4" w:rsidP="0027401A">
      <w:pPr>
        <w:spacing w:line="360" w:lineRule="auto"/>
      </w:pPr>
      <w:r>
        <w:t>Enfin, il existe une raison anatomique incontournable</w:t>
      </w:r>
      <w:r w:rsidR="00D55BD7">
        <w:t>.</w:t>
      </w:r>
      <w:r w:rsidR="00166842">
        <w:t xml:space="preserve"> L’innervation musculaire est le plus souvent </w:t>
      </w:r>
      <w:proofErr w:type="spellStart"/>
      <w:r w:rsidR="00166842">
        <w:t>pluriradiculaire</w:t>
      </w:r>
      <w:proofErr w:type="spellEnd"/>
      <w:r w:rsidR="00166842">
        <w:t>. Dès lors, l’atteinte partielle d’une seule racine peut n’avoir quasi aucune traduction à l’EMG.</w:t>
      </w:r>
    </w:p>
    <w:p w:rsidR="00C04B60" w:rsidRPr="000C2B3D" w:rsidRDefault="002101BB" w:rsidP="0027401A">
      <w:pPr>
        <w:spacing w:line="360" w:lineRule="auto"/>
      </w:pPr>
      <w:r>
        <w:t xml:space="preserve"> </w:t>
      </w:r>
      <w:r w:rsidR="000C2B3D">
        <w:t xml:space="preserve"> </w:t>
      </w:r>
    </w:p>
    <w:p w:rsidR="000C2B3D" w:rsidRDefault="00C04B60" w:rsidP="0027401A">
      <w:pPr>
        <w:spacing w:line="360" w:lineRule="auto"/>
      </w:pPr>
      <w:r w:rsidRPr="00C04B60">
        <w:t>La société</w:t>
      </w:r>
      <w:r>
        <w:t xml:space="preserve"> savante américaine </w:t>
      </w:r>
      <w:r w:rsidRPr="00C04B60">
        <w:rPr>
          <w:i/>
        </w:rPr>
        <w:t>AANEM</w:t>
      </w:r>
      <w:r>
        <w:t>, propose en 2010 une revue, sur le principe de la médecine fondée sur les faits</w:t>
      </w:r>
      <w:r w:rsidR="00A5125C">
        <w:rPr>
          <w:rStyle w:val="Marquenotebasdepage"/>
        </w:rPr>
        <w:footnoteReference w:id="3"/>
      </w:r>
      <w:r>
        <w:t>.</w:t>
      </w:r>
      <w:r w:rsidR="00F41BEF">
        <w:t xml:space="preserve"> </w:t>
      </w:r>
      <w:r w:rsidR="00AC2C1F">
        <w:t>Il n’y a pas d’évidence de classe 1 (études prospectives randomisées en double aveugle sur un large effectif). Par contre, i</w:t>
      </w:r>
      <w:r w:rsidR="00F41BEF">
        <w:t xml:space="preserve">l ressort de cette revue </w:t>
      </w:r>
      <w:r w:rsidR="00EB726C">
        <w:t>que</w:t>
      </w:r>
      <w:r w:rsidR="00253B46">
        <w:t> :</w:t>
      </w:r>
      <w:r w:rsidR="00EB726C">
        <w:t xml:space="preserve"> 1) </w:t>
      </w:r>
      <w:r w:rsidR="00EB726C" w:rsidRPr="00EB726C">
        <w:t xml:space="preserve">chez les patients suspects d’avoir une radiculopathie lombo-sacrée, </w:t>
      </w:r>
      <w:r w:rsidR="00253B46">
        <w:t>l’</w:t>
      </w:r>
      <w:r w:rsidR="00253B46" w:rsidRPr="00EB726C">
        <w:rPr>
          <w:bCs/>
        </w:rPr>
        <w:t xml:space="preserve">EMG des muscles </w:t>
      </w:r>
      <w:r w:rsidR="00253B46">
        <w:rPr>
          <w:bCs/>
        </w:rPr>
        <w:t>des</w:t>
      </w:r>
      <w:r w:rsidR="00253B46" w:rsidRPr="00EB726C">
        <w:rPr>
          <w:bCs/>
        </w:rPr>
        <w:t xml:space="preserve"> </w:t>
      </w:r>
      <w:r w:rsidR="00253B46">
        <w:rPr>
          <w:bCs/>
        </w:rPr>
        <w:t xml:space="preserve">membres inférieurs et </w:t>
      </w:r>
      <w:proofErr w:type="spellStart"/>
      <w:r w:rsidR="00253B46">
        <w:rPr>
          <w:bCs/>
        </w:rPr>
        <w:t>paravertébraux</w:t>
      </w:r>
      <w:proofErr w:type="spellEnd"/>
      <w:r w:rsidR="00253B46">
        <w:rPr>
          <w:bCs/>
        </w:rPr>
        <w:t xml:space="preserve"> lombaires</w:t>
      </w:r>
      <w:r w:rsidR="00253B46">
        <w:t xml:space="preserve"> ainsi que le r</w:t>
      </w:r>
      <w:r w:rsidR="00253B46" w:rsidRPr="00EB726C">
        <w:rPr>
          <w:bCs/>
        </w:rPr>
        <w:t xml:space="preserve">éflexe H </w:t>
      </w:r>
      <w:r w:rsidR="00253B46">
        <w:t xml:space="preserve">dans les radiculopathies </w:t>
      </w:r>
      <w:r w:rsidR="00253B46" w:rsidRPr="00ED6CF8">
        <w:rPr>
          <w:bCs/>
        </w:rPr>
        <w:t>S1</w:t>
      </w:r>
      <w:r w:rsidR="00253B46">
        <w:t xml:space="preserve"> </w:t>
      </w:r>
      <w:r w:rsidR="00EB726C" w:rsidRPr="00EB726C">
        <w:t xml:space="preserve">constituent une </w:t>
      </w:r>
      <w:r w:rsidR="00EB726C" w:rsidRPr="00EB726C">
        <w:rPr>
          <w:bCs/>
        </w:rPr>
        <w:t xml:space="preserve">aide probable </w:t>
      </w:r>
      <w:r w:rsidR="00253B46">
        <w:t xml:space="preserve">au diagnostic clinique </w:t>
      </w:r>
      <w:r w:rsidR="00EB726C" w:rsidRPr="00ED6CF8">
        <w:t xml:space="preserve">; 2) les faits suggèrent une </w:t>
      </w:r>
      <w:r w:rsidR="00EB726C" w:rsidRPr="00ED6CF8">
        <w:rPr>
          <w:bCs/>
        </w:rPr>
        <w:t xml:space="preserve">faible sensibilité </w:t>
      </w:r>
      <w:r w:rsidR="00386809">
        <w:t>des </w:t>
      </w:r>
      <w:r w:rsidR="00EB726C" w:rsidRPr="00ED6CF8">
        <w:rPr>
          <w:bCs/>
        </w:rPr>
        <w:t xml:space="preserve">réponses </w:t>
      </w:r>
      <w:r w:rsidR="00386809">
        <w:rPr>
          <w:bCs/>
        </w:rPr>
        <w:t xml:space="preserve">tardives </w:t>
      </w:r>
      <w:r w:rsidR="00EB726C" w:rsidRPr="00ED6CF8">
        <w:rPr>
          <w:bCs/>
        </w:rPr>
        <w:t xml:space="preserve">F </w:t>
      </w:r>
      <w:r w:rsidR="00D307E4">
        <w:t>évoquées par</w:t>
      </w:r>
      <w:r w:rsidR="00386809">
        <w:t xml:space="preserve"> la stimulation des nerfs fibulaire et tibial</w:t>
      </w:r>
      <w:r w:rsidR="00EB726C" w:rsidRPr="00ED6CF8">
        <w:t xml:space="preserve"> ; 3) les </w:t>
      </w:r>
      <w:r w:rsidR="00EB726C" w:rsidRPr="00ED6CF8">
        <w:rPr>
          <w:bCs/>
        </w:rPr>
        <w:t xml:space="preserve">faits sont insuffisants </w:t>
      </w:r>
      <w:r w:rsidR="00EB726C" w:rsidRPr="00ED6CF8">
        <w:t xml:space="preserve">pour parvenir à une conclusion sur l’utilité des </w:t>
      </w:r>
      <w:r w:rsidR="00EB726C" w:rsidRPr="00ED6CF8">
        <w:rPr>
          <w:bCs/>
        </w:rPr>
        <w:t xml:space="preserve">PES </w:t>
      </w:r>
      <w:r w:rsidR="00EB726C" w:rsidRPr="00ED6CF8">
        <w:t xml:space="preserve">des </w:t>
      </w:r>
      <w:proofErr w:type="spellStart"/>
      <w:r w:rsidR="00EB726C" w:rsidRPr="00ED6CF8">
        <w:t>dermatomes</w:t>
      </w:r>
      <w:proofErr w:type="spellEnd"/>
      <w:r w:rsidR="00EB726C" w:rsidRPr="00ED6CF8">
        <w:t xml:space="preserve"> L5 et S1, </w:t>
      </w:r>
      <w:r w:rsidR="00E06F86">
        <w:t xml:space="preserve">de </w:t>
      </w:r>
      <w:r w:rsidR="00253B46">
        <w:t>l’</w:t>
      </w:r>
      <w:r w:rsidR="00EB726C" w:rsidRPr="00ED6CF8">
        <w:rPr>
          <w:bCs/>
        </w:rPr>
        <w:t xml:space="preserve">EMG des muscles </w:t>
      </w:r>
      <w:proofErr w:type="spellStart"/>
      <w:r w:rsidR="00EB726C" w:rsidRPr="00ED6CF8">
        <w:rPr>
          <w:bCs/>
        </w:rPr>
        <w:t>paravertébraux</w:t>
      </w:r>
      <w:proofErr w:type="spellEnd"/>
      <w:r w:rsidR="00EB726C" w:rsidRPr="00ED6CF8">
        <w:rPr>
          <w:bCs/>
        </w:rPr>
        <w:t xml:space="preserve"> </w:t>
      </w:r>
      <w:r w:rsidR="00EB726C" w:rsidRPr="00ED6CF8">
        <w:t xml:space="preserve">dans </w:t>
      </w:r>
      <w:r w:rsidR="00EB726C" w:rsidRPr="00ED6CF8">
        <w:rPr>
          <w:bCs/>
        </w:rPr>
        <w:t>les radiculopathies sacrées</w:t>
      </w:r>
      <w:r w:rsidR="00E06F86">
        <w:t xml:space="preserve"> et d</w:t>
      </w:r>
      <w:r w:rsidR="00253B46">
        <w:t xml:space="preserve">es </w:t>
      </w:r>
      <w:r w:rsidR="00EB726C" w:rsidRPr="00ED6CF8">
        <w:rPr>
          <w:bCs/>
        </w:rPr>
        <w:t xml:space="preserve">PEM </w:t>
      </w:r>
      <w:r w:rsidR="00EB726C" w:rsidRPr="00ED6CF8">
        <w:t>avec stimulation radiculaire (perm</w:t>
      </w:r>
      <w:r w:rsidR="00ED6CF8" w:rsidRPr="00ED6CF8">
        <w:t xml:space="preserve">ettant un diagnostic </w:t>
      </w:r>
      <w:r w:rsidR="00EB726C" w:rsidRPr="00ED6CF8">
        <w:t>indépendant de</w:t>
      </w:r>
      <w:r w:rsidR="00ED6CF8" w:rsidRPr="00ED6CF8">
        <w:t xml:space="preserve"> radiculopathie lombo-sacrée)</w:t>
      </w:r>
      <w:r w:rsidR="00ED6CF8">
        <w:t>.</w:t>
      </w:r>
    </w:p>
    <w:p w:rsidR="000C2B3D" w:rsidRDefault="000C2B3D" w:rsidP="0027401A">
      <w:pPr>
        <w:spacing w:line="360" w:lineRule="auto"/>
      </w:pPr>
    </w:p>
    <w:p w:rsidR="00F61153" w:rsidRDefault="000C2B3D" w:rsidP="0027401A">
      <w:pPr>
        <w:spacing w:line="360" w:lineRule="auto"/>
      </w:pPr>
      <w:r>
        <w:t xml:space="preserve">Il y a donc des arguments solides en faveur de l’intérêt de l’EMG, par </w:t>
      </w:r>
      <w:proofErr w:type="spellStart"/>
      <w:r>
        <w:t>aiguille-électrode</w:t>
      </w:r>
      <w:proofErr w:type="spellEnd"/>
      <w:r>
        <w:t xml:space="preserve">, des muscles des membres inférieurs et </w:t>
      </w:r>
      <w:proofErr w:type="spellStart"/>
      <w:proofErr w:type="gramStart"/>
      <w:r>
        <w:t>paravertébraux</w:t>
      </w:r>
      <w:proofErr w:type="spellEnd"/>
      <w:proofErr w:type="gramEnd"/>
      <w:r>
        <w:t xml:space="preserve"> lombaires. Concernant la musculature paravertébrale, si la sensibilité de l’EMG est bonne, par contre la spécificité est faible. En effet, des remaniements neurogènes sont souvent enregistrés en cas d’arthrose </w:t>
      </w:r>
      <w:proofErr w:type="spellStart"/>
      <w:r>
        <w:t>interapophysaire</w:t>
      </w:r>
      <w:proofErr w:type="spellEnd"/>
      <w:r>
        <w:t xml:space="preserve"> ou de séquelle de chirurgie rachidienne.</w:t>
      </w:r>
    </w:p>
    <w:p w:rsidR="00F61153" w:rsidRDefault="00F61153" w:rsidP="0027401A">
      <w:pPr>
        <w:spacing w:line="360" w:lineRule="auto"/>
      </w:pPr>
    </w:p>
    <w:p w:rsidR="005019F5" w:rsidRDefault="008E2AE6" w:rsidP="0027401A">
      <w:pPr>
        <w:spacing w:line="360" w:lineRule="auto"/>
      </w:pPr>
      <w:r>
        <w:t>La même société savant</w:t>
      </w:r>
      <w:r w:rsidR="0026746B">
        <w:t>e</w:t>
      </w:r>
      <w:r>
        <w:t xml:space="preserve"> américaine a publié en 1999 une large étude rétrospective</w:t>
      </w:r>
      <w:r w:rsidR="00062CBD">
        <w:t>,</w:t>
      </w:r>
      <w:r>
        <w:t xml:space="preserve"> basée sur les données de la littérature</w:t>
      </w:r>
      <w:r w:rsidR="00062CBD">
        <w:t>,</w:t>
      </w:r>
      <w:r>
        <w:t xml:space="preserve"> sur l’intérêt de l’EMG par </w:t>
      </w:r>
      <w:proofErr w:type="spellStart"/>
      <w:r>
        <w:t>aiguille-électrode</w:t>
      </w:r>
      <w:proofErr w:type="spellEnd"/>
      <w:r>
        <w:t xml:space="preserve"> dans les </w:t>
      </w:r>
      <w:r w:rsidR="00F61153">
        <w:t>radiculopathies cervicales</w:t>
      </w:r>
      <w:r w:rsidR="00A5125C">
        <w:rPr>
          <w:rStyle w:val="Marquenotebasdepage"/>
        </w:rPr>
        <w:footnoteReference w:id="4"/>
      </w:r>
      <w:proofErr w:type="gramStart"/>
      <w:r w:rsidR="00A5125C" w:rsidRPr="00A5125C">
        <w:rPr>
          <w:vertAlign w:val="superscript"/>
        </w:rPr>
        <w:t>,</w:t>
      </w:r>
      <w:r w:rsidR="00A5125C">
        <w:rPr>
          <w:rStyle w:val="Marquenotebasdepage"/>
        </w:rPr>
        <w:footnoteReference w:id="5"/>
      </w:r>
      <w:r w:rsidR="00062CBD">
        <w:t>.</w:t>
      </w:r>
      <w:proofErr w:type="gramEnd"/>
      <w:r w:rsidR="00062CBD">
        <w:t xml:space="preserve"> Ce travail peut être résumé en trois points : 1) la sensibilité de l’EMG dans les radiculopathies cervicales est en moyenne de 50 à 71%, mais de pratiquement 100% lorsqu’il existe un déficit moteur clinique ; 2) l’EMG est rarement anormale dans les myotomes asymptomatiques ; 3) la corrélation avec l’imagerie est bonne et de l’ordre de 65 à 85%.</w:t>
      </w:r>
    </w:p>
    <w:p w:rsidR="005019F5" w:rsidRDefault="00892502" w:rsidP="005019F5">
      <w:pPr>
        <w:pStyle w:val="Titre3"/>
      </w:pPr>
      <w:r>
        <w:t xml:space="preserve">3. </w:t>
      </w:r>
      <w:r w:rsidR="005019F5">
        <w:t>Apports possibles</w:t>
      </w:r>
    </w:p>
    <w:p w:rsidR="005019F5" w:rsidRDefault="005019F5" w:rsidP="005019F5">
      <w:pPr>
        <w:pStyle w:val="Titre3"/>
      </w:pPr>
    </w:p>
    <w:p w:rsidR="005019F5" w:rsidRDefault="00892502" w:rsidP="00C33F10">
      <w:pPr>
        <w:spacing w:line="360" w:lineRule="auto"/>
        <w:rPr>
          <w:b/>
        </w:rPr>
      </w:pPr>
      <w:r>
        <w:rPr>
          <w:b/>
        </w:rPr>
        <w:t>A</w:t>
      </w:r>
      <w:r w:rsidR="005019F5" w:rsidRPr="005019F5">
        <w:rPr>
          <w:b/>
        </w:rPr>
        <w:t xml:space="preserve">. Corrélation </w:t>
      </w:r>
      <w:r w:rsidR="00D73402">
        <w:rPr>
          <w:b/>
        </w:rPr>
        <w:t>entre la séquelle ENMG et la séquelle clinique fonctionnelle</w:t>
      </w:r>
      <w:r w:rsidR="00062CBD" w:rsidRPr="005019F5">
        <w:rPr>
          <w:b/>
        </w:rPr>
        <w:t xml:space="preserve"> </w:t>
      </w:r>
    </w:p>
    <w:p w:rsidR="005019F5" w:rsidRDefault="005019F5" w:rsidP="00C33F10">
      <w:pPr>
        <w:spacing w:line="360" w:lineRule="auto"/>
        <w:rPr>
          <w:b/>
        </w:rPr>
      </w:pPr>
    </w:p>
    <w:p w:rsidR="001209B6" w:rsidRDefault="005019F5" w:rsidP="00C33F10">
      <w:pPr>
        <w:spacing w:line="360" w:lineRule="auto"/>
      </w:pPr>
      <w:r w:rsidRPr="005019F5">
        <w:t xml:space="preserve">Dans </w:t>
      </w:r>
      <w:r>
        <w:t xml:space="preserve">les atteintes du </w:t>
      </w:r>
      <w:r w:rsidR="00453A4B">
        <w:t>SNP</w:t>
      </w:r>
      <w:r>
        <w:t>, c’est le degré de perte axonale sensitive et motrice</w:t>
      </w:r>
      <w:r w:rsidR="00376CB4">
        <w:t>,</w:t>
      </w:r>
      <w:r>
        <w:t xml:space="preserve"> </w:t>
      </w:r>
      <w:r w:rsidR="00376CB4">
        <w:t xml:space="preserve">et les mécanismes de compensation mis en œuvre (réinnervation), </w:t>
      </w:r>
      <w:r>
        <w:t xml:space="preserve">qui </w:t>
      </w:r>
      <w:proofErr w:type="gramStart"/>
      <w:r>
        <w:t>détermine</w:t>
      </w:r>
      <w:r w:rsidR="00E4661C">
        <w:t>nt</w:t>
      </w:r>
      <w:proofErr w:type="gramEnd"/>
      <w:r>
        <w:t xml:space="preserve"> l’importance de la séquelle clinique. </w:t>
      </w:r>
      <w:r w:rsidR="000A3C21">
        <w:t xml:space="preserve">Une </w:t>
      </w:r>
      <w:r>
        <w:t>lésion de démyélinisation/</w:t>
      </w:r>
      <w:proofErr w:type="spellStart"/>
      <w:r>
        <w:t>remyélinisation</w:t>
      </w:r>
      <w:proofErr w:type="spellEnd"/>
      <w:r>
        <w:t xml:space="preserve"> isolée</w:t>
      </w:r>
      <w:r w:rsidR="00A25963">
        <w:t xml:space="preserve"> (degré 1 d’atteinte du SNP)</w:t>
      </w:r>
      <w:r w:rsidR="000A3C21">
        <w:t xml:space="preserve">, ne s’accompagnant </w:t>
      </w:r>
      <w:r w:rsidR="00EB31B3">
        <w:t>d’aucun</w:t>
      </w:r>
      <w:r w:rsidR="000A3C21">
        <w:t xml:space="preserve"> bloc de conduction nerveuse,</w:t>
      </w:r>
      <w:r>
        <w:t xml:space="preserve"> n’a que peu ou pas de traduction clinique.</w:t>
      </w:r>
      <w:r w:rsidR="00A25963">
        <w:t xml:space="preserve"> Il existe pourtant bien une séquelle anatomique (</w:t>
      </w:r>
      <w:proofErr w:type="spellStart"/>
      <w:r w:rsidR="00A25963">
        <w:t>remyélinisation</w:t>
      </w:r>
      <w:proofErr w:type="spellEnd"/>
      <w:r w:rsidR="00A25963">
        <w:t xml:space="preserve"> avec des segments </w:t>
      </w:r>
      <w:proofErr w:type="spellStart"/>
      <w:r w:rsidR="00A25963">
        <w:t>internodaux</w:t>
      </w:r>
      <w:proofErr w:type="spellEnd"/>
      <w:r w:rsidR="00A25963">
        <w:t xml:space="preserve"> plus courts) et électrophysiologique (ralentissement</w:t>
      </w:r>
      <w:r w:rsidR="00D73402">
        <w:t xml:space="preserve"> de la conduction nerveuse dans la zone de </w:t>
      </w:r>
      <w:proofErr w:type="spellStart"/>
      <w:r w:rsidR="00D73402">
        <w:t>remyélinisation</w:t>
      </w:r>
      <w:proofErr w:type="spellEnd"/>
      <w:r w:rsidR="00D73402">
        <w:t xml:space="preserve">). </w:t>
      </w:r>
    </w:p>
    <w:p w:rsidR="001209B6" w:rsidRDefault="001209B6" w:rsidP="00C33F10">
      <w:pPr>
        <w:spacing w:line="360" w:lineRule="auto"/>
      </w:pPr>
    </w:p>
    <w:p w:rsidR="00A86BB3" w:rsidRDefault="001209B6" w:rsidP="00C33F10">
      <w:pPr>
        <w:spacing w:line="360" w:lineRule="auto"/>
      </w:pPr>
      <w:r>
        <w:t xml:space="preserve">Dans </w:t>
      </w:r>
      <w:r w:rsidR="007E66B0">
        <w:t>l’évaluation d’une séquelle de neuropathie tronculaire distale</w:t>
      </w:r>
      <w:r w:rsidR="00690189">
        <w:t>, l’ENMG est pour ainsi dire trop sensible.</w:t>
      </w:r>
      <w:r w:rsidR="005A0DE7">
        <w:t xml:space="preserve"> </w:t>
      </w:r>
      <w:r w:rsidR="001D76D6">
        <w:t>En effet, p</w:t>
      </w:r>
      <w:r w:rsidR="005A0DE7">
        <w:t>our établir la sévérité d’une neuropathie du nerf médian</w:t>
      </w:r>
      <w:r w:rsidR="00A86BB3">
        <w:t xml:space="preserve"> au poignet</w:t>
      </w:r>
      <w:r w:rsidR="005A0DE7">
        <w:t xml:space="preserve">, nous utilisons une échelle qui s’inspire de la classification proposée par </w:t>
      </w:r>
      <w:r w:rsidR="00A5125C">
        <w:t xml:space="preserve">Luca </w:t>
      </w:r>
      <w:proofErr w:type="spellStart"/>
      <w:r w:rsidR="005A0DE7">
        <w:t>Padua</w:t>
      </w:r>
      <w:proofErr w:type="spellEnd"/>
      <w:r w:rsidR="005A0DE7">
        <w:t xml:space="preserve"> en 1997</w:t>
      </w:r>
      <w:r w:rsidR="00A5125C">
        <w:rPr>
          <w:rStyle w:val="Marquenotebasdepage"/>
        </w:rPr>
        <w:footnoteReference w:id="6"/>
      </w:r>
      <w:r w:rsidR="005A0DE7">
        <w:t>. Les deux premiers stades de cette classification (</w:t>
      </w:r>
      <w:proofErr w:type="spellStart"/>
      <w:r w:rsidR="005A0DE7">
        <w:t>léger-modéré</w:t>
      </w:r>
      <w:proofErr w:type="spellEnd"/>
      <w:r w:rsidR="00E4661C">
        <w:t xml:space="preserve"> ou degré 1 de compression nerveuse</w:t>
      </w:r>
      <w:r w:rsidR="005A0DE7">
        <w:t>)</w:t>
      </w:r>
      <w:r w:rsidR="00A86BB3">
        <w:t xml:space="preserve"> reflètent principalement l’atteinte </w:t>
      </w:r>
      <w:proofErr w:type="spellStart"/>
      <w:r w:rsidR="00A86BB3">
        <w:t>myélinique</w:t>
      </w:r>
      <w:proofErr w:type="spellEnd"/>
      <w:r w:rsidR="00A86BB3">
        <w:t xml:space="preserve"> du nerf sans perte axonale associée. La perte axonale sensitive et motrice n’est significative que lorsque la neuropathie est plus sévère (stades moyen à complet</w:t>
      </w:r>
      <w:r w:rsidR="00E4661C">
        <w:t xml:space="preserve"> ou degrés 2 et 3 de compression nerveuse</w:t>
      </w:r>
      <w:r w:rsidR="00A86BB3">
        <w:t>). En théorie donc, ce n’est qu’à partir d’un stade de gravité moyenne que la séquelle de canal carpien est susceptible de s’accompagner de plaintes résiduelles.</w:t>
      </w:r>
    </w:p>
    <w:p w:rsidR="00A86BB3" w:rsidRDefault="00A86BB3" w:rsidP="00C33F10">
      <w:pPr>
        <w:spacing w:line="360" w:lineRule="auto"/>
      </w:pPr>
    </w:p>
    <w:p w:rsidR="00126E86" w:rsidRDefault="00A86BB3" w:rsidP="00C33F10">
      <w:pPr>
        <w:spacing w:line="360" w:lineRule="auto"/>
      </w:pPr>
      <w:r>
        <w:t>Il en va autrement dans l’évaluation d’une séquelle de radiculopathie.</w:t>
      </w:r>
      <w:r w:rsidR="00CE5141">
        <w:t xml:space="preserve"> </w:t>
      </w:r>
      <w:r>
        <w:t xml:space="preserve"> </w:t>
      </w:r>
      <w:r w:rsidR="00F25D66">
        <w:t xml:space="preserve">Comme </w:t>
      </w:r>
      <w:r w:rsidR="00CE5141">
        <w:t xml:space="preserve">déjà mentionné (cf. </w:t>
      </w:r>
      <w:r w:rsidR="00CE5141" w:rsidRPr="00CE5141">
        <w:rPr>
          <w:i/>
        </w:rPr>
        <w:t>supra</w:t>
      </w:r>
      <w:r w:rsidR="00CE5141">
        <w:t>)</w:t>
      </w:r>
      <w:r w:rsidR="00F25D66">
        <w:t>, le diagnostic ENMG de radiculopathie ne peut se faire</w:t>
      </w:r>
      <w:r w:rsidR="00CE5141">
        <w:t>, le plus souvent,</w:t>
      </w:r>
      <w:r w:rsidR="00F25D66">
        <w:t xml:space="preserve"> qu’au stade de perte axonale motrice</w:t>
      </w:r>
      <w:r w:rsidR="000965A0">
        <w:t xml:space="preserve"> (degré 3 de compression nerveuse)</w:t>
      </w:r>
      <w:r w:rsidR="00F25D66">
        <w:t xml:space="preserve">. Dès lors, des plaintes, notamment </w:t>
      </w:r>
      <w:proofErr w:type="spellStart"/>
      <w:r w:rsidR="00F25D66">
        <w:t>neuropathiques</w:t>
      </w:r>
      <w:proofErr w:type="spellEnd"/>
      <w:r w:rsidR="00F25D66">
        <w:t xml:space="preserve">, peuvent accompagner une séquelle </w:t>
      </w:r>
      <w:r w:rsidR="00CE5141">
        <w:t>ENMG même au stade</w:t>
      </w:r>
      <w:r w:rsidR="00020E65">
        <w:t xml:space="preserve"> de gravité</w:t>
      </w:r>
      <w:r w:rsidR="00CE5141">
        <w:t xml:space="preserve"> le plus </w:t>
      </w:r>
      <w:r w:rsidR="00020E65">
        <w:t>faible</w:t>
      </w:r>
      <w:r w:rsidR="00F25D66">
        <w:t xml:space="preserve">. De plus, l’ENMG ne </w:t>
      </w:r>
      <w:r w:rsidR="007075C3">
        <w:t>pouvant</w:t>
      </w:r>
      <w:r w:rsidR="00F25D66">
        <w:t xml:space="preserve"> mettre en évidence l’atteinte sensitive </w:t>
      </w:r>
      <w:proofErr w:type="spellStart"/>
      <w:r w:rsidR="00F25D66">
        <w:t>pré-ganglionnaire</w:t>
      </w:r>
      <w:proofErr w:type="spellEnd"/>
      <w:r w:rsidR="00F25D66">
        <w:t>, on peut également concevoir</w:t>
      </w:r>
      <w:r w:rsidR="00126E86">
        <w:t xml:space="preserve"> l’existence d’une séquelle clinique sous la forme de douleurs </w:t>
      </w:r>
      <w:proofErr w:type="spellStart"/>
      <w:r w:rsidR="00126E86">
        <w:t>neuropathiques</w:t>
      </w:r>
      <w:proofErr w:type="spellEnd"/>
      <w:r w:rsidR="00126E86">
        <w:t xml:space="preserve"> en l’absence de toute anomalie ENMG.</w:t>
      </w:r>
    </w:p>
    <w:p w:rsidR="00126E86" w:rsidRDefault="00126E86" w:rsidP="00C33F10">
      <w:pPr>
        <w:spacing w:line="360" w:lineRule="auto"/>
      </w:pPr>
    </w:p>
    <w:p w:rsidR="00F67AE5" w:rsidRDefault="00126E86" w:rsidP="00C33F10">
      <w:pPr>
        <w:spacing w:line="360" w:lineRule="auto"/>
      </w:pPr>
      <w:r>
        <w:t xml:space="preserve">A l’inverse, certains patients présentant une séquelle </w:t>
      </w:r>
      <w:r w:rsidR="00CE5141">
        <w:t xml:space="preserve">ENMG </w:t>
      </w:r>
      <w:r>
        <w:t>de neuropathie tronculaire distale ou de radiculopathie à un stade moyen/sévère peuvent rester parfaitement asymptomatique.</w:t>
      </w:r>
      <w:r w:rsidR="00D73402">
        <w:t xml:space="preserve"> Dans ces cas, la perte axonale est compensée par les mécanismes de réinnervation.</w:t>
      </w:r>
      <w:r>
        <w:t xml:space="preserve"> </w:t>
      </w:r>
    </w:p>
    <w:p w:rsidR="00126E86" w:rsidRDefault="00126E86" w:rsidP="00C33F10">
      <w:pPr>
        <w:spacing w:line="360" w:lineRule="auto"/>
      </w:pPr>
    </w:p>
    <w:p w:rsidR="005B59E0" w:rsidRDefault="00892502" w:rsidP="00C33F10">
      <w:pPr>
        <w:spacing w:line="360" w:lineRule="auto"/>
        <w:rPr>
          <w:b/>
        </w:rPr>
      </w:pPr>
      <w:r>
        <w:rPr>
          <w:b/>
        </w:rPr>
        <w:t>B</w:t>
      </w:r>
      <w:r w:rsidR="00126E86" w:rsidRPr="005019F5">
        <w:rPr>
          <w:b/>
        </w:rPr>
        <w:t xml:space="preserve">. </w:t>
      </w:r>
      <w:r w:rsidR="00126E86">
        <w:rPr>
          <w:b/>
        </w:rPr>
        <w:t>Imputer une lésion nerveuse à un traumatisme</w:t>
      </w:r>
    </w:p>
    <w:p w:rsidR="005B59E0" w:rsidRDefault="005B59E0" w:rsidP="00C33F10">
      <w:pPr>
        <w:spacing w:line="360" w:lineRule="auto"/>
        <w:rPr>
          <w:b/>
        </w:rPr>
      </w:pPr>
    </w:p>
    <w:p w:rsidR="00350472" w:rsidRDefault="005B59E0" w:rsidP="00C33F10">
      <w:pPr>
        <w:spacing w:line="360" w:lineRule="auto"/>
      </w:pPr>
      <w:r w:rsidRPr="005B59E0">
        <w:t>L’ENMG</w:t>
      </w:r>
      <w:r>
        <w:t xml:space="preserve"> ne donne que très peu d’information sur les mécanismes physiopathologiques responsables de l’atteinte nerveuse (étirement, compression, ischémie</w:t>
      </w:r>
      <w:r w:rsidR="00704386">
        <w:t>, section</w:t>
      </w:r>
      <w:r w:rsidR="00272E79">
        <w:t>)</w:t>
      </w:r>
      <w:r w:rsidR="00B042B2">
        <w:t>.</w:t>
      </w:r>
      <w:r w:rsidR="00704386">
        <w:t xml:space="preserve"> C’est plutôt l’étude diachronique du </w:t>
      </w:r>
      <w:r w:rsidR="00887BE9">
        <w:t>dossier électrophysiologique qui</w:t>
      </w:r>
      <w:r w:rsidR="00704386">
        <w:t xml:space="preserve"> permet, dans le meilleur des cas, d’imputer une lésion nerveuse à un traumatisme. Idéalement, s’il existe un état antérieur, il faut un ENMG de départ qui le décrive avec précision tant dans son extension topographique</w:t>
      </w:r>
      <w:r w:rsidR="009B07F3">
        <w:t xml:space="preserve"> que dans son niveau de gravité. Ensuite, </w:t>
      </w:r>
      <w:r w:rsidR="006940E5">
        <w:t>pour imputer une nouvelle lésion nerveuse à un accident aigu</w:t>
      </w:r>
      <w:r w:rsidR="009B07F3">
        <w:t>, il faut disposer d’un ENMG réalisé dans le mois qui suit le traumatisme pour documenter l’atteinte neurologique aig</w:t>
      </w:r>
      <w:r w:rsidR="0014022F">
        <w:t>ü</w:t>
      </w:r>
      <w:r w:rsidR="009B07F3">
        <w:t>e (bloc de conduction, signes de dénervation active sous la forme de fibrillation</w:t>
      </w:r>
      <w:r w:rsidR="009775CF">
        <w:t>s</w:t>
      </w:r>
      <w:r w:rsidR="003E4DBB">
        <w:t xml:space="preserve"> et de pointes positives). Dans les 3 mois post-traumatique et au-delà, jusqu’à l’ « avis sapiteur », </w:t>
      </w:r>
      <w:r w:rsidR="00504E51">
        <w:t>l’ENMG évalue l’amélioration de l’atteinte nerveuse grâce aux processus de réinnervation/</w:t>
      </w:r>
      <w:proofErr w:type="spellStart"/>
      <w:r w:rsidR="00504E51">
        <w:t>remyélinisation</w:t>
      </w:r>
      <w:proofErr w:type="spellEnd"/>
      <w:r w:rsidR="00504E51">
        <w:t xml:space="preserve"> et lorsque ceux-ci sont stabilisés, la comparaison avec l’état antérieur permet d’évaluer</w:t>
      </w:r>
      <w:r w:rsidR="003E4DBB">
        <w:t xml:space="preserve"> </w:t>
      </w:r>
      <w:r w:rsidR="00504E51">
        <w:t>l’éventuelle aggravation de l’atteinte nerveuse de départ</w:t>
      </w:r>
      <w:r w:rsidR="003E4DBB">
        <w:t xml:space="preserve">. </w:t>
      </w:r>
    </w:p>
    <w:p w:rsidR="00350472" w:rsidRDefault="00350472" w:rsidP="00C33F10">
      <w:pPr>
        <w:spacing w:line="360" w:lineRule="auto"/>
      </w:pPr>
    </w:p>
    <w:p w:rsidR="00333809" w:rsidRDefault="00350472" w:rsidP="00C33F10">
      <w:pPr>
        <w:spacing w:line="360" w:lineRule="auto"/>
      </w:pPr>
      <w:r>
        <w:t xml:space="preserve">En pratique, il manque souvent l’ENMG qui décrit l’état antérieur et/ou l’ENMG dans la phase aigüe post-traumatique. </w:t>
      </w:r>
      <w:r w:rsidR="00333809">
        <w:t>De plus</w:t>
      </w:r>
      <w:r>
        <w:t xml:space="preserve">, l’ENMG, et l’EMG en particulier, reste une exploration </w:t>
      </w:r>
      <w:proofErr w:type="spellStart"/>
      <w:r>
        <w:t>opérat</w:t>
      </w:r>
      <w:r w:rsidR="000924B5">
        <w:t>eur-dépendante</w:t>
      </w:r>
      <w:proofErr w:type="spellEnd"/>
      <w:r w:rsidR="000924B5">
        <w:t xml:space="preserve">. Or, les différents examens sont souvent réalisés par </w:t>
      </w:r>
      <w:r w:rsidR="00BE63DB">
        <w:t>plusieurs</w:t>
      </w:r>
      <w:r w:rsidR="000924B5">
        <w:t xml:space="preserve"> opérateurs appartenant à </w:t>
      </w:r>
      <w:r w:rsidR="00333809">
        <w:t xml:space="preserve">des « écoles » distinctes. </w:t>
      </w:r>
      <w:r w:rsidR="00020E65">
        <w:t xml:space="preserve">Le caractère </w:t>
      </w:r>
      <w:proofErr w:type="spellStart"/>
      <w:r w:rsidR="00020E65">
        <w:t>opérateur-dépendant</w:t>
      </w:r>
      <w:proofErr w:type="spellEnd"/>
      <w:r w:rsidR="00020E65">
        <w:t xml:space="preserve"> de l’ENMG </w:t>
      </w:r>
      <w:r w:rsidR="00BE63DB">
        <w:t xml:space="preserve">devrait également </w:t>
      </w:r>
      <w:r w:rsidR="00020E65">
        <w:t>impose</w:t>
      </w:r>
      <w:r w:rsidR="00BE63DB">
        <w:t>r</w:t>
      </w:r>
      <w:r w:rsidR="00020E65">
        <w:t xml:space="preserve"> que dans un dossier en aggravation, l’ENMG de contrôle </w:t>
      </w:r>
      <w:r w:rsidR="00887BE9">
        <w:t>soit</w:t>
      </w:r>
      <w:r w:rsidR="00020E65">
        <w:t xml:space="preserve"> demandé à l’</w:t>
      </w:r>
      <w:proofErr w:type="spellStart"/>
      <w:r w:rsidR="00020E65">
        <w:t>électrophysiologiste</w:t>
      </w:r>
      <w:proofErr w:type="spellEnd"/>
      <w:r w:rsidR="00020E65">
        <w:t xml:space="preserve"> sollicité </w:t>
      </w:r>
      <w:r w:rsidR="003354F9">
        <w:t>préalablement</w:t>
      </w:r>
      <w:r w:rsidR="00020E65">
        <w:t>.</w:t>
      </w:r>
    </w:p>
    <w:p w:rsidR="00126E86" w:rsidRPr="005B59E0" w:rsidRDefault="000924B5" w:rsidP="00C33F10">
      <w:pPr>
        <w:spacing w:line="360" w:lineRule="auto"/>
      </w:pPr>
      <w:r>
        <w:t xml:space="preserve"> </w:t>
      </w:r>
    </w:p>
    <w:p w:rsidR="00333809" w:rsidRDefault="005D63D0" w:rsidP="005D63D0">
      <w:pPr>
        <w:pStyle w:val="Titre2"/>
      </w:pPr>
      <w:r>
        <w:t>IV</w:t>
      </w:r>
      <w:r w:rsidR="00FE3F8B">
        <w:t>.</w:t>
      </w:r>
      <w:r w:rsidR="00333809">
        <w:t xml:space="preserve"> </w:t>
      </w:r>
      <w:r w:rsidR="00020E65">
        <w:t>Point de vue personnel sur deux questions fréquemment posées</w:t>
      </w:r>
    </w:p>
    <w:p w:rsidR="00333809" w:rsidRPr="00333809" w:rsidRDefault="00333809" w:rsidP="00CF58B7">
      <w:pPr>
        <w:spacing w:line="360" w:lineRule="auto"/>
      </w:pPr>
    </w:p>
    <w:p w:rsidR="00CF58B7" w:rsidRDefault="005D63D0" w:rsidP="005D63D0">
      <w:pPr>
        <w:pStyle w:val="Titre2"/>
      </w:pPr>
      <w:r>
        <w:t>1</w:t>
      </w:r>
      <w:r w:rsidR="00333809" w:rsidRPr="005019F5">
        <w:t xml:space="preserve">. </w:t>
      </w:r>
      <w:r w:rsidR="00CF58B7">
        <w:t>Comment rédiger une demande d’ENMG dans le cadre d’une expertise ?</w:t>
      </w:r>
    </w:p>
    <w:p w:rsidR="00126E86" w:rsidRDefault="00126E86" w:rsidP="00CF58B7">
      <w:pPr>
        <w:spacing w:line="360" w:lineRule="auto"/>
      </w:pPr>
    </w:p>
    <w:p w:rsidR="000F4809" w:rsidRDefault="00CF58B7" w:rsidP="00CF58B7">
      <w:pPr>
        <w:spacing w:line="360" w:lineRule="auto"/>
      </w:pPr>
      <w:r>
        <w:t xml:space="preserve">Il n’est pas </w:t>
      </w:r>
      <w:r w:rsidR="00B45AC7">
        <w:t>possible</w:t>
      </w:r>
      <w:r>
        <w:t xml:space="preserve"> de réaliser une exploration ENMG standardisée applicable à tous les patients.</w:t>
      </w:r>
      <w:r w:rsidR="000C2A41">
        <w:t xml:space="preserve"> </w:t>
      </w:r>
      <w:r w:rsidR="00196FF2">
        <w:t>Rien que pour les membres supérieurs, 12</w:t>
      </w:r>
      <w:r w:rsidR="000C2A41">
        <w:t xml:space="preserve"> muscles et 8 nerfs sont fréquemment étudiés. Une étude standardisée et comparée des membres supérieurs supposerait que 24 muscles et 16 nerfs soient systématiquement explorés.</w:t>
      </w:r>
      <w:r w:rsidR="00E272B7">
        <w:t xml:space="preserve"> La neurographie reposant sur des stimulations électriques percutanées et l’EMG sur l’insertion d’une </w:t>
      </w:r>
      <w:proofErr w:type="spellStart"/>
      <w:r w:rsidR="00E272B7">
        <w:t>aiguille-électrode</w:t>
      </w:r>
      <w:proofErr w:type="spellEnd"/>
      <w:r w:rsidR="00214195">
        <w:t xml:space="preserve"> dans plusieurs plages de chaque muscle, il est inenvisageable, pour des raisons d’inconfort pour le patient et de temps pour l’examinateur, de réaliser </w:t>
      </w:r>
      <w:r w:rsidR="00DE7EFD">
        <w:t>un ENMG aussi extensif</w:t>
      </w:r>
      <w:r w:rsidR="00214195">
        <w:t>.</w:t>
      </w:r>
    </w:p>
    <w:p w:rsidR="000F4809" w:rsidRDefault="000F4809" w:rsidP="00CF58B7">
      <w:pPr>
        <w:spacing w:line="360" w:lineRule="auto"/>
      </w:pPr>
    </w:p>
    <w:p w:rsidR="00112B0D" w:rsidRDefault="00E14C21" w:rsidP="00CF58B7">
      <w:pPr>
        <w:spacing w:line="360" w:lineRule="auto"/>
      </w:pPr>
      <w:r>
        <w:t xml:space="preserve">La demande d’examen doit cibler une pathologie nerveuse précise (syndrome du canal carpien ? radiculopathie L5 ? CLE ? </w:t>
      </w:r>
      <w:proofErr w:type="spellStart"/>
      <w:proofErr w:type="gramStart"/>
      <w:r>
        <w:t>plexopathie</w:t>
      </w:r>
      <w:proofErr w:type="spellEnd"/>
      <w:proofErr w:type="gramEnd"/>
      <w:r>
        <w:t xml:space="preserve"> traumatique</w:t>
      </w:r>
      <w:r w:rsidR="00112B0D">
        <w:t xml:space="preserve"> ?). Idéalement, la demande comprendra également les plaintes et les signes cliniques qui ont orienté le diagnostic vers telle ou telle hypothèse et qui justifient la réalisation d’un ENMG. </w:t>
      </w:r>
    </w:p>
    <w:p w:rsidR="00112B0D" w:rsidRDefault="00112B0D" w:rsidP="00CF58B7">
      <w:pPr>
        <w:spacing w:line="360" w:lineRule="auto"/>
      </w:pPr>
    </w:p>
    <w:p w:rsidR="00835DE4" w:rsidRDefault="00112B0D" w:rsidP="00CF58B7">
      <w:pPr>
        <w:spacing w:line="360" w:lineRule="auto"/>
      </w:pPr>
      <w:r>
        <w:t xml:space="preserve">Si le patient a déjà bénéficié d’un ou plusieurs ENMG, il est capital de le(s) transmettre en intégralité (conclusion, données chiffrées et courbes) au médecin sapiteur. </w:t>
      </w:r>
      <w:r w:rsidR="005E0ED0">
        <w:t>En effet, selon que l’on appartient à une « école » d’ENMG, plutôt qu’à une autre, les tec</w:t>
      </w:r>
      <w:r w:rsidR="00130816">
        <w:t>hniques et les stratégies mises</w:t>
      </w:r>
      <w:r w:rsidR="005E0ED0">
        <w:t xml:space="preserve"> en œuvre peuvent différer.</w:t>
      </w:r>
      <w:r w:rsidR="00A766BD">
        <w:t xml:space="preserve"> Si une pathologie a été retenue par un confrère </w:t>
      </w:r>
      <w:proofErr w:type="spellStart"/>
      <w:r w:rsidR="00A766BD">
        <w:t>électrophysiologiste</w:t>
      </w:r>
      <w:proofErr w:type="spellEnd"/>
      <w:r w:rsidR="00A766BD">
        <w:t xml:space="preserve">, il est important que le médecin sapiteur sache sur quels critères pour, au besoin, se placer dans les mêmes conditions d’exploration. </w:t>
      </w:r>
      <w:r w:rsidR="005E0ED0">
        <w:t xml:space="preserve"> </w:t>
      </w:r>
    </w:p>
    <w:p w:rsidR="00835DE4" w:rsidRDefault="00835DE4" w:rsidP="00CF58B7">
      <w:pPr>
        <w:spacing w:line="360" w:lineRule="auto"/>
      </w:pPr>
    </w:p>
    <w:p w:rsidR="006E08AA" w:rsidRDefault="00835DE4" w:rsidP="00CF58B7">
      <w:pPr>
        <w:spacing w:line="360" w:lineRule="auto"/>
      </w:pPr>
      <w:r>
        <w:t xml:space="preserve">Concernant les </w:t>
      </w:r>
      <w:r w:rsidR="0026703B">
        <w:t>résultats</w:t>
      </w:r>
      <w:r>
        <w:t xml:space="preserve"> des autres examens paracliniques, </w:t>
      </w:r>
      <w:r w:rsidR="0026703B">
        <w:t>leur</w:t>
      </w:r>
      <w:r>
        <w:t xml:space="preserve"> transmission</w:t>
      </w:r>
      <w:r w:rsidR="0026703B">
        <w:t xml:space="preserve"> </w:t>
      </w:r>
      <w:r>
        <w:t>au médecin sapiteur n’est pas indispensable</w:t>
      </w:r>
      <w:r w:rsidR="0026703B">
        <w:t>. Il est même préférable que l’ENMG soit réalisé en toute indépendance, sans interférences avec des données autres que cliniques. L’ENMG, et en particulier l’EMG, conserve une part de subjectivité dans l’interprétation des tracés</w:t>
      </w:r>
      <w:r w:rsidR="008D756A">
        <w:t xml:space="preserve"> (cf. </w:t>
      </w:r>
      <w:r w:rsidR="008D756A" w:rsidRPr="008D756A">
        <w:rPr>
          <w:i/>
        </w:rPr>
        <w:t>supra</w:t>
      </w:r>
      <w:r w:rsidR="008D756A">
        <w:t>)</w:t>
      </w:r>
      <w:r w:rsidR="0026703B">
        <w:t xml:space="preserve">. Une des qualités d’un </w:t>
      </w:r>
      <w:proofErr w:type="spellStart"/>
      <w:r w:rsidR="0026703B">
        <w:t>électrophysiologiste</w:t>
      </w:r>
      <w:proofErr w:type="spellEnd"/>
      <w:r w:rsidR="0026703B">
        <w:t xml:space="preserve"> </w:t>
      </w:r>
      <w:r w:rsidR="00110FFF">
        <w:t xml:space="preserve">compétent </w:t>
      </w:r>
      <w:r w:rsidR="0026703B">
        <w:t xml:space="preserve">est que sa pratique et les conclusions qu’il tire des données recueillies </w:t>
      </w:r>
      <w:r w:rsidR="00371950">
        <w:t>ne soient pas « contaminées » par d’autres éléments paracliniques, et notamment par les résultats de l’imagerie.</w:t>
      </w:r>
    </w:p>
    <w:p w:rsidR="006E08AA" w:rsidRDefault="006E08AA" w:rsidP="00CF58B7">
      <w:pPr>
        <w:spacing w:line="360" w:lineRule="auto"/>
      </w:pPr>
    </w:p>
    <w:p w:rsidR="00453A4B" w:rsidRDefault="0026703B" w:rsidP="005D63D0">
      <w:pPr>
        <w:pStyle w:val="Titre2"/>
      </w:pPr>
      <w:r>
        <w:t xml:space="preserve"> </w:t>
      </w:r>
      <w:r w:rsidR="005D63D0">
        <w:t>2</w:t>
      </w:r>
      <w:r w:rsidR="006E08AA" w:rsidRPr="005019F5">
        <w:t xml:space="preserve">. </w:t>
      </w:r>
      <w:r w:rsidR="006E08AA">
        <w:t>Comment expliquer les discordances entre deux ENMG réalisés par des médecins différents ?</w:t>
      </w:r>
      <w:r w:rsidR="005E0ED0">
        <w:t xml:space="preserve"> </w:t>
      </w:r>
    </w:p>
    <w:p w:rsidR="00453A4B" w:rsidRDefault="00453A4B" w:rsidP="00CF58B7">
      <w:pPr>
        <w:spacing w:line="360" w:lineRule="auto"/>
      </w:pPr>
    </w:p>
    <w:p w:rsidR="00453A4B" w:rsidRDefault="00453A4B" w:rsidP="00CF58B7">
      <w:pPr>
        <w:spacing w:line="360" w:lineRule="auto"/>
      </w:pPr>
      <w:r>
        <w:t xml:space="preserve">Soit l’atteinte du SNP s’est améliorée ou aggravée entre les 2 ENMG, soit une erreur méthodologique ou d’interprétation des résultats explique la discordance. Les raisons expliquant ce dernier cas de figure sont multiples. </w:t>
      </w:r>
    </w:p>
    <w:p w:rsidR="00453A4B" w:rsidRDefault="00453A4B" w:rsidP="00CF58B7">
      <w:pPr>
        <w:spacing w:line="360" w:lineRule="auto"/>
      </w:pPr>
    </w:p>
    <w:p w:rsidR="0032179A" w:rsidRDefault="00DB2ACD" w:rsidP="00CF58B7">
      <w:pPr>
        <w:spacing w:line="360" w:lineRule="auto"/>
      </w:pPr>
      <w:r>
        <w:t xml:space="preserve">Comme déjà </w:t>
      </w:r>
      <w:r w:rsidR="00453A4B">
        <w:t xml:space="preserve">souligné (cf. </w:t>
      </w:r>
      <w:r w:rsidR="00453A4B" w:rsidRPr="00453A4B">
        <w:rPr>
          <w:i/>
        </w:rPr>
        <w:t>supra</w:t>
      </w:r>
      <w:r w:rsidR="00453A4B">
        <w:t>), il persiste une part de subjectivité dans l’interprétation des tracés EMG, et ce malgré l’introduction, dans les années quatre-vingt de techniques quantitatives, ou po</w:t>
      </w:r>
      <w:r w:rsidR="00A5125C">
        <w:t xml:space="preserve">ur le moins </w:t>
      </w:r>
      <w:proofErr w:type="spellStart"/>
      <w:r w:rsidR="00A5125C">
        <w:t>semi-quantitatives</w:t>
      </w:r>
      <w:proofErr w:type="spellEnd"/>
      <w:r w:rsidR="00A5125C">
        <w:rPr>
          <w:rStyle w:val="Marquenotebasdepage"/>
        </w:rPr>
        <w:footnoteReference w:id="7"/>
      </w:r>
      <w:proofErr w:type="gramStart"/>
      <w:r w:rsidR="00A5125C" w:rsidRPr="00A5125C">
        <w:rPr>
          <w:vertAlign w:val="superscript"/>
        </w:rPr>
        <w:t>,</w:t>
      </w:r>
      <w:r w:rsidR="00A5125C">
        <w:rPr>
          <w:rStyle w:val="Marquenotebasdepage"/>
        </w:rPr>
        <w:footnoteReference w:id="8"/>
      </w:r>
      <w:r w:rsidR="00453A4B">
        <w:t>.</w:t>
      </w:r>
      <w:proofErr w:type="gramEnd"/>
      <w:r w:rsidR="00453A4B">
        <w:t xml:space="preserve"> Il demeure donc une limite floue entre un tracé EMG normal et légèrement ou modérément neurogène. </w:t>
      </w:r>
    </w:p>
    <w:p w:rsidR="0032179A" w:rsidRDefault="0032179A" w:rsidP="00CF58B7">
      <w:pPr>
        <w:spacing w:line="360" w:lineRule="auto"/>
      </w:pPr>
    </w:p>
    <w:p w:rsidR="00DC779E" w:rsidRDefault="0032179A" w:rsidP="00CF58B7">
      <w:pPr>
        <w:spacing w:line="360" w:lineRule="auto"/>
      </w:pPr>
      <w:r>
        <w:t xml:space="preserve">Concernant les données </w:t>
      </w:r>
      <w:proofErr w:type="spellStart"/>
      <w:r>
        <w:t>neurographiques</w:t>
      </w:r>
      <w:proofErr w:type="spellEnd"/>
      <w:r>
        <w:t xml:space="preserve">, lorsque l’anomalie enregistrée reste discrète, il existe un risque statistique de se tromper en affirmant que l’anomalie en question est la traduction d’une pathologie (cf. </w:t>
      </w:r>
      <w:r w:rsidRPr="00453A4B">
        <w:rPr>
          <w:i/>
        </w:rPr>
        <w:t>supra</w:t>
      </w:r>
      <w:r>
        <w:t>).</w:t>
      </w:r>
    </w:p>
    <w:p w:rsidR="00DC779E" w:rsidRDefault="00DC779E" w:rsidP="00CF58B7">
      <w:pPr>
        <w:spacing w:line="360" w:lineRule="auto"/>
      </w:pPr>
    </w:p>
    <w:p w:rsidR="0032179A" w:rsidRDefault="00DC779E" w:rsidP="00CF58B7">
      <w:pPr>
        <w:spacing w:line="360" w:lineRule="auto"/>
      </w:pPr>
      <w:r>
        <w:t xml:space="preserve">Le problème de l’impartialité du médecin/technicien a également déjà été mentionné (cf. </w:t>
      </w:r>
      <w:r w:rsidRPr="00453A4B">
        <w:rPr>
          <w:i/>
        </w:rPr>
        <w:t>supra</w:t>
      </w:r>
      <w:r w:rsidR="00C556F2">
        <w:t>), i</w:t>
      </w:r>
      <w:r>
        <w:t xml:space="preserve">mpartialité vis à vis des autres données paracliniques, mais aussi vis à vis de ses propres données cliniques. En effet, il n’est pas forcément souhaitable </w:t>
      </w:r>
      <w:r w:rsidR="00C556F2">
        <w:t xml:space="preserve">que ce soit le même médecin qui examine et réalise l’ENMG chez un patient. Il n’est pas toujours facile de se remette en question, et en particulier, de récuser par l’acte </w:t>
      </w:r>
      <w:r w:rsidR="00130816">
        <w:t>technique ce qu’on avait évoqué</w:t>
      </w:r>
      <w:r w:rsidR="00C556F2">
        <w:t xml:space="preserve"> par la clinique. </w:t>
      </w:r>
      <w:r>
        <w:t xml:space="preserve"> </w:t>
      </w:r>
    </w:p>
    <w:p w:rsidR="0032179A" w:rsidRDefault="0032179A" w:rsidP="00CF58B7">
      <w:pPr>
        <w:spacing w:line="360" w:lineRule="auto"/>
      </w:pPr>
    </w:p>
    <w:p w:rsidR="00C81C15" w:rsidRDefault="0032179A" w:rsidP="00CF58B7">
      <w:pPr>
        <w:spacing w:line="360" w:lineRule="auto"/>
      </w:pPr>
      <w:r>
        <w:t xml:space="preserve">Pour pratiquer l’ENMG en Belgique, il n’est nul besoin d’un diplôme spécifique. </w:t>
      </w:r>
      <w:r w:rsidR="00F6561D">
        <w:t>Des médecins d’horizons divers (M</w:t>
      </w:r>
      <w:r>
        <w:t>édecine de l’appareil loc</w:t>
      </w:r>
      <w:r w:rsidR="00F6561D">
        <w:t>omoteur, Rhumatologie, Neurologie)</w:t>
      </w:r>
      <w:r w:rsidR="00214195">
        <w:t xml:space="preserve"> </w:t>
      </w:r>
      <w:proofErr w:type="gramStart"/>
      <w:r w:rsidR="00F6561D">
        <w:t>peuvent</w:t>
      </w:r>
      <w:proofErr w:type="gramEnd"/>
      <w:r w:rsidR="00F6561D">
        <w:t xml:space="preserve"> prétendre à la pratique de ces techniques sans passage obligé par une formation longue et rigoureuse. Or, l’exploration électrophysiologique reste un domaine très complexe de la médecine. </w:t>
      </w:r>
      <w:r w:rsidR="00C81C15">
        <w:t>L’erreur survient donc fréquemment de la méconnaissance d’un piège, d’une variante anatomique ou de la pratique inadéquate de telle ou telle technique.</w:t>
      </w:r>
    </w:p>
    <w:p w:rsidR="00C81C15" w:rsidRDefault="00C81C15" w:rsidP="00CF58B7">
      <w:pPr>
        <w:spacing w:line="360" w:lineRule="auto"/>
      </w:pPr>
    </w:p>
    <w:p w:rsidR="00D73402" w:rsidRDefault="00C81C15" w:rsidP="00724955">
      <w:pPr>
        <w:spacing w:line="360" w:lineRule="auto"/>
      </w:pPr>
      <w:r>
        <w:t>Si à l’échelon national, il manque d’un diplôme interuniversitaire en électrophysiologie, à l’échelon international, il manque de recommandations définissant notamment les stratégies  à mettre en place</w:t>
      </w:r>
      <w:r w:rsidR="00B72E01">
        <w:t>,</w:t>
      </w:r>
      <w:r>
        <w:t xml:space="preserve"> ainsi que les nerfs et les muscles à étudier</w:t>
      </w:r>
      <w:r w:rsidR="00B72E01">
        <w:t>,</w:t>
      </w:r>
      <w:r>
        <w:t xml:space="preserve"> dans les différentes pathologies qui relèvent de l’ENMG. </w:t>
      </w:r>
      <w:r w:rsidR="00B72E01">
        <w:t xml:space="preserve"> </w:t>
      </w:r>
      <w:r w:rsidR="00DB2ACD">
        <w:t>Une des</w:t>
      </w:r>
      <w:r w:rsidR="00B72E01">
        <w:t xml:space="preserve"> conséquence</w:t>
      </w:r>
      <w:r w:rsidR="00DB2ACD">
        <w:t>s</w:t>
      </w:r>
      <w:r w:rsidR="00B72E01">
        <w:t xml:space="preserve"> de ces différents manques, est qu’il existe plusieurs « écoles » d’ENMG avec des façons, parfois très différentes, de faire et d’interpréter les résultats.</w:t>
      </w:r>
      <w:r w:rsidR="00E70546">
        <w:t xml:space="preserve"> </w:t>
      </w:r>
    </w:p>
    <w:p w:rsidR="00D73402" w:rsidRDefault="00D73402" w:rsidP="00DF1D92">
      <w:pPr>
        <w:pStyle w:val="Titre2"/>
        <w:spacing w:line="360" w:lineRule="auto"/>
      </w:pPr>
      <w:r>
        <w:t>Conclusions</w:t>
      </w:r>
    </w:p>
    <w:p w:rsidR="00CA3C6C" w:rsidRPr="00D73402" w:rsidRDefault="00227A95" w:rsidP="00DF1D92">
      <w:pPr>
        <w:spacing w:line="360" w:lineRule="auto"/>
      </w:pPr>
      <w:r>
        <w:t>L’ENMG est plus sensible et plus fiable pour détecter une neuropathie focale distale (ex.</w:t>
      </w:r>
      <w:r w:rsidR="00B1416B">
        <w:t> </w:t>
      </w:r>
      <w:proofErr w:type="gramStart"/>
      <w:r w:rsidR="00B1416B">
        <w:t xml:space="preserve">: </w:t>
      </w:r>
      <w:r>
        <w:t xml:space="preserve"> syndrome</w:t>
      </w:r>
      <w:proofErr w:type="gramEnd"/>
      <w:r>
        <w:t xml:space="preserve"> du canal carpien) qu’une neuropathie focale proximale (ex.</w:t>
      </w:r>
      <w:r w:rsidR="00B1416B">
        <w:t xml:space="preserve"> : </w:t>
      </w:r>
      <w:r>
        <w:t xml:space="preserve">radiculopathie). L’ENMG a tendance à </w:t>
      </w:r>
      <w:proofErr w:type="spellStart"/>
      <w:r>
        <w:t>sur</w:t>
      </w:r>
      <w:r w:rsidR="00960B32">
        <w:t>-</w:t>
      </w:r>
      <w:r>
        <w:t>estimer</w:t>
      </w:r>
      <w:proofErr w:type="spellEnd"/>
      <w:r>
        <w:t xml:space="preserve"> les séquelles cliniques fonctionnelles d’une neuropathie distale et à sous-estimer celles des atteintes proximales. Dans le cadre d’une expertise médicale, la demande d’ENMG « sapiteur » doit cibler une pathologie précise et comprendre un minimum d’informations cliniques. Les examens ENMG</w:t>
      </w:r>
      <w:r w:rsidR="00DF1D92">
        <w:t>, avec les données chiffrées et les courbes,</w:t>
      </w:r>
      <w:r>
        <w:t xml:space="preserve"> réalisés préalablement</w:t>
      </w:r>
      <w:r w:rsidR="008B6EF0">
        <w:t>,</w:t>
      </w:r>
      <w:r>
        <w:t xml:space="preserve"> doivent être </w:t>
      </w:r>
      <w:r w:rsidR="00DF1D92">
        <w:t>communiqués</w:t>
      </w:r>
      <w:r>
        <w:t xml:space="preserve"> au médecin sapiteur.</w:t>
      </w:r>
      <w:r w:rsidR="00DF1D92">
        <w:t xml:space="preserve"> Dans un dossier en aggravation, compte tenu du caractère </w:t>
      </w:r>
      <w:proofErr w:type="spellStart"/>
      <w:r w:rsidR="00DF1D92">
        <w:t>opérateur-dépendant</w:t>
      </w:r>
      <w:proofErr w:type="spellEnd"/>
      <w:r w:rsidR="00DF1D92">
        <w:t xml:space="preserve"> des techniques électrophysiologiques, l’ENMG doit être demandé au médecin préalablement sollicité. </w:t>
      </w:r>
      <w:r>
        <w:t xml:space="preserve"> </w:t>
      </w:r>
    </w:p>
    <w:sectPr w:rsidR="00CA3C6C" w:rsidRPr="00D73402" w:rsidSect="00CA3C6C">
      <w:footerReference w:type="even" r:id="rId7"/>
      <w:footerReference w:type="default" r:id="rId8"/>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Bliss Pro Regular">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0E5" w:rsidRDefault="00B4478B" w:rsidP="002219B7">
    <w:pPr>
      <w:pStyle w:val="Pieddepage"/>
      <w:framePr w:wrap="around" w:vAnchor="text" w:hAnchor="margin" w:xAlign="right" w:y="1"/>
      <w:rPr>
        <w:rStyle w:val="Numrodepage"/>
      </w:rPr>
    </w:pPr>
    <w:r>
      <w:rPr>
        <w:rStyle w:val="Numrodepage"/>
      </w:rPr>
      <w:fldChar w:fldCharType="begin"/>
    </w:r>
    <w:r w:rsidR="006940E5">
      <w:rPr>
        <w:rStyle w:val="Numrodepage"/>
      </w:rPr>
      <w:instrText xml:space="preserve">PAGE  </w:instrText>
    </w:r>
    <w:r>
      <w:rPr>
        <w:rStyle w:val="Numrodepage"/>
      </w:rPr>
      <w:fldChar w:fldCharType="end"/>
    </w:r>
  </w:p>
  <w:p w:rsidR="006940E5" w:rsidRDefault="006940E5" w:rsidP="002219B7">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0E5" w:rsidRDefault="00B4478B" w:rsidP="002219B7">
    <w:pPr>
      <w:pStyle w:val="Pieddepage"/>
      <w:framePr w:wrap="around" w:vAnchor="text" w:hAnchor="margin" w:xAlign="right" w:y="1"/>
      <w:rPr>
        <w:rStyle w:val="Numrodepage"/>
      </w:rPr>
    </w:pPr>
    <w:r>
      <w:rPr>
        <w:rStyle w:val="Numrodepage"/>
      </w:rPr>
      <w:fldChar w:fldCharType="begin"/>
    </w:r>
    <w:r w:rsidR="006940E5">
      <w:rPr>
        <w:rStyle w:val="Numrodepage"/>
      </w:rPr>
      <w:instrText xml:space="preserve">PAGE  </w:instrText>
    </w:r>
    <w:r>
      <w:rPr>
        <w:rStyle w:val="Numrodepage"/>
      </w:rPr>
      <w:fldChar w:fldCharType="separate"/>
    </w:r>
    <w:r w:rsidR="007965ED">
      <w:rPr>
        <w:rStyle w:val="Numrodepage"/>
        <w:noProof/>
      </w:rPr>
      <w:t>1</w:t>
    </w:r>
    <w:r>
      <w:rPr>
        <w:rStyle w:val="Numrodepage"/>
      </w:rPr>
      <w:fldChar w:fldCharType="end"/>
    </w:r>
  </w:p>
  <w:p w:rsidR="006940E5" w:rsidRDefault="006940E5" w:rsidP="002219B7">
    <w:pPr>
      <w:pStyle w:val="Pieddepag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6940E5" w:rsidRDefault="006940E5">
      <w:pPr>
        <w:pStyle w:val="Notedebasdepage"/>
      </w:pPr>
      <w:r>
        <w:rPr>
          <w:rStyle w:val="Marquenotebasdepage"/>
        </w:rPr>
        <w:footnoteRef/>
      </w:r>
      <w:r>
        <w:t xml:space="preserve"> </w:t>
      </w:r>
      <w:r w:rsidRPr="009D7E61">
        <w:rPr>
          <w:smallCaps/>
        </w:rPr>
        <w:t>Robinson</w:t>
      </w:r>
      <w:r>
        <w:t>, L.R., « </w:t>
      </w:r>
      <w:r w:rsidRPr="00554019">
        <w:rPr>
          <w:rFonts w:cs="Arial"/>
          <w:bCs/>
          <w:szCs w:val="32"/>
        </w:rPr>
        <w:t xml:space="preserve">How </w:t>
      </w:r>
      <w:proofErr w:type="spellStart"/>
      <w:r w:rsidRPr="00554019">
        <w:rPr>
          <w:rFonts w:cs="Arial"/>
          <w:bCs/>
          <w:szCs w:val="32"/>
        </w:rPr>
        <w:t>electrodiagnosis</w:t>
      </w:r>
      <w:proofErr w:type="spellEnd"/>
      <w:r w:rsidRPr="00554019">
        <w:rPr>
          <w:rFonts w:cs="Arial"/>
          <w:bCs/>
          <w:szCs w:val="32"/>
        </w:rPr>
        <w:t xml:space="preserve"> </w:t>
      </w:r>
      <w:proofErr w:type="spellStart"/>
      <w:r w:rsidRPr="00554019">
        <w:rPr>
          <w:rFonts w:cs="Arial"/>
          <w:bCs/>
          <w:szCs w:val="32"/>
        </w:rPr>
        <w:t>predicts</w:t>
      </w:r>
      <w:proofErr w:type="spellEnd"/>
      <w:r w:rsidRPr="00554019">
        <w:rPr>
          <w:rFonts w:cs="Arial"/>
          <w:bCs/>
          <w:szCs w:val="32"/>
        </w:rPr>
        <w:t xml:space="preserve"> </w:t>
      </w:r>
      <w:proofErr w:type="spellStart"/>
      <w:r w:rsidRPr="00554019">
        <w:rPr>
          <w:rFonts w:cs="Arial"/>
          <w:bCs/>
          <w:szCs w:val="32"/>
        </w:rPr>
        <w:t>clinical</w:t>
      </w:r>
      <w:proofErr w:type="spellEnd"/>
      <w:r w:rsidRPr="00554019">
        <w:rPr>
          <w:rFonts w:cs="Arial"/>
          <w:bCs/>
          <w:szCs w:val="32"/>
        </w:rPr>
        <w:t xml:space="preserve"> </w:t>
      </w:r>
      <w:proofErr w:type="spellStart"/>
      <w:r w:rsidRPr="00554019">
        <w:rPr>
          <w:rFonts w:cs="Arial"/>
          <w:bCs/>
          <w:szCs w:val="32"/>
        </w:rPr>
        <w:t>outcome</w:t>
      </w:r>
      <w:proofErr w:type="spellEnd"/>
      <w:r w:rsidRPr="00554019">
        <w:rPr>
          <w:rFonts w:cs="Arial"/>
          <w:bCs/>
          <w:szCs w:val="32"/>
        </w:rPr>
        <w:t xml:space="preserve"> of</w:t>
      </w:r>
      <w:r>
        <w:rPr>
          <w:rFonts w:cs="Arial"/>
          <w:bCs/>
          <w:szCs w:val="32"/>
        </w:rPr>
        <w:t xml:space="preserve"> focal </w:t>
      </w:r>
      <w:proofErr w:type="spellStart"/>
      <w:r>
        <w:rPr>
          <w:rFonts w:cs="Arial"/>
          <w:bCs/>
          <w:szCs w:val="32"/>
        </w:rPr>
        <w:t>peripheral</w:t>
      </w:r>
      <w:proofErr w:type="spellEnd"/>
      <w:r>
        <w:rPr>
          <w:rFonts w:cs="Arial"/>
          <w:bCs/>
          <w:szCs w:val="32"/>
        </w:rPr>
        <w:t xml:space="preserve"> nerve lésions », </w:t>
      </w:r>
      <w:r w:rsidRPr="009D7E61">
        <w:rPr>
          <w:rFonts w:cs="Arial"/>
          <w:bCs/>
          <w:i/>
          <w:szCs w:val="32"/>
        </w:rPr>
        <w:t>Muscle Nerve</w:t>
      </w:r>
      <w:r>
        <w:rPr>
          <w:rFonts w:cs="Arial"/>
          <w:bCs/>
          <w:szCs w:val="32"/>
        </w:rPr>
        <w:t>, 2015, 52, 321-333.</w:t>
      </w:r>
    </w:p>
  </w:footnote>
  <w:footnote w:id="0">
    <w:p w:rsidR="006940E5" w:rsidRPr="00143756" w:rsidRDefault="006940E5" w:rsidP="000D1CB5">
      <w:pPr>
        <w:rPr>
          <w:u w:color="262626"/>
          <w:lang w:val="en-US"/>
        </w:rPr>
      </w:pPr>
      <w:r>
        <w:rPr>
          <w:rStyle w:val="Marquenotebasdepage"/>
        </w:rPr>
        <w:footnoteRef/>
      </w:r>
      <w:r>
        <w:t xml:space="preserve"> </w:t>
      </w:r>
      <w:proofErr w:type="spellStart"/>
      <w:r w:rsidRPr="009D7E61">
        <w:rPr>
          <w:smallCaps/>
          <w:color w:val="262626"/>
          <w:u w:color="262626"/>
          <w:lang w:val="en-US"/>
        </w:rPr>
        <w:t>Jablecki</w:t>
      </w:r>
      <w:proofErr w:type="spellEnd"/>
      <w:r>
        <w:rPr>
          <w:color w:val="262626"/>
          <w:u w:color="262626"/>
          <w:lang w:val="en-US"/>
        </w:rPr>
        <w:t>,</w:t>
      </w:r>
      <w:r w:rsidRPr="00194DFB">
        <w:rPr>
          <w:color w:val="262626"/>
          <w:u w:color="262626"/>
          <w:lang w:val="en-US"/>
        </w:rPr>
        <w:t xml:space="preserve"> C</w:t>
      </w:r>
      <w:r>
        <w:rPr>
          <w:color w:val="262626"/>
          <w:u w:color="262626"/>
          <w:lang w:val="en-US"/>
        </w:rPr>
        <w:t>.</w:t>
      </w:r>
      <w:r w:rsidRPr="00194DFB">
        <w:rPr>
          <w:color w:val="262626"/>
          <w:u w:color="262626"/>
          <w:lang w:val="en-US"/>
        </w:rPr>
        <w:t>K</w:t>
      </w:r>
      <w:r>
        <w:rPr>
          <w:color w:val="262626"/>
          <w:u w:color="262626"/>
          <w:lang w:val="en-US"/>
        </w:rPr>
        <w:t>.</w:t>
      </w:r>
      <w:r w:rsidRPr="00194DFB">
        <w:rPr>
          <w:u w:color="262626"/>
          <w:lang w:val="en-US"/>
        </w:rPr>
        <w:t xml:space="preserve">, </w:t>
      </w:r>
      <w:proofErr w:type="spellStart"/>
      <w:r w:rsidRPr="009D7E61">
        <w:rPr>
          <w:smallCaps/>
          <w:color w:val="262626"/>
          <w:u w:color="262626"/>
          <w:lang w:val="en-US"/>
        </w:rPr>
        <w:t>Andary</w:t>
      </w:r>
      <w:proofErr w:type="spellEnd"/>
      <w:r>
        <w:rPr>
          <w:color w:val="262626"/>
          <w:u w:color="262626"/>
          <w:lang w:val="en-US"/>
        </w:rPr>
        <w:t>,</w:t>
      </w:r>
      <w:r w:rsidRPr="00194DFB">
        <w:rPr>
          <w:color w:val="262626"/>
          <w:u w:color="262626"/>
          <w:lang w:val="en-US"/>
        </w:rPr>
        <w:t xml:space="preserve"> M</w:t>
      </w:r>
      <w:r>
        <w:rPr>
          <w:color w:val="262626"/>
          <w:u w:color="262626"/>
          <w:lang w:val="en-US"/>
        </w:rPr>
        <w:t>.</w:t>
      </w:r>
      <w:r w:rsidRPr="00194DFB">
        <w:rPr>
          <w:color w:val="262626"/>
          <w:u w:color="262626"/>
          <w:lang w:val="en-US"/>
        </w:rPr>
        <w:t>T</w:t>
      </w:r>
      <w:r>
        <w:rPr>
          <w:color w:val="262626"/>
          <w:u w:color="262626"/>
          <w:lang w:val="en-US"/>
        </w:rPr>
        <w:t>.</w:t>
      </w:r>
      <w:r w:rsidRPr="00194DFB">
        <w:rPr>
          <w:u w:color="262626"/>
          <w:lang w:val="en-US"/>
        </w:rPr>
        <w:t xml:space="preserve">, </w:t>
      </w:r>
      <w:r w:rsidRPr="009D7E61">
        <w:rPr>
          <w:smallCaps/>
          <w:color w:val="262626"/>
          <w:u w:color="262626"/>
          <w:lang w:val="en-US"/>
        </w:rPr>
        <w:t>So</w:t>
      </w:r>
      <w:r>
        <w:rPr>
          <w:color w:val="262626"/>
          <w:u w:color="262626"/>
          <w:lang w:val="en-US"/>
        </w:rPr>
        <w:t>,</w:t>
      </w:r>
      <w:r w:rsidRPr="00194DFB">
        <w:rPr>
          <w:color w:val="262626"/>
          <w:u w:color="262626"/>
          <w:lang w:val="en-US"/>
        </w:rPr>
        <w:t xml:space="preserve"> Y</w:t>
      </w:r>
      <w:r>
        <w:rPr>
          <w:color w:val="262626"/>
          <w:u w:color="262626"/>
          <w:lang w:val="en-US"/>
        </w:rPr>
        <w:t>.</w:t>
      </w:r>
      <w:r w:rsidRPr="00194DFB">
        <w:rPr>
          <w:color w:val="262626"/>
          <w:u w:color="262626"/>
          <w:lang w:val="en-US"/>
        </w:rPr>
        <w:t>T</w:t>
      </w:r>
      <w:r>
        <w:rPr>
          <w:color w:val="262626"/>
          <w:u w:color="262626"/>
          <w:lang w:val="en-US"/>
        </w:rPr>
        <w:t>.</w:t>
      </w:r>
      <w:r w:rsidRPr="00194DFB">
        <w:rPr>
          <w:u w:color="262626"/>
          <w:lang w:val="en-US"/>
        </w:rPr>
        <w:t xml:space="preserve">, </w:t>
      </w:r>
      <w:r w:rsidRPr="009D7E61">
        <w:rPr>
          <w:smallCaps/>
          <w:color w:val="262626"/>
          <w:u w:color="262626"/>
          <w:lang w:val="en-US"/>
        </w:rPr>
        <w:t>Wilkins</w:t>
      </w:r>
      <w:r>
        <w:rPr>
          <w:color w:val="262626"/>
          <w:u w:color="262626"/>
          <w:lang w:val="en-US"/>
        </w:rPr>
        <w:t>,</w:t>
      </w:r>
      <w:r w:rsidRPr="00194DFB">
        <w:rPr>
          <w:color w:val="262626"/>
          <w:u w:color="262626"/>
          <w:lang w:val="en-US"/>
        </w:rPr>
        <w:t xml:space="preserve"> D</w:t>
      </w:r>
      <w:r>
        <w:rPr>
          <w:color w:val="262626"/>
          <w:u w:color="262626"/>
          <w:lang w:val="en-US"/>
        </w:rPr>
        <w:t>.</w:t>
      </w:r>
      <w:r w:rsidRPr="00194DFB">
        <w:rPr>
          <w:color w:val="262626"/>
          <w:u w:color="262626"/>
          <w:lang w:val="en-US"/>
        </w:rPr>
        <w:t>E</w:t>
      </w:r>
      <w:r>
        <w:rPr>
          <w:color w:val="262626"/>
          <w:u w:color="262626"/>
          <w:lang w:val="en-US"/>
        </w:rPr>
        <w:t>.</w:t>
      </w:r>
      <w:r>
        <w:rPr>
          <w:u w:color="262626"/>
          <w:lang w:val="en-US"/>
        </w:rPr>
        <w:t xml:space="preserve"> </w:t>
      </w:r>
      <w:proofErr w:type="gramStart"/>
      <w:r>
        <w:rPr>
          <w:u w:color="262626"/>
          <w:lang w:val="en-US"/>
        </w:rPr>
        <w:t>et</w:t>
      </w:r>
      <w:proofErr w:type="gramEnd"/>
      <w:r>
        <w:rPr>
          <w:u w:color="262626"/>
          <w:lang w:val="en-US"/>
        </w:rPr>
        <w:t xml:space="preserve"> </w:t>
      </w:r>
      <w:r w:rsidRPr="00194DFB">
        <w:rPr>
          <w:color w:val="262626"/>
          <w:u w:color="262626"/>
          <w:lang w:val="en-US"/>
        </w:rPr>
        <w:t>Williams</w:t>
      </w:r>
      <w:r>
        <w:rPr>
          <w:color w:val="262626"/>
          <w:u w:color="262626"/>
          <w:lang w:val="en-US"/>
        </w:rPr>
        <w:t>,</w:t>
      </w:r>
      <w:r w:rsidRPr="00194DFB">
        <w:rPr>
          <w:color w:val="262626"/>
          <w:u w:color="262626"/>
          <w:lang w:val="en-US"/>
        </w:rPr>
        <w:t xml:space="preserve"> F</w:t>
      </w:r>
      <w:r>
        <w:rPr>
          <w:color w:val="262626"/>
          <w:u w:color="262626"/>
          <w:lang w:val="en-US"/>
        </w:rPr>
        <w:t>.</w:t>
      </w:r>
      <w:r w:rsidRPr="00194DFB">
        <w:rPr>
          <w:color w:val="262626"/>
          <w:u w:color="262626"/>
          <w:lang w:val="en-US"/>
        </w:rPr>
        <w:t>H</w:t>
      </w:r>
      <w:r>
        <w:rPr>
          <w:color w:val="262626"/>
          <w:u w:color="262626"/>
          <w:lang w:val="en-US"/>
        </w:rPr>
        <w:t>.</w:t>
      </w:r>
      <w:r>
        <w:rPr>
          <w:u w:color="262626"/>
          <w:lang w:val="en-US"/>
        </w:rPr>
        <w:t>, “</w:t>
      </w:r>
      <w:r w:rsidRPr="00194DFB">
        <w:rPr>
          <w:bCs/>
          <w:szCs w:val="32"/>
          <w:u w:color="262626"/>
          <w:lang w:val="en-US"/>
        </w:rPr>
        <w:t>Literature review of the usefulness of nerve conduction studies and electromyography for the evaluation of patie</w:t>
      </w:r>
      <w:r>
        <w:rPr>
          <w:bCs/>
          <w:szCs w:val="32"/>
          <w:u w:color="262626"/>
          <w:lang w:val="en-US"/>
        </w:rPr>
        <w:t>nts with carpal tunnel syndrome”,</w:t>
      </w:r>
      <w:r w:rsidRPr="00194DFB">
        <w:rPr>
          <w:bCs/>
          <w:szCs w:val="32"/>
          <w:u w:color="262626"/>
          <w:lang w:val="en-US"/>
        </w:rPr>
        <w:t xml:space="preserve"> A</w:t>
      </w:r>
      <w:r>
        <w:rPr>
          <w:bCs/>
          <w:szCs w:val="32"/>
          <w:u w:color="262626"/>
          <w:lang w:val="en-US"/>
        </w:rPr>
        <w:t xml:space="preserve">AEM Quality Assurance Committee, </w:t>
      </w:r>
      <w:r w:rsidRPr="009D7E61">
        <w:rPr>
          <w:i/>
          <w:color w:val="262626"/>
          <w:u w:color="262626"/>
          <w:lang w:val="en-US"/>
        </w:rPr>
        <w:t>Muscle Nerve</w:t>
      </w:r>
      <w:r>
        <w:rPr>
          <w:color w:val="262626"/>
          <w:u w:color="262626"/>
          <w:lang w:val="en-US"/>
        </w:rPr>
        <w:t>,</w:t>
      </w:r>
      <w:r>
        <w:rPr>
          <w:u w:color="262626"/>
          <w:lang w:val="en-US"/>
        </w:rPr>
        <w:t xml:space="preserve"> 1993, 16, </w:t>
      </w:r>
      <w:r w:rsidRPr="00194DFB">
        <w:rPr>
          <w:u w:color="262626"/>
          <w:lang w:val="en-US"/>
        </w:rPr>
        <w:t>1392-1414.</w:t>
      </w:r>
    </w:p>
    <w:p w:rsidR="006940E5" w:rsidRDefault="006940E5">
      <w:pPr>
        <w:pStyle w:val="Notedebasdepage"/>
      </w:pPr>
    </w:p>
  </w:footnote>
  <w:footnote w:id="1">
    <w:p w:rsidR="006940E5" w:rsidRPr="003B30E7" w:rsidRDefault="006940E5" w:rsidP="003B30E7">
      <w:pPr>
        <w:rPr>
          <w:szCs w:val="32"/>
        </w:rPr>
      </w:pPr>
      <w:r>
        <w:rPr>
          <w:rStyle w:val="Marquenotebasdepage"/>
        </w:rPr>
        <w:footnoteRef/>
      </w:r>
      <w:r>
        <w:t xml:space="preserve"> </w:t>
      </w:r>
      <w:proofErr w:type="spellStart"/>
      <w:r w:rsidRPr="009D7E61">
        <w:rPr>
          <w:smallCaps/>
          <w:szCs w:val="22"/>
        </w:rPr>
        <w:t>Labarre-Vila</w:t>
      </w:r>
      <w:proofErr w:type="spellEnd"/>
      <w:r>
        <w:rPr>
          <w:szCs w:val="22"/>
        </w:rPr>
        <w:t>,</w:t>
      </w:r>
      <w:r w:rsidRPr="00C16486">
        <w:rPr>
          <w:rStyle w:val="A30"/>
          <w:rFonts w:cs="Times New Roman"/>
          <w:color w:val="auto"/>
          <w:sz w:val="24"/>
        </w:rPr>
        <w:t xml:space="preserve"> A</w:t>
      </w:r>
      <w:r>
        <w:rPr>
          <w:rStyle w:val="A30"/>
          <w:rFonts w:cs="Times New Roman"/>
          <w:color w:val="auto"/>
          <w:sz w:val="24"/>
        </w:rPr>
        <w:t>.</w:t>
      </w:r>
      <w:r w:rsidRPr="00C16486">
        <w:rPr>
          <w:szCs w:val="22"/>
        </w:rPr>
        <w:t xml:space="preserve">, </w:t>
      </w:r>
      <w:r w:rsidRPr="009D7E61">
        <w:rPr>
          <w:smallCaps/>
          <w:szCs w:val="22"/>
        </w:rPr>
        <w:t>Fournier</w:t>
      </w:r>
      <w:r>
        <w:rPr>
          <w:szCs w:val="22"/>
        </w:rPr>
        <w:t>,</w:t>
      </w:r>
      <w:r w:rsidRPr="00C16486">
        <w:rPr>
          <w:rStyle w:val="A30"/>
          <w:rFonts w:cs="Times New Roman"/>
          <w:color w:val="auto"/>
          <w:sz w:val="24"/>
        </w:rPr>
        <w:t xml:space="preserve"> E</w:t>
      </w:r>
      <w:r>
        <w:rPr>
          <w:rStyle w:val="A30"/>
          <w:rFonts w:cs="Times New Roman"/>
          <w:color w:val="auto"/>
          <w:sz w:val="24"/>
        </w:rPr>
        <w:t>.</w:t>
      </w:r>
      <w:r w:rsidRPr="00C16486">
        <w:rPr>
          <w:szCs w:val="22"/>
        </w:rPr>
        <w:t xml:space="preserve">, </w:t>
      </w:r>
      <w:proofErr w:type="spellStart"/>
      <w:r w:rsidRPr="009D7E61">
        <w:rPr>
          <w:smallCaps/>
          <w:szCs w:val="22"/>
        </w:rPr>
        <w:t>Jabre</w:t>
      </w:r>
      <w:proofErr w:type="spellEnd"/>
      <w:r>
        <w:rPr>
          <w:szCs w:val="22"/>
        </w:rPr>
        <w:t>,</w:t>
      </w:r>
      <w:r w:rsidRPr="00C16486">
        <w:rPr>
          <w:rStyle w:val="A30"/>
          <w:rFonts w:cs="Times New Roman"/>
          <w:color w:val="auto"/>
          <w:sz w:val="24"/>
        </w:rPr>
        <w:t xml:space="preserve"> J</w:t>
      </w:r>
      <w:r>
        <w:rPr>
          <w:rStyle w:val="A30"/>
          <w:rFonts w:cs="Times New Roman"/>
          <w:color w:val="auto"/>
          <w:sz w:val="24"/>
        </w:rPr>
        <w:t>.</w:t>
      </w:r>
      <w:r w:rsidRPr="00C16486">
        <w:rPr>
          <w:rStyle w:val="A30"/>
          <w:rFonts w:cs="Times New Roman"/>
          <w:color w:val="auto"/>
          <w:sz w:val="24"/>
        </w:rPr>
        <w:t>F</w:t>
      </w:r>
      <w:r>
        <w:rPr>
          <w:rStyle w:val="A30"/>
          <w:rFonts w:cs="Times New Roman"/>
          <w:color w:val="auto"/>
          <w:sz w:val="24"/>
        </w:rPr>
        <w:t>.</w:t>
      </w:r>
      <w:r w:rsidRPr="00C16486">
        <w:rPr>
          <w:szCs w:val="22"/>
        </w:rPr>
        <w:t xml:space="preserve">, </w:t>
      </w:r>
      <w:proofErr w:type="spellStart"/>
      <w:r w:rsidRPr="009D7E61">
        <w:rPr>
          <w:smallCaps/>
          <w:szCs w:val="22"/>
        </w:rPr>
        <w:t>Soichot</w:t>
      </w:r>
      <w:proofErr w:type="spellEnd"/>
      <w:r>
        <w:rPr>
          <w:szCs w:val="22"/>
        </w:rPr>
        <w:t>,</w:t>
      </w:r>
      <w:r w:rsidRPr="00C16486">
        <w:rPr>
          <w:rStyle w:val="A30"/>
          <w:rFonts w:cs="Times New Roman"/>
          <w:color w:val="auto"/>
          <w:sz w:val="24"/>
        </w:rPr>
        <w:t xml:space="preserve"> P</w:t>
      </w:r>
      <w:r>
        <w:rPr>
          <w:rStyle w:val="A30"/>
          <w:rFonts w:cs="Times New Roman"/>
          <w:color w:val="auto"/>
          <w:sz w:val="24"/>
        </w:rPr>
        <w:t>.</w:t>
      </w:r>
      <w:r w:rsidRPr="00C16486">
        <w:rPr>
          <w:szCs w:val="22"/>
        </w:rPr>
        <w:t xml:space="preserve">, </w:t>
      </w:r>
      <w:proofErr w:type="spellStart"/>
      <w:r w:rsidRPr="009D7E61">
        <w:rPr>
          <w:smallCaps/>
          <w:szCs w:val="22"/>
        </w:rPr>
        <w:t>Magistris</w:t>
      </w:r>
      <w:proofErr w:type="spellEnd"/>
      <w:r>
        <w:rPr>
          <w:szCs w:val="22"/>
        </w:rPr>
        <w:t>,</w:t>
      </w:r>
      <w:r w:rsidRPr="00C16486">
        <w:rPr>
          <w:rStyle w:val="A30"/>
          <w:rFonts w:cs="Times New Roman"/>
          <w:color w:val="auto"/>
          <w:sz w:val="24"/>
        </w:rPr>
        <w:t xml:space="preserve"> M</w:t>
      </w:r>
      <w:r>
        <w:rPr>
          <w:rStyle w:val="A30"/>
          <w:rFonts w:cs="Times New Roman"/>
          <w:color w:val="auto"/>
          <w:sz w:val="24"/>
        </w:rPr>
        <w:t>.</w:t>
      </w:r>
      <w:r w:rsidRPr="00C16486">
        <w:rPr>
          <w:rStyle w:val="A30"/>
          <w:rFonts w:cs="Times New Roman"/>
          <w:color w:val="auto"/>
          <w:sz w:val="24"/>
        </w:rPr>
        <w:t>R</w:t>
      </w:r>
      <w:r>
        <w:rPr>
          <w:rStyle w:val="A30"/>
          <w:rFonts w:cs="Times New Roman"/>
          <w:color w:val="auto"/>
          <w:sz w:val="24"/>
        </w:rPr>
        <w:t>.</w:t>
      </w:r>
      <w:r>
        <w:rPr>
          <w:szCs w:val="22"/>
        </w:rPr>
        <w:t xml:space="preserve"> et </w:t>
      </w:r>
      <w:r w:rsidRPr="009D7E61">
        <w:rPr>
          <w:smallCaps/>
          <w:szCs w:val="22"/>
        </w:rPr>
        <w:t>Wang</w:t>
      </w:r>
      <w:r>
        <w:rPr>
          <w:szCs w:val="22"/>
        </w:rPr>
        <w:t>,</w:t>
      </w:r>
      <w:r>
        <w:rPr>
          <w:rStyle w:val="A30"/>
          <w:rFonts w:cs="Times New Roman"/>
          <w:color w:val="auto"/>
          <w:sz w:val="24"/>
        </w:rPr>
        <w:t xml:space="preserve"> F.C.,</w:t>
      </w:r>
      <w:r w:rsidRPr="00C16486">
        <w:rPr>
          <w:rStyle w:val="A30"/>
          <w:rFonts w:cs="Times New Roman"/>
          <w:color w:val="auto"/>
          <w:sz w:val="24"/>
        </w:rPr>
        <w:t xml:space="preserve"> </w:t>
      </w:r>
      <w:r>
        <w:rPr>
          <w:rStyle w:val="A30"/>
          <w:rFonts w:cs="Times New Roman"/>
          <w:color w:val="auto"/>
          <w:sz w:val="24"/>
        </w:rPr>
        <w:t>« </w:t>
      </w:r>
      <w:r>
        <w:rPr>
          <w:szCs w:val="32"/>
        </w:rPr>
        <w:t xml:space="preserve">Le normal et le pathologique », </w:t>
      </w:r>
      <w:r w:rsidRPr="009D7E61">
        <w:rPr>
          <w:i/>
          <w:szCs w:val="32"/>
        </w:rPr>
        <w:t>La lettre du Neurologue</w:t>
      </w:r>
      <w:r>
        <w:rPr>
          <w:szCs w:val="32"/>
        </w:rPr>
        <w:t>, 2009, 13, 17-21.</w:t>
      </w:r>
    </w:p>
  </w:footnote>
  <w:footnote w:id="2">
    <w:p w:rsidR="006940E5" w:rsidRDefault="006940E5">
      <w:pPr>
        <w:pStyle w:val="Notedebasdepage"/>
      </w:pPr>
      <w:r>
        <w:rPr>
          <w:rStyle w:val="Marquenotebasdepage"/>
        </w:rPr>
        <w:footnoteRef/>
      </w:r>
      <w:r>
        <w:t xml:space="preserve"> </w:t>
      </w:r>
      <w:r w:rsidRPr="009D7E61">
        <w:rPr>
          <w:smallCaps/>
          <w:szCs w:val="20"/>
        </w:rPr>
        <w:t>Wang</w:t>
      </w:r>
      <w:r>
        <w:rPr>
          <w:szCs w:val="20"/>
        </w:rPr>
        <w:t xml:space="preserve">, F., </w:t>
      </w:r>
      <w:r w:rsidRPr="009D7E61">
        <w:rPr>
          <w:smallCaps/>
          <w:szCs w:val="20"/>
        </w:rPr>
        <w:t>Gérard</w:t>
      </w:r>
      <w:r>
        <w:rPr>
          <w:szCs w:val="20"/>
        </w:rPr>
        <w:t>,</w:t>
      </w:r>
      <w:r w:rsidRPr="00794408">
        <w:rPr>
          <w:szCs w:val="20"/>
        </w:rPr>
        <w:t xml:space="preserve"> P</w:t>
      </w:r>
      <w:r>
        <w:rPr>
          <w:szCs w:val="20"/>
        </w:rPr>
        <w:t xml:space="preserve">. et </w:t>
      </w:r>
      <w:proofErr w:type="spellStart"/>
      <w:r w:rsidRPr="009D7E61">
        <w:rPr>
          <w:smallCaps/>
          <w:szCs w:val="20"/>
        </w:rPr>
        <w:t>Iserentant</w:t>
      </w:r>
      <w:proofErr w:type="spellEnd"/>
      <w:r>
        <w:rPr>
          <w:szCs w:val="20"/>
        </w:rPr>
        <w:t>, C., « </w:t>
      </w:r>
      <w:r w:rsidRPr="00794408">
        <w:t>Nouvelle approche neurophysiologique du syndrome du canal carpien</w:t>
      </w:r>
      <w:r>
        <w:t xml:space="preserve"> », </w:t>
      </w:r>
      <w:r w:rsidRPr="009D7E61">
        <w:rPr>
          <w:i/>
        </w:rPr>
        <w:t>NCCN</w:t>
      </w:r>
      <w:r>
        <w:t>, 2006, P30.</w:t>
      </w:r>
    </w:p>
  </w:footnote>
  <w:footnote w:id="3">
    <w:p w:rsidR="006940E5" w:rsidRPr="00194DFB" w:rsidRDefault="006940E5" w:rsidP="00A5125C">
      <w:pPr>
        <w:rPr>
          <w:lang w:val="en-US"/>
        </w:rPr>
      </w:pPr>
      <w:r>
        <w:rPr>
          <w:rStyle w:val="Marquenotebasdepage"/>
        </w:rPr>
        <w:footnoteRef/>
      </w:r>
      <w:r>
        <w:t xml:space="preserve"> </w:t>
      </w:r>
      <w:r w:rsidRPr="009D7E61">
        <w:rPr>
          <w:smallCaps/>
          <w:lang w:val="en-US"/>
        </w:rPr>
        <w:t>Cho</w:t>
      </w:r>
      <w:r>
        <w:rPr>
          <w:lang w:val="en-US"/>
        </w:rPr>
        <w:t>,</w:t>
      </w:r>
      <w:r w:rsidRPr="00194DFB">
        <w:rPr>
          <w:lang w:val="en-US"/>
        </w:rPr>
        <w:t xml:space="preserve"> S</w:t>
      </w:r>
      <w:r>
        <w:rPr>
          <w:lang w:val="en-US"/>
        </w:rPr>
        <w:t>.</w:t>
      </w:r>
      <w:r w:rsidRPr="00194DFB">
        <w:rPr>
          <w:lang w:val="en-US"/>
        </w:rPr>
        <w:t>C</w:t>
      </w:r>
      <w:r>
        <w:rPr>
          <w:lang w:val="en-US"/>
        </w:rPr>
        <w:t>.</w:t>
      </w:r>
      <w:r w:rsidRPr="00194DFB">
        <w:rPr>
          <w:lang w:val="en-US"/>
        </w:rPr>
        <w:t xml:space="preserve">, </w:t>
      </w:r>
      <w:proofErr w:type="spellStart"/>
      <w:r w:rsidRPr="009D7E61">
        <w:rPr>
          <w:smallCaps/>
          <w:lang w:val="en-US"/>
        </w:rPr>
        <w:t>Ferrante</w:t>
      </w:r>
      <w:proofErr w:type="spellEnd"/>
      <w:r>
        <w:rPr>
          <w:lang w:val="en-US"/>
        </w:rPr>
        <w:t>,</w:t>
      </w:r>
      <w:r w:rsidRPr="00194DFB">
        <w:rPr>
          <w:lang w:val="en-US"/>
        </w:rPr>
        <w:t xml:space="preserve"> M</w:t>
      </w:r>
      <w:r>
        <w:rPr>
          <w:lang w:val="en-US"/>
        </w:rPr>
        <w:t>.</w:t>
      </w:r>
      <w:r w:rsidRPr="00194DFB">
        <w:rPr>
          <w:lang w:val="en-US"/>
        </w:rPr>
        <w:t>A</w:t>
      </w:r>
      <w:r>
        <w:rPr>
          <w:lang w:val="en-US"/>
        </w:rPr>
        <w:t>.</w:t>
      </w:r>
      <w:r w:rsidRPr="00194DFB">
        <w:rPr>
          <w:lang w:val="en-US"/>
        </w:rPr>
        <w:t xml:space="preserve">, </w:t>
      </w:r>
      <w:r w:rsidRPr="009D7E61">
        <w:rPr>
          <w:smallCaps/>
          <w:lang w:val="en-US"/>
        </w:rPr>
        <w:t>Levin</w:t>
      </w:r>
      <w:r>
        <w:rPr>
          <w:lang w:val="en-US"/>
        </w:rPr>
        <w:t>,</w:t>
      </w:r>
      <w:r w:rsidRPr="00194DFB">
        <w:rPr>
          <w:lang w:val="en-US"/>
        </w:rPr>
        <w:t xml:space="preserve"> K</w:t>
      </w:r>
      <w:r>
        <w:rPr>
          <w:lang w:val="en-US"/>
        </w:rPr>
        <w:t>.</w:t>
      </w:r>
      <w:r w:rsidRPr="00194DFB">
        <w:rPr>
          <w:lang w:val="en-US"/>
        </w:rPr>
        <w:t>H</w:t>
      </w:r>
      <w:r>
        <w:rPr>
          <w:lang w:val="en-US"/>
        </w:rPr>
        <w:t xml:space="preserve">., </w:t>
      </w:r>
      <w:r w:rsidRPr="009D7E61">
        <w:rPr>
          <w:smallCaps/>
          <w:lang w:val="en-US"/>
        </w:rPr>
        <w:t>Harmon</w:t>
      </w:r>
      <w:r>
        <w:rPr>
          <w:lang w:val="en-US"/>
        </w:rPr>
        <w:t xml:space="preserve">, R.L. et </w:t>
      </w:r>
      <w:r w:rsidRPr="009D7E61">
        <w:rPr>
          <w:smallCaps/>
          <w:lang w:val="en-US"/>
        </w:rPr>
        <w:t>So</w:t>
      </w:r>
      <w:r>
        <w:rPr>
          <w:lang w:val="en-US"/>
        </w:rPr>
        <w:t xml:space="preserve">, Y.T., “Utility of </w:t>
      </w:r>
      <w:proofErr w:type="spellStart"/>
      <w:r>
        <w:rPr>
          <w:lang w:val="en-US"/>
        </w:rPr>
        <w:t>e</w:t>
      </w:r>
      <w:r w:rsidRPr="00194DFB">
        <w:rPr>
          <w:lang w:val="en-US"/>
        </w:rPr>
        <w:t>lectrodiagnostic</w:t>
      </w:r>
      <w:proofErr w:type="spellEnd"/>
      <w:r w:rsidRPr="00194DFB">
        <w:rPr>
          <w:lang w:val="en-US"/>
        </w:rPr>
        <w:t xml:space="preserve"> testing in evaluating patients with </w:t>
      </w:r>
      <w:proofErr w:type="spellStart"/>
      <w:r w:rsidRPr="00194DFB">
        <w:rPr>
          <w:lang w:val="en-US"/>
        </w:rPr>
        <w:t>lumbosacral</w:t>
      </w:r>
      <w:proofErr w:type="spellEnd"/>
      <w:r w:rsidRPr="00194DFB">
        <w:rPr>
          <w:lang w:val="en-US"/>
        </w:rPr>
        <w:t xml:space="preserve"> </w:t>
      </w:r>
      <w:proofErr w:type="spellStart"/>
      <w:proofErr w:type="gramStart"/>
      <w:r w:rsidRPr="00194DFB">
        <w:rPr>
          <w:lang w:val="en-US"/>
        </w:rPr>
        <w:t>radiculop</w:t>
      </w:r>
      <w:r>
        <w:rPr>
          <w:lang w:val="en-US"/>
        </w:rPr>
        <w:t>athy</w:t>
      </w:r>
      <w:proofErr w:type="spellEnd"/>
      <w:r>
        <w:rPr>
          <w:lang w:val="en-US"/>
        </w:rPr>
        <w:t> :</w:t>
      </w:r>
      <w:proofErr w:type="gramEnd"/>
      <w:r>
        <w:rPr>
          <w:lang w:val="en-US"/>
        </w:rPr>
        <w:t xml:space="preserve"> an evidence-based review”,</w:t>
      </w:r>
      <w:r w:rsidRPr="00194DFB">
        <w:rPr>
          <w:lang w:val="en-US"/>
        </w:rPr>
        <w:t xml:space="preserve"> </w:t>
      </w:r>
      <w:r w:rsidRPr="009D7E61">
        <w:rPr>
          <w:i/>
          <w:lang w:val="en-US"/>
        </w:rPr>
        <w:t>Muscle Nerve</w:t>
      </w:r>
      <w:r>
        <w:rPr>
          <w:lang w:val="en-US"/>
        </w:rPr>
        <w:t xml:space="preserve">, 2010, 42, </w:t>
      </w:r>
      <w:r w:rsidRPr="00194DFB">
        <w:rPr>
          <w:lang w:val="en-US"/>
        </w:rPr>
        <w:t>276–282.</w:t>
      </w:r>
    </w:p>
    <w:p w:rsidR="006940E5" w:rsidRDefault="006940E5">
      <w:pPr>
        <w:pStyle w:val="Notedebasdepage"/>
      </w:pPr>
    </w:p>
  </w:footnote>
  <w:footnote w:id="4">
    <w:p w:rsidR="006940E5" w:rsidRPr="00194DFB" w:rsidRDefault="006940E5" w:rsidP="00A5125C">
      <w:pPr>
        <w:rPr>
          <w:lang w:val="en-US"/>
        </w:rPr>
      </w:pPr>
      <w:r>
        <w:rPr>
          <w:rStyle w:val="Marquenotebasdepage"/>
        </w:rPr>
        <w:footnoteRef/>
      </w:r>
      <w:r>
        <w:t xml:space="preserve"> </w:t>
      </w:r>
      <w:r>
        <w:rPr>
          <w:lang w:val="en-US"/>
        </w:rPr>
        <w:t>AAEM, “</w:t>
      </w:r>
      <w:r w:rsidRPr="00194DFB">
        <w:rPr>
          <w:szCs w:val="32"/>
          <w:lang w:val="en-US"/>
        </w:rPr>
        <w:t xml:space="preserve">Practice parameter </w:t>
      </w:r>
      <w:r w:rsidRPr="00194DFB">
        <w:rPr>
          <w:lang w:val="en-US"/>
        </w:rPr>
        <w:t xml:space="preserve">for </w:t>
      </w:r>
      <w:r w:rsidRPr="00194DFB">
        <w:rPr>
          <w:szCs w:val="32"/>
          <w:lang w:val="en-US"/>
        </w:rPr>
        <w:t xml:space="preserve">needle </w:t>
      </w:r>
      <w:proofErr w:type="spellStart"/>
      <w:r w:rsidRPr="00194DFB">
        <w:rPr>
          <w:szCs w:val="32"/>
          <w:lang w:val="en-US"/>
        </w:rPr>
        <w:t>electromyographic</w:t>
      </w:r>
      <w:proofErr w:type="spellEnd"/>
      <w:r w:rsidRPr="00194DFB">
        <w:rPr>
          <w:szCs w:val="32"/>
          <w:lang w:val="en-US"/>
        </w:rPr>
        <w:t xml:space="preserve"> evaluation </w:t>
      </w:r>
    </w:p>
    <w:p w:rsidR="006940E5" w:rsidRDefault="006940E5" w:rsidP="00A5125C">
      <w:pPr>
        <w:pStyle w:val="Notedebasdepage"/>
      </w:pPr>
      <w:proofErr w:type="gramStart"/>
      <w:r w:rsidRPr="00194DFB">
        <w:rPr>
          <w:lang w:val="en-US"/>
        </w:rPr>
        <w:t>of</w:t>
      </w:r>
      <w:proofErr w:type="gramEnd"/>
      <w:r w:rsidRPr="00194DFB">
        <w:rPr>
          <w:lang w:val="en-US"/>
        </w:rPr>
        <w:t xml:space="preserve"> </w:t>
      </w:r>
      <w:r w:rsidRPr="00194DFB">
        <w:rPr>
          <w:szCs w:val="32"/>
          <w:lang w:val="en-US"/>
        </w:rPr>
        <w:t xml:space="preserve">patients with suspected cervical </w:t>
      </w:r>
      <w:proofErr w:type="spellStart"/>
      <w:r w:rsidRPr="00194DFB">
        <w:rPr>
          <w:szCs w:val="32"/>
          <w:lang w:val="en-US"/>
        </w:rPr>
        <w:t>ra</w:t>
      </w:r>
      <w:r>
        <w:rPr>
          <w:szCs w:val="32"/>
          <w:lang w:val="en-US"/>
        </w:rPr>
        <w:t>diculopathy</w:t>
      </w:r>
      <w:proofErr w:type="spellEnd"/>
      <w:r>
        <w:rPr>
          <w:szCs w:val="32"/>
          <w:lang w:val="en-US"/>
        </w:rPr>
        <w:t xml:space="preserve">: summary statement”, </w:t>
      </w:r>
      <w:r w:rsidRPr="009D7E61">
        <w:rPr>
          <w:i/>
          <w:lang w:val="en-US"/>
        </w:rPr>
        <w:t>Muscle Nerve</w:t>
      </w:r>
      <w:r>
        <w:rPr>
          <w:lang w:val="en-US"/>
        </w:rPr>
        <w:t xml:space="preserve"> 1999, 22, Supplement 8, </w:t>
      </w:r>
      <w:r w:rsidRPr="00194DFB">
        <w:rPr>
          <w:lang w:val="en-US"/>
        </w:rPr>
        <w:t>S209-S211.</w:t>
      </w:r>
    </w:p>
  </w:footnote>
  <w:footnote w:id="5">
    <w:p w:rsidR="006940E5" w:rsidRPr="00194DFB" w:rsidRDefault="006940E5" w:rsidP="00A5125C">
      <w:pPr>
        <w:rPr>
          <w:lang w:val="en-US"/>
        </w:rPr>
      </w:pPr>
      <w:r>
        <w:rPr>
          <w:rStyle w:val="Marquenotebasdepage"/>
        </w:rPr>
        <w:footnoteRef/>
      </w:r>
      <w:r>
        <w:t xml:space="preserve"> </w:t>
      </w:r>
      <w:r>
        <w:rPr>
          <w:lang w:val="en-US"/>
        </w:rPr>
        <w:t>AAEM,</w:t>
      </w:r>
      <w:r w:rsidRPr="00194DFB">
        <w:rPr>
          <w:lang w:val="en-US"/>
        </w:rPr>
        <w:t xml:space="preserve"> </w:t>
      </w:r>
      <w:r>
        <w:rPr>
          <w:lang w:val="en-US"/>
        </w:rPr>
        <w:t>“</w:t>
      </w:r>
      <w:r w:rsidRPr="00194DFB">
        <w:rPr>
          <w:szCs w:val="32"/>
          <w:lang w:val="en-US"/>
        </w:rPr>
        <w:t xml:space="preserve">The </w:t>
      </w:r>
      <w:proofErr w:type="spellStart"/>
      <w:r>
        <w:rPr>
          <w:lang w:val="en-US"/>
        </w:rPr>
        <w:t>e</w:t>
      </w:r>
      <w:r w:rsidRPr="00194DFB">
        <w:rPr>
          <w:lang w:val="en-US"/>
        </w:rPr>
        <w:t>lectrodiagnostic</w:t>
      </w:r>
      <w:proofErr w:type="spellEnd"/>
      <w:r w:rsidRPr="00194DFB">
        <w:rPr>
          <w:lang w:val="en-US"/>
        </w:rPr>
        <w:t xml:space="preserve"> evaluation of patients </w:t>
      </w:r>
      <w:r w:rsidRPr="00194DFB">
        <w:rPr>
          <w:szCs w:val="32"/>
          <w:lang w:val="en-US"/>
        </w:rPr>
        <w:t xml:space="preserve">with suspected cervical </w:t>
      </w:r>
      <w:proofErr w:type="spellStart"/>
      <w:r w:rsidRPr="00194DFB">
        <w:rPr>
          <w:szCs w:val="32"/>
          <w:lang w:val="en-US"/>
        </w:rPr>
        <w:t>radiculopathy</w:t>
      </w:r>
      <w:proofErr w:type="spellEnd"/>
      <w:r w:rsidRPr="00194DFB">
        <w:rPr>
          <w:szCs w:val="32"/>
          <w:lang w:val="en-US"/>
        </w:rPr>
        <w:t>:  literature review on the usefulness of needle electromy</w:t>
      </w:r>
      <w:r>
        <w:rPr>
          <w:szCs w:val="32"/>
          <w:lang w:val="en-US"/>
        </w:rPr>
        <w:t xml:space="preserve">ography”, </w:t>
      </w:r>
      <w:r w:rsidRPr="009D7E61">
        <w:rPr>
          <w:i/>
          <w:lang w:val="en-US"/>
        </w:rPr>
        <w:t>Muscle Nerve</w:t>
      </w:r>
      <w:r>
        <w:rPr>
          <w:lang w:val="en-US"/>
        </w:rPr>
        <w:t xml:space="preserve">, 1999, 22, Supplement 8, </w:t>
      </w:r>
      <w:r w:rsidRPr="00194DFB">
        <w:rPr>
          <w:lang w:val="en-US"/>
        </w:rPr>
        <w:t>S213-S221.</w:t>
      </w:r>
    </w:p>
    <w:p w:rsidR="006940E5" w:rsidRDefault="006940E5">
      <w:pPr>
        <w:pStyle w:val="Notedebasdepage"/>
      </w:pPr>
    </w:p>
  </w:footnote>
  <w:footnote w:id="6">
    <w:p w:rsidR="006940E5" w:rsidRDefault="006940E5">
      <w:pPr>
        <w:pStyle w:val="Notedebasdepage"/>
      </w:pPr>
      <w:r>
        <w:rPr>
          <w:rStyle w:val="Marquenotebasdepage"/>
        </w:rPr>
        <w:footnoteRef/>
      </w:r>
      <w:r>
        <w:t xml:space="preserve"> </w:t>
      </w:r>
      <w:r w:rsidRPr="009D7E61">
        <w:rPr>
          <w:smallCaps/>
          <w:lang w:val="en-US"/>
        </w:rPr>
        <w:t>Padua</w:t>
      </w:r>
      <w:r>
        <w:rPr>
          <w:lang w:val="en-US"/>
        </w:rPr>
        <w:t>,</w:t>
      </w:r>
      <w:r w:rsidRPr="00194DFB">
        <w:rPr>
          <w:lang w:val="en-US"/>
        </w:rPr>
        <w:t xml:space="preserve"> L</w:t>
      </w:r>
      <w:r>
        <w:rPr>
          <w:lang w:val="en-US"/>
        </w:rPr>
        <w:t>.</w:t>
      </w:r>
      <w:r w:rsidRPr="00194DFB">
        <w:rPr>
          <w:lang w:val="en-US"/>
        </w:rPr>
        <w:t xml:space="preserve">, </w:t>
      </w:r>
      <w:proofErr w:type="spellStart"/>
      <w:r w:rsidRPr="009D7E61">
        <w:rPr>
          <w:smallCaps/>
          <w:szCs w:val="22"/>
          <w:lang w:val="en-US"/>
        </w:rPr>
        <w:t>LoMonaco</w:t>
      </w:r>
      <w:proofErr w:type="spellEnd"/>
      <w:r>
        <w:rPr>
          <w:szCs w:val="22"/>
          <w:lang w:val="en-US"/>
        </w:rPr>
        <w:t>,</w:t>
      </w:r>
      <w:r w:rsidRPr="00194DFB">
        <w:rPr>
          <w:szCs w:val="22"/>
          <w:lang w:val="en-US"/>
        </w:rPr>
        <w:t xml:space="preserve"> M</w:t>
      </w:r>
      <w:r>
        <w:rPr>
          <w:szCs w:val="22"/>
          <w:lang w:val="en-US"/>
        </w:rPr>
        <w:t>.</w:t>
      </w:r>
      <w:r w:rsidRPr="00194DFB">
        <w:rPr>
          <w:szCs w:val="22"/>
          <w:lang w:val="en-US"/>
        </w:rPr>
        <w:t xml:space="preserve">, </w:t>
      </w:r>
      <w:proofErr w:type="spellStart"/>
      <w:r w:rsidRPr="009D7E61">
        <w:rPr>
          <w:smallCaps/>
          <w:szCs w:val="22"/>
          <w:lang w:val="en-US"/>
        </w:rPr>
        <w:t>Gregori</w:t>
      </w:r>
      <w:proofErr w:type="spellEnd"/>
      <w:r>
        <w:rPr>
          <w:szCs w:val="22"/>
          <w:lang w:val="en-US"/>
        </w:rPr>
        <w:t>,</w:t>
      </w:r>
      <w:r w:rsidRPr="00194DFB">
        <w:rPr>
          <w:szCs w:val="22"/>
          <w:lang w:val="en-US"/>
        </w:rPr>
        <w:t xml:space="preserve"> B</w:t>
      </w:r>
      <w:r>
        <w:rPr>
          <w:szCs w:val="22"/>
          <w:lang w:val="en-US"/>
        </w:rPr>
        <w:t>.</w:t>
      </w:r>
      <w:r w:rsidRPr="00194DFB">
        <w:rPr>
          <w:szCs w:val="22"/>
          <w:lang w:val="en-US"/>
        </w:rPr>
        <w:t xml:space="preserve">, </w:t>
      </w:r>
      <w:proofErr w:type="spellStart"/>
      <w:r w:rsidRPr="009D7E61">
        <w:rPr>
          <w:smallCaps/>
          <w:szCs w:val="18"/>
          <w:lang w:val="en-US"/>
        </w:rPr>
        <w:t>Valente</w:t>
      </w:r>
      <w:proofErr w:type="spellEnd"/>
      <w:r>
        <w:rPr>
          <w:szCs w:val="18"/>
          <w:lang w:val="en-US"/>
        </w:rPr>
        <w:t>,</w:t>
      </w:r>
      <w:r w:rsidRPr="00194DFB">
        <w:rPr>
          <w:szCs w:val="18"/>
          <w:lang w:val="en-US"/>
        </w:rPr>
        <w:t xml:space="preserve"> E</w:t>
      </w:r>
      <w:r>
        <w:rPr>
          <w:szCs w:val="18"/>
          <w:lang w:val="en-US"/>
        </w:rPr>
        <w:t>.</w:t>
      </w:r>
      <w:r w:rsidRPr="00194DFB">
        <w:rPr>
          <w:szCs w:val="18"/>
          <w:lang w:val="en-US"/>
        </w:rPr>
        <w:t>M</w:t>
      </w:r>
      <w:r>
        <w:rPr>
          <w:szCs w:val="18"/>
          <w:lang w:val="en-US"/>
        </w:rPr>
        <w:t>.</w:t>
      </w:r>
      <w:r w:rsidRPr="00194DFB">
        <w:rPr>
          <w:szCs w:val="18"/>
          <w:lang w:val="en-US"/>
        </w:rPr>
        <w:t xml:space="preserve">, </w:t>
      </w:r>
      <w:r w:rsidRPr="009D7E61">
        <w:rPr>
          <w:smallCaps/>
          <w:lang w:val="en-US"/>
        </w:rPr>
        <w:t>Padua</w:t>
      </w:r>
      <w:r>
        <w:rPr>
          <w:lang w:val="en-US"/>
        </w:rPr>
        <w:t>,</w:t>
      </w:r>
      <w:r w:rsidRPr="00194DFB">
        <w:rPr>
          <w:lang w:val="en-US"/>
        </w:rPr>
        <w:t xml:space="preserve"> R</w:t>
      </w:r>
      <w:r>
        <w:rPr>
          <w:lang w:val="en-US"/>
        </w:rPr>
        <w:t xml:space="preserve">. </w:t>
      </w:r>
      <w:proofErr w:type="gramStart"/>
      <w:r>
        <w:rPr>
          <w:lang w:val="en-US"/>
        </w:rPr>
        <w:t>et</w:t>
      </w:r>
      <w:proofErr w:type="gramEnd"/>
      <w:r>
        <w:rPr>
          <w:lang w:val="en-US"/>
        </w:rPr>
        <w:t xml:space="preserve"> </w:t>
      </w:r>
      <w:proofErr w:type="spellStart"/>
      <w:r w:rsidRPr="009D7E61">
        <w:rPr>
          <w:smallCaps/>
          <w:lang w:val="en-US"/>
        </w:rPr>
        <w:t>Tonali</w:t>
      </w:r>
      <w:proofErr w:type="spellEnd"/>
      <w:r>
        <w:rPr>
          <w:lang w:val="en-US"/>
        </w:rPr>
        <w:t>, P., “</w:t>
      </w:r>
      <w:r w:rsidRPr="00194DFB">
        <w:rPr>
          <w:lang w:val="en-US"/>
        </w:rPr>
        <w:t xml:space="preserve">Neurophysiological classification and sensitivity in </w:t>
      </w:r>
      <w:r w:rsidRPr="00194DFB">
        <w:rPr>
          <w:szCs w:val="56"/>
          <w:lang w:val="en-US"/>
        </w:rPr>
        <w:t xml:space="preserve">500 </w:t>
      </w:r>
      <w:r>
        <w:rPr>
          <w:lang w:val="en-US"/>
        </w:rPr>
        <w:t>carpal tunnel syndrome hands”,</w:t>
      </w:r>
      <w:r w:rsidRPr="00194DFB">
        <w:rPr>
          <w:lang w:val="en-US"/>
        </w:rPr>
        <w:t xml:space="preserve"> </w:t>
      </w:r>
      <w:proofErr w:type="spellStart"/>
      <w:r w:rsidRPr="009D7E61">
        <w:rPr>
          <w:i/>
          <w:lang w:val="en-US"/>
        </w:rPr>
        <w:t>Acta</w:t>
      </w:r>
      <w:proofErr w:type="spellEnd"/>
      <w:r w:rsidRPr="009D7E61">
        <w:rPr>
          <w:i/>
          <w:lang w:val="en-US"/>
        </w:rPr>
        <w:t xml:space="preserve"> </w:t>
      </w:r>
      <w:proofErr w:type="spellStart"/>
      <w:r w:rsidRPr="009D7E61">
        <w:rPr>
          <w:i/>
          <w:lang w:val="en-US"/>
        </w:rPr>
        <w:t>Neurol</w:t>
      </w:r>
      <w:proofErr w:type="spellEnd"/>
      <w:r w:rsidRPr="009D7E61">
        <w:rPr>
          <w:i/>
          <w:lang w:val="en-US"/>
        </w:rPr>
        <w:t xml:space="preserve"> Scand</w:t>
      </w:r>
      <w:r>
        <w:rPr>
          <w:lang w:val="en-US"/>
        </w:rPr>
        <w:t xml:space="preserve">, 1997, 96, </w:t>
      </w:r>
      <w:r w:rsidRPr="00194DFB">
        <w:rPr>
          <w:lang w:val="en-US"/>
        </w:rPr>
        <w:t>211-217.</w:t>
      </w:r>
    </w:p>
  </w:footnote>
  <w:footnote w:id="7">
    <w:p w:rsidR="006940E5" w:rsidRPr="00A5125C" w:rsidRDefault="006940E5" w:rsidP="00A5125C">
      <w:pPr>
        <w:rPr>
          <w:rFonts w:ascii="Cambria" w:hAnsi="Cambria"/>
          <w:lang w:val="en-US"/>
        </w:rPr>
      </w:pPr>
      <w:r>
        <w:rPr>
          <w:rStyle w:val="Marquenotebasdepage"/>
        </w:rPr>
        <w:footnoteRef/>
      </w:r>
      <w:r>
        <w:t xml:space="preserve"> </w:t>
      </w:r>
      <w:proofErr w:type="spellStart"/>
      <w:r w:rsidRPr="009D7E61">
        <w:rPr>
          <w:smallCaps/>
          <w:lang w:val="en-US"/>
        </w:rPr>
        <w:t>Stålberg</w:t>
      </w:r>
      <w:proofErr w:type="spellEnd"/>
      <w:r>
        <w:rPr>
          <w:rFonts w:ascii="Cambria" w:hAnsi="Cambria"/>
          <w:lang w:val="en-US"/>
        </w:rPr>
        <w:t>,</w:t>
      </w:r>
      <w:r w:rsidRPr="00194DFB">
        <w:rPr>
          <w:rFonts w:ascii="Cambria" w:hAnsi="Cambria"/>
          <w:lang w:val="en-US"/>
        </w:rPr>
        <w:t xml:space="preserve"> E</w:t>
      </w:r>
      <w:r>
        <w:rPr>
          <w:rFonts w:ascii="Cambria" w:hAnsi="Cambria"/>
          <w:lang w:val="en-US"/>
        </w:rPr>
        <w:t>.</w:t>
      </w:r>
      <w:r w:rsidRPr="00194DFB">
        <w:rPr>
          <w:rFonts w:ascii="Cambria" w:hAnsi="Cambria"/>
          <w:lang w:val="en-US"/>
        </w:rPr>
        <w:t xml:space="preserve">, </w:t>
      </w:r>
      <w:r w:rsidRPr="009D7E61">
        <w:rPr>
          <w:rFonts w:ascii="Cambria" w:hAnsi="Cambria"/>
          <w:smallCaps/>
          <w:lang w:val="en-US"/>
        </w:rPr>
        <w:t>Chu-Andrews</w:t>
      </w:r>
      <w:r>
        <w:rPr>
          <w:rFonts w:ascii="Cambria" w:hAnsi="Cambria"/>
          <w:lang w:val="en-US"/>
        </w:rPr>
        <w:t>,</w:t>
      </w:r>
      <w:r w:rsidRPr="00194DFB">
        <w:rPr>
          <w:rFonts w:ascii="Cambria" w:hAnsi="Cambria"/>
          <w:lang w:val="en-US"/>
        </w:rPr>
        <w:t xml:space="preserve"> J</w:t>
      </w:r>
      <w:r>
        <w:rPr>
          <w:rFonts w:ascii="Cambria" w:hAnsi="Cambria"/>
          <w:lang w:val="en-US"/>
        </w:rPr>
        <w:t>.</w:t>
      </w:r>
      <w:r w:rsidRPr="00194DFB">
        <w:rPr>
          <w:rFonts w:ascii="Cambria" w:hAnsi="Cambria"/>
          <w:lang w:val="en-US"/>
        </w:rPr>
        <w:t xml:space="preserve">, </w:t>
      </w:r>
      <w:proofErr w:type="spellStart"/>
      <w:r w:rsidRPr="009D7E61">
        <w:rPr>
          <w:rFonts w:ascii="Cambria" w:hAnsi="Cambria"/>
          <w:smallCaps/>
          <w:lang w:val="en-US"/>
        </w:rPr>
        <w:t>Bril</w:t>
      </w:r>
      <w:proofErr w:type="spellEnd"/>
      <w:r>
        <w:rPr>
          <w:rFonts w:ascii="Cambria" w:hAnsi="Cambria"/>
          <w:lang w:val="en-US"/>
        </w:rPr>
        <w:t>,</w:t>
      </w:r>
      <w:r w:rsidRPr="00194DFB">
        <w:rPr>
          <w:rFonts w:ascii="Cambria" w:hAnsi="Cambria"/>
          <w:lang w:val="en-US"/>
        </w:rPr>
        <w:t xml:space="preserve"> V</w:t>
      </w:r>
      <w:r>
        <w:rPr>
          <w:rFonts w:ascii="Cambria" w:hAnsi="Cambria"/>
          <w:lang w:val="en-US"/>
        </w:rPr>
        <w:t>.</w:t>
      </w:r>
      <w:r w:rsidRPr="00194DFB">
        <w:rPr>
          <w:rFonts w:ascii="Cambria" w:hAnsi="Cambria"/>
          <w:lang w:val="en-US"/>
        </w:rPr>
        <w:t xml:space="preserve">, </w:t>
      </w:r>
      <w:proofErr w:type="spellStart"/>
      <w:r w:rsidRPr="009D7E61">
        <w:rPr>
          <w:rFonts w:ascii="Cambria" w:hAnsi="Cambria"/>
          <w:smallCaps/>
          <w:lang w:val="en-US"/>
        </w:rPr>
        <w:t>Nandedkar</w:t>
      </w:r>
      <w:proofErr w:type="spellEnd"/>
      <w:r>
        <w:rPr>
          <w:rFonts w:ascii="Cambria" w:hAnsi="Cambria"/>
          <w:lang w:val="en-US"/>
        </w:rPr>
        <w:t>,</w:t>
      </w:r>
      <w:r w:rsidRPr="00194DFB">
        <w:rPr>
          <w:rFonts w:ascii="Cambria" w:hAnsi="Cambria"/>
          <w:lang w:val="en-US"/>
        </w:rPr>
        <w:t xml:space="preserve"> S</w:t>
      </w:r>
      <w:r>
        <w:rPr>
          <w:rFonts w:ascii="Cambria" w:hAnsi="Cambria"/>
          <w:lang w:val="en-US"/>
        </w:rPr>
        <w:t>.</w:t>
      </w:r>
      <w:r w:rsidRPr="00194DFB">
        <w:rPr>
          <w:rFonts w:ascii="Cambria" w:hAnsi="Cambria"/>
          <w:lang w:val="en-US"/>
        </w:rPr>
        <w:t>D</w:t>
      </w:r>
      <w:r>
        <w:rPr>
          <w:rFonts w:ascii="Cambria" w:hAnsi="Cambria"/>
          <w:lang w:val="en-US"/>
        </w:rPr>
        <w:t>.</w:t>
      </w:r>
      <w:r w:rsidRPr="00194DFB">
        <w:rPr>
          <w:rFonts w:ascii="Cambria" w:hAnsi="Cambria"/>
          <w:lang w:val="en-US"/>
        </w:rPr>
        <w:t xml:space="preserve">, </w:t>
      </w:r>
      <w:proofErr w:type="spellStart"/>
      <w:r w:rsidRPr="009D7E61">
        <w:rPr>
          <w:smallCaps/>
          <w:lang w:val="en-US"/>
        </w:rPr>
        <w:t>Ståberg</w:t>
      </w:r>
      <w:proofErr w:type="spellEnd"/>
      <w:r>
        <w:rPr>
          <w:rFonts w:ascii="Cambria" w:hAnsi="Cambria"/>
          <w:lang w:val="en-US"/>
        </w:rPr>
        <w:t>,</w:t>
      </w:r>
      <w:r w:rsidRPr="00194DFB">
        <w:rPr>
          <w:rFonts w:ascii="Cambria" w:hAnsi="Cambria"/>
          <w:lang w:val="en-US"/>
        </w:rPr>
        <w:t xml:space="preserve"> S</w:t>
      </w:r>
      <w:r>
        <w:rPr>
          <w:rFonts w:ascii="Cambria" w:hAnsi="Cambria"/>
          <w:lang w:val="en-US"/>
        </w:rPr>
        <w:t xml:space="preserve">. </w:t>
      </w:r>
      <w:proofErr w:type="gramStart"/>
      <w:r>
        <w:rPr>
          <w:rFonts w:ascii="Cambria" w:hAnsi="Cambria"/>
          <w:lang w:val="en-US"/>
        </w:rPr>
        <w:t>et</w:t>
      </w:r>
      <w:proofErr w:type="gramEnd"/>
      <w:r>
        <w:rPr>
          <w:rFonts w:ascii="Cambria" w:hAnsi="Cambria"/>
          <w:lang w:val="en-US"/>
        </w:rPr>
        <w:t xml:space="preserve"> </w:t>
      </w:r>
      <w:r w:rsidRPr="009D7E61">
        <w:rPr>
          <w:rFonts w:ascii="Cambria" w:hAnsi="Cambria"/>
          <w:smallCaps/>
          <w:lang w:val="en-US"/>
        </w:rPr>
        <w:t>Ericsson</w:t>
      </w:r>
      <w:r>
        <w:rPr>
          <w:rFonts w:ascii="Cambria" w:hAnsi="Cambria"/>
          <w:lang w:val="en-US"/>
        </w:rPr>
        <w:t>, M., “</w:t>
      </w:r>
      <w:r w:rsidRPr="00194DFB">
        <w:rPr>
          <w:rFonts w:ascii="Cambria" w:hAnsi="Cambria"/>
          <w:lang w:val="en-US"/>
        </w:rPr>
        <w:t>Automatic analysis o</w:t>
      </w:r>
      <w:r>
        <w:rPr>
          <w:rFonts w:ascii="Cambria" w:hAnsi="Cambria"/>
          <w:lang w:val="en-US"/>
        </w:rPr>
        <w:t xml:space="preserve">f the EMG interference pattern”, </w:t>
      </w:r>
      <w:proofErr w:type="spellStart"/>
      <w:r w:rsidRPr="009D7E61">
        <w:rPr>
          <w:rFonts w:ascii="Cambria" w:hAnsi="Cambria"/>
          <w:i/>
          <w:lang w:val="en-US"/>
        </w:rPr>
        <w:t>Electroencephalogr</w:t>
      </w:r>
      <w:proofErr w:type="spellEnd"/>
      <w:r w:rsidRPr="009D7E61">
        <w:rPr>
          <w:rFonts w:ascii="Cambria" w:hAnsi="Cambria"/>
          <w:i/>
          <w:lang w:val="en-US"/>
        </w:rPr>
        <w:t xml:space="preserve"> </w:t>
      </w:r>
      <w:proofErr w:type="spellStart"/>
      <w:r w:rsidRPr="009D7E61">
        <w:rPr>
          <w:rFonts w:ascii="Cambria" w:hAnsi="Cambria"/>
          <w:i/>
          <w:lang w:val="en-US"/>
        </w:rPr>
        <w:t>Clin</w:t>
      </w:r>
      <w:proofErr w:type="spellEnd"/>
      <w:r w:rsidRPr="009D7E61">
        <w:rPr>
          <w:rFonts w:ascii="Cambria" w:hAnsi="Cambria"/>
          <w:i/>
          <w:lang w:val="en-US"/>
        </w:rPr>
        <w:t xml:space="preserve"> </w:t>
      </w:r>
      <w:proofErr w:type="spellStart"/>
      <w:r w:rsidRPr="009D7E61">
        <w:rPr>
          <w:rFonts w:ascii="Cambria" w:hAnsi="Cambria"/>
          <w:i/>
          <w:lang w:val="en-US"/>
        </w:rPr>
        <w:t>Neurophysiol</w:t>
      </w:r>
      <w:proofErr w:type="spellEnd"/>
      <w:r>
        <w:rPr>
          <w:rFonts w:ascii="Cambria" w:hAnsi="Cambria"/>
          <w:lang w:val="en-US"/>
        </w:rPr>
        <w:t xml:space="preserve">, 1983, 56, </w:t>
      </w:r>
      <w:r w:rsidRPr="00194DFB">
        <w:rPr>
          <w:rFonts w:ascii="Cambria" w:hAnsi="Cambria"/>
          <w:lang w:val="en-US"/>
        </w:rPr>
        <w:t>672-681.</w:t>
      </w:r>
    </w:p>
  </w:footnote>
  <w:footnote w:id="8">
    <w:p w:rsidR="006940E5" w:rsidRPr="00C75649" w:rsidRDefault="006940E5" w:rsidP="00A5125C">
      <w:pPr>
        <w:widowControl w:val="0"/>
        <w:autoSpaceDE w:val="0"/>
        <w:autoSpaceDN w:val="0"/>
        <w:adjustRightInd w:val="0"/>
        <w:rPr>
          <w:rFonts w:cs="Arial"/>
          <w:bCs/>
          <w:szCs w:val="32"/>
          <w:u w:color="262626"/>
        </w:rPr>
      </w:pPr>
      <w:r>
        <w:rPr>
          <w:rStyle w:val="Marquenotebasdepage"/>
        </w:rPr>
        <w:footnoteRef/>
      </w:r>
      <w:r>
        <w:t xml:space="preserve"> </w:t>
      </w:r>
      <w:proofErr w:type="spellStart"/>
      <w:r w:rsidRPr="00FD4BC4">
        <w:rPr>
          <w:rFonts w:cs="Arial"/>
          <w:smallCaps/>
          <w:color w:val="262626"/>
          <w:u w:color="262626"/>
        </w:rPr>
        <w:t>Stålberg</w:t>
      </w:r>
      <w:proofErr w:type="spellEnd"/>
      <w:r w:rsidRPr="00FD4BC4">
        <w:rPr>
          <w:rFonts w:cs="Arial"/>
          <w:color w:val="262626"/>
          <w:u w:color="262626"/>
        </w:rPr>
        <w:t>, E.</w:t>
      </w:r>
      <w:r w:rsidRPr="00FD4BC4">
        <w:rPr>
          <w:rFonts w:cs="Arial"/>
          <w:u w:color="262626"/>
        </w:rPr>
        <w:t xml:space="preserve">, </w:t>
      </w:r>
      <w:r w:rsidRPr="00FD4BC4">
        <w:rPr>
          <w:rFonts w:cs="Arial"/>
          <w:smallCaps/>
          <w:color w:val="262626"/>
          <w:u w:color="262626"/>
        </w:rPr>
        <w:t>Falck</w:t>
      </w:r>
      <w:r w:rsidRPr="00FD4BC4">
        <w:rPr>
          <w:rFonts w:cs="Arial"/>
          <w:color w:val="262626"/>
          <w:u w:color="262626"/>
        </w:rPr>
        <w:t>, B.</w:t>
      </w:r>
      <w:r w:rsidRPr="00FD4BC4">
        <w:rPr>
          <w:rFonts w:cs="Arial"/>
          <w:u w:color="262626"/>
        </w:rPr>
        <w:t xml:space="preserve">, </w:t>
      </w:r>
      <w:proofErr w:type="spellStart"/>
      <w:r w:rsidRPr="00FD4BC4">
        <w:rPr>
          <w:rFonts w:cs="Arial"/>
          <w:smallCaps/>
          <w:color w:val="262626"/>
          <w:u w:color="262626"/>
        </w:rPr>
        <w:t>Sonoo</w:t>
      </w:r>
      <w:proofErr w:type="spellEnd"/>
      <w:r w:rsidRPr="00FD4BC4">
        <w:rPr>
          <w:rFonts w:cs="Arial"/>
          <w:color w:val="262626"/>
          <w:u w:color="262626"/>
        </w:rPr>
        <w:t>, M.</w:t>
      </w:r>
      <w:r w:rsidRPr="00FD4BC4">
        <w:rPr>
          <w:rFonts w:cs="Arial"/>
          <w:u w:color="262626"/>
        </w:rPr>
        <w:t xml:space="preserve">, </w:t>
      </w:r>
      <w:proofErr w:type="spellStart"/>
      <w:r w:rsidRPr="00FD4BC4">
        <w:rPr>
          <w:rFonts w:cs="Arial"/>
          <w:smallCaps/>
          <w:color w:val="262626"/>
          <w:u w:color="262626"/>
        </w:rPr>
        <w:t>Stålberg</w:t>
      </w:r>
      <w:proofErr w:type="spellEnd"/>
      <w:r w:rsidRPr="00FD4BC4">
        <w:rPr>
          <w:rFonts w:cs="Arial"/>
          <w:color w:val="262626"/>
          <w:u w:color="262626"/>
        </w:rPr>
        <w:t>, S.</w:t>
      </w:r>
      <w:r w:rsidRPr="00FD4BC4">
        <w:rPr>
          <w:rFonts w:cs="Arial"/>
          <w:u w:color="262626"/>
        </w:rPr>
        <w:t xml:space="preserve"> et </w:t>
      </w:r>
      <w:proofErr w:type="spellStart"/>
      <w:r w:rsidRPr="00FD4BC4">
        <w:rPr>
          <w:rFonts w:cs="Arial"/>
          <w:smallCaps/>
          <w:color w:val="262626"/>
          <w:u w:color="262626"/>
        </w:rPr>
        <w:t>Aström</w:t>
      </w:r>
      <w:proofErr w:type="spellEnd"/>
      <w:r w:rsidRPr="00FD4BC4">
        <w:rPr>
          <w:rFonts w:cs="Arial"/>
          <w:color w:val="262626"/>
          <w:u w:color="262626"/>
        </w:rPr>
        <w:t>, M.</w:t>
      </w:r>
      <w:r w:rsidRPr="00FD4BC4">
        <w:rPr>
          <w:rFonts w:cs="Arial"/>
          <w:u w:color="262626"/>
        </w:rPr>
        <w:t>, « </w:t>
      </w:r>
      <w:proofErr w:type="spellStart"/>
      <w:r w:rsidRPr="00FD4BC4">
        <w:rPr>
          <w:rFonts w:cs="Arial"/>
          <w:bCs/>
          <w:szCs w:val="32"/>
          <w:u w:color="262626"/>
        </w:rPr>
        <w:t>Multi-MUP</w:t>
      </w:r>
      <w:proofErr w:type="spellEnd"/>
      <w:r w:rsidRPr="00FD4BC4">
        <w:rPr>
          <w:rFonts w:cs="Arial"/>
          <w:bCs/>
          <w:szCs w:val="32"/>
          <w:u w:color="262626"/>
        </w:rPr>
        <w:t xml:space="preserve"> EMG </w:t>
      </w:r>
      <w:proofErr w:type="spellStart"/>
      <w:r w:rsidRPr="00FD4BC4">
        <w:rPr>
          <w:rFonts w:cs="Arial"/>
          <w:bCs/>
          <w:szCs w:val="32"/>
          <w:u w:color="262626"/>
        </w:rPr>
        <w:t>analysis-a</w:t>
      </w:r>
      <w:proofErr w:type="spellEnd"/>
      <w:r w:rsidRPr="00FD4BC4">
        <w:rPr>
          <w:rFonts w:cs="Arial"/>
          <w:bCs/>
          <w:szCs w:val="32"/>
          <w:u w:color="262626"/>
        </w:rPr>
        <w:t xml:space="preserve"> </w:t>
      </w:r>
      <w:proofErr w:type="spellStart"/>
      <w:r w:rsidRPr="00FD4BC4">
        <w:rPr>
          <w:rFonts w:cs="Arial"/>
          <w:bCs/>
          <w:szCs w:val="32"/>
          <w:u w:color="262626"/>
        </w:rPr>
        <w:t>two</w:t>
      </w:r>
      <w:proofErr w:type="spellEnd"/>
      <w:r w:rsidRPr="00FD4BC4">
        <w:rPr>
          <w:rFonts w:cs="Arial"/>
          <w:bCs/>
          <w:szCs w:val="32"/>
          <w:u w:color="262626"/>
        </w:rPr>
        <w:t xml:space="preserve"> </w:t>
      </w:r>
      <w:proofErr w:type="spellStart"/>
      <w:r w:rsidRPr="00FD4BC4">
        <w:rPr>
          <w:rFonts w:cs="Arial"/>
          <w:bCs/>
          <w:szCs w:val="32"/>
          <w:u w:color="262626"/>
        </w:rPr>
        <w:t>year</w:t>
      </w:r>
      <w:proofErr w:type="spellEnd"/>
      <w:r w:rsidRPr="00FD4BC4">
        <w:rPr>
          <w:rFonts w:cs="Arial"/>
          <w:bCs/>
          <w:szCs w:val="32"/>
          <w:u w:color="262626"/>
        </w:rPr>
        <w:t xml:space="preserve"> </w:t>
      </w:r>
      <w:proofErr w:type="spellStart"/>
      <w:r w:rsidRPr="00FD4BC4">
        <w:rPr>
          <w:rFonts w:cs="Arial"/>
          <w:bCs/>
          <w:szCs w:val="32"/>
          <w:u w:color="262626"/>
        </w:rPr>
        <w:t>experience</w:t>
      </w:r>
      <w:proofErr w:type="spellEnd"/>
      <w:r w:rsidRPr="00FD4BC4">
        <w:rPr>
          <w:rFonts w:cs="Arial"/>
          <w:bCs/>
          <w:szCs w:val="32"/>
          <w:u w:color="262626"/>
        </w:rPr>
        <w:t xml:space="preserve"> in </w:t>
      </w:r>
      <w:proofErr w:type="spellStart"/>
      <w:r w:rsidRPr="00FD4BC4">
        <w:rPr>
          <w:rFonts w:cs="Arial"/>
          <w:bCs/>
          <w:szCs w:val="32"/>
          <w:u w:color="262626"/>
        </w:rPr>
        <w:t>daily</w:t>
      </w:r>
      <w:proofErr w:type="spellEnd"/>
      <w:r w:rsidRPr="00FD4BC4">
        <w:rPr>
          <w:rFonts w:cs="Arial"/>
          <w:bCs/>
          <w:szCs w:val="32"/>
          <w:u w:color="262626"/>
        </w:rPr>
        <w:t xml:space="preserve"> </w:t>
      </w:r>
      <w:proofErr w:type="spellStart"/>
      <w:r w:rsidRPr="00FD4BC4">
        <w:rPr>
          <w:rFonts w:cs="Arial"/>
          <w:bCs/>
          <w:szCs w:val="32"/>
          <w:u w:color="262626"/>
        </w:rPr>
        <w:t>clinical</w:t>
      </w:r>
      <w:proofErr w:type="spellEnd"/>
      <w:r w:rsidRPr="00FD4BC4">
        <w:rPr>
          <w:rFonts w:cs="Arial"/>
          <w:bCs/>
          <w:szCs w:val="32"/>
          <w:u w:color="262626"/>
        </w:rPr>
        <w:t xml:space="preserve"> </w:t>
      </w:r>
      <w:proofErr w:type="spellStart"/>
      <w:r w:rsidRPr="00FD4BC4">
        <w:rPr>
          <w:rFonts w:cs="Arial"/>
          <w:bCs/>
          <w:szCs w:val="32"/>
          <w:u w:color="262626"/>
        </w:rPr>
        <w:t>work</w:t>
      </w:r>
      <w:proofErr w:type="spellEnd"/>
      <w:r w:rsidRPr="00FD4BC4">
        <w:rPr>
          <w:rFonts w:cs="Arial"/>
          <w:bCs/>
          <w:szCs w:val="32"/>
          <w:u w:color="262626"/>
        </w:rPr>
        <w:t xml:space="preserve"> », </w:t>
      </w:r>
      <w:proofErr w:type="spellStart"/>
      <w:r w:rsidRPr="00FD4BC4">
        <w:rPr>
          <w:rFonts w:cs="Arial"/>
          <w:i/>
          <w:color w:val="262626"/>
          <w:szCs w:val="22"/>
          <w:u w:color="262626"/>
        </w:rPr>
        <w:t>Electroencephalogr</w:t>
      </w:r>
      <w:proofErr w:type="spellEnd"/>
      <w:r w:rsidRPr="00FD4BC4">
        <w:rPr>
          <w:rFonts w:cs="Arial"/>
          <w:i/>
          <w:color w:val="262626"/>
          <w:szCs w:val="22"/>
          <w:u w:color="262626"/>
        </w:rPr>
        <w:t xml:space="preserve"> Clin </w:t>
      </w:r>
      <w:proofErr w:type="spellStart"/>
      <w:r w:rsidRPr="00FD4BC4">
        <w:rPr>
          <w:rFonts w:cs="Arial"/>
          <w:i/>
          <w:color w:val="262626"/>
          <w:szCs w:val="22"/>
          <w:u w:color="262626"/>
        </w:rPr>
        <w:t>Neurophysiol</w:t>
      </w:r>
      <w:proofErr w:type="spellEnd"/>
      <w:r w:rsidRPr="00FD4BC4">
        <w:rPr>
          <w:rFonts w:cs="Arial"/>
          <w:color w:val="262626"/>
          <w:szCs w:val="22"/>
          <w:u w:color="262626"/>
        </w:rPr>
        <w:t>,</w:t>
      </w:r>
      <w:r w:rsidRPr="00FD4BC4">
        <w:rPr>
          <w:rFonts w:cs="Arial"/>
          <w:szCs w:val="22"/>
          <w:u w:color="262626"/>
        </w:rPr>
        <w:t xml:space="preserve"> 1995, 97, 145-154.</w:t>
      </w:r>
    </w:p>
    <w:p w:rsidR="006940E5" w:rsidRDefault="006940E5">
      <w:pPr>
        <w:pStyle w:val="Notedebasdepage"/>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4497"/>
    <w:multiLevelType w:val="hybridMultilevel"/>
    <w:tmpl w:val="D3F84B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E55E0E"/>
    <w:multiLevelType w:val="hybridMultilevel"/>
    <w:tmpl w:val="0C685E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AF34978"/>
    <w:multiLevelType w:val="hybridMultilevel"/>
    <w:tmpl w:val="BB02DBE8"/>
    <w:lvl w:ilvl="0" w:tplc="168C495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D316F0"/>
    <w:multiLevelType w:val="hybridMultilevel"/>
    <w:tmpl w:val="71D8F9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E0562D0"/>
    <w:multiLevelType w:val="multilevel"/>
    <w:tmpl w:val="0C685E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006A3C"/>
    <w:multiLevelType w:val="hybridMultilevel"/>
    <w:tmpl w:val="957097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A3C6C"/>
    <w:rsid w:val="00002E2F"/>
    <w:rsid w:val="00020E65"/>
    <w:rsid w:val="000274D8"/>
    <w:rsid w:val="00062CBD"/>
    <w:rsid w:val="00067335"/>
    <w:rsid w:val="00072396"/>
    <w:rsid w:val="000838AD"/>
    <w:rsid w:val="000924B5"/>
    <w:rsid w:val="000965A0"/>
    <w:rsid w:val="000A08F9"/>
    <w:rsid w:val="000A3C21"/>
    <w:rsid w:val="000A6F2C"/>
    <w:rsid w:val="000C2A41"/>
    <w:rsid w:val="000C2B3D"/>
    <w:rsid w:val="000D1CB5"/>
    <w:rsid w:val="000D668D"/>
    <w:rsid w:val="000F33ED"/>
    <w:rsid w:val="000F4809"/>
    <w:rsid w:val="00106D99"/>
    <w:rsid w:val="00110FFF"/>
    <w:rsid w:val="00112B0D"/>
    <w:rsid w:val="001209B6"/>
    <w:rsid w:val="00125FBD"/>
    <w:rsid w:val="00126E86"/>
    <w:rsid w:val="00130816"/>
    <w:rsid w:val="00134212"/>
    <w:rsid w:val="00134808"/>
    <w:rsid w:val="0014022F"/>
    <w:rsid w:val="00143756"/>
    <w:rsid w:val="00166842"/>
    <w:rsid w:val="00194DFB"/>
    <w:rsid w:val="00196FF2"/>
    <w:rsid w:val="001B0FD2"/>
    <w:rsid w:val="001B36C9"/>
    <w:rsid w:val="001B4B32"/>
    <w:rsid w:val="001D23CA"/>
    <w:rsid w:val="001D3207"/>
    <w:rsid w:val="001D5BD4"/>
    <w:rsid w:val="001D76D6"/>
    <w:rsid w:val="001E3DC1"/>
    <w:rsid w:val="002101BB"/>
    <w:rsid w:val="00214195"/>
    <w:rsid w:val="002219B7"/>
    <w:rsid w:val="00223BB0"/>
    <w:rsid w:val="00227A95"/>
    <w:rsid w:val="0023137F"/>
    <w:rsid w:val="00253B46"/>
    <w:rsid w:val="0026703B"/>
    <w:rsid w:val="0026746B"/>
    <w:rsid w:val="00272E79"/>
    <w:rsid w:val="0027401A"/>
    <w:rsid w:val="002855DE"/>
    <w:rsid w:val="002953EE"/>
    <w:rsid w:val="00296BBD"/>
    <w:rsid w:val="002A06C5"/>
    <w:rsid w:val="002D6FC0"/>
    <w:rsid w:val="002E3BB8"/>
    <w:rsid w:val="002F3DA0"/>
    <w:rsid w:val="0032179A"/>
    <w:rsid w:val="003303C3"/>
    <w:rsid w:val="00333809"/>
    <w:rsid w:val="003354F9"/>
    <w:rsid w:val="0034225C"/>
    <w:rsid w:val="00347865"/>
    <w:rsid w:val="00350472"/>
    <w:rsid w:val="00371950"/>
    <w:rsid w:val="00376CB4"/>
    <w:rsid w:val="00386667"/>
    <w:rsid w:val="00386809"/>
    <w:rsid w:val="0039645C"/>
    <w:rsid w:val="003B1B92"/>
    <w:rsid w:val="003B30E7"/>
    <w:rsid w:val="003D77BF"/>
    <w:rsid w:val="003E4DBB"/>
    <w:rsid w:val="00405213"/>
    <w:rsid w:val="0041288B"/>
    <w:rsid w:val="004324BF"/>
    <w:rsid w:val="00436615"/>
    <w:rsid w:val="00440835"/>
    <w:rsid w:val="00453A4B"/>
    <w:rsid w:val="00470F72"/>
    <w:rsid w:val="004B7D3B"/>
    <w:rsid w:val="004C1CA9"/>
    <w:rsid w:val="004F2562"/>
    <w:rsid w:val="005019F5"/>
    <w:rsid w:val="00502946"/>
    <w:rsid w:val="00504E51"/>
    <w:rsid w:val="00545369"/>
    <w:rsid w:val="00583F83"/>
    <w:rsid w:val="005904B1"/>
    <w:rsid w:val="00590ADC"/>
    <w:rsid w:val="005A0DE7"/>
    <w:rsid w:val="005B59E0"/>
    <w:rsid w:val="005C3FE9"/>
    <w:rsid w:val="005D63D0"/>
    <w:rsid w:val="005D7CCD"/>
    <w:rsid w:val="005E0ED0"/>
    <w:rsid w:val="006141B6"/>
    <w:rsid w:val="006238F6"/>
    <w:rsid w:val="00663EE0"/>
    <w:rsid w:val="00664844"/>
    <w:rsid w:val="00690189"/>
    <w:rsid w:val="006938DD"/>
    <w:rsid w:val="006940E5"/>
    <w:rsid w:val="006D498B"/>
    <w:rsid w:val="006E08AA"/>
    <w:rsid w:val="006F2961"/>
    <w:rsid w:val="00704386"/>
    <w:rsid w:val="007075C3"/>
    <w:rsid w:val="00721D9E"/>
    <w:rsid w:val="00724955"/>
    <w:rsid w:val="007327D4"/>
    <w:rsid w:val="0074454F"/>
    <w:rsid w:val="0077438E"/>
    <w:rsid w:val="00774C0C"/>
    <w:rsid w:val="00777B70"/>
    <w:rsid w:val="00794408"/>
    <w:rsid w:val="007965ED"/>
    <w:rsid w:val="007B20B9"/>
    <w:rsid w:val="007C3DB0"/>
    <w:rsid w:val="007C64C1"/>
    <w:rsid w:val="007E66B0"/>
    <w:rsid w:val="007E70EB"/>
    <w:rsid w:val="00811429"/>
    <w:rsid w:val="00835DE4"/>
    <w:rsid w:val="00887BE9"/>
    <w:rsid w:val="00892502"/>
    <w:rsid w:val="008B6EF0"/>
    <w:rsid w:val="008D756A"/>
    <w:rsid w:val="008E2AE6"/>
    <w:rsid w:val="008F476A"/>
    <w:rsid w:val="0091553A"/>
    <w:rsid w:val="00927DCA"/>
    <w:rsid w:val="009357F0"/>
    <w:rsid w:val="00960B32"/>
    <w:rsid w:val="00967758"/>
    <w:rsid w:val="00972F6A"/>
    <w:rsid w:val="00976FB1"/>
    <w:rsid w:val="009775CF"/>
    <w:rsid w:val="00982F43"/>
    <w:rsid w:val="0099076D"/>
    <w:rsid w:val="00991C18"/>
    <w:rsid w:val="00997416"/>
    <w:rsid w:val="009B07F3"/>
    <w:rsid w:val="009D7E61"/>
    <w:rsid w:val="009F46CB"/>
    <w:rsid w:val="00A075ED"/>
    <w:rsid w:val="00A13686"/>
    <w:rsid w:val="00A14C9A"/>
    <w:rsid w:val="00A17090"/>
    <w:rsid w:val="00A25963"/>
    <w:rsid w:val="00A40C66"/>
    <w:rsid w:val="00A5125C"/>
    <w:rsid w:val="00A575BA"/>
    <w:rsid w:val="00A6257E"/>
    <w:rsid w:val="00A63294"/>
    <w:rsid w:val="00A766BD"/>
    <w:rsid w:val="00A86BB3"/>
    <w:rsid w:val="00AC2C1F"/>
    <w:rsid w:val="00AD6D08"/>
    <w:rsid w:val="00AF6296"/>
    <w:rsid w:val="00B0129C"/>
    <w:rsid w:val="00B042B2"/>
    <w:rsid w:val="00B10E56"/>
    <w:rsid w:val="00B1416B"/>
    <w:rsid w:val="00B314FD"/>
    <w:rsid w:val="00B34BDB"/>
    <w:rsid w:val="00B366CF"/>
    <w:rsid w:val="00B4183E"/>
    <w:rsid w:val="00B4478B"/>
    <w:rsid w:val="00B45AC7"/>
    <w:rsid w:val="00B72E01"/>
    <w:rsid w:val="00B9700B"/>
    <w:rsid w:val="00BB497C"/>
    <w:rsid w:val="00BE63DB"/>
    <w:rsid w:val="00C04B60"/>
    <w:rsid w:val="00C118CF"/>
    <w:rsid w:val="00C16486"/>
    <w:rsid w:val="00C26B21"/>
    <w:rsid w:val="00C33F10"/>
    <w:rsid w:val="00C346AB"/>
    <w:rsid w:val="00C556F2"/>
    <w:rsid w:val="00C6541F"/>
    <w:rsid w:val="00C67384"/>
    <w:rsid w:val="00C75649"/>
    <w:rsid w:val="00C80F21"/>
    <w:rsid w:val="00C81C15"/>
    <w:rsid w:val="00CA3C6C"/>
    <w:rsid w:val="00CB6452"/>
    <w:rsid w:val="00CB6DB5"/>
    <w:rsid w:val="00CC29E7"/>
    <w:rsid w:val="00CC5B73"/>
    <w:rsid w:val="00CE5141"/>
    <w:rsid w:val="00CE6581"/>
    <w:rsid w:val="00CF58B7"/>
    <w:rsid w:val="00CF603E"/>
    <w:rsid w:val="00D1134F"/>
    <w:rsid w:val="00D176D5"/>
    <w:rsid w:val="00D256FE"/>
    <w:rsid w:val="00D307E4"/>
    <w:rsid w:val="00D33D4D"/>
    <w:rsid w:val="00D44BFE"/>
    <w:rsid w:val="00D460D7"/>
    <w:rsid w:val="00D47809"/>
    <w:rsid w:val="00D507AF"/>
    <w:rsid w:val="00D50D77"/>
    <w:rsid w:val="00D55BD7"/>
    <w:rsid w:val="00D651B2"/>
    <w:rsid w:val="00D73402"/>
    <w:rsid w:val="00D751A9"/>
    <w:rsid w:val="00DB2ACD"/>
    <w:rsid w:val="00DB351E"/>
    <w:rsid w:val="00DC779E"/>
    <w:rsid w:val="00DE7EFD"/>
    <w:rsid w:val="00DF1D92"/>
    <w:rsid w:val="00E06F86"/>
    <w:rsid w:val="00E077F6"/>
    <w:rsid w:val="00E14C21"/>
    <w:rsid w:val="00E158F2"/>
    <w:rsid w:val="00E24504"/>
    <w:rsid w:val="00E272B7"/>
    <w:rsid w:val="00E35D7A"/>
    <w:rsid w:val="00E4661C"/>
    <w:rsid w:val="00E63629"/>
    <w:rsid w:val="00E649B2"/>
    <w:rsid w:val="00E70546"/>
    <w:rsid w:val="00E81B15"/>
    <w:rsid w:val="00EA2F0B"/>
    <w:rsid w:val="00EA32BB"/>
    <w:rsid w:val="00EA7B13"/>
    <w:rsid w:val="00EB31B3"/>
    <w:rsid w:val="00EB726C"/>
    <w:rsid w:val="00ED6CF8"/>
    <w:rsid w:val="00F108A4"/>
    <w:rsid w:val="00F120B0"/>
    <w:rsid w:val="00F23996"/>
    <w:rsid w:val="00F25D66"/>
    <w:rsid w:val="00F26C40"/>
    <w:rsid w:val="00F33461"/>
    <w:rsid w:val="00F41042"/>
    <w:rsid w:val="00F41BEF"/>
    <w:rsid w:val="00F44D54"/>
    <w:rsid w:val="00F61153"/>
    <w:rsid w:val="00F6561D"/>
    <w:rsid w:val="00F673D6"/>
    <w:rsid w:val="00F67AE5"/>
    <w:rsid w:val="00F82A8B"/>
    <w:rsid w:val="00F86B1A"/>
    <w:rsid w:val="00F949FD"/>
    <w:rsid w:val="00FB3A8F"/>
    <w:rsid w:val="00FB3A9B"/>
    <w:rsid w:val="00FB728D"/>
    <w:rsid w:val="00FD4BC4"/>
    <w:rsid w:val="00FE1329"/>
    <w:rsid w:val="00FE1B7A"/>
    <w:rsid w:val="00FE3F8B"/>
    <w:rsid w:val="00FF750E"/>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55"/>
  </w:style>
  <w:style w:type="paragraph" w:styleId="Titre1">
    <w:name w:val="heading 1"/>
    <w:basedOn w:val="Normal"/>
    <w:next w:val="Normal"/>
    <w:link w:val="Titre1Car"/>
    <w:uiPriority w:val="9"/>
    <w:qFormat/>
    <w:rsid w:val="00CA3C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CA3C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7438E"/>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CA3C6C"/>
    <w:rPr>
      <w:rFonts w:asciiTheme="majorHAnsi" w:eastAsiaTheme="majorEastAsia" w:hAnsiTheme="majorHAnsi" w:cstheme="majorBidi"/>
      <w:b/>
      <w:bCs/>
      <w:color w:val="345A8A" w:themeColor="accent1" w:themeShade="B5"/>
      <w:sz w:val="32"/>
      <w:szCs w:val="32"/>
    </w:rPr>
  </w:style>
  <w:style w:type="character" w:styleId="Lienhypertexte">
    <w:name w:val="Hyperlink"/>
    <w:basedOn w:val="Policepardfaut"/>
    <w:uiPriority w:val="99"/>
    <w:semiHidden/>
    <w:unhideWhenUsed/>
    <w:rsid w:val="00CA3C6C"/>
    <w:rPr>
      <w:color w:val="0000FF" w:themeColor="hyperlink"/>
      <w:u w:val="single"/>
    </w:rPr>
  </w:style>
  <w:style w:type="character" w:customStyle="1" w:styleId="Titre2Car">
    <w:name w:val="Titre 2 Car"/>
    <w:basedOn w:val="Policepardfaut"/>
    <w:link w:val="Titre2"/>
    <w:uiPriority w:val="9"/>
    <w:rsid w:val="00CA3C6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7438E"/>
    <w:rPr>
      <w:rFonts w:asciiTheme="majorHAnsi" w:eastAsiaTheme="majorEastAsia" w:hAnsiTheme="majorHAnsi" w:cstheme="majorBidi"/>
      <w:b/>
      <w:bCs/>
      <w:color w:val="4F81BD" w:themeColor="accent1"/>
    </w:rPr>
  </w:style>
  <w:style w:type="paragraph" w:styleId="NormalWeb">
    <w:name w:val="Normal (Web)"/>
    <w:basedOn w:val="Normal"/>
    <w:uiPriority w:val="99"/>
    <w:rsid w:val="00EB726C"/>
    <w:pPr>
      <w:spacing w:beforeLines="1" w:afterLines="1"/>
    </w:pPr>
    <w:rPr>
      <w:rFonts w:ascii="Times" w:hAnsi="Times" w:cs="Times New Roman"/>
      <w:sz w:val="20"/>
      <w:szCs w:val="20"/>
      <w:lang w:eastAsia="fr-FR"/>
    </w:rPr>
  </w:style>
  <w:style w:type="paragraph" w:styleId="Paragraphedeliste">
    <w:name w:val="List Paragraph"/>
    <w:basedOn w:val="Normal"/>
    <w:uiPriority w:val="34"/>
    <w:qFormat/>
    <w:rsid w:val="000C2B3D"/>
    <w:pPr>
      <w:ind w:left="720"/>
      <w:contextualSpacing/>
    </w:pPr>
  </w:style>
  <w:style w:type="paragraph" w:styleId="Pieddepage">
    <w:name w:val="footer"/>
    <w:basedOn w:val="Normal"/>
    <w:link w:val="PieddepageCar"/>
    <w:uiPriority w:val="99"/>
    <w:semiHidden/>
    <w:unhideWhenUsed/>
    <w:rsid w:val="002219B7"/>
    <w:pPr>
      <w:tabs>
        <w:tab w:val="center" w:pos="4536"/>
        <w:tab w:val="right" w:pos="9072"/>
      </w:tabs>
    </w:pPr>
  </w:style>
  <w:style w:type="character" w:customStyle="1" w:styleId="PieddepageCar">
    <w:name w:val="Pied de page Car"/>
    <w:basedOn w:val="Policepardfaut"/>
    <w:link w:val="Pieddepage"/>
    <w:uiPriority w:val="99"/>
    <w:semiHidden/>
    <w:rsid w:val="002219B7"/>
  </w:style>
  <w:style w:type="character" w:styleId="Numrodepage">
    <w:name w:val="page number"/>
    <w:basedOn w:val="Policepardfaut"/>
    <w:uiPriority w:val="99"/>
    <w:semiHidden/>
    <w:unhideWhenUsed/>
    <w:rsid w:val="002219B7"/>
  </w:style>
  <w:style w:type="paragraph" w:customStyle="1" w:styleId="Default">
    <w:name w:val="Default"/>
    <w:rsid w:val="00C16486"/>
    <w:pPr>
      <w:widowControl w:val="0"/>
      <w:autoSpaceDE w:val="0"/>
      <w:autoSpaceDN w:val="0"/>
      <w:adjustRightInd w:val="0"/>
    </w:pPr>
    <w:rPr>
      <w:rFonts w:ascii="Bliss Pro Regular" w:hAnsi="Bliss Pro Regular" w:cs="Bliss Pro Regular"/>
      <w:color w:val="000000"/>
    </w:rPr>
  </w:style>
  <w:style w:type="character" w:customStyle="1" w:styleId="A30">
    <w:name w:val="A30"/>
    <w:uiPriority w:val="99"/>
    <w:rsid w:val="00C16486"/>
    <w:rPr>
      <w:rFonts w:cs="Bliss Pro Regular"/>
      <w:color w:val="000000"/>
      <w:sz w:val="14"/>
      <w:szCs w:val="14"/>
    </w:rPr>
  </w:style>
  <w:style w:type="paragraph" w:styleId="Notedebasdepage">
    <w:name w:val="footnote text"/>
    <w:basedOn w:val="Normal"/>
    <w:link w:val="NotedebasdepageCar"/>
    <w:uiPriority w:val="99"/>
    <w:semiHidden/>
    <w:unhideWhenUsed/>
    <w:rsid w:val="000D1CB5"/>
  </w:style>
  <w:style w:type="character" w:customStyle="1" w:styleId="NotedebasdepageCar">
    <w:name w:val="Note de bas de page Car"/>
    <w:basedOn w:val="Policepardfaut"/>
    <w:link w:val="Notedebasdepage"/>
    <w:uiPriority w:val="99"/>
    <w:semiHidden/>
    <w:rsid w:val="000D1CB5"/>
  </w:style>
  <w:style w:type="character" w:styleId="Marquenotebasdepage">
    <w:name w:val="footnote reference"/>
    <w:basedOn w:val="Policepardfaut"/>
    <w:uiPriority w:val="99"/>
    <w:semiHidden/>
    <w:unhideWhenUsed/>
    <w:rsid w:val="000D1CB5"/>
    <w:rPr>
      <w:vertAlign w:val="superscript"/>
    </w:rPr>
  </w:style>
</w:styles>
</file>

<file path=word/webSettings.xml><?xml version="1.0" encoding="utf-8"?>
<w:webSettings xmlns:r="http://schemas.openxmlformats.org/officeDocument/2006/relationships" xmlns:w="http://schemas.openxmlformats.org/wordprocessingml/2006/main">
  <w:divs>
    <w:div w:id="374038420">
      <w:bodyDiv w:val="1"/>
      <w:marLeft w:val="0"/>
      <w:marRight w:val="0"/>
      <w:marTop w:val="0"/>
      <w:marBottom w:val="0"/>
      <w:divBdr>
        <w:top w:val="none" w:sz="0" w:space="0" w:color="auto"/>
        <w:left w:val="none" w:sz="0" w:space="0" w:color="auto"/>
        <w:bottom w:val="none" w:sz="0" w:space="0" w:color="auto"/>
        <w:right w:val="none" w:sz="0" w:space="0" w:color="auto"/>
      </w:divBdr>
    </w:div>
    <w:div w:id="841042255">
      <w:bodyDiv w:val="1"/>
      <w:marLeft w:val="0"/>
      <w:marRight w:val="0"/>
      <w:marTop w:val="0"/>
      <w:marBottom w:val="0"/>
      <w:divBdr>
        <w:top w:val="none" w:sz="0" w:space="0" w:color="auto"/>
        <w:left w:val="none" w:sz="0" w:space="0" w:color="auto"/>
        <w:bottom w:val="none" w:sz="0" w:space="0" w:color="auto"/>
        <w:right w:val="none" w:sz="0" w:space="0" w:color="auto"/>
      </w:divBdr>
      <w:divsChild>
        <w:div w:id="881599592">
          <w:marLeft w:val="0"/>
          <w:marRight w:val="0"/>
          <w:marTop w:val="0"/>
          <w:marBottom w:val="0"/>
          <w:divBdr>
            <w:top w:val="none" w:sz="0" w:space="0" w:color="auto"/>
            <w:left w:val="none" w:sz="0" w:space="0" w:color="auto"/>
            <w:bottom w:val="none" w:sz="0" w:space="0" w:color="auto"/>
            <w:right w:val="none" w:sz="0" w:space="0" w:color="auto"/>
          </w:divBdr>
        </w:div>
      </w:divsChild>
    </w:div>
    <w:div w:id="954097237">
      <w:bodyDiv w:val="1"/>
      <w:marLeft w:val="0"/>
      <w:marRight w:val="0"/>
      <w:marTop w:val="0"/>
      <w:marBottom w:val="0"/>
      <w:divBdr>
        <w:top w:val="none" w:sz="0" w:space="0" w:color="auto"/>
        <w:left w:val="none" w:sz="0" w:space="0" w:color="auto"/>
        <w:bottom w:val="none" w:sz="0" w:space="0" w:color="auto"/>
        <w:right w:val="none" w:sz="0" w:space="0" w:color="auto"/>
      </w:divBdr>
      <w:divsChild>
        <w:div w:id="689917549">
          <w:marLeft w:val="0"/>
          <w:marRight w:val="0"/>
          <w:marTop w:val="0"/>
          <w:marBottom w:val="0"/>
          <w:divBdr>
            <w:top w:val="none" w:sz="0" w:space="0" w:color="auto"/>
            <w:left w:val="none" w:sz="0" w:space="0" w:color="auto"/>
            <w:bottom w:val="none" w:sz="0" w:space="0" w:color="auto"/>
            <w:right w:val="none" w:sz="0" w:space="0" w:color="auto"/>
          </w:divBdr>
          <w:divsChild>
            <w:div w:id="1981618868">
              <w:marLeft w:val="0"/>
              <w:marRight w:val="0"/>
              <w:marTop w:val="0"/>
              <w:marBottom w:val="0"/>
              <w:divBdr>
                <w:top w:val="none" w:sz="0" w:space="0" w:color="auto"/>
                <w:left w:val="none" w:sz="0" w:space="0" w:color="auto"/>
                <w:bottom w:val="none" w:sz="0" w:space="0" w:color="auto"/>
                <w:right w:val="none" w:sz="0" w:space="0" w:color="auto"/>
              </w:divBdr>
              <w:divsChild>
                <w:div w:id="127359562">
                  <w:marLeft w:val="0"/>
                  <w:marRight w:val="0"/>
                  <w:marTop w:val="0"/>
                  <w:marBottom w:val="0"/>
                  <w:divBdr>
                    <w:top w:val="none" w:sz="0" w:space="0" w:color="auto"/>
                    <w:left w:val="none" w:sz="0" w:space="0" w:color="auto"/>
                    <w:bottom w:val="none" w:sz="0" w:space="0" w:color="auto"/>
                    <w:right w:val="none" w:sz="0" w:space="0" w:color="auto"/>
                  </w:divBdr>
                </w:div>
              </w:divsChild>
            </w:div>
            <w:div w:id="1150637046">
              <w:marLeft w:val="0"/>
              <w:marRight w:val="0"/>
              <w:marTop w:val="0"/>
              <w:marBottom w:val="0"/>
              <w:divBdr>
                <w:top w:val="none" w:sz="0" w:space="0" w:color="auto"/>
                <w:left w:val="none" w:sz="0" w:space="0" w:color="auto"/>
                <w:bottom w:val="none" w:sz="0" w:space="0" w:color="auto"/>
                <w:right w:val="none" w:sz="0" w:space="0" w:color="auto"/>
              </w:divBdr>
              <w:divsChild>
                <w:div w:id="20406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612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c.wang@chu.ulg.ac.be" TargetMode="External"/><Relationship Id="rId6" Type="http://schemas.openxmlformats.org/officeDocument/2006/relationships/footnotes" Target="foot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3522</Words>
  <Characters>20076</Characters>
  <Application>Microsoft Macintosh Word</Application>
  <DocSecurity>0</DocSecurity>
  <Lines>167</Lines>
  <Paragraphs>40</Paragraphs>
  <ScaleCrop>false</ScaleCrop>
  <LinksUpToDate>false</LinksUpToDate>
  <CharactersWithSpaces>24654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Wang</dc:creator>
  <cp:keywords/>
  <cp:lastModifiedBy>Francois Wang</cp:lastModifiedBy>
  <cp:revision>2</cp:revision>
  <dcterms:created xsi:type="dcterms:W3CDTF">2015-11-21T05:48:00Z</dcterms:created>
  <dcterms:modified xsi:type="dcterms:W3CDTF">2015-11-21T05:48:00Z</dcterms:modified>
</cp:coreProperties>
</file>