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Hyperparathyroïdie primaire familiale isolée – corrélation génotype-phenotype des mutations MEN1 ?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I. Potorac*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D. Betea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P. Petrossians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E. Castermans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(Mme), E. Hamoir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c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(Pr), JM. Labasse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d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(Dr), V. Bours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(Pr), AF. Daly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(Pr), A. Beckers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(Pr)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proofErr w:type="gramEnd"/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Service d'Endocrinologie, Université de Liège, CHU Liège, Liège, BELGIQUE ; 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b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Service de Génétique, Université de Liège, CHU Liège, Liège, BELGIQUE ; 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c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Service de Chirurgie Endocrine, Université de Liège, CHU Liège, Liège, BELGIQUE ; </w:t>
      </w:r>
      <w:r w:rsidRPr="003E5D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d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 CHU Liège, Liège, BELGIQUE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* julia_potorac@yahoo.com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Introduction: 10% des hyperparathyroïdies primaires sont des formes familiales, dont 10% sont des hyperparathyroïdies primaires isolées (FIHP-familial isolated hyperparathyroidism).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Observation: Le patient, âgé de 55 ans, nous a été adressé pour la prise en charge d’une hyperparathyroïdie récidivante après parathyroïdectomie (résection de 2 parathyroïdes) réalisée 12 ans auparavant. L’aspect anatomo-pathologique correspondait à une hyperplasie. L’anamnèse familiale relève une hyperparathyroïdie connue chez la mère du patient et aussi chez 2 de ses 3 frères. Le geste de parathyroïdectomie est étendu, en gardant uniquement une partie d’une des 2 parathyroïdes restantes, toutes les 2 hyperplasiques. En post-opératoire, le bilan phosphocalcique revient dans les normes.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La recherche génétique montre une mutation hétérozygote missense Ser253Leu du gène </w:t>
      </w:r>
      <w:r w:rsidRPr="003E5DC6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MEN1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. Cette mutation a déjà été mentionnée dans un registre suédois, dans une famille d’apparente FIHP. Elle semble coder pour une menine moins stable que le wild-type, mais moins rapidement dégradée par rapport aux mutations associées avec un phénotype de néoplasie endocrine multiple de type 1.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Discussion: Nous rapportons un nouveau cas familial de FIHP avec 4 membres atteints sur 2 générations. L’absence d’autre maladie dans le cadre </w:t>
      </w:r>
      <w:proofErr w:type="gramStart"/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d’une</w:t>
      </w:r>
      <w:proofErr w:type="gramEnd"/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néoplasie endocrine multiple de type 1 et l’âge avancé d’installation de l’hyperparathyroïdie plaident pour le caractère isolé de l’atteinte parathyroïdienne. Malgré le fait qu’une corrélation nette génotype-phenotype n’existe pas pour les mutations </w:t>
      </w:r>
      <w:r w:rsidRPr="003E5DC6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MEN1</w:t>
      </w: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, il parait quand même que certaines d’entre elles prédisposent vers le phénotype plus léger de FIHP. Des recherches supplémentaires doivent être menées pour expliquer ces différences.</w:t>
      </w:r>
    </w:p>
    <w:p w:rsidR="003E5DC6" w:rsidRPr="003E5DC6" w:rsidRDefault="003E5DC6" w:rsidP="003E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3E5DC6">
        <w:rPr>
          <w:rFonts w:ascii="Times New Roman" w:eastAsia="Times New Roman" w:hAnsi="Times New Roman" w:cs="Times New Roman"/>
          <w:sz w:val="24"/>
          <w:szCs w:val="24"/>
          <w:lang w:eastAsia="fr-BE"/>
        </w:rPr>
        <w:t>L’auteur n’a pas transmis de déclaration de conflit d’intérêt.</w:t>
      </w:r>
    </w:p>
    <w:p w:rsidR="00B0167F" w:rsidRPr="003E5DC6" w:rsidRDefault="00B0167F" w:rsidP="003E5DC6">
      <w:bookmarkStart w:id="0" w:name="_GoBack"/>
      <w:bookmarkEnd w:id="0"/>
    </w:p>
    <w:sectPr w:rsidR="00B0167F" w:rsidRPr="003E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CA"/>
    <w:rsid w:val="000C1904"/>
    <w:rsid w:val="000D3E04"/>
    <w:rsid w:val="003E5DC6"/>
    <w:rsid w:val="004F123B"/>
    <w:rsid w:val="00846FBE"/>
    <w:rsid w:val="008733E7"/>
    <w:rsid w:val="009D0511"/>
    <w:rsid w:val="00B0167F"/>
    <w:rsid w:val="00F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6B334-44E6-44E4-8DCA-47F8D908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resume">
    <w:name w:val="titr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uteurs">
    <w:name w:val="auteur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">
    <w:name w:val="organisme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dresse">
    <w:name w:val="adress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exteresume">
    <w:name w:val="text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FA21CA"/>
    <w:rPr>
      <w:i/>
      <w:iCs/>
    </w:rPr>
  </w:style>
  <w:style w:type="character" w:styleId="lev">
    <w:name w:val="Strong"/>
    <w:basedOn w:val="Policepardfaut"/>
    <w:uiPriority w:val="22"/>
    <w:qFormat/>
    <w:rsid w:val="00846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2015-10-09T10:08:00Z</dcterms:created>
  <dcterms:modified xsi:type="dcterms:W3CDTF">2015-10-09T10:08:00Z</dcterms:modified>
</cp:coreProperties>
</file>