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1904">
        <w:rPr>
          <w:rFonts w:ascii="Times New Roman" w:eastAsia="Times New Roman" w:hAnsi="Times New Roman" w:cs="Times New Roman"/>
          <w:sz w:val="24"/>
          <w:szCs w:val="24"/>
          <w:lang w:eastAsia="fr-BE"/>
        </w:rPr>
        <w:t>Hyperthyroïdie sur maladie de Basedow survenant après une hypothyroïdie de Hashimoto : étude clinique et biologique sur 10 cas.</w:t>
      </w:r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r-BE"/>
        </w:rPr>
      </w:pPr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I. </w:t>
      </w:r>
      <w:proofErr w:type="spellStart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Maiga</w:t>
      </w:r>
      <w:proofErr w:type="spellEnd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*</w:t>
      </w:r>
      <w:r w:rsidRPr="000C1904">
        <w:rPr>
          <w:rFonts w:ascii="Times New Roman" w:eastAsia="Times New Roman" w:hAnsi="Times New Roman" w:cs="Times New Roman"/>
          <w:sz w:val="24"/>
          <w:szCs w:val="24"/>
          <w:vertAlign w:val="superscript"/>
          <w:lang w:val="en" w:eastAsia="fr-BE"/>
        </w:rPr>
        <w:t>a</w:t>
      </w:r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 (</w:t>
      </w:r>
      <w:proofErr w:type="spellStart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Dr</w:t>
      </w:r>
      <w:proofErr w:type="spellEnd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), D. </w:t>
      </w:r>
      <w:proofErr w:type="spellStart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Betea</w:t>
      </w:r>
      <w:r w:rsidRPr="000C1904">
        <w:rPr>
          <w:rFonts w:ascii="Times New Roman" w:eastAsia="Times New Roman" w:hAnsi="Times New Roman" w:cs="Times New Roman"/>
          <w:sz w:val="24"/>
          <w:szCs w:val="24"/>
          <w:vertAlign w:val="superscript"/>
          <w:lang w:val="en" w:eastAsia="fr-BE"/>
        </w:rPr>
        <w:t>a</w:t>
      </w:r>
      <w:proofErr w:type="spellEnd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 (</w:t>
      </w:r>
      <w:proofErr w:type="spellStart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Dr</w:t>
      </w:r>
      <w:proofErr w:type="spellEnd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), A. </w:t>
      </w:r>
      <w:proofErr w:type="spellStart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Beckers</w:t>
      </w:r>
      <w:r w:rsidRPr="000C1904">
        <w:rPr>
          <w:rFonts w:ascii="Times New Roman" w:eastAsia="Times New Roman" w:hAnsi="Times New Roman" w:cs="Times New Roman"/>
          <w:sz w:val="24"/>
          <w:szCs w:val="24"/>
          <w:vertAlign w:val="superscript"/>
          <w:lang w:val="en" w:eastAsia="fr-BE"/>
        </w:rPr>
        <w:t>a</w:t>
      </w:r>
      <w:proofErr w:type="spellEnd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 (</w:t>
      </w:r>
      <w:proofErr w:type="spellStart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Pr</w:t>
      </w:r>
      <w:proofErr w:type="spellEnd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 xml:space="preserve">), H. Valdes </w:t>
      </w:r>
      <w:proofErr w:type="spellStart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Socin</w:t>
      </w:r>
      <w:r w:rsidRPr="000C1904">
        <w:rPr>
          <w:rFonts w:ascii="Times New Roman" w:eastAsia="Times New Roman" w:hAnsi="Times New Roman" w:cs="Times New Roman"/>
          <w:sz w:val="24"/>
          <w:szCs w:val="24"/>
          <w:vertAlign w:val="superscript"/>
          <w:lang w:val="en" w:eastAsia="fr-BE"/>
        </w:rPr>
        <w:t>a</w:t>
      </w:r>
      <w:proofErr w:type="spellEnd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 (</w:t>
      </w:r>
      <w:proofErr w:type="spellStart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Dr</w:t>
      </w:r>
      <w:proofErr w:type="spellEnd"/>
      <w:r w:rsidRPr="000C1904">
        <w:rPr>
          <w:rFonts w:ascii="Times New Roman" w:eastAsia="Times New Roman" w:hAnsi="Times New Roman" w:cs="Times New Roman"/>
          <w:sz w:val="24"/>
          <w:szCs w:val="24"/>
          <w:lang w:val="en" w:eastAsia="fr-BE"/>
        </w:rPr>
        <w:t>)</w:t>
      </w:r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proofErr w:type="gramStart"/>
      <w:r w:rsidRPr="000C19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BE"/>
        </w:rPr>
        <w:t>a</w:t>
      </w:r>
      <w:proofErr w:type="gramEnd"/>
      <w:r w:rsidRPr="000C1904">
        <w:rPr>
          <w:rFonts w:ascii="Times New Roman" w:eastAsia="Times New Roman" w:hAnsi="Times New Roman" w:cs="Times New Roman"/>
          <w:sz w:val="24"/>
          <w:szCs w:val="24"/>
          <w:lang w:eastAsia="fr-BE"/>
        </w:rPr>
        <w:t> CHU de Liège, Liège, BELGIQUE</w:t>
      </w:r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1904">
        <w:rPr>
          <w:rFonts w:ascii="Times New Roman" w:eastAsia="Times New Roman" w:hAnsi="Times New Roman" w:cs="Times New Roman"/>
          <w:sz w:val="24"/>
          <w:szCs w:val="24"/>
          <w:lang w:eastAsia="fr-BE"/>
        </w:rPr>
        <w:t>* hg.valdessocin@chu.ulg.acBe</w:t>
      </w:r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190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Objectifs </w:t>
      </w:r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1904">
        <w:rPr>
          <w:rFonts w:ascii="Times New Roman" w:eastAsia="Times New Roman" w:hAnsi="Times New Roman" w:cs="Times New Roman"/>
          <w:sz w:val="24"/>
          <w:szCs w:val="24"/>
          <w:lang w:eastAsia="fr-BE"/>
        </w:rPr>
        <w:t>Etudier les caractéristiques cliniques et biologiques de patients avec une hypothyroïdie (Hashimoto), qui développent au cours du suivi une hyperthyroïdie sur maladie de Basedow (TBII+ et scintigraphie hyperfixante).</w:t>
      </w:r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190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Patients et Méthodes</w:t>
      </w:r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190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Etude rétrospective de 10 patients hypothyroïdiens ayant développé une maladie de Basedow (groupe A). Leurs données cliniques et biologiques sont contrôlées avec 10 patients avec hypothyroïdie auto-immune (groupe B), appariés par âge et sexe qui ne développent pas d’hyperthyroïdie. </w:t>
      </w:r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190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 xml:space="preserve">Résultats </w:t>
      </w:r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1904">
        <w:rPr>
          <w:rFonts w:ascii="Times New Roman" w:eastAsia="Times New Roman" w:hAnsi="Times New Roman" w:cs="Times New Roman"/>
          <w:sz w:val="24"/>
          <w:szCs w:val="24"/>
          <w:lang w:eastAsia="fr-BE"/>
        </w:rPr>
        <w:t>Le groupe A (9F/1H, âge 23-63 ans) développe, suivant des critères biologiques et scintigraphiques classiques, une maladie de Basedow, avec un délai moyen de 42±36 mois. Le groupe B (9F/1 H âge 23-62 ans) a été suivi 40±30 mois (p&gt;0.05). Au diagnostic de l’hypothyroïdie, les taux de TSH</w:t>
      </w:r>
      <w:proofErr w:type="gramStart"/>
      <w:r w:rsidRPr="000C1904">
        <w:rPr>
          <w:rFonts w:ascii="Times New Roman" w:eastAsia="Times New Roman" w:hAnsi="Times New Roman" w:cs="Times New Roman"/>
          <w:sz w:val="24"/>
          <w:szCs w:val="24"/>
          <w:lang w:eastAsia="fr-BE"/>
        </w:rPr>
        <w:t>,FT3</w:t>
      </w:r>
      <w:proofErr w:type="gramEnd"/>
      <w:r w:rsidRPr="000C1904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et FT4 des deux groupes sont similaires (p&gt;0.05). Le taux de ATPO est supérieur dans le groupe A (190 ±150 vs 9 ±8, p&lt;0.01). Le groupe A développe une hyperthyroïdie (TSH&lt;0,01, T4 24±9 pg/ml) avec un taux de TBII 9,8±9 U/L (vn&lt;2) nécessitant radioiode (2) ou PTU (8). Une ophtalmopathie modérée se développe chez 2/10 patients. Une gastrite auto-immune est retrouvée chez 3 cas du groupe A et chez seulement 1 cas du groupe </w:t>
      </w:r>
      <w:proofErr w:type="gramStart"/>
      <w:r w:rsidRPr="000C1904">
        <w:rPr>
          <w:rFonts w:ascii="Times New Roman" w:eastAsia="Times New Roman" w:hAnsi="Times New Roman" w:cs="Times New Roman"/>
          <w:sz w:val="24"/>
          <w:szCs w:val="24"/>
          <w:lang w:eastAsia="fr-BE"/>
        </w:rPr>
        <w:t>B .</w:t>
      </w:r>
      <w:proofErr w:type="gramEnd"/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1904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Discussion</w:t>
      </w:r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1904">
        <w:rPr>
          <w:rFonts w:ascii="Times New Roman" w:eastAsia="Times New Roman" w:hAnsi="Times New Roman" w:cs="Times New Roman"/>
          <w:sz w:val="24"/>
          <w:szCs w:val="24"/>
          <w:lang w:eastAsia="fr-BE"/>
        </w:rPr>
        <w:t>La succession d’hypothyroïdie, puis d’hyperthyroïdie associée à des anticorps TBII est inhabituelle, différente de la Hashitoxicose. Les taux de TPO et la présence de gastrite autoimmune pourraient être des facteurs de risque. L’hypothèse d’anticorps successivement bloquants/stimulants du TSHR est plausible, mais nécessite des études immunologiques et génétiques sur de plus larges séries.</w:t>
      </w:r>
    </w:p>
    <w:p w:rsidR="000C1904" w:rsidRPr="000C1904" w:rsidRDefault="000C1904" w:rsidP="000C19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C1904">
        <w:rPr>
          <w:rFonts w:ascii="Times New Roman" w:eastAsia="Times New Roman" w:hAnsi="Times New Roman" w:cs="Times New Roman"/>
          <w:sz w:val="24"/>
          <w:szCs w:val="24"/>
          <w:lang w:eastAsia="fr-BE"/>
        </w:rPr>
        <w:t>L’auteur n’a pas transmis de déclaration de conflit d’intérêt.</w:t>
      </w:r>
    </w:p>
    <w:p w:rsidR="00B0167F" w:rsidRPr="000C1904" w:rsidRDefault="00B0167F" w:rsidP="000C1904">
      <w:bookmarkStart w:id="0" w:name="_GoBack"/>
      <w:bookmarkEnd w:id="0"/>
    </w:p>
    <w:sectPr w:rsidR="00B0167F" w:rsidRPr="000C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CA"/>
    <w:rsid w:val="000C1904"/>
    <w:rsid w:val="000D3E04"/>
    <w:rsid w:val="004F123B"/>
    <w:rsid w:val="00846FBE"/>
    <w:rsid w:val="008733E7"/>
    <w:rsid w:val="009D0511"/>
    <w:rsid w:val="00B0167F"/>
    <w:rsid w:val="00FA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6B334-44E6-44E4-8DCA-47F8D908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resume">
    <w:name w:val="titre_resum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auteurs">
    <w:name w:val="auteurs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organismes">
    <w:name w:val="organismes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adresse">
    <w:name w:val="adress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exteresume">
    <w:name w:val="texte_resume"/>
    <w:basedOn w:val="Normal"/>
    <w:rsid w:val="00FA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FA21CA"/>
    <w:rPr>
      <w:i/>
      <w:iCs/>
    </w:rPr>
  </w:style>
  <w:style w:type="character" w:styleId="lev">
    <w:name w:val="Strong"/>
    <w:basedOn w:val="Policepardfaut"/>
    <w:uiPriority w:val="22"/>
    <w:qFormat/>
    <w:rsid w:val="00846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0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2</cp:revision>
  <dcterms:created xsi:type="dcterms:W3CDTF">2015-10-09T10:06:00Z</dcterms:created>
  <dcterms:modified xsi:type="dcterms:W3CDTF">2015-10-09T10:06:00Z</dcterms:modified>
</cp:coreProperties>
</file>