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D05" w:rsidRDefault="00D85D05" w:rsidP="00D85D05">
      <w:pPr>
        <w:pStyle w:val="Sansinterligne"/>
        <w:spacing w:line="360" w:lineRule="auto"/>
        <w:rPr>
          <w:rFonts w:ascii="Arial" w:hAnsi="Arial" w:cs="Arial"/>
          <w:b/>
          <w:sz w:val="28"/>
          <w:szCs w:val="28"/>
          <w:lang w:val="en-GB"/>
        </w:rPr>
      </w:pPr>
    </w:p>
    <w:p w:rsidR="00D85D05" w:rsidRDefault="00D85D05" w:rsidP="00D85D05">
      <w:pPr>
        <w:pStyle w:val="Sansinterligne"/>
        <w:spacing w:line="360" w:lineRule="auto"/>
        <w:rPr>
          <w:rFonts w:ascii="Arial" w:hAnsi="Arial" w:cs="Arial"/>
          <w:b/>
          <w:sz w:val="28"/>
          <w:szCs w:val="28"/>
          <w:lang w:val="en-GB"/>
        </w:rPr>
      </w:pPr>
      <w:r>
        <w:rPr>
          <w:rFonts w:ascii="Arial" w:hAnsi="Arial" w:cs="Arial"/>
          <w:b/>
          <w:sz w:val="28"/>
          <w:szCs w:val="28"/>
          <w:lang w:val="en-GB"/>
        </w:rPr>
        <w:t xml:space="preserve">Spatial variations in concentrations of mercury and persistent organic pollutants in coastal bottlenose dolphins, </w:t>
      </w:r>
      <w:r>
        <w:rPr>
          <w:rFonts w:ascii="Arial" w:hAnsi="Arial" w:cs="Arial"/>
          <w:b/>
          <w:i/>
          <w:sz w:val="28"/>
          <w:szCs w:val="28"/>
          <w:lang w:val="en-GB"/>
        </w:rPr>
        <w:t>Tursiops truncatus,</w:t>
      </w:r>
      <w:r>
        <w:rPr>
          <w:rFonts w:ascii="Arial" w:hAnsi="Arial" w:cs="Arial"/>
          <w:b/>
          <w:sz w:val="28"/>
          <w:szCs w:val="28"/>
          <w:lang w:val="en-GB"/>
        </w:rPr>
        <w:t xml:space="preserve"> from the Lower Florida Keys and the coastal Everglades (South Florida)</w:t>
      </w:r>
    </w:p>
    <w:p w:rsidR="00D85D05" w:rsidRDefault="00D85D05" w:rsidP="00D85D05">
      <w:pPr>
        <w:pStyle w:val="Sansinterligne"/>
        <w:spacing w:line="360" w:lineRule="auto"/>
        <w:rPr>
          <w:rFonts w:ascii="Arial" w:hAnsi="Arial" w:cs="Arial"/>
          <w:lang w:val="en-GB"/>
        </w:rPr>
      </w:pPr>
    </w:p>
    <w:p w:rsidR="00D85D05" w:rsidRDefault="00D85D05" w:rsidP="00D85D05">
      <w:pPr>
        <w:pStyle w:val="Sansinterligne"/>
        <w:spacing w:line="360" w:lineRule="auto"/>
        <w:rPr>
          <w:rFonts w:ascii="Arial" w:hAnsi="Arial" w:cs="Arial"/>
          <w:sz w:val="24"/>
          <w:szCs w:val="24"/>
          <w:vertAlign w:val="superscript"/>
          <w:lang w:val="en-GB"/>
        </w:rPr>
      </w:pPr>
      <w:r>
        <w:rPr>
          <w:rFonts w:ascii="Arial" w:hAnsi="Arial" w:cs="Arial"/>
          <w:sz w:val="24"/>
          <w:szCs w:val="24"/>
          <w:lang w:val="en-GB"/>
        </w:rPr>
        <w:t>France Damseaux</w:t>
      </w:r>
      <w:r>
        <w:rPr>
          <w:rFonts w:ascii="Arial" w:hAnsi="Arial" w:cs="Arial"/>
          <w:sz w:val="24"/>
          <w:szCs w:val="24"/>
          <w:vertAlign w:val="superscript"/>
          <w:lang w:val="en-GB"/>
        </w:rPr>
        <w:t>1</w:t>
      </w:r>
      <w:proofErr w:type="gramStart"/>
      <w:r>
        <w:rPr>
          <w:rFonts w:ascii="Arial" w:hAnsi="Arial" w:cs="Arial"/>
          <w:sz w:val="24"/>
          <w:szCs w:val="24"/>
          <w:vertAlign w:val="superscript"/>
          <w:lang w:val="en-GB"/>
        </w:rPr>
        <w:t>,2</w:t>
      </w:r>
      <w:proofErr w:type="gramEnd"/>
      <w:r>
        <w:rPr>
          <w:rFonts w:ascii="Arial" w:hAnsi="Arial" w:cs="Arial"/>
          <w:sz w:val="24"/>
          <w:szCs w:val="24"/>
          <w:lang w:val="en-GB"/>
        </w:rPr>
        <w:t>, Jeremy J. Kiszka</w:t>
      </w:r>
      <w:r>
        <w:rPr>
          <w:rFonts w:ascii="Arial" w:hAnsi="Arial" w:cs="Arial"/>
          <w:sz w:val="24"/>
          <w:szCs w:val="24"/>
          <w:vertAlign w:val="superscript"/>
          <w:lang w:val="en-GB"/>
        </w:rPr>
        <w:t>3</w:t>
      </w:r>
      <w:r>
        <w:rPr>
          <w:rFonts w:ascii="Arial" w:hAnsi="Arial" w:cs="Arial"/>
          <w:sz w:val="24"/>
          <w:szCs w:val="24"/>
          <w:lang w:val="en-GB"/>
        </w:rPr>
        <w:t>, George Scholl</w:t>
      </w:r>
      <w:r>
        <w:rPr>
          <w:rFonts w:ascii="Arial" w:hAnsi="Arial" w:cs="Arial"/>
          <w:sz w:val="24"/>
          <w:szCs w:val="24"/>
          <w:vertAlign w:val="superscript"/>
          <w:lang w:val="en-GB"/>
        </w:rPr>
        <w:t>4</w:t>
      </w:r>
      <w:r>
        <w:rPr>
          <w:rFonts w:ascii="Arial" w:hAnsi="Arial" w:cs="Arial"/>
          <w:sz w:val="24"/>
          <w:szCs w:val="24"/>
          <w:lang w:val="en-GB"/>
        </w:rPr>
        <w:t>, Gauthier Eppe</w:t>
      </w:r>
      <w:r>
        <w:rPr>
          <w:rFonts w:ascii="Arial" w:hAnsi="Arial" w:cs="Arial"/>
          <w:sz w:val="24"/>
          <w:szCs w:val="24"/>
          <w:vertAlign w:val="superscript"/>
          <w:lang w:val="en-GB"/>
        </w:rPr>
        <w:t>4</w:t>
      </w:r>
      <w:r>
        <w:rPr>
          <w:rFonts w:ascii="Arial" w:hAnsi="Arial" w:cs="Arial"/>
          <w:sz w:val="24"/>
          <w:szCs w:val="24"/>
          <w:lang w:val="en-GB"/>
        </w:rPr>
        <w:t>, Jean-Pierre Thomé</w:t>
      </w:r>
      <w:r>
        <w:rPr>
          <w:rFonts w:ascii="Arial" w:hAnsi="Arial" w:cs="Arial"/>
          <w:sz w:val="24"/>
          <w:szCs w:val="24"/>
          <w:vertAlign w:val="superscript"/>
          <w:lang w:val="en-GB"/>
        </w:rPr>
        <w:t>2</w:t>
      </w:r>
      <w:r>
        <w:rPr>
          <w:rFonts w:ascii="Arial" w:hAnsi="Arial" w:cs="Arial"/>
          <w:sz w:val="24"/>
          <w:szCs w:val="24"/>
          <w:lang w:val="en-GB"/>
        </w:rPr>
        <w:t>, Jennifer Lewis</w:t>
      </w:r>
      <w:r>
        <w:rPr>
          <w:rFonts w:ascii="Arial" w:hAnsi="Arial" w:cs="Arial"/>
          <w:sz w:val="24"/>
          <w:szCs w:val="24"/>
          <w:vertAlign w:val="superscript"/>
          <w:lang w:val="en-GB"/>
        </w:rPr>
        <w:t>5</w:t>
      </w:r>
      <w:r>
        <w:rPr>
          <w:rFonts w:ascii="Arial" w:hAnsi="Arial" w:cs="Arial"/>
          <w:sz w:val="24"/>
          <w:szCs w:val="24"/>
          <w:lang w:val="en-GB"/>
        </w:rPr>
        <w:t>,</w:t>
      </w:r>
      <w:r>
        <w:rPr>
          <w:rFonts w:ascii="Arial" w:hAnsi="Arial" w:cs="Arial"/>
          <w:sz w:val="24"/>
          <w:szCs w:val="24"/>
          <w:vertAlign w:val="superscript"/>
          <w:lang w:val="en-GB"/>
        </w:rPr>
        <w:t xml:space="preserve"> </w:t>
      </w:r>
      <w:r>
        <w:rPr>
          <w:rFonts w:ascii="Arial" w:hAnsi="Arial" w:cs="Arial"/>
          <w:sz w:val="24"/>
          <w:szCs w:val="24"/>
          <w:lang w:val="en-GB"/>
        </w:rPr>
        <w:t>Michael R. Heithaus</w:t>
      </w:r>
      <w:r>
        <w:rPr>
          <w:rFonts w:ascii="Arial" w:hAnsi="Arial" w:cs="Arial"/>
          <w:sz w:val="24"/>
          <w:szCs w:val="24"/>
          <w:vertAlign w:val="superscript"/>
          <w:lang w:val="en-GB"/>
        </w:rPr>
        <w:t>3</w:t>
      </w:r>
      <w:r>
        <w:rPr>
          <w:rFonts w:ascii="Arial" w:hAnsi="Arial" w:cs="Arial"/>
          <w:sz w:val="24"/>
          <w:szCs w:val="24"/>
          <w:lang w:val="en-GB"/>
        </w:rPr>
        <w:t xml:space="preserve"> and Krishna Das</w:t>
      </w:r>
      <w:r>
        <w:rPr>
          <w:rFonts w:ascii="Arial" w:hAnsi="Arial" w:cs="Arial"/>
          <w:sz w:val="24"/>
          <w:szCs w:val="24"/>
          <w:vertAlign w:val="superscript"/>
          <w:lang w:val="en-GB"/>
        </w:rPr>
        <w:t>1</w:t>
      </w:r>
    </w:p>
    <w:p w:rsidR="00D85D05" w:rsidRDefault="00D85D05" w:rsidP="00D85D05">
      <w:pPr>
        <w:pStyle w:val="Sansinterligne"/>
        <w:spacing w:line="360" w:lineRule="auto"/>
        <w:rPr>
          <w:rFonts w:ascii="Arial" w:hAnsi="Arial" w:cs="Arial"/>
          <w:sz w:val="24"/>
          <w:szCs w:val="24"/>
          <w:vertAlign w:val="superscript"/>
          <w:lang w:val="en-GB"/>
        </w:rPr>
      </w:pPr>
    </w:p>
    <w:p w:rsidR="00D85D05" w:rsidRDefault="00D85D05" w:rsidP="00D85D05">
      <w:pPr>
        <w:pStyle w:val="Sansinterligne"/>
        <w:spacing w:line="360" w:lineRule="auto"/>
        <w:rPr>
          <w:rFonts w:ascii="Arial" w:hAnsi="Arial" w:cs="Arial"/>
          <w:i/>
          <w:sz w:val="24"/>
          <w:szCs w:val="24"/>
          <w:lang w:val="en-GB"/>
        </w:rPr>
      </w:pPr>
      <w:r>
        <w:rPr>
          <w:rFonts w:ascii="Arial" w:hAnsi="Arial" w:cs="Arial"/>
          <w:i/>
          <w:sz w:val="24"/>
          <w:szCs w:val="24"/>
          <w:vertAlign w:val="superscript"/>
          <w:lang w:val="en-GB"/>
        </w:rPr>
        <w:t xml:space="preserve">1 </w:t>
      </w:r>
      <w:r>
        <w:rPr>
          <w:rFonts w:ascii="Arial" w:hAnsi="Arial" w:cs="Arial"/>
          <w:i/>
          <w:sz w:val="24"/>
          <w:szCs w:val="24"/>
          <w:lang w:val="en-GB"/>
        </w:rPr>
        <w:t>Laboratory of Oceanology, MARE, B6c, University of Liege, 4000 Liege, Belgium</w:t>
      </w:r>
    </w:p>
    <w:p w:rsidR="00D85D05" w:rsidRDefault="00D85D05" w:rsidP="00D85D05">
      <w:pPr>
        <w:pStyle w:val="Sansinterligne"/>
        <w:spacing w:line="360" w:lineRule="auto"/>
        <w:rPr>
          <w:rFonts w:ascii="Arial" w:hAnsi="Arial" w:cs="Arial"/>
          <w:i/>
          <w:sz w:val="24"/>
          <w:szCs w:val="24"/>
          <w:lang w:val="en-GB"/>
        </w:rPr>
      </w:pPr>
      <w:r>
        <w:rPr>
          <w:rFonts w:ascii="Arial" w:hAnsi="Arial" w:cs="Arial"/>
          <w:i/>
          <w:sz w:val="24"/>
          <w:szCs w:val="24"/>
          <w:vertAlign w:val="superscript"/>
          <w:lang w:val="en-GB"/>
        </w:rPr>
        <w:t xml:space="preserve">2 </w:t>
      </w:r>
      <w:r>
        <w:rPr>
          <w:rFonts w:ascii="Arial" w:hAnsi="Arial" w:cs="Arial"/>
          <w:i/>
          <w:sz w:val="24"/>
          <w:szCs w:val="24"/>
          <w:lang w:val="en-GB"/>
        </w:rPr>
        <w:t>Laboratory of Animal Ecology and Ecotoxicology – CART, B6c Institut de Chimie, Allée du 6 Août 11, University of Liege, B-4000 Liège, Belgium</w:t>
      </w:r>
    </w:p>
    <w:p w:rsidR="00D85D05" w:rsidRDefault="00D85D05" w:rsidP="00D85D05">
      <w:pPr>
        <w:pStyle w:val="Sansinterligne"/>
        <w:spacing w:line="360" w:lineRule="auto"/>
        <w:rPr>
          <w:rFonts w:ascii="Arial" w:hAnsi="Arial" w:cs="Arial"/>
          <w:i/>
          <w:sz w:val="24"/>
          <w:szCs w:val="24"/>
          <w:lang w:val="en-US"/>
        </w:rPr>
      </w:pPr>
      <w:r>
        <w:rPr>
          <w:rFonts w:ascii="Arial" w:hAnsi="Arial" w:cs="Arial"/>
          <w:i/>
          <w:sz w:val="24"/>
          <w:szCs w:val="24"/>
          <w:vertAlign w:val="superscript"/>
          <w:lang w:val="en-GB"/>
        </w:rPr>
        <w:t xml:space="preserve">3 </w:t>
      </w:r>
      <w:r>
        <w:rPr>
          <w:rFonts w:ascii="Arial" w:hAnsi="Arial" w:cs="Arial"/>
          <w:i/>
          <w:sz w:val="24"/>
          <w:szCs w:val="24"/>
          <w:lang w:val="en-US"/>
        </w:rPr>
        <w:t>Marine Sciences Program, Department of biological Sciences, Florida International University, 3000 NE 151</w:t>
      </w:r>
      <w:r>
        <w:rPr>
          <w:rFonts w:ascii="Arial" w:hAnsi="Arial" w:cs="Arial"/>
          <w:i/>
          <w:sz w:val="24"/>
          <w:szCs w:val="24"/>
          <w:vertAlign w:val="superscript"/>
          <w:lang w:val="en-US"/>
        </w:rPr>
        <w:t>st</w:t>
      </w:r>
      <w:r>
        <w:rPr>
          <w:rFonts w:ascii="Arial" w:hAnsi="Arial" w:cs="Arial"/>
          <w:i/>
          <w:sz w:val="24"/>
          <w:szCs w:val="24"/>
          <w:lang w:val="en-US"/>
        </w:rPr>
        <w:t xml:space="preserve"> street, North Miami, FL33181, USA</w:t>
      </w:r>
    </w:p>
    <w:p w:rsidR="00D85D05" w:rsidRDefault="00D85D05" w:rsidP="00D85D05">
      <w:pPr>
        <w:pStyle w:val="Sansinterligne"/>
        <w:spacing w:line="360" w:lineRule="auto"/>
        <w:rPr>
          <w:rFonts w:ascii="Arial" w:hAnsi="Arial" w:cs="Arial"/>
          <w:i/>
          <w:sz w:val="24"/>
          <w:szCs w:val="24"/>
          <w:lang w:val="fr-FR"/>
        </w:rPr>
      </w:pPr>
      <w:r>
        <w:rPr>
          <w:rFonts w:ascii="Arial" w:hAnsi="Arial" w:cs="Arial"/>
          <w:i/>
          <w:sz w:val="24"/>
          <w:szCs w:val="24"/>
          <w:vertAlign w:val="superscript"/>
          <w:lang w:val="fr-FR"/>
        </w:rPr>
        <w:t>4</w:t>
      </w:r>
      <w:r>
        <w:rPr>
          <w:rFonts w:ascii="Arial" w:hAnsi="Arial" w:cs="Arial"/>
          <w:i/>
          <w:sz w:val="24"/>
          <w:szCs w:val="24"/>
          <w:lang w:val="fr-FR"/>
        </w:rPr>
        <w:t xml:space="preserve"> CART, University of Liège, B6C, Allée du 6 Août, 4000, Liège, Belgium</w:t>
      </w:r>
    </w:p>
    <w:p w:rsidR="00D85D05" w:rsidRDefault="00D85D05" w:rsidP="00D85D05">
      <w:pPr>
        <w:pStyle w:val="Sansinterligne"/>
        <w:spacing w:line="360" w:lineRule="auto"/>
        <w:rPr>
          <w:rFonts w:ascii="Arial" w:hAnsi="Arial" w:cs="Arial"/>
          <w:i/>
          <w:sz w:val="24"/>
          <w:szCs w:val="24"/>
          <w:lang w:val="en-GB"/>
        </w:rPr>
      </w:pPr>
      <w:r>
        <w:rPr>
          <w:rFonts w:ascii="Arial" w:hAnsi="Arial" w:cs="Arial"/>
          <w:i/>
          <w:sz w:val="24"/>
          <w:szCs w:val="24"/>
          <w:vertAlign w:val="superscript"/>
          <w:lang w:val="en-GB"/>
        </w:rPr>
        <w:t xml:space="preserve">5 </w:t>
      </w:r>
      <w:r>
        <w:rPr>
          <w:rFonts w:ascii="Arial" w:hAnsi="Arial" w:cs="Arial"/>
          <w:i/>
          <w:sz w:val="24"/>
          <w:szCs w:val="24"/>
          <w:lang w:val="en-GB"/>
        </w:rPr>
        <w:t>Tropical Dolphin Research Foundation, USA</w:t>
      </w:r>
    </w:p>
    <w:p w:rsidR="00D85D05" w:rsidRDefault="00D85D05" w:rsidP="00D85D05">
      <w:pPr>
        <w:pStyle w:val="Sansinterligne"/>
        <w:spacing w:line="360" w:lineRule="auto"/>
        <w:rPr>
          <w:rFonts w:ascii="Arial" w:hAnsi="Arial" w:cs="Arial"/>
          <w:i/>
          <w:sz w:val="24"/>
          <w:szCs w:val="24"/>
        </w:rPr>
      </w:pPr>
      <w:r>
        <w:rPr>
          <w:rFonts w:ascii="Arial" w:hAnsi="Arial" w:cs="Arial"/>
          <w:color w:val="231F20"/>
          <w:sz w:val="24"/>
          <w:szCs w:val="24"/>
          <w:shd w:val="clear" w:color="auto" w:fill="FFFFFF"/>
          <w:lang w:val="en-GB"/>
        </w:rPr>
        <w:t xml:space="preserve">* Corresponding author. </w:t>
      </w:r>
      <w:r>
        <w:rPr>
          <w:rFonts w:ascii="Arial" w:hAnsi="Arial" w:cs="Arial"/>
          <w:color w:val="231F20"/>
          <w:sz w:val="24"/>
          <w:szCs w:val="24"/>
          <w:shd w:val="clear" w:color="auto" w:fill="FFFFFF"/>
        </w:rPr>
        <w:t>E-mail: fdamseaux@ulg.ac.be</w:t>
      </w:r>
    </w:p>
    <w:p w:rsidR="00D85D05" w:rsidRDefault="00D85D05" w:rsidP="00D85D05">
      <w:pPr>
        <w:pStyle w:val="Sansinterligne"/>
        <w:spacing w:line="360" w:lineRule="auto"/>
        <w:rPr>
          <w:rFonts w:ascii="Arial" w:hAnsi="Arial" w:cs="Arial"/>
          <w:sz w:val="24"/>
          <w:szCs w:val="24"/>
        </w:rPr>
      </w:pPr>
    </w:p>
    <w:p w:rsidR="00D85D05" w:rsidRDefault="00D85D05" w:rsidP="00D85D05">
      <w:pPr>
        <w:pStyle w:val="Sansinterligne"/>
        <w:rPr>
          <w:rFonts w:ascii="Arial" w:hAnsi="Arial" w:cs="Arial"/>
          <w:sz w:val="20"/>
          <w:szCs w:val="20"/>
          <w:lang w:val="en-GB"/>
        </w:rPr>
      </w:pPr>
      <w:r>
        <w:rPr>
          <w:rFonts w:ascii="Arial" w:hAnsi="Arial" w:cs="Arial"/>
          <w:sz w:val="20"/>
          <w:szCs w:val="20"/>
          <w:lang w:val="en-GB"/>
        </w:rPr>
        <w:t>The bottlenose dolphin (</w:t>
      </w:r>
      <w:r>
        <w:rPr>
          <w:rFonts w:ascii="Arial" w:hAnsi="Arial" w:cs="Arial"/>
          <w:i/>
          <w:sz w:val="20"/>
          <w:szCs w:val="20"/>
          <w:lang w:val="en-GB"/>
        </w:rPr>
        <w:t>Tursiops truncatus</w:t>
      </w:r>
      <w:r>
        <w:rPr>
          <w:rFonts w:ascii="Arial" w:hAnsi="Arial" w:cs="Arial"/>
          <w:sz w:val="20"/>
          <w:szCs w:val="20"/>
          <w:lang w:val="en-GB"/>
        </w:rPr>
        <w:t>) is a major apex predator and the most common cetacean species found in nearshore waters of South Florida, including the Lower Florida Keys (LFK) and the Everglades National Park (ENP). The objective of this study was 1) to assess contamination levels of total mercury (T-Hg) in skin and persistent organic pollutants (PCBs, PBDEs, DDT, HCH, HCB, DLCs and PCDD/Fs) in blubber samples of bottlenose dolphins from the LFK (T-Hg : n</w:t>
      </w:r>
      <w:r>
        <w:rPr>
          <w:rFonts w:ascii="Arial" w:hAnsi="Arial" w:cs="Arial"/>
          <w:sz w:val="20"/>
          <w:szCs w:val="20"/>
          <w:vertAlign w:val="subscript"/>
          <w:lang w:val="en-GB"/>
        </w:rPr>
        <w:t>males</w:t>
      </w:r>
      <w:r>
        <w:rPr>
          <w:rFonts w:ascii="Arial" w:hAnsi="Arial" w:cs="Arial"/>
          <w:sz w:val="20"/>
          <w:szCs w:val="20"/>
          <w:lang w:val="en-GB"/>
        </w:rPr>
        <w:t xml:space="preserve"> = 10; POPs : n</w:t>
      </w:r>
      <w:r>
        <w:rPr>
          <w:rFonts w:ascii="Arial" w:hAnsi="Arial" w:cs="Arial"/>
          <w:sz w:val="20"/>
          <w:szCs w:val="20"/>
          <w:vertAlign w:val="subscript"/>
          <w:lang w:val="en-GB"/>
        </w:rPr>
        <w:t>males</w:t>
      </w:r>
      <w:r>
        <w:rPr>
          <w:rFonts w:ascii="Arial" w:hAnsi="Arial" w:cs="Arial"/>
          <w:sz w:val="20"/>
          <w:szCs w:val="20"/>
          <w:lang w:val="en-GB"/>
        </w:rPr>
        <w:t xml:space="preserve"> = 16, n</w:t>
      </w:r>
      <w:r>
        <w:rPr>
          <w:rFonts w:ascii="Arial" w:hAnsi="Arial" w:cs="Arial"/>
          <w:sz w:val="20"/>
          <w:szCs w:val="20"/>
          <w:vertAlign w:val="subscript"/>
          <w:lang w:val="en-GB"/>
        </w:rPr>
        <w:t>females</w:t>
      </w:r>
      <w:r>
        <w:rPr>
          <w:rFonts w:ascii="Arial" w:hAnsi="Arial" w:cs="Arial"/>
          <w:sz w:val="20"/>
          <w:szCs w:val="20"/>
          <w:lang w:val="en-GB"/>
        </w:rPr>
        <w:t xml:space="preserve"> = 8)  and the ENP (T-Hg : n</w:t>
      </w:r>
      <w:r>
        <w:rPr>
          <w:rFonts w:ascii="Arial" w:hAnsi="Arial" w:cs="Arial"/>
          <w:sz w:val="20"/>
          <w:szCs w:val="20"/>
          <w:vertAlign w:val="subscript"/>
          <w:lang w:val="en-GB"/>
        </w:rPr>
        <w:t>males</w:t>
      </w:r>
      <w:r>
        <w:rPr>
          <w:rFonts w:ascii="Arial" w:hAnsi="Arial" w:cs="Arial"/>
          <w:sz w:val="20"/>
          <w:szCs w:val="20"/>
          <w:lang w:val="en-GB"/>
        </w:rPr>
        <w:t xml:space="preserve"> = 13, n</w:t>
      </w:r>
      <w:r>
        <w:rPr>
          <w:rFonts w:ascii="Arial" w:hAnsi="Arial" w:cs="Arial"/>
          <w:sz w:val="20"/>
          <w:szCs w:val="20"/>
          <w:vertAlign w:val="subscript"/>
          <w:lang w:val="en-GB"/>
        </w:rPr>
        <w:t>females</w:t>
      </w:r>
      <w:r>
        <w:rPr>
          <w:rFonts w:ascii="Arial" w:hAnsi="Arial" w:cs="Arial"/>
          <w:sz w:val="20"/>
          <w:szCs w:val="20"/>
          <w:lang w:val="en-GB"/>
        </w:rPr>
        <w:t xml:space="preserve"> = 9; POPs : n</w:t>
      </w:r>
      <w:r>
        <w:rPr>
          <w:rFonts w:ascii="Arial" w:hAnsi="Arial" w:cs="Arial"/>
          <w:sz w:val="20"/>
          <w:szCs w:val="20"/>
          <w:vertAlign w:val="subscript"/>
          <w:lang w:val="en-GB"/>
        </w:rPr>
        <w:t>males</w:t>
      </w:r>
      <w:r>
        <w:rPr>
          <w:rFonts w:ascii="Arial" w:hAnsi="Arial" w:cs="Arial"/>
          <w:sz w:val="20"/>
          <w:szCs w:val="20"/>
          <w:lang w:val="en-GB"/>
        </w:rPr>
        <w:t xml:space="preserve"> = 11, n</w:t>
      </w:r>
      <w:r>
        <w:rPr>
          <w:rFonts w:ascii="Arial" w:hAnsi="Arial" w:cs="Arial"/>
          <w:sz w:val="20"/>
          <w:szCs w:val="20"/>
          <w:vertAlign w:val="subscript"/>
          <w:lang w:val="en-GB"/>
        </w:rPr>
        <w:t>females</w:t>
      </w:r>
      <w:r>
        <w:rPr>
          <w:rFonts w:ascii="Arial" w:hAnsi="Arial" w:cs="Arial"/>
          <w:sz w:val="20"/>
          <w:szCs w:val="20"/>
          <w:lang w:val="en-GB"/>
        </w:rPr>
        <w:t xml:space="preserve"> = 8). T-Hg and POPs were analysed by the mean of Direct Mercury analyser (for T-Hg), GC-ECD (POPs) and GC-MS (DLCs and PCDD/Fs). The PCBs were the main compounds found in bottlenose dolphins from the LFK and ENP. The most present congeners where the CB no. 28, 52, 101, 138, 153 and 180 (Σ 6 PCBs LFK males: 13420.5 ng.g</w:t>
      </w:r>
      <w:r>
        <w:rPr>
          <w:rFonts w:ascii="Arial" w:hAnsi="Arial" w:cs="Arial"/>
          <w:sz w:val="20"/>
          <w:szCs w:val="20"/>
          <w:vertAlign w:val="superscript"/>
          <w:lang w:val="en-GB"/>
        </w:rPr>
        <w:t xml:space="preserve">-1 </w:t>
      </w:r>
      <w:r>
        <w:rPr>
          <w:rFonts w:ascii="Arial" w:hAnsi="Arial" w:cs="Arial"/>
          <w:sz w:val="20"/>
          <w:szCs w:val="20"/>
          <w:lang w:val="en-GB"/>
        </w:rPr>
        <w:t>lipids, Σ 6 PCBs LFK females: 9683.4 ng.g</w:t>
      </w:r>
      <w:r>
        <w:rPr>
          <w:rFonts w:ascii="Arial" w:hAnsi="Arial" w:cs="Arial"/>
          <w:sz w:val="20"/>
          <w:szCs w:val="20"/>
          <w:vertAlign w:val="superscript"/>
          <w:lang w:val="en-GB"/>
        </w:rPr>
        <w:t>-1</w:t>
      </w:r>
      <w:r>
        <w:rPr>
          <w:rFonts w:ascii="Arial" w:hAnsi="Arial" w:cs="Arial"/>
          <w:sz w:val="20"/>
          <w:szCs w:val="20"/>
          <w:lang w:val="en-GB"/>
        </w:rPr>
        <w:t xml:space="preserve"> lipids, Σ 6 PCBs ENP males: 5637.9 ng.g</w:t>
      </w:r>
      <w:r>
        <w:rPr>
          <w:rFonts w:ascii="Arial" w:hAnsi="Arial" w:cs="Arial"/>
          <w:sz w:val="20"/>
          <w:szCs w:val="20"/>
          <w:vertAlign w:val="superscript"/>
          <w:lang w:val="en-GB"/>
        </w:rPr>
        <w:t>-1</w:t>
      </w:r>
      <w:r>
        <w:rPr>
          <w:rFonts w:ascii="Arial" w:hAnsi="Arial" w:cs="Arial"/>
          <w:sz w:val="20"/>
          <w:szCs w:val="20"/>
          <w:lang w:val="en-GB"/>
        </w:rPr>
        <w:t xml:space="preserve"> lipids, Σ 6 PCBs ENP females: 1426.9 ng.g</w:t>
      </w:r>
      <w:r>
        <w:rPr>
          <w:rFonts w:ascii="Arial" w:hAnsi="Arial" w:cs="Arial"/>
          <w:sz w:val="20"/>
          <w:szCs w:val="20"/>
          <w:vertAlign w:val="superscript"/>
          <w:lang w:val="en-GB"/>
        </w:rPr>
        <w:t>-1</w:t>
      </w:r>
      <w:r>
        <w:rPr>
          <w:rFonts w:ascii="Arial" w:hAnsi="Arial" w:cs="Arial"/>
          <w:sz w:val="20"/>
          <w:szCs w:val="20"/>
          <w:lang w:val="en-GB"/>
        </w:rPr>
        <w:t xml:space="preserve"> lipids), while the concentrations of DL PCBs remained low for both locations (LFK: 739 ng.g</w:t>
      </w:r>
      <w:r>
        <w:rPr>
          <w:rFonts w:ascii="Arial" w:hAnsi="Arial" w:cs="Arial"/>
          <w:sz w:val="20"/>
          <w:szCs w:val="20"/>
          <w:vertAlign w:val="superscript"/>
          <w:lang w:val="en-GB"/>
        </w:rPr>
        <w:t>-1</w:t>
      </w:r>
      <w:r>
        <w:rPr>
          <w:rFonts w:ascii="Arial" w:hAnsi="Arial" w:cs="Arial"/>
          <w:sz w:val="20"/>
          <w:szCs w:val="20"/>
          <w:lang w:val="en-GB"/>
        </w:rPr>
        <w:t xml:space="preserve"> lipids, ENP: 183 ng.g</w:t>
      </w:r>
      <w:r>
        <w:rPr>
          <w:rFonts w:ascii="Arial" w:hAnsi="Arial" w:cs="Arial"/>
          <w:sz w:val="20"/>
          <w:szCs w:val="20"/>
          <w:vertAlign w:val="superscript"/>
          <w:lang w:val="en-GB"/>
        </w:rPr>
        <w:t>-1</w:t>
      </w:r>
      <w:r>
        <w:rPr>
          <w:rFonts w:ascii="Arial" w:hAnsi="Arial" w:cs="Arial"/>
          <w:sz w:val="20"/>
          <w:szCs w:val="20"/>
          <w:lang w:val="en-GB"/>
        </w:rPr>
        <w:t xml:space="preserve"> lipids). PCBs concentrations were significantly higher in individuals from the LFK than those from the ENP. PCBs concentrations in LFK and ENP dolphins were significantly lower than those from other locations in the south-eastern US. Unlike organic pollutants, T-Hg concentrations were significantly higher in ENP male dolphins (LFK: 2936.0 ng.g-1 </w:t>
      </w:r>
      <w:proofErr w:type="gramStart"/>
      <w:r>
        <w:rPr>
          <w:rFonts w:ascii="Arial" w:hAnsi="Arial" w:cs="Arial"/>
          <w:sz w:val="20"/>
          <w:szCs w:val="20"/>
          <w:lang w:val="en-GB"/>
        </w:rPr>
        <w:t>dw</w:t>
      </w:r>
      <w:proofErr w:type="gramEnd"/>
      <w:r>
        <w:rPr>
          <w:rFonts w:ascii="Arial" w:hAnsi="Arial" w:cs="Arial"/>
          <w:sz w:val="20"/>
          <w:szCs w:val="20"/>
          <w:lang w:val="en-GB"/>
        </w:rPr>
        <w:t xml:space="preserve">, ENP: 10048.3 ng.g-1 dw). These high concentrations were the highest recorded in the south-eastern US and are most likely due to the presence of mangrove ecosystems. This study highlights the complexity of contaminant dynamics (inorganic vs. organic), even at small spatial scales. </w:t>
      </w:r>
    </w:p>
    <w:p w:rsidR="007307FA" w:rsidRPr="00D85D05" w:rsidRDefault="007307FA" w:rsidP="00D85D05">
      <w:pPr>
        <w:rPr>
          <w:lang w:val="en-GB"/>
        </w:rPr>
      </w:pPr>
      <w:bookmarkStart w:id="0" w:name="_GoBack"/>
      <w:bookmarkEnd w:id="0"/>
    </w:p>
    <w:sectPr w:rsidR="007307FA" w:rsidRPr="00D85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C2"/>
    <w:rsid w:val="001F671A"/>
    <w:rsid w:val="002B3CFF"/>
    <w:rsid w:val="003A4DB3"/>
    <w:rsid w:val="00435976"/>
    <w:rsid w:val="006B4DA7"/>
    <w:rsid w:val="007307FA"/>
    <w:rsid w:val="007433D5"/>
    <w:rsid w:val="00750F7A"/>
    <w:rsid w:val="00904167"/>
    <w:rsid w:val="00BB369A"/>
    <w:rsid w:val="00C04F65"/>
    <w:rsid w:val="00CE3A4A"/>
    <w:rsid w:val="00D15BD0"/>
    <w:rsid w:val="00D373C2"/>
    <w:rsid w:val="00D85D05"/>
    <w:rsid w:val="00EC6A7F"/>
    <w:rsid w:val="00FD3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368E7-6B83-45FC-9B0E-6EEFD139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C2"/>
    <w:pPr>
      <w:spacing w:after="200" w:line="276" w:lineRule="auto"/>
    </w:pPr>
    <w:rPr>
      <w:rFonts w:eastAsiaTheme="minorEastAsia"/>
      <w:lang w:eastAsia="fr-FR"/>
    </w:rPr>
  </w:style>
  <w:style w:type="paragraph" w:styleId="Titre1">
    <w:name w:val="heading 1"/>
    <w:basedOn w:val="Normal"/>
    <w:next w:val="Normal"/>
    <w:link w:val="Titre1Car"/>
    <w:qFormat/>
    <w:rsid w:val="00D373C2"/>
    <w:pPr>
      <w:keepNext/>
      <w:spacing w:after="360" w:line="240" w:lineRule="auto"/>
      <w:jc w:val="both"/>
      <w:outlineLvl w:val="0"/>
    </w:pPr>
    <w:rPr>
      <w:rFonts w:ascii="Lucida Sans" w:eastAsia="Times New Roman" w:hAnsi="Lucida Sans" w:cs="Times New Roman"/>
      <w:sz w:val="26"/>
      <w:szCs w:val="20"/>
      <w:lang w:val="en-GB" w:eastAsia="en-US"/>
    </w:rPr>
  </w:style>
  <w:style w:type="paragraph" w:styleId="Titre2">
    <w:name w:val="heading 2"/>
    <w:basedOn w:val="Normal"/>
    <w:next w:val="Normal"/>
    <w:link w:val="Titre2Car"/>
    <w:qFormat/>
    <w:rsid w:val="00D373C2"/>
    <w:pPr>
      <w:keepNext/>
      <w:overflowPunct w:val="0"/>
      <w:autoSpaceDE w:val="0"/>
      <w:autoSpaceDN w:val="0"/>
      <w:adjustRightInd w:val="0"/>
      <w:spacing w:after="240" w:line="240" w:lineRule="auto"/>
      <w:jc w:val="both"/>
      <w:textAlignment w:val="baseline"/>
      <w:outlineLvl w:val="1"/>
    </w:pPr>
    <w:rPr>
      <w:rFonts w:ascii="Lucida Sans" w:eastAsia="Times New Roman" w:hAnsi="Lucida Sans" w:cs="Times New Roman"/>
      <w:sz w:val="18"/>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373C2"/>
    <w:rPr>
      <w:rFonts w:ascii="Lucida Sans" w:eastAsia="Times New Roman" w:hAnsi="Lucida Sans" w:cs="Times New Roman"/>
      <w:sz w:val="26"/>
      <w:szCs w:val="20"/>
      <w:lang w:val="en-GB"/>
    </w:rPr>
  </w:style>
  <w:style w:type="character" w:customStyle="1" w:styleId="Titre2Car">
    <w:name w:val="Titre 2 Car"/>
    <w:basedOn w:val="Policepardfaut"/>
    <w:link w:val="Titre2"/>
    <w:rsid w:val="00D373C2"/>
    <w:rPr>
      <w:rFonts w:ascii="Lucida Sans" w:eastAsia="Times New Roman" w:hAnsi="Lucida Sans" w:cs="Times New Roman"/>
      <w:sz w:val="18"/>
      <w:szCs w:val="20"/>
      <w:lang w:val="en-GB" w:eastAsia="nl-NL"/>
    </w:rPr>
  </w:style>
  <w:style w:type="paragraph" w:customStyle="1" w:styleId="addressauthormultipleLucidaSans">
    <w:name w:val="address author multiple (Lucida Sans)"/>
    <w:basedOn w:val="Normal"/>
    <w:link w:val="addressauthormultipleLucidaSansCharChar"/>
    <w:rsid w:val="00D373C2"/>
    <w:pPr>
      <w:spacing w:after="120" w:line="240" w:lineRule="auto"/>
      <w:ind w:left="170" w:hanging="170"/>
    </w:pPr>
    <w:rPr>
      <w:rFonts w:ascii="Lucida Sans" w:eastAsia="Times New Roman" w:hAnsi="Lucida Sans" w:cs="Times New Roman"/>
      <w:sz w:val="18"/>
      <w:szCs w:val="20"/>
      <w:lang w:val="nl-BE" w:eastAsia="en-US"/>
    </w:rPr>
  </w:style>
  <w:style w:type="character" w:customStyle="1" w:styleId="addressauthormultipleLucidaSansCharChar">
    <w:name w:val="address author multiple (Lucida Sans) Char Char"/>
    <w:link w:val="addressauthormultipleLucidaSans"/>
    <w:rsid w:val="00D373C2"/>
    <w:rPr>
      <w:rFonts w:ascii="Lucida Sans" w:eastAsia="Times New Roman" w:hAnsi="Lucida Sans" w:cs="Times New Roman"/>
      <w:sz w:val="18"/>
      <w:szCs w:val="20"/>
      <w:lang w:val="nl-BE"/>
    </w:rPr>
  </w:style>
  <w:style w:type="paragraph" w:customStyle="1" w:styleId="TextLucidaSans">
    <w:name w:val="Text (Lucida Sans)"/>
    <w:basedOn w:val="Normal"/>
    <w:link w:val="TextLucidaSansChar"/>
    <w:rsid w:val="00D373C2"/>
    <w:pPr>
      <w:spacing w:after="0" w:line="240" w:lineRule="auto"/>
      <w:jc w:val="both"/>
    </w:pPr>
    <w:rPr>
      <w:rFonts w:ascii="Lucida Sans" w:eastAsia="MS Mincho" w:hAnsi="Lucida Sans" w:cs="Tahoma"/>
      <w:sz w:val="18"/>
      <w:szCs w:val="20"/>
      <w:lang w:val="en-GB" w:eastAsia="en-US"/>
    </w:rPr>
  </w:style>
  <w:style w:type="character" w:customStyle="1" w:styleId="TextLucidaSansChar">
    <w:name w:val="Text (Lucida Sans) Char"/>
    <w:link w:val="TextLucidaSans"/>
    <w:rsid w:val="00D373C2"/>
    <w:rPr>
      <w:rFonts w:ascii="Lucida Sans" w:eastAsia="MS Mincho" w:hAnsi="Lucida Sans" w:cs="Tahoma"/>
      <w:sz w:val="18"/>
      <w:szCs w:val="20"/>
      <w:lang w:val="en-GB"/>
    </w:rPr>
  </w:style>
  <w:style w:type="paragraph" w:styleId="Sansinterligne">
    <w:name w:val="No Spacing"/>
    <w:link w:val="SansinterligneCar"/>
    <w:uiPriority w:val="1"/>
    <w:qFormat/>
    <w:rsid w:val="007307FA"/>
    <w:pPr>
      <w:spacing w:after="0" w:line="240" w:lineRule="auto"/>
    </w:pPr>
    <w:rPr>
      <w:lang w:val="fr-BE"/>
    </w:rPr>
  </w:style>
  <w:style w:type="character" w:customStyle="1" w:styleId="SansinterligneCar">
    <w:name w:val="Sans interligne Car"/>
    <w:basedOn w:val="Policepardfaut"/>
    <w:link w:val="Sansinterligne"/>
    <w:uiPriority w:val="1"/>
    <w:rsid w:val="007307FA"/>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KISZKA</dc:creator>
  <cp:keywords/>
  <dc:description/>
  <cp:lastModifiedBy>France Damseaux</cp:lastModifiedBy>
  <cp:revision>3</cp:revision>
  <dcterms:created xsi:type="dcterms:W3CDTF">2015-09-02T10:57:00Z</dcterms:created>
  <dcterms:modified xsi:type="dcterms:W3CDTF">2015-09-13T16:43:00Z</dcterms:modified>
</cp:coreProperties>
</file>