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Etude moléculaire du gène AIP sur plus de 1400 individus atteints d’adénome hypophysaire</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E. Castermans</w:t>
      </w:r>
      <w:r w:rsidRPr="009D0511">
        <w:rPr>
          <w:rFonts w:ascii="Times New Roman" w:eastAsia="Times New Roman" w:hAnsi="Times New Roman" w:cs="Times New Roman"/>
          <w:sz w:val="24"/>
          <w:szCs w:val="24"/>
          <w:vertAlign w:val="superscript"/>
          <w:lang w:eastAsia="fr-BE"/>
        </w:rPr>
        <w:t>a</w:t>
      </w:r>
      <w:r w:rsidRPr="009D0511">
        <w:rPr>
          <w:rFonts w:ascii="Times New Roman" w:eastAsia="Times New Roman" w:hAnsi="Times New Roman" w:cs="Times New Roman"/>
          <w:sz w:val="24"/>
          <w:szCs w:val="24"/>
          <w:lang w:eastAsia="fr-BE"/>
        </w:rPr>
        <w:t> (Dr), R. Auriemma</w:t>
      </w:r>
      <w:r w:rsidRPr="009D0511">
        <w:rPr>
          <w:rFonts w:ascii="Times New Roman" w:eastAsia="Times New Roman" w:hAnsi="Times New Roman" w:cs="Times New Roman"/>
          <w:sz w:val="24"/>
          <w:szCs w:val="24"/>
          <w:vertAlign w:val="superscript"/>
          <w:lang w:eastAsia="fr-BE"/>
        </w:rPr>
        <w:t>b</w:t>
      </w:r>
      <w:r w:rsidRPr="009D0511">
        <w:rPr>
          <w:rFonts w:ascii="Times New Roman" w:eastAsia="Times New Roman" w:hAnsi="Times New Roman" w:cs="Times New Roman"/>
          <w:sz w:val="24"/>
          <w:szCs w:val="24"/>
          <w:lang w:eastAsia="fr-BE"/>
        </w:rPr>
        <w:t> (Dr), L. Rostomyan</w:t>
      </w:r>
      <w:r w:rsidRPr="009D0511">
        <w:rPr>
          <w:rFonts w:ascii="Times New Roman" w:eastAsia="Times New Roman" w:hAnsi="Times New Roman" w:cs="Times New Roman"/>
          <w:sz w:val="24"/>
          <w:szCs w:val="24"/>
          <w:vertAlign w:val="superscript"/>
          <w:lang w:eastAsia="fr-BE"/>
        </w:rPr>
        <w:t>b</w:t>
      </w:r>
      <w:r w:rsidRPr="009D0511">
        <w:rPr>
          <w:rFonts w:ascii="Times New Roman" w:eastAsia="Times New Roman" w:hAnsi="Times New Roman" w:cs="Times New Roman"/>
          <w:sz w:val="24"/>
          <w:szCs w:val="24"/>
          <w:lang w:eastAsia="fr-BE"/>
        </w:rPr>
        <w:t> (Dr), N. Sacré</w:t>
      </w:r>
      <w:r w:rsidRPr="009D0511">
        <w:rPr>
          <w:rFonts w:ascii="Times New Roman" w:eastAsia="Times New Roman" w:hAnsi="Times New Roman" w:cs="Times New Roman"/>
          <w:sz w:val="24"/>
          <w:szCs w:val="24"/>
          <w:vertAlign w:val="superscript"/>
          <w:lang w:eastAsia="fr-BE"/>
        </w:rPr>
        <w:t>a</w:t>
      </w:r>
      <w:r w:rsidRPr="009D0511">
        <w:rPr>
          <w:rFonts w:ascii="Times New Roman" w:eastAsia="Times New Roman" w:hAnsi="Times New Roman" w:cs="Times New Roman"/>
          <w:sz w:val="24"/>
          <w:szCs w:val="24"/>
          <w:lang w:eastAsia="fr-BE"/>
        </w:rPr>
        <w:t> (Mme), JH. Caberg</w:t>
      </w:r>
      <w:r w:rsidRPr="009D0511">
        <w:rPr>
          <w:rFonts w:ascii="Times New Roman" w:eastAsia="Times New Roman" w:hAnsi="Times New Roman" w:cs="Times New Roman"/>
          <w:sz w:val="24"/>
          <w:szCs w:val="24"/>
          <w:vertAlign w:val="superscript"/>
          <w:lang w:eastAsia="fr-BE"/>
        </w:rPr>
        <w:t>a</w:t>
      </w:r>
      <w:r w:rsidRPr="009D0511">
        <w:rPr>
          <w:rFonts w:ascii="Times New Roman" w:eastAsia="Times New Roman" w:hAnsi="Times New Roman" w:cs="Times New Roman"/>
          <w:sz w:val="24"/>
          <w:szCs w:val="24"/>
          <w:lang w:eastAsia="fr-BE"/>
        </w:rPr>
        <w:t> (Dr), V. Bours</w:t>
      </w:r>
      <w:r w:rsidRPr="009D0511">
        <w:rPr>
          <w:rFonts w:ascii="Times New Roman" w:eastAsia="Times New Roman" w:hAnsi="Times New Roman" w:cs="Times New Roman"/>
          <w:sz w:val="24"/>
          <w:szCs w:val="24"/>
          <w:vertAlign w:val="superscript"/>
          <w:lang w:eastAsia="fr-BE"/>
        </w:rPr>
        <w:t>a</w:t>
      </w:r>
      <w:r w:rsidRPr="009D0511">
        <w:rPr>
          <w:rFonts w:ascii="Times New Roman" w:eastAsia="Times New Roman" w:hAnsi="Times New Roman" w:cs="Times New Roman"/>
          <w:sz w:val="24"/>
          <w:szCs w:val="24"/>
          <w:lang w:eastAsia="fr-BE"/>
        </w:rPr>
        <w:t> (Pr), A. Daly</w:t>
      </w:r>
      <w:r w:rsidRPr="009D0511">
        <w:rPr>
          <w:rFonts w:ascii="Times New Roman" w:eastAsia="Times New Roman" w:hAnsi="Times New Roman" w:cs="Times New Roman"/>
          <w:sz w:val="24"/>
          <w:szCs w:val="24"/>
          <w:vertAlign w:val="superscript"/>
          <w:lang w:eastAsia="fr-BE"/>
        </w:rPr>
        <w:t>b</w:t>
      </w:r>
      <w:r w:rsidRPr="009D0511">
        <w:rPr>
          <w:rFonts w:ascii="Times New Roman" w:eastAsia="Times New Roman" w:hAnsi="Times New Roman" w:cs="Times New Roman"/>
          <w:sz w:val="24"/>
          <w:szCs w:val="24"/>
          <w:lang w:eastAsia="fr-BE"/>
        </w:rPr>
        <w:t> (Dr), A. Beckers*</w:t>
      </w:r>
      <w:r w:rsidRPr="009D0511">
        <w:rPr>
          <w:rFonts w:ascii="Times New Roman" w:eastAsia="Times New Roman" w:hAnsi="Times New Roman" w:cs="Times New Roman"/>
          <w:sz w:val="24"/>
          <w:szCs w:val="24"/>
          <w:vertAlign w:val="superscript"/>
          <w:lang w:eastAsia="fr-BE"/>
        </w:rPr>
        <w:t>b</w:t>
      </w:r>
      <w:r w:rsidRPr="009D0511">
        <w:rPr>
          <w:rFonts w:ascii="Times New Roman" w:eastAsia="Times New Roman" w:hAnsi="Times New Roman" w:cs="Times New Roman"/>
          <w:sz w:val="24"/>
          <w:szCs w:val="24"/>
          <w:lang w:eastAsia="fr-BE"/>
        </w:rPr>
        <w:t> (Pr)</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9D0511">
        <w:rPr>
          <w:rFonts w:ascii="Times New Roman" w:eastAsia="Times New Roman" w:hAnsi="Times New Roman" w:cs="Times New Roman"/>
          <w:sz w:val="24"/>
          <w:szCs w:val="24"/>
          <w:vertAlign w:val="superscript"/>
          <w:lang w:eastAsia="fr-BE"/>
        </w:rPr>
        <w:t>a</w:t>
      </w:r>
      <w:proofErr w:type="gramEnd"/>
      <w:r w:rsidRPr="009D0511">
        <w:rPr>
          <w:rFonts w:ascii="Times New Roman" w:eastAsia="Times New Roman" w:hAnsi="Times New Roman" w:cs="Times New Roman"/>
          <w:sz w:val="24"/>
          <w:szCs w:val="24"/>
          <w:lang w:eastAsia="fr-BE"/>
        </w:rPr>
        <w:t xml:space="preserve"> Service de génétique humaine, CHU de liège, Liège, BELGIQUE ; </w:t>
      </w:r>
      <w:r w:rsidRPr="009D0511">
        <w:rPr>
          <w:rFonts w:ascii="Times New Roman" w:eastAsia="Times New Roman" w:hAnsi="Times New Roman" w:cs="Times New Roman"/>
          <w:sz w:val="24"/>
          <w:szCs w:val="24"/>
          <w:vertAlign w:val="superscript"/>
          <w:lang w:eastAsia="fr-BE"/>
        </w:rPr>
        <w:t>b</w:t>
      </w:r>
      <w:r w:rsidRPr="009D0511">
        <w:rPr>
          <w:rFonts w:ascii="Times New Roman" w:eastAsia="Times New Roman" w:hAnsi="Times New Roman" w:cs="Times New Roman"/>
          <w:sz w:val="24"/>
          <w:szCs w:val="24"/>
          <w:lang w:eastAsia="fr-BE"/>
        </w:rPr>
        <w:t> Service d'endocrinologie, CHU de Liège, Liège, BELGIQUE</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 albert.beckers@chu.ulg.ac.be</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b/>
          <w:bCs/>
          <w:sz w:val="24"/>
          <w:szCs w:val="24"/>
          <w:lang w:eastAsia="fr-BE"/>
        </w:rPr>
        <w:t>Objectif</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Etudier la prévalence de mutations ponctuelles et de grands réarrangements du gène AIP dans une population de patients atteints d’adénome hypophysaire (à prolactine, GH, mixte, non sécrétant, ACTH ou TSH).</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b/>
          <w:bCs/>
          <w:sz w:val="24"/>
          <w:szCs w:val="24"/>
          <w:lang w:eastAsia="fr-BE"/>
        </w:rPr>
        <w:t>Matériel et Méthodes</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Un séquençage complet du gène AIP a été réalisé sur 1411 patients entre 2006 et 2014 (les cas familiaux ont été exclus de l’étude). En cas de forte suspicion clinique, un MLPA (Multiplex Ligation-Dependent Probe Amplification) a été réalisé afin de visualiser les délétions ou duplications de grande taille.</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b/>
          <w:bCs/>
          <w:sz w:val="24"/>
          <w:szCs w:val="24"/>
          <w:lang w:eastAsia="fr-BE"/>
        </w:rPr>
        <w:t>Résultats</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Sur 1179 probands, 71 cas (5.9%) présentaient une mutation délétère (n=44, 3.7%) ou un variant de signification inconnue (n=27, 2.2%). La majorité des mutations se présentait sous forme de mutations faux-sens (36%), non-sens (33%), petites délétions (16%), grandes délétions (5%), synonymes (5%), et de perte du codon d’initiation (5%). 48% des mutations étaient situées dans l’exon 6, les autres étaient réparties sur les 5 exons restants. Les mutations R304X, R304Q et R271W semblent constituer un hotspot dans l’exon 6 (29% des mutations observées).</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b/>
          <w:bCs/>
          <w:sz w:val="24"/>
          <w:szCs w:val="24"/>
          <w:lang w:eastAsia="fr-BE"/>
        </w:rPr>
        <w:t>Discussion</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Malgré une situation préférentielle des mutations dans l’exon 6, le séquençage de l’intégralité du gène AIP reste nécessaire. Les grandes délétions sont rares, les grandes duplications absentes de notre étude, et posent la question de la restriction de l’analyse MLPA à des populations de patients ciblées (FIPA, gigantisme, adénomes pédiatriques..).</w:t>
      </w:r>
    </w:p>
    <w:p w:rsidR="009D0511" w:rsidRPr="009D0511" w:rsidRDefault="009D0511" w:rsidP="009D0511">
      <w:pPr>
        <w:spacing w:before="100" w:beforeAutospacing="1" w:after="100" w:afterAutospacing="1" w:line="240" w:lineRule="auto"/>
        <w:rPr>
          <w:rFonts w:ascii="Times New Roman" w:eastAsia="Times New Roman" w:hAnsi="Times New Roman" w:cs="Times New Roman"/>
          <w:sz w:val="24"/>
          <w:szCs w:val="24"/>
          <w:lang w:eastAsia="fr-BE"/>
        </w:rPr>
      </w:pPr>
      <w:r w:rsidRPr="009D0511">
        <w:rPr>
          <w:rFonts w:ascii="Times New Roman" w:eastAsia="Times New Roman" w:hAnsi="Times New Roman" w:cs="Times New Roman"/>
          <w:sz w:val="24"/>
          <w:szCs w:val="24"/>
          <w:lang w:eastAsia="fr-BE"/>
        </w:rPr>
        <w:t>L’auteur n’a pas transmis de déclaration de conflit d’intérêt.</w:t>
      </w:r>
    </w:p>
    <w:p w:rsidR="00B0167F" w:rsidRPr="009D0511" w:rsidRDefault="00B0167F" w:rsidP="009D0511">
      <w:bookmarkStart w:id="0" w:name="_GoBack"/>
      <w:bookmarkEnd w:id="0"/>
    </w:p>
    <w:sectPr w:rsidR="00B0167F" w:rsidRPr="009D0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A"/>
    <w:rsid w:val="00846FBE"/>
    <w:rsid w:val="009D0511"/>
    <w:rsid w:val="00B0167F"/>
    <w:rsid w:val="00FA2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B334-44E6-44E4-8DCA-47F8D90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esume">
    <w:name w:val="titr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uteurs">
    <w:name w:val="auteur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organismes">
    <w:name w:val="organisme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dresse">
    <w:name w:val="adress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eresume">
    <w:name w:val="text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FA21CA"/>
    <w:rPr>
      <w:i/>
      <w:iCs/>
    </w:rPr>
  </w:style>
  <w:style w:type="character" w:styleId="lev">
    <w:name w:val="Strong"/>
    <w:basedOn w:val="Policepardfaut"/>
    <w:uiPriority w:val="22"/>
    <w:qFormat/>
    <w:rsid w:val="00846FBE"/>
    <w:rPr>
      <w:b/>
      <w:bCs/>
    </w:rPr>
  </w:style>
  <w:style w:type="paragraph" w:styleId="NormalWeb">
    <w:name w:val="Normal (Web)"/>
    <w:basedOn w:val="Normal"/>
    <w:uiPriority w:val="99"/>
    <w:semiHidden/>
    <w:unhideWhenUsed/>
    <w:rsid w:val="00846FB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6779">
      <w:bodyDiv w:val="1"/>
      <w:marLeft w:val="0"/>
      <w:marRight w:val="0"/>
      <w:marTop w:val="0"/>
      <w:marBottom w:val="0"/>
      <w:divBdr>
        <w:top w:val="none" w:sz="0" w:space="0" w:color="auto"/>
        <w:left w:val="none" w:sz="0" w:space="0" w:color="auto"/>
        <w:bottom w:val="none" w:sz="0" w:space="0" w:color="auto"/>
        <w:right w:val="none" w:sz="0" w:space="0" w:color="auto"/>
      </w:divBdr>
      <w:divsChild>
        <w:div w:id="1321692759">
          <w:marLeft w:val="0"/>
          <w:marRight w:val="0"/>
          <w:marTop w:val="0"/>
          <w:marBottom w:val="0"/>
          <w:divBdr>
            <w:top w:val="none" w:sz="0" w:space="0" w:color="auto"/>
            <w:left w:val="none" w:sz="0" w:space="0" w:color="auto"/>
            <w:bottom w:val="none" w:sz="0" w:space="0" w:color="auto"/>
            <w:right w:val="none" w:sz="0" w:space="0" w:color="auto"/>
          </w:divBdr>
          <w:divsChild>
            <w:div w:id="460852037">
              <w:marLeft w:val="0"/>
              <w:marRight w:val="0"/>
              <w:marTop w:val="0"/>
              <w:marBottom w:val="0"/>
              <w:divBdr>
                <w:top w:val="none" w:sz="0" w:space="0" w:color="auto"/>
                <w:left w:val="none" w:sz="0" w:space="0" w:color="auto"/>
                <w:bottom w:val="none" w:sz="0" w:space="0" w:color="auto"/>
                <w:right w:val="none" w:sz="0" w:space="0" w:color="auto"/>
              </w:divBdr>
              <w:divsChild>
                <w:div w:id="1118721524">
                  <w:marLeft w:val="0"/>
                  <w:marRight w:val="0"/>
                  <w:marTop w:val="0"/>
                  <w:marBottom w:val="0"/>
                  <w:divBdr>
                    <w:top w:val="none" w:sz="0" w:space="0" w:color="auto"/>
                    <w:left w:val="none" w:sz="0" w:space="0" w:color="auto"/>
                    <w:bottom w:val="none" w:sz="0" w:space="0" w:color="auto"/>
                    <w:right w:val="none" w:sz="0" w:space="0" w:color="auto"/>
                  </w:divBdr>
                  <w:divsChild>
                    <w:div w:id="508298786">
                      <w:marLeft w:val="0"/>
                      <w:marRight w:val="0"/>
                      <w:marTop w:val="0"/>
                      <w:marBottom w:val="0"/>
                      <w:divBdr>
                        <w:top w:val="none" w:sz="0" w:space="0" w:color="auto"/>
                        <w:left w:val="none" w:sz="0" w:space="0" w:color="auto"/>
                        <w:bottom w:val="none" w:sz="0" w:space="0" w:color="auto"/>
                        <w:right w:val="none" w:sz="0" w:space="0" w:color="auto"/>
                      </w:divBdr>
                      <w:divsChild>
                        <w:div w:id="800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2489">
      <w:bodyDiv w:val="1"/>
      <w:marLeft w:val="0"/>
      <w:marRight w:val="0"/>
      <w:marTop w:val="0"/>
      <w:marBottom w:val="0"/>
      <w:divBdr>
        <w:top w:val="none" w:sz="0" w:space="0" w:color="auto"/>
        <w:left w:val="none" w:sz="0" w:space="0" w:color="auto"/>
        <w:bottom w:val="none" w:sz="0" w:space="0" w:color="auto"/>
        <w:right w:val="none" w:sz="0" w:space="0" w:color="auto"/>
      </w:divBdr>
      <w:divsChild>
        <w:div w:id="346366072">
          <w:marLeft w:val="0"/>
          <w:marRight w:val="0"/>
          <w:marTop w:val="0"/>
          <w:marBottom w:val="0"/>
          <w:divBdr>
            <w:top w:val="none" w:sz="0" w:space="0" w:color="auto"/>
            <w:left w:val="none" w:sz="0" w:space="0" w:color="auto"/>
            <w:bottom w:val="none" w:sz="0" w:space="0" w:color="auto"/>
            <w:right w:val="none" w:sz="0" w:space="0" w:color="auto"/>
          </w:divBdr>
          <w:divsChild>
            <w:div w:id="610748688">
              <w:marLeft w:val="0"/>
              <w:marRight w:val="0"/>
              <w:marTop w:val="0"/>
              <w:marBottom w:val="0"/>
              <w:divBdr>
                <w:top w:val="none" w:sz="0" w:space="0" w:color="auto"/>
                <w:left w:val="none" w:sz="0" w:space="0" w:color="auto"/>
                <w:bottom w:val="none" w:sz="0" w:space="0" w:color="auto"/>
                <w:right w:val="none" w:sz="0" w:space="0" w:color="auto"/>
              </w:divBdr>
              <w:divsChild>
                <w:div w:id="1352563461">
                  <w:marLeft w:val="0"/>
                  <w:marRight w:val="0"/>
                  <w:marTop w:val="0"/>
                  <w:marBottom w:val="0"/>
                  <w:divBdr>
                    <w:top w:val="none" w:sz="0" w:space="0" w:color="auto"/>
                    <w:left w:val="none" w:sz="0" w:space="0" w:color="auto"/>
                    <w:bottom w:val="none" w:sz="0" w:space="0" w:color="auto"/>
                    <w:right w:val="none" w:sz="0" w:space="0" w:color="auto"/>
                  </w:divBdr>
                  <w:divsChild>
                    <w:div w:id="1389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992">
      <w:bodyDiv w:val="1"/>
      <w:marLeft w:val="0"/>
      <w:marRight w:val="0"/>
      <w:marTop w:val="0"/>
      <w:marBottom w:val="0"/>
      <w:divBdr>
        <w:top w:val="none" w:sz="0" w:space="0" w:color="auto"/>
        <w:left w:val="none" w:sz="0" w:space="0" w:color="auto"/>
        <w:bottom w:val="none" w:sz="0" w:space="0" w:color="auto"/>
        <w:right w:val="none" w:sz="0" w:space="0" w:color="auto"/>
      </w:divBdr>
      <w:divsChild>
        <w:div w:id="355081657">
          <w:marLeft w:val="0"/>
          <w:marRight w:val="0"/>
          <w:marTop w:val="0"/>
          <w:marBottom w:val="0"/>
          <w:divBdr>
            <w:top w:val="none" w:sz="0" w:space="0" w:color="auto"/>
            <w:left w:val="none" w:sz="0" w:space="0" w:color="auto"/>
            <w:bottom w:val="none" w:sz="0" w:space="0" w:color="auto"/>
            <w:right w:val="none" w:sz="0" w:space="0" w:color="auto"/>
          </w:divBdr>
          <w:divsChild>
            <w:div w:id="967853285">
              <w:marLeft w:val="0"/>
              <w:marRight w:val="0"/>
              <w:marTop w:val="0"/>
              <w:marBottom w:val="0"/>
              <w:divBdr>
                <w:top w:val="none" w:sz="0" w:space="0" w:color="auto"/>
                <w:left w:val="none" w:sz="0" w:space="0" w:color="auto"/>
                <w:bottom w:val="none" w:sz="0" w:space="0" w:color="auto"/>
                <w:right w:val="none" w:sz="0" w:space="0" w:color="auto"/>
              </w:divBdr>
              <w:divsChild>
                <w:div w:id="1142848595">
                  <w:marLeft w:val="0"/>
                  <w:marRight w:val="0"/>
                  <w:marTop w:val="0"/>
                  <w:marBottom w:val="0"/>
                  <w:divBdr>
                    <w:top w:val="none" w:sz="0" w:space="0" w:color="auto"/>
                    <w:left w:val="none" w:sz="0" w:space="0" w:color="auto"/>
                    <w:bottom w:val="none" w:sz="0" w:space="0" w:color="auto"/>
                    <w:right w:val="none" w:sz="0" w:space="0" w:color="auto"/>
                  </w:divBdr>
                  <w:divsChild>
                    <w:div w:id="375660077">
                      <w:marLeft w:val="0"/>
                      <w:marRight w:val="0"/>
                      <w:marTop w:val="0"/>
                      <w:marBottom w:val="0"/>
                      <w:divBdr>
                        <w:top w:val="none" w:sz="0" w:space="0" w:color="auto"/>
                        <w:left w:val="none" w:sz="0" w:space="0" w:color="auto"/>
                        <w:bottom w:val="none" w:sz="0" w:space="0" w:color="auto"/>
                        <w:right w:val="none" w:sz="0" w:space="0" w:color="auto"/>
                      </w:divBdr>
                      <w:divsChild>
                        <w:div w:id="908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2</cp:revision>
  <dcterms:created xsi:type="dcterms:W3CDTF">2015-10-09T10:02:00Z</dcterms:created>
  <dcterms:modified xsi:type="dcterms:W3CDTF">2015-10-09T10:02:00Z</dcterms:modified>
</cp:coreProperties>
</file>