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4004"/>
      </w:tblGrid>
      <w:tr w:rsidR="00306630" w:rsidRPr="00306630" w:rsidTr="00306630">
        <w:trPr>
          <w:tblCellSpacing w:w="0" w:type="dxa"/>
          <w:jc w:val="center"/>
        </w:trPr>
        <w:tc>
          <w:tcPr>
            <w:tcW w:w="0" w:type="auto"/>
            <w:tcBorders>
              <w:top w:val="nil"/>
              <w:left w:val="nil"/>
              <w:bottom w:val="nil"/>
              <w:right w:val="nil"/>
            </w:tcBorders>
            <w:shd w:val="clear" w:color="auto" w:fill="FFFFFF"/>
            <w:vAlign w:val="center"/>
            <w:hideMark/>
          </w:tcPr>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11203"/>
            </w:tblGrid>
            <w:tr w:rsidR="00306630" w:rsidRPr="00306630">
              <w:trPr>
                <w:tblCellSpacing w:w="0" w:type="dxa"/>
                <w:jc w:val="center"/>
              </w:trPr>
              <w:tc>
                <w:tcPr>
                  <w:tcW w:w="0" w:type="auto"/>
                  <w:tcBorders>
                    <w:top w:val="nil"/>
                    <w:left w:val="nil"/>
                    <w:bottom w:val="nil"/>
                    <w:right w:val="nil"/>
                  </w:tcBorders>
                  <w:shd w:val="clear" w:color="auto" w:fill="FFFFFF"/>
                  <w:vAlign w:val="center"/>
                  <w:hideMark/>
                </w:tcPr>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r>
                    <w:rPr>
                      <w:rFonts w:ascii="Times New Roman" w:eastAsia="Times New Roman" w:hAnsi="Times New Roman" w:cs="Times New Roman"/>
                      <w:noProof/>
                      <w:color w:val="AA3300"/>
                      <w:spacing w:val="0"/>
                      <w:sz w:val="24"/>
                      <w:szCs w:val="24"/>
                      <w:lang w:eastAsia="fr-BE"/>
                    </w:rPr>
                    <w:drawing>
                      <wp:inline distT="0" distB="0" distL="0" distR="0" wp14:anchorId="10BE7437" wp14:editId="757D2005">
                        <wp:extent cx="4440555" cy="497205"/>
                        <wp:effectExtent l="0" t="0" r="0" b="0"/>
                        <wp:docPr id="1" name="Image 1" descr="Bryn Mawr Classical Revie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Mawr Classical Revie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0555" cy="497205"/>
                                </a:xfrm>
                                <a:prstGeom prst="rect">
                                  <a:avLst/>
                                </a:prstGeom>
                                <a:noFill/>
                                <a:ln>
                                  <a:noFill/>
                                </a:ln>
                              </pic:spPr>
                            </pic:pic>
                          </a:graphicData>
                        </a:graphic>
                      </wp:inline>
                    </w:drawing>
                  </w:r>
                </w:p>
              </w:tc>
            </w:tr>
          </w:tbl>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pict>
                <v:rect id="_x0000_i1025" style="width:0;height:1.5pt" o:hralign="center" o:hrstd="t" o:hr="t" fillcolor="#a0a0a0" stroked="f"/>
              </w:pic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11203"/>
            </w:tblGrid>
            <w:tr w:rsidR="00306630" w:rsidRPr="00306630">
              <w:trPr>
                <w:tblCellSpacing w:w="0" w:type="dxa"/>
                <w:jc w:val="center"/>
              </w:trPr>
              <w:tc>
                <w:tcPr>
                  <w:tcW w:w="0" w:type="auto"/>
                  <w:tcBorders>
                    <w:top w:val="nil"/>
                    <w:left w:val="nil"/>
                    <w:bottom w:val="nil"/>
                    <w:right w:val="nil"/>
                  </w:tcBorders>
                  <w:shd w:val="clear" w:color="auto" w:fill="FFFFFF"/>
                  <w:vAlign w:val="center"/>
                  <w:hideMark/>
                </w:tcPr>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hyperlink r:id="rId7" w:history="1">
                    <w:r w:rsidRPr="00306630">
                      <w:rPr>
                        <w:rFonts w:ascii="Times New Roman" w:eastAsia="Times New Roman" w:hAnsi="Times New Roman" w:cs="Times New Roman"/>
                        <w:color w:val="AA3300"/>
                        <w:spacing w:val="0"/>
                        <w:sz w:val="24"/>
                        <w:szCs w:val="24"/>
                        <w:u w:val="single"/>
                        <w:lang w:eastAsia="fr-BE"/>
                      </w:rPr>
                      <w:t>BMCR 2015.10.13</w:t>
                    </w:r>
                  </w:hyperlink>
                  <w:r w:rsidRPr="00306630">
                    <w:rPr>
                      <w:rFonts w:ascii="Times New Roman" w:eastAsia="Times New Roman" w:hAnsi="Times New Roman" w:cs="Times New Roman"/>
                      <w:spacing w:val="0"/>
                      <w:sz w:val="24"/>
                      <w:szCs w:val="24"/>
                      <w:lang w:eastAsia="fr-BE"/>
                    </w:rPr>
                    <w:t xml:space="preserve"> on the BMCR blog</w:t>
                  </w:r>
                </w:p>
              </w:tc>
            </w:tr>
          </w:tbl>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11203"/>
            </w:tblGrid>
            <w:tr w:rsidR="00306630" w:rsidRPr="00306630">
              <w:trPr>
                <w:tblCellSpacing w:w="0" w:type="dxa"/>
                <w:jc w:val="center"/>
              </w:trPr>
              <w:tc>
                <w:tcPr>
                  <w:tcW w:w="0" w:type="auto"/>
                  <w:tcBorders>
                    <w:top w:val="nil"/>
                    <w:left w:val="nil"/>
                    <w:bottom w:val="nil"/>
                    <w:right w:val="nil"/>
                  </w:tcBorders>
                  <w:shd w:val="clear" w:color="auto" w:fill="FFFFFF"/>
                  <w:vAlign w:val="center"/>
                  <w:hideMark/>
                </w:tcPr>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proofErr w:type="spellStart"/>
                  <w:r w:rsidRPr="00306630">
                    <w:rPr>
                      <w:rFonts w:ascii="Trebuchet MS" w:eastAsia="Times New Roman" w:hAnsi="Trebuchet MS" w:cs="Times New Roman"/>
                      <w:spacing w:val="0"/>
                      <w:sz w:val="27"/>
                      <w:szCs w:val="27"/>
                      <w:lang w:eastAsia="fr-BE"/>
                    </w:rPr>
                    <w:t>Bryn</w:t>
                  </w:r>
                  <w:proofErr w:type="spellEnd"/>
                  <w:r w:rsidRPr="00306630">
                    <w:rPr>
                      <w:rFonts w:ascii="Trebuchet MS" w:eastAsia="Times New Roman" w:hAnsi="Trebuchet MS" w:cs="Times New Roman"/>
                      <w:spacing w:val="0"/>
                      <w:sz w:val="27"/>
                      <w:szCs w:val="27"/>
                      <w:lang w:eastAsia="fr-BE"/>
                    </w:rPr>
                    <w:t xml:space="preserve"> </w:t>
                  </w:r>
                  <w:proofErr w:type="spellStart"/>
                  <w:r w:rsidRPr="00306630">
                    <w:rPr>
                      <w:rFonts w:ascii="Trebuchet MS" w:eastAsia="Times New Roman" w:hAnsi="Trebuchet MS" w:cs="Times New Roman"/>
                      <w:spacing w:val="0"/>
                      <w:sz w:val="27"/>
                      <w:szCs w:val="27"/>
                      <w:lang w:eastAsia="fr-BE"/>
                    </w:rPr>
                    <w:t>Mawr</w:t>
                  </w:r>
                  <w:proofErr w:type="spellEnd"/>
                  <w:r w:rsidRPr="00306630">
                    <w:rPr>
                      <w:rFonts w:ascii="Trebuchet MS" w:eastAsia="Times New Roman" w:hAnsi="Trebuchet MS" w:cs="Times New Roman"/>
                      <w:spacing w:val="0"/>
                      <w:sz w:val="27"/>
                      <w:szCs w:val="27"/>
                      <w:lang w:eastAsia="fr-BE"/>
                    </w:rPr>
                    <w:t xml:space="preserve"> </w:t>
                  </w:r>
                  <w:proofErr w:type="spellStart"/>
                  <w:r w:rsidRPr="00306630">
                    <w:rPr>
                      <w:rFonts w:ascii="Trebuchet MS" w:eastAsia="Times New Roman" w:hAnsi="Trebuchet MS" w:cs="Times New Roman"/>
                      <w:spacing w:val="0"/>
                      <w:sz w:val="27"/>
                      <w:szCs w:val="27"/>
                      <w:lang w:eastAsia="fr-BE"/>
                    </w:rPr>
                    <w:t>Classical</w:t>
                  </w:r>
                  <w:proofErr w:type="spellEnd"/>
                  <w:r w:rsidRPr="00306630">
                    <w:rPr>
                      <w:rFonts w:ascii="Trebuchet MS" w:eastAsia="Times New Roman" w:hAnsi="Trebuchet MS" w:cs="Times New Roman"/>
                      <w:spacing w:val="0"/>
                      <w:sz w:val="27"/>
                      <w:szCs w:val="27"/>
                      <w:lang w:eastAsia="fr-BE"/>
                    </w:rPr>
                    <w:t xml:space="preserve"> </w:t>
                  </w:r>
                  <w:proofErr w:type="spellStart"/>
                  <w:r w:rsidRPr="00306630">
                    <w:rPr>
                      <w:rFonts w:ascii="Trebuchet MS" w:eastAsia="Times New Roman" w:hAnsi="Trebuchet MS" w:cs="Times New Roman"/>
                      <w:spacing w:val="0"/>
                      <w:sz w:val="27"/>
                      <w:szCs w:val="27"/>
                      <w:lang w:eastAsia="fr-BE"/>
                    </w:rPr>
                    <w:t>Review</w:t>
                  </w:r>
                  <w:proofErr w:type="spellEnd"/>
                  <w:r w:rsidRPr="00306630">
                    <w:rPr>
                      <w:rFonts w:ascii="Trebuchet MS" w:eastAsia="Times New Roman" w:hAnsi="Trebuchet MS" w:cs="Times New Roman"/>
                      <w:spacing w:val="0"/>
                      <w:sz w:val="27"/>
                      <w:szCs w:val="27"/>
                      <w:lang w:eastAsia="fr-BE"/>
                    </w:rPr>
                    <w:t xml:space="preserve"> 2015.10.13</w:t>
                  </w:r>
                  <w:r w:rsidRPr="00306630">
                    <w:rPr>
                      <w:rFonts w:ascii="Times New Roman" w:eastAsia="Times New Roman" w:hAnsi="Times New Roman" w:cs="Times New Roman"/>
                      <w:spacing w:val="0"/>
                      <w:sz w:val="24"/>
                      <w:szCs w:val="24"/>
                      <w:lang w:eastAsia="fr-BE"/>
                    </w:rPr>
                    <w:t xml:space="preserve"> </w:t>
                  </w:r>
                </w:p>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pict>
                      <v:rect id="_x0000_i1026" style="width:0;height:1.5pt" o:hralign="center" o:hrstd="t" o:hr="t" fillcolor="#a0a0a0" stroked="f"/>
                    </w:pict>
                  </w:r>
                </w:p>
                <w:p w:rsidR="00306630" w:rsidRPr="00306630" w:rsidRDefault="00306630" w:rsidP="00306630">
                  <w:pPr>
                    <w:spacing w:before="100" w:beforeAutospacing="1" w:after="100" w:afterAutospacing="1"/>
                    <w:jc w:val="left"/>
                    <w:outlineLvl w:val="2"/>
                    <w:rPr>
                      <w:rFonts w:ascii="Times New Roman" w:eastAsia="Times New Roman" w:hAnsi="Times New Roman" w:cs="Times New Roman"/>
                      <w:b/>
                      <w:bCs/>
                      <w:spacing w:val="0"/>
                      <w:sz w:val="27"/>
                      <w:szCs w:val="27"/>
                      <w:lang w:eastAsia="fr-BE"/>
                    </w:rPr>
                  </w:pPr>
                  <w:r w:rsidRPr="00306630">
                    <w:rPr>
                      <w:rFonts w:ascii="Times New Roman" w:eastAsia="Times New Roman" w:hAnsi="Times New Roman" w:cs="Times New Roman"/>
                      <w:b/>
                      <w:bCs/>
                      <w:spacing w:val="0"/>
                      <w:sz w:val="27"/>
                      <w:szCs w:val="27"/>
                      <w:lang w:eastAsia="fr-BE"/>
                    </w:rPr>
                    <w:t xml:space="preserve">Peter </w:t>
                  </w:r>
                  <w:proofErr w:type="spellStart"/>
                  <w:r w:rsidRPr="00306630">
                    <w:rPr>
                      <w:rFonts w:ascii="Times New Roman" w:eastAsia="Times New Roman" w:hAnsi="Times New Roman" w:cs="Times New Roman"/>
                      <w:b/>
                      <w:bCs/>
                      <w:spacing w:val="0"/>
                      <w:sz w:val="27"/>
                      <w:szCs w:val="27"/>
                      <w:lang w:eastAsia="fr-BE"/>
                    </w:rPr>
                    <w:t>Funke</w:t>
                  </w:r>
                  <w:proofErr w:type="spellEnd"/>
                  <w:r w:rsidRPr="00306630">
                    <w:rPr>
                      <w:rFonts w:ascii="Times New Roman" w:eastAsia="Times New Roman" w:hAnsi="Times New Roman" w:cs="Times New Roman"/>
                      <w:b/>
                      <w:bCs/>
                      <w:spacing w:val="0"/>
                      <w:sz w:val="27"/>
                      <w:szCs w:val="27"/>
                      <w:lang w:eastAsia="fr-BE"/>
                    </w:rPr>
                    <w:t xml:space="preserve">, Matthias </w:t>
                  </w:r>
                  <w:proofErr w:type="spellStart"/>
                  <w:r w:rsidRPr="00306630">
                    <w:rPr>
                      <w:rFonts w:ascii="Times New Roman" w:eastAsia="Times New Roman" w:hAnsi="Times New Roman" w:cs="Times New Roman"/>
                      <w:b/>
                      <w:bCs/>
                      <w:spacing w:val="0"/>
                      <w:sz w:val="27"/>
                      <w:szCs w:val="27"/>
                      <w:lang w:eastAsia="fr-BE"/>
                    </w:rPr>
                    <w:t>Haake</w:t>
                  </w:r>
                  <w:proofErr w:type="spellEnd"/>
                  <w:r w:rsidRPr="00306630">
                    <w:rPr>
                      <w:rFonts w:ascii="Times New Roman" w:eastAsia="Times New Roman" w:hAnsi="Times New Roman" w:cs="Times New Roman"/>
                      <w:b/>
                      <w:bCs/>
                      <w:spacing w:val="0"/>
                      <w:sz w:val="27"/>
                      <w:szCs w:val="27"/>
                      <w:lang w:eastAsia="fr-BE"/>
                    </w:rPr>
                    <w:t xml:space="preserve"> (</w:t>
                  </w:r>
                  <w:proofErr w:type="spellStart"/>
                  <w:r w:rsidRPr="00306630">
                    <w:rPr>
                      <w:rFonts w:ascii="Times New Roman" w:eastAsia="Times New Roman" w:hAnsi="Times New Roman" w:cs="Times New Roman"/>
                      <w:b/>
                      <w:bCs/>
                      <w:spacing w:val="0"/>
                      <w:sz w:val="27"/>
                      <w:szCs w:val="27"/>
                      <w:lang w:eastAsia="fr-BE"/>
                    </w:rPr>
                    <w:t>ed</w:t>
                  </w:r>
                  <w:proofErr w:type="spellEnd"/>
                  <w:r w:rsidRPr="00306630">
                    <w:rPr>
                      <w:rFonts w:ascii="Times New Roman" w:eastAsia="Times New Roman" w:hAnsi="Times New Roman" w:cs="Times New Roman"/>
                      <w:b/>
                      <w:bCs/>
                      <w:spacing w:val="0"/>
                      <w:sz w:val="27"/>
                      <w:szCs w:val="27"/>
                      <w:lang w:eastAsia="fr-BE"/>
                    </w:rPr>
                    <w:t xml:space="preserve">.), </w:t>
                  </w:r>
                  <w:r w:rsidRPr="00306630">
                    <w:rPr>
                      <w:rFonts w:ascii="Times New Roman" w:eastAsia="Times New Roman" w:hAnsi="Times New Roman" w:cs="Times New Roman"/>
                      <w:b/>
                      <w:bCs/>
                      <w:i/>
                      <w:iCs/>
                      <w:spacing w:val="0"/>
                      <w:sz w:val="27"/>
                      <w:szCs w:val="27"/>
                      <w:lang w:eastAsia="fr-BE"/>
                    </w:rPr>
                    <w:t xml:space="preserve">Greek </w:t>
                  </w:r>
                  <w:proofErr w:type="spellStart"/>
                  <w:r w:rsidRPr="00306630">
                    <w:rPr>
                      <w:rFonts w:ascii="Times New Roman" w:eastAsia="Times New Roman" w:hAnsi="Times New Roman" w:cs="Times New Roman"/>
                      <w:b/>
                      <w:bCs/>
                      <w:i/>
                      <w:iCs/>
                      <w:spacing w:val="0"/>
                      <w:sz w:val="27"/>
                      <w:szCs w:val="27"/>
                      <w:lang w:eastAsia="fr-BE"/>
                    </w:rPr>
                    <w:t>Federal</w:t>
                  </w:r>
                  <w:proofErr w:type="spellEnd"/>
                  <w:r w:rsidRPr="00306630">
                    <w:rPr>
                      <w:rFonts w:ascii="Times New Roman" w:eastAsia="Times New Roman" w:hAnsi="Times New Roman" w:cs="Times New Roman"/>
                      <w:b/>
                      <w:bCs/>
                      <w:i/>
                      <w:iCs/>
                      <w:spacing w:val="0"/>
                      <w:sz w:val="27"/>
                      <w:szCs w:val="27"/>
                      <w:lang w:eastAsia="fr-BE"/>
                    </w:rPr>
                    <w:t xml:space="preserve"> States and </w:t>
                  </w:r>
                  <w:proofErr w:type="spellStart"/>
                  <w:r w:rsidRPr="00306630">
                    <w:rPr>
                      <w:rFonts w:ascii="Times New Roman" w:eastAsia="Times New Roman" w:hAnsi="Times New Roman" w:cs="Times New Roman"/>
                      <w:b/>
                      <w:bCs/>
                      <w:i/>
                      <w:iCs/>
                      <w:spacing w:val="0"/>
                      <w:sz w:val="27"/>
                      <w:szCs w:val="27"/>
                      <w:lang w:eastAsia="fr-BE"/>
                    </w:rPr>
                    <w:t>Their</w:t>
                  </w:r>
                  <w:proofErr w:type="spellEnd"/>
                  <w:r w:rsidRPr="00306630">
                    <w:rPr>
                      <w:rFonts w:ascii="Times New Roman" w:eastAsia="Times New Roman" w:hAnsi="Times New Roman" w:cs="Times New Roman"/>
                      <w:b/>
                      <w:bCs/>
                      <w:i/>
                      <w:iCs/>
                      <w:spacing w:val="0"/>
                      <w:sz w:val="27"/>
                      <w:szCs w:val="27"/>
                      <w:lang w:eastAsia="fr-BE"/>
                    </w:rPr>
                    <w:t xml:space="preserve"> </w:t>
                  </w:r>
                  <w:proofErr w:type="spellStart"/>
                  <w:r w:rsidRPr="00306630">
                    <w:rPr>
                      <w:rFonts w:ascii="Times New Roman" w:eastAsia="Times New Roman" w:hAnsi="Times New Roman" w:cs="Times New Roman"/>
                      <w:b/>
                      <w:bCs/>
                      <w:i/>
                      <w:iCs/>
                      <w:spacing w:val="0"/>
                      <w:sz w:val="27"/>
                      <w:szCs w:val="27"/>
                      <w:lang w:eastAsia="fr-BE"/>
                    </w:rPr>
                    <w:t>Sanctuaries</w:t>
                  </w:r>
                  <w:proofErr w:type="spellEnd"/>
                  <w:r w:rsidRPr="00306630">
                    <w:rPr>
                      <w:rFonts w:ascii="Times New Roman" w:eastAsia="Times New Roman" w:hAnsi="Times New Roman" w:cs="Times New Roman"/>
                      <w:b/>
                      <w:bCs/>
                      <w:i/>
                      <w:iCs/>
                      <w:spacing w:val="0"/>
                      <w:sz w:val="27"/>
                      <w:szCs w:val="27"/>
                      <w:lang w:eastAsia="fr-BE"/>
                    </w:rPr>
                    <w:t xml:space="preserve">. </w:t>
                  </w:r>
                  <w:proofErr w:type="spellStart"/>
                  <w:r w:rsidRPr="00306630">
                    <w:rPr>
                      <w:rFonts w:ascii="Times New Roman" w:eastAsia="Times New Roman" w:hAnsi="Times New Roman" w:cs="Times New Roman"/>
                      <w:b/>
                      <w:bCs/>
                      <w:i/>
                      <w:iCs/>
                      <w:spacing w:val="0"/>
                      <w:sz w:val="27"/>
                      <w:szCs w:val="27"/>
                      <w:lang w:eastAsia="fr-BE"/>
                    </w:rPr>
                    <w:t>Identity</w:t>
                  </w:r>
                  <w:proofErr w:type="spellEnd"/>
                  <w:r w:rsidRPr="00306630">
                    <w:rPr>
                      <w:rFonts w:ascii="Times New Roman" w:eastAsia="Times New Roman" w:hAnsi="Times New Roman" w:cs="Times New Roman"/>
                      <w:b/>
                      <w:bCs/>
                      <w:i/>
                      <w:iCs/>
                      <w:spacing w:val="0"/>
                      <w:sz w:val="27"/>
                      <w:szCs w:val="27"/>
                      <w:lang w:eastAsia="fr-BE"/>
                    </w:rPr>
                    <w:t xml:space="preserve"> and </w:t>
                  </w:r>
                  <w:proofErr w:type="spellStart"/>
                  <w:r w:rsidRPr="00306630">
                    <w:rPr>
                      <w:rFonts w:ascii="Times New Roman" w:eastAsia="Times New Roman" w:hAnsi="Times New Roman" w:cs="Times New Roman"/>
                      <w:b/>
                      <w:bCs/>
                      <w:i/>
                      <w:iCs/>
                      <w:spacing w:val="0"/>
                      <w:sz w:val="27"/>
                      <w:szCs w:val="27"/>
                      <w:lang w:eastAsia="fr-BE"/>
                    </w:rPr>
                    <w:t>Integration</w:t>
                  </w:r>
                  <w:proofErr w:type="spellEnd"/>
                  <w:r w:rsidRPr="00306630">
                    <w:rPr>
                      <w:rFonts w:ascii="Times New Roman" w:eastAsia="Times New Roman" w:hAnsi="Times New Roman" w:cs="Times New Roman"/>
                      <w:b/>
                      <w:bCs/>
                      <w:i/>
                      <w:iCs/>
                      <w:spacing w:val="0"/>
                      <w:sz w:val="27"/>
                      <w:szCs w:val="27"/>
                      <w:lang w:eastAsia="fr-BE"/>
                    </w:rPr>
                    <w:t xml:space="preserve">. </w:t>
                  </w:r>
                  <w:proofErr w:type="spellStart"/>
                  <w:r w:rsidRPr="00306630">
                    <w:rPr>
                      <w:rFonts w:ascii="Times New Roman" w:eastAsia="Times New Roman" w:hAnsi="Times New Roman" w:cs="Times New Roman"/>
                      <w:b/>
                      <w:bCs/>
                      <w:i/>
                      <w:iCs/>
                      <w:spacing w:val="0"/>
                      <w:sz w:val="27"/>
                      <w:szCs w:val="27"/>
                      <w:lang w:eastAsia="fr-BE"/>
                    </w:rPr>
                    <w:t>Proceedings</w:t>
                  </w:r>
                  <w:proofErr w:type="spellEnd"/>
                  <w:r w:rsidRPr="00306630">
                    <w:rPr>
                      <w:rFonts w:ascii="Times New Roman" w:eastAsia="Times New Roman" w:hAnsi="Times New Roman" w:cs="Times New Roman"/>
                      <w:b/>
                      <w:bCs/>
                      <w:i/>
                      <w:iCs/>
                      <w:spacing w:val="0"/>
                      <w:sz w:val="27"/>
                      <w:szCs w:val="27"/>
                      <w:lang w:eastAsia="fr-BE"/>
                    </w:rPr>
                    <w:t xml:space="preserve"> of an International </w:t>
                  </w:r>
                  <w:proofErr w:type="spellStart"/>
                  <w:r w:rsidRPr="00306630">
                    <w:rPr>
                      <w:rFonts w:ascii="Times New Roman" w:eastAsia="Times New Roman" w:hAnsi="Times New Roman" w:cs="Times New Roman"/>
                      <w:b/>
                      <w:bCs/>
                      <w:i/>
                      <w:iCs/>
                      <w:spacing w:val="0"/>
                      <w:sz w:val="27"/>
                      <w:szCs w:val="27"/>
                      <w:lang w:eastAsia="fr-BE"/>
                    </w:rPr>
                    <w:t>Conference</w:t>
                  </w:r>
                  <w:proofErr w:type="spellEnd"/>
                  <w:r w:rsidRPr="00306630">
                    <w:rPr>
                      <w:rFonts w:ascii="Times New Roman" w:eastAsia="Times New Roman" w:hAnsi="Times New Roman" w:cs="Times New Roman"/>
                      <w:b/>
                      <w:bCs/>
                      <w:i/>
                      <w:iCs/>
                      <w:spacing w:val="0"/>
                      <w:sz w:val="27"/>
                      <w:szCs w:val="27"/>
                      <w:lang w:eastAsia="fr-BE"/>
                    </w:rPr>
                    <w:t xml:space="preserve"> of the Cluster of Excellence “Religion and </w:t>
                  </w:r>
                  <w:proofErr w:type="spellStart"/>
                  <w:r w:rsidRPr="00306630">
                    <w:rPr>
                      <w:rFonts w:ascii="Times New Roman" w:eastAsia="Times New Roman" w:hAnsi="Times New Roman" w:cs="Times New Roman"/>
                      <w:b/>
                      <w:bCs/>
                      <w:i/>
                      <w:iCs/>
                      <w:spacing w:val="0"/>
                      <w:sz w:val="27"/>
                      <w:szCs w:val="27"/>
                      <w:lang w:eastAsia="fr-BE"/>
                    </w:rPr>
                    <w:t>Politics</w:t>
                  </w:r>
                  <w:proofErr w:type="spellEnd"/>
                  <w:r w:rsidRPr="00306630">
                    <w:rPr>
                      <w:rFonts w:ascii="Times New Roman" w:eastAsia="Times New Roman" w:hAnsi="Times New Roman" w:cs="Times New Roman"/>
                      <w:b/>
                      <w:bCs/>
                      <w:i/>
                      <w:iCs/>
                      <w:spacing w:val="0"/>
                      <w:sz w:val="27"/>
                      <w:szCs w:val="27"/>
                      <w:lang w:eastAsia="fr-BE"/>
                    </w:rPr>
                    <w:t xml:space="preserve">” </w:t>
                  </w:r>
                  <w:proofErr w:type="spellStart"/>
                  <w:r w:rsidRPr="00306630">
                    <w:rPr>
                      <w:rFonts w:ascii="Times New Roman" w:eastAsia="Times New Roman" w:hAnsi="Times New Roman" w:cs="Times New Roman"/>
                      <w:b/>
                      <w:bCs/>
                      <w:i/>
                      <w:iCs/>
                      <w:spacing w:val="0"/>
                      <w:sz w:val="27"/>
                      <w:szCs w:val="27"/>
                      <w:lang w:eastAsia="fr-BE"/>
                    </w:rPr>
                    <w:t>Held</w:t>
                  </w:r>
                  <w:proofErr w:type="spellEnd"/>
                  <w:r w:rsidRPr="00306630">
                    <w:rPr>
                      <w:rFonts w:ascii="Times New Roman" w:eastAsia="Times New Roman" w:hAnsi="Times New Roman" w:cs="Times New Roman"/>
                      <w:b/>
                      <w:bCs/>
                      <w:i/>
                      <w:iCs/>
                      <w:spacing w:val="0"/>
                      <w:sz w:val="27"/>
                      <w:szCs w:val="27"/>
                      <w:lang w:eastAsia="fr-BE"/>
                    </w:rPr>
                    <w:t xml:space="preserve"> in Münster, 17.06. – 19.06.2010</w:t>
                  </w:r>
                  <w:r w:rsidRPr="00306630">
                    <w:rPr>
                      <w:rFonts w:ascii="Times New Roman" w:eastAsia="Times New Roman" w:hAnsi="Times New Roman" w:cs="Times New Roman"/>
                      <w:b/>
                      <w:bCs/>
                      <w:spacing w:val="0"/>
                      <w:sz w:val="27"/>
                      <w:szCs w:val="27"/>
                      <w:lang w:eastAsia="fr-BE"/>
                    </w:rPr>
                    <w:t>.   Stuttgart</w:t>
                  </w:r>
                  <w:proofErr w:type="gramStart"/>
                  <w:r w:rsidRPr="00306630">
                    <w:rPr>
                      <w:rFonts w:ascii="Times New Roman" w:eastAsia="Times New Roman" w:hAnsi="Times New Roman" w:cs="Times New Roman"/>
                      <w:b/>
                      <w:bCs/>
                      <w:spacing w:val="0"/>
                      <w:sz w:val="27"/>
                      <w:szCs w:val="27"/>
                      <w:lang w:eastAsia="fr-BE"/>
                    </w:rPr>
                    <w:t>:  Frank</w:t>
                  </w:r>
                  <w:proofErr w:type="gramEnd"/>
                  <w:r w:rsidRPr="00306630">
                    <w:rPr>
                      <w:rFonts w:ascii="Times New Roman" w:eastAsia="Times New Roman" w:hAnsi="Times New Roman" w:cs="Times New Roman"/>
                      <w:b/>
                      <w:bCs/>
                      <w:spacing w:val="0"/>
                      <w:sz w:val="27"/>
                      <w:szCs w:val="27"/>
                      <w:lang w:eastAsia="fr-BE"/>
                    </w:rPr>
                    <w:t xml:space="preserve"> Steiner </w:t>
                  </w:r>
                  <w:proofErr w:type="spellStart"/>
                  <w:r w:rsidRPr="00306630">
                    <w:rPr>
                      <w:rFonts w:ascii="Times New Roman" w:eastAsia="Times New Roman" w:hAnsi="Times New Roman" w:cs="Times New Roman"/>
                      <w:b/>
                      <w:bCs/>
                      <w:spacing w:val="0"/>
                      <w:sz w:val="27"/>
                      <w:szCs w:val="27"/>
                      <w:lang w:eastAsia="fr-BE"/>
                    </w:rPr>
                    <w:t>Verlag</w:t>
                  </w:r>
                  <w:proofErr w:type="spellEnd"/>
                  <w:r w:rsidRPr="00306630">
                    <w:rPr>
                      <w:rFonts w:ascii="Times New Roman" w:eastAsia="Times New Roman" w:hAnsi="Times New Roman" w:cs="Times New Roman"/>
                      <w:b/>
                      <w:bCs/>
                      <w:spacing w:val="0"/>
                      <w:sz w:val="27"/>
                      <w:szCs w:val="27"/>
                      <w:lang w:eastAsia="fr-BE"/>
                    </w:rPr>
                    <w:t>, 2013.  Pp. 244.  ISBN 9783515103077.  €54.00 (</w:t>
                  </w:r>
                  <w:proofErr w:type="spellStart"/>
                  <w:r w:rsidRPr="00306630">
                    <w:rPr>
                      <w:rFonts w:ascii="Times New Roman" w:eastAsia="Times New Roman" w:hAnsi="Times New Roman" w:cs="Times New Roman"/>
                      <w:b/>
                      <w:bCs/>
                      <w:spacing w:val="0"/>
                      <w:sz w:val="27"/>
                      <w:szCs w:val="27"/>
                      <w:lang w:eastAsia="fr-BE"/>
                    </w:rPr>
                    <w:t>pb</w:t>
                  </w:r>
                  <w:proofErr w:type="spellEnd"/>
                  <w:r w:rsidRPr="00306630">
                    <w:rPr>
                      <w:rFonts w:ascii="Times New Roman" w:eastAsia="Times New Roman" w:hAnsi="Times New Roman" w:cs="Times New Roman"/>
                      <w:b/>
                      <w:bCs/>
                      <w:spacing w:val="0"/>
                      <w:sz w:val="27"/>
                      <w:szCs w:val="27"/>
                      <w:lang w:eastAsia="fr-BE"/>
                    </w:rPr>
                    <w:t xml:space="preserve">).   </w:t>
                  </w:r>
                </w:p>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br/>
                  </w:r>
                  <w:proofErr w:type="spellStart"/>
                  <w:r w:rsidRPr="00306630">
                    <w:rPr>
                      <w:rFonts w:ascii="Times New Roman" w:eastAsia="Times New Roman" w:hAnsi="Times New Roman" w:cs="Times New Roman"/>
                      <w:b/>
                      <w:bCs/>
                      <w:spacing w:val="0"/>
                      <w:sz w:val="24"/>
                      <w:szCs w:val="24"/>
                      <w:lang w:eastAsia="fr-BE"/>
                    </w:rPr>
                    <w:t>Reviewed</w:t>
                  </w:r>
                  <w:proofErr w:type="spellEnd"/>
                  <w:r w:rsidRPr="00306630">
                    <w:rPr>
                      <w:rFonts w:ascii="Times New Roman" w:eastAsia="Times New Roman" w:hAnsi="Times New Roman" w:cs="Times New Roman"/>
                      <w:b/>
                      <w:bCs/>
                      <w:spacing w:val="0"/>
                      <w:sz w:val="24"/>
                      <w:szCs w:val="24"/>
                      <w:lang w:eastAsia="fr-BE"/>
                    </w:rPr>
                    <w:t xml:space="preserve"> by Vinciane Pirenne-Delforge, Fonds de la Recherche Scientifique – FNRS (</w:t>
                  </w:r>
                  <w:proofErr w:type="spellStart"/>
                  <w:r w:rsidRPr="00306630">
                    <w:rPr>
                      <w:rFonts w:ascii="Times New Roman" w:eastAsia="Times New Roman" w:hAnsi="Times New Roman" w:cs="Times New Roman"/>
                      <w:b/>
                      <w:bCs/>
                      <w:spacing w:val="0"/>
                      <w:sz w:val="24"/>
                      <w:szCs w:val="24"/>
                      <w:lang w:eastAsia="fr-BE"/>
                    </w:rPr>
                    <w:t>Belgium</w:t>
                  </w:r>
                  <w:proofErr w:type="spellEnd"/>
                  <w:r w:rsidRPr="00306630">
                    <w:rPr>
                      <w:rFonts w:ascii="Times New Roman" w:eastAsia="Times New Roman" w:hAnsi="Times New Roman" w:cs="Times New Roman"/>
                      <w:b/>
                      <w:bCs/>
                      <w:spacing w:val="0"/>
                      <w:sz w:val="24"/>
                      <w:szCs w:val="24"/>
                      <w:lang w:eastAsia="fr-BE"/>
                    </w:rPr>
                    <w:t xml:space="preserve">) – </w:t>
                  </w:r>
                  <w:proofErr w:type="spellStart"/>
                  <w:r w:rsidRPr="00306630">
                    <w:rPr>
                      <w:rFonts w:ascii="Times New Roman" w:eastAsia="Times New Roman" w:hAnsi="Times New Roman" w:cs="Times New Roman"/>
                      <w:b/>
                      <w:bCs/>
                      <w:spacing w:val="0"/>
                      <w:sz w:val="24"/>
                      <w:szCs w:val="24"/>
                      <w:lang w:eastAsia="fr-BE"/>
                    </w:rPr>
                    <w:t>University</w:t>
                  </w:r>
                  <w:proofErr w:type="spellEnd"/>
                  <w:r w:rsidRPr="00306630">
                    <w:rPr>
                      <w:rFonts w:ascii="Times New Roman" w:eastAsia="Times New Roman" w:hAnsi="Times New Roman" w:cs="Times New Roman"/>
                      <w:b/>
                      <w:bCs/>
                      <w:spacing w:val="0"/>
                      <w:sz w:val="24"/>
                      <w:szCs w:val="24"/>
                      <w:lang w:eastAsia="fr-BE"/>
                    </w:rPr>
                    <w:t xml:space="preserve"> of Liège (v.pirenne@ulg.ac.be)</w:t>
                  </w: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hyperlink r:id="rId8" w:history="1">
                    <w:r w:rsidRPr="00306630">
                      <w:rPr>
                        <w:rFonts w:ascii="Times New Roman" w:eastAsia="Times New Roman" w:hAnsi="Times New Roman" w:cs="Times New Roman"/>
                        <w:color w:val="AA3300"/>
                        <w:spacing w:val="0"/>
                        <w:sz w:val="24"/>
                        <w:szCs w:val="24"/>
                        <w:u w:val="single"/>
                        <w:lang w:eastAsia="fr-BE"/>
                      </w:rPr>
                      <w:t>Table of Contents</w:t>
                    </w:r>
                  </w:hyperlink>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t xml:space="preserve">Depuis </w:t>
                  </w:r>
                  <w:r w:rsidRPr="00306630">
                    <w:rPr>
                      <w:rFonts w:ascii="Times New Roman" w:eastAsia="Times New Roman" w:hAnsi="Times New Roman" w:cs="Times New Roman"/>
                      <w:i/>
                      <w:iCs/>
                      <w:spacing w:val="0"/>
                      <w:sz w:val="24"/>
                      <w:szCs w:val="24"/>
                      <w:lang w:eastAsia="fr-BE"/>
                    </w:rPr>
                    <w:t>La Cité antique</w:t>
                  </w:r>
                  <w:r w:rsidRPr="00306630">
                    <w:rPr>
                      <w:rFonts w:ascii="Times New Roman" w:eastAsia="Times New Roman" w:hAnsi="Times New Roman" w:cs="Times New Roman"/>
                      <w:spacing w:val="0"/>
                      <w:sz w:val="24"/>
                      <w:szCs w:val="24"/>
                      <w:lang w:eastAsia="fr-BE"/>
                    </w:rPr>
                    <w:t xml:space="preserve"> de Fustel de Coulanges, au moins, nous savons qu’il est impossible d’étudier la cité sans prendre en considération les données religieuses liées à tous les aspects de son développement et de son existence. C’est ce qu’a bien montré, plus d’un siècle après </w:t>
                  </w:r>
                  <w:r w:rsidRPr="00306630">
                    <w:rPr>
                      <w:rFonts w:ascii="Times New Roman" w:eastAsia="Times New Roman" w:hAnsi="Times New Roman" w:cs="Times New Roman"/>
                      <w:i/>
                      <w:iCs/>
                      <w:spacing w:val="0"/>
                      <w:sz w:val="24"/>
                      <w:szCs w:val="24"/>
                      <w:lang w:eastAsia="fr-BE"/>
                    </w:rPr>
                    <w:t>La Cité antique</w:t>
                  </w:r>
                  <w:r w:rsidRPr="00306630">
                    <w:rPr>
                      <w:rFonts w:ascii="Times New Roman" w:eastAsia="Times New Roman" w:hAnsi="Times New Roman" w:cs="Times New Roman"/>
                      <w:spacing w:val="0"/>
                      <w:sz w:val="24"/>
                      <w:szCs w:val="24"/>
                      <w:lang w:eastAsia="fr-BE"/>
                    </w:rPr>
                    <w:t xml:space="preserve">, la thèse de François de Polignac : ce brillant ouvrage mettait en quelque sorte à jour le point de vue de Fustel, du côté grec, en montrant le rôle crucial des sanctuaires et des cultes qui s’y pratiquaient dans le cadre de l’émergence de la </w:t>
                  </w:r>
                  <w:r w:rsidRPr="00306630">
                    <w:rPr>
                      <w:rFonts w:ascii="Times New Roman" w:eastAsia="Times New Roman" w:hAnsi="Times New Roman" w:cs="Times New Roman"/>
                      <w:i/>
                      <w:iCs/>
                      <w:spacing w:val="0"/>
                      <w:sz w:val="24"/>
                      <w:szCs w:val="24"/>
                      <w:lang w:eastAsia="fr-BE"/>
                    </w:rPr>
                    <w:t>polis</w:t>
                  </w:r>
                  <w:r w:rsidRPr="00306630">
                    <w:rPr>
                      <w:rFonts w:ascii="Times New Roman" w:eastAsia="Times New Roman" w:hAnsi="Times New Roman" w:cs="Times New Roman"/>
                      <w:spacing w:val="0"/>
                      <w:sz w:val="24"/>
                      <w:szCs w:val="24"/>
                      <w:lang w:eastAsia="fr-BE"/>
                    </w:rPr>
                    <w:t xml:space="preserve">. Dans le même temps, Christiane </w:t>
                  </w:r>
                  <w:proofErr w:type="spellStart"/>
                  <w:r w:rsidRPr="00306630">
                    <w:rPr>
                      <w:rFonts w:ascii="Times New Roman" w:eastAsia="Times New Roman" w:hAnsi="Times New Roman" w:cs="Times New Roman"/>
                      <w:spacing w:val="0"/>
                      <w:sz w:val="24"/>
                      <w:szCs w:val="24"/>
                      <w:lang w:eastAsia="fr-BE"/>
                    </w:rPr>
                    <w:t>Sourvinou</w:t>
                  </w:r>
                  <w:proofErr w:type="spellEnd"/>
                  <w:r w:rsidRPr="00306630">
                    <w:rPr>
                      <w:rFonts w:ascii="Times New Roman" w:eastAsia="Times New Roman" w:hAnsi="Times New Roman" w:cs="Times New Roman"/>
                      <w:spacing w:val="0"/>
                      <w:sz w:val="24"/>
                      <w:szCs w:val="24"/>
                      <w:lang w:eastAsia="fr-BE"/>
                    </w:rPr>
                    <w:t xml:space="preserve">-Inwood créait le terme de </w:t>
                  </w:r>
                  <w:r w:rsidRPr="00306630">
                    <w:rPr>
                      <w:rFonts w:ascii="Times New Roman" w:eastAsia="Times New Roman" w:hAnsi="Times New Roman" w:cs="Times New Roman"/>
                      <w:i/>
                      <w:iCs/>
                      <w:spacing w:val="0"/>
                      <w:sz w:val="24"/>
                      <w:szCs w:val="24"/>
                      <w:lang w:eastAsia="fr-BE"/>
                    </w:rPr>
                    <w:t>polis religion</w:t>
                  </w:r>
                  <w:r w:rsidRPr="00306630">
                    <w:rPr>
                      <w:rFonts w:ascii="Times New Roman" w:eastAsia="Times New Roman" w:hAnsi="Times New Roman" w:cs="Times New Roman"/>
                      <w:spacing w:val="0"/>
                      <w:sz w:val="24"/>
                      <w:szCs w:val="24"/>
                      <w:lang w:eastAsia="fr-BE"/>
                    </w:rPr>
                    <w:t xml:space="preserve"> pour désigner de façon commode cette imbrication entre politique et religion reconnue de longue date.</w:t>
                  </w:r>
                  <w:bookmarkStart w:id="0" w:name="t1"/>
                  <w:bookmarkEnd w:id="0"/>
                  <w:r w:rsidRPr="00306630">
                    <w:rPr>
                      <w:rFonts w:ascii="Times New Roman" w:eastAsia="Times New Roman" w:hAnsi="Times New Roman" w:cs="Times New Roman"/>
                      <w:spacing w:val="0"/>
                      <w:sz w:val="24"/>
                      <w:szCs w:val="24"/>
                      <w:lang w:eastAsia="fr-BE"/>
                    </w:rPr>
                    <w:fldChar w:fldCharType="begin"/>
                  </w:r>
                  <w:r w:rsidRPr="00306630">
                    <w:rPr>
                      <w:rFonts w:ascii="Times New Roman" w:eastAsia="Times New Roman" w:hAnsi="Times New Roman" w:cs="Times New Roman"/>
                      <w:spacing w:val="0"/>
                      <w:sz w:val="24"/>
                      <w:szCs w:val="24"/>
                      <w:lang w:eastAsia="fr-BE"/>
                    </w:rPr>
                    <w:instrText xml:space="preserve"> HYPERLINK "http://bmcr.brynmawr.edu/2015/2015-10-13.html" \l "n1" </w:instrText>
                  </w:r>
                  <w:r w:rsidRPr="00306630">
                    <w:rPr>
                      <w:rFonts w:ascii="Times New Roman" w:eastAsia="Times New Roman" w:hAnsi="Times New Roman" w:cs="Times New Roman"/>
                      <w:spacing w:val="0"/>
                      <w:sz w:val="24"/>
                      <w:szCs w:val="24"/>
                      <w:lang w:eastAsia="fr-BE"/>
                    </w:rPr>
                    <w:fldChar w:fldCharType="separate"/>
                  </w:r>
                  <w:r w:rsidRPr="00306630">
                    <w:rPr>
                      <w:rFonts w:ascii="Times New Roman" w:eastAsia="Times New Roman" w:hAnsi="Times New Roman" w:cs="Times New Roman"/>
                      <w:color w:val="AA3300"/>
                      <w:spacing w:val="0"/>
                      <w:sz w:val="24"/>
                      <w:szCs w:val="24"/>
                      <w:u w:val="single"/>
                      <w:lang w:eastAsia="fr-BE"/>
                    </w:rPr>
                    <w:t>1</w:t>
                  </w:r>
                  <w:r w:rsidRPr="00306630">
                    <w:rPr>
                      <w:rFonts w:ascii="Times New Roman" w:eastAsia="Times New Roman" w:hAnsi="Times New Roman" w:cs="Times New Roman"/>
                      <w:spacing w:val="0"/>
                      <w:sz w:val="24"/>
                      <w:szCs w:val="24"/>
                      <w:lang w:eastAsia="fr-BE"/>
                    </w:rPr>
                    <w:fldChar w:fldCharType="end"/>
                  </w:r>
                  <w:r w:rsidRPr="00306630">
                    <w:rPr>
                      <w:rFonts w:ascii="Times New Roman" w:eastAsia="Times New Roman" w:hAnsi="Times New Roman" w:cs="Times New Roman"/>
                      <w:spacing w:val="0"/>
                      <w:sz w:val="24"/>
                      <w:szCs w:val="24"/>
                      <w:lang w:eastAsia="fr-BE"/>
                    </w:rPr>
                    <w:t xml:space="preserve"> Les nombreux débats que continuent d’alimenter tant le livre de Fr. de Polignac que les articles de Chr. </w:t>
                  </w:r>
                  <w:proofErr w:type="spellStart"/>
                  <w:r w:rsidRPr="00306630">
                    <w:rPr>
                      <w:rFonts w:ascii="Times New Roman" w:eastAsia="Times New Roman" w:hAnsi="Times New Roman" w:cs="Times New Roman"/>
                      <w:spacing w:val="0"/>
                      <w:sz w:val="24"/>
                      <w:szCs w:val="24"/>
                      <w:lang w:eastAsia="fr-BE"/>
                    </w:rPr>
                    <w:t>Sourvinou</w:t>
                  </w:r>
                  <w:proofErr w:type="spellEnd"/>
                  <w:r w:rsidRPr="00306630">
                    <w:rPr>
                      <w:rFonts w:ascii="Times New Roman" w:eastAsia="Times New Roman" w:hAnsi="Times New Roman" w:cs="Times New Roman"/>
                      <w:spacing w:val="0"/>
                      <w:sz w:val="24"/>
                      <w:szCs w:val="24"/>
                      <w:lang w:eastAsia="fr-BE"/>
                    </w:rPr>
                    <w:t xml:space="preserve">-Inwood attestent la très grande actualité de ces questionnements et les enjeux épistémologiques qu’ils engagent pour notre compréhension des dynamiques à l’œuvre dans le monde des </w:t>
                  </w:r>
                  <w:proofErr w:type="spellStart"/>
                  <w:r w:rsidRPr="00306630">
                    <w:rPr>
                      <w:rFonts w:ascii="Times New Roman" w:eastAsia="Times New Roman" w:hAnsi="Times New Roman" w:cs="Times New Roman"/>
                      <w:i/>
                      <w:iCs/>
                      <w:spacing w:val="0"/>
                      <w:sz w:val="24"/>
                      <w:szCs w:val="24"/>
                      <w:lang w:eastAsia="fr-BE"/>
                    </w:rPr>
                    <w:t>poleis</w:t>
                  </w:r>
                  <w:proofErr w:type="spellEnd"/>
                  <w:r w:rsidRPr="00306630">
                    <w:rPr>
                      <w:rFonts w:ascii="Times New Roman" w:eastAsia="Times New Roman" w:hAnsi="Times New Roman" w:cs="Times New Roman"/>
                      <w:spacing w:val="0"/>
                      <w:sz w:val="24"/>
                      <w:szCs w:val="24"/>
                      <w:lang w:eastAsia="fr-BE"/>
                    </w:rPr>
                    <w:t xml:space="preserve">, des </w:t>
                  </w:r>
                  <w:proofErr w:type="spellStart"/>
                  <w:r w:rsidRPr="00306630">
                    <w:rPr>
                      <w:rFonts w:ascii="Times New Roman" w:eastAsia="Times New Roman" w:hAnsi="Times New Roman" w:cs="Times New Roman"/>
                      <w:i/>
                      <w:iCs/>
                      <w:spacing w:val="0"/>
                      <w:sz w:val="24"/>
                      <w:szCs w:val="24"/>
                      <w:lang w:eastAsia="fr-BE"/>
                    </w:rPr>
                    <w:t>ethnê</w:t>
                  </w:r>
                  <w:proofErr w:type="spellEnd"/>
                  <w:r w:rsidRPr="00306630">
                    <w:rPr>
                      <w:rFonts w:ascii="Times New Roman" w:eastAsia="Times New Roman" w:hAnsi="Times New Roman" w:cs="Times New Roman"/>
                      <w:spacing w:val="0"/>
                      <w:sz w:val="24"/>
                      <w:szCs w:val="24"/>
                      <w:lang w:eastAsia="fr-BE"/>
                    </w:rPr>
                    <w:t xml:space="preserve"> et des </w:t>
                  </w:r>
                  <w:proofErr w:type="spellStart"/>
                  <w:r w:rsidRPr="00306630">
                    <w:rPr>
                      <w:rFonts w:ascii="Times New Roman" w:eastAsia="Times New Roman" w:hAnsi="Times New Roman" w:cs="Times New Roman"/>
                      <w:i/>
                      <w:iCs/>
                      <w:spacing w:val="0"/>
                      <w:sz w:val="24"/>
                      <w:szCs w:val="24"/>
                      <w:lang w:eastAsia="fr-BE"/>
                    </w:rPr>
                    <w:t>koina</w:t>
                  </w:r>
                  <w:proofErr w:type="spellEnd"/>
                  <w:r w:rsidRPr="00306630">
                    <w:rPr>
                      <w:rFonts w:ascii="Times New Roman" w:eastAsia="Times New Roman" w:hAnsi="Times New Roman" w:cs="Times New Roman"/>
                      <w:spacing w:val="0"/>
                      <w:sz w:val="24"/>
                      <w:szCs w:val="24"/>
                      <w:lang w:eastAsia="fr-BE"/>
                    </w:rPr>
                    <w:t xml:space="preserve"> grecs.</w:t>
                  </w:r>
                </w:p>
                <w:p w:rsid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bookmarkStart w:id="1" w:name="_GoBack"/>
                  <w:bookmarkEnd w:id="1"/>
                  <w:r w:rsidRPr="00306630">
                    <w:rPr>
                      <w:rFonts w:ascii="Times New Roman" w:eastAsia="Times New Roman" w:hAnsi="Times New Roman" w:cs="Times New Roman"/>
                      <w:spacing w:val="0"/>
                      <w:sz w:val="24"/>
                      <w:szCs w:val="24"/>
                      <w:lang w:eastAsia="fr-BE"/>
                    </w:rPr>
                    <w:t xml:space="preserve">Une même préoccupation traverse l’ouvrage collectif publié par Peter </w:t>
                  </w:r>
                  <w:proofErr w:type="spellStart"/>
                  <w:r w:rsidRPr="00306630">
                    <w:rPr>
                      <w:rFonts w:ascii="Times New Roman" w:eastAsia="Times New Roman" w:hAnsi="Times New Roman" w:cs="Times New Roman"/>
                      <w:spacing w:val="0"/>
                      <w:sz w:val="24"/>
                      <w:szCs w:val="24"/>
                      <w:lang w:eastAsia="fr-BE"/>
                    </w:rPr>
                    <w:t>Funke</w:t>
                  </w:r>
                  <w:proofErr w:type="spellEnd"/>
                  <w:r w:rsidRPr="00306630">
                    <w:rPr>
                      <w:rFonts w:ascii="Times New Roman" w:eastAsia="Times New Roman" w:hAnsi="Times New Roman" w:cs="Times New Roman"/>
                      <w:spacing w:val="0"/>
                      <w:sz w:val="24"/>
                      <w:szCs w:val="24"/>
                      <w:lang w:eastAsia="fr-BE"/>
                    </w:rPr>
                    <w:t xml:space="preserve"> et Matthias </w:t>
                  </w:r>
                  <w:proofErr w:type="spellStart"/>
                  <w:r w:rsidRPr="00306630">
                    <w:rPr>
                      <w:rFonts w:ascii="Times New Roman" w:eastAsia="Times New Roman" w:hAnsi="Times New Roman" w:cs="Times New Roman"/>
                      <w:spacing w:val="0"/>
                      <w:sz w:val="24"/>
                      <w:szCs w:val="24"/>
                      <w:lang w:eastAsia="fr-BE"/>
                    </w:rPr>
                    <w:t>Haake</w:t>
                  </w:r>
                  <w:proofErr w:type="spellEnd"/>
                  <w:r w:rsidRPr="00306630">
                    <w:rPr>
                      <w:rFonts w:ascii="Times New Roman" w:eastAsia="Times New Roman" w:hAnsi="Times New Roman" w:cs="Times New Roman"/>
                      <w:spacing w:val="0"/>
                      <w:sz w:val="24"/>
                      <w:szCs w:val="24"/>
                      <w:lang w:eastAsia="fr-BE"/>
                    </w:rPr>
                    <w:t xml:space="preserve">, en posant un troisième terme qui rompt la dichotomie, commode mais réductrice, des niveaux « local » et « panhellénique » de l’activité politique et religieuse des Grecs. Ce troisième terme est le niveau régional, voire transrégional, de cette activité, qui peut – ou non – s’inscrire dans le cadre plus officiel d’une fédération, un </w:t>
                  </w:r>
                  <w:proofErr w:type="spellStart"/>
                  <w:r w:rsidRPr="00306630">
                    <w:rPr>
                      <w:rFonts w:ascii="Times New Roman" w:eastAsia="Times New Roman" w:hAnsi="Times New Roman" w:cs="Times New Roman"/>
                      <w:i/>
                      <w:iCs/>
                      <w:spacing w:val="0"/>
                      <w:sz w:val="24"/>
                      <w:szCs w:val="24"/>
                      <w:lang w:eastAsia="fr-BE"/>
                    </w:rPr>
                    <w:t>koinon</w:t>
                  </w:r>
                  <w:proofErr w:type="spellEnd"/>
                  <w:r w:rsidRPr="00306630">
                    <w:rPr>
                      <w:rFonts w:ascii="Times New Roman" w:eastAsia="Times New Roman" w:hAnsi="Times New Roman" w:cs="Times New Roman"/>
                      <w:spacing w:val="0"/>
                      <w:sz w:val="24"/>
                      <w:szCs w:val="24"/>
                      <w:lang w:eastAsia="fr-BE"/>
                    </w:rPr>
                    <w:t xml:space="preserve">. Comme l’indique Peter </w:t>
                  </w:r>
                  <w:proofErr w:type="spellStart"/>
                  <w:r w:rsidRPr="00306630">
                    <w:rPr>
                      <w:rFonts w:ascii="Times New Roman" w:eastAsia="Times New Roman" w:hAnsi="Times New Roman" w:cs="Times New Roman"/>
                      <w:spacing w:val="0"/>
                      <w:sz w:val="24"/>
                      <w:szCs w:val="24"/>
                      <w:lang w:eastAsia="fr-BE"/>
                    </w:rPr>
                    <w:t>Funke</w:t>
                  </w:r>
                  <w:proofErr w:type="spellEnd"/>
                  <w:r w:rsidRPr="00306630">
                    <w:rPr>
                      <w:rFonts w:ascii="Times New Roman" w:eastAsia="Times New Roman" w:hAnsi="Times New Roman" w:cs="Times New Roman"/>
                      <w:spacing w:val="0"/>
                      <w:sz w:val="24"/>
                      <w:szCs w:val="24"/>
                      <w:lang w:eastAsia="fr-BE"/>
                    </w:rPr>
                    <w:t xml:space="preserve"> dès l’introduction, « the </w:t>
                  </w:r>
                  <w:proofErr w:type="spellStart"/>
                  <w:r w:rsidRPr="00306630">
                    <w:rPr>
                      <w:rFonts w:ascii="Times New Roman" w:eastAsia="Times New Roman" w:hAnsi="Times New Roman" w:cs="Times New Roman"/>
                      <w:spacing w:val="0"/>
                      <w:sz w:val="24"/>
                      <w:szCs w:val="24"/>
                      <w:lang w:eastAsia="fr-BE"/>
                    </w:rPr>
                    <w:t>polarity</w:t>
                  </w:r>
                  <w:proofErr w:type="spellEnd"/>
                  <w:r w:rsidRPr="00306630">
                    <w:rPr>
                      <w:rFonts w:ascii="Times New Roman" w:eastAsia="Times New Roman" w:hAnsi="Times New Roman" w:cs="Times New Roman"/>
                      <w:spacing w:val="0"/>
                      <w:sz w:val="24"/>
                      <w:szCs w:val="24"/>
                      <w:lang w:eastAsia="fr-BE"/>
                    </w:rPr>
                    <w:t xml:space="preserve"> ‘local/</w:t>
                  </w:r>
                  <w:proofErr w:type="spellStart"/>
                  <w:r w:rsidRPr="00306630">
                    <w:rPr>
                      <w:rFonts w:ascii="Times New Roman" w:eastAsia="Times New Roman" w:hAnsi="Times New Roman" w:cs="Times New Roman"/>
                      <w:spacing w:val="0"/>
                      <w:sz w:val="24"/>
                      <w:szCs w:val="24"/>
                      <w:lang w:eastAsia="fr-BE"/>
                    </w:rPr>
                    <w:t>panhellenic</w:t>
                  </w:r>
                  <w:proofErr w:type="spellEnd"/>
                  <w:r w:rsidRPr="00306630">
                    <w:rPr>
                      <w:rFonts w:ascii="Times New Roman" w:eastAsia="Times New Roman" w:hAnsi="Times New Roman" w:cs="Times New Roman"/>
                      <w:spacing w:val="0"/>
                      <w:sz w:val="24"/>
                      <w:szCs w:val="24"/>
                      <w:lang w:eastAsia="fr-BE"/>
                    </w:rPr>
                    <w:t xml:space="preserve">’ </w:t>
                  </w:r>
                  <w:proofErr w:type="spellStart"/>
                  <w:r w:rsidRPr="00306630">
                    <w:rPr>
                      <w:rFonts w:ascii="Times New Roman" w:eastAsia="Times New Roman" w:hAnsi="Times New Roman" w:cs="Times New Roman"/>
                      <w:spacing w:val="0"/>
                      <w:sz w:val="24"/>
                      <w:szCs w:val="24"/>
                      <w:lang w:eastAsia="fr-BE"/>
                    </w:rPr>
                    <w:t>does</w:t>
                  </w:r>
                  <w:proofErr w:type="spellEnd"/>
                  <w:r w:rsidRPr="00306630">
                    <w:rPr>
                      <w:rFonts w:ascii="Times New Roman" w:eastAsia="Times New Roman" w:hAnsi="Times New Roman" w:cs="Times New Roman"/>
                      <w:spacing w:val="0"/>
                      <w:sz w:val="24"/>
                      <w:szCs w:val="24"/>
                      <w:lang w:eastAsia="fr-BE"/>
                    </w:rPr>
                    <w:t xml:space="preserve"> not </w:t>
                  </w:r>
                  <w:proofErr w:type="spellStart"/>
                  <w:r w:rsidRPr="00306630">
                    <w:rPr>
                      <w:rFonts w:ascii="Times New Roman" w:eastAsia="Times New Roman" w:hAnsi="Times New Roman" w:cs="Times New Roman"/>
                      <w:spacing w:val="0"/>
                      <w:sz w:val="24"/>
                      <w:szCs w:val="24"/>
                      <w:lang w:eastAsia="fr-BE"/>
                    </w:rPr>
                    <w:t>suffice</w:t>
                  </w:r>
                  <w:proofErr w:type="spellEnd"/>
                  <w:r w:rsidRPr="00306630">
                    <w:rPr>
                      <w:rFonts w:ascii="Times New Roman" w:eastAsia="Times New Roman" w:hAnsi="Times New Roman" w:cs="Times New Roman"/>
                      <w:spacing w:val="0"/>
                      <w:sz w:val="24"/>
                      <w:szCs w:val="24"/>
                      <w:lang w:eastAsia="fr-BE"/>
                    </w:rPr>
                    <w:t xml:space="preserve"> to </w:t>
                  </w:r>
                  <w:proofErr w:type="spellStart"/>
                  <w:r w:rsidRPr="00306630">
                    <w:rPr>
                      <w:rFonts w:ascii="Times New Roman" w:eastAsia="Times New Roman" w:hAnsi="Times New Roman" w:cs="Times New Roman"/>
                      <w:spacing w:val="0"/>
                      <w:sz w:val="24"/>
                      <w:szCs w:val="24"/>
                      <w:lang w:eastAsia="fr-BE"/>
                    </w:rPr>
                    <w:t>grasp</w:t>
                  </w:r>
                  <w:proofErr w:type="spellEnd"/>
                  <w:r w:rsidRPr="00306630">
                    <w:rPr>
                      <w:rFonts w:ascii="Times New Roman" w:eastAsia="Times New Roman" w:hAnsi="Times New Roman" w:cs="Times New Roman"/>
                      <w:spacing w:val="0"/>
                      <w:sz w:val="24"/>
                      <w:szCs w:val="24"/>
                      <w:lang w:eastAsia="fr-BE"/>
                    </w:rPr>
                    <w:t xml:space="preserve"> the </w:t>
                  </w:r>
                  <w:proofErr w:type="spellStart"/>
                  <w:r w:rsidRPr="00306630">
                    <w:rPr>
                      <w:rFonts w:ascii="Times New Roman" w:eastAsia="Times New Roman" w:hAnsi="Times New Roman" w:cs="Times New Roman"/>
                      <w:spacing w:val="0"/>
                      <w:sz w:val="24"/>
                      <w:szCs w:val="24"/>
                      <w:lang w:eastAsia="fr-BE"/>
                    </w:rPr>
                    <w:t>wide</w:t>
                  </w:r>
                  <w:proofErr w:type="spellEnd"/>
                  <w:r w:rsidRPr="00306630">
                    <w:rPr>
                      <w:rFonts w:ascii="Times New Roman" w:eastAsia="Times New Roman" w:hAnsi="Times New Roman" w:cs="Times New Roman"/>
                      <w:spacing w:val="0"/>
                      <w:sz w:val="24"/>
                      <w:szCs w:val="24"/>
                      <w:lang w:eastAsia="fr-BE"/>
                    </w:rPr>
                    <w:t xml:space="preserve"> range of influence </w:t>
                  </w:r>
                  <w:proofErr w:type="spellStart"/>
                  <w:r w:rsidRPr="00306630">
                    <w:rPr>
                      <w:rFonts w:ascii="Times New Roman" w:eastAsia="Times New Roman" w:hAnsi="Times New Roman" w:cs="Times New Roman"/>
                      <w:spacing w:val="0"/>
                      <w:sz w:val="24"/>
                      <w:szCs w:val="24"/>
                      <w:lang w:eastAsia="fr-BE"/>
                    </w:rPr>
                    <w:t>generated</w:t>
                  </w:r>
                  <w:proofErr w:type="spellEnd"/>
                  <w:r w:rsidRPr="00306630">
                    <w:rPr>
                      <w:rFonts w:ascii="Times New Roman" w:eastAsia="Times New Roman" w:hAnsi="Times New Roman" w:cs="Times New Roman"/>
                      <w:spacing w:val="0"/>
                      <w:sz w:val="24"/>
                      <w:szCs w:val="24"/>
                      <w:lang w:eastAsia="fr-BE"/>
                    </w:rPr>
                    <w:t xml:space="preserve"> by </w:t>
                  </w:r>
                  <w:proofErr w:type="spellStart"/>
                  <w:r w:rsidRPr="00306630">
                    <w:rPr>
                      <w:rFonts w:ascii="Times New Roman" w:eastAsia="Times New Roman" w:hAnsi="Times New Roman" w:cs="Times New Roman"/>
                      <w:spacing w:val="0"/>
                      <w:sz w:val="24"/>
                      <w:szCs w:val="24"/>
                      <w:lang w:eastAsia="fr-BE"/>
                    </w:rPr>
                    <w:t>trans-regional</w:t>
                  </w:r>
                  <w:proofErr w:type="spellEnd"/>
                  <w:r w:rsidRPr="00306630">
                    <w:rPr>
                      <w:rFonts w:ascii="Times New Roman" w:eastAsia="Times New Roman" w:hAnsi="Times New Roman" w:cs="Times New Roman"/>
                      <w:spacing w:val="0"/>
                      <w:sz w:val="24"/>
                      <w:szCs w:val="24"/>
                      <w:lang w:eastAsia="fr-BE"/>
                    </w:rPr>
                    <w:t xml:space="preserve"> </w:t>
                  </w:r>
                  <w:proofErr w:type="spellStart"/>
                  <w:r w:rsidRPr="00306630">
                    <w:rPr>
                      <w:rFonts w:ascii="Times New Roman" w:eastAsia="Times New Roman" w:hAnsi="Times New Roman" w:cs="Times New Roman"/>
                      <w:spacing w:val="0"/>
                      <w:sz w:val="24"/>
                      <w:szCs w:val="24"/>
                      <w:lang w:eastAsia="fr-BE"/>
                    </w:rPr>
                    <w:t>sanctuaries</w:t>
                  </w:r>
                  <w:proofErr w:type="spellEnd"/>
                  <w:r w:rsidRPr="00306630">
                    <w:rPr>
                      <w:rFonts w:ascii="Times New Roman" w:eastAsia="Times New Roman" w:hAnsi="Times New Roman" w:cs="Times New Roman"/>
                      <w:spacing w:val="0"/>
                      <w:sz w:val="24"/>
                      <w:szCs w:val="24"/>
                      <w:lang w:eastAsia="fr-BE"/>
                    </w:rPr>
                    <w:t xml:space="preserve"> » (p. 9). Selon les moments ou les occasions, un même sanctuaire peut accueillir des rituels purement locaux, qu’ils soient civiques ou moins officiels, des démarches régionales, panhelléniques, ou même internationales, comme le dépôt d’offrandes à Delphes par Crésus de Lydie. Selon les aléas de l’histoire des communautés qui le fréquentent, un même sanctuaire peut aussi changer de statut ou faire l’objet de revendications contradictoires.</w:t>
                  </w: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t xml:space="preserve">C’est une telle complexité que les différents auteurs des essais ici rassemblés tentent de circonscrire et d’analyser, en se concentrant sur des « fédérations » plus ou moins bien connues selon les cas. Le sous-titre du volume « </w:t>
                  </w:r>
                  <w:proofErr w:type="spellStart"/>
                  <w:r w:rsidRPr="00306630">
                    <w:rPr>
                      <w:rFonts w:ascii="Times New Roman" w:eastAsia="Times New Roman" w:hAnsi="Times New Roman" w:cs="Times New Roman"/>
                      <w:spacing w:val="0"/>
                      <w:sz w:val="24"/>
                      <w:szCs w:val="24"/>
                      <w:lang w:eastAsia="fr-BE"/>
                    </w:rPr>
                    <w:t>Identity</w:t>
                  </w:r>
                  <w:proofErr w:type="spellEnd"/>
                  <w:r w:rsidRPr="00306630">
                    <w:rPr>
                      <w:rFonts w:ascii="Times New Roman" w:eastAsia="Times New Roman" w:hAnsi="Times New Roman" w:cs="Times New Roman"/>
                      <w:spacing w:val="0"/>
                      <w:sz w:val="24"/>
                      <w:szCs w:val="24"/>
                      <w:lang w:eastAsia="fr-BE"/>
                    </w:rPr>
                    <w:t xml:space="preserve"> and </w:t>
                  </w:r>
                  <w:proofErr w:type="spellStart"/>
                  <w:r w:rsidRPr="00306630">
                    <w:rPr>
                      <w:rFonts w:ascii="Times New Roman" w:eastAsia="Times New Roman" w:hAnsi="Times New Roman" w:cs="Times New Roman"/>
                      <w:spacing w:val="0"/>
                      <w:sz w:val="24"/>
                      <w:szCs w:val="24"/>
                      <w:lang w:eastAsia="fr-BE"/>
                    </w:rPr>
                    <w:t>Integration</w:t>
                  </w:r>
                  <w:proofErr w:type="spellEnd"/>
                  <w:r w:rsidRPr="00306630">
                    <w:rPr>
                      <w:rFonts w:ascii="Times New Roman" w:eastAsia="Times New Roman" w:hAnsi="Times New Roman" w:cs="Times New Roman"/>
                      <w:spacing w:val="0"/>
                      <w:sz w:val="24"/>
                      <w:szCs w:val="24"/>
                      <w:lang w:eastAsia="fr-BE"/>
                    </w:rPr>
                    <w:t xml:space="preserve"> » identifie les deux questions mises à l’agenda de la rencontre qui est à l’origine de la publication : 1/ quel(s) rôle(s) ont joué les sanctuaires dans l’intégration politique des états fédéraux grecs ? 2/ de quelle(s) manière(s) ont-ils assuré l’identité des fédérations en question ? À plus long terme, l’objectif de l’enquête est de mieux comprendre la relation qui se joue entre religion et politique sur le plan </w:t>
                  </w:r>
                  <w:proofErr w:type="spellStart"/>
                  <w:r w:rsidRPr="00306630">
                    <w:rPr>
                      <w:rFonts w:ascii="Times New Roman" w:eastAsia="Times New Roman" w:hAnsi="Times New Roman" w:cs="Times New Roman"/>
                      <w:spacing w:val="0"/>
                      <w:sz w:val="24"/>
                      <w:szCs w:val="24"/>
                      <w:lang w:eastAsia="fr-BE"/>
                    </w:rPr>
                    <w:t>trans-régional</w:t>
                  </w:r>
                  <w:proofErr w:type="spellEnd"/>
                  <w:r w:rsidRPr="00306630">
                    <w:rPr>
                      <w:rFonts w:ascii="Times New Roman" w:eastAsia="Times New Roman" w:hAnsi="Times New Roman" w:cs="Times New Roman"/>
                      <w:spacing w:val="0"/>
                      <w:sz w:val="24"/>
                      <w:szCs w:val="24"/>
                      <w:lang w:eastAsia="fr-BE"/>
                    </w:rPr>
                    <w:t>, mais aussi d’éclairer les interactions de ces données à l’intérieur des cités elles-mêmes.</w:t>
                  </w: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t xml:space="preserve">Les diverses fédérations étudiées n’ont pas le même statut et le degré de détail auquel on peut prétendre pour les connaître est loin d’être uniforme. Ainsi, les cas de Thermos pour l’Étolie (P. </w:t>
                  </w:r>
                  <w:proofErr w:type="spellStart"/>
                  <w:r w:rsidRPr="00306630">
                    <w:rPr>
                      <w:rFonts w:ascii="Times New Roman" w:eastAsia="Times New Roman" w:hAnsi="Times New Roman" w:cs="Times New Roman"/>
                      <w:spacing w:val="0"/>
                      <w:sz w:val="24"/>
                      <w:szCs w:val="24"/>
                      <w:lang w:eastAsia="fr-BE"/>
                    </w:rPr>
                    <w:t>Funke</w:t>
                  </w:r>
                  <w:proofErr w:type="spellEnd"/>
                  <w:r w:rsidRPr="00306630">
                    <w:rPr>
                      <w:rFonts w:ascii="Times New Roman" w:eastAsia="Times New Roman" w:hAnsi="Times New Roman" w:cs="Times New Roman"/>
                      <w:spacing w:val="0"/>
                      <w:sz w:val="24"/>
                      <w:szCs w:val="24"/>
                      <w:lang w:eastAsia="fr-BE"/>
                    </w:rPr>
                    <w:t>) et d’</w:t>
                  </w:r>
                  <w:proofErr w:type="spellStart"/>
                  <w:r w:rsidRPr="00306630">
                    <w:rPr>
                      <w:rFonts w:ascii="Times New Roman" w:eastAsia="Times New Roman" w:hAnsi="Times New Roman" w:cs="Times New Roman"/>
                      <w:spacing w:val="0"/>
                      <w:sz w:val="24"/>
                      <w:szCs w:val="24"/>
                      <w:lang w:eastAsia="fr-BE"/>
                    </w:rPr>
                    <w:t>Aigion</w:t>
                  </w:r>
                  <w:proofErr w:type="spellEnd"/>
                  <w:r w:rsidRPr="00306630">
                    <w:rPr>
                      <w:rFonts w:ascii="Times New Roman" w:eastAsia="Times New Roman" w:hAnsi="Times New Roman" w:cs="Times New Roman"/>
                      <w:spacing w:val="0"/>
                      <w:sz w:val="24"/>
                      <w:szCs w:val="24"/>
                      <w:lang w:eastAsia="fr-BE"/>
                    </w:rPr>
                    <w:t xml:space="preserve"> pour l’Achaïe (A. </w:t>
                  </w:r>
                  <w:proofErr w:type="spellStart"/>
                  <w:r w:rsidRPr="00306630">
                    <w:rPr>
                      <w:rFonts w:ascii="Times New Roman" w:eastAsia="Times New Roman" w:hAnsi="Times New Roman" w:cs="Times New Roman"/>
                      <w:spacing w:val="0"/>
                      <w:sz w:val="24"/>
                      <w:szCs w:val="24"/>
                      <w:lang w:eastAsia="fr-BE"/>
                    </w:rPr>
                    <w:t>Rizakis</w:t>
                  </w:r>
                  <w:proofErr w:type="spellEnd"/>
                  <w:r w:rsidRPr="00306630">
                    <w:rPr>
                      <w:rFonts w:ascii="Times New Roman" w:eastAsia="Times New Roman" w:hAnsi="Times New Roman" w:cs="Times New Roman"/>
                      <w:spacing w:val="0"/>
                      <w:sz w:val="24"/>
                      <w:szCs w:val="24"/>
                      <w:lang w:eastAsia="fr-BE"/>
                    </w:rPr>
                    <w:t xml:space="preserve">) sont des cas presque « prototypiques » de sanctuaires fédéraux qui ont pu contribuer à l’intégration et l’identité des communautés qui s’y rassemblaient, même si de lourdes incertitudes continuent de peser sur la chronologie de certains processus. Au cas achéen se relie celui des cités d’Italie du Sud qui se revendiquaient d’une ascendance « achéenne », même si l’identité d’un sanctuaire fédéral reste débattue, entre le sanctuaire non identifié de Zeus </w:t>
                  </w:r>
                  <w:proofErr w:type="spellStart"/>
                  <w:r w:rsidRPr="00306630">
                    <w:rPr>
                      <w:rFonts w:ascii="Times New Roman" w:eastAsia="Times New Roman" w:hAnsi="Times New Roman" w:cs="Times New Roman"/>
                      <w:spacing w:val="0"/>
                      <w:sz w:val="24"/>
                      <w:szCs w:val="24"/>
                      <w:lang w:eastAsia="fr-BE"/>
                    </w:rPr>
                    <w:t>Homarios</w:t>
                  </w:r>
                  <w:proofErr w:type="spellEnd"/>
                  <w:r w:rsidRPr="00306630">
                    <w:rPr>
                      <w:rFonts w:ascii="Times New Roman" w:eastAsia="Times New Roman" w:hAnsi="Times New Roman" w:cs="Times New Roman"/>
                      <w:spacing w:val="0"/>
                      <w:sz w:val="24"/>
                      <w:szCs w:val="24"/>
                      <w:lang w:eastAsia="fr-BE"/>
                    </w:rPr>
                    <w:t xml:space="preserve"> et le célèbre téménos d’Héra </w:t>
                  </w:r>
                  <w:proofErr w:type="spellStart"/>
                  <w:r w:rsidRPr="00306630">
                    <w:rPr>
                      <w:rFonts w:ascii="Times New Roman" w:eastAsia="Times New Roman" w:hAnsi="Times New Roman" w:cs="Times New Roman"/>
                      <w:spacing w:val="0"/>
                      <w:sz w:val="24"/>
                      <w:szCs w:val="24"/>
                      <w:lang w:eastAsia="fr-BE"/>
                    </w:rPr>
                    <w:t>Lakinia</w:t>
                  </w:r>
                  <w:proofErr w:type="spellEnd"/>
                  <w:r w:rsidRPr="00306630">
                    <w:rPr>
                      <w:rFonts w:ascii="Times New Roman" w:eastAsia="Times New Roman" w:hAnsi="Times New Roman" w:cs="Times New Roman"/>
                      <w:spacing w:val="0"/>
                      <w:sz w:val="24"/>
                      <w:szCs w:val="24"/>
                      <w:lang w:eastAsia="fr-BE"/>
                    </w:rPr>
                    <w:t xml:space="preserve"> (M.P. Fronda). L’exemple d’Olympie (J. Roy), à partir du VIe siècle et la mainmise d’Élis, est tout aussi paradigmatique en termes d’identité et d’intégration, entre la cité qui l’administre et les Grecs qui s’y rassemblent périodiquement. À l’autre extrémité du spectre se trouvent des regroupements que l’on qualifie de « fédérations » par commodité, mais dont les attestations ne sont guère explicites et dont l’ancrage dans des sanctuaires précis est peu ou mal documenté. Le cas des fédérations insulaires étudié par </w:t>
                  </w:r>
                  <w:r w:rsidRPr="00306630">
                    <w:rPr>
                      <w:rFonts w:ascii="Times New Roman" w:eastAsia="Times New Roman" w:hAnsi="Times New Roman" w:cs="Times New Roman"/>
                      <w:spacing w:val="0"/>
                      <w:sz w:val="24"/>
                      <w:szCs w:val="24"/>
                      <w:lang w:eastAsia="fr-BE"/>
                    </w:rPr>
                    <w:lastRenderedPageBreak/>
                    <w:t xml:space="preserve">K. </w:t>
                  </w:r>
                  <w:proofErr w:type="spellStart"/>
                  <w:r w:rsidRPr="00306630">
                    <w:rPr>
                      <w:rFonts w:ascii="Times New Roman" w:eastAsia="Times New Roman" w:hAnsi="Times New Roman" w:cs="Times New Roman"/>
                      <w:spacing w:val="0"/>
                      <w:sz w:val="24"/>
                      <w:szCs w:val="24"/>
                      <w:lang w:eastAsia="fr-BE"/>
                    </w:rPr>
                    <w:t>Buraselis</w:t>
                  </w:r>
                  <w:proofErr w:type="spellEnd"/>
                  <w:r w:rsidRPr="00306630">
                    <w:rPr>
                      <w:rFonts w:ascii="Times New Roman" w:eastAsia="Times New Roman" w:hAnsi="Times New Roman" w:cs="Times New Roman"/>
                      <w:spacing w:val="0"/>
                      <w:sz w:val="24"/>
                      <w:szCs w:val="24"/>
                      <w:lang w:eastAsia="fr-BE"/>
                    </w:rPr>
                    <w:t xml:space="preserve"> est contrasté : les </w:t>
                  </w:r>
                  <w:proofErr w:type="spellStart"/>
                  <w:r w:rsidRPr="00306630">
                    <w:rPr>
                      <w:rFonts w:ascii="Times New Roman" w:eastAsia="Times New Roman" w:hAnsi="Times New Roman" w:cs="Times New Roman"/>
                      <w:spacing w:val="0"/>
                      <w:sz w:val="24"/>
                      <w:szCs w:val="24"/>
                      <w:lang w:eastAsia="fr-BE"/>
                    </w:rPr>
                    <w:t>Nésiotes</w:t>
                  </w:r>
                  <w:proofErr w:type="spellEnd"/>
                  <w:r w:rsidRPr="00306630">
                    <w:rPr>
                      <w:rFonts w:ascii="Times New Roman" w:eastAsia="Times New Roman" w:hAnsi="Times New Roman" w:cs="Times New Roman"/>
                      <w:spacing w:val="0"/>
                      <w:sz w:val="24"/>
                      <w:szCs w:val="24"/>
                      <w:lang w:eastAsia="fr-BE"/>
                    </w:rPr>
                    <w:t xml:space="preserve"> et les Lesbiens ont une consistance rituelle (avec l’Apollon délien pour les premiers et le sanctuaire de « </w:t>
                  </w:r>
                  <w:proofErr w:type="spellStart"/>
                  <w:r w:rsidRPr="00306630">
                    <w:rPr>
                      <w:rFonts w:ascii="Times New Roman" w:eastAsia="Times New Roman" w:hAnsi="Times New Roman" w:cs="Times New Roman"/>
                      <w:spacing w:val="0"/>
                      <w:sz w:val="24"/>
                      <w:szCs w:val="24"/>
                      <w:lang w:eastAsia="fr-BE"/>
                    </w:rPr>
                    <w:t>Messa</w:t>
                  </w:r>
                  <w:proofErr w:type="spellEnd"/>
                  <w:r w:rsidRPr="00306630">
                    <w:rPr>
                      <w:rFonts w:ascii="Times New Roman" w:eastAsia="Times New Roman" w:hAnsi="Times New Roman" w:cs="Times New Roman"/>
                      <w:spacing w:val="0"/>
                      <w:sz w:val="24"/>
                      <w:szCs w:val="24"/>
                      <w:lang w:eastAsia="fr-BE"/>
                    </w:rPr>
                    <w:t xml:space="preserve"> » pour les seconds) à laquelle les Crétois ne peuvent guère prétendre. Les cas de la </w:t>
                  </w:r>
                  <w:proofErr w:type="spellStart"/>
                  <w:r w:rsidRPr="00306630">
                    <w:rPr>
                      <w:rFonts w:ascii="Times New Roman" w:eastAsia="Times New Roman" w:hAnsi="Times New Roman" w:cs="Times New Roman"/>
                      <w:spacing w:val="0"/>
                      <w:sz w:val="24"/>
                      <w:szCs w:val="24"/>
                      <w:lang w:eastAsia="fr-BE"/>
                    </w:rPr>
                    <w:t>Triphylie</w:t>
                  </w:r>
                  <w:proofErr w:type="spellEnd"/>
                  <w:r w:rsidRPr="00306630">
                    <w:rPr>
                      <w:rFonts w:ascii="Times New Roman" w:eastAsia="Times New Roman" w:hAnsi="Times New Roman" w:cs="Times New Roman"/>
                      <w:spacing w:val="0"/>
                      <w:sz w:val="24"/>
                      <w:szCs w:val="24"/>
                      <w:lang w:eastAsia="fr-BE"/>
                    </w:rPr>
                    <w:t xml:space="preserve"> et l’Arcadie, scrutés par Th. H. Nielsen, sont tout aussi labiles et peu exploitables pour une analyse fine des processus en jeu. Quant à la Macédoine, la persistance d’une royauté y pose en d’autres termes la question de « l’intégration ». C’est davantage aux questions d’identité liées à l’un ou l’autre sanctuaire « fédérateur » que s’intéresse M. </w:t>
                  </w:r>
                  <w:proofErr w:type="spellStart"/>
                  <w:r w:rsidRPr="00306630">
                    <w:rPr>
                      <w:rFonts w:ascii="Times New Roman" w:eastAsia="Times New Roman" w:hAnsi="Times New Roman" w:cs="Times New Roman"/>
                      <w:spacing w:val="0"/>
                      <w:sz w:val="24"/>
                      <w:szCs w:val="24"/>
                      <w:lang w:eastAsia="fr-BE"/>
                    </w:rPr>
                    <w:t>Hatzopoulos</w:t>
                  </w:r>
                  <w:proofErr w:type="spellEnd"/>
                  <w:r w:rsidRPr="00306630">
                    <w:rPr>
                      <w:rFonts w:ascii="Times New Roman" w:eastAsia="Times New Roman" w:hAnsi="Times New Roman" w:cs="Times New Roman"/>
                      <w:spacing w:val="0"/>
                      <w:sz w:val="24"/>
                      <w:szCs w:val="24"/>
                      <w:lang w:eastAsia="fr-BE"/>
                    </w:rPr>
                    <w:t xml:space="preserve">, soulignant le rôle respectif des sanctuaires d’Héraclès </w:t>
                  </w:r>
                  <w:proofErr w:type="spellStart"/>
                  <w:r w:rsidRPr="00306630">
                    <w:rPr>
                      <w:rFonts w:ascii="Times New Roman" w:eastAsia="Times New Roman" w:hAnsi="Times New Roman" w:cs="Times New Roman"/>
                      <w:spacing w:val="0"/>
                      <w:sz w:val="24"/>
                      <w:szCs w:val="24"/>
                      <w:lang w:eastAsia="fr-BE"/>
                    </w:rPr>
                    <w:t>Patroios</w:t>
                  </w:r>
                  <w:proofErr w:type="spellEnd"/>
                  <w:r w:rsidRPr="00306630">
                    <w:rPr>
                      <w:rFonts w:ascii="Times New Roman" w:eastAsia="Times New Roman" w:hAnsi="Times New Roman" w:cs="Times New Roman"/>
                      <w:spacing w:val="0"/>
                      <w:sz w:val="24"/>
                      <w:szCs w:val="24"/>
                      <w:lang w:eastAsia="fr-BE"/>
                    </w:rPr>
                    <w:t xml:space="preserve"> d’</w:t>
                  </w:r>
                  <w:proofErr w:type="spellStart"/>
                  <w:r w:rsidRPr="00306630">
                    <w:rPr>
                      <w:rFonts w:ascii="Times New Roman" w:eastAsia="Times New Roman" w:hAnsi="Times New Roman" w:cs="Times New Roman"/>
                      <w:spacing w:val="0"/>
                      <w:sz w:val="24"/>
                      <w:szCs w:val="24"/>
                      <w:lang w:eastAsia="fr-BE"/>
                    </w:rPr>
                    <w:t>Aigeai</w:t>
                  </w:r>
                  <w:proofErr w:type="spellEnd"/>
                  <w:r w:rsidRPr="00306630">
                    <w:rPr>
                      <w:rFonts w:ascii="Times New Roman" w:eastAsia="Times New Roman" w:hAnsi="Times New Roman" w:cs="Times New Roman"/>
                      <w:spacing w:val="0"/>
                      <w:sz w:val="24"/>
                      <w:szCs w:val="24"/>
                      <w:lang w:eastAsia="fr-BE"/>
                    </w:rPr>
                    <w:t xml:space="preserve"> et de Zeus </w:t>
                  </w:r>
                  <w:proofErr w:type="spellStart"/>
                  <w:r w:rsidRPr="00306630">
                    <w:rPr>
                      <w:rFonts w:ascii="Times New Roman" w:eastAsia="Times New Roman" w:hAnsi="Times New Roman" w:cs="Times New Roman"/>
                      <w:spacing w:val="0"/>
                      <w:sz w:val="24"/>
                      <w:szCs w:val="24"/>
                      <w:lang w:eastAsia="fr-BE"/>
                    </w:rPr>
                    <w:t>Olympios</w:t>
                  </w:r>
                  <w:proofErr w:type="spellEnd"/>
                  <w:r w:rsidRPr="00306630">
                    <w:rPr>
                      <w:rFonts w:ascii="Times New Roman" w:eastAsia="Times New Roman" w:hAnsi="Times New Roman" w:cs="Times New Roman"/>
                      <w:spacing w:val="0"/>
                      <w:sz w:val="24"/>
                      <w:szCs w:val="24"/>
                      <w:lang w:eastAsia="fr-BE"/>
                    </w:rPr>
                    <w:t xml:space="preserve"> de Dion à cet égard. Encore faut-il remarquer qu’un sanctuaire « fédérateur », au sens large, n’implique pas forcément les mêmes types d’interactions entre religion et politique qu’un sanctuaire d’État fédéral. L’exemple de l’Acarnanie est significatif à cet égard (Kl. </w:t>
                  </w:r>
                  <w:proofErr w:type="spellStart"/>
                  <w:r w:rsidRPr="00306630">
                    <w:rPr>
                      <w:rFonts w:ascii="Times New Roman" w:eastAsia="Times New Roman" w:hAnsi="Times New Roman" w:cs="Times New Roman"/>
                      <w:spacing w:val="0"/>
                      <w:sz w:val="24"/>
                      <w:szCs w:val="24"/>
                      <w:lang w:eastAsia="fr-BE"/>
                    </w:rPr>
                    <w:t>Freitag</w:t>
                  </w:r>
                  <w:proofErr w:type="spellEnd"/>
                  <w:r w:rsidRPr="00306630">
                    <w:rPr>
                      <w:rFonts w:ascii="Times New Roman" w:eastAsia="Times New Roman" w:hAnsi="Times New Roman" w:cs="Times New Roman"/>
                      <w:spacing w:val="0"/>
                      <w:sz w:val="24"/>
                      <w:szCs w:val="24"/>
                      <w:lang w:eastAsia="fr-BE"/>
                    </w:rPr>
                    <w:t>) : la région a pu se forger progressivement, aux périodes archaïque et classique, une identité autour de la figure d’</w:t>
                  </w:r>
                  <w:proofErr w:type="spellStart"/>
                  <w:r w:rsidRPr="00306630">
                    <w:rPr>
                      <w:rFonts w:ascii="Times New Roman" w:eastAsia="Times New Roman" w:hAnsi="Times New Roman" w:cs="Times New Roman"/>
                      <w:spacing w:val="0"/>
                      <w:sz w:val="24"/>
                      <w:szCs w:val="24"/>
                      <w:lang w:eastAsia="fr-BE"/>
                    </w:rPr>
                    <w:t>Achéloos</w:t>
                  </w:r>
                  <w:proofErr w:type="spellEnd"/>
                  <w:r w:rsidRPr="00306630">
                    <w:rPr>
                      <w:rFonts w:ascii="Times New Roman" w:eastAsia="Times New Roman" w:hAnsi="Times New Roman" w:cs="Times New Roman"/>
                      <w:spacing w:val="0"/>
                      <w:sz w:val="24"/>
                      <w:szCs w:val="24"/>
                      <w:lang w:eastAsia="fr-BE"/>
                    </w:rPr>
                    <w:t xml:space="preserve">, mais il faut attendre le IIIe siècle pour voir se constituer un sanctuaire « fédéral » avec l’Apollon </w:t>
                  </w:r>
                  <w:proofErr w:type="spellStart"/>
                  <w:r w:rsidRPr="00306630">
                    <w:rPr>
                      <w:rFonts w:ascii="Times New Roman" w:eastAsia="Times New Roman" w:hAnsi="Times New Roman" w:cs="Times New Roman"/>
                      <w:spacing w:val="0"/>
                      <w:sz w:val="24"/>
                      <w:szCs w:val="24"/>
                      <w:lang w:eastAsia="fr-BE"/>
                    </w:rPr>
                    <w:t>Aktios</w:t>
                  </w:r>
                  <w:proofErr w:type="spellEnd"/>
                  <w:r w:rsidRPr="00306630">
                    <w:rPr>
                      <w:rFonts w:ascii="Times New Roman" w:eastAsia="Times New Roman" w:hAnsi="Times New Roman" w:cs="Times New Roman"/>
                      <w:spacing w:val="0"/>
                      <w:sz w:val="24"/>
                      <w:szCs w:val="24"/>
                      <w:lang w:eastAsia="fr-BE"/>
                    </w:rPr>
                    <w:t xml:space="preserve"> et pour parler d’intégration.</w:t>
                  </w: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t xml:space="preserve">Entre le pôle des cas prototypiques et celui des cas « limites » se déploie toute une série de cas qui offrent des éléments de réponse aux questions liminaires. Le traitement des cas béotien et </w:t>
                  </w:r>
                  <w:proofErr w:type="spellStart"/>
                  <w:r w:rsidRPr="00306630">
                    <w:rPr>
                      <w:rFonts w:ascii="Times New Roman" w:eastAsia="Times New Roman" w:hAnsi="Times New Roman" w:cs="Times New Roman"/>
                      <w:spacing w:val="0"/>
                      <w:sz w:val="24"/>
                      <w:szCs w:val="24"/>
                      <w:lang w:eastAsia="fr-BE"/>
                    </w:rPr>
                    <w:t>phoicidien</w:t>
                  </w:r>
                  <w:proofErr w:type="spellEnd"/>
                  <w:r w:rsidRPr="00306630">
                    <w:rPr>
                      <w:rFonts w:ascii="Times New Roman" w:eastAsia="Times New Roman" w:hAnsi="Times New Roman" w:cs="Times New Roman"/>
                      <w:spacing w:val="0"/>
                      <w:sz w:val="24"/>
                      <w:szCs w:val="24"/>
                      <w:lang w:eastAsia="fr-BE"/>
                    </w:rPr>
                    <w:t xml:space="preserve"> (respectivement par A. Ganter et J. </w:t>
                  </w:r>
                  <w:proofErr w:type="spellStart"/>
                  <w:r w:rsidRPr="00306630">
                    <w:rPr>
                      <w:rFonts w:ascii="Times New Roman" w:eastAsia="Times New Roman" w:hAnsi="Times New Roman" w:cs="Times New Roman"/>
                      <w:spacing w:val="0"/>
                      <w:sz w:val="24"/>
                      <w:szCs w:val="24"/>
                      <w:lang w:eastAsia="fr-BE"/>
                    </w:rPr>
                    <w:t>McInerney</w:t>
                  </w:r>
                  <w:proofErr w:type="spellEnd"/>
                  <w:r w:rsidRPr="00306630">
                    <w:rPr>
                      <w:rFonts w:ascii="Times New Roman" w:eastAsia="Times New Roman" w:hAnsi="Times New Roman" w:cs="Times New Roman"/>
                      <w:spacing w:val="0"/>
                      <w:sz w:val="24"/>
                      <w:szCs w:val="24"/>
                      <w:lang w:eastAsia="fr-BE"/>
                    </w:rPr>
                    <w:t xml:space="preserve">) est particulièrement intéressant en raison de la richesse des dossiers documentaires, qui permettent de combiner les traditions mythiques, les attestations cultuelles et les données archéologiques, tout en faisant droit à des évolutions historiques. Ces deux contributions sont dès lors les plus susceptibles de nourrir la réflexion générale sur l’interaction religion/politique. Le cas </w:t>
                  </w:r>
                  <w:proofErr w:type="spellStart"/>
                  <w:r w:rsidRPr="00306630">
                    <w:rPr>
                      <w:rFonts w:ascii="Times New Roman" w:eastAsia="Times New Roman" w:hAnsi="Times New Roman" w:cs="Times New Roman"/>
                      <w:spacing w:val="0"/>
                      <w:sz w:val="24"/>
                      <w:szCs w:val="24"/>
                      <w:lang w:eastAsia="fr-BE"/>
                    </w:rPr>
                    <w:t>locrien</w:t>
                  </w:r>
                  <w:proofErr w:type="spellEnd"/>
                  <w:r w:rsidRPr="00306630">
                    <w:rPr>
                      <w:rFonts w:ascii="Times New Roman" w:eastAsia="Times New Roman" w:hAnsi="Times New Roman" w:cs="Times New Roman"/>
                      <w:spacing w:val="0"/>
                      <w:sz w:val="24"/>
                      <w:szCs w:val="24"/>
                      <w:lang w:eastAsia="fr-BE"/>
                    </w:rPr>
                    <w:t xml:space="preserve"> (G. </w:t>
                  </w:r>
                  <w:proofErr w:type="spellStart"/>
                  <w:r w:rsidRPr="00306630">
                    <w:rPr>
                      <w:rFonts w:ascii="Times New Roman" w:eastAsia="Times New Roman" w:hAnsi="Times New Roman" w:cs="Times New Roman"/>
                      <w:spacing w:val="0"/>
                      <w:sz w:val="24"/>
                      <w:szCs w:val="24"/>
                      <w:lang w:eastAsia="fr-BE"/>
                    </w:rPr>
                    <w:t>Daverio</w:t>
                  </w:r>
                  <w:proofErr w:type="spellEnd"/>
                  <w:r w:rsidRPr="00306630">
                    <w:rPr>
                      <w:rFonts w:ascii="Times New Roman" w:eastAsia="Times New Roman" w:hAnsi="Times New Roman" w:cs="Times New Roman"/>
                      <w:spacing w:val="0"/>
                      <w:sz w:val="24"/>
                      <w:szCs w:val="24"/>
                      <w:lang w:eastAsia="fr-BE"/>
                    </w:rPr>
                    <w:t xml:space="preserve"> </w:t>
                  </w:r>
                  <w:proofErr w:type="spellStart"/>
                  <w:r w:rsidRPr="00306630">
                    <w:rPr>
                      <w:rFonts w:ascii="Times New Roman" w:eastAsia="Times New Roman" w:hAnsi="Times New Roman" w:cs="Times New Roman"/>
                      <w:spacing w:val="0"/>
                      <w:sz w:val="24"/>
                      <w:szCs w:val="24"/>
                      <w:lang w:eastAsia="fr-BE"/>
                    </w:rPr>
                    <w:t>Rocchi</w:t>
                  </w:r>
                  <w:proofErr w:type="spellEnd"/>
                  <w:r w:rsidRPr="00306630">
                    <w:rPr>
                      <w:rFonts w:ascii="Times New Roman" w:eastAsia="Times New Roman" w:hAnsi="Times New Roman" w:cs="Times New Roman"/>
                      <w:spacing w:val="0"/>
                      <w:sz w:val="24"/>
                      <w:szCs w:val="24"/>
                      <w:lang w:eastAsia="fr-BE"/>
                    </w:rPr>
                    <w:t xml:space="preserve">) est surtout centré sur la place respective d’Athéna </w:t>
                  </w:r>
                  <w:proofErr w:type="spellStart"/>
                  <w:r w:rsidRPr="00306630">
                    <w:rPr>
                      <w:rFonts w:ascii="Times New Roman" w:eastAsia="Times New Roman" w:hAnsi="Times New Roman" w:cs="Times New Roman"/>
                      <w:spacing w:val="0"/>
                      <w:sz w:val="24"/>
                      <w:szCs w:val="24"/>
                      <w:lang w:eastAsia="fr-BE"/>
                    </w:rPr>
                    <w:t>Ilias</w:t>
                  </w:r>
                  <w:proofErr w:type="spellEnd"/>
                  <w:r w:rsidRPr="00306630">
                    <w:rPr>
                      <w:rFonts w:ascii="Times New Roman" w:eastAsia="Times New Roman" w:hAnsi="Times New Roman" w:cs="Times New Roman"/>
                      <w:spacing w:val="0"/>
                      <w:sz w:val="24"/>
                      <w:szCs w:val="24"/>
                      <w:lang w:eastAsia="fr-BE"/>
                    </w:rPr>
                    <w:t xml:space="preserve"> et d’Ajax dans la construction de l’identité des deux parties de la région, mais la tradition du tribut des vierges </w:t>
                  </w:r>
                  <w:proofErr w:type="spellStart"/>
                  <w:r w:rsidRPr="00306630">
                    <w:rPr>
                      <w:rFonts w:ascii="Times New Roman" w:eastAsia="Times New Roman" w:hAnsi="Times New Roman" w:cs="Times New Roman"/>
                      <w:spacing w:val="0"/>
                      <w:sz w:val="24"/>
                      <w:szCs w:val="24"/>
                      <w:lang w:eastAsia="fr-BE"/>
                    </w:rPr>
                    <w:t>locriennes</w:t>
                  </w:r>
                  <w:proofErr w:type="spellEnd"/>
                  <w:r w:rsidRPr="00306630">
                    <w:rPr>
                      <w:rFonts w:ascii="Times New Roman" w:eastAsia="Times New Roman" w:hAnsi="Times New Roman" w:cs="Times New Roman"/>
                      <w:spacing w:val="0"/>
                      <w:sz w:val="24"/>
                      <w:szCs w:val="24"/>
                      <w:lang w:eastAsia="fr-BE"/>
                    </w:rPr>
                    <w:t xml:space="preserve">, prise ici au pied de la lettre, ne va pas de soi en termes identitaires puisque cette identité se fonde sur un sacrilège ! Quant à la Thessalie, R. Bouchon et Br. </w:t>
                  </w:r>
                  <w:proofErr w:type="spellStart"/>
                  <w:r w:rsidRPr="00306630">
                    <w:rPr>
                      <w:rFonts w:ascii="Times New Roman" w:eastAsia="Times New Roman" w:hAnsi="Times New Roman" w:cs="Times New Roman"/>
                      <w:spacing w:val="0"/>
                      <w:sz w:val="24"/>
                      <w:szCs w:val="24"/>
                      <w:lang w:eastAsia="fr-BE"/>
                    </w:rPr>
                    <w:t>Helly</w:t>
                  </w:r>
                  <w:proofErr w:type="spellEnd"/>
                  <w:r w:rsidRPr="00306630">
                    <w:rPr>
                      <w:rFonts w:ascii="Times New Roman" w:eastAsia="Times New Roman" w:hAnsi="Times New Roman" w:cs="Times New Roman"/>
                      <w:spacing w:val="0"/>
                      <w:sz w:val="24"/>
                      <w:szCs w:val="24"/>
                      <w:lang w:eastAsia="fr-BE"/>
                    </w:rPr>
                    <w:t xml:space="preserve"> y décèlent une « bipolarisation » à la fois géographique, cultuelle, institutionnelle du </w:t>
                  </w:r>
                  <w:proofErr w:type="spellStart"/>
                  <w:r w:rsidRPr="00306630">
                    <w:rPr>
                      <w:rFonts w:ascii="Times New Roman" w:eastAsia="Times New Roman" w:hAnsi="Times New Roman" w:cs="Times New Roman"/>
                      <w:i/>
                      <w:iCs/>
                      <w:spacing w:val="0"/>
                      <w:sz w:val="24"/>
                      <w:szCs w:val="24"/>
                      <w:lang w:eastAsia="fr-BE"/>
                    </w:rPr>
                    <w:t>koinon</w:t>
                  </w:r>
                  <w:proofErr w:type="spellEnd"/>
                  <w:r w:rsidRPr="00306630">
                    <w:rPr>
                      <w:rFonts w:ascii="Times New Roman" w:eastAsia="Times New Roman" w:hAnsi="Times New Roman" w:cs="Times New Roman"/>
                      <w:spacing w:val="0"/>
                      <w:sz w:val="24"/>
                      <w:szCs w:val="24"/>
                      <w:lang w:eastAsia="fr-BE"/>
                    </w:rPr>
                    <w:t xml:space="preserve"> à partir de la période hellénistique. C’est alors qu’à l’Athéna </w:t>
                  </w:r>
                  <w:proofErr w:type="spellStart"/>
                  <w:r w:rsidRPr="00306630">
                    <w:rPr>
                      <w:rFonts w:ascii="Times New Roman" w:eastAsia="Times New Roman" w:hAnsi="Times New Roman" w:cs="Times New Roman"/>
                      <w:spacing w:val="0"/>
                      <w:sz w:val="24"/>
                      <w:szCs w:val="24"/>
                      <w:lang w:eastAsia="fr-BE"/>
                    </w:rPr>
                    <w:t>Itônia</w:t>
                  </w:r>
                  <w:proofErr w:type="spellEnd"/>
                  <w:r w:rsidRPr="00306630">
                    <w:rPr>
                      <w:rFonts w:ascii="Times New Roman" w:eastAsia="Times New Roman" w:hAnsi="Times New Roman" w:cs="Times New Roman"/>
                      <w:spacing w:val="0"/>
                      <w:sz w:val="24"/>
                      <w:szCs w:val="24"/>
                      <w:lang w:eastAsia="fr-BE"/>
                    </w:rPr>
                    <w:t xml:space="preserve"> ancestrale viennent s’ajouter le sanctuaire et les concours pour Zeus </w:t>
                  </w:r>
                  <w:proofErr w:type="spellStart"/>
                  <w:r w:rsidRPr="00306630">
                    <w:rPr>
                      <w:rFonts w:ascii="Times New Roman" w:eastAsia="Times New Roman" w:hAnsi="Times New Roman" w:cs="Times New Roman"/>
                      <w:spacing w:val="0"/>
                      <w:sz w:val="24"/>
                      <w:szCs w:val="24"/>
                      <w:lang w:eastAsia="fr-BE"/>
                    </w:rPr>
                    <w:t>Olympios</w:t>
                  </w:r>
                  <w:proofErr w:type="spellEnd"/>
                  <w:r w:rsidRPr="00306630">
                    <w:rPr>
                      <w:rFonts w:ascii="Times New Roman" w:eastAsia="Times New Roman" w:hAnsi="Times New Roman" w:cs="Times New Roman"/>
                      <w:spacing w:val="0"/>
                      <w:sz w:val="24"/>
                      <w:szCs w:val="24"/>
                      <w:lang w:eastAsia="fr-BE"/>
                    </w:rPr>
                    <w:t>, mettant en exergue la prédominance de Larisa sur l’</w:t>
                  </w:r>
                  <w:proofErr w:type="spellStart"/>
                  <w:r w:rsidRPr="00306630">
                    <w:rPr>
                      <w:rFonts w:ascii="Times New Roman" w:eastAsia="Times New Roman" w:hAnsi="Times New Roman" w:cs="Times New Roman"/>
                      <w:spacing w:val="0"/>
                      <w:sz w:val="24"/>
                      <w:szCs w:val="24"/>
                      <w:lang w:eastAsia="fr-BE"/>
                    </w:rPr>
                    <w:t>Itônion</w:t>
                  </w:r>
                  <w:proofErr w:type="spellEnd"/>
                  <w:r w:rsidRPr="00306630">
                    <w:rPr>
                      <w:rFonts w:ascii="Times New Roman" w:eastAsia="Times New Roman" w:hAnsi="Times New Roman" w:cs="Times New Roman"/>
                      <w:spacing w:val="0"/>
                      <w:sz w:val="24"/>
                      <w:szCs w:val="24"/>
                      <w:lang w:eastAsia="fr-BE"/>
                    </w:rPr>
                    <w:t>.</w:t>
                  </w: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t xml:space="preserve">En conclusion, il s’agit d’un ouvrage très riche de perspectives, qui contribue assurément à nourrir les débats sur les interactions entre religion et politique en élargissant les données de la problématique à l’échelle régionale et transrégionale. Le lecteur intéressé par les représentations religieuses y trouvera assurément du matériel pour poser d’autres questions encore, notamment celle du profil de ces divinités auxquelles ces diverses communautés ont décidé de s’identifier au-delà de leurs particularismes locaux. </w:t>
                  </w:r>
                </w:p>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pict>
                      <v:rect id="_x0000_i1027" style="width:0;height:1.5pt" o:hralign="center" o:hrstd="t" o:hr="t" fillcolor="#a0a0a0" stroked="f"/>
                    </w:pict>
                  </w:r>
                </w:p>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proofErr w:type="gramStart"/>
                  <w:r w:rsidRPr="00306630">
                    <w:rPr>
                      <w:rFonts w:ascii="Times New Roman" w:eastAsia="Times New Roman" w:hAnsi="Times New Roman" w:cs="Times New Roman"/>
                      <w:b/>
                      <w:bCs/>
                      <w:spacing w:val="0"/>
                      <w:sz w:val="24"/>
                      <w:szCs w:val="24"/>
                      <w:lang w:eastAsia="fr-BE"/>
                    </w:rPr>
                    <w:lastRenderedPageBreak/>
                    <w:t>Notes</w:t>
                  </w:r>
                  <w:proofErr w:type="gramEnd"/>
                  <w:r w:rsidRPr="00306630">
                    <w:rPr>
                      <w:rFonts w:ascii="Times New Roman" w:eastAsia="Times New Roman" w:hAnsi="Times New Roman" w:cs="Times New Roman"/>
                      <w:b/>
                      <w:bCs/>
                      <w:spacing w:val="0"/>
                      <w:sz w:val="24"/>
                      <w:szCs w:val="24"/>
                      <w:lang w:eastAsia="fr-BE"/>
                    </w:rPr>
                    <w:t>:</w:t>
                  </w:r>
                  <w:r w:rsidRPr="00306630">
                    <w:rPr>
                      <w:rFonts w:ascii="Times New Roman" w:eastAsia="Times New Roman" w:hAnsi="Times New Roman" w:cs="Times New Roman"/>
                      <w:spacing w:val="0"/>
                      <w:sz w:val="24"/>
                      <w:szCs w:val="24"/>
                      <w:lang w:eastAsia="fr-BE"/>
                    </w:rPr>
                    <w:t xml:space="preserve"> </w:t>
                  </w:r>
                </w:p>
                <w:p w:rsidR="00306630" w:rsidRPr="00306630" w:rsidRDefault="00306630" w:rsidP="00306630">
                  <w:pPr>
                    <w:spacing w:before="100" w:beforeAutospacing="1" w:after="100" w:afterAutospacing="1"/>
                    <w:jc w:val="left"/>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br/>
                  </w:r>
                  <w:bookmarkStart w:id="2" w:name="n1"/>
                  <w:bookmarkEnd w:id="2"/>
                  <w:r w:rsidRPr="00306630">
                    <w:rPr>
                      <w:rFonts w:ascii="Times New Roman" w:eastAsia="Times New Roman" w:hAnsi="Times New Roman" w:cs="Times New Roman"/>
                      <w:spacing w:val="0"/>
                      <w:sz w:val="24"/>
                      <w:szCs w:val="24"/>
                      <w:lang w:eastAsia="fr-BE"/>
                    </w:rPr>
                    <w:fldChar w:fldCharType="begin"/>
                  </w:r>
                  <w:r w:rsidRPr="00306630">
                    <w:rPr>
                      <w:rFonts w:ascii="Times New Roman" w:eastAsia="Times New Roman" w:hAnsi="Times New Roman" w:cs="Times New Roman"/>
                      <w:spacing w:val="0"/>
                      <w:sz w:val="24"/>
                      <w:szCs w:val="24"/>
                      <w:lang w:eastAsia="fr-BE"/>
                    </w:rPr>
                    <w:instrText xml:space="preserve"> HYPERLINK "http://bmcr.brynmawr.edu/2015/2015-10-13.html" \l "t1" </w:instrText>
                  </w:r>
                  <w:r w:rsidRPr="00306630">
                    <w:rPr>
                      <w:rFonts w:ascii="Times New Roman" w:eastAsia="Times New Roman" w:hAnsi="Times New Roman" w:cs="Times New Roman"/>
                      <w:spacing w:val="0"/>
                      <w:sz w:val="24"/>
                      <w:szCs w:val="24"/>
                      <w:lang w:eastAsia="fr-BE"/>
                    </w:rPr>
                    <w:fldChar w:fldCharType="separate"/>
                  </w:r>
                  <w:r w:rsidRPr="00306630">
                    <w:rPr>
                      <w:rFonts w:ascii="Times New Roman" w:eastAsia="Times New Roman" w:hAnsi="Times New Roman" w:cs="Times New Roman"/>
                      <w:color w:val="AA3300"/>
                      <w:spacing w:val="0"/>
                      <w:sz w:val="24"/>
                      <w:szCs w:val="24"/>
                      <w:u w:val="single"/>
                      <w:lang w:eastAsia="fr-BE"/>
                    </w:rPr>
                    <w:t>1.  </w:t>
                  </w:r>
                  <w:r w:rsidRPr="00306630">
                    <w:rPr>
                      <w:rFonts w:ascii="Times New Roman" w:eastAsia="Times New Roman" w:hAnsi="Times New Roman" w:cs="Times New Roman"/>
                      <w:spacing w:val="0"/>
                      <w:sz w:val="24"/>
                      <w:szCs w:val="24"/>
                      <w:lang w:eastAsia="fr-BE"/>
                    </w:rPr>
                    <w:fldChar w:fldCharType="end"/>
                  </w:r>
                  <w:r w:rsidRPr="00306630">
                    <w:rPr>
                      <w:rFonts w:ascii="Times New Roman" w:eastAsia="Times New Roman" w:hAnsi="Times New Roman" w:cs="Times New Roman"/>
                      <w:spacing w:val="0"/>
                      <w:sz w:val="24"/>
                      <w:szCs w:val="24"/>
                      <w:lang w:eastAsia="fr-BE"/>
                    </w:rPr>
                    <w:t xml:space="preserve"> Numa Fustel de Coulanges, </w:t>
                  </w:r>
                  <w:r w:rsidRPr="00306630">
                    <w:rPr>
                      <w:rFonts w:ascii="Times New Roman" w:eastAsia="Times New Roman" w:hAnsi="Times New Roman" w:cs="Times New Roman"/>
                      <w:i/>
                      <w:iCs/>
                      <w:spacing w:val="0"/>
                      <w:sz w:val="24"/>
                      <w:szCs w:val="24"/>
                      <w:lang w:eastAsia="fr-BE"/>
                    </w:rPr>
                    <w:t>La Cité antique. Étude sur le culte, le droit, les institutions de la Grèce et de Rome</w:t>
                  </w:r>
                  <w:r w:rsidRPr="00306630">
                    <w:rPr>
                      <w:rFonts w:ascii="Times New Roman" w:eastAsia="Times New Roman" w:hAnsi="Times New Roman" w:cs="Times New Roman"/>
                      <w:spacing w:val="0"/>
                      <w:sz w:val="24"/>
                      <w:szCs w:val="24"/>
                      <w:lang w:eastAsia="fr-BE"/>
                    </w:rPr>
                    <w:t xml:space="preserve"> (1864); Fr. de Polignac, </w:t>
                  </w:r>
                  <w:r w:rsidRPr="00306630">
                    <w:rPr>
                      <w:rFonts w:ascii="Times New Roman" w:eastAsia="Times New Roman" w:hAnsi="Times New Roman" w:cs="Times New Roman"/>
                      <w:i/>
                      <w:iCs/>
                      <w:spacing w:val="0"/>
                      <w:sz w:val="24"/>
                      <w:szCs w:val="24"/>
                      <w:lang w:eastAsia="fr-BE"/>
                    </w:rPr>
                    <w:t>La Naissance de la cité grecque. Cultes, espace et société, VIIIe-VIIe siècles</w:t>
                  </w:r>
                  <w:r w:rsidRPr="00306630">
                    <w:rPr>
                      <w:rFonts w:ascii="Times New Roman" w:eastAsia="Times New Roman" w:hAnsi="Times New Roman" w:cs="Times New Roman"/>
                      <w:spacing w:val="0"/>
                      <w:sz w:val="24"/>
                      <w:szCs w:val="24"/>
                      <w:lang w:eastAsia="fr-BE"/>
                    </w:rPr>
                    <w:t>, Paris, 1995</w:t>
                  </w:r>
                  <w:r w:rsidRPr="00306630">
                    <w:rPr>
                      <w:rFonts w:ascii="Times New Roman" w:eastAsia="Times New Roman" w:hAnsi="Times New Roman" w:cs="Times New Roman"/>
                      <w:spacing w:val="0"/>
                      <w:sz w:val="24"/>
                      <w:szCs w:val="24"/>
                      <w:vertAlign w:val="superscript"/>
                      <w:lang w:eastAsia="fr-BE"/>
                    </w:rPr>
                    <w:t>²</w:t>
                  </w:r>
                  <w:r w:rsidRPr="00306630">
                    <w:rPr>
                      <w:rFonts w:ascii="Times New Roman" w:eastAsia="Times New Roman" w:hAnsi="Times New Roman" w:cs="Times New Roman"/>
                      <w:spacing w:val="0"/>
                      <w:sz w:val="24"/>
                      <w:szCs w:val="24"/>
                      <w:lang w:eastAsia="fr-BE"/>
                    </w:rPr>
                    <w:t xml:space="preserve"> [1984] ; Chr. </w:t>
                  </w:r>
                  <w:proofErr w:type="spellStart"/>
                  <w:r w:rsidRPr="00306630">
                    <w:rPr>
                      <w:rFonts w:ascii="Times New Roman" w:eastAsia="Times New Roman" w:hAnsi="Times New Roman" w:cs="Times New Roman"/>
                      <w:spacing w:val="0"/>
                      <w:sz w:val="24"/>
                      <w:szCs w:val="24"/>
                      <w:lang w:eastAsia="fr-BE"/>
                    </w:rPr>
                    <w:t>Sourvinou</w:t>
                  </w:r>
                  <w:proofErr w:type="spellEnd"/>
                  <w:r w:rsidRPr="00306630">
                    <w:rPr>
                      <w:rFonts w:ascii="Times New Roman" w:eastAsia="Times New Roman" w:hAnsi="Times New Roman" w:cs="Times New Roman"/>
                      <w:spacing w:val="0"/>
                      <w:sz w:val="24"/>
                      <w:szCs w:val="24"/>
                      <w:lang w:eastAsia="fr-BE"/>
                    </w:rPr>
                    <w:t>-Inwood, “</w:t>
                  </w:r>
                  <w:proofErr w:type="spellStart"/>
                  <w:r w:rsidRPr="00306630">
                    <w:rPr>
                      <w:rFonts w:ascii="Times New Roman" w:eastAsia="Times New Roman" w:hAnsi="Times New Roman" w:cs="Times New Roman"/>
                      <w:spacing w:val="0"/>
                      <w:sz w:val="24"/>
                      <w:szCs w:val="24"/>
                      <w:lang w:eastAsia="fr-BE"/>
                    </w:rPr>
                    <w:t>What</w:t>
                  </w:r>
                  <w:proofErr w:type="spellEnd"/>
                  <w:r w:rsidRPr="00306630">
                    <w:rPr>
                      <w:rFonts w:ascii="Times New Roman" w:eastAsia="Times New Roman" w:hAnsi="Times New Roman" w:cs="Times New Roman"/>
                      <w:spacing w:val="0"/>
                      <w:sz w:val="24"/>
                      <w:szCs w:val="24"/>
                      <w:lang w:eastAsia="fr-BE"/>
                    </w:rPr>
                    <w:t xml:space="preserve"> </w:t>
                  </w:r>
                  <w:proofErr w:type="spellStart"/>
                  <w:r w:rsidRPr="00306630">
                    <w:rPr>
                      <w:rFonts w:ascii="Times New Roman" w:eastAsia="Times New Roman" w:hAnsi="Times New Roman" w:cs="Times New Roman"/>
                      <w:spacing w:val="0"/>
                      <w:sz w:val="24"/>
                      <w:szCs w:val="24"/>
                      <w:lang w:eastAsia="fr-BE"/>
                    </w:rPr>
                    <w:t>is</w:t>
                  </w:r>
                  <w:proofErr w:type="spellEnd"/>
                  <w:r w:rsidRPr="00306630">
                    <w:rPr>
                      <w:rFonts w:ascii="Times New Roman" w:eastAsia="Times New Roman" w:hAnsi="Times New Roman" w:cs="Times New Roman"/>
                      <w:spacing w:val="0"/>
                      <w:sz w:val="24"/>
                      <w:szCs w:val="24"/>
                      <w:lang w:eastAsia="fr-BE"/>
                    </w:rPr>
                    <w:t xml:space="preserve"> </w:t>
                  </w:r>
                  <w:r w:rsidRPr="00306630">
                    <w:rPr>
                      <w:rFonts w:ascii="Times New Roman" w:eastAsia="Times New Roman" w:hAnsi="Times New Roman" w:cs="Times New Roman"/>
                      <w:i/>
                      <w:iCs/>
                      <w:spacing w:val="0"/>
                      <w:sz w:val="24"/>
                      <w:szCs w:val="24"/>
                      <w:lang w:eastAsia="fr-BE"/>
                    </w:rPr>
                    <w:t>Polis</w:t>
                  </w:r>
                  <w:r w:rsidRPr="00306630">
                    <w:rPr>
                      <w:rFonts w:ascii="Times New Roman" w:eastAsia="Times New Roman" w:hAnsi="Times New Roman" w:cs="Times New Roman"/>
                      <w:spacing w:val="0"/>
                      <w:sz w:val="24"/>
                      <w:szCs w:val="24"/>
                      <w:lang w:eastAsia="fr-BE"/>
                    </w:rPr>
                    <w:t xml:space="preserve"> Religion?,” in O. Murray, S. Price (</w:t>
                  </w:r>
                  <w:proofErr w:type="spellStart"/>
                  <w:r w:rsidRPr="00306630">
                    <w:rPr>
                      <w:rFonts w:ascii="Times New Roman" w:eastAsia="Times New Roman" w:hAnsi="Times New Roman" w:cs="Times New Roman"/>
                      <w:spacing w:val="0"/>
                      <w:sz w:val="24"/>
                      <w:szCs w:val="24"/>
                      <w:lang w:eastAsia="fr-BE"/>
                    </w:rPr>
                    <w:t>eds</w:t>
                  </w:r>
                  <w:proofErr w:type="spellEnd"/>
                  <w:r w:rsidRPr="00306630">
                    <w:rPr>
                      <w:rFonts w:ascii="Times New Roman" w:eastAsia="Times New Roman" w:hAnsi="Times New Roman" w:cs="Times New Roman"/>
                      <w:spacing w:val="0"/>
                      <w:sz w:val="24"/>
                      <w:szCs w:val="24"/>
                      <w:lang w:eastAsia="fr-BE"/>
                    </w:rPr>
                    <w:t xml:space="preserve">.), </w:t>
                  </w:r>
                  <w:r w:rsidRPr="00306630">
                    <w:rPr>
                      <w:rFonts w:ascii="Times New Roman" w:eastAsia="Times New Roman" w:hAnsi="Times New Roman" w:cs="Times New Roman"/>
                      <w:i/>
                      <w:iCs/>
                      <w:spacing w:val="0"/>
                      <w:sz w:val="24"/>
                      <w:szCs w:val="24"/>
                      <w:lang w:eastAsia="fr-BE"/>
                    </w:rPr>
                    <w:t xml:space="preserve">The Greek City </w:t>
                  </w:r>
                  <w:proofErr w:type="spellStart"/>
                  <w:r w:rsidRPr="00306630">
                    <w:rPr>
                      <w:rFonts w:ascii="Times New Roman" w:eastAsia="Times New Roman" w:hAnsi="Times New Roman" w:cs="Times New Roman"/>
                      <w:i/>
                      <w:iCs/>
                      <w:spacing w:val="0"/>
                      <w:sz w:val="24"/>
                      <w:szCs w:val="24"/>
                      <w:lang w:eastAsia="fr-BE"/>
                    </w:rPr>
                    <w:t>from</w:t>
                  </w:r>
                  <w:proofErr w:type="spellEnd"/>
                  <w:r w:rsidRPr="00306630">
                    <w:rPr>
                      <w:rFonts w:ascii="Times New Roman" w:eastAsia="Times New Roman" w:hAnsi="Times New Roman" w:cs="Times New Roman"/>
                      <w:i/>
                      <w:iCs/>
                      <w:spacing w:val="0"/>
                      <w:sz w:val="24"/>
                      <w:szCs w:val="24"/>
                      <w:lang w:eastAsia="fr-BE"/>
                    </w:rPr>
                    <w:t xml:space="preserve"> Homer to Alexander</w:t>
                  </w:r>
                  <w:r w:rsidRPr="00306630">
                    <w:rPr>
                      <w:rFonts w:ascii="Times New Roman" w:eastAsia="Times New Roman" w:hAnsi="Times New Roman" w:cs="Times New Roman"/>
                      <w:spacing w:val="0"/>
                      <w:sz w:val="24"/>
                      <w:szCs w:val="24"/>
                      <w:lang w:eastAsia="fr-BE"/>
                    </w:rPr>
                    <w:t>, Oxford, p. 295-322; “</w:t>
                  </w:r>
                  <w:proofErr w:type="spellStart"/>
                  <w:r w:rsidRPr="00306630">
                    <w:rPr>
                      <w:rFonts w:ascii="Times New Roman" w:eastAsia="Times New Roman" w:hAnsi="Times New Roman" w:cs="Times New Roman"/>
                      <w:spacing w:val="0"/>
                      <w:sz w:val="24"/>
                      <w:szCs w:val="24"/>
                      <w:lang w:eastAsia="fr-BE"/>
                    </w:rPr>
                    <w:t>Further</w:t>
                  </w:r>
                  <w:proofErr w:type="spellEnd"/>
                  <w:r w:rsidRPr="00306630">
                    <w:rPr>
                      <w:rFonts w:ascii="Times New Roman" w:eastAsia="Times New Roman" w:hAnsi="Times New Roman" w:cs="Times New Roman"/>
                      <w:spacing w:val="0"/>
                      <w:sz w:val="24"/>
                      <w:szCs w:val="24"/>
                      <w:lang w:eastAsia="fr-BE"/>
                    </w:rPr>
                    <w:t xml:space="preserve"> Aspects of </w:t>
                  </w:r>
                  <w:proofErr w:type="spellStart"/>
                  <w:r w:rsidRPr="00306630">
                    <w:rPr>
                      <w:rFonts w:ascii="Times New Roman" w:eastAsia="Times New Roman" w:hAnsi="Times New Roman" w:cs="Times New Roman"/>
                      <w:i/>
                      <w:iCs/>
                      <w:spacing w:val="0"/>
                      <w:sz w:val="24"/>
                      <w:szCs w:val="24"/>
                      <w:lang w:eastAsia="fr-BE"/>
                    </w:rPr>
                    <w:t>Polis</w:t>
                  </w:r>
                  <w:r w:rsidRPr="00306630">
                    <w:rPr>
                      <w:rFonts w:ascii="Times New Roman" w:eastAsia="Times New Roman" w:hAnsi="Times New Roman" w:cs="Times New Roman"/>
                      <w:spacing w:val="0"/>
                      <w:sz w:val="24"/>
                      <w:szCs w:val="24"/>
                      <w:lang w:eastAsia="fr-BE"/>
                    </w:rPr>
                    <w:t>Religion</w:t>
                  </w:r>
                  <w:proofErr w:type="spellEnd"/>
                  <w:r w:rsidRPr="00306630">
                    <w:rPr>
                      <w:rFonts w:ascii="Times New Roman" w:eastAsia="Times New Roman" w:hAnsi="Times New Roman" w:cs="Times New Roman"/>
                      <w:spacing w:val="0"/>
                      <w:sz w:val="24"/>
                      <w:szCs w:val="24"/>
                      <w:lang w:eastAsia="fr-BE"/>
                    </w:rPr>
                    <w:t xml:space="preserve">”, </w:t>
                  </w:r>
                  <w:proofErr w:type="spellStart"/>
                  <w:r w:rsidRPr="00306630">
                    <w:rPr>
                      <w:rFonts w:ascii="Times New Roman" w:eastAsia="Times New Roman" w:hAnsi="Times New Roman" w:cs="Times New Roman"/>
                      <w:i/>
                      <w:iCs/>
                      <w:spacing w:val="0"/>
                      <w:sz w:val="24"/>
                      <w:szCs w:val="24"/>
                      <w:lang w:eastAsia="fr-BE"/>
                    </w:rPr>
                    <w:t>Annali</w:t>
                  </w:r>
                  <w:proofErr w:type="spellEnd"/>
                  <w:r w:rsidRPr="00306630">
                    <w:rPr>
                      <w:rFonts w:ascii="Times New Roman" w:eastAsia="Times New Roman" w:hAnsi="Times New Roman" w:cs="Times New Roman"/>
                      <w:i/>
                      <w:iCs/>
                      <w:spacing w:val="0"/>
                      <w:sz w:val="24"/>
                      <w:szCs w:val="24"/>
                      <w:lang w:eastAsia="fr-BE"/>
                    </w:rPr>
                    <w:t xml:space="preserve"> </w:t>
                  </w:r>
                  <w:proofErr w:type="spellStart"/>
                  <w:r w:rsidRPr="00306630">
                    <w:rPr>
                      <w:rFonts w:ascii="Times New Roman" w:eastAsia="Times New Roman" w:hAnsi="Times New Roman" w:cs="Times New Roman"/>
                      <w:i/>
                      <w:iCs/>
                      <w:spacing w:val="0"/>
                      <w:sz w:val="24"/>
                      <w:szCs w:val="24"/>
                      <w:lang w:eastAsia="fr-BE"/>
                    </w:rPr>
                    <w:t>dell’Istituto</w:t>
                  </w:r>
                  <w:proofErr w:type="spellEnd"/>
                  <w:r w:rsidRPr="00306630">
                    <w:rPr>
                      <w:rFonts w:ascii="Times New Roman" w:eastAsia="Times New Roman" w:hAnsi="Times New Roman" w:cs="Times New Roman"/>
                      <w:i/>
                      <w:iCs/>
                      <w:spacing w:val="0"/>
                      <w:sz w:val="24"/>
                      <w:szCs w:val="24"/>
                      <w:lang w:eastAsia="fr-BE"/>
                    </w:rPr>
                    <w:t xml:space="preserve"> </w:t>
                  </w:r>
                  <w:proofErr w:type="spellStart"/>
                  <w:r w:rsidRPr="00306630">
                    <w:rPr>
                      <w:rFonts w:ascii="Times New Roman" w:eastAsia="Times New Roman" w:hAnsi="Times New Roman" w:cs="Times New Roman"/>
                      <w:i/>
                      <w:iCs/>
                      <w:spacing w:val="0"/>
                      <w:sz w:val="24"/>
                      <w:szCs w:val="24"/>
                      <w:lang w:eastAsia="fr-BE"/>
                    </w:rPr>
                    <w:t>Universitario</w:t>
                  </w:r>
                  <w:proofErr w:type="spellEnd"/>
                  <w:r w:rsidRPr="00306630">
                    <w:rPr>
                      <w:rFonts w:ascii="Times New Roman" w:eastAsia="Times New Roman" w:hAnsi="Times New Roman" w:cs="Times New Roman"/>
                      <w:i/>
                      <w:iCs/>
                      <w:spacing w:val="0"/>
                      <w:sz w:val="24"/>
                      <w:szCs w:val="24"/>
                      <w:lang w:eastAsia="fr-BE"/>
                    </w:rPr>
                    <w:t xml:space="preserve"> Orientale di </w:t>
                  </w:r>
                  <w:proofErr w:type="spellStart"/>
                  <w:r w:rsidRPr="00306630">
                    <w:rPr>
                      <w:rFonts w:ascii="Times New Roman" w:eastAsia="Times New Roman" w:hAnsi="Times New Roman" w:cs="Times New Roman"/>
                      <w:i/>
                      <w:iCs/>
                      <w:spacing w:val="0"/>
                      <w:sz w:val="24"/>
                      <w:szCs w:val="24"/>
                      <w:lang w:eastAsia="fr-BE"/>
                    </w:rPr>
                    <w:t>Napoli</w:t>
                  </w:r>
                  <w:proofErr w:type="spellEnd"/>
                  <w:r w:rsidRPr="00306630">
                    <w:rPr>
                      <w:rFonts w:ascii="Times New Roman" w:eastAsia="Times New Roman" w:hAnsi="Times New Roman" w:cs="Times New Roman"/>
                      <w:i/>
                      <w:iCs/>
                      <w:spacing w:val="0"/>
                      <w:sz w:val="24"/>
                      <w:szCs w:val="24"/>
                      <w:lang w:eastAsia="fr-BE"/>
                    </w:rPr>
                    <w:t xml:space="preserve">, </w:t>
                  </w:r>
                  <w:proofErr w:type="spellStart"/>
                  <w:r w:rsidRPr="00306630">
                    <w:rPr>
                      <w:rFonts w:ascii="Times New Roman" w:eastAsia="Times New Roman" w:hAnsi="Times New Roman" w:cs="Times New Roman"/>
                      <w:i/>
                      <w:iCs/>
                      <w:spacing w:val="0"/>
                      <w:sz w:val="24"/>
                      <w:szCs w:val="24"/>
                      <w:lang w:eastAsia="fr-BE"/>
                    </w:rPr>
                    <w:t>Sezione</w:t>
                  </w:r>
                  <w:proofErr w:type="spellEnd"/>
                  <w:r w:rsidRPr="00306630">
                    <w:rPr>
                      <w:rFonts w:ascii="Times New Roman" w:eastAsia="Times New Roman" w:hAnsi="Times New Roman" w:cs="Times New Roman"/>
                      <w:i/>
                      <w:iCs/>
                      <w:spacing w:val="0"/>
                      <w:sz w:val="24"/>
                      <w:szCs w:val="24"/>
                      <w:lang w:eastAsia="fr-BE"/>
                    </w:rPr>
                    <w:t xml:space="preserve"> di </w:t>
                  </w:r>
                  <w:proofErr w:type="spellStart"/>
                  <w:r w:rsidRPr="00306630">
                    <w:rPr>
                      <w:rFonts w:ascii="Times New Roman" w:eastAsia="Times New Roman" w:hAnsi="Times New Roman" w:cs="Times New Roman"/>
                      <w:i/>
                      <w:iCs/>
                      <w:spacing w:val="0"/>
                      <w:sz w:val="24"/>
                      <w:szCs w:val="24"/>
                      <w:lang w:eastAsia="fr-BE"/>
                    </w:rPr>
                    <w:t>Archeologia</w:t>
                  </w:r>
                  <w:proofErr w:type="spellEnd"/>
                  <w:r w:rsidRPr="00306630">
                    <w:rPr>
                      <w:rFonts w:ascii="Times New Roman" w:eastAsia="Times New Roman" w:hAnsi="Times New Roman" w:cs="Times New Roman"/>
                      <w:i/>
                      <w:iCs/>
                      <w:spacing w:val="0"/>
                      <w:sz w:val="24"/>
                      <w:szCs w:val="24"/>
                      <w:lang w:eastAsia="fr-BE"/>
                    </w:rPr>
                    <w:t xml:space="preserve"> e </w:t>
                  </w:r>
                  <w:proofErr w:type="spellStart"/>
                  <w:r w:rsidRPr="00306630">
                    <w:rPr>
                      <w:rFonts w:ascii="Times New Roman" w:eastAsia="Times New Roman" w:hAnsi="Times New Roman" w:cs="Times New Roman"/>
                      <w:i/>
                      <w:iCs/>
                      <w:spacing w:val="0"/>
                      <w:sz w:val="24"/>
                      <w:szCs w:val="24"/>
                      <w:lang w:eastAsia="fr-BE"/>
                    </w:rPr>
                    <w:t>Storia</w:t>
                  </w:r>
                  <w:proofErr w:type="spellEnd"/>
                  <w:r w:rsidRPr="00306630">
                    <w:rPr>
                      <w:rFonts w:ascii="Times New Roman" w:eastAsia="Times New Roman" w:hAnsi="Times New Roman" w:cs="Times New Roman"/>
                      <w:i/>
                      <w:iCs/>
                      <w:spacing w:val="0"/>
                      <w:sz w:val="24"/>
                      <w:szCs w:val="24"/>
                      <w:lang w:eastAsia="fr-BE"/>
                    </w:rPr>
                    <w:t xml:space="preserve"> </w:t>
                  </w:r>
                  <w:proofErr w:type="spellStart"/>
                  <w:r w:rsidRPr="00306630">
                    <w:rPr>
                      <w:rFonts w:ascii="Times New Roman" w:eastAsia="Times New Roman" w:hAnsi="Times New Roman" w:cs="Times New Roman"/>
                      <w:i/>
                      <w:iCs/>
                      <w:spacing w:val="0"/>
                      <w:sz w:val="24"/>
                      <w:szCs w:val="24"/>
                      <w:lang w:eastAsia="fr-BE"/>
                    </w:rPr>
                    <w:t>Antica</w:t>
                  </w:r>
                  <w:proofErr w:type="spellEnd"/>
                  <w:r w:rsidRPr="00306630">
                    <w:rPr>
                      <w:rFonts w:ascii="Times New Roman" w:eastAsia="Times New Roman" w:hAnsi="Times New Roman" w:cs="Times New Roman"/>
                      <w:spacing w:val="0"/>
                      <w:sz w:val="24"/>
                      <w:szCs w:val="24"/>
                      <w:lang w:eastAsia="fr-BE"/>
                    </w:rPr>
                    <w:t xml:space="preserve"> 10 (1988), p. 259-274 [</w:t>
                  </w:r>
                  <w:proofErr w:type="spellStart"/>
                  <w:r w:rsidRPr="00306630">
                    <w:rPr>
                      <w:rFonts w:ascii="Times New Roman" w:eastAsia="Times New Roman" w:hAnsi="Times New Roman" w:cs="Times New Roman"/>
                      <w:spacing w:val="0"/>
                      <w:sz w:val="24"/>
                      <w:szCs w:val="24"/>
                      <w:lang w:eastAsia="fr-BE"/>
                    </w:rPr>
                    <w:t>both</w:t>
                  </w:r>
                  <w:proofErr w:type="spellEnd"/>
                  <w:r w:rsidRPr="00306630">
                    <w:rPr>
                      <w:rFonts w:ascii="Times New Roman" w:eastAsia="Times New Roman" w:hAnsi="Times New Roman" w:cs="Times New Roman"/>
                      <w:spacing w:val="0"/>
                      <w:sz w:val="24"/>
                      <w:szCs w:val="24"/>
                      <w:lang w:eastAsia="fr-BE"/>
                    </w:rPr>
                    <w:t xml:space="preserve"> </w:t>
                  </w:r>
                  <w:proofErr w:type="spellStart"/>
                  <w:r w:rsidRPr="00306630">
                    <w:rPr>
                      <w:rFonts w:ascii="Times New Roman" w:eastAsia="Times New Roman" w:hAnsi="Times New Roman" w:cs="Times New Roman"/>
                      <w:spacing w:val="0"/>
                      <w:sz w:val="24"/>
                      <w:szCs w:val="24"/>
                      <w:lang w:eastAsia="fr-BE"/>
                    </w:rPr>
                    <w:t>reprinted</w:t>
                  </w:r>
                  <w:proofErr w:type="spellEnd"/>
                  <w:r w:rsidRPr="00306630">
                    <w:rPr>
                      <w:rFonts w:ascii="Times New Roman" w:eastAsia="Times New Roman" w:hAnsi="Times New Roman" w:cs="Times New Roman"/>
                      <w:spacing w:val="0"/>
                      <w:sz w:val="24"/>
                      <w:szCs w:val="24"/>
                      <w:lang w:eastAsia="fr-BE"/>
                    </w:rPr>
                    <w:t xml:space="preserve"> in R. Buxton (</w:t>
                  </w:r>
                  <w:proofErr w:type="spellStart"/>
                  <w:r w:rsidRPr="00306630">
                    <w:rPr>
                      <w:rFonts w:ascii="Times New Roman" w:eastAsia="Times New Roman" w:hAnsi="Times New Roman" w:cs="Times New Roman"/>
                      <w:spacing w:val="0"/>
                      <w:sz w:val="24"/>
                      <w:szCs w:val="24"/>
                      <w:lang w:eastAsia="fr-BE"/>
                    </w:rPr>
                    <w:t>ed</w:t>
                  </w:r>
                  <w:proofErr w:type="spellEnd"/>
                  <w:r w:rsidRPr="00306630">
                    <w:rPr>
                      <w:rFonts w:ascii="Times New Roman" w:eastAsia="Times New Roman" w:hAnsi="Times New Roman" w:cs="Times New Roman"/>
                      <w:spacing w:val="0"/>
                      <w:sz w:val="24"/>
                      <w:szCs w:val="24"/>
                      <w:lang w:eastAsia="fr-BE"/>
                    </w:rPr>
                    <w:t xml:space="preserve">.), </w:t>
                  </w:r>
                  <w:r w:rsidRPr="00306630">
                    <w:rPr>
                      <w:rFonts w:ascii="Times New Roman" w:eastAsia="Times New Roman" w:hAnsi="Times New Roman" w:cs="Times New Roman"/>
                      <w:i/>
                      <w:iCs/>
                      <w:spacing w:val="0"/>
                      <w:sz w:val="24"/>
                      <w:szCs w:val="24"/>
                      <w:lang w:eastAsia="fr-BE"/>
                    </w:rPr>
                    <w:t xml:space="preserve">Oxford </w:t>
                  </w:r>
                  <w:proofErr w:type="spellStart"/>
                  <w:r w:rsidRPr="00306630">
                    <w:rPr>
                      <w:rFonts w:ascii="Times New Roman" w:eastAsia="Times New Roman" w:hAnsi="Times New Roman" w:cs="Times New Roman"/>
                      <w:i/>
                      <w:iCs/>
                      <w:spacing w:val="0"/>
                      <w:sz w:val="24"/>
                      <w:szCs w:val="24"/>
                      <w:lang w:eastAsia="fr-BE"/>
                    </w:rPr>
                    <w:t>Readings</w:t>
                  </w:r>
                  <w:proofErr w:type="spellEnd"/>
                  <w:r w:rsidRPr="00306630">
                    <w:rPr>
                      <w:rFonts w:ascii="Times New Roman" w:eastAsia="Times New Roman" w:hAnsi="Times New Roman" w:cs="Times New Roman"/>
                      <w:i/>
                      <w:iCs/>
                      <w:spacing w:val="0"/>
                      <w:sz w:val="24"/>
                      <w:szCs w:val="24"/>
                      <w:lang w:eastAsia="fr-BE"/>
                    </w:rPr>
                    <w:t xml:space="preserve"> in Greek Religion</w:t>
                  </w:r>
                  <w:r w:rsidRPr="00306630">
                    <w:rPr>
                      <w:rFonts w:ascii="Times New Roman" w:eastAsia="Times New Roman" w:hAnsi="Times New Roman" w:cs="Times New Roman"/>
                      <w:spacing w:val="0"/>
                      <w:sz w:val="24"/>
                      <w:szCs w:val="24"/>
                      <w:lang w:eastAsia="fr-BE"/>
                    </w:rPr>
                    <w:t xml:space="preserve">, Oxford, 2000, p. 13-37, 38-55]. </w:t>
                  </w:r>
                </w:p>
              </w:tc>
            </w:tr>
          </w:tbl>
          <w:p w:rsidR="00306630" w:rsidRPr="00306630" w:rsidRDefault="00306630" w:rsidP="00306630">
            <w:pPr>
              <w:spacing w:before="0"/>
              <w:jc w:val="center"/>
              <w:rPr>
                <w:rFonts w:ascii="Times New Roman" w:eastAsia="Times New Roman" w:hAnsi="Times New Roman" w:cs="Times New Roman"/>
                <w:vanish/>
                <w:spacing w:val="0"/>
                <w:sz w:val="24"/>
                <w:szCs w:val="24"/>
                <w:lang w:eastAsia="fr-BE"/>
              </w:rPr>
            </w:pP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11203"/>
            </w:tblGrid>
            <w:tr w:rsidR="00306630" w:rsidRPr="00306630">
              <w:trPr>
                <w:tblCellSpacing w:w="0" w:type="dxa"/>
                <w:jc w:val="center"/>
              </w:trPr>
              <w:tc>
                <w:tcPr>
                  <w:tcW w:w="0" w:type="auto"/>
                  <w:tcBorders>
                    <w:top w:val="nil"/>
                    <w:left w:val="nil"/>
                    <w:bottom w:val="nil"/>
                    <w:right w:val="nil"/>
                  </w:tcBorders>
                  <w:shd w:val="clear" w:color="auto" w:fill="FFFFFF"/>
                  <w:vAlign w:val="center"/>
                  <w:hideMark/>
                </w:tcPr>
                <w:p w:rsidR="00306630" w:rsidRPr="00306630" w:rsidRDefault="00306630" w:rsidP="00306630">
                  <w:pPr>
                    <w:spacing w:before="0"/>
                    <w:jc w:val="left"/>
                    <w:rPr>
                      <w:rFonts w:ascii="Times New Roman" w:eastAsia="Times New Roman" w:hAnsi="Times New Roman" w:cs="Times New Roman"/>
                      <w:spacing w:val="0"/>
                      <w:sz w:val="24"/>
                      <w:szCs w:val="24"/>
                      <w:lang w:eastAsia="fr-BE"/>
                    </w:rPr>
                  </w:pPr>
                  <w:hyperlink r:id="rId9" w:history="1">
                    <w:r w:rsidRPr="00306630">
                      <w:rPr>
                        <w:rFonts w:ascii="Times New Roman" w:eastAsia="Times New Roman" w:hAnsi="Times New Roman" w:cs="Times New Roman"/>
                        <w:b/>
                        <w:bCs/>
                        <w:color w:val="AA3300"/>
                        <w:spacing w:val="0"/>
                        <w:sz w:val="24"/>
                        <w:szCs w:val="24"/>
                        <w:u w:val="single"/>
                        <w:lang w:eastAsia="fr-BE"/>
                      </w:rPr>
                      <w:t xml:space="preserve">Read </w:t>
                    </w:r>
                    <w:proofErr w:type="spellStart"/>
                    <w:r w:rsidRPr="00306630">
                      <w:rPr>
                        <w:rFonts w:ascii="Times New Roman" w:eastAsia="Times New Roman" w:hAnsi="Times New Roman" w:cs="Times New Roman"/>
                        <w:b/>
                        <w:bCs/>
                        <w:color w:val="AA3300"/>
                        <w:spacing w:val="0"/>
                        <w:sz w:val="24"/>
                        <w:szCs w:val="24"/>
                        <w:u w:val="single"/>
                        <w:lang w:eastAsia="fr-BE"/>
                      </w:rPr>
                      <w:t>comments</w:t>
                    </w:r>
                    <w:proofErr w:type="spellEnd"/>
                    <w:r w:rsidRPr="00306630">
                      <w:rPr>
                        <w:rFonts w:ascii="Times New Roman" w:eastAsia="Times New Roman" w:hAnsi="Times New Roman" w:cs="Times New Roman"/>
                        <w:b/>
                        <w:bCs/>
                        <w:color w:val="AA3300"/>
                        <w:spacing w:val="0"/>
                        <w:sz w:val="24"/>
                        <w:szCs w:val="24"/>
                        <w:u w:val="single"/>
                        <w:lang w:eastAsia="fr-BE"/>
                      </w:rPr>
                      <w:t xml:space="preserve"> on </w:t>
                    </w:r>
                    <w:proofErr w:type="spellStart"/>
                    <w:r w:rsidRPr="00306630">
                      <w:rPr>
                        <w:rFonts w:ascii="Times New Roman" w:eastAsia="Times New Roman" w:hAnsi="Times New Roman" w:cs="Times New Roman"/>
                        <w:b/>
                        <w:bCs/>
                        <w:color w:val="AA3300"/>
                        <w:spacing w:val="0"/>
                        <w:sz w:val="24"/>
                        <w:szCs w:val="24"/>
                        <w:u w:val="single"/>
                        <w:lang w:eastAsia="fr-BE"/>
                      </w:rPr>
                      <w:t>this</w:t>
                    </w:r>
                    <w:proofErr w:type="spellEnd"/>
                    <w:r w:rsidRPr="00306630">
                      <w:rPr>
                        <w:rFonts w:ascii="Times New Roman" w:eastAsia="Times New Roman" w:hAnsi="Times New Roman" w:cs="Times New Roman"/>
                        <w:b/>
                        <w:bCs/>
                        <w:color w:val="AA3300"/>
                        <w:spacing w:val="0"/>
                        <w:sz w:val="24"/>
                        <w:szCs w:val="24"/>
                        <w:u w:val="single"/>
                        <w:lang w:eastAsia="fr-BE"/>
                      </w:rPr>
                      <w:t xml:space="preserve"> </w:t>
                    </w:r>
                    <w:proofErr w:type="spellStart"/>
                    <w:r w:rsidRPr="00306630">
                      <w:rPr>
                        <w:rFonts w:ascii="Times New Roman" w:eastAsia="Times New Roman" w:hAnsi="Times New Roman" w:cs="Times New Roman"/>
                        <w:b/>
                        <w:bCs/>
                        <w:color w:val="AA3300"/>
                        <w:spacing w:val="0"/>
                        <w:sz w:val="24"/>
                        <w:szCs w:val="24"/>
                        <w:u w:val="single"/>
                        <w:lang w:eastAsia="fr-BE"/>
                      </w:rPr>
                      <w:t>review</w:t>
                    </w:r>
                    <w:proofErr w:type="spellEnd"/>
                    <w:r w:rsidRPr="00306630">
                      <w:rPr>
                        <w:rFonts w:ascii="Times New Roman" w:eastAsia="Times New Roman" w:hAnsi="Times New Roman" w:cs="Times New Roman"/>
                        <w:b/>
                        <w:bCs/>
                        <w:color w:val="AA3300"/>
                        <w:spacing w:val="0"/>
                        <w:sz w:val="24"/>
                        <w:szCs w:val="24"/>
                        <w:u w:val="single"/>
                        <w:lang w:eastAsia="fr-BE"/>
                      </w:rPr>
                      <w:t xml:space="preserve"> or </w:t>
                    </w:r>
                    <w:proofErr w:type="spellStart"/>
                    <w:r w:rsidRPr="00306630">
                      <w:rPr>
                        <w:rFonts w:ascii="Times New Roman" w:eastAsia="Times New Roman" w:hAnsi="Times New Roman" w:cs="Times New Roman"/>
                        <w:b/>
                        <w:bCs/>
                        <w:color w:val="AA3300"/>
                        <w:spacing w:val="0"/>
                        <w:sz w:val="24"/>
                        <w:szCs w:val="24"/>
                        <w:u w:val="single"/>
                        <w:lang w:eastAsia="fr-BE"/>
                      </w:rPr>
                      <w:t>add</w:t>
                    </w:r>
                    <w:proofErr w:type="spellEnd"/>
                    <w:r w:rsidRPr="00306630">
                      <w:rPr>
                        <w:rFonts w:ascii="Times New Roman" w:eastAsia="Times New Roman" w:hAnsi="Times New Roman" w:cs="Times New Roman"/>
                        <w:b/>
                        <w:bCs/>
                        <w:color w:val="AA3300"/>
                        <w:spacing w:val="0"/>
                        <w:sz w:val="24"/>
                        <w:szCs w:val="24"/>
                        <w:u w:val="single"/>
                        <w:lang w:eastAsia="fr-BE"/>
                      </w:rPr>
                      <w:t xml:space="preserve"> a comment</w:t>
                    </w:r>
                  </w:hyperlink>
                  <w:r w:rsidRPr="00306630">
                    <w:rPr>
                      <w:rFonts w:ascii="Times New Roman" w:eastAsia="Times New Roman" w:hAnsi="Times New Roman" w:cs="Times New Roman"/>
                      <w:b/>
                      <w:bCs/>
                      <w:spacing w:val="0"/>
                      <w:sz w:val="24"/>
                      <w:szCs w:val="24"/>
                      <w:lang w:eastAsia="fr-BE"/>
                    </w:rPr>
                    <w:t xml:space="preserve"> on the BMCR blog</w:t>
                  </w:r>
                </w:p>
              </w:tc>
            </w:tr>
          </w:tbl>
          <w:p w:rsidR="00306630" w:rsidRPr="00306630" w:rsidRDefault="00306630" w:rsidP="00306630">
            <w:pPr>
              <w:spacing w:before="0"/>
              <w:jc w:val="center"/>
              <w:rPr>
                <w:rFonts w:ascii="Times New Roman" w:eastAsia="Times New Roman" w:hAnsi="Times New Roman" w:cs="Times New Roman"/>
                <w:vanish/>
                <w:spacing w:val="0"/>
                <w:sz w:val="24"/>
                <w:szCs w:val="24"/>
                <w:lang w:eastAsia="fr-BE"/>
              </w:rPr>
            </w:pPr>
          </w:p>
          <w:tbl>
            <w:tblPr>
              <w:tblW w:w="4000" w:type="pct"/>
              <w:jc w:val="center"/>
              <w:tblCellSpacing w:w="0" w:type="dxa"/>
              <w:shd w:val="clear" w:color="auto" w:fill="ACB693"/>
              <w:tblCellMar>
                <w:left w:w="0" w:type="dxa"/>
                <w:right w:w="0" w:type="dxa"/>
              </w:tblCellMar>
              <w:tblLook w:val="04A0" w:firstRow="1" w:lastRow="0" w:firstColumn="1" w:lastColumn="0" w:noHBand="0" w:noVBand="1"/>
            </w:tblPr>
            <w:tblGrid>
              <w:gridCol w:w="663"/>
              <w:gridCol w:w="1289"/>
              <w:gridCol w:w="980"/>
              <w:gridCol w:w="1380"/>
              <w:gridCol w:w="1531"/>
              <w:gridCol w:w="2065"/>
              <w:gridCol w:w="1583"/>
              <w:gridCol w:w="1712"/>
            </w:tblGrid>
            <w:tr w:rsidR="00306630" w:rsidRPr="00306630">
              <w:trPr>
                <w:tblCellSpacing w:w="0" w:type="dxa"/>
                <w:jc w:val="center"/>
              </w:trPr>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0" w:history="1">
                    <w:r w:rsidRPr="00306630">
                      <w:rPr>
                        <w:rFonts w:ascii="Times New Roman" w:eastAsia="Times New Roman" w:hAnsi="Times New Roman" w:cs="Times New Roman"/>
                        <w:color w:val="AA3300"/>
                        <w:spacing w:val="0"/>
                        <w:sz w:val="24"/>
                        <w:szCs w:val="24"/>
                        <w:u w:val="single"/>
                        <w:lang w:eastAsia="fr-BE"/>
                      </w:rPr>
                      <w:t>Home</w:t>
                    </w:r>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1" w:history="1">
                    <w:r w:rsidRPr="00306630">
                      <w:rPr>
                        <w:rFonts w:ascii="Times New Roman" w:eastAsia="Times New Roman" w:hAnsi="Times New Roman" w:cs="Times New Roman"/>
                        <w:color w:val="AA3300"/>
                        <w:spacing w:val="0"/>
                        <w:sz w:val="24"/>
                        <w:szCs w:val="24"/>
                        <w:u w:val="single"/>
                        <w:lang w:eastAsia="fr-BE"/>
                      </w:rPr>
                      <w:t xml:space="preserve">Read </w:t>
                    </w:r>
                    <w:proofErr w:type="spellStart"/>
                    <w:r w:rsidRPr="00306630">
                      <w:rPr>
                        <w:rFonts w:ascii="Times New Roman" w:eastAsia="Times New Roman" w:hAnsi="Times New Roman" w:cs="Times New Roman"/>
                        <w:color w:val="AA3300"/>
                        <w:spacing w:val="0"/>
                        <w:sz w:val="24"/>
                        <w:szCs w:val="24"/>
                        <w:u w:val="single"/>
                        <w:lang w:eastAsia="fr-BE"/>
                      </w:rPr>
                      <w:t>Latest</w:t>
                    </w:r>
                    <w:proofErr w:type="spellEnd"/>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2" w:history="1">
                    <w:r w:rsidRPr="00306630">
                      <w:rPr>
                        <w:rFonts w:ascii="Times New Roman" w:eastAsia="Times New Roman" w:hAnsi="Times New Roman" w:cs="Times New Roman"/>
                        <w:color w:val="AA3300"/>
                        <w:spacing w:val="0"/>
                        <w:sz w:val="24"/>
                        <w:szCs w:val="24"/>
                        <w:u w:val="single"/>
                        <w:lang w:eastAsia="fr-BE"/>
                      </w:rPr>
                      <w:t>Archives</w:t>
                    </w:r>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3" w:history="1">
                    <w:r w:rsidRPr="00306630">
                      <w:rPr>
                        <w:rFonts w:ascii="Times New Roman" w:eastAsia="Times New Roman" w:hAnsi="Times New Roman" w:cs="Times New Roman"/>
                        <w:color w:val="AA3300"/>
                        <w:spacing w:val="0"/>
                        <w:sz w:val="24"/>
                        <w:szCs w:val="24"/>
                        <w:u w:val="single"/>
                        <w:lang w:eastAsia="fr-BE"/>
                      </w:rPr>
                      <w:t>BMCR Blog</w:t>
                    </w:r>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4" w:history="1">
                    <w:r w:rsidRPr="00306630">
                      <w:rPr>
                        <w:rFonts w:ascii="Times New Roman" w:eastAsia="Times New Roman" w:hAnsi="Times New Roman" w:cs="Times New Roman"/>
                        <w:color w:val="AA3300"/>
                        <w:spacing w:val="0"/>
                        <w:sz w:val="24"/>
                        <w:szCs w:val="24"/>
                        <w:u w:val="single"/>
                        <w:lang w:eastAsia="fr-BE"/>
                      </w:rPr>
                      <w:t>About BMCR</w:t>
                    </w:r>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5" w:history="1">
                    <w:proofErr w:type="spellStart"/>
                    <w:r w:rsidRPr="00306630">
                      <w:rPr>
                        <w:rFonts w:ascii="Times New Roman" w:eastAsia="Times New Roman" w:hAnsi="Times New Roman" w:cs="Times New Roman"/>
                        <w:color w:val="AA3300"/>
                        <w:spacing w:val="0"/>
                        <w:sz w:val="24"/>
                        <w:szCs w:val="24"/>
                        <w:u w:val="single"/>
                        <w:lang w:eastAsia="fr-BE"/>
                      </w:rPr>
                      <w:t>Review</w:t>
                    </w:r>
                    <w:proofErr w:type="spellEnd"/>
                    <w:r w:rsidRPr="00306630">
                      <w:rPr>
                        <w:rFonts w:ascii="Times New Roman" w:eastAsia="Times New Roman" w:hAnsi="Times New Roman" w:cs="Times New Roman"/>
                        <w:color w:val="AA3300"/>
                        <w:spacing w:val="0"/>
                        <w:sz w:val="24"/>
                        <w:szCs w:val="24"/>
                        <w:u w:val="single"/>
                        <w:lang w:eastAsia="fr-BE"/>
                      </w:rPr>
                      <w:t xml:space="preserve"> for BMCR</w:t>
                    </w:r>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6" w:history="1">
                    <w:proofErr w:type="spellStart"/>
                    <w:r w:rsidRPr="00306630">
                      <w:rPr>
                        <w:rFonts w:ascii="Times New Roman" w:eastAsia="Times New Roman" w:hAnsi="Times New Roman" w:cs="Times New Roman"/>
                        <w:color w:val="AA3300"/>
                        <w:spacing w:val="0"/>
                        <w:sz w:val="24"/>
                        <w:szCs w:val="24"/>
                        <w:u w:val="single"/>
                        <w:lang w:eastAsia="fr-BE"/>
                      </w:rPr>
                      <w:t>Commentaries</w:t>
                    </w:r>
                    <w:proofErr w:type="spellEnd"/>
                  </w:hyperlink>
                </w:p>
              </w:tc>
              <w:tc>
                <w:tcPr>
                  <w:tcW w:w="0" w:type="auto"/>
                  <w:tcBorders>
                    <w:top w:val="nil"/>
                    <w:left w:val="nil"/>
                    <w:bottom w:val="nil"/>
                    <w:right w:val="nil"/>
                  </w:tcBorders>
                  <w:shd w:val="clear" w:color="auto" w:fill="ACB693"/>
                  <w:vAlign w:val="center"/>
                  <w:hideMark/>
                </w:tcPr>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hyperlink r:id="rId17" w:history="1">
                    <w:r w:rsidRPr="00306630">
                      <w:rPr>
                        <w:rFonts w:ascii="Times New Roman" w:eastAsia="Times New Roman" w:hAnsi="Times New Roman" w:cs="Times New Roman"/>
                        <w:color w:val="AA3300"/>
                        <w:spacing w:val="0"/>
                        <w:sz w:val="24"/>
                        <w:szCs w:val="24"/>
                        <w:u w:val="single"/>
                        <w:lang w:eastAsia="fr-BE"/>
                      </w:rPr>
                      <w:t>Support BMCR</w:t>
                    </w:r>
                  </w:hyperlink>
                </w:p>
              </w:tc>
            </w:tr>
          </w:tbl>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p>
        </w:tc>
      </w:tr>
    </w:tbl>
    <w:p w:rsidR="00306630" w:rsidRPr="00306630" w:rsidRDefault="00306630" w:rsidP="00306630">
      <w:pPr>
        <w:spacing w:before="0"/>
        <w:jc w:val="center"/>
        <w:rPr>
          <w:rFonts w:ascii="Times New Roman" w:eastAsia="Times New Roman" w:hAnsi="Times New Roman" w:cs="Times New Roman"/>
          <w:spacing w:val="0"/>
          <w:sz w:val="24"/>
          <w:szCs w:val="24"/>
          <w:lang w:eastAsia="fr-BE"/>
        </w:rPr>
      </w:pPr>
      <w:r w:rsidRPr="00306630">
        <w:rPr>
          <w:rFonts w:ascii="Times New Roman" w:eastAsia="Times New Roman" w:hAnsi="Times New Roman" w:cs="Times New Roman"/>
          <w:spacing w:val="0"/>
          <w:sz w:val="24"/>
          <w:szCs w:val="24"/>
          <w:lang w:eastAsia="fr-BE"/>
        </w:rPr>
        <w:lastRenderedPageBreak/>
        <w:br/>
      </w:r>
      <w:r w:rsidRPr="00306630">
        <w:rPr>
          <w:rFonts w:ascii="Times New Roman" w:eastAsia="Times New Roman" w:hAnsi="Times New Roman" w:cs="Times New Roman"/>
          <w:spacing w:val="0"/>
          <w:sz w:val="20"/>
          <w:szCs w:val="20"/>
          <w:lang w:eastAsia="fr-BE"/>
        </w:rPr>
        <w:t xml:space="preserve">BMCR, </w:t>
      </w:r>
      <w:proofErr w:type="spellStart"/>
      <w:r w:rsidRPr="00306630">
        <w:rPr>
          <w:rFonts w:ascii="Times New Roman" w:eastAsia="Times New Roman" w:hAnsi="Times New Roman" w:cs="Times New Roman"/>
          <w:spacing w:val="0"/>
          <w:sz w:val="20"/>
          <w:szCs w:val="20"/>
          <w:lang w:eastAsia="fr-BE"/>
        </w:rPr>
        <w:t>Bryn</w:t>
      </w:r>
      <w:proofErr w:type="spellEnd"/>
      <w:r w:rsidRPr="00306630">
        <w:rPr>
          <w:rFonts w:ascii="Times New Roman" w:eastAsia="Times New Roman" w:hAnsi="Times New Roman" w:cs="Times New Roman"/>
          <w:spacing w:val="0"/>
          <w:sz w:val="20"/>
          <w:szCs w:val="20"/>
          <w:lang w:eastAsia="fr-BE"/>
        </w:rPr>
        <w:t xml:space="preserve"> </w:t>
      </w:r>
      <w:proofErr w:type="spellStart"/>
      <w:r w:rsidRPr="00306630">
        <w:rPr>
          <w:rFonts w:ascii="Times New Roman" w:eastAsia="Times New Roman" w:hAnsi="Times New Roman" w:cs="Times New Roman"/>
          <w:spacing w:val="0"/>
          <w:sz w:val="20"/>
          <w:szCs w:val="20"/>
          <w:lang w:eastAsia="fr-BE"/>
        </w:rPr>
        <w:t>Mawr</w:t>
      </w:r>
      <w:proofErr w:type="spellEnd"/>
      <w:r w:rsidRPr="00306630">
        <w:rPr>
          <w:rFonts w:ascii="Times New Roman" w:eastAsia="Times New Roman" w:hAnsi="Times New Roman" w:cs="Times New Roman"/>
          <w:spacing w:val="0"/>
          <w:sz w:val="20"/>
          <w:szCs w:val="20"/>
          <w:lang w:eastAsia="fr-BE"/>
        </w:rPr>
        <w:t xml:space="preserve"> </w:t>
      </w:r>
      <w:proofErr w:type="spellStart"/>
      <w:r w:rsidRPr="00306630">
        <w:rPr>
          <w:rFonts w:ascii="Times New Roman" w:eastAsia="Times New Roman" w:hAnsi="Times New Roman" w:cs="Times New Roman"/>
          <w:spacing w:val="0"/>
          <w:sz w:val="20"/>
          <w:szCs w:val="20"/>
          <w:lang w:eastAsia="fr-BE"/>
        </w:rPr>
        <w:t>College</w:t>
      </w:r>
      <w:proofErr w:type="spellEnd"/>
      <w:r w:rsidRPr="00306630">
        <w:rPr>
          <w:rFonts w:ascii="Times New Roman" w:eastAsia="Times New Roman" w:hAnsi="Times New Roman" w:cs="Times New Roman"/>
          <w:spacing w:val="0"/>
          <w:sz w:val="20"/>
          <w:szCs w:val="20"/>
          <w:lang w:eastAsia="fr-BE"/>
        </w:rPr>
        <w:t xml:space="preserve">, 101 N. </w:t>
      </w:r>
      <w:proofErr w:type="spellStart"/>
      <w:r w:rsidRPr="00306630">
        <w:rPr>
          <w:rFonts w:ascii="Times New Roman" w:eastAsia="Times New Roman" w:hAnsi="Times New Roman" w:cs="Times New Roman"/>
          <w:spacing w:val="0"/>
          <w:sz w:val="20"/>
          <w:szCs w:val="20"/>
          <w:lang w:eastAsia="fr-BE"/>
        </w:rPr>
        <w:t>Merion</w:t>
      </w:r>
      <w:proofErr w:type="spellEnd"/>
      <w:r w:rsidRPr="00306630">
        <w:rPr>
          <w:rFonts w:ascii="Times New Roman" w:eastAsia="Times New Roman" w:hAnsi="Times New Roman" w:cs="Times New Roman"/>
          <w:spacing w:val="0"/>
          <w:sz w:val="20"/>
          <w:szCs w:val="20"/>
          <w:lang w:eastAsia="fr-BE"/>
        </w:rPr>
        <w:t xml:space="preserve"> Ave., </w:t>
      </w:r>
      <w:proofErr w:type="spellStart"/>
      <w:r w:rsidRPr="00306630">
        <w:rPr>
          <w:rFonts w:ascii="Times New Roman" w:eastAsia="Times New Roman" w:hAnsi="Times New Roman" w:cs="Times New Roman"/>
          <w:spacing w:val="0"/>
          <w:sz w:val="20"/>
          <w:szCs w:val="20"/>
          <w:lang w:eastAsia="fr-BE"/>
        </w:rPr>
        <w:t>Bryn</w:t>
      </w:r>
      <w:proofErr w:type="spellEnd"/>
      <w:r w:rsidRPr="00306630">
        <w:rPr>
          <w:rFonts w:ascii="Times New Roman" w:eastAsia="Times New Roman" w:hAnsi="Times New Roman" w:cs="Times New Roman"/>
          <w:spacing w:val="0"/>
          <w:sz w:val="20"/>
          <w:szCs w:val="20"/>
          <w:lang w:eastAsia="fr-BE"/>
        </w:rPr>
        <w:t xml:space="preserve"> </w:t>
      </w:r>
      <w:proofErr w:type="spellStart"/>
      <w:r w:rsidRPr="00306630">
        <w:rPr>
          <w:rFonts w:ascii="Times New Roman" w:eastAsia="Times New Roman" w:hAnsi="Times New Roman" w:cs="Times New Roman"/>
          <w:spacing w:val="0"/>
          <w:sz w:val="20"/>
          <w:szCs w:val="20"/>
          <w:lang w:eastAsia="fr-BE"/>
        </w:rPr>
        <w:t>Mawr</w:t>
      </w:r>
      <w:proofErr w:type="spellEnd"/>
      <w:r w:rsidRPr="00306630">
        <w:rPr>
          <w:rFonts w:ascii="Times New Roman" w:eastAsia="Times New Roman" w:hAnsi="Times New Roman" w:cs="Times New Roman"/>
          <w:spacing w:val="0"/>
          <w:sz w:val="20"/>
          <w:szCs w:val="20"/>
          <w:lang w:eastAsia="fr-BE"/>
        </w:rPr>
        <w:t xml:space="preserve">, PA 19010 </w:t>
      </w:r>
      <w:r w:rsidRPr="00306630">
        <w:rPr>
          <w:rFonts w:ascii="Times New Roman" w:eastAsia="Times New Roman" w:hAnsi="Times New Roman" w:cs="Times New Roman"/>
          <w:spacing w:val="0"/>
          <w:sz w:val="20"/>
          <w:szCs w:val="20"/>
          <w:lang w:eastAsia="fr-BE"/>
        </w:rPr>
        <w:pict/>
      </w:r>
      <w:r w:rsidRPr="00306630">
        <w:rPr>
          <w:rFonts w:ascii="Times New Roman" w:eastAsia="Times New Roman" w:hAnsi="Times New Roman" w:cs="Times New Roman"/>
          <w:spacing w:val="0"/>
          <w:sz w:val="20"/>
          <w:szCs w:val="20"/>
          <w:lang w:eastAsia="fr-BE"/>
        </w:rPr>
        <w:pict/>
      </w:r>
      <w:r w:rsidRPr="00306630">
        <w:rPr>
          <w:rFonts w:ascii="Times New Roman" w:eastAsia="Times New Roman" w:hAnsi="Times New Roman" w:cs="Times New Roman"/>
          <w:spacing w:val="0"/>
          <w:sz w:val="20"/>
          <w:szCs w:val="20"/>
          <w:lang w:eastAsia="fr-BE"/>
        </w:rPr>
        <w:pict/>
      </w:r>
    </w:p>
    <w:p w:rsidR="000B62CD" w:rsidRDefault="000B62CD"/>
    <w:sectPr w:rsidR="000B62CD" w:rsidSect="0030663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Classical">
    <w:panose1 w:val="02020404030301010803"/>
    <w:charset w:val="00"/>
    <w:family w:val="roman"/>
    <w:pitch w:val="variable"/>
    <w:sig w:usb0="C00002E7" w:usb1="0000387A"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30"/>
    <w:rsid w:val="00047680"/>
    <w:rsid w:val="000B62CD"/>
    <w:rsid w:val="002E1C30"/>
    <w:rsid w:val="00306630"/>
    <w:rsid w:val="00435764"/>
    <w:rsid w:val="006016B3"/>
    <w:rsid w:val="00C374A8"/>
    <w:rsid w:val="00C958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A8"/>
    <w:rPr>
      <w:rFonts w:ascii="Garamond Classical" w:hAnsi="Garamond Classical"/>
      <w:spacing w:val="-2"/>
    </w:rPr>
  </w:style>
  <w:style w:type="paragraph" w:styleId="Titre3">
    <w:name w:val="heading 3"/>
    <w:basedOn w:val="Normal"/>
    <w:link w:val="Titre3Car"/>
    <w:uiPriority w:val="9"/>
    <w:qFormat/>
    <w:rsid w:val="00306630"/>
    <w:pPr>
      <w:spacing w:before="100" w:beforeAutospacing="1" w:after="100" w:afterAutospacing="1"/>
      <w:jc w:val="left"/>
      <w:outlineLvl w:val="2"/>
    </w:pPr>
    <w:rPr>
      <w:rFonts w:ascii="Times New Roman" w:eastAsia="Times New Roman" w:hAnsi="Times New Roman" w:cs="Times New Roman"/>
      <w:b/>
      <w:bCs/>
      <w:spacing w:val="0"/>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06630"/>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306630"/>
    <w:rPr>
      <w:color w:val="AA3300"/>
      <w:u w:val="single"/>
    </w:rPr>
  </w:style>
  <w:style w:type="paragraph" w:styleId="NormalWeb">
    <w:name w:val="Normal (Web)"/>
    <w:basedOn w:val="Normal"/>
    <w:uiPriority w:val="99"/>
    <w:unhideWhenUsed/>
    <w:rsid w:val="00306630"/>
    <w:pPr>
      <w:spacing w:before="100" w:beforeAutospacing="1" w:after="100" w:afterAutospacing="1"/>
      <w:jc w:val="left"/>
    </w:pPr>
    <w:rPr>
      <w:rFonts w:ascii="Times New Roman" w:eastAsia="Times New Roman" w:hAnsi="Times New Roman" w:cs="Times New Roman"/>
      <w:spacing w:val="0"/>
      <w:sz w:val="24"/>
      <w:szCs w:val="24"/>
      <w:lang w:eastAsia="fr-BE"/>
    </w:rPr>
  </w:style>
  <w:style w:type="paragraph" w:styleId="Textedebulles">
    <w:name w:val="Balloon Text"/>
    <w:basedOn w:val="Normal"/>
    <w:link w:val="TextedebullesCar"/>
    <w:uiPriority w:val="99"/>
    <w:semiHidden/>
    <w:unhideWhenUsed/>
    <w:rsid w:val="00306630"/>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630"/>
    <w:rPr>
      <w:rFonts w:ascii="Tahoma" w:hAnsi="Tahoma" w:cs="Tahoma"/>
      <w:spacing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A8"/>
    <w:rPr>
      <w:rFonts w:ascii="Garamond Classical" w:hAnsi="Garamond Classical"/>
      <w:spacing w:val="-2"/>
    </w:rPr>
  </w:style>
  <w:style w:type="paragraph" w:styleId="Titre3">
    <w:name w:val="heading 3"/>
    <w:basedOn w:val="Normal"/>
    <w:link w:val="Titre3Car"/>
    <w:uiPriority w:val="9"/>
    <w:qFormat/>
    <w:rsid w:val="00306630"/>
    <w:pPr>
      <w:spacing w:before="100" w:beforeAutospacing="1" w:after="100" w:afterAutospacing="1"/>
      <w:jc w:val="left"/>
      <w:outlineLvl w:val="2"/>
    </w:pPr>
    <w:rPr>
      <w:rFonts w:ascii="Times New Roman" w:eastAsia="Times New Roman" w:hAnsi="Times New Roman" w:cs="Times New Roman"/>
      <w:b/>
      <w:bCs/>
      <w:spacing w:val="0"/>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06630"/>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306630"/>
    <w:rPr>
      <w:color w:val="AA3300"/>
      <w:u w:val="single"/>
    </w:rPr>
  </w:style>
  <w:style w:type="paragraph" w:styleId="NormalWeb">
    <w:name w:val="Normal (Web)"/>
    <w:basedOn w:val="Normal"/>
    <w:uiPriority w:val="99"/>
    <w:unhideWhenUsed/>
    <w:rsid w:val="00306630"/>
    <w:pPr>
      <w:spacing w:before="100" w:beforeAutospacing="1" w:after="100" w:afterAutospacing="1"/>
      <w:jc w:val="left"/>
    </w:pPr>
    <w:rPr>
      <w:rFonts w:ascii="Times New Roman" w:eastAsia="Times New Roman" w:hAnsi="Times New Roman" w:cs="Times New Roman"/>
      <w:spacing w:val="0"/>
      <w:sz w:val="24"/>
      <w:szCs w:val="24"/>
      <w:lang w:eastAsia="fr-BE"/>
    </w:rPr>
  </w:style>
  <w:style w:type="paragraph" w:styleId="Textedebulles">
    <w:name w:val="Balloon Text"/>
    <w:basedOn w:val="Normal"/>
    <w:link w:val="TextedebullesCar"/>
    <w:uiPriority w:val="99"/>
    <w:semiHidden/>
    <w:unhideWhenUsed/>
    <w:rsid w:val="00306630"/>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630"/>
    <w:rPr>
      <w:rFonts w:ascii="Tahoma" w:hAnsi="Tahoma" w:cs="Tahoma"/>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1520">
      <w:bodyDiv w:val="1"/>
      <w:marLeft w:val="0"/>
      <w:marRight w:val="0"/>
      <w:marTop w:val="0"/>
      <w:marBottom w:val="0"/>
      <w:divBdr>
        <w:top w:val="none" w:sz="0" w:space="0" w:color="auto"/>
        <w:left w:val="none" w:sz="0" w:space="0" w:color="auto"/>
        <w:bottom w:val="none" w:sz="0" w:space="0" w:color="auto"/>
        <w:right w:val="none" w:sz="0" w:space="0" w:color="auto"/>
      </w:divBdr>
      <w:divsChild>
        <w:div w:id="1132945717">
          <w:marLeft w:val="0"/>
          <w:marRight w:val="0"/>
          <w:marTop w:val="0"/>
          <w:marBottom w:val="0"/>
          <w:divBdr>
            <w:top w:val="none" w:sz="0" w:space="0" w:color="auto"/>
            <w:left w:val="none" w:sz="0" w:space="0" w:color="auto"/>
            <w:bottom w:val="none" w:sz="0" w:space="0" w:color="auto"/>
            <w:right w:val="none" w:sz="0" w:space="0" w:color="auto"/>
          </w:divBdr>
          <w:divsChild>
            <w:div w:id="1449885408">
              <w:marLeft w:val="0"/>
              <w:marRight w:val="0"/>
              <w:marTop w:val="0"/>
              <w:marBottom w:val="0"/>
              <w:divBdr>
                <w:top w:val="none" w:sz="0" w:space="0" w:color="auto"/>
                <w:left w:val="none" w:sz="0" w:space="0" w:color="auto"/>
                <w:bottom w:val="none" w:sz="0" w:space="0" w:color="auto"/>
                <w:right w:val="none" w:sz="0" w:space="0" w:color="auto"/>
              </w:divBdr>
            </w:div>
            <w:div w:id="19706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iner-verlag.de/uploads/tx_crondavtitel/datei-datei/9783515103077_i.pdf" TargetMode="External"/><Relationship Id="rId13" Type="http://schemas.openxmlformats.org/officeDocument/2006/relationships/hyperlink" Target="http://www.bmcreview.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mcreview.org/2015/10/20151013.html" TargetMode="External"/><Relationship Id="rId12" Type="http://schemas.openxmlformats.org/officeDocument/2006/relationships/hyperlink" Target="http://bmcr.brynmawr.edu/archive.html" TargetMode="External"/><Relationship Id="rId17" Type="http://schemas.openxmlformats.org/officeDocument/2006/relationships/hyperlink" Target="http://bmcr.brynmawr.edu/" TargetMode="External"/><Relationship Id="rId2" Type="http://schemas.microsoft.com/office/2007/relationships/stylesWithEffects" Target="stylesWithEffects.xml"/><Relationship Id="rId16" Type="http://schemas.openxmlformats.org/officeDocument/2006/relationships/hyperlink" Target="http://bmcr.brynmawr.edu/commentaries.html"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bmcr.brynmawr.edu/recent.html" TargetMode="External"/><Relationship Id="rId5" Type="http://schemas.openxmlformats.org/officeDocument/2006/relationships/hyperlink" Target="http://bmcr.brynmawr.edu/" TargetMode="External"/><Relationship Id="rId15" Type="http://schemas.openxmlformats.org/officeDocument/2006/relationships/hyperlink" Target="http://bmcr.brynmawr.edu/review.html" TargetMode="External"/><Relationship Id="rId10" Type="http://schemas.openxmlformats.org/officeDocument/2006/relationships/hyperlink" Target="http://bmcr.brynmawr.edu/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creview.org/2015/10/20151013.html" TargetMode="External"/><Relationship Id="rId14" Type="http://schemas.openxmlformats.org/officeDocument/2006/relationships/hyperlink" Target="http://bmcr.brynmawr.edu/abou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1460</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2015-10-09T08:54:00Z</dcterms:created>
  <dcterms:modified xsi:type="dcterms:W3CDTF">2015-10-09T08:56:00Z</dcterms:modified>
</cp:coreProperties>
</file>