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A6033" w14:textId="4D94FDA9" w:rsidR="00995F42" w:rsidRPr="00995F42" w:rsidRDefault="00246D8E" w:rsidP="00246D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CLEC-2 </w:t>
      </w:r>
      <w:r w:rsidR="00423BB2">
        <w:rPr>
          <w:rFonts w:ascii="Times New Roman" w:hAnsi="Times New Roman" w:cs="Times New Roman"/>
          <w:b/>
          <w:sz w:val="24"/>
          <w:szCs w:val="24"/>
        </w:rPr>
        <w:t>is required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0E75C2">
        <w:rPr>
          <w:rFonts w:ascii="Times New Roman" w:hAnsi="Times New Roman" w:cs="Times New Roman"/>
          <w:b/>
          <w:sz w:val="24"/>
          <w:szCs w:val="24"/>
        </w:rPr>
        <w:t xml:space="preserve"> activation </w:t>
      </w:r>
      <w:r>
        <w:rPr>
          <w:rFonts w:ascii="Times New Roman" w:hAnsi="Times New Roman" w:cs="Times New Roman"/>
          <w:b/>
          <w:sz w:val="24"/>
          <w:szCs w:val="24"/>
        </w:rPr>
        <w:t xml:space="preserve">of mouse platelets by </w:t>
      </w:r>
      <w:r w:rsidR="000E75C2">
        <w:rPr>
          <w:rFonts w:ascii="Times New Roman" w:hAnsi="Times New Roman" w:cs="Times New Roman"/>
          <w:b/>
          <w:sz w:val="24"/>
          <w:szCs w:val="24"/>
        </w:rPr>
        <w:t>b</w:t>
      </w:r>
      <w:r w:rsidR="00995F42" w:rsidRPr="00995F42">
        <w:rPr>
          <w:rFonts w:ascii="Times New Roman" w:hAnsi="Times New Roman" w:cs="Times New Roman"/>
          <w:b/>
          <w:sz w:val="24"/>
          <w:szCs w:val="24"/>
        </w:rPr>
        <w:t xml:space="preserve">acterial DNA mimetics </w:t>
      </w:r>
    </w:p>
    <w:p w14:paraId="128384F9" w14:textId="7541475D" w:rsidR="00995F42" w:rsidRPr="00A15420" w:rsidRDefault="00995F42" w:rsidP="00995F42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Céline Delierneux,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1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 xml:space="preserve"> Alexandre Hego,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1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 xml:space="preserve"> Christelle Lecut,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1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15420"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  <w:t>Maud Vandereyken,</w:t>
      </w:r>
      <w:r w:rsidRPr="00A15420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fr-FR"/>
        </w:rPr>
        <w:t>2</w:t>
      </w:r>
      <w:r w:rsidRPr="00A15420"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  <w:t xml:space="preserve"> Lucia Musumeci,</w:t>
      </w:r>
      <w:r w:rsidRPr="00A15420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fr-FR"/>
        </w:rPr>
        <w:t>2</w:t>
      </w:r>
      <w:r w:rsidRPr="00A15420"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  <w:t xml:space="preserve"> Souad Rahmouni,</w:t>
      </w:r>
      <w:r w:rsidRPr="00A15420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eastAsia="fr-FR"/>
        </w:rPr>
        <w:t>2</w:t>
      </w:r>
      <w:r w:rsidRPr="00A15420"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  <w:t xml:space="preserve"> 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>Vincent Bours,</w:t>
      </w:r>
      <w:r w:rsidR="00652B09">
        <w:rPr>
          <w:rStyle w:val="lev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3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 xml:space="preserve"> Patrizio Lancellotti,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1,</w:t>
      </w:r>
      <w:r w:rsidR="00652B09">
        <w:rPr>
          <w:rStyle w:val="lev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4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</w:rPr>
        <w:t xml:space="preserve"> Cécile Oury</w:t>
      </w:r>
      <w:r w:rsidRPr="00A15420">
        <w:rPr>
          <w:rStyle w:val="lev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1</w:t>
      </w:r>
    </w:p>
    <w:p w14:paraId="5A910040" w14:textId="77777777" w:rsidR="00995F42" w:rsidRDefault="00995F42" w:rsidP="00995F4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47E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Laboratory of Thrombosis and H</w:t>
      </w:r>
      <w:r w:rsidRPr="008C7381">
        <w:rPr>
          <w:rFonts w:ascii="Times New Roman" w:hAnsi="Times New Roman"/>
          <w:sz w:val="24"/>
          <w:szCs w:val="24"/>
        </w:rPr>
        <w:t>emostasis, GIGA-Cardiov</w:t>
      </w:r>
      <w:r>
        <w:rPr>
          <w:rFonts w:ascii="Times New Roman" w:hAnsi="Times New Roman"/>
          <w:sz w:val="24"/>
          <w:szCs w:val="24"/>
        </w:rPr>
        <w:t>ascular Sciences, University of</w:t>
      </w:r>
    </w:p>
    <w:p w14:paraId="07C36F25" w14:textId="77777777" w:rsidR="00995F42" w:rsidRDefault="00995F42" w:rsidP="00995F4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C7381">
        <w:rPr>
          <w:rFonts w:ascii="Times New Roman" w:hAnsi="Times New Roman"/>
          <w:sz w:val="24"/>
          <w:szCs w:val="24"/>
        </w:rPr>
        <w:t>Liège, Liège, Belgium</w:t>
      </w:r>
      <w:r>
        <w:rPr>
          <w:rFonts w:ascii="Times New Roman" w:hAnsi="Times New Roman"/>
          <w:sz w:val="24"/>
          <w:szCs w:val="24"/>
        </w:rPr>
        <w:t>.</w:t>
      </w:r>
    </w:p>
    <w:p w14:paraId="6F8B9463" w14:textId="77777777" w:rsidR="00995F42" w:rsidRPr="00583021" w:rsidRDefault="00995F42" w:rsidP="0099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fr-FR"/>
        </w:rPr>
      </w:pPr>
      <w:r w:rsidRPr="00C34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3021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Immunology and Infectious Diseases Unit, GIGA-Signal Transduction, University of Liège, Liège, Belgium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.</w:t>
      </w:r>
    </w:p>
    <w:p w14:paraId="4370E3C1" w14:textId="2E692A5A" w:rsidR="00995F42" w:rsidRDefault="00652B09" w:rsidP="009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5F42" w:rsidRPr="00893277">
        <w:rPr>
          <w:rFonts w:ascii="Times New Roman" w:eastAsia="Times New Roman" w:hAnsi="Times New Roman" w:cs="Times New Roman"/>
          <w:sz w:val="24"/>
          <w:szCs w:val="24"/>
        </w:rPr>
        <w:t>Dep</w:t>
      </w:r>
      <w:r w:rsidR="00995F42">
        <w:rPr>
          <w:rFonts w:ascii="Times New Roman" w:eastAsia="Times New Roman" w:hAnsi="Times New Roman" w:cs="Times New Roman"/>
          <w:sz w:val="24"/>
          <w:szCs w:val="24"/>
        </w:rPr>
        <w:t xml:space="preserve">artment of Human Genetics, </w:t>
      </w:r>
      <w:r w:rsidR="00995F42" w:rsidRPr="00893277">
        <w:rPr>
          <w:rFonts w:ascii="Times New Roman" w:eastAsia="Times New Roman" w:hAnsi="Times New Roman" w:cs="Times New Roman"/>
          <w:sz w:val="24"/>
          <w:szCs w:val="24"/>
        </w:rPr>
        <w:t>GIGA Research Center, University of Liège, Liège, Belgium</w:t>
      </w:r>
    </w:p>
    <w:p w14:paraId="5CDE299F" w14:textId="43085F9C" w:rsidR="00995F42" w:rsidRPr="00503255" w:rsidRDefault="00652B09" w:rsidP="00995F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95F42" w:rsidRPr="007905AE">
        <w:rPr>
          <w:rFonts w:ascii="Times New Roman" w:hAnsi="Times New Roman" w:cs="Times New Roman"/>
          <w:sz w:val="24"/>
          <w:szCs w:val="24"/>
          <w:lang w:val="en-AU"/>
        </w:rPr>
        <w:t xml:space="preserve">University of Liège Hospital, GIGA Cardiovascular Sciences, </w:t>
      </w:r>
      <w:r w:rsidR="00995F42">
        <w:rPr>
          <w:rFonts w:ascii="Times New Roman" w:hAnsi="Times New Roman" w:cs="Times New Roman"/>
          <w:sz w:val="24"/>
          <w:szCs w:val="24"/>
        </w:rPr>
        <w:t>Department of Cardiology, Heart Valve Clinic, CHU Sart-Tilman</w:t>
      </w:r>
      <w:r w:rsidR="00995F42" w:rsidRPr="008C7381">
        <w:rPr>
          <w:rFonts w:ascii="Times New Roman" w:hAnsi="Times New Roman"/>
          <w:sz w:val="24"/>
          <w:szCs w:val="24"/>
        </w:rPr>
        <w:t>, Liège, Belgium</w:t>
      </w:r>
      <w:r w:rsidR="00995F42">
        <w:rPr>
          <w:rFonts w:ascii="Times New Roman" w:hAnsi="Times New Roman"/>
          <w:sz w:val="24"/>
          <w:szCs w:val="24"/>
        </w:rPr>
        <w:t>.</w:t>
      </w:r>
    </w:p>
    <w:p w14:paraId="74442E48" w14:textId="33139456" w:rsidR="000E75C2" w:rsidRPr="00B347C1" w:rsidRDefault="000E75C2" w:rsidP="000E7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Background: </w:t>
      </w:r>
      <w:r w:rsidR="00C94BDD"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Short nuclease-resistant </w:t>
      </w:r>
      <w:proofErr w:type="spellStart"/>
      <w:r w:rsidR="00C94BDD" w:rsidRPr="00B347C1">
        <w:rPr>
          <w:rFonts w:ascii="Times New Roman" w:hAnsi="Times New Roman" w:cs="Times New Roman"/>
          <w:sz w:val="24"/>
          <w:szCs w:val="24"/>
          <w:lang w:val="en-US"/>
        </w:rPr>
        <w:t>phosphorothioate</w:t>
      </w:r>
      <w:proofErr w:type="spellEnd"/>
      <w:r w:rsidR="00C94BDD"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 synthetic </w:t>
      </w:r>
      <w:proofErr w:type="spellStart"/>
      <w:r w:rsidR="00C94BDD" w:rsidRPr="00B347C1"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 motif-bearing</w:t>
      </w:r>
      <w:r w:rsidR="00C94BDD"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 oligonucleotides </w:t>
      </w:r>
      <w:r w:rsidR="00C94B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94BDD"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 ODN</w:t>
      </w:r>
      <w:r w:rsidR="001A62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4BDD"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mimicking bacterial DNA </w:t>
      </w:r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display potent </w:t>
      </w:r>
      <w:proofErr w:type="spellStart"/>
      <w:r w:rsidR="00C94BDD">
        <w:rPr>
          <w:rFonts w:ascii="Times New Roman" w:hAnsi="Times New Roman" w:cs="Times New Roman"/>
          <w:sz w:val="24"/>
          <w:szCs w:val="24"/>
          <w:lang w:val="en-US"/>
        </w:rPr>
        <w:t>immunostimulatory</w:t>
      </w:r>
      <w:proofErr w:type="spellEnd"/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 activity </w:t>
      </w:r>
      <w:r w:rsidR="00C94BDD" w:rsidRPr="00B347C1">
        <w:rPr>
          <w:rFonts w:ascii="Times New Roman" w:hAnsi="Times New Roman" w:cs="Times New Roman"/>
          <w:sz w:val="24"/>
          <w:szCs w:val="24"/>
          <w:lang w:val="en-US"/>
        </w:rPr>
        <w:t>and are therefore being used in clinical trials as vaccine adjuvants.</w:t>
      </w:r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 Cellular uptake and activation depends on the interaction of </w:t>
      </w:r>
      <w:proofErr w:type="spellStart"/>
      <w:r w:rsidR="00C94BDD"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 ODN</w:t>
      </w:r>
      <w:r w:rsidR="001A62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 with the C-type </w:t>
      </w:r>
      <w:proofErr w:type="spellStart"/>
      <w:r w:rsidR="00C94BDD">
        <w:rPr>
          <w:rFonts w:ascii="Times New Roman" w:hAnsi="Times New Roman" w:cs="Times New Roman"/>
          <w:sz w:val="24"/>
          <w:szCs w:val="24"/>
          <w:lang w:val="en-US"/>
        </w:rPr>
        <w:t>lectin</w:t>
      </w:r>
      <w:proofErr w:type="spellEnd"/>
      <w:r w:rsidR="00C94BDD">
        <w:rPr>
          <w:rFonts w:ascii="Times New Roman" w:hAnsi="Times New Roman" w:cs="Times New Roman"/>
          <w:sz w:val="24"/>
          <w:szCs w:val="24"/>
          <w:lang w:val="en-US"/>
        </w:rPr>
        <w:t xml:space="preserve"> receptor DEC-205 and subsequent </w:t>
      </w:r>
      <w:r w:rsidR="00F700A1">
        <w:rPr>
          <w:rFonts w:ascii="Times New Roman" w:hAnsi="Times New Roman" w:cs="Times New Roman"/>
          <w:sz w:val="24"/>
          <w:szCs w:val="24"/>
          <w:lang w:val="en-US"/>
        </w:rPr>
        <w:t xml:space="preserve">stimulation of the 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15420">
        <w:rPr>
          <w:rFonts w:ascii="Times New Roman" w:hAnsi="Times New Roman" w:cs="Times New Roman"/>
          <w:sz w:val="24"/>
          <w:szCs w:val="24"/>
          <w:lang w:val="en-US"/>
        </w:rPr>
        <w:t xml:space="preserve">oll-like receptor 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700A1">
        <w:rPr>
          <w:rFonts w:ascii="Times New Roman" w:hAnsi="Times New Roman" w:cs="Times New Roman"/>
          <w:sz w:val="24"/>
          <w:szCs w:val="24"/>
          <w:lang w:val="en-US"/>
        </w:rPr>
        <w:t xml:space="preserve"> (TLR9) and</w:t>
      </w:r>
      <w:r w:rsidR="00A1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2B09" w:rsidRPr="00652B09">
        <w:rPr>
          <w:rStyle w:val="Accentuation"/>
          <w:rFonts w:ascii="Times New Roman" w:eastAsia="Times New Roman" w:hAnsi="Times New Roman" w:cs="Times New Roman"/>
          <w:i w:val="0"/>
          <w:sz w:val="24"/>
          <w:szCs w:val="24"/>
        </w:rPr>
        <w:t>myeloid differentiation primary response 88</w:t>
      </w:r>
      <w:r w:rsidR="00652B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15420">
        <w:rPr>
          <w:rFonts w:ascii="Times New Roman" w:hAnsi="Times New Roman" w:cs="Times New Roman"/>
          <w:sz w:val="24"/>
          <w:szCs w:val="24"/>
          <w:lang w:val="en-US"/>
        </w:rPr>
        <w:t>MyD88</w:t>
      </w:r>
      <w:r w:rsidR="00652B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5420">
        <w:rPr>
          <w:rFonts w:ascii="Times New Roman" w:hAnsi="Times New Roman" w:cs="Times New Roman"/>
          <w:sz w:val="24"/>
          <w:szCs w:val="24"/>
          <w:lang w:val="en-US"/>
        </w:rPr>
        <w:t xml:space="preserve"> signaling</w:t>
      </w:r>
      <w:r w:rsidR="00652B09">
        <w:rPr>
          <w:rFonts w:ascii="Times New Roman" w:hAnsi="Times New Roman" w:cs="Times New Roman"/>
          <w:sz w:val="24"/>
          <w:szCs w:val="24"/>
          <w:lang w:val="en-US"/>
        </w:rPr>
        <w:t xml:space="preserve"> cascade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065A">
        <w:rPr>
          <w:rFonts w:ascii="Times New Roman" w:hAnsi="Times New Roman" w:cs="Times New Roman"/>
          <w:sz w:val="24"/>
          <w:szCs w:val="24"/>
          <w:lang w:val="en-US"/>
        </w:rPr>
        <w:t xml:space="preserve">Platelets express TLR9, </w:t>
      </w:r>
      <w:r w:rsidR="00F700A1">
        <w:rPr>
          <w:rFonts w:ascii="Times New Roman" w:hAnsi="Times New Roman" w:cs="Times New Roman"/>
          <w:sz w:val="24"/>
          <w:szCs w:val="24"/>
          <w:lang w:val="en-US"/>
        </w:rPr>
        <w:t>MyD88, and</w:t>
      </w:r>
      <w:r w:rsidR="00F700A1" w:rsidRPr="00F70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0A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700A1" w:rsidRPr="00F700A1">
        <w:rPr>
          <w:rStyle w:val="Accentuation"/>
          <w:rFonts w:ascii="Times New Roman" w:eastAsia="Times New Roman" w:hAnsi="Times New Roman" w:cs="Times New Roman"/>
          <w:i w:val="0"/>
          <w:sz w:val="24"/>
          <w:szCs w:val="24"/>
        </w:rPr>
        <w:t>C</w:t>
      </w:r>
      <w:r w:rsidR="00F700A1" w:rsidRPr="00F700A1">
        <w:rPr>
          <w:rStyle w:val="st"/>
          <w:rFonts w:ascii="Times New Roman" w:eastAsia="Times New Roman" w:hAnsi="Times New Roman" w:cs="Times New Roman"/>
          <w:i/>
          <w:sz w:val="24"/>
          <w:szCs w:val="24"/>
        </w:rPr>
        <w:t>-</w:t>
      </w:r>
      <w:r w:rsidR="00F700A1" w:rsidRPr="00F700A1">
        <w:rPr>
          <w:rStyle w:val="Accentuation"/>
          <w:rFonts w:ascii="Times New Roman" w:eastAsia="Times New Roman" w:hAnsi="Times New Roman" w:cs="Times New Roman"/>
          <w:i w:val="0"/>
          <w:sz w:val="24"/>
          <w:szCs w:val="24"/>
        </w:rPr>
        <w:t>type lectin</w:t>
      </w:r>
      <w:r w:rsidR="00F700A1" w:rsidRPr="00F700A1">
        <w:rPr>
          <w:rStyle w:val="st"/>
          <w:rFonts w:ascii="Times New Roman" w:eastAsia="Times New Roman" w:hAnsi="Times New Roman" w:cs="Times New Roman"/>
          <w:sz w:val="24"/>
          <w:szCs w:val="24"/>
        </w:rPr>
        <w:t>-like</w:t>
      </w:r>
      <w:r w:rsidR="00F700A1" w:rsidRPr="00F700A1">
        <w:rPr>
          <w:rStyle w:val="st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00A1" w:rsidRPr="00F700A1">
        <w:rPr>
          <w:rStyle w:val="Accentuation"/>
          <w:rFonts w:ascii="Times New Roman" w:eastAsia="Times New Roman" w:hAnsi="Times New Roman" w:cs="Times New Roman"/>
          <w:i w:val="0"/>
          <w:sz w:val="24"/>
          <w:szCs w:val="24"/>
        </w:rPr>
        <w:t>receptor</w:t>
      </w:r>
      <w:r w:rsidR="00F700A1" w:rsidRPr="00F700A1">
        <w:rPr>
          <w:rStyle w:val="st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00A1" w:rsidRPr="00F700A1">
        <w:rPr>
          <w:rStyle w:val="st"/>
          <w:rFonts w:ascii="Times New Roman" w:eastAsia="Times New Roman" w:hAnsi="Times New Roman" w:cs="Times New Roman"/>
          <w:sz w:val="24"/>
          <w:szCs w:val="24"/>
        </w:rPr>
        <w:t>2</w:t>
      </w:r>
      <w:r w:rsidR="00F700A1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(CLEC-2). </w:t>
      </w:r>
      <w:r w:rsidR="008C472D">
        <w:rPr>
          <w:rFonts w:ascii="Times New Roman" w:hAnsi="Times New Roman" w:cs="Times New Roman"/>
          <w:sz w:val="24"/>
          <w:szCs w:val="24"/>
        </w:rPr>
        <w:t xml:space="preserve">However, the </w:t>
      </w:r>
      <w:r w:rsidRPr="00B347C1">
        <w:rPr>
          <w:rFonts w:ascii="Times New Roman" w:hAnsi="Times New Roman" w:cs="Times New Roman"/>
          <w:sz w:val="24"/>
          <w:szCs w:val="24"/>
        </w:rPr>
        <w:t>impacts</w:t>
      </w:r>
      <w:r w:rsidR="008C472D">
        <w:rPr>
          <w:rFonts w:ascii="Times New Roman" w:hAnsi="Times New Roman" w:cs="Times New Roman"/>
          <w:sz w:val="24"/>
          <w:szCs w:val="24"/>
        </w:rPr>
        <w:t xml:space="preserve"> of </w:t>
      </w:r>
      <w:r w:rsidR="00AE37AE">
        <w:rPr>
          <w:rFonts w:ascii="Times New Roman" w:hAnsi="Times New Roman" w:cs="Times New Roman"/>
          <w:sz w:val="24"/>
          <w:szCs w:val="24"/>
        </w:rPr>
        <w:t>CpG ODNs</w:t>
      </w:r>
      <w:r w:rsidRPr="00B347C1">
        <w:rPr>
          <w:rFonts w:ascii="Times New Roman" w:hAnsi="Times New Roman" w:cs="Times New Roman"/>
          <w:sz w:val="24"/>
          <w:szCs w:val="24"/>
        </w:rPr>
        <w:t xml:space="preserve"> on platelet function have been elusive. </w:t>
      </w:r>
    </w:p>
    <w:p w14:paraId="76B07B43" w14:textId="278D823D" w:rsidR="000E75C2" w:rsidRPr="00B347C1" w:rsidRDefault="000E75C2" w:rsidP="000E7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Aims: </w:t>
      </w:r>
      <w:r w:rsidR="001A6258">
        <w:rPr>
          <w:rFonts w:ascii="Times New Roman" w:hAnsi="Times New Roman" w:cs="Times New Roman"/>
          <w:sz w:val="24"/>
          <w:szCs w:val="24"/>
          <w:lang w:val="en-US"/>
        </w:rPr>
        <w:t xml:space="preserve">To evaluate whether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ODN</w:t>
      </w:r>
      <w:r w:rsidR="001A625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affect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 platelet activation and thrombus formation</w:t>
      </w:r>
      <w:r w:rsidR="001A6258">
        <w:rPr>
          <w:rFonts w:ascii="Times New Roman" w:hAnsi="Times New Roman" w:cs="Times New Roman"/>
          <w:sz w:val="24"/>
          <w:szCs w:val="24"/>
          <w:lang w:val="en-US"/>
        </w:rPr>
        <w:t xml:space="preserve"> via CLEC-2 and TLR9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75A3F6" w14:textId="60DC9CC3" w:rsidR="000E75C2" w:rsidRPr="00B347C1" w:rsidRDefault="000E75C2" w:rsidP="000E7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Methods: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incubated washed 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platelets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whole blood </w:t>
      </w:r>
      <w:r w:rsidR="00A15420">
        <w:rPr>
          <w:rFonts w:ascii="Times New Roman" w:hAnsi="Times New Roman" w:cs="Times New Roman"/>
          <w:sz w:val="24"/>
          <w:szCs w:val="24"/>
          <w:lang w:val="en-US"/>
        </w:rPr>
        <w:t xml:space="preserve">from TLR9-, MyD88- </w:t>
      </w:r>
      <w:r w:rsidR="008C472D">
        <w:rPr>
          <w:rFonts w:ascii="Times New Roman" w:hAnsi="Times New Roman" w:cs="Times New Roman"/>
          <w:sz w:val="24"/>
          <w:szCs w:val="24"/>
          <w:lang w:val="en-US"/>
        </w:rPr>
        <w:t>or CLEC-2</w:t>
      </w:r>
      <w:r w:rsidR="00053A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C472D">
        <w:rPr>
          <w:rFonts w:ascii="Times New Roman" w:hAnsi="Times New Roman" w:cs="Times New Roman"/>
          <w:sz w:val="24"/>
          <w:szCs w:val="24"/>
          <w:lang w:val="en-US"/>
        </w:rPr>
        <w:t xml:space="preserve"> deficient mice </w:t>
      </w:r>
      <w:r w:rsidR="00AE37AE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ODN</w:t>
      </w:r>
      <w:r w:rsidR="001A62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. We performed platelet </w:t>
      </w:r>
      <w:proofErr w:type="spellStart"/>
      <w:r w:rsidRPr="00B347C1">
        <w:rPr>
          <w:rFonts w:ascii="Times New Roman" w:hAnsi="Times New Roman" w:cs="Times New Roman"/>
          <w:sz w:val="24"/>
          <w:szCs w:val="24"/>
          <w:lang w:val="en-US"/>
        </w:rPr>
        <w:t>aggregometry</w:t>
      </w:r>
      <w:proofErr w:type="spellEnd"/>
      <w:r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, flow </w:t>
      </w:r>
      <w:proofErr w:type="spellStart"/>
      <w:r w:rsidRPr="00B347C1">
        <w:rPr>
          <w:rFonts w:ascii="Times New Roman" w:hAnsi="Times New Roman" w:cs="Times New Roman"/>
          <w:sz w:val="24"/>
          <w:szCs w:val="24"/>
          <w:lang w:val="en-US"/>
        </w:rPr>
        <w:t>cytometric</w:t>
      </w:r>
      <w:proofErr w:type="spellEnd"/>
      <w:r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 binding an</w:t>
      </w:r>
      <w:r>
        <w:rPr>
          <w:rFonts w:ascii="Times New Roman" w:hAnsi="Times New Roman" w:cs="Times New Roman"/>
          <w:sz w:val="24"/>
          <w:szCs w:val="24"/>
          <w:lang w:val="en-US"/>
        </w:rPr>
        <w:t>d platelet activation assays as well as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 signal transduction analyses. Thrombus formation and fibrin generation were also analyzed by </w:t>
      </w:r>
      <w:proofErr w:type="spellStart"/>
      <w:r w:rsidRPr="00B347C1">
        <w:rPr>
          <w:rFonts w:ascii="Times New Roman" w:hAnsi="Times New Roman" w:cs="Times New Roman"/>
          <w:sz w:val="24"/>
          <w:szCs w:val="24"/>
          <w:lang w:val="en-US"/>
        </w:rPr>
        <w:t>intravital</w:t>
      </w:r>
      <w:proofErr w:type="spellEnd"/>
      <w:r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 microscopy in mouse microcirculation upon intravenous injection of </w:t>
      </w:r>
      <w:proofErr w:type="spellStart"/>
      <w:r w:rsidR="001A6258"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 w:rsidR="001A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>ODN</w:t>
      </w:r>
      <w:r w:rsidR="001A62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47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20007E" w14:textId="65A1FCD9" w:rsidR="000E75C2" w:rsidRPr="00B347C1" w:rsidRDefault="000E75C2" w:rsidP="000E7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7C1"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 w:rsidR="00246D8E">
        <w:rPr>
          <w:rFonts w:ascii="Times New Roman" w:hAnsi="Times New Roman" w:cs="Times New Roman"/>
          <w:sz w:val="24"/>
          <w:szCs w:val="24"/>
        </w:rPr>
        <w:t xml:space="preserve">We </w:t>
      </w:r>
      <w:r w:rsidRPr="00B347C1">
        <w:rPr>
          <w:rFonts w:ascii="Times New Roman" w:hAnsi="Times New Roman" w:cs="Times New Roman"/>
          <w:sz w:val="24"/>
          <w:szCs w:val="24"/>
        </w:rPr>
        <w:t xml:space="preserve">show that </w:t>
      </w:r>
      <w:r w:rsidR="00246D8E">
        <w:rPr>
          <w:rStyle w:val="lev"/>
          <w:rFonts w:ascii="Times New Roman" w:hAnsi="Times New Roman" w:cs="Times New Roman"/>
          <w:b w:val="0"/>
          <w:sz w:val="24"/>
          <w:szCs w:val="24"/>
        </w:rPr>
        <w:t>CpG ODN</w:t>
      </w:r>
      <w:r w:rsidR="001A6258">
        <w:rPr>
          <w:rStyle w:val="lev"/>
          <w:rFonts w:ascii="Times New Roman" w:hAnsi="Times New Roman" w:cs="Times New Roman"/>
          <w:b w:val="0"/>
          <w:sz w:val="24"/>
          <w:szCs w:val="24"/>
        </w:rPr>
        <w:t>s</w:t>
      </w:r>
      <w:r w:rsidRPr="00246D8E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bind on platelet surface and are internalized. They</w:t>
      </w:r>
      <w:r w:rsidRPr="00B347C1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B347C1">
        <w:rPr>
          <w:rFonts w:ascii="Times New Roman" w:hAnsi="Times New Roman" w:cs="Times New Roman"/>
          <w:sz w:val="24"/>
          <w:szCs w:val="24"/>
        </w:rPr>
        <w:t>activate platelets and induce their aggregation. TLR9- or MyD88-deficient platelets aggreg</w:t>
      </w:r>
      <w:r w:rsidR="00AE37AE">
        <w:rPr>
          <w:rFonts w:ascii="Times New Roman" w:hAnsi="Times New Roman" w:cs="Times New Roman"/>
          <w:sz w:val="24"/>
          <w:szCs w:val="24"/>
        </w:rPr>
        <w:t>ated normally in response to CpG ODN</w:t>
      </w:r>
      <w:r w:rsidRPr="00B347C1">
        <w:rPr>
          <w:rFonts w:ascii="Times New Roman" w:hAnsi="Times New Roman" w:cs="Times New Roman"/>
          <w:sz w:val="24"/>
          <w:szCs w:val="24"/>
        </w:rPr>
        <w:t>. Interestingly, platelets deficient for the C-type lectin receptor CLEC-2 were unabl</w:t>
      </w:r>
      <w:r w:rsidR="00AE37AE">
        <w:rPr>
          <w:rFonts w:ascii="Times New Roman" w:hAnsi="Times New Roman" w:cs="Times New Roman"/>
          <w:sz w:val="24"/>
          <w:szCs w:val="24"/>
        </w:rPr>
        <w:t xml:space="preserve">e to capture and internalize CpG </w:t>
      </w:r>
      <w:r w:rsidRPr="00B347C1">
        <w:rPr>
          <w:rFonts w:ascii="Times New Roman" w:hAnsi="Times New Roman" w:cs="Times New Roman"/>
          <w:sz w:val="24"/>
          <w:szCs w:val="24"/>
        </w:rPr>
        <w:t>ODN. CLEC-</w:t>
      </w:r>
      <w:r w:rsidR="00AE37AE">
        <w:rPr>
          <w:rFonts w:ascii="Times New Roman" w:hAnsi="Times New Roman" w:cs="Times New Roman"/>
          <w:sz w:val="24"/>
          <w:szCs w:val="24"/>
        </w:rPr>
        <w:t xml:space="preserve">2 deficiency abolished CpG </w:t>
      </w:r>
      <w:r w:rsidRPr="00B347C1">
        <w:rPr>
          <w:rFonts w:ascii="Times New Roman" w:hAnsi="Times New Roman" w:cs="Times New Roman"/>
          <w:sz w:val="24"/>
          <w:szCs w:val="24"/>
        </w:rPr>
        <w:t>ODN-induced platelet</w:t>
      </w:r>
      <w:r w:rsidR="00AE37AE">
        <w:rPr>
          <w:rFonts w:ascii="Times New Roman" w:hAnsi="Times New Roman" w:cs="Times New Roman"/>
          <w:sz w:val="24"/>
          <w:szCs w:val="24"/>
        </w:rPr>
        <w:t xml:space="preserve"> activation and aggregation. </w:t>
      </w:r>
      <w:r w:rsidRPr="00B347C1">
        <w:rPr>
          <w:rFonts w:ascii="Times New Roman" w:hAnsi="Times New Roman" w:cs="Times New Roman"/>
          <w:sz w:val="24"/>
          <w:szCs w:val="24"/>
        </w:rPr>
        <w:t xml:space="preserve">CpG ODN stimulated CLEC-2 dependent tyrosine kinase pathway and Syk phosphorylation. In </w:t>
      </w:r>
      <w:r w:rsidR="00AE37AE">
        <w:rPr>
          <w:rFonts w:ascii="Times New Roman" w:hAnsi="Times New Roman" w:cs="Times New Roman"/>
          <w:sz w:val="24"/>
          <w:szCs w:val="24"/>
        </w:rPr>
        <w:t xml:space="preserve">vivo, intravenously injected </w:t>
      </w:r>
      <w:r w:rsidRPr="00B347C1">
        <w:rPr>
          <w:rFonts w:ascii="Times New Roman" w:hAnsi="Times New Roman" w:cs="Times New Roman"/>
          <w:sz w:val="24"/>
          <w:szCs w:val="24"/>
        </w:rPr>
        <w:t xml:space="preserve">CpG ODN interacted with platelets adhered to laser injured </w:t>
      </w:r>
      <w:r w:rsidR="00FD065A">
        <w:rPr>
          <w:rFonts w:ascii="Times New Roman" w:hAnsi="Times New Roman" w:cs="Times New Roman"/>
          <w:sz w:val="24"/>
          <w:szCs w:val="24"/>
        </w:rPr>
        <w:t xml:space="preserve">arteriolar </w:t>
      </w:r>
      <w:r w:rsidRPr="00B347C1">
        <w:rPr>
          <w:rFonts w:ascii="Times New Roman" w:hAnsi="Times New Roman" w:cs="Times New Roman"/>
          <w:sz w:val="24"/>
          <w:szCs w:val="24"/>
        </w:rPr>
        <w:t>endothelia and promoted fibrin generation and thrombus growth.</w:t>
      </w:r>
    </w:p>
    <w:p w14:paraId="35BF9972" w14:textId="58E36D5A" w:rsidR="000E75C2" w:rsidRPr="00B347C1" w:rsidRDefault="00FD065A" w:rsidP="000E7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="000E75C2" w:rsidRPr="00B34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E37AE">
        <w:rPr>
          <w:rFonts w:ascii="Times New Roman" w:hAnsi="Times New Roman" w:cs="Times New Roman"/>
          <w:sz w:val="24"/>
          <w:szCs w:val="24"/>
          <w:lang w:val="en-US"/>
        </w:rPr>
        <w:t xml:space="preserve">CLEC-2 mediates </w:t>
      </w:r>
      <w:proofErr w:type="spellStart"/>
      <w:r w:rsidR="000E75C2" w:rsidRPr="00B347C1"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 w:rsidR="000E75C2" w:rsidRPr="00B347C1">
        <w:rPr>
          <w:rFonts w:ascii="Times New Roman" w:hAnsi="Times New Roman" w:cs="Times New Roman"/>
          <w:sz w:val="24"/>
          <w:szCs w:val="24"/>
          <w:lang w:val="en-US"/>
        </w:rPr>
        <w:t xml:space="preserve"> ODN uptake and subsequent platelet activ</w:t>
      </w:r>
      <w:r w:rsidR="00053A2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E37AE">
        <w:rPr>
          <w:rFonts w:ascii="Times New Roman" w:hAnsi="Times New Roman" w:cs="Times New Roman"/>
          <w:sz w:val="24"/>
          <w:szCs w:val="24"/>
          <w:lang w:val="en-US"/>
        </w:rPr>
        <w:t>ion, independently of TLR9, which may serve an important role in the interplay between platelets and immunity.</w:t>
      </w:r>
    </w:p>
    <w:p w14:paraId="40671997" w14:textId="77777777" w:rsidR="00DA52C6" w:rsidRDefault="00DA52C6" w:rsidP="00737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fr-FR" w:eastAsia="fr-FR"/>
        </w:rPr>
      </w:pPr>
    </w:p>
    <w:p w14:paraId="4E4D7B77" w14:textId="46B39199" w:rsidR="00DA52C6" w:rsidRPr="00DA52C6" w:rsidRDefault="00DA52C6" w:rsidP="00737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fr-FR" w:eastAsia="fr-FR"/>
        </w:rPr>
        <w:t>Keywords :</w:t>
      </w:r>
      <w:r w:rsidR="00FD065A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 </w:t>
      </w:r>
      <w:bookmarkStart w:id="0" w:name="_GoBack"/>
      <w:proofErr w:type="spellStart"/>
      <w:r w:rsidR="00FD065A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>platelet</w:t>
      </w:r>
      <w:proofErr w:type="spellEnd"/>
      <w:r w:rsidR="00FD065A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 activation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, </w:t>
      </w:r>
      <w:r w:rsidR="00FD065A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CLEC-2, </w:t>
      </w:r>
      <w:proofErr w:type="spellStart"/>
      <w:r w:rsidR="00FD065A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>bacterial</w:t>
      </w:r>
      <w:proofErr w:type="spellEnd"/>
      <w:r w:rsidR="00FD065A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 DNA </w:t>
      </w:r>
      <w:proofErr w:type="spellStart"/>
      <w:r w:rsidR="00FD065A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>mimetics</w:t>
      </w:r>
      <w:proofErr w:type="spellEnd"/>
      <w:r w:rsidR="00FD065A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>, mouse models</w:t>
      </w:r>
      <w:bookmarkEnd w:id="0"/>
    </w:p>
    <w:sectPr w:rsidR="00DA52C6" w:rsidRPr="00DA52C6" w:rsidSect="00BE4E3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EAF"/>
    <w:multiLevelType w:val="multilevel"/>
    <w:tmpl w:val="983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17798"/>
    <w:multiLevelType w:val="multilevel"/>
    <w:tmpl w:val="AB9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14617C"/>
    <w:multiLevelType w:val="hybridMultilevel"/>
    <w:tmpl w:val="A48E5404"/>
    <w:lvl w:ilvl="0" w:tplc="2FAC5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2"/>
    <w:rsid w:val="00005C36"/>
    <w:rsid w:val="00034CFB"/>
    <w:rsid w:val="00053A24"/>
    <w:rsid w:val="000B1086"/>
    <w:rsid w:val="000E75C2"/>
    <w:rsid w:val="000F2772"/>
    <w:rsid w:val="001047E6"/>
    <w:rsid w:val="00120C9D"/>
    <w:rsid w:val="0016353A"/>
    <w:rsid w:val="001902DB"/>
    <w:rsid w:val="001A6258"/>
    <w:rsid w:val="001A7CF2"/>
    <w:rsid w:val="001D09D8"/>
    <w:rsid w:val="00201FCF"/>
    <w:rsid w:val="00243592"/>
    <w:rsid w:val="00246D8E"/>
    <w:rsid w:val="00271177"/>
    <w:rsid w:val="00321191"/>
    <w:rsid w:val="00337CA0"/>
    <w:rsid w:val="00367FA0"/>
    <w:rsid w:val="003736BE"/>
    <w:rsid w:val="00375896"/>
    <w:rsid w:val="0039417D"/>
    <w:rsid w:val="003B72BC"/>
    <w:rsid w:val="003C705B"/>
    <w:rsid w:val="003D7CB1"/>
    <w:rsid w:val="00411F84"/>
    <w:rsid w:val="00423BB2"/>
    <w:rsid w:val="00424536"/>
    <w:rsid w:val="00450FA4"/>
    <w:rsid w:val="0047272E"/>
    <w:rsid w:val="00472CE0"/>
    <w:rsid w:val="00496950"/>
    <w:rsid w:val="004E1C7E"/>
    <w:rsid w:val="005109F6"/>
    <w:rsid w:val="00512D1F"/>
    <w:rsid w:val="00522CB0"/>
    <w:rsid w:val="00535EBE"/>
    <w:rsid w:val="005E611E"/>
    <w:rsid w:val="0061527A"/>
    <w:rsid w:val="006273CF"/>
    <w:rsid w:val="00652B09"/>
    <w:rsid w:val="006B444A"/>
    <w:rsid w:val="006D6844"/>
    <w:rsid w:val="006E3CBE"/>
    <w:rsid w:val="006E4CF9"/>
    <w:rsid w:val="00723F88"/>
    <w:rsid w:val="0073428D"/>
    <w:rsid w:val="00737BC5"/>
    <w:rsid w:val="00794767"/>
    <w:rsid w:val="00797A1F"/>
    <w:rsid w:val="007C182C"/>
    <w:rsid w:val="007C2029"/>
    <w:rsid w:val="0083119E"/>
    <w:rsid w:val="0084363F"/>
    <w:rsid w:val="00853C39"/>
    <w:rsid w:val="00895C48"/>
    <w:rsid w:val="008B379C"/>
    <w:rsid w:val="008C472D"/>
    <w:rsid w:val="00951668"/>
    <w:rsid w:val="00964EF0"/>
    <w:rsid w:val="00995F42"/>
    <w:rsid w:val="009C1BE4"/>
    <w:rsid w:val="009D5B16"/>
    <w:rsid w:val="009E42C1"/>
    <w:rsid w:val="00A03F50"/>
    <w:rsid w:val="00A15420"/>
    <w:rsid w:val="00AE37AE"/>
    <w:rsid w:val="00B00BAE"/>
    <w:rsid w:val="00B01A0E"/>
    <w:rsid w:val="00B44D7B"/>
    <w:rsid w:val="00B833F2"/>
    <w:rsid w:val="00BC0BBD"/>
    <w:rsid w:val="00BE4E30"/>
    <w:rsid w:val="00C257B8"/>
    <w:rsid w:val="00C94BDD"/>
    <w:rsid w:val="00CE459C"/>
    <w:rsid w:val="00CF78D6"/>
    <w:rsid w:val="00D14A82"/>
    <w:rsid w:val="00D30476"/>
    <w:rsid w:val="00D760D3"/>
    <w:rsid w:val="00D92D33"/>
    <w:rsid w:val="00DA52C6"/>
    <w:rsid w:val="00DB7A13"/>
    <w:rsid w:val="00DC3454"/>
    <w:rsid w:val="00DE69C9"/>
    <w:rsid w:val="00E4723D"/>
    <w:rsid w:val="00E65D9E"/>
    <w:rsid w:val="00E95320"/>
    <w:rsid w:val="00EC15DA"/>
    <w:rsid w:val="00EE0E59"/>
    <w:rsid w:val="00EF5A14"/>
    <w:rsid w:val="00F700A1"/>
    <w:rsid w:val="00F80FF6"/>
    <w:rsid w:val="00F95A23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1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92"/>
    <w:pPr>
      <w:spacing w:after="200" w:line="276" w:lineRule="auto"/>
    </w:pPr>
    <w:rPr>
      <w:rFonts w:eastAsiaTheme="minorHAns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592"/>
    <w:pPr>
      <w:ind w:left="720"/>
      <w:contextualSpacing/>
    </w:pPr>
  </w:style>
  <w:style w:type="character" w:styleId="lev">
    <w:name w:val="Strong"/>
    <w:uiPriority w:val="22"/>
    <w:qFormat/>
    <w:rsid w:val="002711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4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454"/>
    <w:rPr>
      <w:rFonts w:ascii="Lucida Grande" w:eastAsiaTheme="minorHAnsi" w:hAnsi="Lucida Grande" w:cs="Lucida Grande"/>
      <w:sz w:val="18"/>
      <w:szCs w:val="18"/>
      <w:lang w:val="fr-BE" w:eastAsia="en-US"/>
    </w:rPr>
  </w:style>
  <w:style w:type="character" w:customStyle="1" w:styleId="apple-converted-space">
    <w:name w:val="apple-converted-space"/>
    <w:basedOn w:val="Policepardfaut"/>
    <w:rsid w:val="0016353A"/>
  </w:style>
  <w:style w:type="character" w:styleId="Accentuation">
    <w:name w:val="Emphasis"/>
    <w:basedOn w:val="Policepardfaut"/>
    <w:uiPriority w:val="20"/>
    <w:qFormat/>
    <w:rsid w:val="00652B09"/>
    <w:rPr>
      <w:i/>
      <w:iCs/>
    </w:rPr>
  </w:style>
  <w:style w:type="character" w:customStyle="1" w:styleId="st">
    <w:name w:val="st"/>
    <w:basedOn w:val="Policepardfaut"/>
    <w:rsid w:val="00F700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92"/>
    <w:pPr>
      <w:spacing w:after="200" w:line="276" w:lineRule="auto"/>
    </w:pPr>
    <w:rPr>
      <w:rFonts w:eastAsiaTheme="minorHAns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592"/>
    <w:pPr>
      <w:ind w:left="720"/>
      <w:contextualSpacing/>
    </w:pPr>
  </w:style>
  <w:style w:type="character" w:styleId="lev">
    <w:name w:val="Strong"/>
    <w:uiPriority w:val="22"/>
    <w:qFormat/>
    <w:rsid w:val="002711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4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454"/>
    <w:rPr>
      <w:rFonts w:ascii="Lucida Grande" w:eastAsiaTheme="minorHAnsi" w:hAnsi="Lucida Grande" w:cs="Lucida Grande"/>
      <w:sz w:val="18"/>
      <w:szCs w:val="18"/>
      <w:lang w:val="fr-BE" w:eastAsia="en-US"/>
    </w:rPr>
  </w:style>
  <w:style w:type="character" w:customStyle="1" w:styleId="apple-converted-space">
    <w:name w:val="apple-converted-space"/>
    <w:basedOn w:val="Policepardfaut"/>
    <w:rsid w:val="0016353A"/>
  </w:style>
  <w:style w:type="character" w:styleId="Accentuation">
    <w:name w:val="Emphasis"/>
    <w:basedOn w:val="Policepardfaut"/>
    <w:uiPriority w:val="20"/>
    <w:qFormat/>
    <w:rsid w:val="00652B09"/>
    <w:rPr>
      <w:i/>
      <w:iCs/>
    </w:rPr>
  </w:style>
  <w:style w:type="character" w:customStyle="1" w:styleId="st">
    <w:name w:val="st"/>
    <w:basedOn w:val="Policepardfaut"/>
    <w:rsid w:val="00F7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Oury Cécile</dc:creator>
  <cp:lastModifiedBy>Microsoft Office User</cp:lastModifiedBy>
  <cp:revision>2</cp:revision>
  <dcterms:created xsi:type="dcterms:W3CDTF">2015-07-08T08:11:00Z</dcterms:created>
  <dcterms:modified xsi:type="dcterms:W3CDTF">2015-07-08T08:11:00Z</dcterms:modified>
</cp:coreProperties>
</file>