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1E" w:rsidRPr="00287457" w:rsidRDefault="00A4621E" w:rsidP="0082443E">
      <w:pPr>
        <w:jc w:val="center"/>
        <w:rPr>
          <w:rFonts w:ascii="Times New Roman" w:hAnsi="Times New Roman" w:cs="Times New Roman"/>
          <w:b/>
          <w:u w:val="single"/>
          <w:lang w:val="en-GB"/>
        </w:rPr>
      </w:pPr>
      <w:bookmarkStart w:id="0" w:name="_GoBack"/>
      <w:bookmarkEnd w:id="0"/>
      <w:r w:rsidRPr="00287457">
        <w:rPr>
          <w:rFonts w:ascii="Times New Roman" w:hAnsi="Times New Roman" w:cs="Times New Roman"/>
          <w:b/>
          <w:u w:val="single"/>
          <w:lang w:val="en-GB"/>
        </w:rPr>
        <w:t xml:space="preserve">Procedural Rights in </w:t>
      </w:r>
      <w:r w:rsidR="00A23A8C" w:rsidRPr="00287457">
        <w:rPr>
          <w:rFonts w:ascii="Times New Roman" w:hAnsi="Times New Roman" w:cs="Times New Roman"/>
          <w:b/>
          <w:u w:val="single"/>
          <w:lang w:val="en-GB"/>
        </w:rPr>
        <w:t>EU Antitrust</w:t>
      </w:r>
      <w:r w:rsidR="00A23A8C" w:rsidRPr="00287457">
        <w:rPr>
          <w:rFonts w:ascii="Times New Roman" w:hAnsi="Times New Roman" w:cs="Times New Roman"/>
          <w:b/>
          <w:i/>
          <w:u w:val="single"/>
          <w:lang w:val="en-GB"/>
        </w:rPr>
        <w:t xml:space="preserve"> </w:t>
      </w:r>
      <w:r w:rsidRPr="00287457">
        <w:rPr>
          <w:rFonts w:ascii="Times New Roman" w:hAnsi="Times New Roman" w:cs="Times New Roman"/>
          <w:b/>
          <w:u w:val="single"/>
          <w:lang w:val="en-GB"/>
        </w:rPr>
        <w:t>Proceedings</w:t>
      </w:r>
      <w:r w:rsidR="00255B30" w:rsidRPr="00287457">
        <w:rPr>
          <w:rFonts w:ascii="Times New Roman" w:hAnsi="Times New Roman" w:cs="Times New Roman"/>
          <w:b/>
          <w:u w:val="single"/>
          <w:lang w:val="en-GB"/>
        </w:rPr>
        <w:t xml:space="preserve"> </w:t>
      </w:r>
    </w:p>
    <w:p w:rsidR="00F10BDA" w:rsidRDefault="00F10BDA" w:rsidP="0082443E">
      <w:pPr>
        <w:jc w:val="center"/>
        <w:rPr>
          <w:rFonts w:ascii="Times New Roman" w:hAnsi="Times New Roman" w:cs="Times New Roman"/>
          <w:b/>
          <w:lang w:val="en-GB"/>
        </w:rPr>
      </w:pPr>
    </w:p>
    <w:p w:rsidR="00F10BDA" w:rsidRPr="004E08B1" w:rsidRDefault="00F10BDA" w:rsidP="0082443E">
      <w:pPr>
        <w:jc w:val="center"/>
        <w:rPr>
          <w:rFonts w:ascii="Times New Roman" w:hAnsi="Times New Roman" w:cs="Times New Roman"/>
          <w:lang w:val="en-GB"/>
        </w:rPr>
      </w:pPr>
      <w:r w:rsidRPr="004E08B1">
        <w:rPr>
          <w:rFonts w:ascii="Times New Roman" w:hAnsi="Times New Roman" w:cs="Times New Roman"/>
          <w:lang w:val="en-GB"/>
        </w:rPr>
        <w:t>Daniel Muheme</w:t>
      </w:r>
      <w:r w:rsidR="004E08B1" w:rsidRPr="004E08B1">
        <w:rPr>
          <w:rStyle w:val="Appelnotedebasdep"/>
          <w:rFonts w:ascii="Times New Roman" w:hAnsi="Times New Roman" w:cs="Times New Roman"/>
          <w:lang w:val="en-GB"/>
        </w:rPr>
        <w:footnoteReference w:customMarkFollows="1" w:id="1"/>
        <w:sym w:font="Symbol" w:char="F02A"/>
      </w:r>
    </w:p>
    <w:p w:rsidR="00F10BDA" w:rsidRPr="004E08B1" w:rsidRDefault="00F10BDA" w:rsidP="0082443E">
      <w:pPr>
        <w:jc w:val="center"/>
        <w:rPr>
          <w:rFonts w:ascii="Times New Roman" w:hAnsi="Times New Roman" w:cs="Times New Roman"/>
          <w:lang w:val="en-GB"/>
        </w:rPr>
      </w:pPr>
      <w:r w:rsidRPr="004E08B1">
        <w:rPr>
          <w:rFonts w:ascii="Times New Roman" w:hAnsi="Times New Roman" w:cs="Times New Roman"/>
          <w:lang w:val="en-GB"/>
        </w:rPr>
        <w:t>Norman Neyrinck</w:t>
      </w:r>
      <w:r w:rsidR="004E08B1" w:rsidRPr="004E08B1">
        <w:rPr>
          <w:rStyle w:val="Appelnotedebasdep"/>
          <w:rFonts w:ascii="Times New Roman" w:hAnsi="Times New Roman" w:cs="Times New Roman"/>
          <w:lang w:val="en-GB"/>
        </w:rPr>
        <w:footnoteReference w:customMarkFollows="1" w:id="2"/>
        <w:sym w:font="Symbol" w:char="F02A"/>
      </w:r>
      <w:r w:rsidR="004E08B1" w:rsidRPr="004E08B1">
        <w:rPr>
          <w:rStyle w:val="Appelnotedebasdep"/>
          <w:rFonts w:ascii="Times New Roman" w:hAnsi="Times New Roman" w:cs="Times New Roman"/>
          <w:lang w:val="en-GB"/>
        </w:rPr>
        <w:sym w:font="Symbol" w:char="F02A"/>
      </w:r>
    </w:p>
    <w:p w:rsidR="00F10BDA" w:rsidRPr="004E08B1" w:rsidRDefault="00F10BDA" w:rsidP="0082443E">
      <w:pPr>
        <w:jc w:val="center"/>
        <w:rPr>
          <w:rFonts w:ascii="Times New Roman" w:hAnsi="Times New Roman" w:cs="Times New Roman"/>
          <w:lang w:val="en-GB"/>
        </w:rPr>
      </w:pPr>
      <w:r w:rsidRPr="004E08B1">
        <w:rPr>
          <w:rFonts w:ascii="Times New Roman" w:hAnsi="Times New Roman" w:cs="Times New Roman"/>
          <w:lang w:val="en-GB"/>
        </w:rPr>
        <w:t>Nicolas Petit</w:t>
      </w:r>
      <w:r w:rsidR="004E08B1" w:rsidRPr="004E08B1">
        <w:rPr>
          <w:rStyle w:val="Appelnotedebasdep"/>
          <w:rFonts w:ascii="Times New Roman" w:hAnsi="Times New Roman" w:cs="Times New Roman"/>
          <w:lang w:val="en-GB"/>
        </w:rPr>
        <w:footnoteReference w:customMarkFollows="1" w:id="3"/>
        <w:sym w:font="Symbol" w:char="F02A"/>
      </w:r>
      <w:r w:rsidR="004E08B1" w:rsidRPr="004E08B1">
        <w:rPr>
          <w:rStyle w:val="Appelnotedebasdep"/>
          <w:rFonts w:ascii="Times New Roman" w:hAnsi="Times New Roman" w:cs="Times New Roman"/>
          <w:lang w:val="en-GB"/>
        </w:rPr>
        <w:sym w:font="Symbol" w:char="F02A"/>
      </w:r>
      <w:r w:rsidR="004E08B1" w:rsidRPr="004E08B1">
        <w:rPr>
          <w:rStyle w:val="Appelnotedebasdep"/>
          <w:rFonts w:ascii="Times New Roman" w:hAnsi="Times New Roman" w:cs="Times New Roman"/>
          <w:lang w:val="en-GB"/>
        </w:rPr>
        <w:sym w:font="Symbol" w:char="F02A"/>
      </w:r>
    </w:p>
    <w:p w:rsidR="009A4463" w:rsidRPr="00311B33" w:rsidRDefault="009A4463" w:rsidP="0082443E">
      <w:pPr>
        <w:jc w:val="both"/>
        <w:rPr>
          <w:rFonts w:ascii="Times New Roman" w:hAnsi="Times New Roman" w:cs="Times New Roman"/>
          <w:lang w:val="en-GB"/>
        </w:rPr>
      </w:pPr>
    </w:p>
    <w:p w:rsidR="009A4463" w:rsidRPr="00311B33" w:rsidRDefault="009A4463" w:rsidP="0082443E">
      <w:pPr>
        <w:jc w:val="both"/>
        <w:rPr>
          <w:rFonts w:ascii="Times New Roman" w:hAnsi="Times New Roman" w:cs="Times New Roman"/>
          <w:b/>
          <w:lang w:val="en-GB"/>
        </w:rPr>
      </w:pPr>
      <w:r w:rsidRPr="00311B33">
        <w:rPr>
          <w:rFonts w:ascii="Times New Roman" w:hAnsi="Times New Roman" w:cs="Times New Roman"/>
          <w:b/>
          <w:lang w:val="en-GB"/>
        </w:rPr>
        <w:t>Introduction</w:t>
      </w:r>
    </w:p>
    <w:p w:rsidR="009A4463" w:rsidRPr="00311B33" w:rsidRDefault="009A4463" w:rsidP="0082443E">
      <w:pPr>
        <w:jc w:val="both"/>
        <w:rPr>
          <w:rFonts w:ascii="Times New Roman" w:hAnsi="Times New Roman" w:cs="Times New Roman"/>
          <w:lang w:val="en-GB"/>
        </w:rPr>
      </w:pPr>
    </w:p>
    <w:p w:rsidR="009A4463" w:rsidRPr="00311B33" w:rsidRDefault="00172B9F" w:rsidP="0082443E">
      <w:pPr>
        <w:jc w:val="both"/>
        <w:rPr>
          <w:rFonts w:ascii="Times New Roman" w:hAnsi="Times New Roman" w:cs="Times New Roman"/>
          <w:lang w:val="en-GB"/>
        </w:rPr>
      </w:pPr>
      <w:r w:rsidRPr="00311B33">
        <w:rPr>
          <w:rFonts w:ascii="Times New Roman" w:hAnsi="Times New Roman" w:cs="Times New Roman"/>
          <w:lang w:val="en-GB"/>
        </w:rPr>
        <w:t xml:space="preserve">In </w:t>
      </w:r>
      <w:r w:rsidR="008C5CAC" w:rsidRPr="00311B33">
        <w:rPr>
          <w:rFonts w:ascii="Times New Roman" w:hAnsi="Times New Roman" w:cs="Times New Roman"/>
          <w:lang w:val="en-GB"/>
        </w:rPr>
        <w:t xml:space="preserve">the </w:t>
      </w:r>
      <w:r w:rsidRPr="00311B33">
        <w:rPr>
          <w:rFonts w:ascii="Times New Roman" w:hAnsi="Times New Roman" w:cs="Times New Roman"/>
          <w:lang w:val="en-GB"/>
        </w:rPr>
        <w:t xml:space="preserve">European Union (“EU”), the rights of parties to </w:t>
      </w:r>
      <w:r w:rsidR="00A23A8C">
        <w:rPr>
          <w:rFonts w:ascii="Times New Roman" w:hAnsi="Times New Roman" w:cs="Times New Roman"/>
          <w:lang w:val="en-GB"/>
        </w:rPr>
        <w:t xml:space="preserve">antitrust </w:t>
      </w:r>
      <w:r w:rsidRPr="00311B33">
        <w:rPr>
          <w:rFonts w:ascii="Times New Roman" w:hAnsi="Times New Roman" w:cs="Times New Roman"/>
          <w:lang w:val="en-GB"/>
        </w:rPr>
        <w:t>proceedings</w:t>
      </w:r>
      <w:r w:rsidR="00A4621E" w:rsidRPr="00311B33">
        <w:rPr>
          <w:rFonts w:ascii="Times New Roman" w:hAnsi="Times New Roman" w:cs="Times New Roman"/>
          <w:lang w:val="en-GB"/>
        </w:rPr>
        <w:t xml:space="preserve"> before the Commission</w:t>
      </w:r>
      <w:r w:rsidRPr="00311B33">
        <w:rPr>
          <w:rFonts w:ascii="Times New Roman" w:hAnsi="Times New Roman" w:cs="Times New Roman"/>
          <w:lang w:val="en-GB"/>
        </w:rPr>
        <w:t xml:space="preserve"> are </w:t>
      </w:r>
      <w:r w:rsidR="008973E4" w:rsidRPr="00311B33">
        <w:rPr>
          <w:rFonts w:ascii="Times New Roman" w:hAnsi="Times New Roman" w:cs="Times New Roman"/>
          <w:lang w:val="en-GB"/>
        </w:rPr>
        <w:t>dispersed</w:t>
      </w:r>
      <w:r w:rsidRPr="00311B33">
        <w:rPr>
          <w:rFonts w:ascii="Times New Roman" w:hAnsi="Times New Roman" w:cs="Times New Roman"/>
          <w:lang w:val="en-GB"/>
        </w:rPr>
        <w:t xml:space="preserve"> in </w:t>
      </w:r>
      <w:r w:rsidR="009A4463" w:rsidRPr="00311B33">
        <w:rPr>
          <w:rFonts w:ascii="Times New Roman" w:hAnsi="Times New Roman" w:cs="Times New Roman"/>
          <w:lang w:val="en-GB"/>
        </w:rPr>
        <w:t xml:space="preserve">a </w:t>
      </w:r>
      <w:r w:rsidRPr="00311B33">
        <w:rPr>
          <w:rFonts w:ascii="Times New Roman" w:hAnsi="Times New Roman" w:cs="Times New Roman"/>
          <w:lang w:val="en-GB"/>
        </w:rPr>
        <w:t>jungle</w:t>
      </w:r>
      <w:r w:rsidR="00133517" w:rsidRPr="00311B33">
        <w:rPr>
          <w:rFonts w:ascii="Times New Roman" w:hAnsi="Times New Roman" w:cs="Times New Roman"/>
          <w:lang w:val="en-GB"/>
        </w:rPr>
        <w:t xml:space="preserve"> </w:t>
      </w:r>
      <w:r w:rsidR="009A4463" w:rsidRPr="00311B33">
        <w:rPr>
          <w:rFonts w:ascii="Times New Roman" w:hAnsi="Times New Roman" w:cs="Times New Roman"/>
          <w:lang w:val="en-GB"/>
        </w:rPr>
        <w:t xml:space="preserve">of legal </w:t>
      </w:r>
      <w:r w:rsidRPr="00311B33">
        <w:rPr>
          <w:rFonts w:ascii="Times New Roman" w:hAnsi="Times New Roman" w:cs="Times New Roman"/>
          <w:lang w:val="en-GB"/>
        </w:rPr>
        <w:t>instruments</w:t>
      </w:r>
      <w:r w:rsidR="009A4463" w:rsidRPr="00311B33">
        <w:rPr>
          <w:rFonts w:ascii="Times New Roman" w:hAnsi="Times New Roman" w:cs="Times New Roman"/>
          <w:lang w:val="en-GB"/>
        </w:rPr>
        <w:t xml:space="preserve">. </w:t>
      </w:r>
      <w:r w:rsidR="008C5CAC" w:rsidRPr="00311B33">
        <w:rPr>
          <w:rFonts w:ascii="Times New Roman" w:hAnsi="Times New Roman" w:cs="Times New Roman"/>
          <w:lang w:val="en-GB"/>
        </w:rPr>
        <w:t xml:space="preserve">Some are enshrined </w:t>
      </w:r>
      <w:r w:rsidRPr="00311B33">
        <w:rPr>
          <w:rFonts w:ascii="Times New Roman" w:hAnsi="Times New Roman" w:cs="Times New Roman"/>
          <w:lang w:val="en-GB"/>
        </w:rPr>
        <w:t>in statutory instruments</w:t>
      </w:r>
      <w:r w:rsidR="008C5CAC" w:rsidRPr="00311B33">
        <w:rPr>
          <w:rFonts w:ascii="Times New Roman" w:hAnsi="Times New Roman" w:cs="Times New Roman"/>
          <w:lang w:val="en-GB"/>
        </w:rPr>
        <w:t xml:space="preserve">: </w:t>
      </w:r>
      <w:r w:rsidR="009A4463" w:rsidRPr="00311B33">
        <w:rPr>
          <w:rFonts w:ascii="Times New Roman" w:hAnsi="Times New Roman" w:cs="Times New Roman"/>
          <w:lang w:val="en-GB"/>
        </w:rPr>
        <w:t>the founding Treaties (Treaty on the European Union (</w:t>
      </w:r>
      <w:r w:rsidRPr="00311B33">
        <w:rPr>
          <w:rFonts w:ascii="Times New Roman" w:hAnsi="Times New Roman" w:cs="Times New Roman"/>
          <w:lang w:val="en-GB"/>
        </w:rPr>
        <w:t xml:space="preserve">hereafter, </w:t>
      </w:r>
      <w:r w:rsidR="00062D50" w:rsidRPr="00311B33">
        <w:rPr>
          <w:rFonts w:ascii="Times New Roman" w:hAnsi="Times New Roman" w:cs="Times New Roman"/>
          <w:lang w:val="en-GB"/>
        </w:rPr>
        <w:t>“</w:t>
      </w:r>
      <w:r w:rsidR="009A4463" w:rsidRPr="00311B33">
        <w:rPr>
          <w:rFonts w:ascii="Times New Roman" w:hAnsi="Times New Roman" w:cs="Times New Roman"/>
          <w:lang w:val="en-GB"/>
        </w:rPr>
        <w:t>TEU</w:t>
      </w:r>
      <w:r w:rsidR="00062D50" w:rsidRPr="00311B33">
        <w:rPr>
          <w:rFonts w:ascii="Times New Roman" w:hAnsi="Times New Roman" w:cs="Times New Roman"/>
          <w:lang w:val="en-GB"/>
        </w:rPr>
        <w:t>”</w:t>
      </w:r>
      <w:r w:rsidR="009A4463" w:rsidRPr="00311B33">
        <w:rPr>
          <w:rFonts w:ascii="Times New Roman" w:hAnsi="Times New Roman" w:cs="Times New Roman"/>
          <w:lang w:val="en-GB"/>
        </w:rPr>
        <w:t xml:space="preserve">) and the </w:t>
      </w:r>
      <w:r w:rsidR="00062D50" w:rsidRPr="00311B33">
        <w:rPr>
          <w:rFonts w:ascii="Times New Roman" w:hAnsi="Times New Roman" w:cs="Times New Roman"/>
          <w:lang w:val="en-GB"/>
        </w:rPr>
        <w:t>Treaty on the Functioning of the European Union (</w:t>
      </w:r>
      <w:r w:rsidRPr="00311B33">
        <w:rPr>
          <w:rFonts w:ascii="Times New Roman" w:hAnsi="Times New Roman" w:cs="Times New Roman"/>
          <w:lang w:val="en-GB"/>
        </w:rPr>
        <w:t xml:space="preserve">hereafter </w:t>
      </w:r>
      <w:r w:rsidR="00062D50" w:rsidRPr="00311B33">
        <w:rPr>
          <w:rFonts w:ascii="Times New Roman" w:hAnsi="Times New Roman" w:cs="Times New Roman"/>
          <w:lang w:val="en-GB"/>
        </w:rPr>
        <w:t>“</w:t>
      </w:r>
      <w:r w:rsidR="009A4463" w:rsidRPr="00311B33">
        <w:rPr>
          <w:rFonts w:ascii="Times New Roman" w:hAnsi="Times New Roman" w:cs="Times New Roman"/>
          <w:lang w:val="en-GB"/>
        </w:rPr>
        <w:t>TFEU</w:t>
      </w:r>
      <w:r w:rsidR="00062D50" w:rsidRPr="00311B33">
        <w:rPr>
          <w:rFonts w:ascii="Times New Roman" w:hAnsi="Times New Roman" w:cs="Times New Roman"/>
          <w:lang w:val="en-GB"/>
        </w:rPr>
        <w:t>”</w:t>
      </w:r>
      <w:r w:rsidR="009A4463" w:rsidRPr="00311B33">
        <w:rPr>
          <w:rFonts w:ascii="Times New Roman" w:hAnsi="Times New Roman" w:cs="Times New Roman"/>
          <w:lang w:val="en-GB"/>
        </w:rPr>
        <w:t>)</w:t>
      </w:r>
      <w:r w:rsidR="00AC106C" w:rsidRPr="00311B33">
        <w:rPr>
          <w:rStyle w:val="Appelnotedebasdep"/>
          <w:rFonts w:ascii="Times New Roman" w:hAnsi="Times New Roman" w:cs="Times New Roman"/>
          <w:lang w:val="en-GB"/>
        </w:rPr>
        <w:footnoteReference w:id="4"/>
      </w:r>
      <w:r w:rsidR="009A4463" w:rsidRPr="00311B33">
        <w:rPr>
          <w:rFonts w:ascii="Times New Roman" w:hAnsi="Times New Roman" w:cs="Times New Roman"/>
          <w:lang w:val="en-GB"/>
        </w:rPr>
        <w:t>, the Charter of Fundamental Rights of the EU</w:t>
      </w:r>
      <w:r w:rsidR="00062D50" w:rsidRPr="00311B33">
        <w:rPr>
          <w:rFonts w:ascii="Times New Roman" w:hAnsi="Times New Roman" w:cs="Times New Roman"/>
          <w:lang w:val="en-GB"/>
        </w:rPr>
        <w:t xml:space="preserve"> (</w:t>
      </w:r>
      <w:r w:rsidR="007F32F9" w:rsidRPr="00311B33">
        <w:rPr>
          <w:rFonts w:ascii="Times New Roman" w:hAnsi="Times New Roman" w:cs="Times New Roman"/>
          <w:lang w:val="en-GB"/>
        </w:rPr>
        <w:t>hereafter</w:t>
      </w:r>
      <w:r w:rsidR="00062D50" w:rsidRPr="00311B33">
        <w:rPr>
          <w:rFonts w:ascii="Times New Roman" w:hAnsi="Times New Roman" w:cs="Times New Roman"/>
          <w:lang w:val="en-GB"/>
        </w:rPr>
        <w:t xml:space="preserve"> “Charter”)</w:t>
      </w:r>
      <w:r w:rsidR="00AC106C" w:rsidRPr="00311B33">
        <w:rPr>
          <w:rStyle w:val="Appelnotedebasdep"/>
          <w:rFonts w:ascii="Times New Roman" w:hAnsi="Times New Roman" w:cs="Times New Roman"/>
          <w:lang w:val="en-GB"/>
        </w:rPr>
        <w:footnoteReference w:id="5"/>
      </w:r>
      <w:r w:rsidR="009A4463" w:rsidRPr="00311B33">
        <w:rPr>
          <w:rFonts w:ascii="Times New Roman" w:hAnsi="Times New Roman" w:cs="Times New Roman"/>
          <w:lang w:val="en-GB"/>
        </w:rPr>
        <w:t>, the European Convention on Human Rights</w:t>
      </w:r>
      <w:r w:rsidR="00062D50" w:rsidRPr="00311B33">
        <w:rPr>
          <w:rFonts w:ascii="Times New Roman" w:hAnsi="Times New Roman" w:cs="Times New Roman"/>
          <w:lang w:val="en-GB"/>
        </w:rPr>
        <w:t xml:space="preserve"> (</w:t>
      </w:r>
      <w:r w:rsidR="007F32F9" w:rsidRPr="00311B33">
        <w:rPr>
          <w:rFonts w:ascii="Times New Roman" w:hAnsi="Times New Roman" w:cs="Times New Roman"/>
          <w:lang w:val="en-GB"/>
        </w:rPr>
        <w:t>hereafter</w:t>
      </w:r>
      <w:r w:rsidR="00062D50" w:rsidRPr="00311B33">
        <w:rPr>
          <w:rFonts w:ascii="Times New Roman" w:hAnsi="Times New Roman" w:cs="Times New Roman"/>
          <w:lang w:val="en-GB"/>
        </w:rPr>
        <w:t xml:space="preserve"> “ECHR”)</w:t>
      </w:r>
      <w:r w:rsidR="005F55AA" w:rsidRPr="00311B33">
        <w:rPr>
          <w:rFonts w:ascii="Times New Roman" w:hAnsi="Times New Roman" w:cs="Times New Roman"/>
          <w:lang w:val="en-GB"/>
        </w:rPr>
        <w:t>)</w:t>
      </w:r>
      <w:r w:rsidR="00AC106C" w:rsidRPr="00311B33">
        <w:rPr>
          <w:rStyle w:val="Appelnotedebasdep"/>
          <w:rFonts w:ascii="Times New Roman" w:hAnsi="Times New Roman" w:cs="Times New Roman"/>
          <w:lang w:val="en-GB"/>
        </w:rPr>
        <w:footnoteReference w:id="6"/>
      </w:r>
      <w:r w:rsidR="008C5CAC" w:rsidRPr="00311B33">
        <w:rPr>
          <w:rFonts w:ascii="Times New Roman" w:hAnsi="Times New Roman" w:cs="Times New Roman"/>
          <w:lang w:val="en-GB"/>
        </w:rPr>
        <w:t xml:space="preserve"> and </w:t>
      </w:r>
      <w:r w:rsidR="009A4463" w:rsidRPr="00311B33">
        <w:rPr>
          <w:rFonts w:ascii="Times New Roman" w:hAnsi="Times New Roman" w:cs="Times New Roman"/>
          <w:lang w:val="en-GB"/>
        </w:rPr>
        <w:t xml:space="preserve">EU </w:t>
      </w:r>
      <w:r w:rsidR="008C5CAC" w:rsidRPr="00311B33">
        <w:rPr>
          <w:rFonts w:ascii="Times New Roman" w:hAnsi="Times New Roman" w:cs="Times New Roman"/>
          <w:lang w:val="en-GB"/>
        </w:rPr>
        <w:t xml:space="preserve">secondary </w:t>
      </w:r>
      <w:r w:rsidR="009A4463" w:rsidRPr="00311B33">
        <w:rPr>
          <w:rFonts w:ascii="Times New Roman" w:hAnsi="Times New Roman" w:cs="Times New Roman"/>
          <w:lang w:val="en-GB"/>
        </w:rPr>
        <w:t>legislation (in particular Regulation 1/2003</w:t>
      </w:r>
      <w:r w:rsidR="00AC106C" w:rsidRPr="00311B33">
        <w:rPr>
          <w:rStyle w:val="Appelnotedebasdep"/>
          <w:rFonts w:ascii="Times New Roman" w:hAnsi="Times New Roman" w:cs="Times New Roman"/>
          <w:lang w:val="en-GB"/>
        </w:rPr>
        <w:footnoteReference w:id="7"/>
      </w:r>
      <w:r w:rsidR="009A4463" w:rsidRPr="00311B33">
        <w:rPr>
          <w:rFonts w:ascii="Times New Roman" w:hAnsi="Times New Roman" w:cs="Times New Roman"/>
          <w:lang w:val="en-GB"/>
        </w:rPr>
        <w:t xml:space="preserve"> and </w:t>
      </w:r>
      <w:r w:rsidR="008C5CAC" w:rsidRPr="00311B33">
        <w:rPr>
          <w:rFonts w:ascii="Times New Roman" w:hAnsi="Times New Roman" w:cs="Times New Roman"/>
          <w:lang w:val="en-GB"/>
        </w:rPr>
        <w:t xml:space="preserve">the </w:t>
      </w:r>
      <w:r w:rsidR="009A4463" w:rsidRPr="00311B33">
        <w:rPr>
          <w:rFonts w:ascii="Times New Roman" w:hAnsi="Times New Roman" w:cs="Times New Roman"/>
          <w:lang w:val="en-GB"/>
        </w:rPr>
        <w:t>Implementing Regulation 773/2004</w:t>
      </w:r>
      <w:r w:rsidR="00AC106C" w:rsidRPr="00311B33">
        <w:rPr>
          <w:rStyle w:val="Appelnotedebasdep"/>
          <w:rFonts w:ascii="Times New Roman" w:hAnsi="Times New Roman" w:cs="Times New Roman"/>
          <w:lang w:val="en-GB"/>
        </w:rPr>
        <w:footnoteReference w:id="8"/>
      </w:r>
      <w:r w:rsidR="009A4463" w:rsidRPr="00311B33">
        <w:rPr>
          <w:rFonts w:ascii="Times New Roman" w:hAnsi="Times New Roman" w:cs="Times New Roman"/>
          <w:lang w:val="en-GB"/>
        </w:rPr>
        <w:t>).</w:t>
      </w:r>
      <w:r w:rsidR="008C5CAC" w:rsidRPr="00311B33">
        <w:rPr>
          <w:rFonts w:ascii="Times New Roman" w:hAnsi="Times New Roman" w:cs="Times New Roman"/>
          <w:lang w:val="en-GB"/>
        </w:rPr>
        <w:t xml:space="preserve"> </w:t>
      </w:r>
      <w:r w:rsidR="00C87611" w:rsidRPr="00311B33">
        <w:rPr>
          <w:rFonts w:ascii="Times New Roman" w:hAnsi="Times New Roman" w:cs="Times New Roman"/>
          <w:lang w:val="en-GB"/>
        </w:rPr>
        <w:t xml:space="preserve">Those instruments do not necessarily have equal legal value. </w:t>
      </w:r>
      <w:r w:rsidR="008C5CAC" w:rsidRPr="00311B33">
        <w:rPr>
          <w:rFonts w:ascii="Times New Roman" w:hAnsi="Times New Roman" w:cs="Times New Roman"/>
          <w:lang w:val="en-GB"/>
        </w:rPr>
        <w:t xml:space="preserve">Others can be found in the </w:t>
      </w:r>
      <w:r w:rsidR="00133517" w:rsidRPr="00311B33">
        <w:rPr>
          <w:rFonts w:ascii="Times New Roman" w:hAnsi="Times New Roman" w:cs="Times New Roman"/>
          <w:lang w:val="en-GB"/>
        </w:rPr>
        <w:t xml:space="preserve">case-law </w:t>
      </w:r>
      <w:r w:rsidR="009A4463" w:rsidRPr="00311B33">
        <w:rPr>
          <w:rFonts w:ascii="Times New Roman" w:hAnsi="Times New Roman" w:cs="Times New Roman"/>
          <w:lang w:val="en-GB"/>
        </w:rPr>
        <w:t>of the EU Courts</w:t>
      </w:r>
      <w:r w:rsidR="00873B8C" w:rsidRPr="00311B33">
        <w:rPr>
          <w:rStyle w:val="Appelnotedebasdep"/>
          <w:rFonts w:ascii="Times New Roman" w:hAnsi="Times New Roman" w:cs="Times New Roman"/>
          <w:lang w:val="en-GB"/>
        </w:rPr>
        <w:footnoteReference w:id="9"/>
      </w:r>
      <w:r w:rsidR="009A4463" w:rsidRPr="00311B33">
        <w:rPr>
          <w:rFonts w:ascii="Times New Roman" w:hAnsi="Times New Roman" w:cs="Times New Roman"/>
          <w:lang w:val="en-GB"/>
        </w:rPr>
        <w:t xml:space="preserve"> and </w:t>
      </w:r>
      <w:r w:rsidR="008C5CAC" w:rsidRPr="00311B33">
        <w:rPr>
          <w:rFonts w:ascii="Times New Roman" w:hAnsi="Times New Roman" w:cs="Times New Roman"/>
          <w:lang w:val="en-GB"/>
        </w:rPr>
        <w:t xml:space="preserve">of </w:t>
      </w:r>
      <w:r w:rsidR="009A4463" w:rsidRPr="00311B33">
        <w:rPr>
          <w:rFonts w:ascii="Times New Roman" w:hAnsi="Times New Roman" w:cs="Times New Roman"/>
          <w:lang w:val="en-GB"/>
        </w:rPr>
        <w:t>the European Court of Human Rights</w:t>
      </w:r>
      <w:r w:rsidR="008C5CAC" w:rsidRPr="00311B33">
        <w:rPr>
          <w:rFonts w:ascii="Times New Roman" w:hAnsi="Times New Roman" w:cs="Times New Roman"/>
          <w:lang w:val="en-GB"/>
        </w:rPr>
        <w:t xml:space="preserve"> (hereafter “EC</w:t>
      </w:r>
      <w:r w:rsidR="00CB08FE" w:rsidRPr="00311B33">
        <w:rPr>
          <w:rFonts w:ascii="Times New Roman" w:hAnsi="Times New Roman" w:cs="Times New Roman"/>
          <w:lang w:val="en-GB"/>
        </w:rPr>
        <w:t>t</w:t>
      </w:r>
      <w:r w:rsidR="008C5CAC" w:rsidRPr="00311B33">
        <w:rPr>
          <w:rFonts w:ascii="Times New Roman" w:hAnsi="Times New Roman" w:cs="Times New Roman"/>
          <w:lang w:val="en-GB"/>
        </w:rPr>
        <w:t>HR”).</w:t>
      </w:r>
      <w:r w:rsidR="00584263" w:rsidRPr="00311B33">
        <w:rPr>
          <w:rFonts w:ascii="Times New Roman" w:hAnsi="Times New Roman" w:cs="Times New Roman"/>
          <w:lang w:val="en-GB"/>
        </w:rPr>
        <w:t xml:space="preserve"> </w:t>
      </w:r>
      <w:r w:rsidR="008C5CAC" w:rsidRPr="00311B33">
        <w:rPr>
          <w:rFonts w:ascii="Times New Roman" w:hAnsi="Times New Roman" w:cs="Times New Roman"/>
          <w:lang w:val="en-GB"/>
        </w:rPr>
        <w:t xml:space="preserve">They </w:t>
      </w:r>
      <w:r w:rsidR="008973E4" w:rsidRPr="00311B33">
        <w:rPr>
          <w:rFonts w:ascii="Times New Roman" w:hAnsi="Times New Roman" w:cs="Times New Roman"/>
          <w:lang w:val="en-GB"/>
        </w:rPr>
        <w:t>often</w:t>
      </w:r>
      <w:r w:rsidR="00133517" w:rsidRPr="00311B33">
        <w:rPr>
          <w:rFonts w:ascii="Times New Roman" w:hAnsi="Times New Roman" w:cs="Times New Roman"/>
          <w:lang w:val="en-GB"/>
        </w:rPr>
        <w:t xml:space="preserve"> </w:t>
      </w:r>
      <w:r w:rsidR="00751D46" w:rsidRPr="00311B33">
        <w:rPr>
          <w:rFonts w:ascii="Times New Roman" w:hAnsi="Times New Roman" w:cs="Times New Roman"/>
          <w:lang w:val="en-GB"/>
        </w:rPr>
        <w:t xml:space="preserve">stem </w:t>
      </w:r>
      <w:r w:rsidR="008C5CAC" w:rsidRPr="00311B33">
        <w:rPr>
          <w:rFonts w:ascii="Times New Roman" w:hAnsi="Times New Roman" w:cs="Times New Roman"/>
          <w:lang w:val="en-GB"/>
        </w:rPr>
        <w:t>from genera</w:t>
      </w:r>
      <w:r w:rsidR="008973E4" w:rsidRPr="00311B33">
        <w:rPr>
          <w:rFonts w:ascii="Times New Roman" w:hAnsi="Times New Roman" w:cs="Times New Roman"/>
          <w:lang w:val="en-GB"/>
        </w:rPr>
        <w:t>l principles of law or from the</w:t>
      </w:r>
      <w:r w:rsidR="00133517" w:rsidRPr="00311B33">
        <w:rPr>
          <w:rFonts w:ascii="Times New Roman" w:hAnsi="Times New Roman" w:cs="Times New Roman"/>
          <w:lang w:val="en-GB"/>
        </w:rPr>
        <w:t xml:space="preserve"> </w:t>
      </w:r>
      <w:r w:rsidR="00584263" w:rsidRPr="00311B33">
        <w:rPr>
          <w:rFonts w:ascii="Times New Roman" w:hAnsi="Times New Roman" w:cs="Times New Roman"/>
          <w:lang w:val="en-GB"/>
        </w:rPr>
        <w:t xml:space="preserve">legal traditions </w:t>
      </w:r>
      <w:r w:rsidR="00133517" w:rsidRPr="00311B33">
        <w:rPr>
          <w:rFonts w:ascii="Times New Roman" w:hAnsi="Times New Roman" w:cs="Times New Roman"/>
          <w:lang w:val="en-GB"/>
        </w:rPr>
        <w:t xml:space="preserve">and case-law </w:t>
      </w:r>
      <w:r w:rsidR="008C5CAC" w:rsidRPr="00311B33">
        <w:rPr>
          <w:rFonts w:ascii="Times New Roman" w:hAnsi="Times New Roman" w:cs="Times New Roman"/>
          <w:lang w:val="en-GB"/>
        </w:rPr>
        <w:t xml:space="preserve">of </w:t>
      </w:r>
      <w:r w:rsidR="00584263" w:rsidRPr="00311B33">
        <w:rPr>
          <w:rFonts w:ascii="Times New Roman" w:hAnsi="Times New Roman" w:cs="Times New Roman"/>
          <w:lang w:val="en-GB"/>
        </w:rPr>
        <w:t>the Member States</w:t>
      </w:r>
      <w:r w:rsidR="008C5CAC" w:rsidRPr="00311B33">
        <w:rPr>
          <w:rFonts w:ascii="Times New Roman" w:hAnsi="Times New Roman" w:cs="Times New Roman"/>
          <w:lang w:val="en-GB"/>
        </w:rPr>
        <w:t xml:space="preserve">. Finally, several </w:t>
      </w:r>
      <w:r w:rsidR="00A75816" w:rsidRPr="00311B33">
        <w:rPr>
          <w:rFonts w:ascii="Times New Roman" w:hAnsi="Times New Roman" w:cs="Times New Roman"/>
          <w:lang w:val="en-GB"/>
        </w:rPr>
        <w:t xml:space="preserve">important </w:t>
      </w:r>
      <w:r w:rsidR="008C5CAC" w:rsidRPr="00311B33">
        <w:rPr>
          <w:rFonts w:ascii="Times New Roman" w:hAnsi="Times New Roman" w:cs="Times New Roman"/>
          <w:lang w:val="en-GB"/>
        </w:rPr>
        <w:t xml:space="preserve">procedural rights </w:t>
      </w:r>
      <w:r w:rsidR="008973E4" w:rsidRPr="00311B33">
        <w:rPr>
          <w:rFonts w:ascii="Times New Roman" w:hAnsi="Times New Roman" w:cs="Times New Roman"/>
          <w:lang w:val="en-GB"/>
        </w:rPr>
        <w:t>originate</w:t>
      </w:r>
      <w:r w:rsidR="008C5CAC" w:rsidRPr="00311B33">
        <w:rPr>
          <w:rFonts w:ascii="Times New Roman" w:hAnsi="Times New Roman" w:cs="Times New Roman"/>
          <w:lang w:val="en-GB"/>
        </w:rPr>
        <w:t xml:space="preserve"> from the EU Commission’s administrative practice. </w:t>
      </w:r>
      <w:r w:rsidR="00751D46" w:rsidRPr="00311B33">
        <w:rPr>
          <w:rFonts w:ascii="Times New Roman" w:hAnsi="Times New Roman" w:cs="Times New Roman"/>
          <w:lang w:val="en-GB"/>
        </w:rPr>
        <w:t xml:space="preserve">Those rights </w:t>
      </w:r>
      <w:r w:rsidR="008C5CAC" w:rsidRPr="00311B33">
        <w:rPr>
          <w:rFonts w:ascii="Times New Roman" w:hAnsi="Times New Roman" w:cs="Times New Roman"/>
          <w:lang w:val="en-GB"/>
        </w:rPr>
        <w:t xml:space="preserve">are </w:t>
      </w:r>
      <w:r w:rsidR="007D6DD4">
        <w:rPr>
          <w:rFonts w:ascii="Times New Roman" w:hAnsi="Times New Roman" w:cs="Times New Roman"/>
          <w:lang w:val="en-GB"/>
        </w:rPr>
        <w:t>usually</w:t>
      </w:r>
      <w:r w:rsidR="007D6DD4" w:rsidRPr="00311B33">
        <w:rPr>
          <w:rFonts w:ascii="Times New Roman" w:hAnsi="Times New Roman" w:cs="Times New Roman"/>
          <w:lang w:val="en-GB"/>
        </w:rPr>
        <w:t xml:space="preserve"> </w:t>
      </w:r>
      <w:r w:rsidR="00A23A8C">
        <w:rPr>
          <w:rFonts w:ascii="Times New Roman" w:hAnsi="Times New Roman" w:cs="Times New Roman"/>
          <w:lang w:val="en-GB"/>
        </w:rPr>
        <w:t>described</w:t>
      </w:r>
      <w:r w:rsidR="00A23A8C" w:rsidRPr="00311B33">
        <w:rPr>
          <w:rFonts w:ascii="Times New Roman" w:hAnsi="Times New Roman" w:cs="Times New Roman"/>
          <w:lang w:val="en-GB"/>
        </w:rPr>
        <w:t xml:space="preserve"> </w:t>
      </w:r>
      <w:r w:rsidR="008C5CAC" w:rsidRPr="00311B33">
        <w:rPr>
          <w:rFonts w:ascii="Times New Roman" w:hAnsi="Times New Roman" w:cs="Times New Roman"/>
          <w:lang w:val="en-GB"/>
        </w:rPr>
        <w:t>in soft law instruments</w:t>
      </w:r>
      <w:r w:rsidR="00133517" w:rsidRPr="00311B33">
        <w:rPr>
          <w:rFonts w:ascii="Times New Roman" w:hAnsi="Times New Roman" w:cs="Times New Roman"/>
          <w:lang w:val="en-GB"/>
        </w:rPr>
        <w:t xml:space="preserve">, </w:t>
      </w:r>
      <w:r w:rsidR="00A23A8C">
        <w:rPr>
          <w:rFonts w:ascii="Times New Roman" w:hAnsi="Times New Roman" w:cs="Times New Roman"/>
          <w:lang w:val="en-GB"/>
        </w:rPr>
        <w:t>such as</w:t>
      </w:r>
      <w:r w:rsidR="008C5CAC" w:rsidRPr="00311B33">
        <w:rPr>
          <w:rFonts w:ascii="Times New Roman" w:hAnsi="Times New Roman" w:cs="Times New Roman"/>
          <w:lang w:val="en-GB"/>
        </w:rPr>
        <w:t xml:space="preserve"> Communications, notices, </w:t>
      </w:r>
      <w:r w:rsidR="007D6DD4">
        <w:rPr>
          <w:rFonts w:ascii="Times New Roman" w:hAnsi="Times New Roman" w:cs="Times New Roman"/>
          <w:lang w:val="en-GB"/>
        </w:rPr>
        <w:t>b</w:t>
      </w:r>
      <w:r w:rsidR="00133517" w:rsidRPr="00311B33">
        <w:rPr>
          <w:rFonts w:ascii="Times New Roman" w:hAnsi="Times New Roman" w:cs="Times New Roman"/>
          <w:lang w:val="en-GB"/>
        </w:rPr>
        <w:t xml:space="preserve">est practices, </w:t>
      </w:r>
      <w:r w:rsidR="008C5CAC" w:rsidRPr="00311B33">
        <w:rPr>
          <w:rFonts w:ascii="Times New Roman" w:hAnsi="Times New Roman" w:cs="Times New Roman"/>
          <w:lang w:val="en-GB"/>
        </w:rPr>
        <w:t>manuals, etc.</w:t>
      </w:r>
    </w:p>
    <w:p w:rsidR="009576CF" w:rsidRPr="00311B33" w:rsidRDefault="009576CF" w:rsidP="0082443E">
      <w:pPr>
        <w:jc w:val="both"/>
        <w:rPr>
          <w:rFonts w:ascii="Times New Roman" w:hAnsi="Times New Roman" w:cs="Times New Roman"/>
          <w:lang w:val="en-GB"/>
        </w:rPr>
      </w:pPr>
    </w:p>
    <w:p w:rsidR="007D6DD4" w:rsidRDefault="00A75816" w:rsidP="004E08B1">
      <w:pPr>
        <w:jc w:val="both"/>
        <w:rPr>
          <w:rFonts w:ascii="Times New Roman" w:hAnsi="Times New Roman" w:cs="Times New Roman"/>
          <w:lang w:val="en-GB"/>
        </w:rPr>
      </w:pPr>
      <w:r w:rsidRPr="00311B33">
        <w:rPr>
          <w:rFonts w:ascii="Times New Roman" w:hAnsi="Times New Roman" w:cs="Times New Roman"/>
          <w:lang w:val="en-GB"/>
        </w:rPr>
        <w:t>With this background, this pa</w:t>
      </w:r>
      <w:r w:rsidR="008973E4" w:rsidRPr="00311B33">
        <w:rPr>
          <w:rFonts w:ascii="Times New Roman" w:hAnsi="Times New Roman" w:cs="Times New Roman"/>
          <w:lang w:val="en-GB"/>
        </w:rPr>
        <w:t xml:space="preserve">per </w:t>
      </w:r>
      <w:r w:rsidR="007D6DD4">
        <w:rPr>
          <w:rFonts w:ascii="Times New Roman" w:hAnsi="Times New Roman" w:cs="Times New Roman"/>
          <w:lang w:val="en-GB"/>
        </w:rPr>
        <w:t xml:space="preserve">makes </w:t>
      </w:r>
      <w:r w:rsidR="00A23A8C">
        <w:rPr>
          <w:rFonts w:ascii="Times New Roman" w:hAnsi="Times New Roman" w:cs="Times New Roman"/>
          <w:lang w:val="en-GB"/>
        </w:rPr>
        <w:t>a</w:t>
      </w:r>
      <w:r w:rsidR="00E15EEC">
        <w:rPr>
          <w:rFonts w:ascii="Times New Roman" w:hAnsi="Times New Roman" w:cs="Times New Roman"/>
          <w:lang w:val="en-GB"/>
        </w:rPr>
        <w:t xml:space="preserve"> detailed</w:t>
      </w:r>
      <w:r w:rsidR="00A23A8C">
        <w:rPr>
          <w:rFonts w:ascii="Times New Roman" w:hAnsi="Times New Roman" w:cs="Times New Roman"/>
          <w:lang w:val="en-GB"/>
        </w:rPr>
        <w:t xml:space="preserve"> </w:t>
      </w:r>
      <w:r w:rsidRPr="00311B33">
        <w:rPr>
          <w:rFonts w:ascii="Times New Roman" w:hAnsi="Times New Roman" w:cs="Times New Roman"/>
          <w:lang w:val="en-GB"/>
        </w:rPr>
        <w:t xml:space="preserve">inventory of the procedural rights of </w:t>
      </w:r>
      <w:r w:rsidR="00A23A8C">
        <w:rPr>
          <w:rFonts w:ascii="Times New Roman" w:hAnsi="Times New Roman" w:cs="Times New Roman"/>
          <w:lang w:val="en-GB"/>
        </w:rPr>
        <w:t>undertakings</w:t>
      </w:r>
      <w:r w:rsidR="00A23A8C" w:rsidRPr="00311B33">
        <w:rPr>
          <w:rFonts w:ascii="Times New Roman" w:hAnsi="Times New Roman" w:cs="Times New Roman"/>
          <w:lang w:val="en-GB"/>
        </w:rPr>
        <w:t xml:space="preserve"> </w:t>
      </w:r>
      <w:r w:rsidRPr="00311B33">
        <w:rPr>
          <w:rFonts w:ascii="Times New Roman" w:hAnsi="Times New Roman" w:cs="Times New Roman"/>
          <w:lang w:val="en-GB"/>
        </w:rPr>
        <w:t xml:space="preserve">subject to formal antitrust proceedings, </w:t>
      </w:r>
      <w:r w:rsidR="008505B1" w:rsidRPr="00311B33">
        <w:rPr>
          <w:rFonts w:ascii="Times New Roman" w:hAnsi="Times New Roman" w:cs="Times New Roman"/>
          <w:i/>
          <w:lang w:val="en-GB"/>
        </w:rPr>
        <w:t>i.e.</w:t>
      </w:r>
      <w:r w:rsidRPr="00311B33">
        <w:rPr>
          <w:rFonts w:ascii="Times New Roman" w:hAnsi="Times New Roman" w:cs="Times New Roman"/>
          <w:lang w:val="en-GB"/>
        </w:rPr>
        <w:t xml:space="preserve"> proceedings related to the </w:t>
      </w:r>
      <w:r w:rsidRPr="00311B33">
        <w:rPr>
          <w:rFonts w:ascii="Times New Roman" w:hAnsi="Times New Roman" w:cs="Times New Roman"/>
          <w:i/>
          <w:lang w:val="en-GB"/>
        </w:rPr>
        <w:t>ex post</w:t>
      </w:r>
      <w:r w:rsidRPr="00311B33">
        <w:rPr>
          <w:rFonts w:ascii="Times New Roman" w:hAnsi="Times New Roman" w:cs="Times New Roman"/>
          <w:lang w:val="en-GB"/>
        </w:rPr>
        <w:t xml:space="preserve"> enforcement of </w:t>
      </w:r>
      <w:r w:rsidR="00E83C7E" w:rsidRPr="00311B33">
        <w:rPr>
          <w:rFonts w:ascii="Times New Roman" w:hAnsi="Times New Roman" w:cs="Times New Roman"/>
          <w:lang w:val="en-GB"/>
        </w:rPr>
        <w:t>Article</w:t>
      </w:r>
      <w:r w:rsidRPr="00311B33">
        <w:rPr>
          <w:rFonts w:ascii="Times New Roman" w:hAnsi="Times New Roman" w:cs="Times New Roman"/>
          <w:lang w:val="en-GB"/>
        </w:rPr>
        <w:t xml:space="preserve"> 101 TFEU (coordinated conduct) and/or </w:t>
      </w:r>
      <w:r w:rsidR="00E83C7E" w:rsidRPr="00311B33">
        <w:rPr>
          <w:rFonts w:ascii="Times New Roman" w:hAnsi="Times New Roman" w:cs="Times New Roman"/>
          <w:lang w:val="en-GB"/>
        </w:rPr>
        <w:t>Article</w:t>
      </w:r>
      <w:r w:rsidRPr="00311B33">
        <w:rPr>
          <w:rFonts w:ascii="Times New Roman" w:hAnsi="Times New Roman" w:cs="Times New Roman"/>
          <w:lang w:val="en-GB"/>
        </w:rPr>
        <w:t xml:space="preserve"> 102 TFEU (unilateral conduct). </w:t>
      </w:r>
      <w:r w:rsidR="008973E4" w:rsidRPr="00311B33">
        <w:rPr>
          <w:rFonts w:ascii="Times New Roman" w:hAnsi="Times New Roman" w:cs="Times New Roman"/>
          <w:lang w:val="en-GB"/>
        </w:rPr>
        <w:t>Its</w:t>
      </w:r>
      <w:r w:rsidR="00133517" w:rsidRPr="00311B33">
        <w:rPr>
          <w:rFonts w:ascii="Times New Roman" w:hAnsi="Times New Roman" w:cs="Times New Roman"/>
          <w:lang w:val="en-GB"/>
        </w:rPr>
        <w:t xml:space="preserve"> ambition is to </w:t>
      </w:r>
      <w:r w:rsidR="008973E4" w:rsidRPr="00311B33">
        <w:rPr>
          <w:rFonts w:ascii="Times New Roman" w:hAnsi="Times New Roman" w:cs="Times New Roman"/>
          <w:lang w:val="en-GB"/>
        </w:rPr>
        <w:t xml:space="preserve">bring </w:t>
      </w:r>
      <w:r w:rsidR="00E15EEC">
        <w:rPr>
          <w:rFonts w:ascii="Times New Roman" w:hAnsi="Times New Roman" w:cs="Times New Roman"/>
          <w:lang w:val="en-GB"/>
        </w:rPr>
        <w:t>clarification</w:t>
      </w:r>
      <w:r w:rsidR="00E15EEC" w:rsidRPr="00311B33">
        <w:rPr>
          <w:rFonts w:ascii="Times New Roman" w:hAnsi="Times New Roman" w:cs="Times New Roman"/>
          <w:lang w:val="en-GB"/>
        </w:rPr>
        <w:t xml:space="preserve"> </w:t>
      </w:r>
      <w:r w:rsidR="008973E4" w:rsidRPr="00311B33">
        <w:rPr>
          <w:rFonts w:ascii="Times New Roman" w:hAnsi="Times New Roman" w:cs="Times New Roman"/>
          <w:lang w:val="en-GB"/>
        </w:rPr>
        <w:t xml:space="preserve">into </w:t>
      </w:r>
      <w:r w:rsidR="00751D46" w:rsidRPr="00311B33">
        <w:rPr>
          <w:rFonts w:ascii="Times New Roman" w:hAnsi="Times New Roman" w:cs="Times New Roman"/>
          <w:lang w:val="en-GB"/>
        </w:rPr>
        <w:t xml:space="preserve">– </w:t>
      </w:r>
      <w:r w:rsidR="008973E4" w:rsidRPr="00311B33">
        <w:rPr>
          <w:rFonts w:ascii="Times New Roman" w:hAnsi="Times New Roman" w:cs="Times New Roman"/>
          <w:lang w:val="en-GB"/>
        </w:rPr>
        <w:t>and assist readers</w:t>
      </w:r>
      <w:r w:rsidR="00636B52" w:rsidRPr="00311B33">
        <w:rPr>
          <w:rFonts w:ascii="Times New Roman" w:hAnsi="Times New Roman" w:cs="Times New Roman"/>
          <w:lang w:val="en-GB"/>
        </w:rPr>
        <w:t>,</w:t>
      </w:r>
      <w:r w:rsidR="008973E4" w:rsidRPr="00311B33">
        <w:rPr>
          <w:rFonts w:ascii="Times New Roman" w:hAnsi="Times New Roman" w:cs="Times New Roman"/>
          <w:lang w:val="en-GB"/>
        </w:rPr>
        <w:t xml:space="preserve"> firms and </w:t>
      </w:r>
      <w:r w:rsidR="00636B52" w:rsidRPr="00311B33">
        <w:rPr>
          <w:rFonts w:ascii="Times New Roman" w:hAnsi="Times New Roman" w:cs="Times New Roman"/>
          <w:lang w:val="en-GB"/>
        </w:rPr>
        <w:t>t</w:t>
      </w:r>
      <w:r w:rsidR="008973E4" w:rsidRPr="00311B33">
        <w:rPr>
          <w:rFonts w:ascii="Times New Roman" w:hAnsi="Times New Roman" w:cs="Times New Roman"/>
          <w:lang w:val="en-GB"/>
        </w:rPr>
        <w:t>heir counsels navigate</w:t>
      </w:r>
      <w:r w:rsidR="00133517" w:rsidRPr="00311B33">
        <w:rPr>
          <w:rFonts w:ascii="Times New Roman" w:hAnsi="Times New Roman" w:cs="Times New Roman"/>
          <w:lang w:val="en-GB"/>
        </w:rPr>
        <w:t xml:space="preserve"> </w:t>
      </w:r>
      <w:r w:rsidR="00751D46" w:rsidRPr="00311B33">
        <w:rPr>
          <w:rFonts w:ascii="Times New Roman" w:hAnsi="Times New Roman" w:cs="Times New Roman"/>
          <w:lang w:val="en-GB"/>
        </w:rPr>
        <w:t xml:space="preserve">– </w:t>
      </w:r>
      <w:r w:rsidR="00133517" w:rsidRPr="00311B33">
        <w:rPr>
          <w:rFonts w:ascii="Times New Roman" w:hAnsi="Times New Roman" w:cs="Times New Roman"/>
          <w:lang w:val="en-GB"/>
        </w:rPr>
        <w:t xml:space="preserve">the </w:t>
      </w:r>
      <w:r w:rsidR="00BB0157">
        <w:rPr>
          <w:rFonts w:ascii="Times New Roman" w:hAnsi="Times New Roman" w:cs="Times New Roman"/>
          <w:lang w:val="en-GB"/>
        </w:rPr>
        <w:t>thick</w:t>
      </w:r>
      <w:r w:rsidR="00834374">
        <w:rPr>
          <w:rFonts w:ascii="Times New Roman" w:hAnsi="Times New Roman" w:cs="Times New Roman"/>
          <w:lang w:val="en-GB"/>
        </w:rPr>
        <w:t xml:space="preserve"> and misty </w:t>
      </w:r>
      <w:r w:rsidR="00E15EEC">
        <w:rPr>
          <w:rFonts w:ascii="Times New Roman" w:hAnsi="Times New Roman" w:cs="Times New Roman"/>
          <w:lang w:val="en-GB"/>
        </w:rPr>
        <w:t xml:space="preserve">maze of </w:t>
      </w:r>
      <w:r w:rsidR="00133517" w:rsidRPr="00311B33">
        <w:rPr>
          <w:rFonts w:ascii="Times New Roman" w:hAnsi="Times New Roman" w:cs="Times New Roman"/>
          <w:lang w:val="en-GB"/>
        </w:rPr>
        <w:t xml:space="preserve">EU competition </w:t>
      </w:r>
      <w:r w:rsidR="00834374">
        <w:rPr>
          <w:rFonts w:ascii="Times New Roman" w:hAnsi="Times New Roman" w:cs="Times New Roman"/>
          <w:lang w:val="en-GB"/>
        </w:rPr>
        <w:t>rights</w:t>
      </w:r>
      <w:r w:rsidR="00133517" w:rsidRPr="00311B33">
        <w:rPr>
          <w:rFonts w:ascii="Times New Roman" w:hAnsi="Times New Roman" w:cs="Times New Roman"/>
          <w:lang w:val="en-GB"/>
        </w:rPr>
        <w:t xml:space="preserve">. </w:t>
      </w:r>
      <w:r w:rsidRPr="00311B33">
        <w:rPr>
          <w:rFonts w:ascii="Times New Roman" w:hAnsi="Times New Roman" w:cs="Times New Roman"/>
          <w:lang w:val="en-GB"/>
        </w:rPr>
        <w:t>A right that is ignored is indeed an ineffective right</w:t>
      </w:r>
      <w:r w:rsidR="007D6DD4">
        <w:rPr>
          <w:rFonts w:ascii="Times New Roman" w:hAnsi="Times New Roman" w:cs="Times New Roman"/>
          <w:lang w:val="en-GB"/>
        </w:rPr>
        <w:t>. A</w:t>
      </w:r>
      <w:r w:rsidR="007D6DD4" w:rsidRPr="00311B33">
        <w:rPr>
          <w:rFonts w:ascii="Times New Roman" w:hAnsi="Times New Roman" w:cs="Times New Roman"/>
          <w:lang w:val="en-GB"/>
        </w:rPr>
        <w:t xml:space="preserve">nd </w:t>
      </w:r>
      <w:r w:rsidRPr="00311B33">
        <w:rPr>
          <w:rFonts w:ascii="Times New Roman" w:hAnsi="Times New Roman" w:cs="Times New Roman"/>
          <w:lang w:val="en-GB"/>
        </w:rPr>
        <w:t xml:space="preserve">as Forrester </w:t>
      </w:r>
      <w:r w:rsidR="00133517" w:rsidRPr="00311B33">
        <w:rPr>
          <w:rFonts w:ascii="Times New Roman" w:hAnsi="Times New Roman" w:cs="Times New Roman"/>
          <w:lang w:val="en-GB"/>
        </w:rPr>
        <w:t xml:space="preserve">once </w:t>
      </w:r>
      <w:r w:rsidRPr="00311B33">
        <w:rPr>
          <w:rFonts w:ascii="Times New Roman" w:hAnsi="Times New Roman" w:cs="Times New Roman"/>
          <w:lang w:val="en-GB"/>
        </w:rPr>
        <w:t xml:space="preserve">coined it, </w:t>
      </w:r>
      <w:r w:rsidR="00133517" w:rsidRPr="00311B33">
        <w:rPr>
          <w:rFonts w:ascii="Times New Roman" w:hAnsi="Times New Roman" w:cs="Times New Roman"/>
          <w:lang w:val="en-GB"/>
        </w:rPr>
        <w:t>there is good reason to</w:t>
      </w:r>
      <w:r w:rsidRPr="00311B33">
        <w:rPr>
          <w:rFonts w:ascii="Times New Roman" w:hAnsi="Times New Roman" w:cs="Times New Roman"/>
          <w:lang w:val="en-GB"/>
        </w:rPr>
        <w:t xml:space="preserve"> believe that the bush of EU competition procedure is in need of pruning.</w:t>
      </w:r>
      <w:r w:rsidRPr="00311B33">
        <w:rPr>
          <w:rStyle w:val="Appelnotedebasdep"/>
          <w:rFonts w:ascii="Times New Roman" w:hAnsi="Times New Roman" w:cs="Times New Roman"/>
          <w:lang w:val="en-GB"/>
        </w:rPr>
        <w:footnoteReference w:id="10"/>
      </w:r>
      <w:r w:rsidR="00DF2F82" w:rsidRPr="00311B33">
        <w:rPr>
          <w:rFonts w:ascii="Times New Roman" w:hAnsi="Times New Roman" w:cs="Times New Roman"/>
          <w:lang w:val="en-GB"/>
        </w:rPr>
        <w:t xml:space="preserve"> </w:t>
      </w:r>
    </w:p>
    <w:p w:rsidR="007D6DD4" w:rsidRDefault="007D6DD4" w:rsidP="004E08B1">
      <w:pPr>
        <w:jc w:val="both"/>
        <w:rPr>
          <w:rFonts w:ascii="Times New Roman" w:hAnsi="Times New Roman" w:cs="Times New Roman"/>
          <w:lang w:val="en-GB"/>
        </w:rPr>
      </w:pPr>
    </w:p>
    <w:p w:rsidR="00D03835" w:rsidRPr="007D6DD4" w:rsidRDefault="007D6DD4" w:rsidP="004E08B1">
      <w:pPr>
        <w:jc w:val="both"/>
        <w:rPr>
          <w:lang w:val="en-GB"/>
        </w:rPr>
      </w:pPr>
      <w:r>
        <w:rPr>
          <w:rFonts w:ascii="Times New Roman" w:hAnsi="Times New Roman" w:cs="Times New Roman"/>
          <w:lang w:val="en-GB"/>
        </w:rPr>
        <w:t xml:space="preserve">This paper </w:t>
      </w:r>
      <w:r w:rsidR="00E15EEC">
        <w:rPr>
          <w:rFonts w:ascii="Times New Roman" w:hAnsi="Times New Roman" w:cs="Times New Roman"/>
          <w:lang w:val="en-GB"/>
        </w:rPr>
        <w:t>thus approach</w:t>
      </w:r>
      <w:r>
        <w:rPr>
          <w:rFonts w:ascii="Times New Roman" w:hAnsi="Times New Roman" w:cs="Times New Roman"/>
          <w:lang w:val="en-GB"/>
        </w:rPr>
        <w:t>es</w:t>
      </w:r>
      <w:r w:rsidR="00E15EEC">
        <w:rPr>
          <w:rFonts w:ascii="Times New Roman" w:hAnsi="Times New Roman" w:cs="Times New Roman"/>
          <w:lang w:val="en-GB"/>
        </w:rPr>
        <w:t xml:space="preserve"> </w:t>
      </w:r>
      <w:r w:rsidR="00A23A8C">
        <w:rPr>
          <w:rFonts w:ascii="Times New Roman" w:hAnsi="Times New Roman" w:cs="Times New Roman"/>
          <w:lang w:val="en-GB"/>
        </w:rPr>
        <w:t xml:space="preserve">procedural rights </w:t>
      </w:r>
      <w:r w:rsidR="00E15EEC">
        <w:rPr>
          <w:rFonts w:ascii="Times New Roman" w:hAnsi="Times New Roman" w:cs="Times New Roman"/>
          <w:lang w:val="en-GB"/>
        </w:rPr>
        <w:t xml:space="preserve">from a </w:t>
      </w:r>
      <w:r w:rsidR="00A23A8C">
        <w:rPr>
          <w:rFonts w:ascii="Times New Roman" w:hAnsi="Times New Roman" w:cs="Times New Roman"/>
          <w:lang w:val="en-GB"/>
        </w:rPr>
        <w:t>granular</w:t>
      </w:r>
      <w:r w:rsidR="00E15EEC">
        <w:rPr>
          <w:rFonts w:ascii="Times New Roman" w:hAnsi="Times New Roman" w:cs="Times New Roman"/>
          <w:lang w:val="en-GB"/>
        </w:rPr>
        <w:t xml:space="preserve"> and itemized</w:t>
      </w:r>
      <w:r w:rsidR="00A23A8C">
        <w:rPr>
          <w:rFonts w:ascii="Times New Roman" w:hAnsi="Times New Roman" w:cs="Times New Roman"/>
          <w:lang w:val="en-GB"/>
        </w:rPr>
        <w:t xml:space="preserve"> </w:t>
      </w:r>
      <w:r w:rsidR="00E15EEC">
        <w:rPr>
          <w:rFonts w:ascii="Times New Roman" w:hAnsi="Times New Roman" w:cs="Times New Roman"/>
          <w:lang w:val="en-GB"/>
        </w:rPr>
        <w:t>perspective</w:t>
      </w:r>
      <w:r>
        <w:rPr>
          <w:rFonts w:ascii="Times New Roman" w:hAnsi="Times New Roman" w:cs="Times New Roman"/>
          <w:lang w:val="en-GB"/>
        </w:rPr>
        <w:t xml:space="preserve">. It </w:t>
      </w:r>
      <w:r w:rsidR="00BB0157">
        <w:rPr>
          <w:rFonts w:ascii="Times New Roman" w:hAnsi="Times New Roman" w:cs="Times New Roman"/>
          <w:lang w:val="en-GB"/>
        </w:rPr>
        <w:t>stray</w:t>
      </w:r>
      <w:r>
        <w:rPr>
          <w:rFonts w:ascii="Times New Roman" w:hAnsi="Times New Roman" w:cs="Times New Roman"/>
          <w:lang w:val="en-GB"/>
        </w:rPr>
        <w:t>s</w:t>
      </w:r>
      <w:r w:rsidR="00AE0E30" w:rsidRPr="00311B33">
        <w:rPr>
          <w:rFonts w:ascii="Times New Roman" w:hAnsi="Times New Roman" w:cs="Times New Roman"/>
          <w:lang w:val="en-GB"/>
        </w:rPr>
        <w:t xml:space="preserve"> </w:t>
      </w:r>
      <w:r w:rsidR="00BB0157">
        <w:rPr>
          <w:rFonts w:ascii="Times New Roman" w:hAnsi="Times New Roman" w:cs="Times New Roman"/>
          <w:lang w:val="en-GB"/>
        </w:rPr>
        <w:t xml:space="preserve">from </w:t>
      </w:r>
      <w:r w:rsidR="00834374">
        <w:rPr>
          <w:rFonts w:ascii="Times New Roman" w:hAnsi="Times New Roman" w:cs="Times New Roman"/>
          <w:lang w:val="en-GB"/>
        </w:rPr>
        <w:t xml:space="preserve">the conventional presentation </w:t>
      </w:r>
      <w:r w:rsidR="00BB0157">
        <w:rPr>
          <w:rFonts w:ascii="Times New Roman" w:hAnsi="Times New Roman" w:cs="Times New Roman"/>
          <w:lang w:val="en-GB"/>
        </w:rPr>
        <w:t xml:space="preserve">which presents </w:t>
      </w:r>
      <w:r w:rsidR="00AE0E30" w:rsidRPr="00311B33">
        <w:rPr>
          <w:rFonts w:ascii="Times New Roman" w:hAnsi="Times New Roman" w:cs="Times New Roman"/>
          <w:lang w:val="en-GB"/>
        </w:rPr>
        <w:t xml:space="preserve">procedural rights </w:t>
      </w:r>
      <w:r w:rsidR="00BB0157">
        <w:rPr>
          <w:rFonts w:ascii="Times New Roman" w:hAnsi="Times New Roman" w:cs="Times New Roman"/>
          <w:lang w:val="en-GB"/>
        </w:rPr>
        <w:t>in broad and abstract categories</w:t>
      </w:r>
      <w:r>
        <w:rPr>
          <w:rFonts w:ascii="Times New Roman" w:hAnsi="Times New Roman" w:cs="Times New Roman"/>
          <w:lang w:val="en-GB"/>
        </w:rPr>
        <w:t xml:space="preserve">, and </w:t>
      </w:r>
      <w:r w:rsidR="00E15EEC">
        <w:rPr>
          <w:rFonts w:ascii="Times New Roman" w:hAnsi="Times New Roman" w:cs="Times New Roman"/>
          <w:lang w:val="en-GB"/>
        </w:rPr>
        <w:t>come</w:t>
      </w:r>
      <w:r>
        <w:rPr>
          <w:rFonts w:ascii="Times New Roman" w:hAnsi="Times New Roman" w:cs="Times New Roman"/>
          <w:lang w:val="en-GB"/>
        </w:rPr>
        <w:t>s</w:t>
      </w:r>
      <w:r w:rsidR="00E15EEC">
        <w:rPr>
          <w:rFonts w:ascii="Times New Roman" w:hAnsi="Times New Roman" w:cs="Times New Roman"/>
          <w:lang w:val="en-GB"/>
        </w:rPr>
        <w:t xml:space="preserve"> up with a </w:t>
      </w:r>
      <w:r w:rsidR="00834374">
        <w:rPr>
          <w:rFonts w:ascii="Times New Roman" w:hAnsi="Times New Roman" w:cs="Times New Roman"/>
          <w:lang w:val="en-GB"/>
        </w:rPr>
        <w:t xml:space="preserve">larger </w:t>
      </w:r>
      <w:r w:rsidR="00E15EEC">
        <w:rPr>
          <w:rFonts w:ascii="Times New Roman" w:hAnsi="Times New Roman" w:cs="Times New Roman"/>
          <w:lang w:val="en-GB"/>
        </w:rPr>
        <w:t xml:space="preserve">list </w:t>
      </w:r>
      <w:r w:rsidR="00133517" w:rsidRPr="00311B33">
        <w:rPr>
          <w:rFonts w:ascii="Times New Roman" w:hAnsi="Times New Roman" w:cs="Times New Roman"/>
          <w:lang w:val="en-GB"/>
        </w:rPr>
        <w:t>of</w:t>
      </w:r>
      <w:r w:rsidR="00EF6D25" w:rsidRPr="00311B33">
        <w:rPr>
          <w:rFonts w:ascii="Times New Roman" w:hAnsi="Times New Roman" w:cs="Times New Roman"/>
          <w:lang w:val="en-GB"/>
        </w:rPr>
        <w:t xml:space="preserve"> </w:t>
      </w:r>
      <w:r w:rsidR="008973E4" w:rsidRPr="00311B33">
        <w:rPr>
          <w:rFonts w:ascii="Times New Roman" w:hAnsi="Times New Roman" w:cs="Times New Roman"/>
          <w:lang w:val="en-GB"/>
        </w:rPr>
        <w:t>ten</w:t>
      </w:r>
      <w:r w:rsidR="00133517" w:rsidRPr="00311B33">
        <w:rPr>
          <w:rFonts w:ascii="Times New Roman" w:hAnsi="Times New Roman" w:cs="Times New Roman"/>
          <w:lang w:val="en-GB"/>
        </w:rPr>
        <w:t xml:space="preserve"> competition rights</w:t>
      </w:r>
      <w:r w:rsidR="00DD2AB7" w:rsidRPr="00311B33">
        <w:rPr>
          <w:rStyle w:val="Appelnotedebasdep"/>
          <w:rFonts w:ascii="Times New Roman" w:hAnsi="Times New Roman" w:cs="Times New Roman"/>
          <w:lang w:val="en-GB"/>
        </w:rPr>
        <w:footnoteReference w:id="11"/>
      </w:r>
      <w:r w:rsidR="00EF6D25" w:rsidRPr="00311B33">
        <w:rPr>
          <w:rFonts w:ascii="Times New Roman" w:hAnsi="Times New Roman" w:cs="Times New Roman"/>
          <w:lang w:val="en-GB"/>
        </w:rPr>
        <w:t xml:space="preserve">, </w:t>
      </w:r>
      <w:r w:rsidR="00751D46" w:rsidRPr="00311B33">
        <w:rPr>
          <w:rFonts w:ascii="Times New Roman" w:hAnsi="Times New Roman" w:cs="Times New Roman"/>
          <w:lang w:val="en-GB"/>
        </w:rPr>
        <w:t xml:space="preserve">which </w:t>
      </w:r>
      <w:r w:rsidR="00751D46" w:rsidRPr="00311B33">
        <w:rPr>
          <w:rFonts w:ascii="Times New Roman" w:hAnsi="Times New Roman" w:cs="Times New Roman"/>
          <w:lang w:val="en-GB"/>
        </w:rPr>
        <w:lastRenderedPageBreak/>
        <w:t>comprises</w:t>
      </w:r>
      <w:r w:rsidR="00EF6D25" w:rsidRPr="00311B33">
        <w:rPr>
          <w:rFonts w:ascii="Times New Roman" w:hAnsi="Times New Roman" w:cs="Times New Roman"/>
          <w:lang w:val="en-GB"/>
        </w:rPr>
        <w:t xml:space="preserve">: </w:t>
      </w:r>
      <w:r w:rsidR="006A034E">
        <w:rPr>
          <w:rFonts w:ascii="Times New Roman" w:hAnsi="Times New Roman" w:cs="Times New Roman"/>
          <w:lang w:val="en-GB"/>
        </w:rPr>
        <w:t xml:space="preserve">the </w:t>
      </w:r>
      <w:r w:rsidR="00883A50" w:rsidRPr="004E08B1">
        <w:rPr>
          <w:rFonts w:ascii="Times New Roman" w:hAnsi="Times New Roman" w:cs="Times New Roman"/>
          <w:lang w:val="en-GB"/>
        </w:rPr>
        <w:t xml:space="preserve">right to assistance, the right to have cognizance to all material of importance for the resolution of the case, the right of expression, </w:t>
      </w:r>
      <w:r w:rsidR="006A034E">
        <w:rPr>
          <w:rFonts w:ascii="Times New Roman" w:hAnsi="Times New Roman" w:cs="Times New Roman"/>
          <w:lang w:val="en-GB"/>
        </w:rPr>
        <w:t xml:space="preserve">the </w:t>
      </w:r>
      <w:r w:rsidR="00883A50" w:rsidRPr="004E08B1">
        <w:rPr>
          <w:rFonts w:ascii="Times New Roman" w:hAnsi="Times New Roman" w:cs="Times New Roman"/>
          <w:lang w:val="en-GB"/>
        </w:rPr>
        <w:t xml:space="preserve">right to have a decision within a reasonable time, </w:t>
      </w:r>
      <w:r w:rsidR="006A034E">
        <w:rPr>
          <w:rFonts w:ascii="Times New Roman" w:hAnsi="Times New Roman" w:cs="Times New Roman"/>
          <w:lang w:val="en-GB"/>
        </w:rPr>
        <w:t xml:space="preserve">the </w:t>
      </w:r>
      <w:r w:rsidR="00883A50" w:rsidRPr="004E08B1">
        <w:rPr>
          <w:rFonts w:ascii="Times New Roman" w:hAnsi="Times New Roman" w:cs="Times New Roman"/>
          <w:lang w:val="en-GB"/>
        </w:rPr>
        <w:t xml:space="preserve">right to integrity, </w:t>
      </w:r>
      <w:r w:rsidR="006A034E">
        <w:rPr>
          <w:rFonts w:ascii="Times New Roman" w:hAnsi="Times New Roman" w:cs="Times New Roman"/>
          <w:lang w:val="en-GB"/>
        </w:rPr>
        <w:t xml:space="preserve">the </w:t>
      </w:r>
      <w:r w:rsidR="00883A50" w:rsidRPr="004E08B1">
        <w:rPr>
          <w:rFonts w:ascii="Times New Roman" w:hAnsi="Times New Roman" w:cs="Times New Roman"/>
          <w:lang w:val="en-GB"/>
        </w:rPr>
        <w:t xml:space="preserve">right to be presumed innocent, the right to silence, the right to professional secrecy, </w:t>
      </w:r>
      <w:r w:rsidR="006A034E">
        <w:rPr>
          <w:rFonts w:ascii="Times New Roman" w:hAnsi="Times New Roman" w:cs="Times New Roman"/>
          <w:lang w:val="en-GB"/>
        </w:rPr>
        <w:t xml:space="preserve">the </w:t>
      </w:r>
      <w:r w:rsidR="00883A50" w:rsidRPr="004E08B1">
        <w:rPr>
          <w:rFonts w:ascii="Times New Roman" w:hAnsi="Times New Roman" w:cs="Times New Roman"/>
          <w:lang w:val="en-GB"/>
        </w:rPr>
        <w:t>right to an explanation</w:t>
      </w:r>
      <w:r w:rsidR="006A034E">
        <w:rPr>
          <w:rFonts w:ascii="Times New Roman" w:hAnsi="Times New Roman" w:cs="Times New Roman"/>
          <w:lang w:val="en-GB"/>
        </w:rPr>
        <w:t xml:space="preserve"> and the</w:t>
      </w:r>
      <w:r w:rsidR="00883A50" w:rsidRPr="004E08B1">
        <w:rPr>
          <w:rFonts w:ascii="Times New Roman" w:hAnsi="Times New Roman" w:cs="Times New Roman"/>
          <w:lang w:val="en-GB"/>
        </w:rPr>
        <w:t xml:space="preserve"> right to consistency and predictability in decision</w:t>
      </w:r>
      <w:r w:rsidR="0081781C">
        <w:rPr>
          <w:rFonts w:ascii="Times New Roman" w:hAnsi="Times New Roman" w:cs="Times New Roman"/>
          <w:lang w:val="en-GB"/>
        </w:rPr>
        <w:t>-</w:t>
      </w:r>
      <w:r w:rsidR="00883A50" w:rsidRPr="004E08B1">
        <w:rPr>
          <w:rFonts w:ascii="Times New Roman" w:hAnsi="Times New Roman" w:cs="Times New Roman"/>
          <w:lang w:val="en-GB"/>
        </w:rPr>
        <w:t>making.</w:t>
      </w:r>
    </w:p>
    <w:p w:rsidR="00175123" w:rsidRPr="00311B33" w:rsidRDefault="00175123" w:rsidP="0082443E">
      <w:pPr>
        <w:jc w:val="both"/>
        <w:rPr>
          <w:rFonts w:ascii="Times New Roman" w:hAnsi="Times New Roman" w:cs="Times New Roman"/>
          <w:lang w:val="en-GB"/>
        </w:rPr>
      </w:pPr>
    </w:p>
    <w:p w:rsidR="002E51F7" w:rsidRPr="00246F56" w:rsidRDefault="00751D46" w:rsidP="0082443E">
      <w:pPr>
        <w:jc w:val="both"/>
        <w:rPr>
          <w:rFonts w:ascii="Times New Roman" w:hAnsi="Times New Roman"/>
          <w:lang w:val="en-US"/>
        </w:rPr>
      </w:pPr>
      <w:r w:rsidRPr="00311B33">
        <w:rPr>
          <w:rFonts w:ascii="Times New Roman" w:hAnsi="Times New Roman" w:cs="Times New Roman"/>
          <w:lang w:val="en-GB"/>
        </w:rPr>
        <w:t>Before considering each of those rights in further detail</w:t>
      </w:r>
      <w:r w:rsidR="00EE6A8A" w:rsidRPr="00311B33">
        <w:rPr>
          <w:rFonts w:ascii="Times New Roman" w:hAnsi="Times New Roman" w:cs="Times New Roman"/>
          <w:lang w:val="en-GB"/>
        </w:rPr>
        <w:t xml:space="preserve">, </w:t>
      </w:r>
      <w:r w:rsidR="00E44179">
        <w:rPr>
          <w:rFonts w:ascii="Times New Roman" w:hAnsi="Times New Roman" w:cs="Times New Roman"/>
          <w:lang w:val="en-GB"/>
        </w:rPr>
        <w:t>the reader ought to be reminded</w:t>
      </w:r>
      <w:r w:rsidR="00E44179" w:rsidRPr="00311B33">
        <w:rPr>
          <w:rFonts w:ascii="Times New Roman" w:hAnsi="Times New Roman" w:cs="Times New Roman"/>
          <w:lang w:val="en-GB"/>
        </w:rPr>
        <w:t xml:space="preserve"> </w:t>
      </w:r>
      <w:r w:rsidR="00EE6A8A" w:rsidRPr="00311B33">
        <w:rPr>
          <w:rFonts w:ascii="Times New Roman" w:hAnsi="Times New Roman" w:cs="Times New Roman"/>
          <w:lang w:val="en-GB"/>
        </w:rPr>
        <w:t xml:space="preserve">that </w:t>
      </w:r>
      <w:r w:rsidR="002E51F7" w:rsidRPr="00311B33">
        <w:rPr>
          <w:rFonts w:ascii="Times New Roman" w:hAnsi="Times New Roman"/>
          <w:lang w:val="en-US"/>
        </w:rPr>
        <w:t xml:space="preserve">the EU </w:t>
      </w:r>
      <w:r w:rsidRPr="00311B33">
        <w:rPr>
          <w:rFonts w:ascii="Times New Roman" w:hAnsi="Times New Roman"/>
          <w:lang w:val="en-US"/>
        </w:rPr>
        <w:t xml:space="preserve">is not yet a member of </w:t>
      </w:r>
      <w:r w:rsidR="002E51F7" w:rsidRPr="00311B33">
        <w:rPr>
          <w:rFonts w:ascii="Times New Roman" w:hAnsi="Times New Roman"/>
          <w:lang w:val="en-US"/>
        </w:rPr>
        <w:t>the ECHR.</w:t>
      </w:r>
      <w:r w:rsidR="002E51F7" w:rsidRPr="00311B33">
        <w:rPr>
          <w:rFonts w:ascii="Times New Roman" w:hAnsi="Times New Roman" w:cs="Times New Roman"/>
          <w:lang w:val="en-GB"/>
        </w:rPr>
        <w:t xml:space="preserve"> Additionally, </w:t>
      </w:r>
      <w:r w:rsidRPr="00311B33">
        <w:rPr>
          <w:rFonts w:ascii="Times New Roman" w:hAnsi="Times New Roman" w:cs="Times New Roman"/>
          <w:lang w:val="en-GB"/>
        </w:rPr>
        <w:t xml:space="preserve">the </w:t>
      </w:r>
      <w:r w:rsidR="00EE6A8A" w:rsidRPr="00311B33">
        <w:rPr>
          <w:rFonts w:ascii="Times New Roman" w:hAnsi="Times New Roman" w:cs="Times New Roman"/>
          <w:lang w:val="en-GB"/>
        </w:rPr>
        <w:t xml:space="preserve">case law </w:t>
      </w:r>
      <w:r w:rsidR="002E51F7" w:rsidRPr="00311B33">
        <w:rPr>
          <w:rFonts w:ascii="Times New Roman" w:hAnsi="Times New Roman" w:cs="Times New Roman"/>
          <w:lang w:val="en-GB"/>
        </w:rPr>
        <w:t xml:space="preserve">of the CJEU </w:t>
      </w:r>
      <w:r w:rsidRPr="00311B33">
        <w:rPr>
          <w:rFonts w:ascii="Times New Roman" w:hAnsi="Times New Roman" w:cs="Times New Roman"/>
          <w:lang w:val="en-GB"/>
        </w:rPr>
        <w:t xml:space="preserve">seems to </w:t>
      </w:r>
      <w:r w:rsidR="00EE6A8A" w:rsidRPr="00311B33">
        <w:rPr>
          <w:rFonts w:ascii="Times New Roman" w:hAnsi="Times New Roman" w:cs="Times New Roman"/>
          <w:lang w:val="en-GB"/>
        </w:rPr>
        <w:t xml:space="preserve">exclude the application of Article 6 </w:t>
      </w:r>
      <w:r w:rsidR="00EC5A8A" w:rsidRPr="00311B33">
        <w:rPr>
          <w:rFonts w:ascii="Times New Roman" w:hAnsi="Times New Roman" w:cs="Times New Roman"/>
          <w:lang w:val="en-GB"/>
        </w:rPr>
        <w:t>ECHR</w:t>
      </w:r>
      <w:r w:rsidR="00EE6A8A" w:rsidRPr="00311B33">
        <w:rPr>
          <w:rFonts w:ascii="Times New Roman" w:hAnsi="Times New Roman" w:cs="Times New Roman"/>
          <w:lang w:val="en-GB"/>
        </w:rPr>
        <w:t xml:space="preserve"> </w:t>
      </w:r>
      <w:r w:rsidR="008505B1" w:rsidRPr="00311B33">
        <w:rPr>
          <w:rFonts w:ascii="Times New Roman" w:hAnsi="Times New Roman" w:cs="Times New Roman"/>
          <w:lang w:val="en-GB"/>
        </w:rPr>
        <w:t xml:space="preserve">to the EU Commission </w:t>
      </w:r>
      <w:r w:rsidR="00DD28E9">
        <w:rPr>
          <w:rFonts w:ascii="Times New Roman" w:hAnsi="Times New Roman" w:cs="Times New Roman"/>
          <w:lang w:val="en-GB"/>
        </w:rPr>
        <w:t>(</w:t>
      </w:r>
      <w:r w:rsidR="008505B1" w:rsidRPr="00311B33">
        <w:rPr>
          <w:rFonts w:ascii="Times New Roman" w:hAnsi="Times New Roman" w:cs="Times New Roman"/>
          <w:lang w:val="en-GB"/>
        </w:rPr>
        <w:t xml:space="preserve">hereafter “the Commission”) </w:t>
      </w:r>
      <w:r w:rsidR="002E51F7" w:rsidRPr="00311B33">
        <w:rPr>
          <w:rFonts w:ascii="Times New Roman" w:hAnsi="Times New Roman" w:cs="Times New Roman"/>
          <w:lang w:val="en-GB"/>
        </w:rPr>
        <w:t>on the g</w:t>
      </w:r>
      <w:r w:rsidR="00DD28E9" w:rsidRPr="00311B33">
        <w:rPr>
          <w:rFonts w:ascii="Times New Roman" w:hAnsi="Times New Roman" w:cs="Times New Roman"/>
          <w:lang w:val="en-GB"/>
        </w:rPr>
        <w:t>round that the Commission is no</w:t>
      </w:r>
      <w:r w:rsidR="006D0E27">
        <w:rPr>
          <w:rFonts w:ascii="Times New Roman" w:hAnsi="Times New Roman" w:cs="Times New Roman"/>
          <w:lang w:val="en-GB"/>
        </w:rPr>
        <w:t xml:space="preserve"> </w:t>
      </w:r>
      <w:r w:rsidR="002E51F7" w:rsidRPr="00311B33">
        <w:rPr>
          <w:rFonts w:ascii="Times New Roman" w:hAnsi="Times New Roman"/>
          <w:lang w:val="en-US"/>
        </w:rPr>
        <w:t>“</w:t>
      </w:r>
      <w:r w:rsidR="002E51F7" w:rsidRPr="00311B33">
        <w:rPr>
          <w:rFonts w:ascii="Times New Roman" w:hAnsi="Times New Roman"/>
          <w:i/>
          <w:lang w:val="en-US"/>
        </w:rPr>
        <w:t>tribunal</w:t>
      </w:r>
      <w:r w:rsidR="002E51F7" w:rsidRPr="00311B33">
        <w:rPr>
          <w:rFonts w:ascii="Times New Roman" w:hAnsi="Times New Roman"/>
          <w:lang w:val="en-US"/>
        </w:rPr>
        <w:t xml:space="preserve">”. </w:t>
      </w:r>
      <w:r w:rsidR="008D0F65" w:rsidRPr="00311B33">
        <w:rPr>
          <w:rFonts w:ascii="Times New Roman" w:hAnsi="Times New Roman"/>
          <w:lang w:val="en-US"/>
        </w:rPr>
        <w:t>However,</w:t>
      </w:r>
      <w:r w:rsidRPr="00311B33">
        <w:rPr>
          <w:rFonts w:ascii="Times New Roman" w:hAnsi="Times New Roman"/>
          <w:lang w:val="en-US"/>
        </w:rPr>
        <w:t xml:space="preserve"> the</w:t>
      </w:r>
      <w:r w:rsidR="008D0F65" w:rsidRPr="00311B33">
        <w:rPr>
          <w:rFonts w:ascii="Times New Roman" w:hAnsi="Times New Roman"/>
          <w:lang w:val="en-US"/>
        </w:rPr>
        <w:t xml:space="preserve"> EU case law is not </w:t>
      </w:r>
      <w:r w:rsidRPr="00311B33">
        <w:rPr>
          <w:rFonts w:ascii="Times New Roman" w:hAnsi="Times New Roman"/>
          <w:lang w:val="en-US"/>
        </w:rPr>
        <w:t>entirely consistent</w:t>
      </w:r>
      <w:r w:rsidR="008D0F65" w:rsidRPr="00311B33">
        <w:rPr>
          <w:rFonts w:ascii="Times New Roman" w:hAnsi="Times New Roman"/>
          <w:lang w:val="en-US"/>
        </w:rPr>
        <w:t xml:space="preserve">. </w:t>
      </w:r>
      <w:r w:rsidRPr="00311B33">
        <w:rPr>
          <w:rFonts w:ascii="Times New Roman" w:hAnsi="Times New Roman"/>
          <w:lang w:val="en-US"/>
        </w:rPr>
        <w:t xml:space="preserve">Some </w:t>
      </w:r>
      <w:r w:rsidR="009B1657" w:rsidRPr="00246F56">
        <w:rPr>
          <w:rFonts w:ascii="Times New Roman" w:hAnsi="Times New Roman" w:cs="Times New Roman"/>
          <w:lang w:val="en-GB"/>
        </w:rPr>
        <w:t>rulings</w:t>
      </w:r>
      <w:r w:rsidRPr="00311B33">
        <w:rPr>
          <w:rFonts w:ascii="Times New Roman" w:hAnsi="Times New Roman" w:cs="Times New Roman"/>
          <w:lang w:val="en-GB"/>
        </w:rPr>
        <w:t xml:space="preserve"> have</w:t>
      </w:r>
      <w:r w:rsidR="009B1657" w:rsidRPr="00246F56">
        <w:rPr>
          <w:rFonts w:ascii="Times New Roman" w:hAnsi="Times New Roman" w:cs="Times New Roman"/>
          <w:lang w:val="en-GB"/>
        </w:rPr>
        <w:t xml:space="preserve"> </w:t>
      </w:r>
      <w:r w:rsidRPr="00311B33">
        <w:rPr>
          <w:rFonts w:ascii="Times New Roman" w:hAnsi="Times New Roman" w:cs="Times New Roman"/>
          <w:lang w:val="en-GB"/>
        </w:rPr>
        <w:t xml:space="preserve">seemed to hold </w:t>
      </w:r>
      <w:r w:rsidR="006D0E27">
        <w:rPr>
          <w:rFonts w:ascii="Times New Roman" w:hAnsi="Times New Roman" w:cs="Times New Roman"/>
          <w:lang w:val="en-GB"/>
        </w:rPr>
        <w:t xml:space="preserve">that </w:t>
      </w:r>
      <w:r w:rsidR="009B1657" w:rsidRPr="00246F56">
        <w:rPr>
          <w:rFonts w:ascii="Times New Roman" w:hAnsi="Times New Roman" w:cs="Times New Roman"/>
          <w:lang w:val="en-GB"/>
        </w:rPr>
        <w:t xml:space="preserve">Article 6 </w:t>
      </w:r>
      <w:r w:rsidR="00EC5A8A" w:rsidRPr="00311B33">
        <w:rPr>
          <w:rFonts w:ascii="Times New Roman" w:hAnsi="Times New Roman" w:cs="Times New Roman"/>
          <w:lang w:val="en-GB"/>
        </w:rPr>
        <w:t xml:space="preserve">ECHR </w:t>
      </w:r>
      <w:r w:rsidRPr="00311B33">
        <w:rPr>
          <w:rFonts w:ascii="Times New Roman" w:hAnsi="Times New Roman" w:cs="Times New Roman"/>
          <w:lang w:val="en-GB"/>
        </w:rPr>
        <w:t>could be applicable in EU competition proceedings</w:t>
      </w:r>
      <w:r w:rsidR="009B1657" w:rsidRPr="00246F56">
        <w:rPr>
          <w:rFonts w:ascii="Times New Roman" w:hAnsi="Times New Roman" w:cs="Times New Roman"/>
          <w:lang w:val="en-GB"/>
        </w:rPr>
        <w:t>.</w:t>
      </w:r>
      <w:r w:rsidR="009B1657" w:rsidRPr="00246F56">
        <w:rPr>
          <w:rStyle w:val="Appelnotedebasdep"/>
          <w:rFonts w:ascii="Times New Roman" w:hAnsi="Times New Roman" w:cs="Times New Roman"/>
          <w:lang w:val="en-GB"/>
        </w:rPr>
        <w:footnoteReference w:id="12"/>
      </w:r>
      <w:r w:rsidR="008D0F65" w:rsidRPr="00311B33">
        <w:rPr>
          <w:rFonts w:ascii="Times New Roman" w:hAnsi="Times New Roman" w:cs="Times New Roman"/>
          <w:i/>
          <w:lang w:val="en-GB"/>
        </w:rPr>
        <w:t xml:space="preserve"> </w:t>
      </w:r>
      <w:r w:rsidRPr="00311B33">
        <w:rPr>
          <w:rFonts w:ascii="Times New Roman" w:hAnsi="Times New Roman"/>
          <w:lang w:val="en-US"/>
        </w:rPr>
        <w:t xml:space="preserve">Moreover, </w:t>
      </w:r>
      <w:r w:rsidR="002E51F7" w:rsidRPr="00311B33">
        <w:rPr>
          <w:rFonts w:ascii="Times New Roman" w:hAnsi="Times New Roman"/>
          <w:lang w:val="en-US"/>
        </w:rPr>
        <w:t xml:space="preserve">the Commission is bound to respect general principles of Union law which </w:t>
      </w:r>
      <w:r w:rsidRPr="00311B33">
        <w:rPr>
          <w:rFonts w:ascii="Times New Roman" w:hAnsi="Times New Roman"/>
          <w:lang w:val="en-US"/>
        </w:rPr>
        <w:t xml:space="preserve">themselves originate </w:t>
      </w:r>
      <w:r w:rsidR="002E51F7" w:rsidRPr="00311B33">
        <w:rPr>
          <w:rFonts w:ascii="Times New Roman" w:hAnsi="Times New Roman"/>
          <w:lang w:val="en-US"/>
        </w:rPr>
        <w:t>from the common constitutional traditions of the Member States</w:t>
      </w:r>
      <w:r w:rsidRPr="00311B33">
        <w:rPr>
          <w:rFonts w:ascii="Times New Roman" w:hAnsi="Times New Roman"/>
          <w:lang w:val="en-US"/>
        </w:rPr>
        <w:t>.</w:t>
      </w:r>
      <w:r w:rsidR="002E51F7" w:rsidRPr="00311B33">
        <w:rPr>
          <w:rStyle w:val="Appelnotedebasdep"/>
          <w:rFonts w:ascii="Times New Roman" w:hAnsi="Times New Roman"/>
          <w:lang w:val="en-US"/>
        </w:rPr>
        <w:footnoteReference w:id="13"/>
      </w:r>
      <w:r w:rsidRPr="00311B33">
        <w:rPr>
          <w:rFonts w:ascii="Times New Roman" w:hAnsi="Times New Roman"/>
          <w:lang w:val="en-US"/>
        </w:rPr>
        <w:t xml:space="preserve"> Through this channel, several rights protected by the ECHR indirectly permeate </w:t>
      </w:r>
      <w:r w:rsidR="002E51F7" w:rsidRPr="00311B33">
        <w:rPr>
          <w:rFonts w:ascii="Times New Roman" w:hAnsi="Times New Roman"/>
          <w:lang w:val="en-US"/>
        </w:rPr>
        <w:t>EU </w:t>
      </w:r>
      <w:r w:rsidR="00E44179">
        <w:rPr>
          <w:rFonts w:ascii="Times New Roman" w:hAnsi="Times New Roman"/>
          <w:lang w:val="en-US"/>
        </w:rPr>
        <w:t>competition proceedings</w:t>
      </w:r>
      <w:r w:rsidR="002E51F7" w:rsidRPr="00311B33">
        <w:rPr>
          <w:rFonts w:ascii="Times New Roman" w:hAnsi="Times New Roman"/>
          <w:lang w:val="en-US"/>
        </w:rPr>
        <w:t>. All this</w:t>
      </w:r>
      <w:r w:rsidRPr="00311B33">
        <w:rPr>
          <w:rFonts w:ascii="Times New Roman" w:hAnsi="Times New Roman"/>
          <w:lang w:val="en-US"/>
        </w:rPr>
        <w:t xml:space="preserve"> </w:t>
      </w:r>
      <w:r w:rsidR="00E44179">
        <w:rPr>
          <w:rFonts w:ascii="Times New Roman" w:hAnsi="Times New Roman"/>
          <w:lang w:val="en-US"/>
        </w:rPr>
        <w:t>commands</w:t>
      </w:r>
      <w:r w:rsidR="00E44179" w:rsidRPr="00311B33">
        <w:rPr>
          <w:rFonts w:ascii="Times New Roman" w:hAnsi="Times New Roman"/>
          <w:lang w:val="en-US"/>
        </w:rPr>
        <w:t xml:space="preserve"> </w:t>
      </w:r>
      <w:r w:rsidR="00E44179">
        <w:rPr>
          <w:rFonts w:ascii="Times New Roman" w:hAnsi="Times New Roman"/>
          <w:lang w:val="en-US"/>
        </w:rPr>
        <w:t xml:space="preserve">paying heed to </w:t>
      </w:r>
      <w:r w:rsidRPr="00311B33">
        <w:rPr>
          <w:rFonts w:ascii="Times New Roman" w:hAnsi="Times New Roman"/>
          <w:lang w:val="en-US"/>
        </w:rPr>
        <w:t xml:space="preserve">the </w:t>
      </w:r>
      <w:r w:rsidR="002E51F7" w:rsidRPr="00311B33">
        <w:rPr>
          <w:rFonts w:ascii="Times New Roman" w:hAnsi="Times New Roman"/>
          <w:lang w:val="en-US"/>
        </w:rPr>
        <w:t xml:space="preserve">ECtHR </w:t>
      </w:r>
      <w:r w:rsidRPr="00311B33">
        <w:rPr>
          <w:rFonts w:ascii="Times New Roman" w:hAnsi="Times New Roman"/>
          <w:lang w:val="en-US"/>
        </w:rPr>
        <w:t>case-la</w:t>
      </w:r>
      <w:r w:rsidR="002E4D9C">
        <w:rPr>
          <w:rFonts w:ascii="Times New Roman" w:hAnsi="Times New Roman"/>
          <w:lang w:val="en-US"/>
        </w:rPr>
        <w:t>w</w:t>
      </w:r>
      <w:r w:rsidR="00E44179">
        <w:rPr>
          <w:rFonts w:ascii="Times New Roman" w:hAnsi="Times New Roman"/>
          <w:lang w:val="en-US"/>
        </w:rPr>
        <w:t xml:space="preserve"> in the discussion that follows.</w:t>
      </w:r>
    </w:p>
    <w:p w:rsidR="002E51F7" w:rsidRPr="004E08B1" w:rsidRDefault="002E51F7" w:rsidP="0082443E">
      <w:pPr>
        <w:jc w:val="both"/>
        <w:rPr>
          <w:rFonts w:ascii="Times New Roman" w:hAnsi="Times New Roman" w:cs="Times New Roman"/>
          <w:lang w:val="en-US"/>
        </w:rPr>
      </w:pPr>
    </w:p>
    <w:p w:rsidR="00DD2AB7" w:rsidRPr="00311B33" w:rsidRDefault="00751D46" w:rsidP="0082443E">
      <w:pPr>
        <w:jc w:val="both"/>
        <w:rPr>
          <w:rFonts w:ascii="Times New Roman" w:hAnsi="Times New Roman" w:cs="Times New Roman"/>
          <w:lang w:val="en-GB"/>
        </w:rPr>
      </w:pPr>
      <w:r w:rsidRPr="00311B33">
        <w:rPr>
          <w:rFonts w:ascii="Times New Roman" w:hAnsi="Times New Roman" w:cs="Times New Roman"/>
          <w:lang w:val="en-GB"/>
        </w:rPr>
        <w:t>Th</w:t>
      </w:r>
      <w:r w:rsidR="00E44179">
        <w:rPr>
          <w:rFonts w:ascii="Times New Roman" w:hAnsi="Times New Roman" w:cs="Times New Roman"/>
          <w:lang w:val="en-GB"/>
        </w:rPr>
        <w:t xml:space="preserve">is paper </w:t>
      </w:r>
      <w:r w:rsidRPr="00311B33">
        <w:rPr>
          <w:rFonts w:ascii="Times New Roman" w:hAnsi="Times New Roman" w:cs="Times New Roman"/>
          <w:lang w:val="en-GB"/>
        </w:rPr>
        <w:t xml:space="preserve">is organised as follows. We review each </w:t>
      </w:r>
      <w:r w:rsidR="00E44179">
        <w:rPr>
          <w:rFonts w:ascii="Times New Roman" w:hAnsi="Times New Roman" w:cs="Times New Roman"/>
          <w:lang w:val="en-GB"/>
        </w:rPr>
        <w:t xml:space="preserve">procedural </w:t>
      </w:r>
      <w:r w:rsidRPr="00311B33">
        <w:rPr>
          <w:rFonts w:ascii="Times New Roman" w:hAnsi="Times New Roman" w:cs="Times New Roman"/>
          <w:lang w:val="en-GB"/>
        </w:rPr>
        <w:t>right in turn</w:t>
      </w:r>
      <w:r w:rsidR="00E44179">
        <w:rPr>
          <w:rFonts w:ascii="Times New Roman" w:hAnsi="Times New Roman" w:cs="Times New Roman"/>
          <w:lang w:val="en-GB"/>
        </w:rPr>
        <w:t xml:space="preserve">. </w:t>
      </w:r>
      <w:r w:rsidR="007827E4" w:rsidRPr="00311B33">
        <w:rPr>
          <w:rFonts w:ascii="Times New Roman" w:hAnsi="Times New Roman" w:cs="Times New Roman"/>
          <w:lang w:val="en-GB"/>
        </w:rPr>
        <w:t>For e</w:t>
      </w:r>
      <w:r w:rsidR="00C87611" w:rsidRPr="00311B33">
        <w:rPr>
          <w:rFonts w:ascii="Times New Roman" w:hAnsi="Times New Roman" w:cs="Times New Roman"/>
          <w:lang w:val="en-GB"/>
        </w:rPr>
        <w:t>ach right</w:t>
      </w:r>
      <w:r w:rsidRPr="00311B33">
        <w:rPr>
          <w:rFonts w:ascii="Times New Roman" w:hAnsi="Times New Roman" w:cs="Times New Roman"/>
          <w:lang w:val="en-GB"/>
        </w:rPr>
        <w:t>,</w:t>
      </w:r>
      <w:r w:rsidR="00C87611" w:rsidRPr="00311B33">
        <w:rPr>
          <w:rFonts w:ascii="Times New Roman" w:hAnsi="Times New Roman" w:cs="Times New Roman"/>
          <w:lang w:val="en-GB"/>
        </w:rPr>
        <w:t xml:space="preserve"> </w:t>
      </w:r>
      <w:r w:rsidR="00E44179">
        <w:rPr>
          <w:rFonts w:ascii="Times New Roman" w:hAnsi="Times New Roman" w:cs="Times New Roman"/>
          <w:lang w:val="en-GB"/>
        </w:rPr>
        <w:t xml:space="preserve">we </w:t>
      </w:r>
      <w:r w:rsidR="0095210B">
        <w:rPr>
          <w:rFonts w:ascii="Times New Roman" w:hAnsi="Times New Roman" w:cs="Times New Roman"/>
          <w:lang w:val="en-GB"/>
        </w:rPr>
        <w:t>discuss</w:t>
      </w:r>
      <w:r w:rsidR="00E44179">
        <w:rPr>
          <w:rFonts w:ascii="Times New Roman" w:hAnsi="Times New Roman" w:cs="Times New Roman"/>
          <w:lang w:val="en-GB"/>
        </w:rPr>
        <w:t xml:space="preserve"> content, legal basis, specific features, and scholarly debates that took place in the legal literature</w:t>
      </w:r>
      <w:r w:rsidR="007827E4" w:rsidRPr="00311B33">
        <w:rPr>
          <w:rFonts w:ascii="Times New Roman" w:hAnsi="Times New Roman" w:cs="Times New Roman"/>
          <w:lang w:val="en-GB"/>
        </w:rPr>
        <w:t>.</w:t>
      </w:r>
      <w:r w:rsidR="00133517" w:rsidRPr="00311B33">
        <w:rPr>
          <w:rStyle w:val="Appelnotedebasdep"/>
          <w:rFonts w:ascii="Times New Roman" w:hAnsi="Times New Roman" w:cs="Times New Roman"/>
          <w:lang w:val="en-GB"/>
        </w:rPr>
        <w:footnoteReference w:id="14"/>
      </w:r>
      <w:r w:rsidR="00AE2F1C" w:rsidRPr="00311B33">
        <w:rPr>
          <w:rFonts w:ascii="Times New Roman" w:hAnsi="Times New Roman" w:cs="Times New Roman"/>
          <w:lang w:val="en-GB"/>
        </w:rPr>
        <w:t xml:space="preserve"> </w:t>
      </w:r>
      <w:r w:rsidRPr="00311B33">
        <w:rPr>
          <w:rFonts w:ascii="Times New Roman" w:hAnsi="Times New Roman" w:cs="Times New Roman"/>
          <w:lang w:val="en-GB"/>
        </w:rPr>
        <w:t xml:space="preserve">To keep the </w:t>
      </w:r>
      <w:r w:rsidR="00C730A8" w:rsidRPr="00311B33">
        <w:rPr>
          <w:rFonts w:ascii="Times New Roman" w:hAnsi="Times New Roman" w:cs="Times New Roman"/>
          <w:lang w:val="en-GB"/>
        </w:rPr>
        <w:t xml:space="preserve">paper as </w:t>
      </w:r>
      <w:r w:rsidR="009B1657" w:rsidRPr="00246F56">
        <w:rPr>
          <w:rFonts w:ascii="Times New Roman" w:hAnsi="Times New Roman" w:cs="Times New Roman"/>
          <w:i/>
          <w:lang w:val="en-GB"/>
        </w:rPr>
        <w:t>user</w:t>
      </w:r>
      <w:r w:rsidR="00C730A8" w:rsidRPr="00311B33">
        <w:rPr>
          <w:rFonts w:ascii="Times New Roman" w:hAnsi="Times New Roman" w:cs="Times New Roman"/>
          <w:i/>
          <w:lang w:val="en-GB"/>
        </w:rPr>
        <w:t xml:space="preserve"> </w:t>
      </w:r>
      <w:r w:rsidR="009B1657" w:rsidRPr="00246F56">
        <w:rPr>
          <w:rFonts w:ascii="Times New Roman" w:hAnsi="Times New Roman" w:cs="Times New Roman"/>
          <w:i/>
          <w:lang w:val="en-GB"/>
        </w:rPr>
        <w:t>friendly</w:t>
      </w:r>
      <w:r w:rsidR="00C730A8" w:rsidRPr="00311B33">
        <w:rPr>
          <w:rFonts w:ascii="Times New Roman" w:hAnsi="Times New Roman" w:cs="Times New Roman"/>
          <w:lang w:val="en-GB"/>
        </w:rPr>
        <w:t xml:space="preserve"> as possible</w:t>
      </w:r>
      <w:r w:rsidR="00DD2AB7" w:rsidRPr="00311B33">
        <w:rPr>
          <w:rFonts w:ascii="Times New Roman" w:hAnsi="Times New Roman" w:cs="Times New Roman"/>
          <w:lang w:val="en-GB"/>
        </w:rPr>
        <w:t xml:space="preserve">, </w:t>
      </w:r>
      <w:r w:rsidR="00BA6A79" w:rsidRPr="00311B33">
        <w:rPr>
          <w:rFonts w:ascii="Times New Roman" w:hAnsi="Times New Roman" w:cs="Times New Roman"/>
          <w:lang w:val="en-GB"/>
        </w:rPr>
        <w:t xml:space="preserve">we </w:t>
      </w:r>
      <w:r w:rsidR="00C730A8" w:rsidRPr="00311B33">
        <w:rPr>
          <w:rFonts w:ascii="Times New Roman" w:hAnsi="Times New Roman" w:cs="Times New Roman"/>
          <w:lang w:val="en-GB"/>
        </w:rPr>
        <w:t>also explain if, and what, pra</w:t>
      </w:r>
      <w:r w:rsidR="00311B33">
        <w:rPr>
          <w:rFonts w:ascii="Times New Roman" w:hAnsi="Times New Roman" w:cs="Times New Roman"/>
          <w:lang w:val="en-GB"/>
        </w:rPr>
        <w:t>c</w:t>
      </w:r>
      <w:r w:rsidR="00C730A8" w:rsidRPr="00311B33">
        <w:rPr>
          <w:rFonts w:ascii="Times New Roman" w:hAnsi="Times New Roman" w:cs="Times New Roman"/>
          <w:lang w:val="en-GB"/>
        </w:rPr>
        <w:t xml:space="preserve">tical </w:t>
      </w:r>
      <w:r w:rsidR="00BA6A79" w:rsidRPr="00311B33">
        <w:rPr>
          <w:rFonts w:ascii="Times New Roman" w:hAnsi="Times New Roman" w:cs="Times New Roman"/>
          <w:lang w:val="en-GB"/>
        </w:rPr>
        <w:t xml:space="preserve">consequences </w:t>
      </w:r>
      <w:r w:rsidRPr="00311B33">
        <w:rPr>
          <w:rFonts w:ascii="Times New Roman" w:hAnsi="Times New Roman" w:cs="Times New Roman"/>
          <w:lang w:val="en-GB"/>
        </w:rPr>
        <w:t>arise when those rights are infringed</w:t>
      </w:r>
      <w:r w:rsidR="00E44179">
        <w:rPr>
          <w:rFonts w:ascii="Times New Roman" w:hAnsi="Times New Roman" w:cs="Times New Roman"/>
          <w:lang w:val="en-GB"/>
        </w:rPr>
        <w:t xml:space="preserve"> (</w:t>
      </w:r>
      <w:r w:rsidR="00C730A8" w:rsidRPr="00311B33">
        <w:rPr>
          <w:rFonts w:ascii="Times New Roman" w:hAnsi="Times New Roman" w:cs="Times New Roman"/>
          <w:lang w:val="en-GB"/>
        </w:rPr>
        <w:t xml:space="preserve">not all </w:t>
      </w:r>
      <w:r w:rsidR="002661DB" w:rsidRPr="00311B33">
        <w:rPr>
          <w:rFonts w:ascii="Times New Roman" w:hAnsi="Times New Roman" w:cs="Times New Roman"/>
          <w:lang w:val="en-GB"/>
        </w:rPr>
        <w:t xml:space="preserve">violations of </w:t>
      </w:r>
      <w:r w:rsidR="00E44179">
        <w:rPr>
          <w:rFonts w:ascii="Times New Roman" w:hAnsi="Times New Roman" w:cs="Times New Roman"/>
          <w:lang w:val="en-GB"/>
        </w:rPr>
        <w:t xml:space="preserve">procedural </w:t>
      </w:r>
      <w:r w:rsidR="002661DB" w:rsidRPr="00311B33">
        <w:rPr>
          <w:rFonts w:ascii="Times New Roman" w:hAnsi="Times New Roman" w:cs="Times New Roman"/>
          <w:lang w:val="en-GB"/>
        </w:rPr>
        <w:t xml:space="preserve">rights </w:t>
      </w:r>
      <w:r w:rsidR="00C730A8" w:rsidRPr="00311B33">
        <w:rPr>
          <w:rFonts w:ascii="Times New Roman" w:hAnsi="Times New Roman" w:cs="Times New Roman"/>
          <w:lang w:val="en-GB"/>
        </w:rPr>
        <w:t>give rise to judicial annulment</w:t>
      </w:r>
      <w:r w:rsidR="00E44179">
        <w:rPr>
          <w:rFonts w:ascii="Times New Roman" w:hAnsi="Times New Roman" w:cs="Times New Roman"/>
          <w:lang w:val="en-GB"/>
        </w:rPr>
        <w:t>)</w:t>
      </w:r>
      <w:r w:rsidR="00DD2AB7" w:rsidRPr="00311B33">
        <w:rPr>
          <w:rFonts w:ascii="Times New Roman" w:hAnsi="Times New Roman" w:cs="Times New Roman"/>
          <w:lang w:val="en-GB"/>
        </w:rPr>
        <w:t xml:space="preserve">. </w:t>
      </w:r>
    </w:p>
    <w:p w:rsidR="00C70236" w:rsidRPr="00311B33" w:rsidRDefault="00C70236" w:rsidP="0082443E">
      <w:pPr>
        <w:jc w:val="both"/>
        <w:rPr>
          <w:rFonts w:ascii="Times New Roman" w:hAnsi="Times New Roman" w:cs="Times New Roman"/>
          <w:lang w:val="en-GB"/>
        </w:rPr>
      </w:pPr>
    </w:p>
    <w:p w:rsidR="00EE6A8A" w:rsidRPr="00311B33" w:rsidRDefault="00EE6A8A" w:rsidP="0082443E">
      <w:pPr>
        <w:jc w:val="both"/>
        <w:rPr>
          <w:rFonts w:ascii="Times New Roman" w:hAnsi="Times New Roman" w:cs="Times New Roman"/>
          <w:lang w:val="en-GB"/>
        </w:rPr>
      </w:pPr>
    </w:p>
    <w:p w:rsidR="004F0434" w:rsidRPr="00311B33" w:rsidRDefault="00A4621E" w:rsidP="00246F56">
      <w:pPr>
        <w:ind w:left="705" w:hanging="705"/>
        <w:jc w:val="both"/>
        <w:rPr>
          <w:rFonts w:ascii="Times New Roman" w:hAnsi="Times New Roman" w:cs="Times New Roman"/>
          <w:b/>
          <w:u w:val="single"/>
          <w:lang w:val="en-GB"/>
        </w:rPr>
      </w:pPr>
      <w:r w:rsidRPr="00311B33">
        <w:rPr>
          <w:rFonts w:ascii="Times New Roman" w:hAnsi="Times New Roman" w:cs="Times New Roman"/>
          <w:b/>
          <w:lang w:val="en-GB"/>
        </w:rPr>
        <w:t>I.</w:t>
      </w:r>
      <w:r w:rsidRPr="00311B33">
        <w:rPr>
          <w:rFonts w:ascii="Times New Roman" w:hAnsi="Times New Roman" w:cs="Times New Roman"/>
          <w:b/>
          <w:lang w:val="en-GB"/>
        </w:rPr>
        <w:tab/>
      </w:r>
      <w:r w:rsidRPr="00311B33">
        <w:rPr>
          <w:rFonts w:ascii="Times New Roman" w:hAnsi="Times New Roman" w:cs="Times New Roman"/>
          <w:b/>
          <w:u w:val="single"/>
          <w:lang w:val="en-GB"/>
        </w:rPr>
        <w:t>R</w:t>
      </w:r>
      <w:r w:rsidR="009A4463" w:rsidRPr="00311B33">
        <w:rPr>
          <w:rFonts w:ascii="Times New Roman" w:hAnsi="Times New Roman" w:cs="Times New Roman"/>
          <w:b/>
          <w:u w:val="single"/>
          <w:lang w:val="en-GB"/>
        </w:rPr>
        <w:t xml:space="preserve">ight to </w:t>
      </w:r>
      <w:r w:rsidR="00611F06" w:rsidRPr="00311B33">
        <w:rPr>
          <w:rFonts w:ascii="Times New Roman" w:hAnsi="Times New Roman" w:cs="Times New Roman"/>
          <w:b/>
          <w:u w:val="single"/>
          <w:lang w:val="en-GB"/>
        </w:rPr>
        <w:t xml:space="preserve">assistance (also called right to </w:t>
      </w:r>
      <w:r w:rsidR="009A4463" w:rsidRPr="00311B33">
        <w:rPr>
          <w:rFonts w:ascii="Times New Roman" w:hAnsi="Times New Roman" w:cs="Times New Roman"/>
          <w:b/>
          <w:u w:val="single"/>
          <w:lang w:val="en-GB"/>
        </w:rPr>
        <w:t>participate effective</w:t>
      </w:r>
      <w:r w:rsidR="00EF6D25" w:rsidRPr="00311B33">
        <w:rPr>
          <w:rFonts w:ascii="Times New Roman" w:hAnsi="Times New Roman" w:cs="Times New Roman"/>
          <w:b/>
          <w:u w:val="single"/>
          <w:lang w:val="en-GB"/>
        </w:rPr>
        <w:t>ly</w:t>
      </w:r>
      <w:r w:rsidR="009A4463" w:rsidRPr="00311B33">
        <w:rPr>
          <w:rFonts w:ascii="Times New Roman" w:hAnsi="Times New Roman" w:cs="Times New Roman"/>
          <w:b/>
          <w:u w:val="single"/>
          <w:lang w:val="en-GB"/>
        </w:rPr>
        <w:t xml:space="preserve"> </w:t>
      </w:r>
      <w:r w:rsidR="00EF6D25" w:rsidRPr="00311B33">
        <w:rPr>
          <w:rFonts w:ascii="Times New Roman" w:hAnsi="Times New Roman" w:cs="Times New Roman"/>
          <w:b/>
          <w:u w:val="single"/>
          <w:lang w:val="en-GB"/>
        </w:rPr>
        <w:t xml:space="preserve">to antitrust </w:t>
      </w:r>
      <w:r w:rsidR="009A4463" w:rsidRPr="00311B33">
        <w:rPr>
          <w:rFonts w:ascii="Times New Roman" w:hAnsi="Times New Roman" w:cs="Times New Roman"/>
          <w:b/>
          <w:u w:val="single"/>
          <w:lang w:val="en-GB"/>
        </w:rPr>
        <w:t>proce</w:t>
      </w:r>
      <w:r w:rsidR="00EF6D25" w:rsidRPr="00311B33">
        <w:rPr>
          <w:rFonts w:ascii="Times New Roman" w:hAnsi="Times New Roman" w:cs="Times New Roman"/>
          <w:b/>
          <w:u w:val="single"/>
          <w:lang w:val="en-GB"/>
        </w:rPr>
        <w:t>edings</w:t>
      </w:r>
      <w:r w:rsidR="00611F06" w:rsidRPr="00311B33">
        <w:rPr>
          <w:rFonts w:ascii="Times New Roman" w:hAnsi="Times New Roman" w:cs="Times New Roman"/>
          <w:b/>
          <w:u w:val="single"/>
          <w:lang w:val="en-GB"/>
        </w:rPr>
        <w:t>)</w:t>
      </w:r>
    </w:p>
    <w:p w:rsidR="009A4463" w:rsidRPr="00311B33" w:rsidRDefault="009A4463" w:rsidP="0082443E">
      <w:pPr>
        <w:jc w:val="both"/>
        <w:rPr>
          <w:rFonts w:ascii="Times New Roman" w:hAnsi="Times New Roman" w:cs="Times New Roman"/>
          <w:b/>
          <w:lang w:val="en-GB"/>
        </w:rPr>
      </w:pPr>
    </w:p>
    <w:p w:rsidR="009A4463" w:rsidRPr="00311B33" w:rsidRDefault="009B1657" w:rsidP="0082443E">
      <w:pPr>
        <w:jc w:val="both"/>
        <w:rPr>
          <w:rFonts w:ascii="Times New Roman" w:hAnsi="Times New Roman" w:cs="Times New Roman"/>
          <w:lang w:val="en-GB"/>
        </w:rPr>
      </w:pPr>
      <w:r w:rsidRPr="00246F56">
        <w:rPr>
          <w:rFonts w:ascii="Times New Roman" w:hAnsi="Times New Roman" w:cs="Times New Roman"/>
          <w:b/>
          <w:lang w:val="en-GB"/>
        </w:rPr>
        <w:t>Content and legal basis</w:t>
      </w:r>
      <w:r w:rsidR="007E3E29" w:rsidRPr="00311B33">
        <w:rPr>
          <w:rFonts w:ascii="Times New Roman" w:hAnsi="Times New Roman" w:cs="Times New Roman"/>
          <w:lang w:val="en-GB"/>
        </w:rPr>
        <w:t xml:space="preserve"> – </w:t>
      </w:r>
      <w:r w:rsidR="00C87611" w:rsidRPr="00311B33">
        <w:rPr>
          <w:rFonts w:ascii="Times New Roman" w:hAnsi="Times New Roman" w:cs="Times New Roman"/>
          <w:lang w:val="en-GB"/>
        </w:rPr>
        <w:t>Any</w:t>
      </w:r>
      <w:r w:rsidR="00A4621E" w:rsidRPr="00311B33">
        <w:rPr>
          <w:rFonts w:ascii="Times New Roman" w:hAnsi="Times New Roman" w:cs="Times New Roman"/>
          <w:lang w:val="en-GB"/>
        </w:rPr>
        <w:t xml:space="preserve"> firm subject to competition proceedings </w:t>
      </w:r>
      <w:r w:rsidR="00C87611" w:rsidRPr="00311B33">
        <w:rPr>
          <w:rFonts w:ascii="Times New Roman" w:hAnsi="Times New Roman" w:cs="Times New Roman"/>
          <w:lang w:val="en-GB"/>
        </w:rPr>
        <w:t xml:space="preserve">must </w:t>
      </w:r>
      <w:r w:rsidR="00A4621E" w:rsidRPr="00311B33">
        <w:rPr>
          <w:rFonts w:ascii="Times New Roman" w:hAnsi="Times New Roman" w:cs="Times New Roman"/>
          <w:lang w:val="en-GB"/>
        </w:rPr>
        <w:t xml:space="preserve">be able to participate in an effective manner to the procedure. </w:t>
      </w:r>
      <w:r w:rsidR="00ED3EDB" w:rsidRPr="00311B33">
        <w:rPr>
          <w:rFonts w:ascii="Times New Roman" w:hAnsi="Times New Roman" w:cs="Times New Roman"/>
          <w:lang w:val="en-GB"/>
        </w:rPr>
        <w:t>This principle, which sounds trite, c</w:t>
      </w:r>
      <w:r w:rsidR="00C87611" w:rsidRPr="00311B33">
        <w:rPr>
          <w:rFonts w:ascii="Times New Roman" w:hAnsi="Times New Roman" w:cs="Times New Roman"/>
          <w:lang w:val="en-GB"/>
        </w:rPr>
        <w:t>oncretely</w:t>
      </w:r>
      <w:r w:rsidR="00ED3EDB" w:rsidRPr="00311B33">
        <w:rPr>
          <w:rFonts w:ascii="Times New Roman" w:hAnsi="Times New Roman" w:cs="Times New Roman"/>
          <w:lang w:val="en-GB"/>
        </w:rPr>
        <w:t xml:space="preserve"> </w:t>
      </w:r>
      <w:r w:rsidR="00A4621E" w:rsidRPr="00311B33">
        <w:rPr>
          <w:rFonts w:ascii="Times New Roman" w:hAnsi="Times New Roman" w:cs="Times New Roman"/>
          <w:lang w:val="en-GB"/>
        </w:rPr>
        <w:t xml:space="preserve">means that </w:t>
      </w:r>
      <w:r w:rsidR="00C87611" w:rsidRPr="00311B33">
        <w:rPr>
          <w:rFonts w:ascii="Times New Roman" w:hAnsi="Times New Roman" w:cs="Times New Roman"/>
          <w:lang w:val="en-GB"/>
        </w:rPr>
        <w:t xml:space="preserve">a </w:t>
      </w:r>
      <w:r w:rsidR="00A4621E" w:rsidRPr="00311B33">
        <w:rPr>
          <w:rFonts w:ascii="Times New Roman" w:hAnsi="Times New Roman" w:cs="Times New Roman"/>
          <w:lang w:val="en-GB"/>
        </w:rPr>
        <w:t xml:space="preserve">suspected firm must have </w:t>
      </w:r>
      <w:r w:rsidR="00D548DD" w:rsidRPr="00311B33">
        <w:rPr>
          <w:rFonts w:ascii="Times New Roman" w:hAnsi="Times New Roman" w:cs="Times New Roman"/>
          <w:lang w:val="en-GB"/>
        </w:rPr>
        <w:t>the possibility to be</w:t>
      </w:r>
      <w:r w:rsidR="00A4621E" w:rsidRPr="00311B33">
        <w:rPr>
          <w:rFonts w:ascii="Times New Roman" w:hAnsi="Times New Roman" w:cs="Times New Roman"/>
          <w:lang w:val="en-GB"/>
        </w:rPr>
        <w:t xml:space="preserve"> present at key moments of the procedure</w:t>
      </w:r>
      <w:r w:rsidR="00C730A8" w:rsidRPr="00311B33">
        <w:rPr>
          <w:rFonts w:ascii="Times New Roman" w:hAnsi="Times New Roman" w:cs="Times New Roman"/>
          <w:lang w:val="en-GB"/>
        </w:rPr>
        <w:t xml:space="preserve"> (through its legal representatives or representatives authorised by their constitution)</w:t>
      </w:r>
      <w:r w:rsidR="00A4621E" w:rsidRPr="00311B33">
        <w:rPr>
          <w:rFonts w:ascii="Times New Roman" w:hAnsi="Times New Roman" w:cs="Times New Roman"/>
          <w:lang w:val="en-GB"/>
        </w:rPr>
        <w:t>,</w:t>
      </w:r>
      <w:r w:rsidR="00A4621E" w:rsidRPr="00311B33">
        <w:rPr>
          <w:rStyle w:val="Appelnotedebasdep"/>
          <w:rFonts w:ascii="Times New Roman" w:hAnsi="Times New Roman" w:cs="Times New Roman"/>
          <w:lang w:val="en-GB"/>
        </w:rPr>
        <w:footnoteReference w:id="15"/>
      </w:r>
      <w:r w:rsidR="00A4621E" w:rsidRPr="00311B33">
        <w:rPr>
          <w:rFonts w:ascii="Times New Roman" w:hAnsi="Times New Roman" w:cs="Times New Roman"/>
          <w:lang w:val="en-GB"/>
        </w:rPr>
        <w:t xml:space="preserve"> and to be assisted by a lawyer.</w:t>
      </w:r>
      <w:r w:rsidR="0011755C" w:rsidRPr="00311B33">
        <w:rPr>
          <w:rFonts w:ascii="Times New Roman" w:hAnsi="Times New Roman" w:cs="Times New Roman"/>
          <w:lang w:val="en-GB"/>
        </w:rPr>
        <w:t xml:space="preserve"> To that end, firms can appoint an external counsel.</w:t>
      </w:r>
      <w:r w:rsidR="00A4621E" w:rsidRPr="00311B33">
        <w:rPr>
          <w:rStyle w:val="Appelnotedebasdep"/>
          <w:rFonts w:ascii="Times New Roman" w:hAnsi="Times New Roman" w:cs="Times New Roman"/>
          <w:lang w:val="en-GB"/>
        </w:rPr>
        <w:footnoteReference w:id="16"/>
      </w:r>
      <w:r w:rsidR="00A4621E" w:rsidRPr="00311B33">
        <w:rPr>
          <w:rFonts w:ascii="Times New Roman" w:hAnsi="Times New Roman" w:cs="Times New Roman"/>
          <w:lang w:val="en-GB"/>
        </w:rPr>
        <w:t xml:space="preserve"> </w:t>
      </w:r>
    </w:p>
    <w:p w:rsidR="002661DB" w:rsidRPr="00311B33" w:rsidRDefault="002661DB" w:rsidP="0082443E">
      <w:pPr>
        <w:jc w:val="both"/>
        <w:rPr>
          <w:rFonts w:ascii="Times New Roman" w:hAnsi="Times New Roman" w:cs="Times New Roman"/>
          <w:lang w:val="en-GB"/>
        </w:rPr>
      </w:pPr>
    </w:p>
    <w:p w:rsidR="009A4463" w:rsidRPr="00311B33" w:rsidRDefault="00417354" w:rsidP="0082443E">
      <w:pPr>
        <w:widowControl w:val="0"/>
        <w:autoSpaceDE w:val="0"/>
        <w:autoSpaceDN w:val="0"/>
        <w:adjustRightInd w:val="0"/>
        <w:jc w:val="both"/>
        <w:rPr>
          <w:rFonts w:ascii="Times New Roman" w:hAnsi="Times New Roman" w:cs="Times New Roman"/>
          <w:lang w:val="en-GB"/>
        </w:rPr>
      </w:pPr>
      <w:r w:rsidRPr="00311B33">
        <w:rPr>
          <w:rFonts w:ascii="Times New Roman" w:hAnsi="Times New Roman" w:cs="Times New Roman"/>
          <w:lang w:val="en-GB"/>
        </w:rPr>
        <w:lastRenderedPageBreak/>
        <w:t>T</w:t>
      </w:r>
      <w:r w:rsidR="00C87611" w:rsidRPr="00311B33">
        <w:rPr>
          <w:rFonts w:ascii="Times New Roman" w:hAnsi="Times New Roman" w:cs="Times New Roman"/>
          <w:lang w:val="en-GB"/>
        </w:rPr>
        <w:t>h</w:t>
      </w:r>
      <w:r w:rsidRPr="00311B33">
        <w:rPr>
          <w:rFonts w:ascii="Times New Roman" w:hAnsi="Times New Roman" w:cs="Times New Roman"/>
          <w:lang w:val="en-GB"/>
        </w:rPr>
        <w:t>e right to effectively participate to proceedings</w:t>
      </w:r>
      <w:r w:rsidR="00C87611" w:rsidRPr="00311B33">
        <w:rPr>
          <w:rFonts w:ascii="Times New Roman" w:hAnsi="Times New Roman" w:cs="Times New Roman"/>
          <w:lang w:val="en-GB"/>
        </w:rPr>
        <w:t xml:space="preserve"> </w:t>
      </w:r>
      <w:r w:rsidR="007E1267" w:rsidRPr="00311B33">
        <w:rPr>
          <w:rFonts w:ascii="Times New Roman" w:hAnsi="Times New Roman" w:cs="Times New Roman"/>
          <w:lang w:val="en-GB"/>
        </w:rPr>
        <w:t xml:space="preserve">is provided for at Article 47(2) of the Charter, and in the case-law of the EU courts. It </w:t>
      </w:r>
      <w:r w:rsidR="00ED3EDB" w:rsidRPr="00311B33">
        <w:rPr>
          <w:rFonts w:ascii="Times New Roman" w:hAnsi="Times New Roman" w:cs="Times New Roman"/>
          <w:lang w:val="en-GB"/>
        </w:rPr>
        <w:t xml:space="preserve">is an offshoot of the right to be heard and </w:t>
      </w:r>
      <w:r w:rsidR="00B22D56" w:rsidRPr="00311B33">
        <w:rPr>
          <w:rFonts w:ascii="Times New Roman" w:hAnsi="Times New Roman" w:cs="Times New Roman"/>
          <w:lang w:val="en-GB"/>
        </w:rPr>
        <w:t xml:space="preserve">of </w:t>
      </w:r>
      <w:r w:rsidR="00ED3EDB" w:rsidRPr="00311B33">
        <w:rPr>
          <w:rFonts w:ascii="Times New Roman" w:hAnsi="Times New Roman" w:cs="Times New Roman"/>
          <w:lang w:val="en-GB"/>
        </w:rPr>
        <w:t xml:space="preserve">the right to a fair trial set out in </w:t>
      </w:r>
      <w:r w:rsidR="00E83C7E" w:rsidRPr="00311B33">
        <w:rPr>
          <w:rFonts w:ascii="Times New Roman" w:hAnsi="Times New Roman" w:cs="Times New Roman"/>
          <w:lang w:val="en-GB"/>
        </w:rPr>
        <w:t>Article</w:t>
      </w:r>
      <w:r w:rsidR="00ED3EDB" w:rsidRPr="00311B33">
        <w:rPr>
          <w:rFonts w:ascii="Times New Roman" w:hAnsi="Times New Roman" w:cs="Times New Roman"/>
          <w:lang w:val="en-GB"/>
        </w:rPr>
        <w:t xml:space="preserve"> 6 ECHR.</w:t>
      </w:r>
      <w:r w:rsidR="00ED3EDB" w:rsidRPr="00311B33">
        <w:rPr>
          <w:rStyle w:val="Appelnotedebasdep"/>
          <w:rFonts w:ascii="Times New Roman" w:hAnsi="Times New Roman" w:cs="Times New Roman"/>
          <w:lang w:val="en-GB"/>
        </w:rPr>
        <w:footnoteReference w:id="17"/>
      </w:r>
    </w:p>
    <w:p w:rsidR="009A4463" w:rsidRPr="00311B33" w:rsidRDefault="009A4463" w:rsidP="0082443E">
      <w:pPr>
        <w:jc w:val="both"/>
        <w:rPr>
          <w:rFonts w:ascii="Times New Roman" w:hAnsi="Times New Roman" w:cs="Times New Roman"/>
          <w:lang w:val="en-GB"/>
        </w:rPr>
      </w:pPr>
    </w:p>
    <w:p w:rsidR="00B22D56" w:rsidRPr="00311B33" w:rsidRDefault="009B1657" w:rsidP="0082443E">
      <w:pPr>
        <w:jc w:val="both"/>
        <w:rPr>
          <w:rFonts w:ascii="Times New Roman" w:hAnsi="Times New Roman" w:cs="Times New Roman"/>
          <w:lang w:val="en-GB"/>
        </w:rPr>
      </w:pPr>
      <w:r w:rsidRPr="00246F56">
        <w:rPr>
          <w:rFonts w:ascii="Times New Roman" w:hAnsi="Times New Roman" w:cs="Times New Roman"/>
          <w:b/>
          <w:lang w:val="en-GB"/>
        </w:rPr>
        <w:t>Assistance of a lawyer</w:t>
      </w:r>
      <w:r w:rsidR="003101B8" w:rsidRPr="00311B33">
        <w:rPr>
          <w:rFonts w:ascii="Times New Roman" w:hAnsi="Times New Roman" w:cs="Times New Roman"/>
          <w:lang w:val="en-GB"/>
        </w:rPr>
        <w:t xml:space="preserve"> – </w:t>
      </w:r>
      <w:r w:rsidR="00ED3EDB" w:rsidRPr="00311B33">
        <w:rPr>
          <w:rFonts w:ascii="Times New Roman" w:hAnsi="Times New Roman" w:cs="Times New Roman"/>
          <w:lang w:val="en-GB"/>
        </w:rPr>
        <w:t xml:space="preserve">In the scholarship, most discussions on the right to effectively participate to </w:t>
      </w:r>
      <w:r w:rsidR="007827E4" w:rsidRPr="00311B33">
        <w:rPr>
          <w:rFonts w:ascii="Times New Roman" w:hAnsi="Times New Roman" w:cs="Times New Roman"/>
          <w:lang w:val="en-GB"/>
        </w:rPr>
        <w:t xml:space="preserve">competition law </w:t>
      </w:r>
      <w:r w:rsidR="00ED3EDB" w:rsidRPr="00311B33">
        <w:rPr>
          <w:rFonts w:ascii="Times New Roman" w:hAnsi="Times New Roman" w:cs="Times New Roman"/>
          <w:lang w:val="en-GB"/>
        </w:rPr>
        <w:t>proceedings focus on the assistance of lawyers.</w:t>
      </w:r>
      <w:r w:rsidR="004E22DC" w:rsidRPr="00311B33">
        <w:rPr>
          <w:rStyle w:val="Appelnotedebasdep"/>
          <w:rFonts w:ascii="Times New Roman" w:hAnsi="Times New Roman" w:cs="Times New Roman"/>
          <w:lang w:val="en-GB"/>
        </w:rPr>
        <w:footnoteReference w:id="18"/>
      </w:r>
      <w:r w:rsidR="00ED3EDB" w:rsidRPr="00311B33">
        <w:rPr>
          <w:rFonts w:ascii="Times New Roman" w:hAnsi="Times New Roman" w:cs="Times New Roman"/>
          <w:lang w:val="en-GB"/>
        </w:rPr>
        <w:t xml:space="preserve"> A first </w:t>
      </w:r>
      <w:r w:rsidR="009A4463" w:rsidRPr="00311B33">
        <w:rPr>
          <w:rFonts w:ascii="Times New Roman" w:hAnsi="Times New Roman" w:cs="Times New Roman"/>
          <w:lang w:val="en-GB"/>
        </w:rPr>
        <w:t xml:space="preserve">debate </w:t>
      </w:r>
      <w:r w:rsidR="001F2520" w:rsidRPr="00311B33">
        <w:rPr>
          <w:rFonts w:ascii="Times New Roman" w:hAnsi="Times New Roman" w:cs="Times New Roman"/>
          <w:lang w:val="en-GB"/>
        </w:rPr>
        <w:t xml:space="preserve">exists </w:t>
      </w:r>
      <w:r w:rsidR="00ED3EDB" w:rsidRPr="00311B33">
        <w:rPr>
          <w:rFonts w:ascii="Times New Roman" w:hAnsi="Times New Roman" w:cs="Times New Roman"/>
          <w:lang w:val="en-GB"/>
        </w:rPr>
        <w:t xml:space="preserve">in relation to </w:t>
      </w:r>
      <w:r w:rsidR="00776670" w:rsidRPr="00311B33">
        <w:rPr>
          <w:rFonts w:ascii="Times New Roman" w:hAnsi="Times New Roman" w:cs="Times New Roman"/>
          <w:lang w:val="en-GB"/>
        </w:rPr>
        <w:t>the Commission</w:t>
      </w:r>
      <w:r w:rsidR="00ED3EDB" w:rsidRPr="00311B33">
        <w:rPr>
          <w:rFonts w:ascii="Times New Roman" w:hAnsi="Times New Roman" w:cs="Times New Roman"/>
          <w:lang w:val="en-GB"/>
        </w:rPr>
        <w:t xml:space="preserve">’s </w:t>
      </w:r>
      <w:r w:rsidR="00291596" w:rsidRPr="00311B33">
        <w:rPr>
          <w:rFonts w:ascii="Times New Roman" w:hAnsi="Times New Roman" w:cs="Times New Roman"/>
          <w:lang w:val="en-GB"/>
        </w:rPr>
        <w:t xml:space="preserve">practice of </w:t>
      </w:r>
      <w:r w:rsidR="00ED3EDB" w:rsidRPr="00311B33">
        <w:rPr>
          <w:rFonts w:ascii="Times New Roman" w:hAnsi="Times New Roman" w:cs="Times New Roman"/>
          <w:lang w:val="en-GB"/>
        </w:rPr>
        <w:t>request</w:t>
      </w:r>
      <w:r w:rsidR="00AD10BF" w:rsidRPr="00311B33">
        <w:rPr>
          <w:rFonts w:ascii="Times New Roman" w:hAnsi="Times New Roman" w:cs="Times New Roman"/>
          <w:lang w:val="en-GB"/>
        </w:rPr>
        <w:t>ing</w:t>
      </w:r>
      <w:r w:rsidR="00ED3EDB" w:rsidRPr="00311B33">
        <w:rPr>
          <w:rFonts w:ascii="Times New Roman" w:hAnsi="Times New Roman" w:cs="Times New Roman"/>
          <w:lang w:val="en-GB"/>
        </w:rPr>
        <w:t xml:space="preserve"> oral explanations from </w:t>
      </w:r>
      <w:r w:rsidR="007C071A" w:rsidRPr="00311B33">
        <w:rPr>
          <w:rFonts w:ascii="Times New Roman" w:hAnsi="Times New Roman" w:cs="Times New Roman"/>
          <w:lang w:val="en-GB"/>
        </w:rPr>
        <w:t>undertakings’</w:t>
      </w:r>
      <w:r w:rsidR="00291596" w:rsidRPr="00311B33">
        <w:rPr>
          <w:rFonts w:ascii="Times New Roman" w:hAnsi="Times New Roman" w:cs="Times New Roman"/>
          <w:lang w:val="en-GB"/>
        </w:rPr>
        <w:t xml:space="preserve"> </w:t>
      </w:r>
      <w:r w:rsidR="006825D3" w:rsidRPr="00311B33">
        <w:rPr>
          <w:rFonts w:ascii="Times New Roman" w:hAnsi="Times New Roman" w:cs="Times New Roman"/>
          <w:lang w:val="en-GB"/>
        </w:rPr>
        <w:t xml:space="preserve">employees </w:t>
      </w:r>
      <w:r w:rsidR="00C730A8" w:rsidRPr="00311B33">
        <w:rPr>
          <w:rFonts w:ascii="Times New Roman" w:hAnsi="Times New Roman" w:cs="Times New Roman"/>
          <w:lang w:val="en-GB"/>
        </w:rPr>
        <w:t>in the context of investigations (for instance, during a dawn raid, a Commission official apostrophes an employee)</w:t>
      </w:r>
      <w:r w:rsidR="00776670" w:rsidRPr="00311B33">
        <w:rPr>
          <w:rFonts w:ascii="Times New Roman" w:hAnsi="Times New Roman" w:cs="Times New Roman"/>
          <w:lang w:val="en-GB"/>
        </w:rPr>
        <w:t>.</w:t>
      </w:r>
      <w:r w:rsidR="004E22DC" w:rsidRPr="00311B33">
        <w:rPr>
          <w:rStyle w:val="Appelnotedebasdep"/>
          <w:rFonts w:ascii="Times New Roman" w:hAnsi="Times New Roman" w:cs="Times New Roman"/>
          <w:lang w:val="en-GB"/>
        </w:rPr>
        <w:footnoteReference w:id="19"/>
      </w:r>
      <w:r w:rsidR="00776670" w:rsidRPr="00311B33">
        <w:rPr>
          <w:rFonts w:ascii="Times New Roman" w:hAnsi="Times New Roman" w:cs="Times New Roman"/>
          <w:lang w:val="en-GB"/>
        </w:rPr>
        <w:t xml:space="preserve"> </w:t>
      </w:r>
      <w:r w:rsidR="001F2520" w:rsidRPr="00311B33">
        <w:rPr>
          <w:rFonts w:ascii="Times New Roman" w:hAnsi="Times New Roman" w:cs="Times New Roman"/>
          <w:lang w:val="en-GB"/>
        </w:rPr>
        <w:t xml:space="preserve">Oral explanations may only be valid if the person </w:t>
      </w:r>
      <w:r w:rsidR="00E44179">
        <w:rPr>
          <w:rFonts w:ascii="Times New Roman" w:hAnsi="Times New Roman" w:cs="Times New Roman"/>
          <w:lang w:val="en-GB"/>
        </w:rPr>
        <w:t xml:space="preserve">under interrogation </w:t>
      </w:r>
      <w:r w:rsidR="001F2520" w:rsidRPr="00311B33">
        <w:rPr>
          <w:rFonts w:ascii="Times New Roman" w:hAnsi="Times New Roman" w:cs="Times New Roman"/>
          <w:lang w:val="en-GB"/>
        </w:rPr>
        <w:t>has benefited from the assistance of a lawyer. This is because a</w:t>
      </w:r>
      <w:r w:rsidR="00AD10BF" w:rsidRPr="00311B33">
        <w:rPr>
          <w:rFonts w:ascii="Times New Roman" w:hAnsi="Times New Roman" w:cs="Times New Roman"/>
          <w:lang w:val="en-GB"/>
        </w:rPr>
        <w:t xml:space="preserve">ddressees of such requests </w:t>
      </w:r>
      <w:r w:rsidR="001F2520" w:rsidRPr="00311B33">
        <w:rPr>
          <w:rFonts w:ascii="Times New Roman" w:hAnsi="Times New Roman" w:cs="Times New Roman"/>
          <w:lang w:val="en-GB"/>
        </w:rPr>
        <w:t xml:space="preserve">can </w:t>
      </w:r>
      <w:r w:rsidR="009A4463" w:rsidRPr="00311B33">
        <w:rPr>
          <w:rFonts w:ascii="Times New Roman" w:hAnsi="Times New Roman" w:cs="Times New Roman"/>
          <w:lang w:val="en-GB"/>
        </w:rPr>
        <w:t xml:space="preserve">be held </w:t>
      </w:r>
      <w:r w:rsidR="00776670" w:rsidRPr="00311B33">
        <w:rPr>
          <w:rFonts w:ascii="Times New Roman" w:hAnsi="Times New Roman" w:cs="Times New Roman"/>
          <w:lang w:val="en-GB"/>
        </w:rPr>
        <w:t xml:space="preserve">personally </w:t>
      </w:r>
      <w:r w:rsidR="009A4463" w:rsidRPr="00311B33">
        <w:rPr>
          <w:rFonts w:ascii="Times New Roman" w:hAnsi="Times New Roman" w:cs="Times New Roman"/>
          <w:lang w:val="en-GB"/>
        </w:rPr>
        <w:t>liable</w:t>
      </w:r>
      <w:r w:rsidR="00AD10BF" w:rsidRPr="00311B33">
        <w:rPr>
          <w:rFonts w:ascii="Times New Roman" w:hAnsi="Times New Roman" w:cs="Times New Roman"/>
          <w:lang w:val="en-GB"/>
        </w:rPr>
        <w:t xml:space="preserve"> for their declarations</w:t>
      </w:r>
      <w:r w:rsidR="009A4463" w:rsidRPr="00311B33">
        <w:rPr>
          <w:rFonts w:ascii="Times New Roman" w:hAnsi="Times New Roman" w:cs="Times New Roman"/>
          <w:lang w:val="en-GB"/>
        </w:rPr>
        <w:t xml:space="preserve"> </w:t>
      </w:r>
      <w:r w:rsidR="00AD10BF" w:rsidRPr="00311B33">
        <w:rPr>
          <w:rFonts w:ascii="Times New Roman" w:hAnsi="Times New Roman" w:cs="Times New Roman"/>
          <w:lang w:val="en-GB"/>
        </w:rPr>
        <w:t xml:space="preserve">pursuant to </w:t>
      </w:r>
      <w:r w:rsidR="009A4463" w:rsidRPr="00311B33">
        <w:rPr>
          <w:rFonts w:ascii="Times New Roman" w:hAnsi="Times New Roman" w:cs="Times New Roman"/>
          <w:lang w:val="en-GB"/>
        </w:rPr>
        <w:t xml:space="preserve">national </w:t>
      </w:r>
      <w:r w:rsidR="00AD10BF" w:rsidRPr="00311B33">
        <w:rPr>
          <w:rFonts w:ascii="Times New Roman" w:hAnsi="Times New Roman" w:cs="Times New Roman"/>
          <w:lang w:val="en-GB"/>
        </w:rPr>
        <w:t>law</w:t>
      </w:r>
      <w:r w:rsidR="00C730A8" w:rsidRPr="00311B33">
        <w:rPr>
          <w:rFonts w:ascii="Times New Roman" w:hAnsi="Times New Roman" w:cs="Times New Roman"/>
          <w:lang w:val="en-GB"/>
        </w:rPr>
        <w:t xml:space="preserve">. This is </w:t>
      </w:r>
      <w:r w:rsidR="001F2520" w:rsidRPr="00311B33">
        <w:rPr>
          <w:rFonts w:ascii="Times New Roman" w:hAnsi="Times New Roman" w:cs="Times New Roman"/>
          <w:lang w:val="en-GB"/>
        </w:rPr>
        <w:t xml:space="preserve">in particular </w:t>
      </w:r>
      <w:r w:rsidR="00C730A8" w:rsidRPr="00311B33">
        <w:rPr>
          <w:rFonts w:ascii="Times New Roman" w:hAnsi="Times New Roman" w:cs="Times New Roman"/>
          <w:lang w:val="en-GB"/>
        </w:rPr>
        <w:t xml:space="preserve">the case </w:t>
      </w:r>
      <w:r w:rsidR="001F2520" w:rsidRPr="00311B33">
        <w:rPr>
          <w:rFonts w:ascii="Times New Roman" w:hAnsi="Times New Roman" w:cs="Times New Roman"/>
          <w:lang w:val="en-GB"/>
        </w:rPr>
        <w:t xml:space="preserve">in </w:t>
      </w:r>
      <w:r w:rsidR="00E44179">
        <w:rPr>
          <w:rFonts w:ascii="Times New Roman" w:hAnsi="Times New Roman" w:cs="Times New Roman"/>
          <w:lang w:val="en-GB"/>
        </w:rPr>
        <w:t>Member States</w:t>
      </w:r>
      <w:r w:rsidR="00E44179" w:rsidRPr="00311B33">
        <w:rPr>
          <w:rFonts w:ascii="Times New Roman" w:hAnsi="Times New Roman" w:cs="Times New Roman"/>
          <w:lang w:val="en-GB"/>
        </w:rPr>
        <w:t xml:space="preserve"> </w:t>
      </w:r>
      <w:r w:rsidR="00A74C9C" w:rsidRPr="00311B33">
        <w:rPr>
          <w:rFonts w:ascii="Times New Roman" w:hAnsi="Times New Roman" w:cs="Times New Roman"/>
          <w:lang w:val="en-GB"/>
        </w:rPr>
        <w:t>which</w:t>
      </w:r>
      <w:r w:rsidR="001F2520" w:rsidRPr="00311B33">
        <w:rPr>
          <w:rFonts w:ascii="Times New Roman" w:hAnsi="Times New Roman" w:cs="Times New Roman"/>
          <w:lang w:val="en-GB"/>
        </w:rPr>
        <w:t xml:space="preserve"> provide for individual sanctions (criminal or administrative</w:t>
      </w:r>
      <w:r w:rsidR="00AF236E" w:rsidRPr="00311B33">
        <w:rPr>
          <w:rFonts w:ascii="Times New Roman" w:hAnsi="Times New Roman" w:cs="Times New Roman"/>
          <w:lang w:val="en-GB"/>
        </w:rPr>
        <w:t xml:space="preserve">) for antitrust infringements. </w:t>
      </w:r>
    </w:p>
    <w:p w:rsidR="00B22D56" w:rsidRPr="00311B33" w:rsidRDefault="00B22D56" w:rsidP="0082443E">
      <w:pPr>
        <w:jc w:val="both"/>
        <w:rPr>
          <w:rFonts w:ascii="Times New Roman" w:hAnsi="Times New Roman" w:cs="Times New Roman"/>
          <w:lang w:val="en-GB"/>
        </w:rPr>
      </w:pPr>
    </w:p>
    <w:p w:rsidR="009A4463" w:rsidRPr="00311B33" w:rsidRDefault="009A4463" w:rsidP="0082443E">
      <w:pPr>
        <w:jc w:val="both"/>
        <w:rPr>
          <w:rFonts w:ascii="Times New Roman" w:hAnsi="Times New Roman" w:cs="Times New Roman"/>
          <w:lang w:val="en-GB"/>
        </w:rPr>
      </w:pPr>
      <w:r w:rsidRPr="00311B33">
        <w:rPr>
          <w:rFonts w:ascii="Times New Roman" w:hAnsi="Times New Roman" w:cs="Times New Roman"/>
          <w:lang w:val="en-GB"/>
        </w:rPr>
        <w:t xml:space="preserve">However, </w:t>
      </w:r>
      <w:r w:rsidR="00A74C9C" w:rsidRPr="00311B33">
        <w:rPr>
          <w:rFonts w:ascii="Times New Roman" w:hAnsi="Times New Roman" w:cs="Times New Roman"/>
          <w:lang w:val="en-GB"/>
        </w:rPr>
        <w:t xml:space="preserve">one may conversely argue that </w:t>
      </w:r>
      <w:r w:rsidR="00AD10BF" w:rsidRPr="00311B33">
        <w:rPr>
          <w:rFonts w:ascii="Times New Roman" w:hAnsi="Times New Roman" w:cs="Times New Roman"/>
          <w:lang w:val="en-GB"/>
        </w:rPr>
        <w:t xml:space="preserve">since </w:t>
      </w:r>
      <w:r w:rsidR="001F2520" w:rsidRPr="00311B33">
        <w:rPr>
          <w:rFonts w:ascii="Times New Roman" w:hAnsi="Times New Roman" w:cs="Times New Roman"/>
          <w:lang w:val="en-GB"/>
        </w:rPr>
        <w:t xml:space="preserve">the questioned </w:t>
      </w:r>
      <w:r w:rsidRPr="00311B33">
        <w:rPr>
          <w:rFonts w:ascii="Times New Roman" w:hAnsi="Times New Roman" w:cs="Times New Roman"/>
          <w:lang w:val="en-GB"/>
        </w:rPr>
        <w:t xml:space="preserve">person </w:t>
      </w:r>
      <w:r w:rsidR="006825D3" w:rsidRPr="00311B33">
        <w:rPr>
          <w:rFonts w:ascii="Times New Roman" w:hAnsi="Times New Roman" w:cs="Times New Roman"/>
          <w:lang w:val="en-GB"/>
        </w:rPr>
        <w:t xml:space="preserve">is an employee of </w:t>
      </w:r>
      <w:r w:rsidRPr="00311B33">
        <w:rPr>
          <w:rFonts w:ascii="Times New Roman" w:hAnsi="Times New Roman" w:cs="Times New Roman"/>
          <w:lang w:val="en-GB"/>
        </w:rPr>
        <w:t xml:space="preserve">the </w:t>
      </w:r>
      <w:r w:rsidR="00AD10BF" w:rsidRPr="00311B33">
        <w:rPr>
          <w:rFonts w:ascii="Times New Roman" w:hAnsi="Times New Roman" w:cs="Times New Roman"/>
          <w:lang w:val="en-GB"/>
        </w:rPr>
        <w:t xml:space="preserve">firm, the </w:t>
      </w:r>
      <w:r w:rsidR="001F2520" w:rsidRPr="00311B33">
        <w:rPr>
          <w:rFonts w:ascii="Times New Roman" w:hAnsi="Times New Roman" w:cs="Times New Roman"/>
          <w:lang w:val="en-GB"/>
        </w:rPr>
        <w:t xml:space="preserve">standard </w:t>
      </w:r>
      <w:r w:rsidR="00AD10BF" w:rsidRPr="00311B33">
        <w:rPr>
          <w:rFonts w:ascii="Times New Roman" w:hAnsi="Times New Roman" w:cs="Times New Roman"/>
          <w:lang w:val="en-GB"/>
        </w:rPr>
        <w:t xml:space="preserve">safeguards provided </w:t>
      </w:r>
      <w:r w:rsidR="001F2520" w:rsidRPr="00311B33">
        <w:rPr>
          <w:rFonts w:ascii="Times New Roman" w:hAnsi="Times New Roman" w:cs="Times New Roman"/>
          <w:lang w:val="en-GB"/>
        </w:rPr>
        <w:t xml:space="preserve">to the firm in antitrust </w:t>
      </w:r>
      <w:r w:rsidR="004A45E1" w:rsidRPr="00311B33">
        <w:rPr>
          <w:rFonts w:ascii="Times New Roman" w:hAnsi="Times New Roman" w:cs="Times New Roman"/>
          <w:lang w:val="en-GB"/>
        </w:rPr>
        <w:t>proceeding</w:t>
      </w:r>
      <w:r w:rsidR="006825D3" w:rsidRPr="00311B33">
        <w:rPr>
          <w:rFonts w:ascii="Times New Roman" w:hAnsi="Times New Roman" w:cs="Times New Roman"/>
          <w:lang w:val="en-GB"/>
        </w:rPr>
        <w:t>s</w:t>
      </w:r>
      <w:r w:rsidR="004A45E1" w:rsidRPr="00311B33">
        <w:rPr>
          <w:rFonts w:ascii="Times New Roman" w:hAnsi="Times New Roman" w:cs="Times New Roman"/>
          <w:lang w:val="en-GB"/>
        </w:rPr>
        <w:t xml:space="preserve"> </w:t>
      </w:r>
      <w:r w:rsidR="001F2520" w:rsidRPr="00311B33">
        <w:rPr>
          <w:rFonts w:ascii="Times New Roman" w:hAnsi="Times New Roman" w:cs="Times New Roman"/>
          <w:lang w:val="en-GB"/>
        </w:rPr>
        <w:t xml:space="preserve">should be deemed to protect its </w:t>
      </w:r>
      <w:r w:rsidR="006825D3" w:rsidRPr="00311B33">
        <w:rPr>
          <w:rFonts w:ascii="Times New Roman" w:hAnsi="Times New Roman" w:cs="Times New Roman"/>
          <w:lang w:val="en-GB"/>
        </w:rPr>
        <w:t>employees</w:t>
      </w:r>
      <w:r w:rsidRPr="00311B33">
        <w:rPr>
          <w:rFonts w:ascii="Times New Roman" w:hAnsi="Times New Roman" w:cs="Times New Roman"/>
          <w:lang w:val="en-GB"/>
        </w:rPr>
        <w:t>.</w:t>
      </w:r>
      <w:r w:rsidR="009E36E5" w:rsidRPr="00311B33">
        <w:rPr>
          <w:rFonts w:ascii="Times New Roman" w:hAnsi="Times New Roman" w:cs="Times New Roman"/>
          <w:lang w:val="en-GB"/>
        </w:rPr>
        <w:t xml:space="preserve"> </w:t>
      </w:r>
      <w:r w:rsidR="00E44179">
        <w:rPr>
          <w:rFonts w:ascii="Times New Roman" w:hAnsi="Times New Roman" w:cs="Times New Roman"/>
          <w:lang w:val="en-GB"/>
        </w:rPr>
        <w:t>The a</w:t>
      </w:r>
      <w:r w:rsidR="00E44179" w:rsidRPr="00311B33">
        <w:rPr>
          <w:rFonts w:ascii="Times New Roman" w:hAnsi="Times New Roman" w:cs="Times New Roman"/>
          <w:lang w:val="en-GB"/>
        </w:rPr>
        <w:t xml:space="preserve">ssistance </w:t>
      </w:r>
      <w:r w:rsidR="001F2520" w:rsidRPr="00311B33">
        <w:rPr>
          <w:rFonts w:ascii="Times New Roman" w:hAnsi="Times New Roman" w:cs="Times New Roman"/>
          <w:lang w:val="en-GB"/>
        </w:rPr>
        <w:t xml:space="preserve">of </w:t>
      </w:r>
      <w:r w:rsidR="009E36E5" w:rsidRPr="00311B33">
        <w:rPr>
          <w:rFonts w:ascii="Times New Roman" w:hAnsi="Times New Roman" w:cs="Times New Roman"/>
          <w:lang w:val="en-GB"/>
        </w:rPr>
        <w:t>a lawyer would then</w:t>
      </w:r>
      <w:r w:rsidR="000014EF" w:rsidRPr="00311B33">
        <w:rPr>
          <w:rFonts w:ascii="Times New Roman" w:hAnsi="Times New Roman" w:cs="Times New Roman"/>
          <w:lang w:val="en-GB"/>
        </w:rPr>
        <w:t xml:space="preserve"> not be a prerequisite for the validity</w:t>
      </w:r>
      <w:r w:rsidR="00B252DD" w:rsidRPr="00311B33">
        <w:rPr>
          <w:rFonts w:ascii="Times New Roman" w:hAnsi="Times New Roman" w:cs="Times New Roman"/>
          <w:lang w:val="en-GB"/>
        </w:rPr>
        <w:t xml:space="preserve"> of the</w:t>
      </w:r>
      <w:r w:rsidR="003101B8" w:rsidRPr="00311B33">
        <w:rPr>
          <w:rFonts w:ascii="Times New Roman" w:hAnsi="Times New Roman" w:cs="Times New Roman"/>
          <w:lang w:val="en-GB"/>
        </w:rPr>
        <w:t>se</w:t>
      </w:r>
      <w:r w:rsidR="00B252DD" w:rsidRPr="00311B33">
        <w:rPr>
          <w:rFonts w:ascii="Times New Roman" w:hAnsi="Times New Roman" w:cs="Times New Roman"/>
          <w:lang w:val="en-GB"/>
        </w:rPr>
        <w:t xml:space="preserve"> </w:t>
      </w:r>
      <w:r w:rsidR="003101B8" w:rsidRPr="00311B33">
        <w:rPr>
          <w:rFonts w:ascii="Times New Roman" w:hAnsi="Times New Roman" w:cs="Times New Roman"/>
          <w:lang w:val="en-GB"/>
        </w:rPr>
        <w:t>interviews</w:t>
      </w:r>
      <w:r w:rsidR="000014EF" w:rsidRPr="00311B33">
        <w:rPr>
          <w:rFonts w:ascii="Times New Roman" w:hAnsi="Times New Roman" w:cs="Times New Roman"/>
          <w:lang w:val="en-GB"/>
        </w:rPr>
        <w:t>.</w:t>
      </w:r>
      <w:r w:rsidR="001F2520" w:rsidRPr="00311B33">
        <w:rPr>
          <w:rStyle w:val="Appelnotedebasdep"/>
          <w:rFonts w:ascii="Times New Roman" w:hAnsi="Times New Roman" w:cs="Times New Roman"/>
          <w:lang w:val="en-GB"/>
        </w:rPr>
        <w:footnoteReference w:id="20"/>
      </w:r>
      <w:r w:rsidR="00BF5D80" w:rsidRPr="00311B33">
        <w:rPr>
          <w:rFonts w:ascii="Times New Roman" w:hAnsi="Times New Roman" w:cs="Times New Roman"/>
          <w:lang w:val="en-GB"/>
        </w:rPr>
        <w:t xml:space="preserve"> In addition to this, Article 12(3) of Regulation 1/2003 limits the</w:t>
      </w:r>
      <w:r w:rsidR="006825D3" w:rsidRPr="00311B33">
        <w:rPr>
          <w:rFonts w:ascii="Times New Roman" w:hAnsi="Times New Roman" w:cs="Times New Roman"/>
          <w:lang w:val="en-GB"/>
        </w:rPr>
        <w:t xml:space="preserve"> possibility</w:t>
      </w:r>
      <w:r w:rsidR="00BF5D80" w:rsidRPr="00311B33">
        <w:rPr>
          <w:rFonts w:ascii="Times New Roman" w:hAnsi="Times New Roman" w:cs="Times New Roman"/>
          <w:lang w:val="en-GB"/>
        </w:rPr>
        <w:t xml:space="preserve"> </w:t>
      </w:r>
      <w:r w:rsidR="006825D3" w:rsidRPr="00311B33">
        <w:rPr>
          <w:rFonts w:ascii="Times New Roman" w:hAnsi="Times New Roman" w:cs="Times New Roman"/>
          <w:lang w:val="en-GB"/>
        </w:rPr>
        <w:t xml:space="preserve">for national competition agencies to </w:t>
      </w:r>
      <w:r w:rsidR="00BF5D80" w:rsidRPr="00311B33">
        <w:rPr>
          <w:rFonts w:ascii="Times New Roman" w:hAnsi="Times New Roman" w:cs="Times New Roman"/>
          <w:lang w:val="en-GB"/>
        </w:rPr>
        <w:t xml:space="preserve">use evidence </w:t>
      </w:r>
      <w:r w:rsidR="006825D3" w:rsidRPr="00311B33">
        <w:rPr>
          <w:rFonts w:ascii="Times New Roman" w:hAnsi="Times New Roman" w:cs="Times New Roman"/>
          <w:lang w:val="en-GB"/>
        </w:rPr>
        <w:t xml:space="preserve">obtained by the Commission in order </w:t>
      </w:r>
      <w:r w:rsidR="00BF5D80" w:rsidRPr="00311B33">
        <w:rPr>
          <w:rFonts w:ascii="Times New Roman" w:hAnsi="Times New Roman" w:cs="Times New Roman"/>
          <w:lang w:val="en-GB"/>
        </w:rPr>
        <w:t xml:space="preserve">to impose </w:t>
      </w:r>
      <w:r w:rsidR="006825D3" w:rsidRPr="00311B33">
        <w:rPr>
          <w:rFonts w:ascii="Times New Roman" w:hAnsi="Times New Roman" w:cs="Times New Roman"/>
          <w:lang w:val="en-GB"/>
        </w:rPr>
        <w:t xml:space="preserve">custodial </w:t>
      </w:r>
      <w:r w:rsidR="00BF5D80" w:rsidRPr="00311B33">
        <w:rPr>
          <w:rFonts w:ascii="Times New Roman" w:hAnsi="Times New Roman" w:cs="Times New Roman"/>
          <w:lang w:val="en-GB"/>
        </w:rPr>
        <w:t>sanctions on natural persons.</w:t>
      </w:r>
      <w:r w:rsidR="00BF5D80" w:rsidRPr="00311B33">
        <w:rPr>
          <w:rStyle w:val="Appelnotedebasdep"/>
          <w:rFonts w:ascii="Times New Roman" w:hAnsi="Times New Roman" w:cs="Times New Roman"/>
          <w:lang w:val="en-GB"/>
        </w:rPr>
        <w:footnoteReference w:id="21"/>
      </w:r>
      <w:r w:rsidR="006825D3" w:rsidRPr="00311B33">
        <w:rPr>
          <w:rFonts w:ascii="Times New Roman" w:hAnsi="Times New Roman" w:cs="Times New Roman"/>
          <w:lang w:val="en-GB"/>
        </w:rPr>
        <w:t xml:space="preserve"> The risk of subsequent individual penalties on employees pursuant to national competition law is thus limited. Finally, if the Commission opens formal proceedings following the investigation, national agencies are in principle barred from pursuing the infringement pursuant to Article 11(6), thereby limiting this risk even further.</w:t>
      </w:r>
    </w:p>
    <w:p w:rsidR="009A4463" w:rsidRPr="00311B33" w:rsidRDefault="009A4463" w:rsidP="0082443E">
      <w:pPr>
        <w:jc w:val="both"/>
        <w:rPr>
          <w:rFonts w:ascii="Times New Roman" w:hAnsi="Times New Roman" w:cs="Times New Roman"/>
          <w:lang w:val="en-GB"/>
        </w:rPr>
      </w:pPr>
    </w:p>
    <w:p w:rsidR="006825D3" w:rsidRPr="00311B33" w:rsidRDefault="009B1657" w:rsidP="0082443E">
      <w:pPr>
        <w:jc w:val="both"/>
        <w:rPr>
          <w:rFonts w:ascii="Times New Roman" w:hAnsi="Times New Roman" w:cs="Times New Roman"/>
          <w:lang w:val="en-GB"/>
        </w:rPr>
      </w:pPr>
      <w:r w:rsidRPr="00246F56">
        <w:rPr>
          <w:rFonts w:ascii="Times New Roman" w:hAnsi="Times New Roman" w:cs="Times New Roman"/>
          <w:b/>
          <w:lang w:val="en-GB"/>
        </w:rPr>
        <w:t xml:space="preserve">Legal privilege </w:t>
      </w:r>
      <w:r w:rsidR="003101B8" w:rsidRPr="00311B33">
        <w:rPr>
          <w:rFonts w:ascii="Times New Roman" w:hAnsi="Times New Roman" w:cs="Times New Roman"/>
          <w:lang w:val="en-GB"/>
        </w:rPr>
        <w:t xml:space="preserve">– </w:t>
      </w:r>
      <w:r w:rsidR="001F2520" w:rsidRPr="00311B33">
        <w:rPr>
          <w:rFonts w:ascii="Times New Roman" w:hAnsi="Times New Roman" w:cs="Times New Roman"/>
          <w:lang w:val="en-GB"/>
        </w:rPr>
        <w:t xml:space="preserve">A second debate concerns </w:t>
      </w:r>
      <w:r w:rsidR="009A4463" w:rsidRPr="00311B33">
        <w:rPr>
          <w:rFonts w:ascii="Times New Roman" w:hAnsi="Times New Roman" w:cs="Times New Roman"/>
          <w:lang w:val="en-GB"/>
        </w:rPr>
        <w:t xml:space="preserve">the </w:t>
      </w:r>
      <w:r w:rsidR="001F2520" w:rsidRPr="00311B33">
        <w:rPr>
          <w:rFonts w:ascii="Times New Roman" w:hAnsi="Times New Roman" w:cs="Times New Roman"/>
          <w:lang w:val="en-GB"/>
        </w:rPr>
        <w:t xml:space="preserve">confidentiality of the </w:t>
      </w:r>
      <w:r w:rsidR="009A4463" w:rsidRPr="00311B33">
        <w:rPr>
          <w:rFonts w:ascii="Times New Roman" w:hAnsi="Times New Roman" w:cs="Times New Roman"/>
          <w:lang w:val="en-GB"/>
        </w:rPr>
        <w:t xml:space="preserve">documents </w:t>
      </w:r>
      <w:r w:rsidR="001F2520" w:rsidRPr="00311B33">
        <w:rPr>
          <w:rFonts w:ascii="Times New Roman" w:hAnsi="Times New Roman" w:cs="Times New Roman"/>
          <w:lang w:val="en-GB"/>
        </w:rPr>
        <w:t xml:space="preserve">exchanged between </w:t>
      </w:r>
      <w:r w:rsidR="008500BF" w:rsidRPr="00311B33">
        <w:rPr>
          <w:rFonts w:ascii="Times New Roman" w:hAnsi="Times New Roman" w:cs="Times New Roman"/>
          <w:lang w:val="en-GB"/>
        </w:rPr>
        <w:t xml:space="preserve">a </w:t>
      </w:r>
      <w:r w:rsidR="001F2520" w:rsidRPr="00311B33">
        <w:rPr>
          <w:rFonts w:ascii="Times New Roman" w:hAnsi="Times New Roman" w:cs="Times New Roman"/>
          <w:lang w:val="en-GB"/>
        </w:rPr>
        <w:t xml:space="preserve">firm </w:t>
      </w:r>
      <w:r w:rsidR="009A4463" w:rsidRPr="00311B33">
        <w:rPr>
          <w:rFonts w:ascii="Times New Roman" w:hAnsi="Times New Roman" w:cs="Times New Roman"/>
          <w:lang w:val="en-GB"/>
        </w:rPr>
        <w:t xml:space="preserve">and its </w:t>
      </w:r>
      <w:r w:rsidR="001F2520" w:rsidRPr="00311B33">
        <w:rPr>
          <w:rFonts w:ascii="Times New Roman" w:hAnsi="Times New Roman" w:cs="Times New Roman"/>
          <w:lang w:val="en-GB"/>
        </w:rPr>
        <w:t xml:space="preserve">legal </w:t>
      </w:r>
      <w:r w:rsidR="008500BF" w:rsidRPr="00311B33">
        <w:rPr>
          <w:rFonts w:ascii="Times New Roman" w:hAnsi="Times New Roman" w:cs="Times New Roman"/>
          <w:lang w:val="en-GB"/>
        </w:rPr>
        <w:t>counsels</w:t>
      </w:r>
      <w:r w:rsidR="009A4463" w:rsidRPr="00311B33">
        <w:rPr>
          <w:rFonts w:ascii="Times New Roman" w:hAnsi="Times New Roman" w:cs="Times New Roman"/>
          <w:lang w:val="en-GB"/>
        </w:rPr>
        <w:t>.</w:t>
      </w:r>
      <w:r w:rsidR="00FD573A">
        <w:rPr>
          <w:rStyle w:val="Appelnotedebasdep"/>
          <w:rFonts w:ascii="Times New Roman" w:hAnsi="Times New Roman" w:cs="Times New Roman"/>
          <w:lang w:val="en-GB"/>
        </w:rPr>
        <w:footnoteReference w:id="22"/>
      </w:r>
      <w:r w:rsidR="009A4463" w:rsidRPr="00311B33">
        <w:rPr>
          <w:rFonts w:ascii="Times New Roman" w:hAnsi="Times New Roman" w:cs="Times New Roman"/>
          <w:lang w:val="en-GB"/>
        </w:rPr>
        <w:t xml:space="preserve"> According to the </w:t>
      </w:r>
      <w:r w:rsidR="001F2520" w:rsidRPr="00311B33">
        <w:rPr>
          <w:rFonts w:ascii="Times New Roman" w:hAnsi="Times New Roman" w:cs="Times New Roman"/>
          <w:lang w:val="en-GB"/>
        </w:rPr>
        <w:t>CJEU</w:t>
      </w:r>
      <w:r w:rsidR="009A4463" w:rsidRPr="00311B33">
        <w:rPr>
          <w:rFonts w:ascii="Times New Roman" w:hAnsi="Times New Roman" w:cs="Times New Roman"/>
          <w:lang w:val="en-GB"/>
        </w:rPr>
        <w:t xml:space="preserve">, </w:t>
      </w:r>
      <w:r w:rsidR="001F2520" w:rsidRPr="00311B33">
        <w:rPr>
          <w:rFonts w:ascii="Times New Roman" w:hAnsi="Times New Roman" w:cs="Times New Roman"/>
          <w:lang w:val="en-GB"/>
        </w:rPr>
        <w:t>those documents are out of the</w:t>
      </w:r>
      <w:r w:rsidR="000C5190" w:rsidRPr="00311B33">
        <w:rPr>
          <w:rFonts w:ascii="Times New Roman" w:hAnsi="Times New Roman" w:cs="Times New Roman"/>
          <w:lang w:val="en-GB"/>
        </w:rPr>
        <w:t xml:space="preserve"> Commission’s reach</w:t>
      </w:r>
      <w:r w:rsidR="009A4463" w:rsidRPr="00311B33">
        <w:rPr>
          <w:rFonts w:ascii="Times New Roman" w:hAnsi="Times New Roman" w:cs="Times New Roman"/>
          <w:lang w:val="en-GB"/>
        </w:rPr>
        <w:t xml:space="preserve">. </w:t>
      </w:r>
      <w:r w:rsidR="006825D3" w:rsidRPr="00311B33">
        <w:rPr>
          <w:rFonts w:ascii="Times New Roman" w:hAnsi="Times New Roman" w:cs="Times New Roman"/>
          <w:lang w:val="en-GB"/>
        </w:rPr>
        <w:t>This principle, known as “</w:t>
      </w:r>
      <w:r w:rsidR="006825D3" w:rsidRPr="00311B33">
        <w:rPr>
          <w:rFonts w:ascii="Times New Roman" w:hAnsi="Times New Roman" w:cs="Times New Roman"/>
          <w:i/>
          <w:lang w:val="en-GB"/>
        </w:rPr>
        <w:t>legal professional privilege</w:t>
      </w:r>
      <w:r w:rsidR="006825D3" w:rsidRPr="00311B33">
        <w:rPr>
          <w:rFonts w:ascii="Times New Roman" w:hAnsi="Times New Roman" w:cs="Times New Roman"/>
          <w:lang w:val="en-GB"/>
        </w:rPr>
        <w:t xml:space="preserve">”, stems from the EU courts’ case-law in </w:t>
      </w:r>
      <w:r w:rsidR="006825D3" w:rsidRPr="00311B33">
        <w:rPr>
          <w:rFonts w:ascii="Times New Roman" w:hAnsi="Times New Roman" w:cs="Times New Roman"/>
          <w:i/>
          <w:lang w:val="en-GB"/>
        </w:rPr>
        <w:t>AM&amp;S</w:t>
      </w:r>
      <w:r w:rsidR="006825D3" w:rsidRPr="00311B33">
        <w:rPr>
          <w:rFonts w:ascii="Times New Roman" w:hAnsi="Times New Roman" w:cs="Times New Roman"/>
          <w:lang w:val="en-GB"/>
        </w:rPr>
        <w:t>.</w:t>
      </w:r>
      <w:r w:rsidR="006825D3" w:rsidRPr="00311B33">
        <w:rPr>
          <w:rStyle w:val="Appelnotedebasdep"/>
          <w:rFonts w:ascii="Times New Roman" w:hAnsi="Times New Roman" w:cs="Times New Roman"/>
          <w:lang w:val="en-GB"/>
        </w:rPr>
        <w:footnoteReference w:id="23"/>
      </w:r>
      <w:r w:rsidR="006825D3" w:rsidRPr="00311B33">
        <w:rPr>
          <w:rFonts w:ascii="Times New Roman" w:hAnsi="Times New Roman" w:cs="Times New Roman"/>
          <w:lang w:val="en-GB"/>
        </w:rPr>
        <w:t xml:space="preserve"> Its rationale is </w:t>
      </w:r>
      <w:r w:rsidR="00B22D56" w:rsidRPr="00311B33">
        <w:rPr>
          <w:rFonts w:ascii="Times New Roman" w:hAnsi="Times New Roman" w:cs="Times New Roman"/>
          <w:lang w:val="en-GB"/>
        </w:rPr>
        <w:t xml:space="preserve">to encourage a client to tell his lawyer the entire truth without any fear of disclosure so that the lawyer is able to represent his client in the most effective way. </w:t>
      </w:r>
    </w:p>
    <w:p w:rsidR="006825D3" w:rsidRPr="00311B33" w:rsidRDefault="006825D3" w:rsidP="0082443E">
      <w:pPr>
        <w:jc w:val="both"/>
        <w:rPr>
          <w:rFonts w:ascii="Times New Roman" w:hAnsi="Times New Roman" w:cs="Times New Roman"/>
          <w:lang w:val="en-GB"/>
        </w:rPr>
      </w:pPr>
    </w:p>
    <w:p w:rsidR="008500BF" w:rsidRPr="00311B33" w:rsidRDefault="008500BF" w:rsidP="0082443E">
      <w:pPr>
        <w:jc w:val="both"/>
        <w:rPr>
          <w:rFonts w:ascii="Times New Roman" w:hAnsi="Times New Roman" w:cs="Times New Roman"/>
          <w:lang w:val="en-GB"/>
        </w:rPr>
      </w:pPr>
      <w:r w:rsidRPr="00311B33">
        <w:rPr>
          <w:rFonts w:ascii="Times New Roman" w:hAnsi="Times New Roman" w:cs="Times New Roman"/>
          <w:lang w:val="en-GB"/>
        </w:rPr>
        <w:t xml:space="preserve">In </w:t>
      </w:r>
      <w:r w:rsidR="009B1657" w:rsidRPr="00246F56">
        <w:rPr>
          <w:rFonts w:ascii="Times New Roman" w:hAnsi="Times New Roman" w:cs="Times New Roman"/>
          <w:i/>
          <w:lang w:val="en-GB"/>
        </w:rPr>
        <w:t>AM&amp;S</w:t>
      </w:r>
      <w:r w:rsidRPr="00311B33">
        <w:rPr>
          <w:rFonts w:ascii="Times New Roman" w:hAnsi="Times New Roman" w:cs="Times New Roman"/>
          <w:lang w:val="en-GB"/>
        </w:rPr>
        <w:t xml:space="preserve">, </w:t>
      </w:r>
      <w:r w:rsidR="009A4463" w:rsidRPr="00311B33">
        <w:rPr>
          <w:rFonts w:ascii="Times New Roman" w:hAnsi="Times New Roman" w:cs="Times New Roman"/>
          <w:lang w:val="en-GB"/>
        </w:rPr>
        <w:t xml:space="preserve">the Court </w:t>
      </w:r>
      <w:r w:rsidR="006825D3" w:rsidRPr="00311B33">
        <w:rPr>
          <w:rFonts w:ascii="Times New Roman" w:hAnsi="Times New Roman" w:cs="Times New Roman"/>
          <w:lang w:val="en-GB"/>
        </w:rPr>
        <w:t xml:space="preserve">set </w:t>
      </w:r>
      <w:r w:rsidR="009A4463" w:rsidRPr="00311B33">
        <w:rPr>
          <w:rFonts w:ascii="Times New Roman" w:hAnsi="Times New Roman" w:cs="Times New Roman"/>
          <w:lang w:val="en-GB"/>
        </w:rPr>
        <w:t xml:space="preserve">two criteria for documents to </w:t>
      </w:r>
      <w:r w:rsidRPr="00311B33">
        <w:rPr>
          <w:rFonts w:ascii="Times New Roman" w:hAnsi="Times New Roman" w:cs="Times New Roman"/>
          <w:lang w:val="en-GB"/>
        </w:rPr>
        <w:t xml:space="preserve">be protected by </w:t>
      </w:r>
      <w:r w:rsidR="006825D3" w:rsidRPr="00311B33">
        <w:rPr>
          <w:rFonts w:ascii="Times New Roman" w:hAnsi="Times New Roman" w:cs="Times New Roman"/>
          <w:lang w:val="en-GB"/>
        </w:rPr>
        <w:t xml:space="preserve">legal </w:t>
      </w:r>
      <w:r w:rsidR="009A4463" w:rsidRPr="00311B33">
        <w:rPr>
          <w:rFonts w:ascii="Times New Roman" w:hAnsi="Times New Roman" w:cs="Times New Roman"/>
          <w:lang w:val="en-GB"/>
        </w:rPr>
        <w:t>privilege. First</w:t>
      </w:r>
      <w:r w:rsidR="00B22D56" w:rsidRPr="00311B33">
        <w:rPr>
          <w:rFonts w:ascii="Times New Roman" w:hAnsi="Times New Roman" w:cs="Times New Roman"/>
          <w:lang w:val="en-GB"/>
        </w:rPr>
        <w:t>,</w:t>
      </w:r>
      <w:r w:rsidR="009A4463" w:rsidRPr="00311B33">
        <w:rPr>
          <w:rFonts w:ascii="Times New Roman" w:hAnsi="Times New Roman" w:cs="Times New Roman"/>
          <w:lang w:val="en-GB"/>
        </w:rPr>
        <w:t xml:space="preserve"> the document </w:t>
      </w:r>
      <w:r w:rsidR="006825D3" w:rsidRPr="00311B33">
        <w:rPr>
          <w:rFonts w:ascii="Times New Roman" w:hAnsi="Times New Roman" w:cs="Times New Roman"/>
          <w:lang w:val="en-GB"/>
        </w:rPr>
        <w:t xml:space="preserve">must have been </w:t>
      </w:r>
      <w:r w:rsidR="009A4463" w:rsidRPr="00311B33">
        <w:rPr>
          <w:rFonts w:ascii="Times New Roman" w:hAnsi="Times New Roman" w:cs="Times New Roman"/>
          <w:lang w:val="en-GB"/>
        </w:rPr>
        <w:t xml:space="preserve">made for </w:t>
      </w:r>
      <w:r w:rsidR="00A14B17" w:rsidRPr="00311B33">
        <w:rPr>
          <w:rFonts w:ascii="Times New Roman" w:hAnsi="Times New Roman" w:cs="Times New Roman"/>
          <w:lang w:val="en-GB"/>
        </w:rPr>
        <w:t>the</w:t>
      </w:r>
      <w:r w:rsidR="009A4463" w:rsidRPr="00311B33">
        <w:rPr>
          <w:rFonts w:ascii="Times New Roman" w:hAnsi="Times New Roman" w:cs="Times New Roman"/>
          <w:lang w:val="en-GB"/>
        </w:rPr>
        <w:t xml:space="preserve"> purpose and in the interest of the client’s rights of defence</w:t>
      </w:r>
      <w:r w:rsidRPr="00311B33">
        <w:rPr>
          <w:rFonts w:ascii="Times New Roman" w:hAnsi="Times New Roman" w:cs="Times New Roman"/>
          <w:lang w:val="en-GB"/>
        </w:rPr>
        <w:t>.</w:t>
      </w:r>
      <w:r w:rsidR="009A4463" w:rsidRPr="00311B33">
        <w:rPr>
          <w:rFonts w:ascii="Times New Roman" w:hAnsi="Times New Roman" w:cs="Times New Roman"/>
          <w:lang w:val="en-GB"/>
        </w:rPr>
        <w:t xml:space="preserve"> </w:t>
      </w:r>
      <w:r w:rsidRPr="00311B33">
        <w:rPr>
          <w:rFonts w:ascii="Times New Roman" w:hAnsi="Times New Roman" w:cs="Times New Roman"/>
          <w:lang w:val="en-GB"/>
        </w:rPr>
        <w:t xml:space="preserve">Second, the document </w:t>
      </w:r>
      <w:r w:rsidR="009A4463" w:rsidRPr="00311B33">
        <w:rPr>
          <w:rFonts w:ascii="Times New Roman" w:hAnsi="Times New Roman" w:cs="Times New Roman"/>
          <w:lang w:val="en-GB"/>
        </w:rPr>
        <w:t xml:space="preserve">must emanate from </w:t>
      </w:r>
      <w:r w:rsidR="006825D3" w:rsidRPr="00311B33">
        <w:rPr>
          <w:rFonts w:ascii="Times New Roman" w:hAnsi="Times New Roman" w:cs="Times New Roman"/>
          <w:lang w:val="en-GB"/>
        </w:rPr>
        <w:t xml:space="preserve">an </w:t>
      </w:r>
      <w:r w:rsidRPr="00311B33">
        <w:rPr>
          <w:rFonts w:ascii="Times New Roman" w:hAnsi="Times New Roman" w:cs="Times New Roman"/>
          <w:lang w:val="en-GB"/>
        </w:rPr>
        <w:t>“</w:t>
      </w:r>
      <w:r w:rsidR="009A4463" w:rsidRPr="00311B33">
        <w:rPr>
          <w:rFonts w:ascii="Times New Roman" w:hAnsi="Times New Roman" w:cs="Times New Roman"/>
          <w:i/>
          <w:lang w:val="en-GB"/>
        </w:rPr>
        <w:t xml:space="preserve">independent </w:t>
      </w:r>
      <w:r w:rsidR="00631623" w:rsidRPr="00311B33">
        <w:rPr>
          <w:rFonts w:ascii="Times New Roman" w:hAnsi="Times New Roman" w:cs="Times New Roman"/>
          <w:i/>
          <w:lang w:val="en-GB"/>
        </w:rPr>
        <w:t>lawyer</w:t>
      </w:r>
      <w:r w:rsidRPr="00311B33">
        <w:rPr>
          <w:rFonts w:ascii="Times New Roman" w:hAnsi="Times New Roman" w:cs="Times New Roman"/>
          <w:lang w:val="en-GB"/>
        </w:rPr>
        <w:t>”</w:t>
      </w:r>
      <w:r w:rsidR="009A4463" w:rsidRPr="00311B33">
        <w:rPr>
          <w:rFonts w:ascii="Times New Roman" w:hAnsi="Times New Roman" w:cs="Times New Roman"/>
          <w:lang w:val="en-GB"/>
        </w:rPr>
        <w:t>.</w:t>
      </w:r>
      <w:r w:rsidR="009A4463" w:rsidRPr="00311B33">
        <w:rPr>
          <w:rStyle w:val="Appelnotedebasdep"/>
          <w:rFonts w:ascii="Times New Roman" w:hAnsi="Times New Roman" w:cs="Times New Roman"/>
          <w:lang w:val="en-GB"/>
        </w:rPr>
        <w:footnoteReference w:id="24"/>
      </w:r>
      <w:r w:rsidR="009A4463" w:rsidRPr="00311B33">
        <w:rPr>
          <w:rFonts w:ascii="Times New Roman" w:hAnsi="Times New Roman" w:cs="Times New Roman"/>
          <w:lang w:val="en-GB"/>
        </w:rPr>
        <w:t xml:space="preserve"> </w:t>
      </w:r>
      <w:r w:rsidR="0011426F" w:rsidRPr="00311B33">
        <w:rPr>
          <w:rFonts w:ascii="Times New Roman" w:hAnsi="Times New Roman" w:cs="Times New Roman"/>
          <w:lang w:val="en-GB"/>
        </w:rPr>
        <w:t xml:space="preserve">Under the so-called </w:t>
      </w:r>
      <w:r w:rsidR="0011426F" w:rsidRPr="00311B33">
        <w:rPr>
          <w:rFonts w:ascii="Times New Roman" w:hAnsi="Times New Roman" w:cs="Times New Roman"/>
          <w:i/>
          <w:lang w:val="en-GB"/>
        </w:rPr>
        <w:t>AKZO</w:t>
      </w:r>
      <w:r w:rsidR="0011426F" w:rsidRPr="00311B33">
        <w:rPr>
          <w:rFonts w:ascii="Times New Roman" w:hAnsi="Times New Roman" w:cs="Times New Roman"/>
          <w:lang w:val="en-GB"/>
        </w:rPr>
        <w:t xml:space="preserve"> procedure, the Commission is allowed only to take a look at the header of the document, in order to verify whether those conditions are met.</w:t>
      </w:r>
      <w:r w:rsidR="0011426F" w:rsidRPr="00311B33">
        <w:rPr>
          <w:rStyle w:val="Appelnotedebasdep"/>
          <w:rFonts w:ascii="Times New Roman" w:hAnsi="Times New Roman" w:cs="Times New Roman"/>
          <w:lang w:val="en-GB"/>
        </w:rPr>
        <w:footnoteReference w:id="25"/>
      </w:r>
      <w:r w:rsidR="007F32F9" w:rsidRPr="00311B33">
        <w:rPr>
          <w:rFonts w:ascii="Times New Roman" w:hAnsi="Times New Roman" w:cs="Times New Roman"/>
          <w:lang w:val="en-GB"/>
        </w:rPr>
        <w:t xml:space="preserve"> </w:t>
      </w:r>
    </w:p>
    <w:p w:rsidR="0011426F" w:rsidRPr="00FD573A" w:rsidRDefault="0011426F" w:rsidP="0082443E">
      <w:pPr>
        <w:jc w:val="both"/>
        <w:rPr>
          <w:rFonts w:ascii="Times New Roman" w:hAnsi="Times New Roman" w:cs="Times New Roman"/>
          <w:lang w:val="en-GB"/>
        </w:rPr>
      </w:pPr>
    </w:p>
    <w:p w:rsidR="0011426F" w:rsidRPr="00FD573A" w:rsidRDefault="0011426F" w:rsidP="0082443E">
      <w:pPr>
        <w:jc w:val="both"/>
        <w:rPr>
          <w:rFonts w:ascii="Times New Roman" w:hAnsi="Times New Roman" w:cs="Times New Roman"/>
          <w:lang w:val="en-GB"/>
        </w:rPr>
      </w:pPr>
      <w:r w:rsidRPr="00FD573A">
        <w:rPr>
          <w:rFonts w:ascii="Times New Roman" w:hAnsi="Times New Roman" w:cs="Times New Roman"/>
          <w:lang w:val="en-GB"/>
        </w:rPr>
        <w:t>The legal professional privilege covers all written communications exchanged following the initiation of antitrust proceedings, as well as earlier written communications</w:t>
      </w:r>
      <w:r w:rsidR="00FD573A" w:rsidRPr="00FD573A">
        <w:rPr>
          <w:rFonts w:ascii="Times New Roman" w:hAnsi="Times New Roman" w:cs="Times New Roman"/>
          <w:lang w:val="en-GB"/>
        </w:rPr>
        <w:t xml:space="preserve">, but only where these are </w:t>
      </w:r>
      <w:r w:rsidR="00FD573A" w:rsidRPr="00246F56">
        <w:rPr>
          <w:rFonts w:ascii="Times New Roman" w:hAnsi="Times New Roman" w:cs="Times New Roman"/>
          <w:lang w:val="en-GB"/>
        </w:rPr>
        <w:t>drawn up “</w:t>
      </w:r>
      <w:r w:rsidR="00FD573A" w:rsidRPr="00246F56">
        <w:rPr>
          <w:rFonts w:ascii="Times New Roman" w:hAnsi="Times New Roman" w:cs="Times New Roman"/>
          <w:i/>
          <w:lang w:val="en-GB"/>
        </w:rPr>
        <w:t>for the exclusive purpose</w:t>
      </w:r>
      <w:r w:rsidR="00FD573A" w:rsidRPr="00246F56">
        <w:rPr>
          <w:rFonts w:ascii="Times New Roman" w:hAnsi="Times New Roman" w:cs="Times New Roman"/>
          <w:lang w:val="en-GB"/>
        </w:rPr>
        <w:t>” of seeking legal advice from a lawyer in exercising rights of defence</w:t>
      </w:r>
      <w:r w:rsidRPr="00FD573A">
        <w:rPr>
          <w:rFonts w:ascii="Times New Roman" w:hAnsi="Times New Roman" w:cs="Times New Roman"/>
          <w:lang w:val="en-GB"/>
        </w:rPr>
        <w:t>.</w:t>
      </w:r>
      <w:r w:rsidR="00B252DD" w:rsidRPr="00FD573A">
        <w:rPr>
          <w:rStyle w:val="Appelnotedebasdep"/>
          <w:rFonts w:ascii="Times New Roman" w:hAnsi="Times New Roman" w:cs="Times New Roman"/>
          <w:lang w:val="en-GB"/>
        </w:rPr>
        <w:footnoteReference w:id="26"/>
      </w:r>
      <w:r w:rsidRPr="00FD573A">
        <w:rPr>
          <w:rFonts w:ascii="Times New Roman" w:hAnsi="Times New Roman" w:cs="Times New Roman"/>
          <w:lang w:val="en-GB"/>
        </w:rPr>
        <w:t xml:space="preserve"> </w:t>
      </w:r>
      <w:r w:rsidR="00FD573A" w:rsidRPr="00FD573A">
        <w:rPr>
          <w:rFonts w:ascii="Times New Roman" w:hAnsi="Times New Roman" w:cs="Times New Roman"/>
          <w:lang w:val="en-GB"/>
        </w:rPr>
        <w:t xml:space="preserve">For instance, documents prepared with a lawyer in the context of a compliance program are excluded from legal professional privilege, for such </w:t>
      </w:r>
      <w:r w:rsidR="00FD573A" w:rsidRPr="00246F56">
        <w:rPr>
          <w:rFonts w:ascii="Times New Roman" w:hAnsi="Times New Roman" w:cs="Times New Roman"/>
          <w:lang w:val="en-GB"/>
        </w:rPr>
        <w:t>programmes “</w:t>
      </w:r>
      <w:r w:rsidR="00FD573A" w:rsidRPr="00246F56">
        <w:rPr>
          <w:rFonts w:ascii="Times New Roman" w:hAnsi="Times New Roman" w:cs="Times New Roman"/>
          <w:i/>
          <w:lang w:val="en-GB"/>
        </w:rPr>
        <w:t>often encompass in scope duties and cover information which goes beyond the exercise of the rights of the defence</w:t>
      </w:r>
      <w:r w:rsidR="00FD573A" w:rsidRPr="00246F56">
        <w:rPr>
          <w:rFonts w:ascii="Times New Roman" w:hAnsi="Times New Roman" w:cs="Times New Roman"/>
          <w:lang w:val="en-GB"/>
        </w:rPr>
        <w:t>”</w:t>
      </w:r>
      <w:r w:rsidR="00FD573A" w:rsidRPr="00FD573A">
        <w:rPr>
          <w:rFonts w:ascii="Times New Roman" w:hAnsi="Times New Roman" w:cs="Times New Roman"/>
          <w:lang w:val="en-GB"/>
        </w:rPr>
        <w:t>.</w:t>
      </w:r>
      <w:r w:rsidR="00FD573A">
        <w:rPr>
          <w:rStyle w:val="Appelnotedebasdep"/>
          <w:rFonts w:ascii="Times New Roman" w:hAnsi="Times New Roman" w:cs="Times New Roman"/>
          <w:lang w:val="en-GB"/>
        </w:rPr>
        <w:footnoteReference w:id="27"/>
      </w:r>
      <w:r w:rsidR="00FD573A" w:rsidRPr="00FD573A">
        <w:rPr>
          <w:rFonts w:ascii="Times New Roman" w:hAnsi="Times New Roman" w:cs="Times New Roman"/>
          <w:lang w:val="en-GB"/>
        </w:rPr>
        <w:t xml:space="preserve"> Likewise, t</w:t>
      </w:r>
      <w:r w:rsidR="00631623" w:rsidRPr="00FD573A">
        <w:rPr>
          <w:rFonts w:ascii="Times New Roman" w:hAnsi="Times New Roman" w:cs="Times New Roman"/>
          <w:lang w:val="en-GB"/>
        </w:rPr>
        <w:t xml:space="preserve">he </w:t>
      </w:r>
      <w:r w:rsidRPr="00FD573A">
        <w:rPr>
          <w:rFonts w:ascii="Times New Roman" w:hAnsi="Times New Roman" w:cs="Times New Roman"/>
          <w:lang w:val="en-GB"/>
        </w:rPr>
        <w:t xml:space="preserve">mere fact that a document has been discussed with an independent lawyer is, </w:t>
      </w:r>
      <w:r w:rsidR="00631623" w:rsidRPr="00FD573A">
        <w:rPr>
          <w:rFonts w:ascii="Times New Roman" w:hAnsi="Times New Roman" w:cs="Times New Roman"/>
          <w:lang w:val="en-GB"/>
        </w:rPr>
        <w:t>in itself</w:t>
      </w:r>
      <w:r w:rsidRPr="00FD573A">
        <w:rPr>
          <w:rFonts w:ascii="Times New Roman" w:hAnsi="Times New Roman" w:cs="Times New Roman"/>
          <w:lang w:val="en-GB"/>
        </w:rPr>
        <w:t xml:space="preserve">, not sufficient to bring it under the </w:t>
      </w:r>
      <w:r w:rsidR="00B8341D" w:rsidRPr="00FD573A">
        <w:rPr>
          <w:rFonts w:ascii="Times New Roman" w:hAnsi="Times New Roman" w:cs="Times New Roman"/>
          <w:lang w:val="en-GB"/>
        </w:rPr>
        <w:t>protective umbrella of</w:t>
      </w:r>
      <w:r w:rsidRPr="00FD573A">
        <w:rPr>
          <w:rFonts w:ascii="Times New Roman" w:hAnsi="Times New Roman" w:cs="Times New Roman"/>
          <w:lang w:val="en-GB"/>
        </w:rPr>
        <w:t xml:space="preserve"> legal professional privilege</w:t>
      </w:r>
      <w:r w:rsidR="00FD573A" w:rsidRPr="00FD573A">
        <w:rPr>
          <w:rFonts w:ascii="Times New Roman" w:hAnsi="Times New Roman" w:cs="Times New Roman"/>
          <w:lang w:val="en-GB"/>
        </w:rPr>
        <w:t xml:space="preserve"> </w:t>
      </w:r>
      <w:r w:rsidR="00FD573A" w:rsidRPr="00246F56">
        <w:rPr>
          <w:rFonts w:ascii="Times New Roman" w:hAnsi="Times New Roman" w:cs="Times New Roman"/>
          <w:lang w:val="en-GB"/>
        </w:rPr>
        <w:t xml:space="preserve">where there is no proof that it </w:t>
      </w:r>
      <w:r w:rsidR="00D826D6">
        <w:rPr>
          <w:rFonts w:ascii="Times New Roman" w:hAnsi="Times New Roman" w:cs="Times New Roman"/>
          <w:lang w:val="en-GB"/>
        </w:rPr>
        <w:t xml:space="preserve">was </w:t>
      </w:r>
      <w:r w:rsidR="00FD573A" w:rsidRPr="00246F56">
        <w:rPr>
          <w:rFonts w:ascii="Times New Roman" w:hAnsi="Times New Roman" w:cs="Times New Roman"/>
          <w:lang w:val="en-GB"/>
        </w:rPr>
        <w:t>drawn up for the exclusive purpose of seeking legal advice.</w:t>
      </w:r>
      <w:r w:rsidR="00FD573A" w:rsidRPr="00FD573A">
        <w:rPr>
          <w:rStyle w:val="Appelnotedebasdep"/>
          <w:rFonts w:ascii="Times New Roman" w:hAnsi="Times New Roman" w:cs="Times New Roman"/>
          <w:lang w:val="en-GB"/>
        </w:rPr>
        <w:footnoteReference w:id="28"/>
      </w:r>
    </w:p>
    <w:p w:rsidR="0011426F" w:rsidRPr="00311B33" w:rsidRDefault="0011426F" w:rsidP="0082443E">
      <w:pPr>
        <w:jc w:val="both"/>
        <w:rPr>
          <w:rFonts w:ascii="Times New Roman" w:hAnsi="Times New Roman" w:cs="Times New Roman"/>
          <w:lang w:val="en-GB"/>
        </w:rPr>
      </w:pPr>
    </w:p>
    <w:p w:rsidR="009A4463" w:rsidRPr="00311B33" w:rsidRDefault="00B8341D" w:rsidP="0082443E">
      <w:pPr>
        <w:jc w:val="both"/>
        <w:rPr>
          <w:rFonts w:ascii="Times New Roman" w:hAnsi="Times New Roman" w:cs="Times New Roman"/>
          <w:lang w:val="en-GB"/>
        </w:rPr>
      </w:pPr>
      <w:r w:rsidRPr="00311B33">
        <w:rPr>
          <w:rFonts w:ascii="Times New Roman" w:hAnsi="Times New Roman" w:cs="Times New Roman"/>
          <w:lang w:val="en-GB"/>
        </w:rPr>
        <w:t>The</w:t>
      </w:r>
      <w:r w:rsidR="009A4463" w:rsidRPr="00311B33">
        <w:rPr>
          <w:rFonts w:ascii="Times New Roman" w:hAnsi="Times New Roman" w:cs="Times New Roman"/>
          <w:lang w:val="en-GB"/>
        </w:rPr>
        <w:t xml:space="preserve"> notion of </w:t>
      </w:r>
      <w:r w:rsidR="0011426F" w:rsidRPr="00311B33">
        <w:rPr>
          <w:rFonts w:ascii="Times New Roman" w:hAnsi="Times New Roman" w:cs="Times New Roman"/>
          <w:lang w:val="en-GB"/>
        </w:rPr>
        <w:t xml:space="preserve">what constitutes an </w:t>
      </w:r>
      <w:r w:rsidR="009A4463" w:rsidRPr="00311B33">
        <w:rPr>
          <w:rFonts w:ascii="Times New Roman" w:hAnsi="Times New Roman" w:cs="Times New Roman"/>
          <w:lang w:val="en-GB"/>
        </w:rPr>
        <w:t>“</w:t>
      </w:r>
      <w:r w:rsidR="009A4463" w:rsidRPr="00311B33">
        <w:rPr>
          <w:rFonts w:ascii="Times New Roman" w:hAnsi="Times New Roman" w:cs="Times New Roman"/>
          <w:i/>
          <w:lang w:val="en-GB"/>
        </w:rPr>
        <w:t>independent lawyer</w:t>
      </w:r>
      <w:r w:rsidR="009A4463" w:rsidRPr="00311B33">
        <w:rPr>
          <w:rFonts w:ascii="Times New Roman" w:hAnsi="Times New Roman" w:cs="Times New Roman"/>
          <w:lang w:val="en-GB"/>
        </w:rPr>
        <w:t xml:space="preserve">” </w:t>
      </w:r>
      <w:r w:rsidR="0011426F" w:rsidRPr="00311B33">
        <w:rPr>
          <w:rFonts w:ascii="Times New Roman" w:hAnsi="Times New Roman" w:cs="Times New Roman"/>
          <w:lang w:val="en-GB"/>
        </w:rPr>
        <w:t xml:space="preserve">has been </w:t>
      </w:r>
      <w:r w:rsidR="008500BF" w:rsidRPr="00311B33">
        <w:rPr>
          <w:rFonts w:ascii="Times New Roman" w:hAnsi="Times New Roman" w:cs="Times New Roman"/>
          <w:lang w:val="en-GB"/>
        </w:rPr>
        <w:t>a bone of conten</w:t>
      </w:r>
      <w:r w:rsidR="002746F1" w:rsidRPr="00311B33">
        <w:rPr>
          <w:rFonts w:ascii="Times New Roman" w:hAnsi="Times New Roman" w:cs="Times New Roman"/>
          <w:lang w:val="en-GB"/>
        </w:rPr>
        <w:t xml:space="preserve">tion in antitrust scholarship. </w:t>
      </w:r>
      <w:r w:rsidR="008500BF" w:rsidRPr="00311B33">
        <w:rPr>
          <w:rFonts w:ascii="Times New Roman" w:hAnsi="Times New Roman" w:cs="Times New Roman"/>
          <w:lang w:val="en-GB"/>
        </w:rPr>
        <w:t xml:space="preserve">In </w:t>
      </w:r>
      <w:r w:rsidR="008500BF" w:rsidRPr="00311B33">
        <w:rPr>
          <w:rFonts w:ascii="Times New Roman" w:hAnsi="Times New Roman" w:cs="Times New Roman"/>
          <w:i/>
          <w:lang w:val="en-GB"/>
        </w:rPr>
        <w:t>AM&amp;S</w:t>
      </w:r>
      <w:r w:rsidR="008500BF" w:rsidRPr="00311B33">
        <w:rPr>
          <w:rFonts w:ascii="Times New Roman" w:hAnsi="Times New Roman" w:cs="Times New Roman"/>
          <w:lang w:val="en-GB"/>
        </w:rPr>
        <w:t xml:space="preserve"> and later in </w:t>
      </w:r>
      <w:r w:rsidR="008500BF" w:rsidRPr="00311B33">
        <w:rPr>
          <w:rFonts w:ascii="Times New Roman" w:hAnsi="Times New Roman" w:cs="Times New Roman"/>
          <w:i/>
          <w:lang w:val="en-GB"/>
        </w:rPr>
        <w:t>AKZO</w:t>
      </w:r>
      <w:r w:rsidR="008500BF" w:rsidRPr="00311B33">
        <w:rPr>
          <w:rFonts w:ascii="Times New Roman" w:hAnsi="Times New Roman" w:cs="Times New Roman"/>
          <w:lang w:val="en-GB"/>
        </w:rPr>
        <w:t xml:space="preserve">, </w:t>
      </w:r>
      <w:r w:rsidR="009A4463" w:rsidRPr="00311B33">
        <w:rPr>
          <w:rFonts w:ascii="Times New Roman" w:hAnsi="Times New Roman" w:cs="Times New Roman"/>
          <w:lang w:val="en-GB"/>
        </w:rPr>
        <w:t xml:space="preserve">the Court expressly excluded in-house lawyers from the privilege. </w:t>
      </w:r>
      <w:r w:rsidR="008500BF" w:rsidRPr="00311B33">
        <w:rPr>
          <w:rFonts w:ascii="Times New Roman" w:hAnsi="Times New Roman" w:cs="Times New Roman"/>
          <w:lang w:val="en-GB"/>
        </w:rPr>
        <w:t xml:space="preserve">Unlike external lawyers, in-house lawyers are not bound by </w:t>
      </w:r>
      <w:r w:rsidR="009A4463" w:rsidRPr="00311B33">
        <w:rPr>
          <w:rFonts w:ascii="Times New Roman" w:hAnsi="Times New Roman" w:cs="Times New Roman"/>
          <w:lang w:val="en-GB"/>
        </w:rPr>
        <w:t>professional ethical obligations</w:t>
      </w:r>
      <w:r w:rsidR="008500BF" w:rsidRPr="00311B33">
        <w:rPr>
          <w:rFonts w:ascii="Times New Roman" w:hAnsi="Times New Roman" w:cs="Times New Roman"/>
          <w:lang w:val="en-GB"/>
        </w:rPr>
        <w:t xml:space="preserve">. Moreover, they are subject to a hierarchical </w:t>
      </w:r>
      <w:r w:rsidR="009A4463" w:rsidRPr="00311B33">
        <w:rPr>
          <w:rFonts w:ascii="Times New Roman" w:hAnsi="Times New Roman" w:cs="Times New Roman"/>
          <w:lang w:val="en-GB"/>
        </w:rPr>
        <w:t xml:space="preserve">employment </w:t>
      </w:r>
      <w:r w:rsidR="009A4463" w:rsidRPr="00311B33">
        <w:rPr>
          <w:rFonts w:ascii="Times New Roman" w:hAnsi="Times New Roman" w:cs="Times New Roman"/>
          <w:lang w:val="en-GB"/>
        </w:rPr>
        <w:lastRenderedPageBreak/>
        <w:t>relationship.</w:t>
      </w:r>
      <w:r w:rsidR="009A4463" w:rsidRPr="00311B33">
        <w:rPr>
          <w:rStyle w:val="Appelnotedebasdep"/>
          <w:rFonts w:ascii="Times New Roman" w:hAnsi="Times New Roman" w:cs="Times New Roman"/>
          <w:lang w:val="en-GB"/>
        </w:rPr>
        <w:footnoteReference w:id="29"/>
      </w:r>
      <w:r w:rsidRPr="00311B33">
        <w:rPr>
          <w:rFonts w:ascii="Times New Roman" w:hAnsi="Times New Roman" w:cs="Times New Roman"/>
          <w:lang w:val="en-GB"/>
        </w:rPr>
        <w:t xml:space="preserve"> Hence the Court has taken the </w:t>
      </w:r>
      <w:r w:rsidR="008500BF" w:rsidRPr="00311B33">
        <w:rPr>
          <w:rFonts w:ascii="Times New Roman" w:hAnsi="Times New Roman" w:cs="Times New Roman"/>
          <w:lang w:val="en-GB"/>
        </w:rPr>
        <w:t xml:space="preserve">view </w:t>
      </w:r>
      <w:r w:rsidRPr="00311B33">
        <w:rPr>
          <w:rFonts w:ascii="Times New Roman" w:hAnsi="Times New Roman" w:cs="Times New Roman"/>
          <w:lang w:val="en-GB"/>
        </w:rPr>
        <w:t>that</w:t>
      </w:r>
      <w:r w:rsidR="007F32F9" w:rsidRPr="00311B33">
        <w:rPr>
          <w:rFonts w:ascii="Times New Roman" w:hAnsi="Times New Roman" w:cs="Times New Roman"/>
          <w:lang w:val="en-GB"/>
        </w:rPr>
        <w:t xml:space="preserve"> in-house counsels</w:t>
      </w:r>
      <w:r w:rsidRPr="00311B33">
        <w:rPr>
          <w:rFonts w:ascii="Times New Roman" w:hAnsi="Times New Roman" w:cs="Times New Roman"/>
          <w:lang w:val="en-GB"/>
        </w:rPr>
        <w:t xml:space="preserve"> cannot be deemed</w:t>
      </w:r>
      <w:r w:rsidR="008500BF" w:rsidRPr="00311B33">
        <w:rPr>
          <w:rFonts w:ascii="Times New Roman" w:hAnsi="Times New Roman" w:cs="Times New Roman"/>
          <w:lang w:val="en-GB"/>
        </w:rPr>
        <w:t xml:space="preserve"> independent.</w:t>
      </w:r>
      <w:r w:rsidR="0011426F" w:rsidRPr="00311B33">
        <w:rPr>
          <w:rFonts w:ascii="Times New Roman" w:hAnsi="Times New Roman" w:cs="Times New Roman"/>
          <w:lang w:val="en-GB"/>
        </w:rPr>
        <w:t xml:space="preserve"> </w:t>
      </w:r>
    </w:p>
    <w:p w:rsidR="009A4463" w:rsidRPr="00311B33" w:rsidRDefault="009A4463" w:rsidP="0082443E">
      <w:pPr>
        <w:jc w:val="both"/>
        <w:rPr>
          <w:rFonts w:ascii="Times New Roman" w:hAnsi="Times New Roman" w:cs="Times New Roman"/>
          <w:lang w:val="en-GB"/>
        </w:rPr>
      </w:pPr>
    </w:p>
    <w:p w:rsidR="009A4463" w:rsidRPr="00311B33" w:rsidRDefault="00B8341D" w:rsidP="0082443E">
      <w:pPr>
        <w:jc w:val="both"/>
        <w:rPr>
          <w:rFonts w:ascii="Times New Roman" w:hAnsi="Times New Roman" w:cs="Times New Roman"/>
          <w:lang w:val="en-GB"/>
        </w:rPr>
      </w:pPr>
      <w:r w:rsidRPr="00311B33">
        <w:rPr>
          <w:rFonts w:ascii="Times New Roman" w:hAnsi="Times New Roman" w:cs="Times New Roman"/>
          <w:lang w:val="en-GB"/>
        </w:rPr>
        <w:t>In-house lawyers have</w:t>
      </w:r>
      <w:r w:rsidR="00EF6D25" w:rsidRPr="00311B33">
        <w:rPr>
          <w:rFonts w:ascii="Times New Roman" w:hAnsi="Times New Roman" w:cs="Times New Roman"/>
          <w:lang w:val="en-GB"/>
        </w:rPr>
        <w:t xml:space="preserve"> criticized this case-law.</w:t>
      </w:r>
      <w:r w:rsidR="00631623" w:rsidRPr="00311B33">
        <w:rPr>
          <w:rStyle w:val="Appelnotedebasdep"/>
          <w:rFonts w:ascii="Times New Roman" w:hAnsi="Times New Roman" w:cs="Times New Roman"/>
          <w:lang w:val="en-GB"/>
        </w:rPr>
        <w:footnoteReference w:id="30"/>
      </w:r>
      <w:r w:rsidR="00EF6D25" w:rsidRPr="00311B33">
        <w:rPr>
          <w:rFonts w:ascii="Times New Roman" w:hAnsi="Times New Roman" w:cs="Times New Roman"/>
          <w:lang w:val="en-GB"/>
        </w:rPr>
        <w:t xml:space="preserve"> </w:t>
      </w:r>
      <w:r w:rsidR="00B15F8A" w:rsidRPr="00311B33">
        <w:rPr>
          <w:rFonts w:ascii="Times New Roman" w:hAnsi="Times New Roman" w:cs="Times New Roman"/>
          <w:lang w:val="en-GB"/>
        </w:rPr>
        <w:t>The</w:t>
      </w:r>
      <w:r w:rsidR="00B15F8A">
        <w:rPr>
          <w:rFonts w:ascii="Times New Roman" w:hAnsi="Times New Roman" w:cs="Times New Roman"/>
          <w:lang w:val="en-GB"/>
        </w:rPr>
        <w:t>ir</w:t>
      </w:r>
      <w:r w:rsidR="00B15F8A" w:rsidRPr="00311B33">
        <w:rPr>
          <w:rFonts w:ascii="Times New Roman" w:hAnsi="Times New Roman" w:cs="Times New Roman"/>
          <w:lang w:val="en-GB"/>
        </w:rPr>
        <w:t xml:space="preserve"> </w:t>
      </w:r>
      <w:r w:rsidR="00B15F8A">
        <w:rPr>
          <w:rFonts w:ascii="Times New Roman" w:hAnsi="Times New Roman" w:cs="Times New Roman"/>
          <w:lang w:val="en-GB"/>
        </w:rPr>
        <w:t xml:space="preserve">concern is </w:t>
      </w:r>
      <w:r w:rsidR="00EF6D25" w:rsidRPr="00311B33">
        <w:rPr>
          <w:rFonts w:ascii="Times New Roman" w:hAnsi="Times New Roman" w:cs="Times New Roman"/>
          <w:lang w:val="en-GB"/>
        </w:rPr>
        <w:t xml:space="preserve">that </w:t>
      </w:r>
      <w:r w:rsidR="002920C0" w:rsidRPr="00311B33">
        <w:rPr>
          <w:rFonts w:ascii="Times New Roman" w:hAnsi="Times New Roman" w:cs="Times New Roman"/>
          <w:lang w:val="en-GB"/>
        </w:rPr>
        <w:t xml:space="preserve">their </w:t>
      </w:r>
      <w:r w:rsidR="00722F93" w:rsidRPr="00311B33">
        <w:rPr>
          <w:rFonts w:ascii="Times New Roman" w:hAnsi="Times New Roman" w:cs="Times New Roman"/>
          <w:lang w:val="en-GB"/>
        </w:rPr>
        <w:t xml:space="preserve">role in the </w:t>
      </w:r>
      <w:r w:rsidR="00B15F8A">
        <w:rPr>
          <w:rFonts w:ascii="Times New Roman" w:hAnsi="Times New Roman" w:cs="Times New Roman"/>
          <w:lang w:val="en-GB"/>
        </w:rPr>
        <w:t xml:space="preserve">procedure </w:t>
      </w:r>
      <w:r w:rsidR="00722F93" w:rsidRPr="00311B33">
        <w:rPr>
          <w:rFonts w:ascii="Times New Roman" w:hAnsi="Times New Roman" w:cs="Times New Roman"/>
          <w:lang w:val="en-GB"/>
        </w:rPr>
        <w:t xml:space="preserve">– </w:t>
      </w:r>
      <w:r w:rsidR="002920C0" w:rsidRPr="00311B33">
        <w:rPr>
          <w:rFonts w:ascii="Times New Roman" w:hAnsi="Times New Roman" w:cs="Times New Roman"/>
          <w:lang w:val="en-GB"/>
        </w:rPr>
        <w:t>which include</w:t>
      </w:r>
      <w:r w:rsidR="00722F93" w:rsidRPr="00311B33">
        <w:rPr>
          <w:rFonts w:ascii="Times New Roman" w:hAnsi="Times New Roman" w:cs="Times New Roman"/>
          <w:lang w:val="en-GB"/>
        </w:rPr>
        <w:t>s</w:t>
      </w:r>
      <w:r w:rsidR="002920C0" w:rsidRPr="00311B33">
        <w:rPr>
          <w:rFonts w:ascii="Times New Roman" w:hAnsi="Times New Roman" w:cs="Times New Roman"/>
          <w:lang w:val="en-GB"/>
        </w:rPr>
        <w:t xml:space="preserve"> the </w:t>
      </w:r>
      <w:r w:rsidR="00B252DD" w:rsidRPr="00311B33">
        <w:rPr>
          <w:rFonts w:ascii="Times New Roman" w:hAnsi="Times New Roman" w:cs="Times New Roman"/>
          <w:lang w:val="en-GB"/>
        </w:rPr>
        <w:t xml:space="preserve">free </w:t>
      </w:r>
      <w:r w:rsidR="002920C0" w:rsidRPr="00311B33">
        <w:rPr>
          <w:rFonts w:ascii="Times New Roman" w:hAnsi="Times New Roman" w:cs="Times New Roman"/>
          <w:lang w:val="en-GB"/>
        </w:rPr>
        <w:t>cho</w:t>
      </w:r>
      <w:r w:rsidR="00722F93" w:rsidRPr="00311B33">
        <w:rPr>
          <w:rFonts w:ascii="Times New Roman" w:hAnsi="Times New Roman" w:cs="Times New Roman"/>
          <w:lang w:val="en-GB"/>
        </w:rPr>
        <w:t>ice</w:t>
      </w:r>
      <w:r w:rsidR="002920C0" w:rsidRPr="00311B33">
        <w:rPr>
          <w:rFonts w:ascii="Times New Roman" w:hAnsi="Times New Roman" w:cs="Times New Roman"/>
          <w:lang w:val="en-GB"/>
        </w:rPr>
        <w:t xml:space="preserve"> </w:t>
      </w:r>
      <w:r w:rsidR="00722F93" w:rsidRPr="00311B33">
        <w:rPr>
          <w:rFonts w:ascii="Times New Roman" w:hAnsi="Times New Roman" w:cs="Times New Roman"/>
          <w:lang w:val="en-GB"/>
        </w:rPr>
        <w:t xml:space="preserve">of </w:t>
      </w:r>
      <w:r w:rsidR="002920C0" w:rsidRPr="00311B33">
        <w:rPr>
          <w:rFonts w:ascii="Times New Roman" w:hAnsi="Times New Roman" w:cs="Times New Roman"/>
          <w:lang w:val="en-GB"/>
        </w:rPr>
        <w:t>a lawyer (in-house or external) to provide legal advice</w:t>
      </w:r>
      <w:r w:rsidR="00722F93" w:rsidRPr="00311B33">
        <w:rPr>
          <w:rFonts w:ascii="Times New Roman" w:hAnsi="Times New Roman" w:cs="Times New Roman"/>
          <w:lang w:val="en-GB"/>
        </w:rPr>
        <w:t xml:space="preserve"> –</w:t>
      </w:r>
      <w:r w:rsidR="002920C0" w:rsidRPr="00311B33">
        <w:rPr>
          <w:rFonts w:ascii="Times New Roman" w:hAnsi="Times New Roman" w:cs="Times New Roman"/>
          <w:lang w:val="en-GB"/>
        </w:rPr>
        <w:t xml:space="preserve"> </w:t>
      </w:r>
      <w:r w:rsidR="00722F93" w:rsidRPr="00311B33">
        <w:rPr>
          <w:rFonts w:ascii="Times New Roman" w:hAnsi="Times New Roman" w:cs="Times New Roman"/>
          <w:lang w:val="en-GB"/>
        </w:rPr>
        <w:t xml:space="preserve">might be </w:t>
      </w:r>
      <w:r w:rsidR="00B15F8A">
        <w:rPr>
          <w:rFonts w:ascii="Times New Roman" w:hAnsi="Times New Roman" w:cs="Times New Roman"/>
          <w:lang w:val="en-GB"/>
        </w:rPr>
        <w:t>marginalized</w:t>
      </w:r>
      <w:r w:rsidR="00EF6D25" w:rsidRPr="00311B33">
        <w:rPr>
          <w:rFonts w:ascii="Times New Roman" w:hAnsi="Times New Roman" w:cs="Times New Roman"/>
          <w:lang w:val="en-GB"/>
        </w:rPr>
        <w:t xml:space="preserve">. </w:t>
      </w:r>
      <w:r w:rsidR="00B15F8A">
        <w:rPr>
          <w:rFonts w:ascii="Times New Roman" w:hAnsi="Times New Roman" w:cs="Times New Roman"/>
          <w:lang w:val="en-GB"/>
        </w:rPr>
        <w:t xml:space="preserve">The Court has to some extent heard those concerns, and </w:t>
      </w:r>
      <w:r w:rsidR="00EF6D25" w:rsidRPr="00311B33">
        <w:rPr>
          <w:rFonts w:ascii="Times New Roman" w:hAnsi="Times New Roman" w:cs="Times New Roman"/>
          <w:lang w:val="en-GB"/>
        </w:rPr>
        <w:t xml:space="preserve">recognized that </w:t>
      </w:r>
      <w:r w:rsidRPr="00311B33">
        <w:rPr>
          <w:rFonts w:ascii="Times New Roman" w:hAnsi="Times New Roman" w:cs="Times New Roman"/>
          <w:lang w:val="en-GB"/>
        </w:rPr>
        <w:t xml:space="preserve">two types of </w:t>
      </w:r>
      <w:r w:rsidR="009A4463" w:rsidRPr="00311B33">
        <w:rPr>
          <w:rFonts w:ascii="Times New Roman" w:hAnsi="Times New Roman" w:cs="Times New Roman"/>
          <w:lang w:val="en-GB"/>
        </w:rPr>
        <w:t>doc</w:t>
      </w:r>
      <w:r w:rsidR="00A350CC" w:rsidRPr="00311B33">
        <w:rPr>
          <w:rFonts w:ascii="Times New Roman" w:hAnsi="Times New Roman" w:cs="Times New Roman"/>
          <w:lang w:val="en-GB"/>
        </w:rPr>
        <w:t>uments</w:t>
      </w:r>
      <w:r w:rsidR="0011426F" w:rsidRPr="00311B33">
        <w:rPr>
          <w:rFonts w:ascii="Times New Roman" w:hAnsi="Times New Roman" w:cs="Times New Roman"/>
          <w:lang w:val="en-GB"/>
        </w:rPr>
        <w:t xml:space="preserve"> prepared </w:t>
      </w:r>
      <w:r w:rsidR="008500BF" w:rsidRPr="00311B33">
        <w:rPr>
          <w:rFonts w:ascii="Times New Roman" w:hAnsi="Times New Roman" w:cs="Times New Roman"/>
          <w:lang w:val="en-GB"/>
        </w:rPr>
        <w:t xml:space="preserve">by </w:t>
      </w:r>
      <w:r w:rsidR="00A350CC" w:rsidRPr="00311B33">
        <w:rPr>
          <w:rFonts w:ascii="Times New Roman" w:hAnsi="Times New Roman" w:cs="Times New Roman"/>
          <w:lang w:val="en-GB"/>
        </w:rPr>
        <w:t xml:space="preserve">in-house </w:t>
      </w:r>
      <w:r w:rsidR="00CE7832" w:rsidRPr="00311B33">
        <w:rPr>
          <w:rFonts w:ascii="Times New Roman" w:hAnsi="Times New Roman" w:cs="Times New Roman"/>
          <w:lang w:val="en-GB"/>
        </w:rPr>
        <w:t xml:space="preserve">attorneys </w:t>
      </w:r>
      <w:r w:rsidR="008500BF" w:rsidRPr="00311B33">
        <w:rPr>
          <w:rFonts w:ascii="Times New Roman" w:hAnsi="Times New Roman" w:cs="Times New Roman"/>
          <w:lang w:val="en-GB"/>
        </w:rPr>
        <w:t>may</w:t>
      </w:r>
      <w:r w:rsidR="0011426F" w:rsidRPr="00311B33">
        <w:rPr>
          <w:rFonts w:ascii="Times New Roman" w:hAnsi="Times New Roman" w:cs="Times New Roman"/>
          <w:lang w:val="en-GB"/>
        </w:rPr>
        <w:t xml:space="preserve"> exceptionally</w:t>
      </w:r>
      <w:r w:rsidR="008500BF" w:rsidRPr="00311B33">
        <w:rPr>
          <w:rFonts w:ascii="Times New Roman" w:hAnsi="Times New Roman" w:cs="Times New Roman"/>
          <w:lang w:val="en-GB"/>
        </w:rPr>
        <w:t xml:space="preserve"> benefit </w:t>
      </w:r>
      <w:r w:rsidRPr="00311B33">
        <w:rPr>
          <w:rFonts w:ascii="Times New Roman" w:hAnsi="Times New Roman" w:cs="Times New Roman"/>
          <w:lang w:val="en-GB"/>
        </w:rPr>
        <w:t>from the privilege</w:t>
      </w:r>
      <w:r w:rsidR="00722F93" w:rsidRPr="00311B33">
        <w:rPr>
          <w:rFonts w:ascii="Times New Roman" w:hAnsi="Times New Roman" w:cs="Times New Roman"/>
          <w:lang w:val="en-GB"/>
        </w:rPr>
        <w:t xml:space="preserve">. </w:t>
      </w:r>
      <w:r w:rsidR="00B15F8A">
        <w:rPr>
          <w:rFonts w:ascii="Times New Roman" w:hAnsi="Times New Roman" w:cs="Times New Roman"/>
          <w:lang w:val="en-GB"/>
        </w:rPr>
        <w:t>Those documents</w:t>
      </w:r>
      <w:r w:rsidR="00B15F8A" w:rsidRPr="00311B33">
        <w:rPr>
          <w:rFonts w:ascii="Times New Roman" w:hAnsi="Times New Roman" w:cs="Times New Roman"/>
          <w:lang w:val="en-GB"/>
        </w:rPr>
        <w:t xml:space="preserve"> </w:t>
      </w:r>
      <w:r w:rsidR="00722F93" w:rsidRPr="00311B33">
        <w:rPr>
          <w:rFonts w:ascii="Times New Roman" w:hAnsi="Times New Roman" w:cs="Times New Roman"/>
          <w:lang w:val="en-GB"/>
        </w:rPr>
        <w:t>are,</w:t>
      </w:r>
      <w:r w:rsidR="009A4463" w:rsidRPr="00311B33">
        <w:rPr>
          <w:rFonts w:ascii="Times New Roman" w:hAnsi="Times New Roman" w:cs="Times New Roman"/>
          <w:lang w:val="en-GB"/>
        </w:rPr>
        <w:t xml:space="preserve"> </w:t>
      </w:r>
      <w:r w:rsidR="00722F93" w:rsidRPr="00311B33">
        <w:rPr>
          <w:rFonts w:ascii="Times New Roman" w:hAnsi="Times New Roman" w:cs="Times New Roman"/>
          <w:lang w:val="en-GB"/>
        </w:rPr>
        <w:t xml:space="preserve">first, </w:t>
      </w:r>
      <w:r w:rsidR="00B15F8A">
        <w:rPr>
          <w:rFonts w:ascii="Times New Roman" w:hAnsi="Times New Roman" w:cs="Times New Roman"/>
          <w:lang w:val="en-GB"/>
        </w:rPr>
        <w:t xml:space="preserve">the </w:t>
      </w:r>
      <w:r w:rsidR="009A4463" w:rsidRPr="00311B33">
        <w:rPr>
          <w:rFonts w:ascii="Times New Roman" w:hAnsi="Times New Roman" w:cs="Times New Roman"/>
          <w:lang w:val="en-GB"/>
        </w:rPr>
        <w:t>internal note</w:t>
      </w:r>
      <w:r w:rsidRPr="00311B33">
        <w:rPr>
          <w:rFonts w:ascii="Times New Roman" w:hAnsi="Times New Roman" w:cs="Times New Roman"/>
          <w:lang w:val="en-GB"/>
        </w:rPr>
        <w:t>s</w:t>
      </w:r>
      <w:r w:rsidR="009A4463" w:rsidRPr="00311B33">
        <w:rPr>
          <w:rFonts w:ascii="Times New Roman" w:hAnsi="Times New Roman" w:cs="Times New Roman"/>
          <w:lang w:val="en-GB"/>
        </w:rPr>
        <w:t xml:space="preserve"> for the purpose</w:t>
      </w:r>
      <w:r w:rsidR="0011426F" w:rsidRPr="00311B33">
        <w:rPr>
          <w:rFonts w:ascii="Times New Roman" w:hAnsi="Times New Roman" w:cs="Times New Roman"/>
          <w:lang w:val="en-GB"/>
        </w:rPr>
        <w:t xml:space="preserve"> </w:t>
      </w:r>
      <w:r w:rsidR="003A4ADD" w:rsidRPr="00311B33">
        <w:rPr>
          <w:rFonts w:ascii="Times New Roman" w:hAnsi="Times New Roman" w:cs="Times New Roman"/>
          <w:lang w:val="en-GB"/>
        </w:rPr>
        <w:t>of seeking external legal advice in the exercise of the undertaking’s rights of defence</w:t>
      </w:r>
      <w:r w:rsidR="0011426F" w:rsidRPr="00311B33">
        <w:rPr>
          <w:rStyle w:val="Appelnotedebasdep"/>
          <w:rFonts w:ascii="Times New Roman" w:hAnsi="Times New Roman" w:cs="Times New Roman"/>
          <w:lang w:val="en-GB"/>
        </w:rPr>
        <w:footnoteReference w:id="31"/>
      </w:r>
      <w:r w:rsidR="0011426F" w:rsidRPr="00311B33">
        <w:rPr>
          <w:rFonts w:ascii="Times New Roman" w:hAnsi="Times New Roman" w:cs="Times New Roman"/>
          <w:lang w:val="en-GB"/>
        </w:rPr>
        <w:t xml:space="preserve"> </w:t>
      </w:r>
      <w:r w:rsidR="00CE7832" w:rsidRPr="00311B33">
        <w:rPr>
          <w:rFonts w:ascii="Times New Roman" w:hAnsi="Times New Roman" w:cs="Times New Roman"/>
          <w:lang w:val="en-GB"/>
        </w:rPr>
        <w:t xml:space="preserve">and, </w:t>
      </w:r>
      <w:r w:rsidR="00722F93" w:rsidRPr="00311B33">
        <w:rPr>
          <w:rFonts w:ascii="Times New Roman" w:hAnsi="Times New Roman" w:cs="Times New Roman"/>
          <w:lang w:val="en-GB"/>
        </w:rPr>
        <w:t>s</w:t>
      </w:r>
      <w:r w:rsidR="00A350CC" w:rsidRPr="00311B33">
        <w:rPr>
          <w:rFonts w:ascii="Times New Roman" w:hAnsi="Times New Roman" w:cs="Times New Roman"/>
          <w:lang w:val="en-GB"/>
        </w:rPr>
        <w:t xml:space="preserve">econd, </w:t>
      </w:r>
      <w:r w:rsidR="00B15F8A">
        <w:rPr>
          <w:rFonts w:ascii="Times New Roman" w:hAnsi="Times New Roman" w:cs="Times New Roman"/>
          <w:lang w:val="en-GB"/>
        </w:rPr>
        <w:t xml:space="preserve">the </w:t>
      </w:r>
      <w:r w:rsidR="009A4463" w:rsidRPr="00311B33">
        <w:rPr>
          <w:rFonts w:ascii="Times New Roman" w:hAnsi="Times New Roman" w:cs="Times New Roman"/>
          <w:lang w:val="en-GB"/>
        </w:rPr>
        <w:t>preparatory document</w:t>
      </w:r>
      <w:r w:rsidRPr="00311B33">
        <w:rPr>
          <w:rFonts w:ascii="Times New Roman" w:hAnsi="Times New Roman" w:cs="Times New Roman"/>
          <w:lang w:val="en-GB"/>
        </w:rPr>
        <w:t>s</w:t>
      </w:r>
      <w:r w:rsidR="009A4463" w:rsidRPr="00311B33">
        <w:rPr>
          <w:rFonts w:ascii="Times New Roman" w:hAnsi="Times New Roman" w:cs="Times New Roman"/>
          <w:lang w:val="en-GB"/>
        </w:rPr>
        <w:t xml:space="preserve"> </w:t>
      </w:r>
      <w:r w:rsidR="0011426F" w:rsidRPr="00311B33">
        <w:rPr>
          <w:rFonts w:ascii="Times New Roman" w:hAnsi="Times New Roman" w:cs="Times New Roman"/>
          <w:lang w:val="en-GB"/>
        </w:rPr>
        <w:t xml:space="preserve">established </w:t>
      </w:r>
      <w:r w:rsidR="009A4463" w:rsidRPr="00311B33">
        <w:rPr>
          <w:rFonts w:ascii="Times New Roman" w:hAnsi="Times New Roman" w:cs="Times New Roman"/>
          <w:lang w:val="en-GB"/>
        </w:rPr>
        <w:t>exclusively for the purpose of seeking legal advice from a</w:t>
      </w:r>
      <w:r w:rsidR="0011426F" w:rsidRPr="00311B33">
        <w:rPr>
          <w:rFonts w:ascii="Times New Roman" w:hAnsi="Times New Roman" w:cs="Times New Roman"/>
          <w:lang w:val="en-GB"/>
        </w:rPr>
        <w:t>n external</w:t>
      </w:r>
      <w:r w:rsidR="009A4463" w:rsidRPr="00311B33">
        <w:rPr>
          <w:rFonts w:ascii="Times New Roman" w:hAnsi="Times New Roman" w:cs="Times New Roman"/>
          <w:lang w:val="en-GB"/>
        </w:rPr>
        <w:t xml:space="preserve"> lawyer in exercise of the rights of defence.</w:t>
      </w:r>
      <w:r w:rsidR="009A4463" w:rsidRPr="00311B33">
        <w:rPr>
          <w:rStyle w:val="Appelnotedebasdep"/>
          <w:rFonts w:ascii="Times New Roman" w:hAnsi="Times New Roman" w:cs="Times New Roman"/>
          <w:lang w:val="en-GB"/>
        </w:rPr>
        <w:footnoteReference w:id="32"/>
      </w:r>
      <w:r w:rsidR="009C4940" w:rsidRPr="00311B33">
        <w:rPr>
          <w:rFonts w:ascii="Times New Roman" w:hAnsi="Times New Roman" w:cs="Times New Roman"/>
          <w:lang w:val="en-GB"/>
        </w:rPr>
        <w:t xml:space="preserve"> </w:t>
      </w:r>
      <w:r w:rsidR="00B252DD" w:rsidRPr="00311B33">
        <w:rPr>
          <w:rFonts w:ascii="Times New Roman" w:hAnsi="Times New Roman" w:cs="Times New Roman"/>
          <w:lang w:val="en-GB"/>
        </w:rPr>
        <w:t xml:space="preserve"> </w:t>
      </w:r>
    </w:p>
    <w:p w:rsidR="008E625A" w:rsidRPr="00311B33" w:rsidRDefault="008E625A" w:rsidP="0082443E">
      <w:pPr>
        <w:jc w:val="both"/>
        <w:rPr>
          <w:rFonts w:ascii="Times New Roman" w:hAnsi="Times New Roman" w:cs="Times New Roman"/>
          <w:lang w:val="en-GB"/>
        </w:rPr>
      </w:pPr>
    </w:p>
    <w:p w:rsidR="003101B8" w:rsidRPr="00311B33" w:rsidRDefault="009B1657" w:rsidP="003101B8">
      <w:pPr>
        <w:jc w:val="both"/>
        <w:rPr>
          <w:rFonts w:ascii="Times New Roman" w:hAnsi="Times New Roman" w:cs="Times New Roman"/>
          <w:lang w:val="en-GB"/>
        </w:rPr>
      </w:pPr>
      <w:r w:rsidRPr="00246F56">
        <w:rPr>
          <w:rFonts w:ascii="Times New Roman" w:hAnsi="Times New Roman" w:cs="Times New Roman"/>
          <w:b/>
          <w:lang w:val="en-GB"/>
        </w:rPr>
        <w:t>Sanction</w:t>
      </w:r>
      <w:r w:rsidR="008E625A" w:rsidRPr="00311B33">
        <w:rPr>
          <w:rFonts w:ascii="Times New Roman" w:hAnsi="Times New Roman" w:cs="Times New Roman"/>
          <w:b/>
          <w:lang w:val="en-GB"/>
        </w:rPr>
        <w:t>s</w:t>
      </w:r>
      <w:r w:rsidR="003101B8" w:rsidRPr="00311B33">
        <w:rPr>
          <w:rFonts w:ascii="Times New Roman" w:hAnsi="Times New Roman" w:cs="Times New Roman"/>
          <w:lang w:val="en-GB"/>
        </w:rPr>
        <w:t xml:space="preserve"> – The right to effectively participate to proceedings is not absolute. </w:t>
      </w:r>
      <w:r w:rsidR="00631623" w:rsidRPr="00311B33">
        <w:rPr>
          <w:rFonts w:ascii="Times New Roman" w:hAnsi="Times New Roman" w:cs="Times New Roman"/>
          <w:lang w:val="en-GB"/>
        </w:rPr>
        <w:t xml:space="preserve">Whilst in practice </w:t>
      </w:r>
      <w:r w:rsidR="003101B8" w:rsidRPr="00311B33">
        <w:rPr>
          <w:rFonts w:ascii="Times New Roman" w:hAnsi="Times New Roman" w:cs="Times New Roman"/>
          <w:lang w:val="en-GB"/>
        </w:rPr>
        <w:t>the Commission</w:t>
      </w:r>
      <w:r w:rsidR="00631623" w:rsidRPr="00311B33">
        <w:rPr>
          <w:rFonts w:ascii="Times New Roman" w:hAnsi="Times New Roman" w:cs="Times New Roman"/>
          <w:lang w:val="en-GB"/>
        </w:rPr>
        <w:t xml:space="preserve"> consistently </w:t>
      </w:r>
      <w:r w:rsidR="003101B8" w:rsidRPr="00311B33">
        <w:rPr>
          <w:rFonts w:ascii="Times New Roman" w:hAnsi="Times New Roman" w:cs="Times New Roman"/>
          <w:lang w:val="en-GB"/>
        </w:rPr>
        <w:t>allow</w:t>
      </w:r>
      <w:r w:rsidR="00631623" w:rsidRPr="00311B33">
        <w:rPr>
          <w:rFonts w:ascii="Times New Roman" w:hAnsi="Times New Roman" w:cs="Times New Roman"/>
          <w:lang w:val="en-GB"/>
        </w:rPr>
        <w:t>s</w:t>
      </w:r>
      <w:r w:rsidR="003101B8" w:rsidRPr="00311B33">
        <w:rPr>
          <w:rFonts w:ascii="Times New Roman" w:hAnsi="Times New Roman" w:cs="Times New Roman"/>
          <w:lang w:val="en-GB"/>
        </w:rPr>
        <w:t xml:space="preserve"> firms to consult a lawyer and/or ask for its presence, the Court has long held that the presence of a lawyer is </w:t>
      </w:r>
      <w:r w:rsidRPr="00246F56">
        <w:rPr>
          <w:rFonts w:ascii="Times New Roman" w:hAnsi="Times New Roman" w:cs="Times New Roman"/>
          <w:lang w:val="en-GB"/>
        </w:rPr>
        <w:t>not a requirement for the validity of inspections.</w:t>
      </w:r>
      <w:r w:rsidRPr="00246F56">
        <w:rPr>
          <w:rStyle w:val="Appelnotedebasdep"/>
          <w:rFonts w:ascii="Times New Roman" w:hAnsi="Times New Roman" w:cs="Times New Roman"/>
          <w:lang w:val="en-GB"/>
        </w:rPr>
        <w:footnoteReference w:id="33"/>
      </w:r>
      <w:r w:rsidR="003101B8" w:rsidRPr="00311B33">
        <w:rPr>
          <w:rFonts w:ascii="Times New Roman" w:hAnsi="Times New Roman" w:cs="Times New Roman"/>
          <w:lang w:val="en-GB"/>
        </w:rPr>
        <w:t xml:space="preserve"> </w:t>
      </w:r>
      <w:r w:rsidR="005F209E" w:rsidRPr="00311B33">
        <w:rPr>
          <w:rFonts w:ascii="Times New Roman" w:hAnsi="Times New Roman" w:cs="Times New Roman"/>
          <w:lang w:val="en-GB"/>
        </w:rPr>
        <w:t xml:space="preserve">As already </w:t>
      </w:r>
      <w:r w:rsidR="005E4C30" w:rsidRPr="00311B33">
        <w:rPr>
          <w:rFonts w:ascii="Times New Roman" w:hAnsi="Times New Roman" w:cs="Times New Roman"/>
          <w:lang w:val="en-GB"/>
        </w:rPr>
        <w:t>explained</w:t>
      </w:r>
      <w:r w:rsidR="005F209E" w:rsidRPr="00311B33">
        <w:rPr>
          <w:rFonts w:ascii="Times New Roman" w:hAnsi="Times New Roman" w:cs="Times New Roman"/>
          <w:lang w:val="en-GB"/>
        </w:rPr>
        <w:t xml:space="preserve">, </w:t>
      </w:r>
      <w:r w:rsidR="005E4C30" w:rsidRPr="00311B33">
        <w:rPr>
          <w:rFonts w:ascii="Times New Roman" w:hAnsi="Times New Roman" w:cs="Times New Roman"/>
          <w:lang w:val="en-GB"/>
        </w:rPr>
        <w:t>uncertainties remain on whether employees have the right to be assisted by a lawyer</w:t>
      </w:r>
      <w:r w:rsidR="005F209E" w:rsidRPr="00311B33">
        <w:rPr>
          <w:rFonts w:ascii="Times New Roman" w:hAnsi="Times New Roman" w:cs="Times New Roman"/>
          <w:lang w:val="en-GB"/>
        </w:rPr>
        <w:t>. These uncertainties presumably explain</w:t>
      </w:r>
      <w:r w:rsidR="003101B8" w:rsidRPr="00311B33">
        <w:rPr>
          <w:rFonts w:ascii="Times New Roman" w:hAnsi="Times New Roman" w:cs="Times New Roman"/>
          <w:lang w:val="en-GB"/>
        </w:rPr>
        <w:t xml:space="preserve"> that legal assistance during inspections is </w:t>
      </w:r>
      <w:r w:rsidR="005E4C30" w:rsidRPr="00311B33">
        <w:rPr>
          <w:rFonts w:ascii="Times New Roman" w:hAnsi="Times New Roman" w:cs="Times New Roman"/>
          <w:lang w:val="en-GB"/>
        </w:rPr>
        <w:t xml:space="preserve">neither </w:t>
      </w:r>
      <w:r w:rsidR="003101B8" w:rsidRPr="00311B33">
        <w:rPr>
          <w:rFonts w:ascii="Times New Roman" w:hAnsi="Times New Roman" w:cs="Times New Roman"/>
          <w:lang w:val="en-GB"/>
        </w:rPr>
        <w:t xml:space="preserve">regulated </w:t>
      </w:r>
      <w:r w:rsidR="005E4C30" w:rsidRPr="00311B33">
        <w:rPr>
          <w:rFonts w:ascii="Times New Roman" w:hAnsi="Times New Roman" w:cs="Times New Roman"/>
          <w:lang w:val="en-GB"/>
        </w:rPr>
        <w:t xml:space="preserve">in </w:t>
      </w:r>
      <w:r w:rsidR="003101B8" w:rsidRPr="00311B33">
        <w:rPr>
          <w:rFonts w:ascii="Times New Roman" w:hAnsi="Times New Roman" w:cs="Times New Roman"/>
          <w:lang w:val="en-GB"/>
        </w:rPr>
        <w:t xml:space="preserve">Regulation 1/2003 </w:t>
      </w:r>
      <w:r w:rsidR="005E4C30" w:rsidRPr="00311B33">
        <w:rPr>
          <w:rFonts w:ascii="Times New Roman" w:hAnsi="Times New Roman" w:cs="Times New Roman"/>
          <w:lang w:val="en-GB"/>
        </w:rPr>
        <w:t>n</w:t>
      </w:r>
      <w:r w:rsidR="003101B8" w:rsidRPr="00311B33">
        <w:rPr>
          <w:rFonts w:ascii="Times New Roman" w:hAnsi="Times New Roman" w:cs="Times New Roman"/>
          <w:lang w:val="en-GB"/>
        </w:rPr>
        <w:t xml:space="preserve">or </w:t>
      </w:r>
      <w:r w:rsidR="005E4C30" w:rsidRPr="00311B33">
        <w:rPr>
          <w:rFonts w:ascii="Times New Roman" w:hAnsi="Times New Roman" w:cs="Times New Roman"/>
          <w:lang w:val="en-GB"/>
        </w:rPr>
        <w:t xml:space="preserve">in </w:t>
      </w:r>
      <w:r w:rsidR="003101B8" w:rsidRPr="00311B33">
        <w:rPr>
          <w:rFonts w:ascii="Times New Roman" w:hAnsi="Times New Roman" w:cs="Times New Roman"/>
          <w:lang w:val="en-GB"/>
        </w:rPr>
        <w:t xml:space="preserve">Regulation 773/2004. </w:t>
      </w:r>
    </w:p>
    <w:p w:rsidR="004037DD" w:rsidRPr="00311B33" w:rsidRDefault="004037DD" w:rsidP="0082443E">
      <w:pPr>
        <w:jc w:val="both"/>
        <w:rPr>
          <w:rFonts w:ascii="Times New Roman" w:hAnsi="Times New Roman" w:cs="Times New Roman"/>
          <w:lang w:val="en-GB"/>
        </w:rPr>
      </w:pPr>
    </w:p>
    <w:p w:rsidR="009A4463" w:rsidRPr="00311B33" w:rsidRDefault="009A4463" w:rsidP="0082443E">
      <w:pPr>
        <w:jc w:val="both"/>
        <w:rPr>
          <w:rFonts w:ascii="Times New Roman" w:hAnsi="Times New Roman" w:cs="Times New Roman"/>
          <w:lang w:val="en-GB"/>
        </w:rPr>
      </w:pPr>
    </w:p>
    <w:p w:rsidR="009A4463" w:rsidRPr="00311B33" w:rsidRDefault="00FF1FE7" w:rsidP="0082443E">
      <w:pPr>
        <w:jc w:val="both"/>
        <w:rPr>
          <w:rFonts w:ascii="Times New Roman" w:hAnsi="Times New Roman" w:cs="Times New Roman"/>
          <w:b/>
          <w:u w:val="single"/>
          <w:lang w:val="en-GB"/>
        </w:rPr>
      </w:pPr>
      <w:r w:rsidRPr="00311B33">
        <w:rPr>
          <w:rFonts w:ascii="Times New Roman" w:hAnsi="Times New Roman" w:cs="Times New Roman"/>
          <w:b/>
          <w:lang w:val="en-GB"/>
        </w:rPr>
        <w:t>II.</w:t>
      </w:r>
      <w:r w:rsidRPr="00311B33">
        <w:rPr>
          <w:rFonts w:ascii="Times New Roman" w:hAnsi="Times New Roman" w:cs="Times New Roman"/>
          <w:b/>
          <w:lang w:val="en-GB"/>
        </w:rPr>
        <w:tab/>
      </w:r>
      <w:r w:rsidR="00D1419D">
        <w:rPr>
          <w:rFonts w:ascii="Times New Roman" w:hAnsi="Times New Roman" w:cs="Times New Roman"/>
          <w:b/>
          <w:u w:val="single"/>
          <w:lang w:val="en-GB"/>
        </w:rPr>
        <w:t>R</w:t>
      </w:r>
      <w:r w:rsidR="009C4940" w:rsidRPr="00311B33">
        <w:rPr>
          <w:rFonts w:ascii="Times New Roman" w:hAnsi="Times New Roman" w:cs="Times New Roman"/>
          <w:b/>
          <w:u w:val="single"/>
          <w:lang w:val="en-GB"/>
        </w:rPr>
        <w:t xml:space="preserve">ight to </w:t>
      </w:r>
      <w:r w:rsidR="00BB2ADB" w:rsidRPr="00246F56">
        <w:rPr>
          <w:rFonts w:ascii="Times New Roman" w:hAnsi="Times New Roman" w:cs="Times New Roman"/>
          <w:b/>
          <w:u w:val="single"/>
          <w:lang w:val="en-GB"/>
        </w:rPr>
        <w:t>have cognizance to all material of importance for the resolution of the case</w:t>
      </w:r>
      <w:r w:rsidR="00BB2ADB" w:rsidRPr="00246F56">
        <w:rPr>
          <w:rFonts w:ascii="Times New Roman" w:hAnsi="Times New Roman" w:cs="Times New Roman"/>
          <w:u w:val="single"/>
          <w:lang w:val="en-GB"/>
        </w:rPr>
        <w:t xml:space="preserve"> </w:t>
      </w:r>
      <w:r w:rsidR="00080AE9" w:rsidRPr="00311B33">
        <w:rPr>
          <w:rFonts w:ascii="Times New Roman" w:hAnsi="Times New Roman" w:cs="Times New Roman"/>
          <w:b/>
          <w:u w:val="single"/>
          <w:lang w:val="en-GB"/>
        </w:rPr>
        <w:t>(also called right of access to file)</w:t>
      </w:r>
    </w:p>
    <w:p w:rsidR="009A4463" w:rsidRPr="00311B33" w:rsidRDefault="009A4463" w:rsidP="0082443E">
      <w:pPr>
        <w:jc w:val="both"/>
        <w:rPr>
          <w:rFonts w:ascii="Times New Roman" w:hAnsi="Times New Roman" w:cs="Times New Roman"/>
          <w:i/>
          <w:lang w:val="en-GB"/>
        </w:rPr>
      </w:pPr>
    </w:p>
    <w:p w:rsidR="009A4463" w:rsidRPr="00311B33" w:rsidRDefault="009B1657" w:rsidP="0082443E">
      <w:pPr>
        <w:widowControl w:val="0"/>
        <w:autoSpaceDE w:val="0"/>
        <w:autoSpaceDN w:val="0"/>
        <w:adjustRightInd w:val="0"/>
        <w:jc w:val="both"/>
        <w:rPr>
          <w:rFonts w:ascii="Times New Roman" w:hAnsi="Times New Roman" w:cs="Times New Roman"/>
          <w:lang w:val="en-US"/>
        </w:rPr>
      </w:pPr>
      <w:r w:rsidRPr="00246F56">
        <w:rPr>
          <w:rFonts w:ascii="Times New Roman" w:hAnsi="Times New Roman" w:cs="Times New Roman"/>
          <w:b/>
          <w:lang w:val="en-GB"/>
        </w:rPr>
        <w:t>Content and legal basis</w:t>
      </w:r>
      <w:r w:rsidRPr="00246F56">
        <w:rPr>
          <w:rFonts w:ascii="Times New Roman" w:hAnsi="Times New Roman" w:cs="Times New Roman"/>
          <w:b/>
          <w:lang w:val="en-US"/>
        </w:rPr>
        <w:t xml:space="preserve"> </w:t>
      </w:r>
      <w:r w:rsidR="007E3E29" w:rsidRPr="00311B33">
        <w:rPr>
          <w:rFonts w:ascii="Times New Roman" w:hAnsi="Times New Roman" w:cs="Times New Roman"/>
          <w:lang w:val="en-US"/>
        </w:rPr>
        <w:t xml:space="preserve">– </w:t>
      </w:r>
      <w:r w:rsidR="005E4C30" w:rsidRPr="00311B33">
        <w:rPr>
          <w:rFonts w:ascii="Times New Roman" w:hAnsi="Times New Roman" w:cs="Times New Roman"/>
          <w:lang w:val="en-US"/>
        </w:rPr>
        <w:t>T</w:t>
      </w:r>
      <w:r w:rsidR="00530EC6" w:rsidRPr="00311B33">
        <w:rPr>
          <w:rFonts w:ascii="Times New Roman" w:hAnsi="Times New Roman" w:cs="Times New Roman"/>
          <w:lang w:val="en-US"/>
        </w:rPr>
        <w:t>he r</w:t>
      </w:r>
      <w:r w:rsidR="00914792" w:rsidRPr="00311B33">
        <w:rPr>
          <w:rFonts w:ascii="Times New Roman" w:hAnsi="Times New Roman" w:cs="Times New Roman"/>
          <w:lang w:val="en-US"/>
        </w:rPr>
        <w:t xml:space="preserve">ight </w:t>
      </w:r>
      <w:r w:rsidR="005E4C30" w:rsidRPr="00311B33">
        <w:rPr>
          <w:rFonts w:ascii="Times New Roman" w:hAnsi="Times New Roman" w:cs="Times New Roman"/>
          <w:lang w:val="en-US"/>
        </w:rPr>
        <w:t xml:space="preserve">of access </w:t>
      </w:r>
      <w:r w:rsidR="00530EC6" w:rsidRPr="00311B33">
        <w:rPr>
          <w:rFonts w:ascii="Times New Roman" w:hAnsi="Times New Roman" w:cs="Times New Roman"/>
          <w:lang w:val="en-US"/>
        </w:rPr>
        <w:t>to file means</w:t>
      </w:r>
      <w:r w:rsidR="009A4463" w:rsidRPr="00311B33">
        <w:rPr>
          <w:rFonts w:ascii="Times New Roman" w:hAnsi="Times New Roman" w:cs="Times New Roman"/>
          <w:lang w:val="en-US"/>
        </w:rPr>
        <w:t xml:space="preserve"> that the undertaking</w:t>
      </w:r>
      <w:r w:rsidR="00436D54" w:rsidRPr="00311B33">
        <w:rPr>
          <w:rFonts w:ascii="Times New Roman" w:hAnsi="Times New Roman" w:cs="Times New Roman"/>
          <w:lang w:val="en-US"/>
        </w:rPr>
        <w:t xml:space="preserve"> under investigation</w:t>
      </w:r>
      <w:r w:rsidR="009A4463" w:rsidRPr="00311B33">
        <w:rPr>
          <w:rFonts w:ascii="Times New Roman" w:hAnsi="Times New Roman" w:cs="Times New Roman"/>
          <w:lang w:val="en-US"/>
        </w:rPr>
        <w:t xml:space="preserve"> </w:t>
      </w:r>
      <w:r w:rsidR="00436D54" w:rsidRPr="00311B33">
        <w:rPr>
          <w:rFonts w:ascii="Times New Roman" w:hAnsi="Times New Roman" w:cs="Times New Roman"/>
          <w:lang w:val="en-GB"/>
        </w:rPr>
        <w:t xml:space="preserve">has to receive the opportunity to examine all documents </w:t>
      </w:r>
      <w:r w:rsidR="005E4C30" w:rsidRPr="00311B33">
        <w:rPr>
          <w:rFonts w:ascii="Times New Roman" w:hAnsi="Times New Roman" w:cs="Times New Roman"/>
          <w:lang w:val="en-GB"/>
        </w:rPr>
        <w:t xml:space="preserve">held in the Commission file, including those that </w:t>
      </w:r>
      <w:r w:rsidR="00D356B1" w:rsidRPr="00311B33">
        <w:rPr>
          <w:rFonts w:ascii="Times New Roman" w:hAnsi="Times New Roman" w:cs="Times New Roman"/>
          <w:lang w:val="en-GB"/>
        </w:rPr>
        <w:t>can</w:t>
      </w:r>
      <w:r w:rsidR="00436D54" w:rsidRPr="00311B33">
        <w:rPr>
          <w:rFonts w:ascii="Times New Roman" w:hAnsi="Times New Roman" w:cs="Times New Roman"/>
          <w:lang w:val="en-GB"/>
        </w:rPr>
        <w:t xml:space="preserve"> be useful for its defence</w:t>
      </w:r>
      <w:r w:rsidR="005E4C30" w:rsidRPr="00311B33">
        <w:rPr>
          <w:rFonts w:ascii="Times New Roman" w:hAnsi="Times New Roman" w:cs="Times New Roman"/>
          <w:lang w:val="en-GB"/>
        </w:rPr>
        <w:t>. This is key to ensure</w:t>
      </w:r>
      <w:r w:rsidR="00436D54" w:rsidRPr="00311B33">
        <w:rPr>
          <w:rFonts w:ascii="Times New Roman" w:hAnsi="Times New Roman" w:cs="Times New Roman"/>
          <w:lang w:val="en-GB"/>
        </w:rPr>
        <w:t xml:space="preserve"> </w:t>
      </w:r>
      <w:r w:rsidR="005E4C30" w:rsidRPr="00311B33">
        <w:rPr>
          <w:rFonts w:ascii="Times New Roman" w:hAnsi="Times New Roman" w:cs="Times New Roman"/>
          <w:lang w:val="en-GB"/>
        </w:rPr>
        <w:t xml:space="preserve">that the suspected firm is </w:t>
      </w:r>
      <w:r w:rsidR="00530EC6" w:rsidRPr="00311B33">
        <w:rPr>
          <w:rFonts w:ascii="Times New Roman" w:hAnsi="Times New Roman" w:cs="Times New Roman"/>
          <w:lang w:val="en-GB"/>
        </w:rPr>
        <w:t>on equal footing</w:t>
      </w:r>
      <w:r w:rsidR="00914792" w:rsidRPr="00311B33">
        <w:rPr>
          <w:rFonts w:ascii="Times New Roman" w:hAnsi="Times New Roman" w:cs="Times New Roman"/>
          <w:lang w:val="en-GB"/>
        </w:rPr>
        <w:t xml:space="preserve"> </w:t>
      </w:r>
      <w:r w:rsidR="005E4C30" w:rsidRPr="00311B33">
        <w:rPr>
          <w:rFonts w:ascii="Times New Roman" w:hAnsi="Times New Roman" w:cs="Times New Roman"/>
          <w:lang w:val="en-GB"/>
        </w:rPr>
        <w:t xml:space="preserve">with </w:t>
      </w:r>
      <w:r w:rsidR="00914792" w:rsidRPr="00311B33">
        <w:rPr>
          <w:rFonts w:ascii="Times New Roman" w:hAnsi="Times New Roman" w:cs="Times New Roman"/>
          <w:lang w:val="en-GB"/>
        </w:rPr>
        <w:t>the Commission</w:t>
      </w:r>
      <w:r w:rsidR="009A4463" w:rsidRPr="00311B33">
        <w:rPr>
          <w:rFonts w:ascii="Times New Roman" w:hAnsi="Times New Roman" w:cs="Times New Roman"/>
          <w:lang w:val="en-US"/>
        </w:rPr>
        <w:t>.</w:t>
      </w:r>
      <w:r w:rsidR="009A4463" w:rsidRPr="00311B33">
        <w:rPr>
          <w:rStyle w:val="Appelnotedebasdep"/>
          <w:rFonts w:ascii="Times New Roman" w:hAnsi="Times New Roman" w:cs="Times New Roman"/>
          <w:lang w:val="en-US"/>
        </w:rPr>
        <w:footnoteReference w:id="34"/>
      </w:r>
      <w:r w:rsidR="00891941" w:rsidRPr="00311B33">
        <w:rPr>
          <w:rFonts w:ascii="Times New Roman" w:hAnsi="Times New Roman" w:cs="Times New Roman"/>
          <w:lang w:val="en-US"/>
        </w:rPr>
        <w:t xml:space="preserve"> </w:t>
      </w:r>
    </w:p>
    <w:p w:rsidR="009A4463" w:rsidRPr="00246F56" w:rsidRDefault="009A4463" w:rsidP="0082443E">
      <w:pPr>
        <w:jc w:val="both"/>
        <w:rPr>
          <w:rFonts w:ascii="Times New Roman" w:hAnsi="Times New Roman" w:cs="Times New Roman"/>
          <w:lang w:val="en-US"/>
        </w:rPr>
      </w:pPr>
    </w:p>
    <w:p w:rsidR="00AB7985" w:rsidRPr="00943D0B" w:rsidRDefault="00530EC6" w:rsidP="0082443E">
      <w:pPr>
        <w:jc w:val="both"/>
        <w:rPr>
          <w:rFonts w:ascii="Times New Roman" w:hAnsi="Times New Roman" w:cs="Times New Roman"/>
          <w:lang w:val="en-GB"/>
        </w:rPr>
      </w:pPr>
      <w:r w:rsidRPr="00311B33">
        <w:rPr>
          <w:rFonts w:ascii="Times New Roman" w:hAnsi="Times New Roman" w:cs="Times New Roman"/>
          <w:lang w:val="en-GB"/>
        </w:rPr>
        <w:t xml:space="preserve">The right </w:t>
      </w:r>
      <w:r w:rsidR="005E4C30" w:rsidRPr="00311B33">
        <w:rPr>
          <w:rFonts w:ascii="Times New Roman" w:hAnsi="Times New Roman" w:cs="Times New Roman"/>
          <w:lang w:val="en-GB"/>
        </w:rPr>
        <w:t xml:space="preserve">of </w:t>
      </w:r>
      <w:r w:rsidRPr="00311B33">
        <w:rPr>
          <w:rFonts w:ascii="Times New Roman" w:hAnsi="Times New Roman" w:cs="Times New Roman"/>
          <w:lang w:val="en-GB"/>
        </w:rPr>
        <w:t>access to file can be found in the Charter,</w:t>
      </w:r>
      <w:r w:rsidRPr="00311B33">
        <w:rPr>
          <w:rStyle w:val="Appelnotedebasdep"/>
          <w:rFonts w:ascii="Times New Roman" w:hAnsi="Times New Roman" w:cs="Times New Roman"/>
          <w:lang w:val="en-GB"/>
        </w:rPr>
        <w:footnoteReference w:id="35"/>
      </w:r>
      <w:r w:rsidRPr="00311B33">
        <w:rPr>
          <w:rFonts w:ascii="Times New Roman" w:hAnsi="Times New Roman" w:cs="Times New Roman"/>
          <w:lang w:val="en-GB"/>
        </w:rPr>
        <w:t xml:space="preserve"> </w:t>
      </w:r>
      <w:r w:rsidR="00943D0B">
        <w:rPr>
          <w:rFonts w:ascii="Times New Roman" w:hAnsi="Times New Roman" w:cs="Times New Roman"/>
          <w:lang w:val="en-GB"/>
        </w:rPr>
        <w:t xml:space="preserve">in the ECHR, in </w:t>
      </w:r>
      <w:r w:rsidR="00B15F8A">
        <w:rPr>
          <w:rFonts w:ascii="Times New Roman" w:hAnsi="Times New Roman" w:cs="Times New Roman"/>
          <w:lang w:val="en-GB"/>
        </w:rPr>
        <w:t xml:space="preserve">secondary </w:t>
      </w:r>
      <w:r w:rsidRPr="00311B33">
        <w:rPr>
          <w:rFonts w:ascii="Times New Roman" w:hAnsi="Times New Roman" w:cs="Times New Roman"/>
          <w:lang w:val="en-GB"/>
        </w:rPr>
        <w:t>legislation,</w:t>
      </w:r>
      <w:r w:rsidRPr="00311B33">
        <w:rPr>
          <w:rStyle w:val="Appelnotedebasdep"/>
          <w:rFonts w:ascii="Times New Roman" w:hAnsi="Times New Roman" w:cs="Times New Roman"/>
          <w:lang w:val="en-GB"/>
        </w:rPr>
        <w:footnoteReference w:id="36"/>
      </w:r>
      <w:r w:rsidRPr="00311B33">
        <w:rPr>
          <w:rFonts w:ascii="Times New Roman" w:hAnsi="Times New Roman" w:cs="Times New Roman"/>
          <w:lang w:val="en-GB"/>
        </w:rPr>
        <w:t xml:space="preserve"> </w:t>
      </w:r>
      <w:r w:rsidR="00B15F8A">
        <w:rPr>
          <w:rFonts w:ascii="Times New Roman" w:hAnsi="Times New Roman" w:cs="Times New Roman"/>
          <w:lang w:val="en-GB"/>
        </w:rPr>
        <w:t xml:space="preserve">in the </w:t>
      </w:r>
      <w:r w:rsidRPr="00311B33">
        <w:rPr>
          <w:rFonts w:ascii="Times New Roman" w:hAnsi="Times New Roman" w:cs="Times New Roman"/>
          <w:lang w:val="en-GB"/>
        </w:rPr>
        <w:t>case-law</w:t>
      </w:r>
      <w:r w:rsidRPr="00311B33">
        <w:rPr>
          <w:rStyle w:val="Appelnotedebasdep"/>
          <w:rFonts w:ascii="Times New Roman" w:hAnsi="Times New Roman" w:cs="Times New Roman"/>
          <w:lang w:val="en-GB"/>
        </w:rPr>
        <w:footnoteReference w:id="37"/>
      </w:r>
      <w:r w:rsidRPr="00311B33">
        <w:rPr>
          <w:rFonts w:ascii="Times New Roman" w:hAnsi="Times New Roman" w:cs="Times New Roman"/>
          <w:lang w:val="en-GB"/>
        </w:rPr>
        <w:t xml:space="preserve"> and </w:t>
      </w:r>
      <w:r w:rsidR="00B15F8A">
        <w:rPr>
          <w:rFonts w:ascii="Times New Roman" w:hAnsi="Times New Roman" w:cs="Times New Roman"/>
          <w:lang w:val="en-GB"/>
        </w:rPr>
        <w:t xml:space="preserve">in </w:t>
      </w:r>
      <w:r w:rsidRPr="00311B33">
        <w:rPr>
          <w:rFonts w:ascii="Times New Roman" w:hAnsi="Times New Roman" w:cs="Times New Roman"/>
          <w:lang w:val="en-GB"/>
        </w:rPr>
        <w:t>Commission’s Guidelines.</w:t>
      </w:r>
      <w:r w:rsidRPr="00311B33">
        <w:rPr>
          <w:rStyle w:val="Appelnotedebasdep"/>
          <w:rFonts w:ascii="Times New Roman" w:hAnsi="Times New Roman" w:cs="Times New Roman"/>
          <w:lang w:val="en-GB"/>
        </w:rPr>
        <w:footnoteReference w:id="38"/>
      </w:r>
      <w:r w:rsidRPr="00311B33">
        <w:rPr>
          <w:rFonts w:ascii="Times New Roman" w:hAnsi="Times New Roman" w:cs="Times New Roman"/>
          <w:lang w:val="en-GB"/>
        </w:rPr>
        <w:t xml:space="preserve"> In the Commission’s </w:t>
      </w:r>
      <w:r w:rsidR="005E4C30" w:rsidRPr="00311B33">
        <w:rPr>
          <w:rFonts w:ascii="Times New Roman" w:hAnsi="Times New Roman" w:cs="Times New Roman"/>
          <w:lang w:val="en-GB"/>
        </w:rPr>
        <w:t xml:space="preserve">view </w:t>
      </w:r>
      <w:r w:rsidRPr="00311B33">
        <w:rPr>
          <w:rFonts w:ascii="Times New Roman" w:hAnsi="Times New Roman" w:cs="Times New Roman"/>
          <w:lang w:val="en-GB"/>
        </w:rPr>
        <w:t xml:space="preserve">it </w:t>
      </w:r>
      <w:r w:rsidR="00573A63" w:rsidRPr="00311B33">
        <w:rPr>
          <w:rFonts w:ascii="Times New Roman" w:hAnsi="Times New Roman" w:cs="Times New Roman"/>
          <w:lang w:val="en-GB"/>
        </w:rPr>
        <w:t>is “</w:t>
      </w:r>
      <w:r w:rsidR="00573A63" w:rsidRPr="00311B33">
        <w:rPr>
          <w:rFonts w:ascii="Times New Roman" w:hAnsi="Times New Roman" w:cs="Times New Roman"/>
          <w:i/>
          <w:lang w:val="en-GB"/>
        </w:rPr>
        <w:t>one of the procedural guarantees intended to apply the principle of equality of arms and to protect the rights of defence</w:t>
      </w:r>
      <w:r w:rsidR="00573A63" w:rsidRPr="00311B33">
        <w:rPr>
          <w:rFonts w:ascii="Times New Roman" w:hAnsi="Times New Roman" w:cs="Times New Roman"/>
          <w:lang w:val="en-GB"/>
        </w:rPr>
        <w:t>”.</w:t>
      </w:r>
      <w:r w:rsidR="00573A63" w:rsidRPr="00311B33">
        <w:rPr>
          <w:rStyle w:val="Appelnotedebasdep"/>
          <w:rFonts w:ascii="Times New Roman" w:hAnsi="Times New Roman" w:cs="Times New Roman"/>
          <w:lang w:val="en-GB"/>
        </w:rPr>
        <w:footnoteReference w:id="39"/>
      </w:r>
      <w:r w:rsidR="00573A63" w:rsidRPr="00311B33">
        <w:rPr>
          <w:rFonts w:ascii="Times New Roman" w:hAnsi="Times New Roman" w:cs="Times New Roman"/>
          <w:lang w:val="en-GB"/>
        </w:rPr>
        <w:t xml:space="preserve"> </w:t>
      </w:r>
      <w:r w:rsidR="005E4C30" w:rsidRPr="00311B33">
        <w:rPr>
          <w:rFonts w:ascii="Times New Roman" w:hAnsi="Times New Roman" w:cs="Times New Roman"/>
          <w:lang w:val="en-GB"/>
        </w:rPr>
        <w:t xml:space="preserve">This twin rationale </w:t>
      </w:r>
      <w:r w:rsidR="00B15F8A">
        <w:rPr>
          <w:rFonts w:ascii="Times New Roman" w:hAnsi="Times New Roman" w:cs="Times New Roman"/>
          <w:lang w:val="en-GB"/>
        </w:rPr>
        <w:t xml:space="preserve">also </w:t>
      </w:r>
      <w:r w:rsidR="00C66454" w:rsidRPr="00311B33">
        <w:rPr>
          <w:rFonts w:ascii="Times New Roman" w:hAnsi="Times New Roman" w:cs="Times New Roman"/>
          <w:lang w:val="en-GB"/>
        </w:rPr>
        <w:t xml:space="preserve">pervades the case-law of the EU </w:t>
      </w:r>
      <w:r w:rsidR="00C66454" w:rsidRPr="00311B33">
        <w:rPr>
          <w:rFonts w:ascii="Times New Roman" w:hAnsi="Times New Roman" w:cs="Times New Roman"/>
          <w:lang w:val="en-GB"/>
        </w:rPr>
        <w:lastRenderedPageBreak/>
        <w:t xml:space="preserve">courts. On the one hand, the </w:t>
      </w:r>
      <w:r w:rsidR="00D25811" w:rsidRPr="00311B33">
        <w:rPr>
          <w:rFonts w:ascii="Times New Roman" w:hAnsi="Times New Roman" w:cs="Times New Roman"/>
          <w:lang w:val="en-GB"/>
        </w:rPr>
        <w:t xml:space="preserve">Court of Justice </w:t>
      </w:r>
      <w:r w:rsidR="00C66454" w:rsidRPr="00311B33">
        <w:rPr>
          <w:rFonts w:ascii="Times New Roman" w:hAnsi="Times New Roman" w:cs="Times New Roman"/>
          <w:lang w:val="en-GB"/>
        </w:rPr>
        <w:t xml:space="preserve">has stated that </w:t>
      </w:r>
      <w:r w:rsidR="00D25811" w:rsidRPr="00311B33">
        <w:rPr>
          <w:rFonts w:ascii="Times New Roman" w:hAnsi="Times New Roman" w:cs="Times New Roman"/>
          <w:lang w:val="en-GB"/>
        </w:rPr>
        <w:t>the right to have access to the Commission’s file is “</w:t>
      </w:r>
      <w:r w:rsidR="00D25811" w:rsidRPr="00311B33">
        <w:rPr>
          <w:rFonts w:ascii="Times New Roman" w:hAnsi="Times New Roman" w:cs="Times New Roman"/>
          <w:i/>
          <w:lang w:val="en-GB"/>
        </w:rPr>
        <w:t>a procedural safeguard intended to protect the rights of defence</w:t>
      </w:r>
      <w:r w:rsidR="00D25811" w:rsidRPr="00311B33">
        <w:rPr>
          <w:rFonts w:ascii="Times New Roman" w:hAnsi="Times New Roman" w:cs="Times New Roman"/>
          <w:lang w:val="en-GB"/>
        </w:rPr>
        <w:t>” and “</w:t>
      </w:r>
      <w:r w:rsidR="00D25811" w:rsidRPr="00311B33">
        <w:rPr>
          <w:rFonts w:ascii="Times New Roman" w:hAnsi="Times New Roman" w:cs="Times New Roman"/>
          <w:i/>
          <w:lang w:val="en-GB"/>
        </w:rPr>
        <w:t>an essential precondition of the effective exercise of the right to be heard</w:t>
      </w:r>
      <w:r w:rsidR="00D25811" w:rsidRPr="00311B33">
        <w:rPr>
          <w:rFonts w:ascii="Times New Roman" w:hAnsi="Times New Roman" w:cs="Times New Roman"/>
          <w:lang w:val="en-GB"/>
        </w:rPr>
        <w:t>”</w:t>
      </w:r>
      <w:r w:rsidR="00D25811" w:rsidRPr="00311B33">
        <w:rPr>
          <w:rStyle w:val="Appelnotedebasdep"/>
          <w:rFonts w:ascii="Times New Roman" w:hAnsi="Times New Roman" w:cs="Times New Roman"/>
          <w:lang w:val="en-GB"/>
        </w:rPr>
        <w:footnoteReference w:id="40"/>
      </w:r>
      <w:r w:rsidR="00D25811" w:rsidRPr="00311B33">
        <w:rPr>
          <w:rFonts w:ascii="Times New Roman" w:hAnsi="Times New Roman" w:cs="Times New Roman"/>
          <w:lang w:val="en-GB"/>
        </w:rPr>
        <w:t xml:space="preserve"> which allows the undertakings to express their views on the preliminary conclusions reached by the Commission in its SO.</w:t>
      </w:r>
      <w:r w:rsidR="00D25811" w:rsidRPr="00311B33">
        <w:rPr>
          <w:rStyle w:val="Appelnotedebasdep"/>
          <w:rFonts w:ascii="Times New Roman" w:hAnsi="Times New Roman" w:cs="Times New Roman"/>
          <w:lang w:val="en-GB"/>
        </w:rPr>
        <w:footnoteReference w:id="41"/>
      </w:r>
      <w:r w:rsidR="00CE3F7C" w:rsidRPr="00311B33">
        <w:rPr>
          <w:rFonts w:ascii="Times New Roman" w:hAnsi="Times New Roman" w:cs="Times New Roman"/>
          <w:lang w:val="en-GB"/>
        </w:rPr>
        <w:t xml:space="preserve"> </w:t>
      </w:r>
      <w:r w:rsidR="00C66454" w:rsidRPr="00311B33">
        <w:rPr>
          <w:rFonts w:ascii="Times New Roman" w:hAnsi="Times New Roman" w:cs="Times New Roman"/>
          <w:lang w:val="en-GB"/>
        </w:rPr>
        <w:t xml:space="preserve">On the other hand, the </w:t>
      </w:r>
      <w:r w:rsidR="00D25811" w:rsidRPr="00311B33">
        <w:rPr>
          <w:rFonts w:ascii="Times New Roman" w:hAnsi="Times New Roman" w:cs="Times New Roman"/>
          <w:lang w:val="en-GB"/>
        </w:rPr>
        <w:t xml:space="preserve">Court </w:t>
      </w:r>
      <w:r w:rsidR="00C66454" w:rsidRPr="00311B33">
        <w:rPr>
          <w:rFonts w:ascii="Times New Roman" w:hAnsi="Times New Roman" w:cs="Times New Roman"/>
          <w:lang w:val="en-GB"/>
        </w:rPr>
        <w:t xml:space="preserve">has also held </w:t>
      </w:r>
      <w:r w:rsidR="00D25811" w:rsidRPr="00311B33">
        <w:rPr>
          <w:rFonts w:ascii="Times New Roman" w:hAnsi="Times New Roman" w:cs="Times New Roman"/>
          <w:lang w:val="en-GB"/>
        </w:rPr>
        <w:t xml:space="preserve">in the </w:t>
      </w:r>
      <w:r w:rsidR="004471FF">
        <w:rPr>
          <w:rFonts w:ascii="Times New Roman" w:hAnsi="Times New Roman" w:cs="Times New Roman"/>
          <w:i/>
          <w:lang w:val="en-GB"/>
        </w:rPr>
        <w:t>Sweden and API</w:t>
      </w:r>
      <w:r w:rsidR="00D25811" w:rsidRPr="00311B33">
        <w:rPr>
          <w:rFonts w:ascii="Times New Roman" w:hAnsi="Times New Roman" w:cs="Times New Roman"/>
          <w:lang w:val="en-GB"/>
        </w:rPr>
        <w:t xml:space="preserve"> case that this </w:t>
      </w:r>
      <w:r w:rsidR="00C61430" w:rsidRPr="00311B33">
        <w:rPr>
          <w:rFonts w:ascii="Times New Roman" w:hAnsi="Times New Roman" w:cs="Times New Roman"/>
          <w:lang w:val="en-GB"/>
        </w:rPr>
        <w:t xml:space="preserve">right </w:t>
      </w:r>
      <w:r w:rsidR="003D75DA" w:rsidRPr="00311B33">
        <w:rPr>
          <w:rFonts w:ascii="Times New Roman" w:hAnsi="Times New Roman" w:cs="Times New Roman"/>
          <w:lang w:val="en-GB"/>
        </w:rPr>
        <w:t>forms</w:t>
      </w:r>
      <w:r w:rsidR="00C61430" w:rsidRPr="00311B33">
        <w:rPr>
          <w:rFonts w:ascii="Times New Roman" w:hAnsi="Times New Roman" w:cs="Times New Roman"/>
          <w:lang w:val="en-GB"/>
        </w:rPr>
        <w:t xml:space="preserve"> a</w:t>
      </w:r>
      <w:r w:rsidR="00D25811" w:rsidRPr="00311B33">
        <w:rPr>
          <w:rFonts w:ascii="Times New Roman" w:hAnsi="Times New Roman" w:cs="Times New Roman"/>
          <w:lang w:val="en-GB"/>
        </w:rPr>
        <w:t xml:space="preserve"> part of </w:t>
      </w:r>
      <w:r w:rsidR="00D25811" w:rsidRPr="00943D0B">
        <w:rPr>
          <w:rFonts w:ascii="Times New Roman" w:hAnsi="Times New Roman" w:cs="Times New Roman"/>
          <w:lang w:val="en-GB"/>
        </w:rPr>
        <w:t xml:space="preserve">the </w:t>
      </w:r>
      <w:r w:rsidR="00D25811" w:rsidRPr="004471FF">
        <w:rPr>
          <w:rFonts w:ascii="Times New Roman" w:hAnsi="Times New Roman" w:cs="Times New Roman"/>
          <w:lang w:val="en-GB"/>
        </w:rPr>
        <w:t>principle of equality of arms</w:t>
      </w:r>
      <w:r w:rsidR="00E35166" w:rsidRPr="004471FF">
        <w:rPr>
          <w:rFonts w:ascii="Times New Roman" w:hAnsi="Times New Roman" w:cs="Times New Roman"/>
          <w:lang w:val="en-US"/>
        </w:rPr>
        <w:t xml:space="preserve">, </w:t>
      </w:r>
      <w:r w:rsidR="0019009D" w:rsidRPr="004471FF">
        <w:rPr>
          <w:rFonts w:ascii="Times New Roman" w:hAnsi="Times New Roman" w:cs="Times New Roman"/>
          <w:lang w:val="en-US"/>
        </w:rPr>
        <w:t xml:space="preserve">which is </w:t>
      </w:r>
      <w:r w:rsidR="0019009D" w:rsidRPr="007D6DD4">
        <w:rPr>
          <w:rFonts w:ascii="Times New Roman" w:hAnsi="Times New Roman" w:cs="Times New Roman"/>
          <w:lang w:val="en-GB"/>
        </w:rPr>
        <w:t>is no more than a corollary of the very concept of a fair hearing</w:t>
      </w:r>
      <w:r w:rsidR="0019009D" w:rsidRPr="004471FF">
        <w:rPr>
          <w:rFonts w:ascii="Times New Roman" w:hAnsi="Times New Roman" w:cs="Times New Roman"/>
          <w:lang w:val="en-US"/>
        </w:rPr>
        <w:t>.</w:t>
      </w:r>
      <w:r w:rsidR="0019009D" w:rsidRPr="004471FF">
        <w:rPr>
          <w:rStyle w:val="Appelnotedebasdep"/>
          <w:rFonts w:ascii="Times New Roman" w:hAnsi="Times New Roman" w:cs="Times New Roman"/>
          <w:lang w:val="en-US"/>
        </w:rPr>
        <w:footnoteReference w:id="42"/>
      </w:r>
    </w:p>
    <w:p w:rsidR="00D25811" w:rsidRPr="00311B33" w:rsidRDefault="00D25811" w:rsidP="0082443E">
      <w:pPr>
        <w:jc w:val="both"/>
        <w:rPr>
          <w:rFonts w:ascii="Times New Roman" w:hAnsi="Times New Roman" w:cs="Times New Roman"/>
          <w:lang w:val="en-GB"/>
        </w:rPr>
      </w:pPr>
    </w:p>
    <w:p w:rsidR="00D356B1" w:rsidRDefault="00D356B1" w:rsidP="0082443E">
      <w:pPr>
        <w:jc w:val="both"/>
        <w:rPr>
          <w:rFonts w:ascii="Times New Roman" w:hAnsi="Times New Roman" w:cs="Times New Roman"/>
          <w:lang w:val="en-GB"/>
        </w:rPr>
      </w:pPr>
      <w:r w:rsidRPr="00311B33">
        <w:rPr>
          <w:rFonts w:ascii="Times New Roman" w:hAnsi="Times New Roman" w:cs="Times New Roman"/>
          <w:lang w:val="en-GB"/>
        </w:rPr>
        <w:t>From a practical standpoint</w:t>
      </w:r>
      <w:r w:rsidR="00B7299A" w:rsidRPr="00311B33">
        <w:rPr>
          <w:rFonts w:ascii="Times New Roman" w:hAnsi="Times New Roman" w:cs="Times New Roman"/>
          <w:lang w:val="en-GB"/>
        </w:rPr>
        <w:t xml:space="preserve">, </w:t>
      </w:r>
      <w:r w:rsidRPr="00311B33">
        <w:rPr>
          <w:rFonts w:ascii="Times New Roman" w:hAnsi="Times New Roman" w:cs="Times New Roman"/>
          <w:lang w:val="en-GB"/>
        </w:rPr>
        <w:t xml:space="preserve">the right of access to file means that </w:t>
      </w:r>
      <w:r w:rsidR="00052FF2" w:rsidRPr="00311B33">
        <w:rPr>
          <w:rFonts w:ascii="Times New Roman" w:hAnsi="Times New Roman" w:cs="Times New Roman"/>
          <w:lang w:val="en-GB"/>
        </w:rPr>
        <w:t>the parties concerned should be in a position to present their observations on the complaints</w:t>
      </w:r>
      <w:r w:rsidRPr="00311B33">
        <w:rPr>
          <w:rFonts w:ascii="Times New Roman" w:hAnsi="Times New Roman" w:cs="Times New Roman"/>
          <w:lang w:val="en-GB"/>
        </w:rPr>
        <w:t>/objections raised against them</w:t>
      </w:r>
      <w:r w:rsidR="00052FF2" w:rsidRPr="00311B33">
        <w:rPr>
          <w:rFonts w:ascii="Times New Roman" w:hAnsi="Times New Roman" w:cs="Times New Roman"/>
          <w:lang w:val="en-GB"/>
        </w:rPr>
        <w:t xml:space="preserve"> before the final decision.</w:t>
      </w:r>
      <w:r w:rsidR="00052FF2" w:rsidRPr="00311B33">
        <w:rPr>
          <w:rStyle w:val="Appelnotedebasdep"/>
          <w:rFonts w:ascii="Times New Roman" w:hAnsi="Times New Roman" w:cs="Times New Roman"/>
          <w:lang w:val="en-GB"/>
        </w:rPr>
        <w:footnoteReference w:id="43"/>
      </w:r>
      <w:r w:rsidR="00052FF2" w:rsidRPr="00311B33">
        <w:rPr>
          <w:rFonts w:ascii="Times New Roman" w:hAnsi="Times New Roman" w:cs="Times New Roman"/>
          <w:lang w:val="en-GB"/>
        </w:rPr>
        <w:t xml:space="preserve"> </w:t>
      </w:r>
      <w:r w:rsidR="00097C75">
        <w:rPr>
          <w:rFonts w:ascii="Times New Roman" w:hAnsi="Times New Roman" w:cs="Times New Roman"/>
          <w:lang w:val="en-GB"/>
        </w:rPr>
        <w:t xml:space="preserve">Under </w:t>
      </w:r>
      <w:r w:rsidR="00097C75" w:rsidRPr="00311B33">
        <w:rPr>
          <w:rFonts w:ascii="Times New Roman" w:hAnsi="Times New Roman" w:cs="Times New Roman"/>
          <w:lang w:val="en-GB"/>
        </w:rPr>
        <w:t>Article 27(2) of Regulation 1/2003 and Articles 15 and 16 of</w:t>
      </w:r>
      <w:r w:rsidR="00097C75">
        <w:rPr>
          <w:rFonts w:ascii="Times New Roman" w:hAnsi="Times New Roman" w:cs="Times New Roman"/>
          <w:lang w:val="en-GB"/>
        </w:rPr>
        <w:t xml:space="preserve"> Commission Regulation 773/2004</w:t>
      </w:r>
      <w:r w:rsidR="00097C75" w:rsidRPr="00311B33">
        <w:rPr>
          <w:rStyle w:val="Appelnotedebasdep"/>
          <w:rFonts w:ascii="Times New Roman" w:hAnsi="Times New Roman" w:cs="Times New Roman"/>
          <w:lang w:val="en-GB"/>
        </w:rPr>
        <w:footnoteReference w:id="44"/>
      </w:r>
      <w:r w:rsidR="00097C75" w:rsidRPr="00311B33">
        <w:rPr>
          <w:rFonts w:ascii="Times New Roman" w:hAnsi="Times New Roman" w:cs="Times New Roman"/>
          <w:lang w:val="en-GB"/>
        </w:rPr>
        <w:t xml:space="preserve"> the Commission must disclose </w:t>
      </w:r>
      <w:r w:rsidR="00097C75">
        <w:rPr>
          <w:rFonts w:ascii="Times New Roman" w:hAnsi="Times New Roman" w:cs="Times New Roman"/>
          <w:lang w:val="en-GB"/>
        </w:rPr>
        <w:t>to t</w:t>
      </w:r>
      <w:r w:rsidR="00097C75" w:rsidRPr="00311B33">
        <w:rPr>
          <w:rFonts w:ascii="Times New Roman" w:hAnsi="Times New Roman" w:cs="Times New Roman"/>
          <w:lang w:val="en-GB"/>
        </w:rPr>
        <w:t xml:space="preserve">he addressees of the SO the documents it intends to rely upon in its final decision. </w:t>
      </w:r>
      <w:r w:rsidRPr="00311B33">
        <w:rPr>
          <w:rFonts w:ascii="Times New Roman" w:hAnsi="Times New Roman" w:cs="Times New Roman"/>
          <w:lang w:val="en-GB"/>
        </w:rPr>
        <w:t>Moreover</w:t>
      </w:r>
      <w:r w:rsidR="00052FF2" w:rsidRPr="00311B33">
        <w:rPr>
          <w:rFonts w:ascii="Times New Roman" w:hAnsi="Times New Roman" w:cs="Times New Roman"/>
          <w:lang w:val="en-GB"/>
        </w:rPr>
        <w:t>, the parties should be informed about the facts on which these complaints</w:t>
      </w:r>
      <w:r w:rsidRPr="00311B33">
        <w:rPr>
          <w:rFonts w:ascii="Times New Roman" w:hAnsi="Times New Roman" w:cs="Times New Roman"/>
          <w:lang w:val="en-GB"/>
        </w:rPr>
        <w:t>/objections</w:t>
      </w:r>
      <w:r w:rsidR="00052FF2" w:rsidRPr="00311B33">
        <w:rPr>
          <w:rFonts w:ascii="Times New Roman" w:hAnsi="Times New Roman" w:cs="Times New Roman"/>
          <w:lang w:val="en-GB"/>
        </w:rPr>
        <w:t xml:space="preserve"> are based.</w:t>
      </w:r>
      <w:r w:rsidR="00691F16" w:rsidRPr="00311B33">
        <w:rPr>
          <w:rStyle w:val="Appelnotedebasdep"/>
          <w:rFonts w:ascii="Times New Roman" w:hAnsi="Times New Roman" w:cs="Times New Roman"/>
          <w:lang w:val="en-GB"/>
        </w:rPr>
        <w:footnoteReference w:id="45"/>
      </w:r>
      <w:r w:rsidR="00815B7B" w:rsidRPr="00311B33">
        <w:rPr>
          <w:rFonts w:ascii="Times New Roman" w:hAnsi="Times New Roman" w:cs="Times New Roman"/>
          <w:lang w:val="en-GB"/>
        </w:rPr>
        <w:t xml:space="preserve"> </w:t>
      </w:r>
    </w:p>
    <w:p w:rsidR="00D356B1" w:rsidRPr="00311B33" w:rsidRDefault="00D356B1" w:rsidP="0082443E">
      <w:pPr>
        <w:jc w:val="both"/>
        <w:rPr>
          <w:rFonts w:ascii="Times New Roman" w:hAnsi="Times New Roman" w:cs="Times New Roman"/>
          <w:lang w:val="en-GB"/>
        </w:rPr>
      </w:pPr>
    </w:p>
    <w:p w:rsidR="004471FF" w:rsidRDefault="00815B7B" w:rsidP="0082443E">
      <w:pPr>
        <w:jc w:val="both"/>
        <w:rPr>
          <w:rFonts w:ascii="Times New Roman" w:hAnsi="Times New Roman" w:cs="Times New Roman"/>
          <w:lang w:val="en-GB"/>
        </w:rPr>
      </w:pPr>
      <w:r w:rsidRPr="00311B33">
        <w:rPr>
          <w:rFonts w:ascii="Times New Roman" w:hAnsi="Times New Roman" w:cs="Times New Roman"/>
          <w:lang w:val="en-GB"/>
        </w:rPr>
        <w:t xml:space="preserve">This, however, does not mean that the entire file is </w:t>
      </w:r>
      <w:r w:rsidR="00D356B1" w:rsidRPr="00311B33">
        <w:rPr>
          <w:rFonts w:ascii="Times New Roman" w:hAnsi="Times New Roman" w:cs="Times New Roman"/>
          <w:lang w:val="en-GB"/>
        </w:rPr>
        <w:t xml:space="preserve">rendered </w:t>
      </w:r>
      <w:r w:rsidRPr="00311B33">
        <w:rPr>
          <w:rFonts w:ascii="Times New Roman" w:hAnsi="Times New Roman" w:cs="Times New Roman"/>
          <w:lang w:val="en-GB"/>
        </w:rPr>
        <w:t xml:space="preserve">accessible </w:t>
      </w:r>
      <w:r w:rsidR="00D356B1" w:rsidRPr="00311B33">
        <w:rPr>
          <w:rFonts w:ascii="Times New Roman" w:hAnsi="Times New Roman" w:cs="Times New Roman"/>
          <w:lang w:val="en-GB"/>
        </w:rPr>
        <w:t xml:space="preserve">to </w:t>
      </w:r>
      <w:r w:rsidRPr="00311B33">
        <w:rPr>
          <w:rFonts w:ascii="Times New Roman" w:hAnsi="Times New Roman" w:cs="Times New Roman"/>
          <w:lang w:val="en-GB"/>
        </w:rPr>
        <w:t xml:space="preserve">the undertaking concerned. </w:t>
      </w:r>
      <w:r w:rsidR="00097C75">
        <w:rPr>
          <w:rFonts w:ascii="Times New Roman" w:hAnsi="Times New Roman" w:cs="Times New Roman"/>
          <w:lang w:val="en-GB"/>
        </w:rPr>
        <w:t>For instance</w:t>
      </w:r>
      <w:r w:rsidR="00097C75" w:rsidRPr="00311B33">
        <w:rPr>
          <w:rFonts w:ascii="Times New Roman" w:hAnsi="Times New Roman" w:cs="Times New Roman"/>
          <w:lang w:val="en-GB"/>
        </w:rPr>
        <w:t xml:space="preserve">, the </w:t>
      </w:r>
      <w:r w:rsidR="00097C75">
        <w:rPr>
          <w:rFonts w:ascii="Times New Roman" w:hAnsi="Times New Roman" w:cs="Times New Roman"/>
          <w:lang w:val="en-GB"/>
        </w:rPr>
        <w:t xml:space="preserve">Commission </w:t>
      </w:r>
      <w:r w:rsidR="00097C75" w:rsidRPr="00311B33">
        <w:rPr>
          <w:rFonts w:ascii="Times New Roman" w:hAnsi="Times New Roman" w:cs="Times New Roman"/>
          <w:lang w:val="en-GB"/>
        </w:rPr>
        <w:t xml:space="preserve">decision will not be annulled if the requested document consists in publicly available information. For instance, </w:t>
      </w:r>
      <w:r w:rsidR="00B15F8A">
        <w:rPr>
          <w:rFonts w:ascii="Times New Roman" w:hAnsi="Times New Roman" w:cs="Times New Roman"/>
          <w:lang w:val="en-GB"/>
        </w:rPr>
        <w:t>a</w:t>
      </w:r>
      <w:r w:rsidR="00B15F8A" w:rsidRPr="00311B33">
        <w:rPr>
          <w:rFonts w:ascii="Times New Roman" w:hAnsi="Times New Roman" w:cs="Times New Roman"/>
          <w:lang w:val="en-GB"/>
        </w:rPr>
        <w:t xml:space="preserve"> </w:t>
      </w:r>
      <w:r w:rsidR="00097C75" w:rsidRPr="00311B33">
        <w:rPr>
          <w:rFonts w:ascii="Times New Roman" w:hAnsi="Times New Roman" w:cs="Times New Roman"/>
          <w:lang w:val="en-GB"/>
        </w:rPr>
        <w:t xml:space="preserve">refusal to disclose market information that supports </w:t>
      </w:r>
      <w:r w:rsidR="00B15F8A">
        <w:rPr>
          <w:rFonts w:ascii="Times New Roman" w:hAnsi="Times New Roman" w:cs="Times New Roman"/>
          <w:lang w:val="en-GB"/>
        </w:rPr>
        <w:t>a</w:t>
      </w:r>
      <w:r w:rsidR="00B76ACA">
        <w:rPr>
          <w:rFonts w:ascii="Times New Roman" w:hAnsi="Times New Roman" w:cs="Times New Roman"/>
          <w:lang w:val="en-GB"/>
        </w:rPr>
        <w:t xml:space="preserve"> </w:t>
      </w:r>
      <w:r w:rsidR="00097C75" w:rsidRPr="00311B33">
        <w:rPr>
          <w:rFonts w:ascii="Times New Roman" w:hAnsi="Times New Roman" w:cs="Times New Roman"/>
          <w:lang w:val="en-GB"/>
        </w:rPr>
        <w:t xml:space="preserve">finding of dominance </w:t>
      </w:r>
      <w:r w:rsidR="00B15F8A">
        <w:rPr>
          <w:rFonts w:ascii="Times New Roman" w:hAnsi="Times New Roman" w:cs="Times New Roman"/>
          <w:lang w:val="en-GB"/>
        </w:rPr>
        <w:t>does</w:t>
      </w:r>
      <w:r w:rsidR="00B15F8A" w:rsidRPr="00311B33">
        <w:rPr>
          <w:rFonts w:ascii="Times New Roman" w:hAnsi="Times New Roman" w:cs="Times New Roman"/>
          <w:lang w:val="en-GB"/>
        </w:rPr>
        <w:t xml:space="preserve"> </w:t>
      </w:r>
      <w:r w:rsidR="00097C75" w:rsidRPr="00311B33">
        <w:rPr>
          <w:rFonts w:ascii="Times New Roman" w:hAnsi="Times New Roman" w:cs="Times New Roman"/>
          <w:lang w:val="en-GB"/>
        </w:rPr>
        <w:t xml:space="preserve">not vitiate </w:t>
      </w:r>
      <w:r w:rsidR="00B15F8A">
        <w:rPr>
          <w:rFonts w:ascii="Times New Roman" w:hAnsi="Times New Roman" w:cs="Times New Roman"/>
          <w:lang w:val="en-GB"/>
        </w:rPr>
        <w:t xml:space="preserve">a </w:t>
      </w:r>
      <w:r w:rsidR="00097C75" w:rsidRPr="00311B33">
        <w:rPr>
          <w:rFonts w:ascii="Times New Roman" w:hAnsi="Times New Roman" w:cs="Times New Roman"/>
          <w:lang w:val="en-GB"/>
        </w:rPr>
        <w:t>Commission decision since the suspected firm cannot fail to be aware of that information.</w:t>
      </w:r>
      <w:r w:rsidR="00097C75" w:rsidRPr="00311B33">
        <w:rPr>
          <w:rStyle w:val="Appelnotedebasdep"/>
          <w:rFonts w:ascii="Times New Roman" w:hAnsi="Times New Roman" w:cs="Times New Roman"/>
          <w:lang w:val="en-GB"/>
        </w:rPr>
        <w:footnoteReference w:id="46"/>
      </w:r>
      <w:r w:rsidR="00097C75">
        <w:rPr>
          <w:rFonts w:ascii="Times New Roman" w:hAnsi="Times New Roman" w:cs="Times New Roman"/>
          <w:lang w:val="en-GB"/>
        </w:rPr>
        <w:t xml:space="preserve"> </w:t>
      </w:r>
      <w:r w:rsidR="00097C75" w:rsidRPr="00097C75">
        <w:rPr>
          <w:rFonts w:ascii="Times New Roman" w:hAnsi="Times New Roman" w:cs="Times New Roman"/>
          <w:lang w:val="en-GB"/>
        </w:rPr>
        <w:t xml:space="preserve">As </w:t>
      </w:r>
      <w:r w:rsidR="00097C75" w:rsidRPr="00246F56">
        <w:rPr>
          <w:rFonts w:ascii="Times New Roman" w:hAnsi="Times New Roman" w:cs="Times New Roman"/>
          <w:lang w:val="en-GB"/>
        </w:rPr>
        <w:t xml:space="preserve">AG Vesterdorf </w:t>
      </w:r>
      <w:r w:rsidR="00B15F8A">
        <w:rPr>
          <w:rFonts w:ascii="Times New Roman" w:hAnsi="Times New Roman" w:cs="Times New Roman"/>
          <w:lang w:val="en-GB"/>
        </w:rPr>
        <w:t>once stated</w:t>
      </w:r>
      <w:r w:rsidR="00097C75" w:rsidRPr="00246F56">
        <w:rPr>
          <w:rFonts w:ascii="Times New Roman" w:hAnsi="Times New Roman" w:cs="Times New Roman"/>
          <w:lang w:val="en-GB"/>
        </w:rPr>
        <w:t xml:space="preserve">, </w:t>
      </w:r>
      <w:r w:rsidR="00097C75">
        <w:rPr>
          <w:rFonts w:ascii="Times New Roman" w:hAnsi="Times New Roman" w:cs="Times New Roman"/>
          <w:lang w:val="en-GB"/>
        </w:rPr>
        <w:t xml:space="preserve">the right to have access to file only requires </w:t>
      </w:r>
      <w:r w:rsidR="00FD4A7C" w:rsidRPr="00097C75">
        <w:rPr>
          <w:rFonts w:ascii="Times New Roman" w:hAnsi="Times New Roman" w:cs="Times New Roman"/>
          <w:lang w:val="en-GB"/>
        </w:rPr>
        <w:t>that parties “</w:t>
      </w:r>
      <w:r w:rsidR="00FD4A7C" w:rsidRPr="00097C75">
        <w:rPr>
          <w:rFonts w:ascii="Times New Roman" w:hAnsi="Times New Roman" w:cs="Times New Roman"/>
          <w:i/>
          <w:lang w:val="en-GB"/>
        </w:rPr>
        <w:t>have cognizance to</w:t>
      </w:r>
      <w:r w:rsidR="00FD4A7C" w:rsidRPr="00097C75">
        <w:rPr>
          <w:rFonts w:ascii="Times New Roman" w:hAnsi="Times New Roman" w:cs="Times New Roman"/>
          <w:lang w:val="en-GB"/>
        </w:rPr>
        <w:t xml:space="preserve"> </w:t>
      </w:r>
      <w:r w:rsidR="00FD4A7C" w:rsidRPr="00097C75">
        <w:rPr>
          <w:rFonts w:ascii="Times New Roman" w:hAnsi="Times New Roman" w:cs="Times New Roman"/>
          <w:i/>
          <w:lang w:val="en-GB"/>
        </w:rPr>
        <w:t>all material of importance for the resolution of the case</w:t>
      </w:r>
      <w:r w:rsidR="00FD4A7C" w:rsidRPr="00097C75">
        <w:rPr>
          <w:rFonts w:ascii="Times New Roman" w:hAnsi="Times New Roman" w:cs="Times New Roman"/>
          <w:lang w:val="en-GB"/>
        </w:rPr>
        <w:t>” and be sure “</w:t>
      </w:r>
      <w:r w:rsidR="00FD4A7C" w:rsidRPr="00097C75">
        <w:rPr>
          <w:rFonts w:ascii="Times New Roman" w:hAnsi="Times New Roman" w:cs="Times New Roman"/>
          <w:i/>
          <w:lang w:val="en-GB"/>
        </w:rPr>
        <w:t>that no further material exists which might be relevant</w:t>
      </w:r>
      <w:r w:rsidR="00FD4A7C" w:rsidRPr="00097C75">
        <w:rPr>
          <w:rFonts w:ascii="Times New Roman" w:hAnsi="Times New Roman" w:cs="Times New Roman"/>
          <w:lang w:val="en-GB"/>
        </w:rPr>
        <w:t>”.</w:t>
      </w:r>
      <w:r w:rsidR="00FD4A7C" w:rsidRPr="00097C75">
        <w:rPr>
          <w:rStyle w:val="Appelnotedebasdep"/>
          <w:rFonts w:ascii="Times New Roman" w:hAnsi="Times New Roman" w:cs="Times New Roman"/>
          <w:lang w:val="en-GB"/>
        </w:rPr>
        <w:footnoteReference w:id="47"/>
      </w:r>
      <w:r w:rsidR="00097C75">
        <w:rPr>
          <w:rFonts w:ascii="Times New Roman" w:hAnsi="Times New Roman" w:cs="Times New Roman"/>
          <w:lang w:val="en-GB"/>
        </w:rPr>
        <w:t xml:space="preserve"> </w:t>
      </w:r>
    </w:p>
    <w:p w:rsidR="009A4463" w:rsidRPr="00311B33" w:rsidRDefault="009A4463" w:rsidP="0082443E">
      <w:pPr>
        <w:jc w:val="both"/>
        <w:rPr>
          <w:rFonts w:ascii="Times New Roman" w:hAnsi="Times New Roman" w:cs="Times New Roman"/>
          <w:lang w:val="en-GB"/>
        </w:rPr>
      </w:pPr>
    </w:p>
    <w:p w:rsidR="002847D0" w:rsidRPr="00311B33" w:rsidRDefault="009B1657" w:rsidP="0082443E">
      <w:pPr>
        <w:jc w:val="both"/>
        <w:rPr>
          <w:rFonts w:ascii="Times New Roman" w:hAnsi="Times New Roman" w:cs="Times New Roman"/>
          <w:lang w:val="en-GB"/>
        </w:rPr>
      </w:pPr>
      <w:r w:rsidRPr="00246F56">
        <w:rPr>
          <w:rFonts w:ascii="Times New Roman" w:hAnsi="Times New Roman" w:cs="Times New Roman"/>
          <w:b/>
          <w:lang w:val="en-GB"/>
        </w:rPr>
        <w:t>Limitations –</w:t>
      </w:r>
      <w:r w:rsidR="007E3E29" w:rsidRPr="00311B33">
        <w:rPr>
          <w:rFonts w:ascii="Times New Roman" w:hAnsi="Times New Roman" w:cs="Times New Roman"/>
          <w:lang w:val="en-GB"/>
        </w:rPr>
        <w:t xml:space="preserve"> </w:t>
      </w:r>
      <w:r w:rsidR="002419B9" w:rsidRPr="00311B33">
        <w:rPr>
          <w:rFonts w:ascii="Times New Roman" w:hAnsi="Times New Roman" w:cs="Times New Roman"/>
          <w:lang w:val="en-GB"/>
        </w:rPr>
        <w:t xml:space="preserve">The right of access to file </w:t>
      </w:r>
      <w:r w:rsidR="00D356B1" w:rsidRPr="00311B33">
        <w:rPr>
          <w:rFonts w:ascii="Times New Roman" w:hAnsi="Times New Roman" w:cs="Times New Roman"/>
          <w:lang w:val="en-GB"/>
        </w:rPr>
        <w:t xml:space="preserve">has some </w:t>
      </w:r>
      <w:r w:rsidR="002419B9" w:rsidRPr="00311B33">
        <w:rPr>
          <w:rFonts w:ascii="Times New Roman" w:hAnsi="Times New Roman" w:cs="Times New Roman"/>
          <w:lang w:val="en-GB"/>
        </w:rPr>
        <w:t>limits</w:t>
      </w:r>
      <w:r w:rsidR="00C06C30" w:rsidRPr="00311B33">
        <w:rPr>
          <w:rFonts w:ascii="Times New Roman" w:hAnsi="Times New Roman" w:cs="Times New Roman"/>
          <w:lang w:val="en-GB"/>
        </w:rPr>
        <w:t xml:space="preserve">. </w:t>
      </w:r>
      <w:r w:rsidR="002B2A4A" w:rsidRPr="00311B33">
        <w:rPr>
          <w:rFonts w:ascii="Times New Roman" w:hAnsi="Times New Roman" w:cs="Times New Roman"/>
          <w:lang w:val="en-GB"/>
        </w:rPr>
        <w:t xml:space="preserve">First, </w:t>
      </w:r>
      <w:r w:rsidR="006E2637" w:rsidRPr="00311B33">
        <w:rPr>
          <w:rFonts w:ascii="Times New Roman" w:hAnsi="Times New Roman" w:cs="Times New Roman"/>
          <w:lang w:val="en-GB"/>
        </w:rPr>
        <w:t xml:space="preserve">under </w:t>
      </w:r>
      <w:r w:rsidR="00C06C30" w:rsidRPr="00311B33">
        <w:rPr>
          <w:rFonts w:ascii="Times New Roman" w:hAnsi="Times New Roman" w:cs="Times New Roman"/>
          <w:lang w:val="en-GB"/>
        </w:rPr>
        <w:t>Regulation 773/2004</w:t>
      </w:r>
      <w:r w:rsidR="006E2637" w:rsidRPr="00311B33">
        <w:rPr>
          <w:rFonts w:ascii="Times New Roman" w:hAnsi="Times New Roman" w:cs="Times New Roman"/>
          <w:lang w:val="en-GB"/>
        </w:rPr>
        <w:t>,</w:t>
      </w:r>
      <w:r w:rsidR="00C06C30" w:rsidRPr="00311B33">
        <w:rPr>
          <w:rFonts w:ascii="Times New Roman" w:hAnsi="Times New Roman" w:cs="Times New Roman"/>
          <w:lang w:val="en-GB"/>
        </w:rPr>
        <w:t xml:space="preserve"> “</w:t>
      </w:r>
      <w:r w:rsidR="006E2637" w:rsidRPr="00311B33">
        <w:rPr>
          <w:rFonts w:ascii="Times New Roman" w:hAnsi="Times New Roman" w:cs="Times New Roman"/>
          <w:i/>
          <w:lang w:val="en-GB"/>
        </w:rPr>
        <w:t xml:space="preserve">the </w:t>
      </w:r>
      <w:r w:rsidR="00C06C30" w:rsidRPr="00311B33">
        <w:rPr>
          <w:rFonts w:ascii="Times New Roman" w:hAnsi="Times New Roman" w:cs="Times New Roman"/>
          <w:i/>
          <w:lang w:val="en-GB"/>
        </w:rPr>
        <w:t>right of access to file shall not extend to confidential information</w:t>
      </w:r>
      <w:r w:rsidR="00C06C30" w:rsidRPr="00311B33">
        <w:rPr>
          <w:rFonts w:ascii="Times New Roman" w:hAnsi="Times New Roman" w:cs="Times New Roman"/>
          <w:lang w:val="en-GB"/>
        </w:rPr>
        <w:t xml:space="preserve">”. </w:t>
      </w:r>
      <w:r w:rsidR="006E2637" w:rsidRPr="00311B33">
        <w:rPr>
          <w:rFonts w:ascii="Times New Roman" w:hAnsi="Times New Roman" w:cs="Times New Roman"/>
          <w:lang w:val="en-GB"/>
        </w:rPr>
        <w:t xml:space="preserve">This </w:t>
      </w:r>
      <w:r w:rsidR="00A8307F" w:rsidRPr="00311B33">
        <w:rPr>
          <w:rFonts w:ascii="Times New Roman" w:hAnsi="Times New Roman" w:cs="Times New Roman"/>
          <w:lang w:val="en-GB"/>
        </w:rPr>
        <w:t xml:space="preserve">limitation stems </w:t>
      </w:r>
      <w:r w:rsidR="00B76ACA">
        <w:rPr>
          <w:rFonts w:ascii="Times New Roman" w:hAnsi="Times New Roman" w:cs="Times New Roman"/>
          <w:lang w:val="en-GB"/>
        </w:rPr>
        <w:t xml:space="preserve">from </w:t>
      </w:r>
      <w:r w:rsidR="00A8307F" w:rsidRPr="00311B33">
        <w:rPr>
          <w:rFonts w:ascii="Times New Roman" w:hAnsi="Times New Roman" w:cs="Times New Roman"/>
          <w:lang w:val="en-GB"/>
        </w:rPr>
        <w:t>the general right to professional secrecy protected at Article 339 TFEU, and implemented in Article 28 of the Regulation.</w:t>
      </w:r>
    </w:p>
    <w:p w:rsidR="00A8307F" w:rsidRPr="00311B33" w:rsidRDefault="00A8307F" w:rsidP="0082443E">
      <w:pPr>
        <w:jc w:val="both"/>
        <w:rPr>
          <w:rFonts w:ascii="Times New Roman" w:hAnsi="Times New Roman" w:cs="Times New Roman"/>
          <w:lang w:val="en-GB"/>
        </w:rPr>
      </w:pPr>
    </w:p>
    <w:p w:rsidR="00C06C30" w:rsidRPr="00311B33" w:rsidRDefault="002B2A4A" w:rsidP="0082443E">
      <w:pPr>
        <w:jc w:val="both"/>
        <w:rPr>
          <w:rFonts w:ascii="Times New Roman" w:hAnsi="Times New Roman" w:cs="Times New Roman"/>
          <w:lang w:val="en-GB"/>
        </w:rPr>
      </w:pPr>
      <w:r w:rsidRPr="00311B33">
        <w:rPr>
          <w:rFonts w:ascii="Times New Roman" w:hAnsi="Times New Roman" w:cs="Times New Roman"/>
          <w:lang w:val="en-GB"/>
        </w:rPr>
        <w:lastRenderedPageBreak/>
        <w:t>Second</w:t>
      </w:r>
      <w:r w:rsidR="00C06C30" w:rsidRPr="00311B33">
        <w:rPr>
          <w:rFonts w:ascii="Times New Roman" w:hAnsi="Times New Roman" w:cs="Times New Roman"/>
          <w:lang w:val="en-GB"/>
        </w:rPr>
        <w:t xml:space="preserve">, </w:t>
      </w:r>
      <w:r w:rsidR="003D25A2" w:rsidRPr="00311B33">
        <w:rPr>
          <w:rFonts w:ascii="Times New Roman" w:hAnsi="Times New Roman" w:cs="Times New Roman"/>
          <w:lang w:val="en-GB"/>
        </w:rPr>
        <w:t>“</w:t>
      </w:r>
      <w:r w:rsidR="006E2637" w:rsidRPr="00311B33">
        <w:rPr>
          <w:rFonts w:ascii="Times New Roman" w:hAnsi="Times New Roman" w:cs="Times New Roman"/>
          <w:i/>
          <w:lang w:val="en-GB"/>
        </w:rPr>
        <w:t xml:space="preserve">the </w:t>
      </w:r>
      <w:r w:rsidR="00C06C30" w:rsidRPr="00311B33">
        <w:rPr>
          <w:rFonts w:ascii="Times New Roman" w:hAnsi="Times New Roman" w:cs="Times New Roman"/>
          <w:i/>
          <w:lang w:val="en-GB"/>
        </w:rPr>
        <w:t>right to access to file shall not extend to internal documents of the Commission or the competition authorities of the Member States</w:t>
      </w:r>
      <w:r w:rsidR="00C06C30" w:rsidRPr="00311B33">
        <w:rPr>
          <w:rFonts w:ascii="Times New Roman" w:hAnsi="Times New Roman" w:cs="Times New Roman"/>
          <w:lang w:val="en-GB"/>
        </w:rPr>
        <w:t>”.</w:t>
      </w:r>
      <w:r w:rsidR="00C06C30" w:rsidRPr="00311B33">
        <w:rPr>
          <w:rStyle w:val="Appelnotedebasdep"/>
          <w:rFonts w:ascii="Times New Roman" w:hAnsi="Times New Roman" w:cs="Times New Roman"/>
          <w:lang w:val="en-GB"/>
        </w:rPr>
        <w:footnoteReference w:id="48"/>
      </w:r>
      <w:r w:rsidR="00C06C30" w:rsidRPr="00311B33">
        <w:rPr>
          <w:rFonts w:ascii="Times New Roman" w:hAnsi="Times New Roman" w:cs="Times New Roman"/>
          <w:lang w:val="en-GB"/>
        </w:rPr>
        <w:t xml:space="preserve"> </w:t>
      </w:r>
      <w:r w:rsidR="006E2637" w:rsidRPr="00311B33">
        <w:rPr>
          <w:rFonts w:ascii="Times New Roman" w:hAnsi="Times New Roman" w:cs="Times New Roman"/>
          <w:lang w:val="en-GB"/>
        </w:rPr>
        <w:t>This is important to preserve the ability of the competition agencies to carry out their tasks, and in particular to unearth anticompetitive practices.</w:t>
      </w:r>
      <w:r w:rsidR="006E2637" w:rsidRPr="00311B33">
        <w:rPr>
          <w:rStyle w:val="Appelnotedebasdep"/>
          <w:rFonts w:ascii="Times New Roman" w:hAnsi="Times New Roman" w:cs="Times New Roman"/>
          <w:lang w:val="en-GB"/>
        </w:rPr>
        <w:footnoteReference w:id="49"/>
      </w:r>
      <w:r w:rsidR="006E2637" w:rsidRPr="00311B33">
        <w:rPr>
          <w:rFonts w:ascii="Times New Roman" w:hAnsi="Times New Roman" w:cs="Times New Roman"/>
          <w:lang w:val="en-GB"/>
        </w:rPr>
        <w:t xml:space="preserve"> </w:t>
      </w:r>
    </w:p>
    <w:p w:rsidR="009A4463" w:rsidRPr="00311B33" w:rsidRDefault="009A4463" w:rsidP="0082443E">
      <w:pPr>
        <w:jc w:val="both"/>
        <w:rPr>
          <w:rFonts w:ascii="Times New Roman" w:hAnsi="Times New Roman" w:cs="Times New Roman"/>
          <w:lang w:val="en-GB"/>
        </w:rPr>
      </w:pPr>
    </w:p>
    <w:p w:rsidR="009A4463" w:rsidRPr="00311B33" w:rsidRDefault="009B1657" w:rsidP="0082443E">
      <w:pPr>
        <w:tabs>
          <w:tab w:val="left" w:pos="3427"/>
        </w:tabs>
        <w:jc w:val="both"/>
        <w:rPr>
          <w:rFonts w:ascii="Times New Roman" w:hAnsi="Times New Roman" w:cs="Times New Roman"/>
          <w:lang w:val="en-GB"/>
        </w:rPr>
      </w:pPr>
      <w:r w:rsidRPr="00246F56">
        <w:rPr>
          <w:rFonts w:ascii="Times New Roman" w:hAnsi="Times New Roman" w:cs="Times New Roman"/>
          <w:b/>
          <w:lang w:val="en-GB"/>
        </w:rPr>
        <w:t>Confidentiality</w:t>
      </w:r>
      <w:r w:rsidR="007E3E29" w:rsidRPr="00311B33">
        <w:rPr>
          <w:rFonts w:ascii="Times New Roman" w:hAnsi="Times New Roman" w:cs="Times New Roman"/>
          <w:lang w:val="en-GB"/>
        </w:rPr>
        <w:t xml:space="preserve"> – </w:t>
      </w:r>
      <w:r w:rsidR="002B2A4A" w:rsidRPr="00311B33">
        <w:rPr>
          <w:rFonts w:ascii="Times New Roman" w:hAnsi="Times New Roman" w:cs="Times New Roman"/>
          <w:lang w:val="en-GB"/>
        </w:rPr>
        <w:t>D</w:t>
      </w:r>
      <w:r w:rsidR="009A4463" w:rsidRPr="00311B33">
        <w:rPr>
          <w:rFonts w:ascii="Times New Roman" w:hAnsi="Times New Roman" w:cs="Times New Roman"/>
          <w:lang w:val="en-GB"/>
        </w:rPr>
        <w:t>isputes regarding access to file</w:t>
      </w:r>
      <w:r w:rsidR="00E35166" w:rsidRPr="00311B33">
        <w:rPr>
          <w:rStyle w:val="Appelnotedebasdep"/>
          <w:rFonts w:ascii="Times New Roman" w:hAnsi="Times New Roman" w:cs="Times New Roman"/>
          <w:lang w:val="en-GB"/>
        </w:rPr>
        <w:footnoteReference w:id="50"/>
      </w:r>
      <w:r w:rsidR="009A4463" w:rsidRPr="00311B33">
        <w:rPr>
          <w:rFonts w:ascii="Times New Roman" w:hAnsi="Times New Roman" w:cs="Times New Roman"/>
          <w:lang w:val="en-GB"/>
        </w:rPr>
        <w:t xml:space="preserve"> </w:t>
      </w:r>
      <w:r w:rsidR="00A8307F" w:rsidRPr="00311B33">
        <w:rPr>
          <w:rFonts w:ascii="Times New Roman" w:hAnsi="Times New Roman" w:cs="Times New Roman"/>
          <w:lang w:val="en-GB"/>
        </w:rPr>
        <w:t xml:space="preserve">often relate to </w:t>
      </w:r>
      <w:r w:rsidR="009A4463" w:rsidRPr="00311B33">
        <w:rPr>
          <w:rFonts w:ascii="Times New Roman" w:hAnsi="Times New Roman" w:cs="Times New Roman"/>
          <w:lang w:val="en-GB"/>
        </w:rPr>
        <w:t xml:space="preserve">business secrets </w:t>
      </w:r>
      <w:r w:rsidR="00A8307F" w:rsidRPr="00311B33">
        <w:rPr>
          <w:rFonts w:ascii="Times New Roman" w:hAnsi="Times New Roman" w:cs="Times New Roman"/>
          <w:lang w:val="en-GB"/>
        </w:rPr>
        <w:t xml:space="preserve">or </w:t>
      </w:r>
      <w:r w:rsidR="009A4463" w:rsidRPr="00311B33">
        <w:rPr>
          <w:rFonts w:ascii="Times New Roman" w:hAnsi="Times New Roman" w:cs="Times New Roman"/>
          <w:lang w:val="en-GB"/>
        </w:rPr>
        <w:t xml:space="preserve">to </w:t>
      </w:r>
      <w:r w:rsidR="00A8307F" w:rsidRPr="00311B33">
        <w:rPr>
          <w:rFonts w:ascii="Times New Roman" w:hAnsi="Times New Roman" w:cs="Times New Roman"/>
          <w:lang w:val="en-GB"/>
        </w:rPr>
        <w:t xml:space="preserve">protection </w:t>
      </w:r>
      <w:r w:rsidR="009A4463" w:rsidRPr="00311B33">
        <w:rPr>
          <w:rFonts w:ascii="Times New Roman" w:hAnsi="Times New Roman" w:cs="Times New Roman"/>
          <w:lang w:val="en-GB"/>
        </w:rPr>
        <w:t>of internal documents</w:t>
      </w:r>
      <w:r w:rsidR="00A8307F" w:rsidRPr="00311B33">
        <w:rPr>
          <w:rFonts w:ascii="Times New Roman" w:hAnsi="Times New Roman" w:cs="Times New Roman"/>
          <w:lang w:val="en-GB"/>
        </w:rPr>
        <w:t xml:space="preserve"> from disclosure</w:t>
      </w:r>
      <w:r w:rsidR="009A4463" w:rsidRPr="00311B33">
        <w:rPr>
          <w:rFonts w:ascii="Times New Roman" w:hAnsi="Times New Roman" w:cs="Times New Roman"/>
          <w:lang w:val="en-GB"/>
        </w:rPr>
        <w:t>.</w:t>
      </w:r>
      <w:r w:rsidR="00263F5E" w:rsidRPr="00311B33">
        <w:rPr>
          <w:rStyle w:val="Appelnotedebasdep"/>
          <w:rFonts w:ascii="Times New Roman" w:hAnsi="Times New Roman" w:cs="Times New Roman"/>
          <w:lang w:val="en-GB"/>
        </w:rPr>
        <w:footnoteReference w:id="51"/>
      </w:r>
      <w:r w:rsidR="009A4463" w:rsidRPr="00311B33">
        <w:rPr>
          <w:rFonts w:ascii="Times New Roman" w:hAnsi="Times New Roman" w:cs="Times New Roman"/>
          <w:lang w:val="en-GB"/>
        </w:rPr>
        <w:t xml:space="preserve"> </w:t>
      </w:r>
      <w:r w:rsidR="002B2A4A" w:rsidRPr="00311B33">
        <w:rPr>
          <w:rFonts w:ascii="Times New Roman" w:hAnsi="Times New Roman" w:cs="Times New Roman"/>
          <w:lang w:val="en-GB"/>
        </w:rPr>
        <w:t>That said, even</w:t>
      </w:r>
      <w:r w:rsidR="00B96583" w:rsidRPr="00311B33">
        <w:rPr>
          <w:rFonts w:ascii="Times New Roman" w:hAnsi="Times New Roman" w:cs="Times New Roman"/>
          <w:lang w:val="en-GB"/>
        </w:rPr>
        <w:t xml:space="preserve"> if the Commission</w:t>
      </w:r>
      <w:r w:rsidR="009A4463" w:rsidRPr="00311B33">
        <w:rPr>
          <w:rFonts w:ascii="Times New Roman" w:hAnsi="Times New Roman" w:cs="Times New Roman"/>
          <w:lang w:val="en-GB"/>
        </w:rPr>
        <w:t xml:space="preserve"> </w:t>
      </w:r>
      <w:r w:rsidR="00A8307F" w:rsidRPr="00311B33">
        <w:rPr>
          <w:rFonts w:ascii="Times New Roman" w:hAnsi="Times New Roman" w:cs="Times New Roman"/>
          <w:lang w:val="en-GB"/>
        </w:rPr>
        <w:t xml:space="preserve">believes that </w:t>
      </w:r>
      <w:r w:rsidR="002B2A4A" w:rsidRPr="00311B33">
        <w:rPr>
          <w:rFonts w:ascii="Times New Roman" w:hAnsi="Times New Roman" w:cs="Times New Roman"/>
          <w:lang w:val="en-GB"/>
        </w:rPr>
        <w:t>access</w:t>
      </w:r>
      <w:r w:rsidR="00A8307F" w:rsidRPr="00311B33">
        <w:rPr>
          <w:rFonts w:ascii="Times New Roman" w:hAnsi="Times New Roman" w:cs="Times New Roman"/>
          <w:lang w:val="en-GB"/>
        </w:rPr>
        <w:t xml:space="preserve"> should be restricted</w:t>
      </w:r>
      <w:r w:rsidR="002B2A4A" w:rsidRPr="00311B33">
        <w:rPr>
          <w:rFonts w:ascii="Times New Roman" w:hAnsi="Times New Roman" w:cs="Times New Roman"/>
          <w:lang w:val="en-GB"/>
        </w:rPr>
        <w:t xml:space="preserve">, </w:t>
      </w:r>
      <w:r w:rsidR="00A8307F" w:rsidRPr="00311B33">
        <w:rPr>
          <w:rFonts w:ascii="Times New Roman" w:hAnsi="Times New Roman" w:cs="Times New Roman"/>
          <w:lang w:val="en-GB"/>
        </w:rPr>
        <w:t xml:space="preserve">it </w:t>
      </w:r>
      <w:r w:rsidR="002B2A4A" w:rsidRPr="00311B33">
        <w:rPr>
          <w:rFonts w:ascii="Times New Roman" w:hAnsi="Times New Roman" w:cs="Times New Roman"/>
          <w:lang w:val="en-GB"/>
        </w:rPr>
        <w:t>must</w:t>
      </w:r>
      <w:r w:rsidR="009A4463" w:rsidRPr="00311B33">
        <w:rPr>
          <w:rFonts w:ascii="Times New Roman" w:hAnsi="Times New Roman" w:cs="Times New Roman"/>
          <w:lang w:val="en-GB"/>
        </w:rPr>
        <w:t xml:space="preserve"> </w:t>
      </w:r>
      <w:r w:rsidR="002B2A4A" w:rsidRPr="00311B33">
        <w:rPr>
          <w:rFonts w:ascii="Times New Roman" w:hAnsi="Times New Roman" w:cs="Times New Roman"/>
          <w:lang w:val="en-GB"/>
        </w:rPr>
        <w:t xml:space="preserve">attempt to grant access </w:t>
      </w:r>
      <w:r w:rsidR="009A4463" w:rsidRPr="00311B33">
        <w:rPr>
          <w:rFonts w:ascii="Times New Roman" w:hAnsi="Times New Roman" w:cs="Times New Roman"/>
          <w:lang w:val="en-GB"/>
        </w:rPr>
        <w:t>in the form of a non-confidential version of the original information.</w:t>
      </w:r>
      <w:r w:rsidR="009A4463" w:rsidRPr="00311B33">
        <w:rPr>
          <w:rStyle w:val="Appelnotedebasdep"/>
          <w:rFonts w:ascii="Times New Roman" w:hAnsi="Times New Roman" w:cs="Times New Roman"/>
          <w:lang w:val="en-GB"/>
        </w:rPr>
        <w:footnoteReference w:id="52"/>
      </w:r>
      <w:r w:rsidR="009A4463" w:rsidRPr="00311B33">
        <w:rPr>
          <w:rFonts w:ascii="Times New Roman" w:hAnsi="Times New Roman" w:cs="Times New Roman"/>
          <w:lang w:val="en-GB"/>
        </w:rPr>
        <w:t xml:space="preserve"> Moreover, information shall only be classified as confidential where the person or undertaking in question has made a claim to this effect and the Commission has accepted </w:t>
      </w:r>
      <w:r w:rsidR="00A8307F" w:rsidRPr="00311B33">
        <w:rPr>
          <w:rFonts w:ascii="Times New Roman" w:hAnsi="Times New Roman" w:cs="Times New Roman"/>
          <w:lang w:val="en-GB"/>
        </w:rPr>
        <w:t xml:space="preserve">this </w:t>
      </w:r>
      <w:r w:rsidR="009A4463" w:rsidRPr="00311B33">
        <w:rPr>
          <w:rFonts w:ascii="Times New Roman" w:hAnsi="Times New Roman" w:cs="Times New Roman"/>
          <w:lang w:val="en-GB"/>
        </w:rPr>
        <w:t>claim.</w:t>
      </w:r>
      <w:r w:rsidR="00AF236E" w:rsidRPr="00311B33">
        <w:rPr>
          <w:rStyle w:val="Appelnotedebasdep"/>
          <w:rFonts w:ascii="Times New Roman" w:hAnsi="Times New Roman" w:cs="Times New Roman"/>
          <w:lang w:val="en-GB"/>
        </w:rPr>
        <w:footnoteReference w:id="53"/>
      </w:r>
      <w:r w:rsidR="009A4463" w:rsidRPr="00311B33">
        <w:rPr>
          <w:rFonts w:ascii="Times New Roman" w:hAnsi="Times New Roman" w:cs="Times New Roman"/>
          <w:lang w:val="en-GB"/>
        </w:rPr>
        <w:t xml:space="preserve"> Furthermore, the person or undertaking has to provide reasons for the document to be classified as confidential.</w:t>
      </w:r>
      <w:r w:rsidR="009A4463" w:rsidRPr="00311B33">
        <w:rPr>
          <w:rStyle w:val="Appelnotedebasdep"/>
          <w:rFonts w:ascii="Times New Roman" w:hAnsi="Times New Roman" w:cs="Times New Roman"/>
          <w:lang w:val="en-GB"/>
        </w:rPr>
        <w:footnoteReference w:id="54"/>
      </w:r>
    </w:p>
    <w:p w:rsidR="008E625A" w:rsidRPr="00311B33" w:rsidRDefault="008E625A" w:rsidP="003101B8">
      <w:pPr>
        <w:jc w:val="both"/>
        <w:rPr>
          <w:rFonts w:ascii="Times New Roman" w:hAnsi="Times New Roman" w:cs="Times New Roman"/>
          <w:b/>
          <w:lang w:val="en-US"/>
        </w:rPr>
      </w:pPr>
    </w:p>
    <w:p w:rsidR="00E06F61" w:rsidRPr="00311B33" w:rsidRDefault="003101B8" w:rsidP="007E3E29">
      <w:pPr>
        <w:jc w:val="both"/>
        <w:rPr>
          <w:rFonts w:ascii="Times New Roman" w:hAnsi="Times New Roman" w:cs="Times New Roman"/>
          <w:lang w:val="en-GB"/>
        </w:rPr>
      </w:pPr>
      <w:r w:rsidRPr="00311B33">
        <w:rPr>
          <w:rFonts w:ascii="Times New Roman" w:hAnsi="Times New Roman" w:cs="Times New Roman"/>
          <w:b/>
          <w:lang w:val="en-US"/>
        </w:rPr>
        <w:t>Sanction</w:t>
      </w:r>
      <w:r w:rsidR="008E625A" w:rsidRPr="00311B33">
        <w:rPr>
          <w:rFonts w:ascii="Times New Roman" w:hAnsi="Times New Roman" w:cs="Times New Roman"/>
          <w:b/>
          <w:lang w:val="en-US"/>
        </w:rPr>
        <w:t>s</w:t>
      </w:r>
      <w:r w:rsidRPr="00311B33">
        <w:rPr>
          <w:rFonts w:ascii="Times New Roman" w:hAnsi="Times New Roman" w:cs="Times New Roman"/>
          <w:b/>
          <w:lang w:val="en-US"/>
        </w:rPr>
        <w:t xml:space="preserve"> </w:t>
      </w:r>
      <w:r w:rsidRPr="00311B33">
        <w:rPr>
          <w:rFonts w:ascii="Times New Roman" w:hAnsi="Times New Roman" w:cs="Times New Roman"/>
          <w:lang w:val="en-US"/>
        </w:rPr>
        <w:t xml:space="preserve">– </w:t>
      </w:r>
      <w:r w:rsidR="00EC02AC" w:rsidRPr="00311B33">
        <w:rPr>
          <w:rFonts w:ascii="Times New Roman" w:hAnsi="Times New Roman" w:cs="Times New Roman"/>
          <w:lang w:val="en-GB"/>
        </w:rPr>
        <w:t>The</w:t>
      </w:r>
      <w:r w:rsidR="007E3E29" w:rsidRPr="00311B33">
        <w:rPr>
          <w:rFonts w:ascii="Times New Roman" w:hAnsi="Times New Roman" w:cs="Times New Roman"/>
          <w:lang w:val="en-GB"/>
        </w:rPr>
        <w:t xml:space="preserve"> </w:t>
      </w:r>
      <w:r w:rsidR="00A8307F" w:rsidRPr="00311B33">
        <w:rPr>
          <w:rFonts w:ascii="Times New Roman" w:hAnsi="Times New Roman" w:cs="Times New Roman"/>
          <w:lang w:val="en-GB"/>
        </w:rPr>
        <w:t xml:space="preserve">consequences attached to a violation of the </w:t>
      </w:r>
      <w:r w:rsidR="007E3E29" w:rsidRPr="00311B33">
        <w:rPr>
          <w:rFonts w:ascii="Times New Roman" w:hAnsi="Times New Roman" w:cs="Times New Roman"/>
          <w:lang w:val="en-GB"/>
        </w:rPr>
        <w:t xml:space="preserve">right </w:t>
      </w:r>
      <w:r w:rsidR="00A8307F" w:rsidRPr="00311B33">
        <w:rPr>
          <w:rFonts w:ascii="Times New Roman" w:hAnsi="Times New Roman" w:cs="Times New Roman"/>
          <w:lang w:val="en-GB"/>
        </w:rPr>
        <w:t xml:space="preserve">of </w:t>
      </w:r>
      <w:r w:rsidR="007E3E29" w:rsidRPr="00311B33">
        <w:rPr>
          <w:rFonts w:ascii="Times New Roman" w:hAnsi="Times New Roman" w:cs="Times New Roman"/>
          <w:lang w:val="en-GB"/>
        </w:rPr>
        <w:t xml:space="preserve">access to file </w:t>
      </w:r>
      <w:r w:rsidR="00A8307F" w:rsidRPr="00311B33">
        <w:rPr>
          <w:rFonts w:ascii="Times New Roman" w:hAnsi="Times New Roman" w:cs="Times New Roman"/>
          <w:lang w:val="en-GB"/>
        </w:rPr>
        <w:t>were first</w:t>
      </w:r>
      <w:r w:rsidR="007E3E29" w:rsidRPr="00311B33">
        <w:rPr>
          <w:rFonts w:ascii="Times New Roman" w:hAnsi="Times New Roman" w:cs="Times New Roman"/>
          <w:lang w:val="en-GB"/>
        </w:rPr>
        <w:t xml:space="preserve"> established in </w:t>
      </w:r>
      <w:r w:rsidR="007E3E29" w:rsidRPr="00311B33">
        <w:rPr>
          <w:rFonts w:ascii="Times New Roman" w:hAnsi="Times New Roman" w:cs="Times New Roman"/>
          <w:i/>
          <w:lang w:val="en-GB"/>
        </w:rPr>
        <w:t>Soda Ash</w:t>
      </w:r>
      <w:r w:rsidR="00A8307F" w:rsidRPr="00311B33">
        <w:rPr>
          <w:rFonts w:ascii="Times New Roman" w:hAnsi="Times New Roman" w:cs="Times New Roman"/>
          <w:lang w:val="en-GB"/>
        </w:rPr>
        <w:t>.</w:t>
      </w:r>
      <w:r w:rsidR="00EC02AC" w:rsidRPr="00311B33">
        <w:rPr>
          <w:rFonts w:ascii="Times New Roman" w:hAnsi="Times New Roman" w:cs="Times New Roman"/>
          <w:lang w:val="en-GB"/>
        </w:rPr>
        <w:t xml:space="preserve"> </w:t>
      </w:r>
      <w:r w:rsidR="00A8307F" w:rsidRPr="00311B33">
        <w:rPr>
          <w:rFonts w:ascii="Times New Roman" w:hAnsi="Times New Roman" w:cs="Times New Roman"/>
          <w:lang w:val="en-GB"/>
        </w:rPr>
        <w:t xml:space="preserve">In this case, the </w:t>
      </w:r>
      <w:r w:rsidR="00EC02AC" w:rsidRPr="00311B33">
        <w:rPr>
          <w:rFonts w:ascii="Times New Roman" w:hAnsi="Times New Roman" w:cs="Times New Roman"/>
          <w:lang w:val="en-GB"/>
        </w:rPr>
        <w:t xml:space="preserve">Commission </w:t>
      </w:r>
      <w:r w:rsidR="00A8307F" w:rsidRPr="00311B33">
        <w:rPr>
          <w:rFonts w:ascii="Times New Roman" w:hAnsi="Times New Roman" w:cs="Times New Roman"/>
          <w:lang w:val="en-GB"/>
        </w:rPr>
        <w:t xml:space="preserve">had </w:t>
      </w:r>
      <w:r w:rsidR="00EC02AC" w:rsidRPr="00311B33">
        <w:rPr>
          <w:rFonts w:ascii="Times New Roman" w:hAnsi="Times New Roman" w:cs="Times New Roman"/>
          <w:lang w:val="en-GB"/>
        </w:rPr>
        <w:t xml:space="preserve">fined </w:t>
      </w:r>
      <w:r w:rsidR="00A8307F" w:rsidRPr="00311B33">
        <w:rPr>
          <w:rFonts w:ascii="Times New Roman" w:hAnsi="Times New Roman" w:cs="Times New Roman"/>
          <w:lang w:val="en-GB"/>
        </w:rPr>
        <w:t xml:space="preserve">Solvay </w:t>
      </w:r>
      <w:r w:rsidR="007E3E29" w:rsidRPr="00311B33">
        <w:rPr>
          <w:rFonts w:ascii="Times New Roman" w:hAnsi="Times New Roman" w:cs="Times New Roman"/>
          <w:lang w:val="en-GB"/>
        </w:rPr>
        <w:t xml:space="preserve">for anti-competitive agreements and </w:t>
      </w:r>
      <w:r w:rsidR="00EC02AC" w:rsidRPr="00311B33">
        <w:rPr>
          <w:rFonts w:ascii="Times New Roman" w:hAnsi="Times New Roman" w:cs="Times New Roman"/>
          <w:lang w:val="en-GB"/>
        </w:rPr>
        <w:t xml:space="preserve">abuse of </w:t>
      </w:r>
      <w:r w:rsidR="00A8307F" w:rsidRPr="00311B33">
        <w:rPr>
          <w:rFonts w:ascii="Times New Roman" w:hAnsi="Times New Roman" w:cs="Times New Roman"/>
          <w:lang w:val="en-GB"/>
        </w:rPr>
        <w:t>dominance</w:t>
      </w:r>
      <w:r w:rsidR="007E3E29" w:rsidRPr="00311B33">
        <w:rPr>
          <w:rFonts w:ascii="Times New Roman" w:hAnsi="Times New Roman" w:cs="Times New Roman"/>
          <w:lang w:val="en-GB"/>
        </w:rPr>
        <w:t xml:space="preserve"> </w:t>
      </w:r>
      <w:r w:rsidR="00A8307F" w:rsidRPr="00311B33">
        <w:rPr>
          <w:rFonts w:ascii="Times New Roman" w:hAnsi="Times New Roman" w:cs="Times New Roman"/>
          <w:lang w:val="en-GB"/>
        </w:rPr>
        <w:t xml:space="preserve">in </w:t>
      </w:r>
      <w:r w:rsidR="007E3E29" w:rsidRPr="00311B33">
        <w:rPr>
          <w:rFonts w:ascii="Times New Roman" w:hAnsi="Times New Roman" w:cs="Times New Roman"/>
          <w:lang w:val="en-GB"/>
        </w:rPr>
        <w:t xml:space="preserve">the soda ash market. The General Court upheld the fine, </w:t>
      </w:r>
      <w:r w:rsidR="00A8307F" w:rsidRPr="00311B33">
        <w:rPr>
          <w:rFonts w:ascii="Times New Roman" w:hAnsi="Times New Roman" w:cs="Times New Roman"/>
          <w:lang w:val="en-GB"/>
        </w:rPr>
        <w:t>but granted</w:t>
      </w:r>
      <w:r w:rsidR="007E3E29" w:rsidRPr="00311B33">
        <w:rPr>
          <w:rFonts w:ascii="Times New Roman" w:hAnsi="Times New Roman" w:cs="Times New Roman"/>
          <w:lang w:val="en-GB"/>
        </w:rPr>
        <w:t xml:space="preserve"> a 25% reduction. Solvay </w:t>
      </w:r>
      <w:r w:rsidR="00A8307F" w:rsidRPr="00311B33">
        <w:rPr>
          <w:rFonts w:ascii="Times New Roman" w:hAnsi="Times New Roman" w:cs="Times New Roman"/>
          <w:lang w:val="en-GB"/>
        </w:rPr>
        <w:t>further</w:t>
      </w:r>
      <w:r w:rsidR="007E3E29" w:rsidRPr="00311B33">
        <w:rPr>
          <w:rFonts w:ascii="Times New Roman" w:hAnsi="Times New Roman" w:cs="Times New Roman"/>
          <w:lang w:val="en-GB"/>
        </w:rPr>
        <w:t xml:space="preserve"> appealed </w:t>
      </w:r>
      <w:r w:rsidR="00A8307F" w:rsidRPr="00311B33">
        <w:rPr>
          <w:rFonts w:ascii="Times New Roman" w:hAnsi="Times New Roman" w:cs="Times New Roman"/>
          <w:lang w:val="en-GB"/>
        </w:rPr>
        <w:t>before</w:t>
      </w:r>
      <w:r w:rsidR="007E3E29" w:rsidRPr="00311B33">
        <w:rPr>
          <w:rFonts w:ascii="Times New Roman" w:hAnsi="Times New Roman" w:cs="Times New Roman"/>
          <w:lang w:val="en-GB"/>
        </w:rPr>
        <w:t xml:space="preserve"> the </w:t>
      </w:r>
      <w:r w:rsidR="00A8307F" w:rsidRPr="00311B33">
        <w:rPr>
          <w:rFonts w:ascii="Times New Roman" w:hAnsi="Times New Roman" w:cs="Times New Roman"/>
          <w:lang w:val="en-GB"/>
        </w:rPr>
        <w:t xml:space="preserve">Court of Justice. The CJEU annulled the GC judgment confirming the decision, finding that </w:t>
      </w:r>
      <w:r w:rsidR="00EC02AC" w:rsidRPr="00311B33">
        <w:rPr>
          <w:rFonts w:ascii="Times New Roman" w:hAnsi="Times New Roman" w:cs="Times New Roman"/>
          <w:lang w:val="en-GB"/>
        </w:rPr>
        <w:t>the Commission</w:t>
      </w:r>
      <w:r w:rsidR="00FD4A7C" w:rsidRPr="00311B33">
        <w:rPr>
          <w:rFonts w:ascii="Times New Roman" w:hAnsi="Times New Roman" w:cs="Times New Roman"/>
          <w:lang w:val="en-GB"/>
        </w:rPr>
        <w:t xml:space="preserve"> had failed to grant </w:t>
      </w:r>
      <w:r w:rsidR="00EC02AC" w:rsidRPr="00311B33">
        <w:rPr>
          <w:rFonts w:ascii="Times New Roman" w:hAnsi="Times New Roman" w:cs="Times New Roman"/>
          <w:lang w:val="en-GB"/>
        </w:rPr>
        <w:t xml:space="preserve">access to </w:t>
      </w:r>
      <w:r w:rsidR="007E3E29" w:rsidRPr="00311B33">
        <w:rPr>
          <w:rFonts w:ascii="Times New Roman" w:hAnsi="Times New Roman" w:cs="Times New Roman"/>
          <w:lang w:val="en-GB"/>
        </w:rPr>
        <w:t xml:space="preserve">file and </w:t>
      </w:r>
      <w:r w:rsidR="00EC02AC" w:rsidRPr="00311B33">
        <w:rPr>
          <w:rFonts w:ascii="Times New Roman" w:hAnsi="Times New Roman" w:cs="Times New Roman"/>
          <w:lang w:val="en-GB"/>
        </w:rPr>
        <w:t xml:space="preserve">had </w:t>
      </w:r>
      <w:r w:rsidR="007E3E29" w:rsidRPr="00311B33">
        <w:rPr>
          <w:rFonts w:ascii="Times New Roman" w:hAnsi="Times New Roman" w:cs="Times New Roman"/>
          <w:lang w:val="en-GB"/>
        </w:rPr>
        <w:t xml:space="preserve">even lost </w:t>
      </w:r>
      <w:r w:rsidR="00EC02AC" w:rsidRPr="00311B33">
        <w:rPr>
          <w:rFonts w:ascii="Times New Roman" w:hAnsi="Times New Roman" w:cs="Times New Roman"/>
          <w:lang w:val="en-GB"/>
        </w:rPr>
        <w:t xml:space="preserve">a number of documents. </w:t>
      </w:r>
      <w:r w:rsidR="00A8307F" w:rsidRPr="00311B33">
        <w:rPr>
          <w:rFonts w:ascii="Times New Roman" w:hAnsi="Times New Roman" w:cs="Times New Roman"/>
          <w:lang w:val="en-GB"/>
        </w:rPr>
        <w:t>T</w:t>
      </w:r>
      <w:r w:rsidR="00F746B4" w:rsidRPr="00311B33">
        <w:rPr>
          <w:rFonts w:ascii="Times New Roman" w:hAnsi="Times New Roman" w:cs="Times New Roman"/>
          <w:lang w:val="en-GB"/>
        </w:rPr>
        <w:t>he Court</w:t>
      </w:r>
      <w:r w:rsidR="00A8307F" w:rsidRPr="00311B33">
        <w:rPr>
          <w:rFonts w:ascii="Times New Roman" w:hAnsi="Times New Roman" w:cs="Times New Roman"/>
          <w:lang w:val="en-GB"/>
        </w:rPr>
        <w:t xml:space="preserve"> found that had such documents been disclosed to Solvay, </w:t>
      </w:r>
      <w:r w:rsidR="00F746B4" w:rsidRPr="00311B33">
        <w:rPr>
          <w:rFonts w:ascii="Times New Roman" w:hAnsi="Times New Roman" w:cs="Times New Roman"/>
          <w:lang w:val="en-GB"/>
        </w:rPr>
        <w:t xml:space="preserve">the </w:t>
      </w:r>
      <w:r w:rsidR="00A8307F" w:rsidRPr="00311B33">
        <w:rPr>
          <w:rFonts w:ascii="Times New Roman" w:hAnsi="Times New Roman" w:cs="Times New Roman"/>
          <w:lang w:val="en-GB"/>
        </w:rPr>
        <w:t xml:space="preserve">outcome </w:t>
      </w:r>
      <w:r w:rsidR="00F746B4" w:rsidRPr="00311B33">
        <w:rPr>
          <w:rFonts w:ascii="Times New Roman" w:hAnsi="Times New Roman" w:cs="Times New Roman"/>
          <w:lang w:val="en-GB"/>
        </w:rPr>
        <w:t xml:space="preserve">of proceedings </w:t>
      </w:r>
      <w:r w:rsidR="00A8307F" w:rsidRPr="00311B33">
        <w:rPr>
          <w:rFonts w:ascii="Times New Roman" w:hAnsi="Times New Roman" w:cs="Times New Roman"/>
          <w:lang w:val="en-GB"/>
        </w:rPr>
        <w:t xml:space="preserve">might </w:t>
      </w:r>
      <w:r w:rsidR="00F746B4" w:rsidRPr="00311B33">
        <w:rPr>
          <w:rFonts w:ascii="Times New Roman" w:hAnsi="Times New Roman" w:cs="Times New Roman"/>
          <w:lang w:val="en-GB"/>
        </w:rPr>
        <w:t>have been</w:t>
      </w:r>
      <w:r w:rsidR="00A8307F" w:rsidRPr="00311B33">
        <w:rPr>
          <w:rFonts w:ascii="Times New Roman" w:hAnsi="Times New Roman" w:cs="Times New Roman"/>
          <w:lang w:val="en-GB"/>
        </w:rPr>
        <w:t xml:space="preserve"> different</w:t>
      </w:r>
      <w:r w:rsidR="00F746B4" w:rsidRPr="00311B33">
        <w:rPr>
          <w:rFonts w:ascii="Times New Roman" w:hAnsi="Times New Roman" w:cs="Times New Roman"/>
          <w:lang w:val="en-GB"/>
        </w:rPr>
        <w:t>.</w:t>
      </w:r>
      <w:r w:rsidR="00F746B4" w:rsidRPr="00311B33">
        <w:rPr>
          <w:rStyle w:val="Appelnotedebasdep"/>
          <w:rFonts w:ascii="Times New Roman" w:hAnsi="Times New Roman" w:cs="Times New Roman"/>
          <w:lang w:val="en-GB"/>
        </w:rPr>
        <w:footnoteReference w:id="55"/>
      </w:r>
      <w:r w:rsidR="00F746B4" w:rsidRPr="00311B33">
        <w:rPr>
          <w:rFonts w:ascii="Times New Roman" w:hAnsi="Times New Roman" w:cs="Times New Roman"/>
          <w:lang w:val="en-GB"/>
        </w:rPr>
        <w:t xml:space="preserve"> </w:t>
      </w:r>
      <w:r w:rsidR="00E35166" w:rsidRPr="00311B33">
        <w:rPr>
          <w:rFonts w:ascii="Times New Roman" w:hAnsi="Times New Roman" w:cs="Times New Roman"/>
          <w:lang w:val="en-GB"/>
        </w:rPr>
        <w:t>Hence,</w:t>
      </w:r>
      <w:r w:rsidR="00F746B4" w:rsidRPr="00311B33">
        <w:rPr>
          <w:rFonts w:ascii="Times New Roman" w:hAnsi="Times New Roman" w:cs="Times New Roman"/>
          <w:lang w:val="en-GB"/>
        </w:rPr>
        <w:t xml:space="preserve"> </w:t>
      </w:r>
      <w:r w:rsidR="007E3E29" w:rsidRPr="00311B33">
        <w:rPr>
          <w:rFonts w:ascii="Times New Roman" w:hAnsi="Times New Roman" w:cs="Times New Roman"/>
          <w:lang w:val="en-GB"/>
        </w:rPr>
        <w:t xml:space="preserve">in case of illegal </w:t>
      </w:r>
      <w:r w:rsidR="00A8307F" w:rsidRPr="00311B33">
        <w:rPr>
          <w:rFonts w:ascii="Times New Roman" w:hAnsi="Times New Roman" w:cs="Times New Roman"/>
          <w:lang w:val="en-GB"/>
        </w:rPr>
        <w:t xml:space="preserve">refusal to grant access to </w:t>
      </w:r>
      <w:r w:rsidR="007E3E29" w:rsidRPr="00311B33">
        <w:rPr>
          <w:rFonts w:ascii="Times New Roman" w:hAnsi="Times New Roman" w:cs="Times New Roman"/>
          <w:lang w:val="en-GB"/>
        </w:rPr>
        <w:t xml:space="preserve">exculpatory documents, the remedy </w:t>
      </w:r>
      <w:r w:rsidR="00A8307F" w:rsidRPr="00311B33">
        <w:rPr>
          <w:rFonts w:ascii="Times New Roman" w:hAnsi="Times New Roman" w:cs="Times New Roman"/>
          <w:lang w:val="en-GB"/>
        </w:rPr>
        <w:t>is the annulment of the contested decision</w:t>
      </w:r>
      <w:r w:rsidR="007E3E29" w:rsidRPr="00311B33">
        <w:rPr>
          <w:rFonts w:ascii="Times New Roman" w:hAnsi="Times New Roman" w:cs="Times New Roman"/>
          <w:lang w:val="en-GB"/>
        </w:rPr>
        <w:t>.</w:t>
      </w:r>
      <w:r w:rsidR="00FD4A7C" w:rsidRPr="00311B33">
        <w:rPr>
          <w:rStyle w:val="Appelnotedebasdep"/>
          <w:rFonts w:ascii="Times New Roman" w:hAnsi="Times New Roman" w:cs="Times New Roman"/>
          <w:lang w:val="en-GB"/>
        </w:rPr>
        <w:footnoteReference w:id="56"/>
      </w:r>
      <w:r w:rsidR="00FD4A7C" w:rsidRPr="00311B33">
        <w:rPr>
          <w:rFonts w:ascii="Times New Roman" w:hAnsi="Times New Roman" w:cs="Times New Roman"/>
          <w:lang w:val="en-GB"/>
        </w:rPr>
        <w:t xml:space="preserve"> </w:t>
      </w:r>
      <w:r w:rsidR="007E3E29" w:rsidRPr="00311B33">
        <w:rPr>
          <w:rFonts w:ascii="Times New Roman" w:hAnsi="Times New Roman" w:cs="Times New Roman"/>
          <w:lang w:val="en-GB"/>
        </w:rPr>
        <w:t xml:space="preserve"> </w:t>
      </w:r>
    </w:p>
    <w:p w:rsidR="007E3E29" w:rsidRPr="00311B33" w:rsidRDefault="007E3E29" w:rsidP="007E3E29">
      <w:pPr>
        <w:jc w:val="both"/>
        <w:rPr>
          <w:rFonts w:ascii="Times New Roman" w:hAnsi="Times New Roman" w:cs="Times New Roman"/>
          <w:lang w:val="en-GB"/>
        </w:rPr>
      </w:pPr>
    </w:p>
    <w:p w:rsidR="007E3E29" w:rsidRPr="00311B33" w:rsidRDefault="00E06F61" w:rsidP="007E3E29">
      <w:pPr>
        <w:widowControl w:val="0"/>
        <w:autoSpaceDE w:val="0"/>
        <w:autoSpaceDN w:val="0"/>
        <w:adjustRightInd w:val="0"/>
        <w:spacing w:after="200"/>
        <w:jc w:val="both"/>
        <w:rPr>
          <w:rFonts w:ascii="Times New Roman" w:hAnsi="Times New Roman" w:cs="Times New Roman"/>
          <w:lang w:val="en-GB"/>
        </w:rPr>
      </w:pPr>
      <w:r w:rsidRPr="00311B33">
        <w:rPr>
          <w:rFonts w:ascii="Times New Roman" w:hAnsi="Times New Roman" w:cs="Times New Roman"/>
          <w:lang w:val="en-GB"/>
        </w:rPr>
        <w:t xml:space="preserve">In </w:t>
      </w:r>
      <w:r w:rsidR="007E3E29" w:rsidRPr="00311B33">
        <w:rPr>
          <w:rFonts w:ascii="Times New Roman" w:hAnsi="Times New Roman" w:cs="Times New Roman"/>
          <w:i/>
          <w:lang w:val="en-GB"/>
        </w:rPr>
        <w:t>Hercules</w:t>
      </w:r>
      <w:r w:rsidRPr="00311B33">
        <w:rPr>
          <w:rFonts w:ascii="Times New Roman" w:hAnsi="Times New Roman" w:cs="Times New Roman"/>
          <w:lang w:val="en-GB"/>
        </w:rPr>
        <w:t>,</w:t>
      </w:r>
      <w:r w:rsidR="007E3E29" w:rsidRPr="00311B33">
        <w:rPr>
          <w:rStyle w:val="Appelnotedebasdep"/>
          <w:rFonts w:ascii="Times New Roman" w:hAnsi="Times New Roman" w:cs="Times New Roman"/>
          <w:i/>
          <w:lang w:val="en-GB"/>
        </w:rPr>
        <w:footnoteReference w:id="57"/>
      </w:r>
      <w:r w:rsidR="007E3E29" w:rsidRPr="00311B33">
        <w:rPr>
          <w:rFonts w:ascii="Times New Roman" w:hAnsi="Times New Roman" w:cs="Times New Roman"/>
          <w:lang w:val="en-GB"/>
        </w:rPr>
        <w:t xml:space="preserve"> </w:t>
      </w:r>
      <w:r w:rsidRPr="00311B33">
        <w:rPr>
          <w:rFonts w:ascii="Times New Roman" w:hAnsi="Times New Roman" w:cs="Times New Roman"/>
          <w:lang w:val="en-GB"/>
        </w:rPr>
        <w:t xml:space="preserve">the Court of Justice gave further precision on the circumstances in which a breach of the right of access to file might give rise to annulment. It </w:t>
      </w:r>
      <w:r w:rsidR="007E3E29" w:rsidRPr="00311B33">
        <w:rPr>
          <w:rFonts w:ascii="Times New Roman" w:hAnsi="Times New Roman" w:cs="Times New Roman"/>
          <w:lang w:val="en-GB"/>
        </w:rPr>
        <w:t xml:space="preserve">ruled that </w:t>
      </w:r>
      <w:r w:rsidR="007E3E29" w:rsidRPr="00311B33">
        <w:rPr>
          <w:rFonts w:ascii="Times New Roman" w:hAnsi="Times New Roman" w:cs="Times New Roman"/>
          <w:i/>
          <w:lang w:val="en-GB"/>
        </w:rPr>
        <w:t xml:space="preserve">“breach of those general principles of Community law in the procedure prior to the adoption of the decision can, in principle, cause the decision to be annulled if the rights of defence of the undertaking concerned have been infringed. In such a case, the infringement committed is not remedied by the mere fact that access was made possible at a later stage, in particular during the judicial proceedings relating to an action in which annulment of the contested decision is sought. </w:t>
      </w:r>
      <w:r w:rsidR="007E3E29" w:rsidRPr="00311B33">
        <w:rPr>
          <w:rFonts w:ascii="Times New Roman" w:hAnsi="Times New Roman" w:cs="Times New Roman"/>
          <w:i/>
          <w:lang w:val="en-GB"/>
        </w:rPr>
        <w:lastRenderedPageBreak/>
        <w:t>However, such an infringement does not bring about the annulment of the decision in question unless the undertaking concerned shows that it could have used the documents to which it was denied access for its defence.”</w:t>
      </w:r>
      <w:r w:rsidR="007E3E29" w:rsidRPr="00311B33">
        <w:rPr>
          <w:rStyle w:val="Appelnotedebasdep"/>
          <w:rFonts w:ascii="Times New Roman" w:hAnsi="Times New Roman" w:cs="Times New Roman"/>
          <w:i/>
          <w:lang w:val="en-GB"/>
        </w:rPr>
        <w:footnoteReference w:id="58"/>
      </w:r>
      <w:r w:rsidR="009B1657" w:rsidRPr="00246F56">
        <w:rPr>
          <w:rFonts w:ascii="Times New Roman" w:hAnsi="Times New Roman" w:cs="Times New Roman"/>
          <w:lang w:val="en-US"/>
        </w:rPr>
        <w:t xml:space="preserve"> </w:t>
      </w:r>
      <w:r w:rsidR="000C3EE4" w:rsidRPr="00311B33">
        <w:rPr>
          <w:rFonts w:ascii="Times New Roman" w:hAnsi="Times New Roman" w:cs="Times New Roman"/>
          <w:lang w:val="en-GB"/>
        </w:rPr>
        <w:t xml:space="preserve">Hence, </w:t>
      </w:r>
      <w:r w:rsidR="009B1657" w:rsidRPr="00246F56">
        <w:rPr>
          <w:rFonts w:ascii="Times New Roman" w:hAnsi="Times New Roman" w:cs="Times New Roman"/>
          <w:i/>
          <w:lang w:val="en-GB"/>
        </w:rPr>
        <w:t>Hercules</w:t>
      </w:r>
      <w:r w:rsidR="007E3E29" w:rsidRPr="00311B33">
        <w:rPr>
          <w:rFonts w:ascii="Times New Roman" w:hAnsi="Times New Roman" w:cs="Times New Roman"/>
          <w:lang w:val="en-GB"/>
        </w:rPr>
        <w:t xml:space="preserve"> set a standard for subsequent cases </w:t>
      </w:r>
      <w:r w:rsidR="000C3EE4" w:rsidRPr="00311B33">
        <w:rPr>
          <w:rFonts w:ascii="Times New Roman" w:hAnsi="Times New Roman" w:cs="Times New Roman"/>
          <w:lang w:val="en-GB"/>
        </w:rPr>
        <w:t xml:space="preserve">according to which </w:t>
      </w:r>
      <w:r w:rsidR="007E3E29" w:rsidRPr="00311B33">
        <w:rPr>
          <w:rFonts w:ascii="Times New Roman" w:hAnsi="Times New Roman" w:cs="Times New Roman"/>
          <w:lang w:val="en-GB"/>
        </w:rPr>
        <w:t>it is not for the Commission alone to appreciate and decide wh</w:t>
      </w:r>
      <w:r w:rsidR="000C3EE4" w:rsidRPr="00311B33">
        <w:rPr>
          <w:rFonts w:ascii="Times New Roman" w:hAnsi="Times New Roman" w:cs="Times New Roman"/>
          <w:lang w:val="en-GB"/>
        </w:rPr>
        <w:t>at kind of document is of use for</w:t>
      </w:r>
      <w:r w:rsidR="007E3E29" w:rsidRPr="00311B33">
        <w:rPr>
          <w:rFonts w:ascii="Times New Roman" w:hAnsi="Times New Roman" w:cs="Times New Roman"/>
          <w:lang w:val="en-GB"/>
        </w:rPr>
        <w:t xml:space="preserve"> the undertaking’s defence.</w:t>
      </w:r>
      <w:r w:rsidR="007E3E29" w:rsidRPr="00311B33">
        <w:rPr>
          <w:rStyle w:val="Appelnotedebasdep"/>
          <w:rFonts w:ascii="Times New Roman" w:hAnsi="Times New Roman" w:cs="Times New Roman"/>
          <w:lang w:val="en-GB"/>
        </w:rPr>
        <w:footnoteReference w:id="59"/>
      </w:r>
    </w:p>
    <w:p w:rsidR="003101B8" w:rsidRPr="00246F56" w:rsidRDefault="0037609C" w:rsidP="003101B8">
      <w:pPr>
        <w:jc w:val="both"/>
        <w:rPr>
          <w:rFonts w:ascii="Times New Roman" w:hAnsi="Times New Roman" w:cs="Times New Roman"/>
          <w:lang w:val="en-GB"/>
        </w:rPr>
      </w:pPr>
      <w:r w:rsidRPr="00311B33">
        <w:rPr>
          <w:rFonts w:ascii="Times New Roman" w:hAnsi="Times New Roman" w:cs="Times New Roman"/>
          <w:lang w:val="en-GB"/>
        </w:rPr>
        <w:t xml:space="preserve">In sum, </w:t>
      </w:r>
      <w:r w:rsidR="00B12C0B" w:rsidRPr="00311B33">
        <w:rPr>
          <w:rFonts w:ascii="Times New Roman" w:hAnsi="Times New Roman" w:cs="Times New Roman"/>
          <w:lang w:val="en-GB"/>
        </w:rPr>
        <w:t xml:space="preserve">failure to comply with the duty to grant access to file </w:t>
      </w:r>
      <w:r w:rsidRPr="00311B33">
        <w:rPr>
          <w:rFonts w:ascii="Times New Roman" w:hAnsi="Times New Roman" w:cs="Times New Roman"/>
          <w:lang w:val="en-GB"/>
        </w:rPr>
        <w:t>can</w:t>
      </w:r>
      <w:r w:rsidR="003101B8" w:rsidRPr="00311B33">
        <w:rPr>
          <w:rFonts w:ascii="Times New Roman" w:hAnsi="Times New Roman" w:cs="Times New Roman"/>
          <w:lang w:val="en-GB"/>
        </w:rPr>
        <w:t xml:space="preserve">, in principle, </w:t>
      </w:r>
      <w:r w:rsidRPr="00311B33">
        <w:rPr>
          <w:rFonts w:ascii="Times New Roman" w:hAnsi="Times New Roman" w:cs="Times New Roman"/>
          <w:lang w:val="en-GB"/>
        </w:rPr>
        <w:t xml:space="preserve">lead to </w:t>
      </w:r>
      <w:r w:rsidR="00B12C0B" w:rsidRPr="00311B33">
        <w:rPr>
          <w:rFonts w:ascii="Times New Roman" w:hAnsi="Times New Roman" w:cs="Times New Roman"/>
          <w:lang w:val="en-GB"/>
        </w:rPr>
        <w:t xml:space="preserve">the </w:t>
      </w:r>
      <w:r w:rsidR="003101B8" w:rsidRPr="00311B33">
        <w:rPr>
          <w:rFonts w:ascii="Times New Roman" w:hAnsi="Times New Roman" w:cs="Times New Roman"/>
          <w:lang w:val="en-GB"/>
        </w:rPr>
        <w:t>annulment</w:t>
      </w:r>
      <w:r w:rsidR="00B12C0B" w:rsidRPr="00311B33">
        <w:rPr>
          <w:rFonts w:ascii="Times New Roman" w:hAnsi="Times New Roman" w:cs="Times New Roman"/>
          <w:lang w:val="en-GB"/>
        </w:rPr>
        <w:t xml:space="preserve"> of the </w:t>
      </w:r>
      <w:r w:rsidRPr="00311B33">
        <w:rPr>
          <w:rFonts w:ascii="Times New Roman" w:hAnsi="Times New Roman" w:cs="Times New Roman"/>
          <w:lang w:val="en-GB"/>
        </w:rPr>
        <w:t xml:space="preserve">contested </w:t>
      </w:r>
      <w:r w:rsidR="00B12C0B" w:rsidRPr="00311B33">
        <w:rPr>
          <w:rFonts w:ascii="Times New Roman" w:hAnsi="Times New Roman" w:cs="Times New Roman"/>
          <w:lang w:val="en-GB"/>
        </w:rPr>
        <w:t>decision</w:t>
      </w:r>
      <w:r w:rsidR="003101B8" w:rsidRPr="00311B33">
        <w:rPr>
          <w:rFonts w:ascii="Times New Roman" w:hAnsi="Times New Roman" w:cs="Times New Roman"/>
          <w:lang w:val="en-GB"/>
        </w:rPr>
        <w:t xml:space="preserve">. </w:t>
      </w:r>
      <w:r w:rsidRPr="00311B33">
        <w:rPr>
          <w:rFonts w:ascii="Times New Roman" w:hAnsi="Times New Roman" w:cs="Times New Roman"/>
          <w:lang w:val="en-GB"/>
        </w:rPr>
        <w:t>However</w:t>
      </w:r>
      <w:r w:rsidR="00E35166" w:rsidRPr="00311B33">
        <w:rPr>
          <w:rFonts w:ascii="Times New Roman" w:hAnsi="Times New Roman" w:cs="Times New Roman"/>
          <w:lang w:val="en-GB"/>
        </w:rPr>
        <w:t>, t</w:t>
      </w:r>
      <w:r w:rsidR="003101B8" w:rsidRPr="00311B33">
        <w:rPr>
          <w:rFonts w:ascii="Times New Roman" w:hAnsi="Times New Roman" w:cs="Times New Roman"/>
          <w:lang w:val="en-GB"/>
        </w:rPr>
        <w:t xml:space="preserve">his </w:t>
      </w:r>
      <w:r w:rsidRPr="00311B33">
        <w:rPr>
          <w:rFonts w:ascii="Times New Roman" w:hAnsi="Times New Roman" w:cs="Times New Roman"/>
          <w:lang w:val="en-GB"/>
        </w:rPr>
        <w:t>is</w:t>
      </w:r>
      <w:r w:rsidR="003101B8" w:rsidRPr="00311B33">
        <w:rPr>
          <w:rFonts w:ascii="Times New Roman" w:hAnsi="Times New Roman" w:cs="Times New Roman"/>
          <w:lang w:val="en-GB"/>
        </w:rPr>
        <w:t xml:space="preserve"> only the case if </w:t>
      </w:r>
      <w:r w:rsidRPr="00311B33">
        <w:rPr>
          <w:rFonts w:ascii="Times New Roman" w:hAnsi="Times New Roman" w:cs="Times New Roman"/>
          <w:lang w:val="en-GB"/>
        </w:rPr>
        <w:t xml:space="preserve">(i) </w:t>
      </w:r>
      <w:r w:rsidR="003101B8" w:rsidRPr="00311B33">
        <w:rPr>
          <w:rFonts w:ascii="Times New Roman" w:hAnsi="Times New Roman" w:cs="Times New Roman"/>
          <w:lang w:val="en-GB"/>
        </w:rPr>
        <w:t xml:space="preserve">the undertaking concerned can prove that the Commission relied on that document </w:t>
      </w:r>
      <w:r w:rsidRPr="00311B33">
        <w:rPr>
          <w:rFonts w:ascii="Times New Roman" w:hAnsi="Times New Roman" w:cs="Times New Roman"/>
          <w:lang w:val="en-GB"/>
        </w:rPr>
        <w:t xml:space="preserve">in </w:t>
      </w:r>
      <w:r w:rsidR="003101B8" w:rsidRPr="00311B33">
        <w:rPr>
          <w:rFonts w:ascii="Times New Roman" w:hAnsi="Times New Roman" w:cs="Times New Roman"/>
          <w:lang w:val="en-GB"/>
        </w:rPr>
        <w:t xml:space="preserve">support </w:t>
      </w:r>
      <w:r w:rsidRPr="00311B33">
        <w:rPr>
          <w:rFonts w:ascii="Times New Roman" w:hAnsi="Times New Roman" w:cs="Times New Roman"/>
          <w:lang w:val="en-GB"/>
        </w:rPr>
        <w:t xml:space="preserve">of </w:t>
      </w:r>
      <w:r w:rsidR="003101B8" w:rsidRPr="00311B33">
        <w:rPr>
          <w:rFonts w:ascii="Times New Roman" w:hAnsi="Times New Roman" w:cs="Times New Roman"/>
          <w:lang w:val="en-GB"/>
        </w:rPr>
        <w:t>its objection</w:t>
      </w:r>
      <w:r w:rsidR="00E06F61" w:rsidRPr="00311B33">
        <w:rPr>
          <w:rFonts w:ascii="Times New Roman" w:hAnsi="Times New Roman" w:cs="Times New Roman"/>
          <w:lang w:val="en-GB"/>
        </w:rPr>
        <w:t>s</w:t>
      </w:r>
      <w:r w:rsidR="003101B8" w:rsidRPr="00311B33">
        <w:rPr>
          <w:rFonts w:ascii="Times New Roman" w:hAnsi="Times New Roman" w:cs="Times New Roman"/>
          <w:lang w:val="en-GB"/>
        </w:rPr>
        <w:t xml:space="preserve"> and</w:t>
      </w:r>
      <w:r w:rsidRPr="00311B33">
        <w:rPr>
          <w:rFonts w:ascii="Times New Roman" w:hAnsi="Times New Roman" w:cs="Times New Roman"/>
          <w:lang w:val="en-GB"/>
        </w:rPr>
        <w:t xml:space="preserve"> (ii)</w:t>
      </w:r>
      <w:r w:rsidR="003101B8" w:rsidRPr="00311B33">
        <w:rPr>
          <w:rFonts w:ascii="Times New Roman" w:hAnsi="Times New Roman" w:cs="Times New Roman"/>
          <w:lang w:val="en-GB"/>
        </w:rPr>
        <w:t xml:space="preserve"> the final decision </w:t>
      </w:r>
      <w:r w:rsidRPr="00311B33">
        <w:rPr>
          <w:rFonts w:ascii="Times New Roman" w:hAnsi="Times New Roman" w:cs="Times New Roman"/>
          <w:lang w:val="en-GB"/>
        </w:rPr>
        <w:t xml:space="preserve">would </w:t>
      </w:r>
      <w:r w:rsidR="003101B8" w:rsidRPr="00311B33">
        <w:rPr>
          <w:rFonts w:ascii="Times New Roman" w:hAnsi="Times New Roman" w:cs="Times New Roman"/>
          <w:lang w:val="en-GB"/>
        </w:rPr>
        <w:t>have been different</w:t>
      </w:r>
      <w:r w:rsidRPr="00311B33">
        <w:rPr>
          <w:rFonts w:ascii="Times New Roman" w:hAnsi="Times New Roman" w:cs="Times New Roman"/>
          <w:lang w:val="en-GB"/>
        </w:rPr>
        <w:t xml:space="preserve"> had the requested document been disclosed</w:t>
      </w:r>
      <w:r w:rsidR="003101B8" w:rsidRPr="00311B33">
        <w:rPr>
          <w:rFonts w:ascii="Times New Roman" w:hAnsi="Times New Roman" w:cs="Times New Roman"/>
          <w:lang w:val="en-GB"/>
        </w:rPr>
        <w:t>.</w:t>
      </w:r>
      <w:r w:rsidRPr="00311B33">
        <w:rPr>
          <w:rStyle w:val="Appelnotedebasdep"/>
          <w:rFonts w:ascii="Times New Roman" w:hAnsi="Times New Roman" w:cs="Times New Roman"/>
          <w:lang w:val="en-GB"/>
        </w:rPr>
        <w:footnoteReference w:id="60"/>
      </w:r>
      <w:r w:rsidR="003101B8" w:rsidRPr="00311B33">
        <w:rPr>
          <w:rFonts w:ascii="Times New Roman" w:hAnsi="Times New Roman" w:cs="Times New Roman"/>
          <w:lang w:val="en-GB"/>
        </w:rPr>
        <w:t xml:space="preserve"> </w:t>
      </w:r>
      <w:r w:rsidR="004F5569" w:rsidRPr="00311B33">
        <w:rPr>
          <w:rFonts w:ascii="Times New Roman" w:hAnsi="Times New Roman" w:cs="Times New Roman"/>
          <w:lang w:val="en-GB"/>
        </w:rPr>
        <w:t xml:space="preserve"> </w:t>
      </w:r>
    </w:p>
    <w:p w:rsidR="009A4463" w:rsidRPr="00311B33" w:rsidRDefault="009A4463" w:rsidP="0082443E">
      <w:pPr>
        <w:jc w:val="both"/>
        <w:rPr>
          <w:rFonts w:ascii="Times New Roman" w:hAnsi="Times New Roman" w:cs="Times New Roman"/>
          <w:lang w:val="en-GB"/>
        </w:rPr>
      </w:pPr>
    </w:p>
    <w:p w:rsidR="008E625A" w:rsidRPr="00311B33" w:rsidRDefault="008E625A" w:rsidP="0082443E">
      <w:pPr>
        <w:jc w:val="both"/>
        <w:rPr>
          <w:rFonts w:ascii="Times New Roman" w:hAnsi="Times New Roman" w:cs="Times New Roman"/>
          <w:lang w:val="en-GB"/>
        </w:rPr>
      </w:pPr>
    </w:p>
    <w:p w:rsidR="00880F1D" w:rsidRPr="00311B33" w:rsidRDefault="00FF1FE7" w:rsidP="0082443E">
      <w:pPr>
        <w:jc w:val="both"/>
        <w:rPr>
          <w:rFonts w:ascii="Times New Roman" w:hAnsi="Times New Roman" w:cs="Times New Roman"/>
          <w:b/>
          <w:u w:val="single"/>
          <w:lang w:val="en-GB"/>
        </w:rPr>
      </w:pPr>
      <w:r w:rsidRPr="00311B33">
        <w:rPr>
          <w:rFonts w:ascii="Times New Roman" w:hAnsi="Times New Roman" w:cs="Times New Roman"/>
          <w:b/>
          <w:lang w:val="en-GB"/>
        </w:rPr>
        <w:t>III.</w:t>
      </w:r>
      <w:r w:rsidRPr="00311B33">
        <w:rPr>
          <w:rFonts w:ascii="Times New Roman" w:hAnsi="Times New Roman" w:cs="Times New Roman"/>
          <w:b/>
          <w:lang w:val="en-GB"/>
        </w:rPr>
        <w:tab/>
      </w:r>
      <w:r w:rsidR="009A4463" w:rsidRPr="00311B33">
        <w:rPr>
          <w:rFonts w:ascii="Times New Roman" w:hAnsi="Times New Roman" w:cs="Times New Roman"/>
          <w:b/>
          <w:u w:val="single"/>
          <w:lang w:val="en-GB"/>
        </w:rPr>
        <w:t xml:space="preserve">The </w:t>
      </w:r>
      <w:r w:rsidR="00201AA8" w:rsidRPr="00311B33">
        <w:rPr>
          <w:rFonts w:ascii="Times New Roman" w:hAnsi="Times New Roman" w:cs="Times New Roman"/>
          <w:b/>
          <w:u w:val="single"/>
          <w:lang w:val="en-GB"/>
        </w:rPr>
        <w:t xml:space="preserve">right </w:t>
      </w:r>
      <w:r w:rsidR="00080AE9" w:rsidRPr="00311B33">
        <w:rPr>
          <w:rFonts w:ascii="Times New Roman" w:hAnsi="Times New Roman" w:cs="Times New Roman"/>
          <w:b/>
          <w:u w:val="single"/>
          <w:lang w:val="en-GB"/>
        </w:rPr>
        <w:t>of expression (also called right to be heard)</w:t>
      </w:r>
      <w:r w:rsidR="004D1C74" w:rsidRPr="00311B33">
        <w:rPr>
          <w:rStyle w:val="Appelnotedebasdep"/>
          <w:rFonts w:ascii="Times New Roman" w:hAnsi="Times New Roman" w:cs="Times New Roman"/>
          <w:b/>
          <w:u w:val="single"/>
          <w:lang w:val="en-GB"/>
        </w:rPr>
        <w:footnoteReference w:id="61"/>
      </w:r>
    </w:p>
    <w:p w:rsidR="009A4463" w:rsidRPr="00311B33" w:rsidRDefault="009A4463" w:rsidP="0082443E">
      <w:pPr>
        <w:pStyle w:val="Paragraphedeliste"/>
        <w:jc w:val="both"/>
        <w:rPr>
          <w:rFonts w:ascii="Times New Roman" w:hAnsi="Times New Roman" w:cs="Times New Roman"/>
          <w:b/>
          <w:lang w:val="en-GB"/>
        </w:rPr>
      </w:pPr>
    </w:p>
    <w:p w:rsidR="00444CE8" w:rsidRPr="00311B33" w:rsidRDefault="007E3E29" w:rsidP="0082443E">
      <w:pPr>
        <w:jc w:val="both"/>
        <w:rPr>
          <w:rFonts w:ascii="Times New Roman" w:hAnsi="Times New Roman" w:cs="Times New Roman"/>
          <w:lang w:val="en-GB"/>
        </w:rPr>
      </w:pPr>
      <w:r w:rsidRPr="00311B33">
        <w:rPr>
          <w:rFonts w:ascii="Times New Roman" w:hAnsi="Times New Roman" w:cs="Times New Roman"/>
          <w:b/>
          <w:lang w:val="en-GB"/>
        </w:rPr>
        <w:t>Content and legal basis</w:t>
      </w:r>
      <w:r w:rsidRPr="00311B33">
        <w:rPr>
          <w:rFonts w:ascii="Times New Roman" w:hAnsi="Times New Roman" w:cs="Times New Roman"/>
          <w:b/>
          <w:lang w:val="en-US"/>
        </w:rPr>
        <w:t xml:space="preserve"> </w:t>
      </w:r>
      <w:r w:rsidRPr="00311B33">
        <w:rPr>
          <w:rFonts w:ascii="Times New Roman" w:hAnsi="Times New Roman" w:cs="Times New Roman"/>
          <w:lang w:val="en-US"/>
        </w:rPr>
        <w:t xml:space="preserve">– </w:t>
      </w:r>
      <w:r w:rsidR="00F73263" w:rsidRPr="00311B33">
        <w:rPr>
          <w:rFonts w:ascii="Times New Roman" w:hAnsi="Times New Roman" w:cs="Times New Roman"/>
          <w:lang w:val="en-GB"/>
        </w:rPr>
        <w:t>A</w:t>
      </w:r>
      <w:r w:rsidR="00444CE8" w:rsidRPr="00311B33">
        <w:rPr>
          <w:rFonts w:ascii="Times New Roman" w:hAnsi="Times New Roman" w:cs="Times New Roman"/>
          <w:lang w:val="en-GB"/>
        </w:rPr>
        <w:t>ny</w:t>
      </w:r>
      <w:r w:rsidR="00F73263" w:rsidRPr="00311B33">
        <w:rPr>
          <w:rFonts w:ascii="Times New Roman" w:hAnsi="Times New Roman" w:cs="Times New Roman"/>
          <w:lang w:val="en-GB"/>
        </w:rPr>
        <w:t xml:space="preserve"> </w:t>
      </w:r>
      <w:r w:rsidR="0037609C" w:rsidRPr="00311B33">
        <w:rPr>
          <w:rFonts w:ascii="Times New Roman" w:hAnsi="Times New Roman" w:cs="Times New Roman"/>
          <w:lang w:val="en-GB"/>
        </w:rPr>
        <w:t xml:space="preserve">firm </w:t>
      </w:r>
      <w:r w:rsidR="0086700D" w:rsidRPr="00311B33">
        <w:rPr>
          <w:rFonts w:ascii="Times New Roman" w:hAnsi="Times New Roman" w:cs="Times New Roman"/>
          <w:lang w:val="en-GB"/>
        </w:rPr>
        <w:t xml:space="preserve">subject to antitrust </w:t>
      </w:r>
      <w:r w:rsidR="00F73263" w:rsidRPr="00311B33">
        <w:rPr>
          <w:rFonts w:ascii="Times New Roman" w:hAnsi="Times New Roman" w:cs="Times New Roman"/>
          <w:lang w:val="en-GB"/>
        </w:rPr>
        <w:t xml:space="preserve">proceedings must </w:t>
      </w:r>
      <w:r w:rsidR="0037609C" w:rsidRPr="00311B33">
        <w:rPr>
          <w:rFonts w:ascii="Times New Roman" w:hAnsi="Times New Roman" w:cs="Times New Roman"/>
          <w:lang w:val="en-GB"/>
        </w:rPr>
        <w:t xml:space="preserve">have </w:t>
      </w:r>
      <w:r w:rsidR="00F73263" w:rsidRPr="00311B33">
        <w:rPr>
          <w:rFonts w:ascii="Times New Roman" w:hAnsi="Times New Roman" w:cs="Times New Roman"/>
          <w:lang w:val="en-GB"/>
        </w:rPr>
        <w:t xml:space="preserve">the opportunity </w:t>
      </w:r>
      <w:r w:rsidR="008008C6" w:rsidRPr="00311B33">
        <w:rPr>
          <w:rFonts w:ascii="Times New Roman" w:hAnsi="Times New Roman" w:cs="Times New Roman"/>
          <w:lang w:val="en-GB"/>
        </w:rPr>
        <w:t>to present its views</w:t>
      </w:r>
      <w:r w:rsidR="00F73263" w:rsidRPr="00311B33">
        <w:rPr>
          <w:rFonts w:ascii="Times New Roman" w:hAnsi="Times New Roman" w:cs="Times New Roman"/>
          <w:lang w:val="en-GB"/>
        </w:rPr>
        <w:t xml:space="preserve"> on the </w:t>
      </w:r>
      <w:r w:rsidR="0037609C" w:rsidRPr="00311B33">
        <w:rPr>
          <w:rFonts w:ascii="Times New Roman" w:hAnsi="Times New Roman" w:cs="Times New Roman"/>
          <w:lang w:val="en-GB"/>
        </w:rPr>
        <w:t xml:space="preserve">veracity </w:t>
      </w:r>
      <w:r w:rsidR="00F73263" w:rsidRPr="00311B33">
        <w:rPr>
          <w:rFonts w:ascii="Times New Roman" w:hAnsi="Times New Roman" w:cs="Times New Roman"/>
          <w:lang w:val="en-GB"/>
        </w:rPr>
        <w:t xml:space="preserve">of the </w:t>
      </w:r>
      <w:r w:rsidR="0037609C" w:rsidRPr="00311B33">
        <w:rPr>
          <w:rFonts w:ascii="Times New Roman" w:hAnsi="Times New Roman" w:cs="Times New Roman"/>
          <w:lang w:val="en-GB"/>
        </w:rPr>
        <w:t xml:space="preserve">objections raised </w:t>
      </w:r>
      <w:r w:rsidR="00F73263" w:rsidRPr="00311B33">
        <w:rPr>
          <w:rFonts w:ascii="Times New Roman" w:hAnsi="Times New Roman" w:cs="Times New Roman"/>
          <w:lang w:val="en-GB"/>
        </w:rPr>
        <w:t xml:space="preserve">against </w:t>
      </w:r>
      <w:r w:rsidR="0037609C" w:rsidRPr="00311B33">
        <w:rPr>
          <w:rFonts w:ascii="Times New Roman" w:hAnsi="Times New Roman" w:cs="Times New Roman"/>
          <w:lang w:val="en-GB"/>
        </w:rPr>
        <w:t>it, be it on factual or legal grounds</w:t>
      </w:r>
      <w:r w:rsidR="00F73263" w:rsidRPr="00311B33">
        <w:rPr>
          <w:rFonts w:ascii="Times New Roman" w:hAnsi="Times New Roman" w:cs="Times New Roman"/>
          <w:lang w:val="en-GB"/>
        </w:rPr>
        <w:t>.</w:t>
      </w:r>
      <w:r w:rsidR="009C2071" w:rsidRPr="00311B33">
        <w:rPr>
          <w:rStyle w:val="Appelnotedebasdep"/>
          <w:rFonts w:ascii="Times New Roman" w:hAnsi="Times New Roman" w:cs="Times New Roman"/>
          <w:lang w:val="en-GB"/>
        </w:rPr>
        <w:footnoteReference w:id="62"/>
      </w:r>
      <w:r w:rsidR="00F73263" w:rsidRPr="00311B33">
        <w:rPr>
          <w:rFonts w:ascii="Times New Roman" w:hAnsi="Times New Roman" w:cs="Times New Roman"/>
          <w:lang w:val="en-GB"/>
        </w:rPr>
        <w:t xml:space="preserve"> </w:t>
      </w:r>
      <w:r w:rsidR="009A4463" w:rsidRPr="00311B33">
        <w:rPr>
          <w:rFonts w:ascii="Times New Roman" w:hAnsi="Times New Roman" w:cs="Times New Roman"/>
          <w:lang w:val="en-GB"/>
        </w:rPr>
        <w:t xml:space="preserve">This includes a right to </w:t>
      </w:r>
      <w:r w:rsidR="0086700D" w:rsidRPr="00311B33">
        <w:rPr>
          <w:rFonts w:ascii="Times New Roman" w:hAnsi="Times New Roman" w:cs="Times New Roman"/>
          <w:lang w:val="en-GB"/>
        </w:rPr>
        <w:t>respond</w:t>
      </w:r>
      <w:r w:rsidR="009A4463" w:rsidRPr="00311B33">
        <w:rPr>
          <w:rFonts w:ascii="Times New Roman" w:hAnsi="Times New Roman" w:cs="Times New Roman"/>
          <w:lang w:val="en-GB"/>
        </w:rPr>
        <w:t xml:space="preserve"> in writing</w:t>
      </w:r>
      <w:r w:rsidR="0037609C" w:rsidRPr="00311B33">
        <w:rPr>
          <w:rFonts w:ascii="Times New Roman" w:hAnsi="Times New Roman" w:cs="Times New Roman"/>
          <w:lang w:val="en-GB"/>
        </w:rPr>
        <w:t>, and</w:t>
      </w:r>
      <w:r w:rsidR="009A4463" w:rsidRPr="00311B33">
        <w:rPr>
          <w:rFonts w:ascii="Times New Roman" w:hAnsi="Times New Roman" w:cs="Times New Roman"/>
          <w:lang w:val="en-GB"/>
        </w:rPr>
        <w:t xml:space="preserve"> </w:t>
      </w:r>
      <w:r w:rsidR="00EE7AB9" w:rsidRPr="00311B33">
        <w:rPr>
          <w:rFonts w:ascii="Times New Roman" w:hAnsi="Times New Roman" w:cs="Times New Roman"/>
          <w:lang w:val="en-GB"/>
        </w:rPr>
        <w:t>a</w:t>
      </w:r>
      <w:r w:rsidR="0037609C" w:rsidRPr="00311B33">
        <w:rPr>
          <w:rFonts w:ascii="Times New Roman" w:hAnsi="Times New Roman" w:cs="Times New Roman"/>
          <w:lang w:val="en-GB"/>
        </w:rPr>
        <w:t xml:space="preserve"> right to a</w:t>
      </w:r>
      <w:r w:rsidR="00EE7AB9" w:rsidRPr="00311B33">
        <w:rPr>
          <w:rFonts w:ascii="Times New Roman" w:hAnsi="Times New Roman" w:cs="Times New Roman"/>
          <w:lang w:val="en-GB"/>
        </w:rPr>
        <w:t>n</w:t>
      </w:r>
      <w:r w:rsidR="0037609C" w:rsidRPr="00311B33">
        <w:rPr>
          <w:rFonts w:ascii="Times New Roman" w:hAnsi="Times New Roman" w:cs="Times New Roman"/>
          <w:lang w:val="en-GB"/>
        </w:rPr>
        <w:t xml:space="preserve"> oral hearing</w:t>
      </w:r>
      <w:r w:rsidR="008008C6" w:rsidRPr="00311B33">
        <w:rPr>
          <w:rFonts w:ascii="Times New Roman" w:hAnsi="Times New Roman" w:cs="Times New Roman"/>
          <w:lang w:val="en-GB"/>
        </w:rPr>
        <w:t>.</w:t>
      </w:r>
      <w:r w:rsidR="008008C6" w:rsidRPr="00311B33">
        <w:rPr>
          <w:rStyle w:val="Appelnotedebasdep"/>
          <w:rFonts w:ascii="Times New Roman" w:hAnsi="Times New Roman" w:cs="Times New Roman"/>
          <w:lang w:val="en-GB"/>
        </w:rPr>
        <w:footnoteReference w:id="63"/>
      </w:r>
      <w:r w:rsidR="0086700D" w:rsidRPr="00311B33">
        <w:rPr>
          <w:rFonts w:ascii="Times New Roman" w:hAnsi="Times New Roman" w:cs="Times New Roman"/>
          <w:lang w:val="en-GB"/>
        </w:rPr>
        <w:t xml:space="preserve"> </w:t>
      </w:r>
    </w:p>
    <w:p w:rsidR="00444CE8" w:rsidRPr="00311B33" w:rsidRDefault="00444CE8" w:rsidP="0082443E">
      <w:pPr>
        <w:jc w:val="both"/>
        <w:rPr>
          <w:rFonts w:ascii="Times New Roman" w:hAnsi="Times New Roman" w:cs="Times New Roman"/>
          <w:lang w:val="en-GB"/>
        </w:rPr>
      </w:pPr>
    </w:p>
    <w:p w:rsidR="00C43127" w:rsidRPr="00311B33" w:rsidRDefault="00EE7AB9" w:rsidP="00FD2168">
      <w:pPr>
        <w:jc w:val="both"/>
        <w:rPr>
          <w:rFonts w:ascii="Times New Roman" w:hAnsi="Times New Roman" w:cs="Times New Roman"/>
          <w:lang w:val="en-GB"/>
        </w:rPr>
      </w:pPr>
      <w:r w:rsidRPr="00311B33">
        <w:rPr>
          <w:rFonts w:ascii="Times New Roman" w:hAnsi="Times New Roman" w:cs="Times New Roman"/>
          <w:lang w:val="en-GB"/>
        </w:rPr>
        <w:t xml:space="preserve">This right to be heard </w:t>
      </w:r>
      <w:r w:rsidR="0037609C" w:rsidRPr="00311B33">
        <w:rPr>
          <w:rFonts w:ascii="Times New Roman" w:hAnsi="Times New Roman" w:cs="Times New Roman"/>
          <w:lang w:val="en-GB"/>
        </w:rPr>
        <w:t xml:space="preserve">is rather a right to </w:t>
      </w:r>
      <w:r w:rsidRPr="00311B33">
        <w:rPr>
          <w:rFonts w:ascii="Times New Roman" w:hAnsi="Times New Roman" w:cs="Times New Roman"/>
          <w:lang w:val="en-GB"/>
        </w:rPr>
        <w:t xml:space="preserve">express, formulate or verbalize </w:t>
      </w:r>
      <w:r w:rsidR="0037609C" w:rsidRPr="00311B33">
        <w:rPr>
          <w:rFonts w:ascii="Times New Roman" w:hAnsi="Times New Roman" w:cs="Times New Roman"/>
          <w:lang w:val="en-GB"/>
        </w:rPr>
        <w:t>observations</w:t>
      </w:r>
      <w:r w:rsidRPr="00311B33">
        <w:rPr>
          <w:rFonts w:ascii="Times New Roman" w:hAnsi="Times New Roman" w:cs="Times New Roman"/>
          <w:lang w:val="en-GB"/>
        </w:rPr>
        <w:t xml:space="preserve"> (</w:t>
      </w:r>
      <w:r w:rsidR="0037609C" w:rsidRPr="00311B33">
        <w:rPr>
          <w:rFonts w:ascii="Times New Roman" w:hAnsi="Times New Roman" w:cs="Times New Roman"/>
          <w:lang w:val="en-GB"/>
        </w:rPr>
        <w:t>regardless of whether someone hears</w:t>
      </w:r>
      <w:r w:rsidRPr="00311B33">
        <w:rPr>
          <w:rFonts w:ascii="Times New Roman" w:hAnsi="Times New Roman" w:cs="Times New Roman"/>
          <w:lang w:val="en-GB"/>
        </w:rPr>
        <w:t>).</w:t>
      </w:r>
      <w:r w:rsidR="0037609C" w:rsidRPr="00311B33">
        <w:rPr>
          <w:rFonts w:ascii="Times New Roman" w:hAnsi="Times New Roman" w:cs="Times New Roman"/>
          <w:lang w:val="en-GB"/>
        </w:rPr>
        <w:t xml:space="preserve"> </w:t>
      </w:r>
      <w:r w:rsidRPr="00311B33">
        <w:rPr>
          <w:rFonts w:ascii="Times New Roman" w:hAnsi="Times New Roman" w:cs="Times New Roman"/>
          <w:lang w:val="en-GB"/>
        </w:rPr>
        <w:t xml:space="preserve">It </w:t>
      </w:r>
      <w:r w:rsidR="00444CE8" w:rsidRPr="00311B33">
        <w:rPr>
          <w:rFonts w:ascii="Times New Roman" w:hAnsi="Times New Roman" w:cs="Times New Roman"/>
          <w:lang w:val="en-GB"/>
        </w:rPr>
        <w:t xml:space="preserve">was </w:t>
      </w:r>
      <w:r w:rsidRPr="00311B33">
        <w:rPr>
          <w:rFonts w:ascii="Times New Roman" w:hAnsi="Times New Roman" w:cs="Times New Roman"/>
          <w:lang w:val="en-GB"/>
        </w:rPr>
        <w:t xml:space="preserve">first </w:t>
      </w:r>
      <w:r w:rsidR="00444CE8" w:rsidRPr="00311B33">
        <w:rPr>
          <w:rFonts w:ascii="Times New Roman" w:hAnsi="Times New Roman" w:cs="Times New Roman"/>
          <w:lang w:val="en-GB"/>
        </w:rPr>
        <w:t xml:space="preserve">developed </w:t>
      </w:r>
      <w:r w:rsidRPr="00311B33">
        <w:rPr>
          <w:rFonts w:ascii="Times New Roman" w:hAnsi="Times New Roman" w:cs="Times New Roman"/>
          <w:lang w:val="en-GB"/>
        </w:rPr>
        <w:t xml:space="preserve">in the </w:t>
      </w:r>
      <w:r w:rsidRPr="00311B33">
        <w:rPr>
          <w:rFonts w:ascii="Times New Roman" w:hAnsi="Times New Roman" w:cs="Times New Roman"/>
          <w:i/>
          <w:lang w:val="en-GB"/>
        </w:rPr>
        <w:t>Transocean Marine Paint</w:t>
      </w:r>
      <w:r w:rsidRPr="00311B33">
        <w:rPr>
          <w:rFonts w:ascii="Times New Roman" w:hAnsi="Times New Roman" w:cs="Times New Roman"/>
          <w:lang w:val="en-GB"/>
        </w:rPr>
        <w:t xml:space="preserve"> </w:t>
      </w:r>
      <w:r w:rsidR="00444CE8" w:rsidRPr="00311B33">
        <w:rPr>
          <w:rFonts w:ascii="Times New Roman" w:hAnsi="Times New Roman" w:cs="Times New Roman"/>
          <w:lang w:val="en-GB"/>
        </w:rPr>
        <w:t xml:space="preserve">case-law, </w:t>
      </w:r>
      <w:r w:rsidR="008D0F67">
        <w:rPr>
          <w:rFonts w:ascii="Times New Roman" w:hAnsi="Times New Roman" w:cs="Times New Roman"/>
          <w:lang w:val="en-GB"/>
        </w:rPr>
        <w:t xml:space="preserve">absent </w:t>
      </w:r>
      <w:r w:rsidRPr="00311B33">
        <w:rPr>
          <w:rFonts w:ascii="Times New Roman" w:hAnsi="Times New Roman" w:cs="Times New Roman"/>
          <w:lang w:val="en-GB"/>
        </w:rPr>
        <w:t xml:space="preserve">a specific </w:t>
      </w:r>
      <w:r w:rsidR="00444CE8" w:rsidRPr="00311B33">
        <w:rPr>
          <w:rFonts w:ascii="Times New Roman" w:hAnsi="Times New Roman" w:cs="Times New Roman"/>
          <w:lang w:val="en-GB"/>
        </w:rPr>
        <w:t>legal basis.</w:t>
      </w:r>
      <w:r w:rsidR="00444CE8" w:rsidRPr="00311B33">
        <w:rPr>
          <w:rStyle w:val="Appelnotedebasdep"/>
          <w:rFonts w:ascii="Times New Roman" w:hAnsi="Times New Roman" w:cs="Times New Roman"/>
          <w:lang w:val="en-GB"/>
        </w:rPr>
        <w:footnoteReference w:id="64"/>
      </w:r>
      <w:r w:rsidR="00444CE8" w:rsidRPr="00311B33">
        <w:rPr>
          <w:rFonts w:ascii="Times New Roman" w:hAnsi="Times New Roman" w:cs="Times New Roman"/>
          <w:lang w:val="en-GB"/>
        </w:rPr>
        <w:t xml:space="preserve"> It is now a fundamental principle of EU law,</w:t>
      </w:r>
      <w:r w:rsidR="00C43127" w:rsidRPr="00311B33">
        <w:rPr>
          <w:rFonts w:ascii="Times New Roman" w:hAnsi="Times New Roman" w:cs="Times New Roman"/>
          <w:lang w:val="en-GB"/>
        </w:rPr>
        <w:t xml:space="preserve"> deeply rooted in several </w:t>
      </w:r>
      <w:r w:rsidRPr="00311B33">
        <w:rPr>
          <w:rFonts w:ascii="Times New Roman" w:hAnsi="Times New Roman" w:cs="Times New Roman"/>
          <w:lang w:val="en-GB"/>
        </w:rPr>
        <w:t xml:space="preserve">textual instruments </w:t>
      </w:r>
      <w:r w:rsidR="00C43127" w:rsidRPr="00311B33">
        <w:rPr>
          <w:rFonts w:ascii="Times New Roman" w:hAnsi="Times New Roman" w:cs="Times New Roman"/>
          <w:lang w:val="en-GB"/>
        </w:rPr>
        <w:t>such as Regulation 1/2003</w:t>
      </w:r>
      <w:r w:rsidRPr="00311B33">
        <w:rPr>
          <w:rFonts w:ascii="Times New Roman" w:hAnsi="Times New Roman" w:cs="Times New Roman"/>
          <w:lang w:val="en-GB"/>
        </w:rPr>
        <w:t>,</w:t>
      </w:r>
      <w:r w:rsidR="00C43127" w:rsidRPr="00311B33">
        <w:rPr>
          <w:rStyle w:val="Appelnotedebasdep"/>
          <w:rFonts w:ascii="Times New Roman" w:hAnsi="Times New Roman" w:cs="Times New Roman"/>
          <w:lang w:val="en-GB"/>
        </w:rPr>
        <w:footnoteReference w:id="65"/>
      </w:r>
      <w:r w:rsidR="00C43127" w:rsidRPr="00311B33">
        <w:rPr>
          <w:rFonts w:ascii="Times New Roman" w:hAnsi="Times New Roman" w:cs="Times New Roman"/>
          <w:lang w:val="en-GB"/>
        </w:rPr>
        <w:t xml:space="preserve"> Regulation 773/2004,</w:t>
      </w:r>
      <w:r w:rsidR="00C43127" w:rsidRPr="00311B33">
        <w:rPr>
          <w:rStyle w:val="Appelnotedebasdep"/>
          <w:rFonts w:ascii="Times New Roman" w:hAnsi="Times New Roman" w:cs="Times New Roman"/>
          <w:lang w:val="en-GB"/>
        </w:rPr>
        <w:footnoteReference w:id="66"/>
      </w:r>
      <w:r w:rsidR="00C43127" w:rsidRPr="00311B33">
        <w:rPr>
          <w:rFonts w:ascii="Times New Roman" w:hAnsi="Times New Roman" w:cs="Times New Roman"/>
          <w:lang w:val="en-GB"/>
        </w:rPr>
        <w:t xml:space="preserve"> the Best Practices Guidelines</w:t>
      </w:r>
      <w:r w:rsidR="00C43127" w:rsidRPr="00311B33">
        <w:rPr>
          <w:rStyle w:val="Appelnotedebasdep"/>
          <w:rFonts w:ascii="Times New Roman" w:hAnsi="Times New Roman" w:cs="Times New Roman"/>
          <w:lang w:val="en-GB"/>
        </w:rPr>
        <w:footnoteReference w:id="67"/>
      </w:r>
      <w:r w:rsidR="00C43127" w:rsidRPr="00311B33">
        <w:rPr>
          <w:rFonts w:ascii="Times New Roman" w:hAnsi="Times New Roman" w:cs="Times New Roman"/>
          <w:lang w:val="en-GB"/>
        </w:rPr>
        <w:t xml:space="preserve"> and the Charter.</w:t>
      </w:r>
      <w:r w:rsidR="00C43127" w:rsidRPr="00311B33">
        <w:rPr>
          <w:rStyle w:val="Appelnotedebasdep"/>
          <w:rFonts w:ascii="Times New Roman" w:hAnsi="Times New Roman" w:cs="Times New Roman"/>
          <w:lang w:val="en-GB"/>
        </w:rPr>
        <w:footnoteReference w:id="68"/>
      </w:r>
      <w:r w:rsidR="00444CE8" w:rsidRPr="00311B33">
        <w:rPr>
          <w:rFonts w:ascii="Times New Roman" w:hAnsi="Times New Roman" w:cs="Times New Roman"/>
          <w:lang w:val="en-GB"/>
        </w:rPr>
        <w:t xml:space="preserve"> </w:t>
      </w:r>
    </w:p>
    <w:p w:rsidR="009A4463" w:rsidRPr="00311B33" w:rsidRDefault="009A4463" w:rsidP="0082443E">
      <w:pPr>
        <w:jc w:val="both"/>
        <w:rPr>
          <w:rFonts w:ascii="Times New Roman" w:hAnsi="Times New Roman" w:cs="Times New Roman"/>
          <w:lang w:val="en-GB"/>
        </w:rPr>
      </w:pPr>
    </w:p>
    <w:p w:rsidR="009A4463" w:rsidRPr="00311B33" w:rsidRDefault="00E83C7E" w:rsidP="0082443E">
      <w:pPr>
        <w:jc w:val="both"/>
        <w:rPr>
          <w:rFonts w:ascii="Times New Roman" w:hAnsi="Times New Roman" w:cs="Times New Roman"/>
          <w:lang w:val="en-GB"/>
        </w:rPr>
      </w:pPr>
      <w:r w:rsidRPr="00311B33">
        <w:rPr>
          <w:rFonts w:ascii="Times New Roman" w:hAnsi="Times New Roman" w:cs="Times New Roman"/>
          <w:lang w:val="en-GB"/>
        </w:rPr>
        <w:t>Article</w:t>
      </w:r>
      <w:r w:rsidR="009A4463" w:rsidRPr="00311B33">
        <w:rPr>
          <w:rFonts w:ascii="Times New Roman" w:hAnsi="Times New Roman" w:cs="Times New Roman"/>
          <w:lang w:val="en-GB"/>
        </w:rPr>
        <w:t xml:space="preserve"> 27 of Regulation 1/2003 </w:t>
      </w:r>
      <w:r w:rsidR="00EE7AB9" w:rsidRPr="00311B33">
        <w:rPr>
          <w:rFonts w:ascii="Times New Roman" w:hAnsi="Times New Roman" w:cs="Times New Roman"/>
          <w:lang w:val="en-GB"/>
        </w:rPr>
        <w:t xml:space="preserve">gives more </w:t>
      </w:r>
      <w:r w:rsidR="00444CE8" w:rsidRPr="00311B33">
        <w:rPr>
          <w:rFonts w:ascii="Times New Roman" w:hAnsi="Times New Roman" w:cs="Times New Roman"/>
          <w:lang w:val="en-GB"/>
        </w:rPr>
        <w:t xml:space="preserve">details </w:t>
      </w:r>
      <w:r w:rsidR="00EE7AB9" w:rsidRPr="00311B33">
        <w:rPr>
          <w:rFonts w:ascii="Times New Roman" w:hAnsi="Times New Roman" w:cs="Times New Roman"/>
          <w:lang w:val="en-GB"/>
        </w:rPr>
        <w:t xml:space="preserve">on </w:t>
      </w:r>
      <w:r w:rsidR="00E33213" w:rsidRPr="00311B33">
        <w:rPr>
          <w:rFonts w:ascii="Times New Roman" w:hAnsi="Times New Roman" w:cs="Times New Roman"/>
          <w:lang w:val="en-GB"/>
        </w:rPr>
        <w:t>the right to be heard.</w:t>
      </w:r>
      <w:r w:rsidR="009A4463" w:rsidRPr="00311B33">
        <w:rPr>
          <w:rFonts w:ascii="Times New Roman" w:hAnsi="Times New Roman" w:cs="Times New Roman"/>
          <w:lang w:val="en-GB"/>
        </w:rPr>
        <w:t xml:space="preserve"> </w:t>
      </w:r>
      <w:r w:rsidR="00EE7AB9" w:rsidRPr="00311B33">
        <w:rPr>
          <w:rFonts w:ascii="Times New Roman" w:hAnsi="Times New Roman" w:cs="Times New Roman"/>
          <w:lang w:val="en-GB"/>
        </w:rPr>
        <w:t>T</w:t>
      </w:r>
      <w:r w:rsidR="009A4463" w:rsidRPr="00311B33">
        <w:rPr>
          <w:rFonts w:ascii="Times New Roman" w:hAnsi="Times New Roman" w:cs="Times New Roman"/>
          <w:lang w:val="en-GB"/>
        </w:rPr>
        <w:t xml:space="preserve">he Commission </w:t>
      </w:r>
      <w:r w:rsidR="00EE7AB9" w:rsidRPr="00311B33">
        <w:rPr>
          <w:rFonts w:ascii="Times New Roman" w:hAnsi="Times New Roman" w:cs="Times New Roman"/>
          <w:lang w:val="en-GB"/>
        </w:rPr>
        <w:t xml:space="preserve">must </w:t>
      </w:r>
      <w:r w:rsidR="009A4463" w:rsidRPr="00311B33">
        <w:rPr>
          <w:rFonts w:ascii="Times New Roman" w:hAnsi="Times New Roman" w:cs="Times New Roman"/>
          <w:lang w:val="en-GB"/>
        </w:rPr>
        <w:t xml:space="preserve">give </w:t>
      </w:r>
      <w:r w:rsidR="00444CE8" w:rsidRPr="00311B33">
        <w:rPr>
          <w:rFonts w:ascii="Times New Roman" w:hAnsi="Times New Roman" w:cs="Times New Roman"/>
          <w:lang w:val="en-GB"/>
        </w:rPr>
        <w:t xml:space="preserve">to </w:t>
      </w:r>
      <w:r w:rsidR="00EE7AB9" w:rsidRPr="00311B33">
        <w:rPr>
          <w:rFonts w:ascii="Times New Roman" w:hAnsi="Times New Roman" w:cs="Times New Roman"/>
          <w:lang w:val="en-GB"/>
        </w:rPr>
        <w:t xml:space="preserve">suspected </w:t>
      </w:r>
      <w:r w:rsidR="009A4463" w:rsidRPr="00311B33">
        <w:rPr>
          <w:rFonts w:ascii="Times New Roman" w:hAnsi="Times New Roman" w:cs="Times New Roman"/>
          <w:lang w:val="en-GB"/>
        </w:rPr>
        <w:t>undertakings the opportunity to be heard on the objection</w:t>
      </w:r>
      <w:r w:rsidR="00EE7AB9" w:rsidRPr="00311B33">
        <w:rPr>
          <w:rFonts w:ascii="Times New Roman" w:hAnsi="Times New Roman" w:cs="Times New Roman"/>
          <w:lang w:val="en-GB"/>
        </w:rPr>
        <w:t xml:space="preserve">s </w:t>
      </w:r>
      <w:r w:rsidR="008D0F67">
        <w:rPr>
          <w:rFonts w:ascii="Times New Roman" w:hAnsi="Times New Roman" w:cs="Times New Roman"/>
          <w:lang w:val="en-GB"/>
        </w:rPr>
        <w:t>raised against it</w:t>
      </w:r>
      <w:r w:rsidR="009A4463" w:rsidRPr="00311B33">
        <w:rPr>
          <w:rFonts w:ascii="Times New Roman" w:hAnsi="Times New Roman" w:cs="Times New Roman"/>
          <w:lang w:val="en-GB"/>
        </w:rPr>
        <w:t xml:space="preserve">. It </w:t>
      </w:r>
      <w:r w:rsidR="00EE7AB9" w:rsidRPr="00311B33">
        <w:rPr>
          <w:rFonts w:ascii="Times New Roman" w:hAnsi="Times New Roman" w:cs="Times New Roman"/>
          <w:lang w:val="en-GB"/>
        </w:rPr>
        <w:t xml:space="preserve">must </w:t>
      </w:r>
      <w:r w:rsidR="009A4463" w:rsidRPr="00311B33">
        <w:rPr>
          <w:rFonts w:ascii="Times New Roman" w:hAnsi="Times New Roman" w:cs="Times New Roman"/>
          <w:lang w:val="en-GB"/>
        </w:rPr>
        <w:t xml:space="preserve">do </w:t>
      </w:r>
      <w:r w:rsidR="00EE7AB9" w:rsidRPr="00311B33">
        <w:rPr>
          <w:rFonts w:ascii="Times New Roman" w:hAnsi="Times New Roman" w:cs="Times New Roman"/>
          <w:lang w:val="en-GB"/>
        </w:rPr>
        <w:t xml:space="preserve">so </w:t>
      </w:r>
      <w:r w:rsidR="009A4463" w:rsidRPr="00311B33">
        <w:rPr>
          <w:rFonts w:ascii="Times New Roman" w:hAnsi="Times New Roman" w:cs="Times New Roman"/>
          <w:lang w:val="en-GB"/>
        </w:rPr>
        <w:t xml:space="preserve">before taking a decision imposing a fine or ordering </w:t>
      </w:r>
      <w:r w:rsidR="00EE7AB9" w:rsidRPr="00311B33">
        <w:rPr>
          <w:rFonts w:ascii="Times New Roman" w:hAnsi="Times New Roman" w:cs="Times New Roman"/>
          <w:lang w:val="en-GB"/>
        </w:rPr>
        <w:t xml:space="preserve">the termination of </w:t>
      </w:r>
      <w:r w:rsidR="00EE7AB9" w:rsidRPr="00311B33">
        <w:rPr>
          <w:rFonts w:ascii="Times New Roman" w:hAnsi="Times New Roman" w:cs="Times New Roman"/>
          <w:lang w:val="en-GB"/>
        </w:rPr>
        <w:lastRenderedPageBreak/>
        <w:t xml:space="preserve">the </w:t>
      </w:r>
      <w:r w:rsidR="009A4463" w:rsidRPr="00311B33">
        <w:rPr>
          <w:rFonts w:ascii="Times New Roman" w:hAnsi="Times New Roman" w:cs="Times New Roman"/>
          <w:lang w:val="en-GB"/>
        </w:rPr>
        <w:t>infringement.</w:t>
      </w:r>
      <w:r w:rsidR="0082443E" w:rsidRPr="00311B33">
        <w:rPr>
          <w:rStyle w:val="Appelnotedebasdep"/>
          <w:rFonts w:ascii="Times New Roman" w:hAnsi="Times New Roman" w:cs="Times New Roman"/>
          <w:lang w:val="en-GB"/>
        </w:rPr>
        <w:footnoteReference w:id="69"/>
      </w:r>
      <w:r w:rsidR="009A4463" w:rsidRPr="00311B33">
        <w:rPr>
          <w:rFonts w:ascii="Times New Roman" w:hAnsi="Times New Roman" w:cs="Times New Roman"/>
          <w:lang w:val="en-GB"/>
        </w:rPr>
        <w:t xml:space="preserve"> </w:t>
      </w:r>
      <w:r w:rsidR="002B12C6" w:rsidRPr="00311B33">
        <w:rPr>
          <w:rFonts w:ascii="Times New Roman" w:hAnsi="Times New Roman" w:cs="Times New Roman"/>
          <w:lang w:val="en-GB"/>
        </w:rPr>
        <w:t>Moreover</w:t>
      </w:r>
      <w:r w:rsidR="009A4463" w:rsidRPr="00311B33">
        <w:rPr>
          <w:rFonts w:ascii="Times New Roman" w:hAnsi="Times New Roman" w:cs="Times New Roman"/>
          <w:lang w:val="en-GB"/>
        </w:rPr>
        <w:t xml:space="preserve">, the Commission </w:t>
      </w:r>
      <w:r w:rsidR="00EE7AB9" w:rsidRPr="00311B33">
        <w:rPr>
          <w:rFonts w:ascii="Times New Roman" w:hAnsi="Times New Roman" w:cs="Times New Roman"/>
          <w:lang w:val="en-GB"/>
        </w:rPr>
        <w:t xml:space="preserve">can </w:t>
      </w:r>
      <w:r w:rsidR="002B12C6" w:rsidRPr="00311B33">
        <w:rPr>
          <w:rFonts w:ascii="Times New Roman" w:hAnsi="Times New Roman" w:cs="Times New Roman"/>
          <w:lang w:val="en-GB"/>
        </w:rPr>
        <w:t xml:space="preserve">only </w:t>
      </w:r>
      <w:r w:rsidR="004D1C74" w:rsidRPr="00311B33">
        <w:rPr>
          <w:rFonts w:ascii="Times New Roman" w:hAnsi="Times New Roman" w:cs="Times New Roman"/>
          <w:lang w:val="en-GB"/>
        </w:rPr>
        <w:t xml:space="preserve">base its decisions </w:t>
      </w:r>
      <w:r w:rsidR="009A4463" w:rsidRPr="00311B33">
        <w:rPr>
          <w:rFonts w:ascii="Times New Roman" w:hAnsi="Times New Roman" w:cs="Times New Roman"/>
          <w:lang w:val="en-GB"/>
        </w:rPr>
        <w:t xml:space="preserve">on objections on which the </w:t>
      </w:r>
      <w:r w:rsidR="00EE7AB9" w:rsidRPr="00311B33">
        <w:rPr>
          <w:rFonts w:ascii="Times New Roman" w:hAnsi="Times New Roman" w:cs="Times New Roman"/>
          <w:lang w:val="en-GB"/>
        </w:rPr>
        <w:t xml:space="preserve">undertakings </w:t>
      </w:r>
      <w:r w:rsidR="009A4463" w:rsidRPr="00311B33">
        <w:rPr>
          <w:rFonts w:ascii="Times New Roman" w:hAnsi="Times New Roman" w:cs="Times New Roman"/>
          <w:lang w:val="en-GB"/>
        </w:rPr>
        <w:t>concerned have been able to comment. The Commission is therefore obliged</w:t>
      </w:r>
      <w:r w:rsidR="002B12C6" w:rsidRPr="00311B33">
        <w:rPr>
          <w:rFonts w:ascii="Times New Roman" w:hAnsi="Times New Roman" w:cs="Times New Roman"/>
          <w:lang w:val="en-GB"/>
        </w:rPr>
        <w:t>, if the parties request it,</w:t>
      </w:r>
      <w:r w:rsidR="009A4463" w:rsidRPr="00311B33">
        <w:rPr>
          <w:rFonts w:ascii="Times New Roman" w:hAnsi="Times New Roman" w:cs="Times New Roman"/>
          <w:lang w:val="en-GB"/>
        </w:rPr>
        <w:t xml:space="preserve"> to organise </w:t>
      </w:r>
      <w:r w:rsidR="00EE7AB9" w:rsidRPr="00311B33">
        <w:rPr>
          <w:rFonts w:ascii="Times New Roman" w:hAnsi="Times New Roman" w:cs="Times New Roman"/>
          <w:lang w:val="en-GB"/>
        </w:rPr>
        <w:t>a</w:t>
      </w:r>
      <w:r w:rsidR="009D526D">
        <w:rPr>
          <w:rFonts w:ascii="Times New Roman" w:hAnsi="Times New Roman" w:cs="Times New Roman"/>
          <w:lang w:val="en-GB"/>
        </w:rPr>
        <w:t>n</w:t>
      </w:r>
      <w:r w:rsidR="00EE7AB9" w:rsidRPr="00311B33">
        <w:rPr>
          <w:rFonts w:ascii="Times New Roman" w:hAnsi="Times New Roman" w:cs="Times New Roman"/>
          <w:lang w:val="en-GB"/>
        </w:rPr>
        <w:t xml:space="preserve"> </w:t>
      </w:r>
      <w:r w:rsidR="009A4463" w:rsidRPr="00311B33">
        <w:rPr>
          <w:rFonts w:ascii="Times New Roman" w:hAnsi="Times New Roman" w:cs="Times New Roman"/>
          <w:lang w:val="en-GB"/>
        </w:rPr>
        <w:t>oral hearing</w:t>
      </w:r>
      <w:r w:rsidR="00EE7AB9" w:rsidRPr="00311B33">
        <w:rPr>
          <w:rFonts w:ascii="Times New Roman" w:hAnsi="Times New Roman" w:cs="Times New Roman"/>
          <w:lang w:val="en-GB"/>
        </w:rPr>
        <w:t>. At the oral hearing,</w:t>
      </w:r>
      <w:r w:rsidR="009A4463" w:rsidRPr="00311B33">
        <w:rPr>
          <w:rFonts w:ascii="Times New Roman" w:hAnsi="Times New Roman" w:cs="Times New Roman"/>
          <w:lang w:val="en-GB"/>
        </w:rPr>
        <w:t xml:space="preserve"> </w:t>
      </w:r>
      <w:r w:rsidR="00EE7AB9" w:rsidRPr="00311B33">
        <w:rPr>
          <w:rFonts w:ascii="Times New Roman" w:hAnsi="Times New Roman" w:cs="Times New Roman"/>
          <w:lang w:val="en-GB"/>
        </w:rPr>
        <w:t xml:space="preserve">the </w:t>
      </w:r>
      <w:r w:rsidR="009A4463" w:rsidRPr="00311B33">
        <w:rPr>
          <w:rFonts w:ascii="Times New Roman" w:hAnsi="Times New Roman" w:cs="Times New Roman"/>
          <w:lang w:val="en-GB"/>
        </w:rPr>
        <w:t xml:space="preserve">undertakings </w:t>
      </w:r>
      <w:r w:rsidR="00EE7AB9" w:rsidRPr="00311B33">
        <w:rPr>
          <w:rFonts w:ascii="Times New Roman" w:hAnsi="Times New Roman" w:cs="Times New Roman"/>
          <w:lang w:val="en-GB"/>
        </w:rPr>
        <w:t xml:space="preserve">have </w:t>
      </w:r>
      <w:r w:rsidR="009A4463" w:rsidRPr="00311B33">
        <w:rPr>
          <w:rFonts w:ascii="Times New Roman" w:hAnsi="Times New Roman" w:cs="Times New Roman"/>
          <w:lang w:val="en-GB"/>
        </w:rPr>
        <w:t xml:space="preserve">the opportunity to </w:t>
      </w:r>
      <w:r w:rsidR="00EE7AB9" w:rsidRPr="00311B33">
        <w:rPr>
          <w:rFonts w:ascii="Times New Roman" w:hAnsi="Times New Roman" w:cs="Times New Roman"/>
          <w:lang w:val="en-GB"/>
        </w:rPr>
        <w:t>(</w:t>
      </w:r>
      <w:r w:rsidR="009A4463" w:rsidRPr="00311B33">
        <w:rPr>
          <w:rFonts w:ascii="Times New Roman" w:hAnsi="Times New Roman" w:cs="Times New Roman"/>
          <w:lang w:val="en-GB"/>
        </w:rPr>
        <w:t>try to</w:t>
      </w:r>
      <w:r w:rsidR="00EE7AB9" w:rsidRPr="00311B33">
        <w:rPr>
          <w:rFonts w:ascii="Times New Roman" w:hAnsi="Times New Roman" w:cs="Times New Roman"/>
          <w:lang w:val="en-GB"/>
        </w:rPr>
        <w:t>)</w:t>
      </w:r>
      <w:r w:rsidR="009A4463" w:rsidRPr="00311B33">
        <w:rPr>
          <w:rFonts w:ascii="Times New Roman" w:hAnsi="Times New Roman" w:cs="Times New Roman"/>
          <w:lang w:val="en-GB"/>
        </w:rPr>
        <w:t xml:space="preserve"> reverse the Commission’s findings.</w:t>
      </w:r>
      <w:r w:rsidR="00E33213" w:rsidRPr="00311B33">
        <w:rPr>
          <w:rStyle w:val="Appelnotedebasdep"/>
          <w:rFonts w:ascii="Times New Roman" w:hAnsi="Times New Roman" w:cs="Times New Roman"/>
          <w:lang w:val="en-GB"/>
        </w:rPr>
        <w:footnoteReference w:id="70"/>
      </w:r>
      <w:r w:rsidR="009A4463" w:rsidRPr="00311B33">
        <w:rPr>
          <w:rFonts w:ascii="Times New Roman" w:hAnsi="Times New Roman" w:cs="Times New Roman"/>
          <w:lang w:val="en-GB"/>
        </w:rPr>
        <w:t xml:space="preserve"> </w:t>
      </w:r>
    </w:p>
    <w:p w:rsidR="00630A4D" w:rsidRPr="00311B33" w:rsidRDefault="00630A4D" w:rsidP="0082443E">
      <w:pPr>
        <w:jc w:val="both"/>
        <w:rPr>
          <w:lang w:val="en-GB"/>
        </w:rPr>
      </w:pPr>
    </w:p>
    <w:p w:rsidR="005C2A9E" w:rsidRPr="00311B33" w:rsidRDefault="00630A4D" w:rsidP="005C2A9E">
      <w:pPr>
        <w:jc w:val="both"/>
        <w:rPr>
          <w:rFonts w:ascii="Times New Roman" w:hAnsi="Times New Roman" w:cs="Times New Roman"/>
          <w:lang w:val="en-GB"/>
        </w:rPr>
      </w:pPr>
      <w:r w:rsidRPr="00311B33">
        <w:rPr>
          <w:rFonts w:ascii="Times New Roman" w:hAnsi="Times New Roman" w:cs="Times New Roman"/>
          <w:b/>
          <w:lang w:val="en-GB"/>
        </w:rPr>
        <w:t>Publicity of hearings (</w:t>
      </w:r>
      <w:r w:rsidR="00EE7AB9" w:rsidRPr="00311B33">
        <w:rPr>
          <w:rFonts w:ascii="Times New Roman" w:hAnsi="Times New Roman" w:cs="Times New Roman"/>
          <w:b/>
          <w:lang w:val="en-GB"/>
        </w:rPr>
        <w:t>or l</w:t>
      </w:r>
      <w:r w:rsidRPr="00311B33">
        <w:rPr>
          <w:rFonts w:ascii="Times New Roman" w:hAnsi="Times New Roman" w:cs="Times New Roman"/>
          <w:b/>
          <w:lang w:val="en-GB"/>
        </w:rPr>
        <w:t>ack of</w:t>
      </w:r>
      <w:r w:rsidR="00EE7AB9" w:rsidRPr="00311B33">
        <w:rPr>
          <w:rFonts w:ascii="Times New Roman" w:hAnsi="Times New Roman" w:cs="Times New Roman"/>
          <w:b/>
          <w:lang w:val="en-GB"/>
        </w:rPr>
        <w:t>?</w:t>
      </w:r>
      <w:r w:rsidRPr="00311B33">
        <w:rPr>
          <w:rFonts w:ascii="Times New Roman" w:hAnsi="Times New Roman" w:cs="Times New Roman"/>
          <w:b/>
          <w:lang w:val="en-GB"/>
        </w:rPr>
        <w:t>)</w:t>
      </w:r>
      <w:r w:rsidRPr="00311B33">
        <w:rPr>
          <w:rFonts w:ascii="Times New Roman" w:hAnsi="Times New Roman" w:cs="Times New Roman"/>
          <w:lang w:val="en-GB"/>
        </w:rPr>
        <w:t xml:space="preserve"> – </w:t>
      </w:r>
      <w:r w:rsidR="005C2A9E" w:rsidRPr="00311B33">
        <w:rPr>
          <w:rFonts w:ascii="Times New Roman" w:hAnsi="Times New Roman" w:cs="Times New Roman"/>
          <w:lang w:val="en-GB"/>
        </w:rPr>
        <w:t xml:space="preserve">The </w:t>
      </w:r>
      <w:r w:rsidR="00EE7AB9" w:rsidRPr="00311B33">
        <w:rPr>
          <w:rFonts w:ascii="Times New Roman" w:hAnsi="Times New Roman" w:cs="Times New Roman"/>
          <w:lang w:val="en-GB"/>
        </w:rPr>
        <w:t xml:space="preserve">organisation </w:t>
      </w:r>
      <w:r w:rsidR="005C2A9E" w:rsidRPr="00311B33">
        <w:rPr>
          <w:rFonts w:ascii="Times New Roman" w:hAnsi="Times New Roman" w:cs="Times New Roman"/>
          <w:lang w:val="en-GB"/>
        </w:rPr>
        <w:t xml:space="preserve">of the oral hearing </w:t>
      </w:r>
      <w:r w:rsidR="00EE7AB9" w:rsidRPr="00311B33">
        <w:rPr>
          <w:rFonts w:ascii="Times New Roman" w:hAnsi="Times New Roman" w:cs="Times New Roman"/>
          <w:lang w:val="en-GB"/>
        </w:rPr>
        <w:t>has garnered criticism</w:t>
      </w:r>
      <w:r w:rsidR="005C2A9E" w:rsidRPr="00311B33">
        <w:rPr>
          <w:rFonts w:ascii="Times New Roman" w:hAnsi="Times New Roman" w:cs="Times New Roman"/>
          <w:lang w:val="en-GB"/>
        </w:rPr>
        <w:t xml:space="preserve">. The Commission </w:t>
      </w:r>
      <w:r w:rsidR="00EE7AB9" w:rsidRPr="00311B33">
        <w:rPr>
          <w:rFonts w:ascii="Times New Roman" w:hAnsi="Times New Roman" w:cs="Times New Roman"/>
          <w:lang w:val="en-GB"/>
        </w:rPr>
        <w:t xml:space="preserve">sought to address them in 2011, by publishing new </w:t>
      </w:r>
      <w:r w:rsidR="005C2A9E" w:rsidRPr="00311B33">
        <w:rPr>
          <w:rFonts w:ascii="Times New Roman" w:hAnsi="Times New Roman" w:cs="Times New Roman"/>
          <w:lang w:val="en-GB"/>
        </w:rPr>
        <w:t>Guidelines on the function and term of reference of the Hearing Officer, in addition to the Best Practices Guidelines.</w:t>
      </w:r>
      <w:r w:rsidR="005C2A9E" w:rsidRPr="00311B33">
        <w:rPr>
          <w:rStyle w:val="Appelnotedebasdep"/>
          <w:rFonts w:ascii="Times New Roman" w:hAnsi="Times New Roman" w:cs="Times New Roman"/>
          <w:lang w:val="en-GB"/>
        </w:rPr>
        <w:footnoteReference w:id="71"/>
      </w:r>
    </w:p>
    <w:p w:rsidR="005C2A9E" w:rsidRPr="00311B33" w:rsidRDefault="005C2A9E" w:rsidP="00630A4D">
      <w:pPr>
        <w:jc w:val="both"/>
        <w:rPr>
          <w:rFonts w:ascii="Times New Roman" w:hAnsi="Times New Roman" w:cs="Times New Roman"/>
          <w:lang w:val="en-GB"/>
        </w:rPr>
      </w:pPr>
    </w:p>
    <w:p w:rsidR="00630A4D" w:rsidRPr="00311B33" w:rsidRDefault="00EE7AB9" w:rsidP="00630A4D">
      <w:pPr>
        <w:jc w:val="both"/>
        <w:rPr>
          <w:rFonts w:ascii="Times New Roman" w:hAnsi="Times New Roman" w:cs="Times New Roman"/>
          <w:lang w:val="en-GB"/>
        </w:rPr>
      </w:pPr>
      <w:r w:rsidRPr="00311B33">
        <w:rPr>
          <w:rFonts w:ascii="Times New Roman" w:hAnsi="Times New Roman" w:cs="Times New Roman"/>
          <w:lang w:val="en-GB"/>
        </w:rPr>
        <w:t>Practitioners remain however critical. They believe the hearing is ineffectual. U</w:t>
      </w:r>
      <w:r w:rsidR="00630A4D" w:rsidRPr="00311B33">
        <w:rPr>
          <w:rFonts w:ascii="Times New Roman" w:hAnsi="Times New Roman" w:cs="Times New Roman"/>
          <w:lang w:val="en-GB"/>
        </w:rPr>
        <w:t>nlike in a courtroom</w:t>
      </w:r>
      <w:r w:rsidRPr="00311B33">
        <w:rPr>
          <w:rFonts w:ascii="Times New Roman" w:hAnsi="Times New Roman" w:cs="Times New Roman"/>
          <w:lang w:val="en-GB"/>
        </w:rPr>
        <w:t xml:space="preserve">, </w:t>
      </w:r>
      <w:r w:rsidR="00630A4D" w:rsidRPr="00311B33">
        <w:rPr>
          <w:rFonts w:ascii="Times New Roman" w:hAnsi="Times New Roman" w:cs="Times New Roman"/>
          <w:lang w:val="en-GB"/>
        </w:rPr>
        <w:t xml:space="preserve">the hearing is not public. Moreover, </w:t>
      </w:r>
      <w:r w:rsidR="005C2A9E" w:rsidRPr="00311B33">
        <w:rPr>
          <w:rFonts w:ascii="Times New Roman" w:hAnsi="Times New Roman" w:cs="Times New Roman"/>
          <w:lang w:val="en-GB"/>
        </w:rPr>
        <w:t xml:space="preserve">the hearing </w:t>
      </w:r>
      <w:r w:rsidRPr="00311B33">
        <w:rPr>
          <w:rFonts w:ascii="Times New Roman" w:hAnsi="Times New Roman" w:cs="Times New Roman"/>
          <w:lang w:val="en-GB"/>
        </w:rPr>
        <w:t xml:space="preserve">does not take place before </w:t>
      </w:r>
      <w:r w:rsidR="00630A4D" w:rsidRPr="00311B33">
        <w:rPr>
          <w:rFonts w:ascii="Times New Roman" w:hAnsi="Times New Roman" w:cs="Times New Roman"/>
          <w:lang w:val="en-GB"/>
        </w:rPr>
        <w:t xml:space="preserve">the College of Commissioners, </w:t>
      </w:r>
      <w:r w:rsidRPr="00311B33">
        <w:rPr>
          <w:rFonts w:ascii="Times New Roman" w:hAnsi="Times New Roman" w:cs="Times New Roman"/>
          <w:lang w:val="en-GB"/>
        </w:rPr>
        <w:t xml:space="preserve">which is the organ </w:t>
      </w:r>
      <w:r w:rsidR="00080AE9" w:rsidRPr="00311B33">
        <w:rPr>
          <w:rFonts w:ascii="Times New Roman" w:hAnsi="Times New Roman" w:cs="Times New Roman"/>
          <w:lang w:val="en-GB"/>
        </w:rPr>
        <w:t xml:space="preserve">that </w:t>
      </w:r>
      <w:r w:rsidR="005C2A9E" w:rsidRPr="00311B33">
        <w:rPr>
          <w:rFonts w:ascii="Times New Roman" w:hAnsi="Times New Roman" w:cs="Times New Roman"/>
          <w:lang w:val="en-GB"/>
        </w:rPr>
        <w:t>adopt</w:t>
      </w:r>
      <w:r w:rsidR="00080AE9" w:rsidRPr="00311B33">
        <w:rPr>
          <w:rFonts w:ascii="Times New Roman" w:hAnsi="Times New Roman" w:cs="Times New Roman"/>
          <w:lang w:val="en-GB"/>
        </w:rPr>
        <w:t>s</w:t>
      </w:r>
      <w:r w:rsidR="00630A4D" w:rsidRPr="00311B33">
        <w:rPr>
          <w:rFonts w:ascii="Times New Roman" w:hAnsi="Times New Roman" w:cs="Times New Roman"/>
          <w:lang w:val="en-GB"/>
        </w:rPr>
        <w:t xml:space="preserve"> final decision</w:t>
      </w:r>
      <w:r w:rsidRPr="00311B33">
        <w:rPr>
          <w:rFonts w:ascii="Times New Roman" w:hAnsi="Times New Roman" w:cs="Times New Roman"/>
          <w:lang w:val="en-GB"/>
        </w:rPr>
        <w:t>s</w:t>
      </w:r>
      <w:r w:rsidR="00630A4D" w:rsidRPr="00311B33">
        <w:rPr>
          <w:rFonts w:ascii="Times New Roman" w:hAnsi="Times New Roman" w:cs="Times New Roman"/>
          <w:lang w:val="en-GB"/>
        </w:rPr>
        <w:t xml:space="preserve">. </w:t>
      </w:r>
      <w:r w:rsidRPr="00311B33">
        <w:rPr>
          <w:rFonts w:ascii="Times New Roman" w:hAnsi="Times New Roman" w:cs="Times New Roman"/>
          <w:lang w:val="en-GB"/>
        </w:rPr>
        <w:t>From a legal standpoint</w:t>
      </w:r>
      <w:r w:rsidR="00630A4D" w:rsidRPr="00311B33">
        <w:rPr>
          <w:rFonts w:ascii="Times New Roman" w:hAnsi="Times New Roman" w:cs="Times New Roman"/>
          <w:lang w:val="en-GB"/>
        </w:rPr>
        <w:t xml:space="preserve">, </w:t>
      </w:r>
      <w:r w:rsidRPr="00311B33">
        <w:rPr>
          <w:rFonts w:ascii="Times New Roman" w:hAnsi="Times New Roman" w:cs="Times New Roman"/>
          <w:lang w:val="en-GB"/>
        </w:rPr>
        <w:t xml:space="preserve">the EU hearing </w:t>
      </w:r>
      <w:r w:rsidR="00080AE9" w:rsidRPr="00311B33">
        <w:rPr>
          <w:rFonts w:ascii="Times New Roman" w:hAnsi="Times New Roman" w:cs="Times New Roman"/>
          <w:lang w:val="en-GB"/>
        </w:rPr>
        <w:t>is thus said</w:t>
      </w:r>
      <w:r w:rsidRPr="00311B33">
        <w:rPr>
          <w:rFonts w:ascii="Times New Roman" w:hAnsi="Times New Roman" w:cs="Times New Roman"/>
          <w:lang w:val="en-GB"/>
        </w:rPr>
        <w:t xml:space="preserve"> </w:t>
      </w:r>
      <w:r w:rsidR="00080AE9" w:rsidRPr="00311B33">
        <w:rPr>
          <w:rFonts w:ascii="Times New Roman" w:hAnsi="Times New Roman" w:cs="Times New Roman"/>
          <w:lang w:val="en-GB"/>
        </w:rPr>
        <w:t xml:space="preserve">to fall short of </w:t>
      </w:r>
      <w:r w:rsidR="00630A4D" w:rsidRPr="00311B33">
        <w:rPr>
          <w:rFonts w:ascii="Times New Roman" w:hAnsi="Times New Roman" w:cs="Times New Roman"/>
          <w:lang w:val="en-GB"/>
        </w:rPr>
        <w:t>the standard</w:t>
      </w:r>
      <w:r w:rsidRPr="00311B33">
        <w:rPr>
          <w:rFonts w:ascii="Times New Roman" w:hAnsi="Times New Roman" w:cs="Times New Roman"/>
          <w:lang w:val="en-GB"/>
        </w:rPr>
        <w:t>s</w:t>
      </w:r>
      <w:r w:rsidR="00630A4D" w:rsidRPr="00311B33">
        <w:rPr>
          <w:rFonts w:ascii="Times New Roman" w:hAnsi="Times New Roman" w:cs="Times New Roman"/>
          <w:lang w:val="en-GB"/>
        </w:rPr>
        <w:t xml:space="preserve"> of the right to a fair hearing </w:t>
      </w:r>
      <w:r w:rsidRPr="00311B33">
        <w:rPr>
          <w:rFonts w:ascii="Times New Roman" w:hAnsi="Times New Roman" w:cs="Times New Roman"/>
          <w:lang w:val="en-GB"/>
        </w:rPr>
        <w:t xml:space="preserve">set out </w:t>
      </w:r>
      <w:r w:rsidR="00080AE9" w:rsidRPr="00311B33">
        <w:rPr>
          <w:rFonts w:ascii="Times New Roman" w:hAnsi="Times New Roman" w:cs="Times New Roman"/>
          <w:lang w:val="en-GB"/>
        </w:rPr>
        <w:t xml:space="preserve">in </w:t>
      </w:r>
      <w:r w:rsidR="00630A4D" w:rsidRPr="00311B33">
        <w:rPr>
          <w:rFonts w:ascii="Times New Roman" w:hAnsi="Times New Roman" w:cs="Times New Roman"/>
          <w:lang w:val="en-GB"/>
        </w:rPr>
        <w:t>Article 6 ECHR.</w:t>
      </w:r>
      <w:r w:rsidR="00630A4D" w:rsidRPr="00311B33">
        <w:rPr>
          <w:rStyle w:val="Appelnotedebasdep"/>
          <w:rFonts w:ascii="Times New Roman" w:hAnsi="Times New Roman" w:cs="Times New Roman"/>
          <w:lang w:val="en-GB"/>
        </w:rPr>
        <w:footnoteReference w:id="72"/>
      </w:r>
      <w:r w:rsidR="00630A4D" w:rsidRPr="00311B33">
        <w:rPr>
          <w:rFonts w:ascii="Times New Roman" w:hAnsi="Times New Roman" w:cs="Times New Roman"/>
          <w:lang w:val="en-GB"/>
        </w:rPr>
        <w:t xml:space="preserve"> </w:t>
      </w:r>
    </w:p>
    <w:p w:rsidR="00630A4D" w:rsidRPr="00311B33" w:rsidRDefault="00630A4D" w:rsidP="00630A4D">
      <w:pPr>
        <w:jc w:val="both"/>
        <w:rPr>
          <w:rFonts w:ascii="Times New Roman" w:hAnsi="Times New Roman" w:cs="Times New Roman"/>
          <w:lang w:val="en-GB"/>
        </w:rPr>
      </w:pPr>
    </w:p>
    <w:p w:rsidR="00630A4D" w:rsidRPr="00311B33" w:rsidRDefault="001B0969" w:rsidP="00630A4D">
      <w:pPr>
        <w:jc w:val="both"/>
        <w:rPr>
          <w:rFonts w:ascii="Times New Roman" w:hAnsi="Times New Roman" w:cs="Times New Roman"/>
          <w:lang w:val="en-GB"/>
        </w:rPr>
      </w:pPr>
      <w:r w:rsidRPr="00311B33">
        <w:rPr>
          <w:rFonts w:ascii="Times New Roman" w:hAnsi="Times New Roman" w:cs="Times New Roman"/>
          <w:lang w:val="en-GB"/>
        </w:rPr>
        <w:t>Moreover</w:t>
      </w:r>
      <w:r w:rsidR="00630A4D" w:rsidRPr="00311B33">
        <w:rPr>
          <w:rFonts w:ascii="Times New Roman" w:hAnsi="Times New Roman" w:cs="Times New Roman"/>
          <w:lang w:val="en-GB"/>
        </w:rPr>
        <w:t xml:space="preserve">, the </w:t>
      </w:r>
      <w:r w:rsidRPr="00311B33">
        <w:rPr>
          <w:rFonts w:ascii="Times New Roman" w:hAnsi="Times New Roman" w:cs="Times New Roman"/>
          <w:lang w:val="en-GB"/>
        </w:rPr>
        <w:t xml:space="preserve">limited </w:t>
      </w:r>
      <w:r w:rsidR="00630A4D" w:rsidRPr="00311B33">
        <w:rPr>
          <w:rFonts w:ascii="Times New Roman" w:hAnsi="Times New Roman" w:cs="Times New Roman"/>
          <w:lang w:val="en-GB"/>
        </w:rPr>
        <w:t xml:space="preserve">role of the Hearing Officer </w:t>
      </w:r>
      <w:r w:rsidR="002E4D9C">
        <w:rPr>
          <w:rFonts w:ascii="Times New Roman" w:hAnsi="Times New Roman" w:cs="Times New Roman"/>
          <w:lang w:val="en-GB"/>
        </w:rPr>
        <w:t>is in discussion. The H</w:t>
      </w:r>
      <w:r w:rsidR="00D00802">
        <w:rPr>
          <w:rFonts w:ascii="Times New Roman" w:hAnsi="Times New Roman" w:cs="Times New Roman"/>
          <w:lang w:val="en-GB"/>
        </w:rPr>
        <w:t xml:space="preserve">earing Officer </w:t>
      </w:r>
      <w:r w:rsidRPr="00311B33">
        <w:rPr>
          <w:rFonts w:ascii="Times New Roman" w:hAnsi="Times New Roman" w:cs="Times New Roman"/>
          <w:lang w:val="en-GB"/>
        </w:rPr>
        <w:t xml:space="preserve">is not </w:t>
      </w:r>
      <w:r w:rsidR="00630A4D" w:rsidRPr="00311B33">
        <w:rPr>
          <w:rFonts w:ascii="Times New Roman" w:hAnsi="Times New Roman" w:cs="Times New Roman"/>
          <w:lang w:val="en-GB"/>
        </w:rPr>
        <w:t xml:space="preserve">a judge. </w:t>
      </w:r>
      <w:r w:rsidRPr="00311B33">
        <w:rPr>
          <w:rFonts w:ascii="Times New Roman" w:hAnsi="Times New Roman" w:cs="Times New Roman"/>
          <w:lang w:val="en-GB"/>
        </w:rPr>
        <w:t xml:space="preserve">His role consists in drafting </w:t>
      </w:r>
      <w:r w:rsidR="00630A4D" w:rsidRPr="00311B33">
        <w:rPr>
          <w:rFonts w:ascii="Times New Roman" w:hAnsi="Times New Roman" w:cs="Times New Roman"/>
          <w:lang w:val="en-GB"/>
        </w:rPr>
        <w:t xml:space="preserve">an interim report on the extent to which the right to be heard has been respected </w:t>
      </w:r>
      <w:r w:rsidR="005C2A9E" w:rsidRPr="00311B33">
        <w:rPr>
          <w:rFonts w:ascii="Times New Roman" w:hAnsi="Times New Roman" w:cs="Times New Roman"/>
          <w:lang w:val="en-GB"/>
        </w:rPr>
        <w:t xml:space="preserve">during </w:t>
      </w:r>
      <w:r w:rsidR="00630A4D" w:rsidRPr="00311B33">
        <w:rPr>
          <w:rFonts w:ascii="Times New Roman" w:hAnsi="Times New Roman" w:cs="Times New Roman"/>
          <w:lang w:val="en-GB"/>
        </w:rPr>
        <w:t xml:space="preserve">the proceedings. This document </w:t>
      </w:r>
      <w:r w:rsidR="005C2A9E" w:rsidRPr="00311B33">
        <w:rPr>
          <w:rFonts w:ascii="Times New Roman" w:hAnsi="Times New Roman" w:cs="Times New Roman"/>
          <w:lang w:val="en-GB"/>
        </w:rPr>
        <w:t xml:space="preserve">is </w:t>
      </w:r>
      <w:r w:rsidRPr="00311B33">
        <w:rPr>
          <w:rFonts w:ascii="Times New Roman" w:hAnsi="Times New Roman" w:cs="Times New Roman"/>
          <w:lang w:val="en-GB"/>
        </w:rPr>
        <w:t xml:space="preserve">then sent over </w:t>
      </w:r>
      <w:r w:rsidR="00630A4D" w:rsidRPr="00311B33">
        <w:rPr>
          <w:rFonts w:ascii="Times New Roman" w:hAnsi="Times New Roman" w:cs="Times New Roman"/>
          <w:lang w:val="en-GB"/>
        </w:rPr>
        <w:t xml:space="preserve">to DG Competition and to the Competition Commissioner. </w:t>
      </w:r>
      <w:r w:rsidR="00080AE9" w:rsidRPr="00311B33">
        <w:rPr>
          <w:rFonts w:ascii="Times New Roman" w:hAnsi="Times New Roman" w:cs="Times New Roman"/>
          <w:lang w:val="en-GB"/>
        </w:rPr>
        <w:t>But at this stage, findings of irregularities do not necessarily lead to formal consequences.</w:t>
      </w:r>
    </w:p>
    <w:p w:rsidR="00630A4D" w:rsidRPr="00311B33" w:rsidRDefault="00630A4D" w:rsidP="00630A4D">
      <w:pPr>
        <w:jc w:val="both"/>
        <w:rPr>
          <w:rFonts w:ascii="Times New Roman" w:hAnsi="Times New Roman" w:cs="Times New Roman"/>
          <w:lang w:val="en-GB"/>
        </w:rPr>
      </w:pPr>
    </w:p>
    <w:p w:rsidR="004F0434" w:rsidRPr="007D6DD4" w:rsidRDefault="009B1657" w:rsidP="00246F56">
      <w:pPr>
        <w:pStyle w:val="Notedebasdepage"/>
        <w:jc w:val="both"/>
        <w:rPr>
          <w:rFonts w:ascii="Times New Roman" w:hAnsi="Times New Roman" w:cs="Times New Roman"/>
          <w:iCs/>
          <w:lang w:val="en-GB"/>
        </w:rPr>
      </w:pPr>
      <w:r w:rsidRPr="00246F56">
        <w:rPr>
          <w:rFonts w:ascii="Times New Roman" w:hAnsi="Times New Roman" w:cs="Times New Roman"/>
          <w:b/>
          <w:lang w:val="en-GB"/>
        </w:rPr>
        <w:t>Sanctions –</w:t>
      </w:r>
      <w:r w:rsidR="00E84764" w:rsidRPr="00311B33">
        <w:rPr>
          <w:rFonts w:ascii="Times New Roman" w:hAnsi="Times New Roman" w:cs="Times New Roman"/>
          <w:lang w:val="en-GB"/>
        </w:rPr>
        <w:t xml:space="preserve"> </w:t>
      </w:r>
      <w:r w:rsidRPr="00246F56">
        <w:rPr>
          <w:rFonts w:ascii="Times New Roman" w:hAnsi="Times New Roman" w:cs="Times New Roman"/>
          <w:lang w:val="en-GB"/>
        </w:rPr>
        <w:t xml:space="preserve">The CJEU </w:t>
      </w:r>
      <w:r w:rsidR="00F877B6" w:rsidRPr="00311B33">
        <w:rPr>
          <w:rFonts w:ascii="Times New Roman" w:hAnsi="Times New Roman" w:cs="Times New Roman"/>
          <w:lang w:val="en-GB"/>
        </w:rPr>
        <w:t>may annul</w:t>
      </w:r>
      <w:r w:rsidRPr="00246F56">
        <w:rPr>
          <w:rFonts w:ascii="Times New Roman" w:hAnsi="Times New Roman" w:cs="Times New Roman"/>
          <w:lang w:val="en-GB"/>
        </w:rPr>
        <w:t xml:space="preserve"> decisions adopted in breach of the right to a hearing. In </w:t>
      </w:r>
      <w:r w:rsidRPr="00246F56">
        <w:rPr>
          <w:rFonts w:ascii="Times New Roman" w:hAnsi="Times New Roman" w:cs="Times New Roman"/>
          <w:i/>
          <w:lang w:val="en-GB"/>
        </w:rPr>
        <w:t>Transocean Marine Paint Association</w:t>
      </w:r>
      <w:r w:rsidRPr="00246F56">
        <w:rPr>
          <w:rFonts w:ascii="Times New Roman" w:hAnsi="Times New Roman" w:cs="Times New Roman"/>
          <w:lang w:val="en-GB"/>
        </w:rPr>
        <w:t>, the Court</w:t>
      </w:r>
      <w:r w:rsidR="006B09F6" w:rsidRPr="00246F56">
        <w:rPr>
          <w:rFonts w:ascii="Times New Roman" w:hAnsi="Times New Roman" w:cs="Times New Roman"/>
          <w:iCs/>
          <w:lang w:val="en-GB"/>
        </w:rPr>
        <w:t xml:space="preserve"> s</w:t>
      </w:r>
      <w:r w:rsidR="006B09F6" w:rsidRPr="007D6DD4">
        <w:rPr>
          <w:rFonts w:ascii="Times New Roman" w:hAnsi="Times New Roman" w:cs="Times New Roman"/>
          <w:iCs/>
          <w:lang w:val="en-GB"/>
        </w:rPr>
        <w:t>tressed that any person whose interests “</w:t>
      </w:r>
      <w:r w:rsidRPr="007D6DD4">
        <w:rPr>
          <w:rFonts w:ascii="Times New Roman" w:hAnsi="Times New Roman" w:cs="Times New Roman"/>
          <w:i/>
          <w:iCs/>
          <w:lang w:val="en-GB"/>
        </w:rPr>
        <w:t xml:space="preserve">are perceptibly affected by a decision taken </w:t>
      </w:r>
      <w:r w:rsidRPr="00246F56">
        <w:rPr>
          <w:rFonts w:ascii="Times New Roman" w:hAnsi="Times New Roman" w:cs="Times New Roman"/>
          <w:i/>
          <w:iCs/>
          <w:lang w:val="en-GB"/>
        </w:rPr>
        <w:t>by a public authority must be given the opportunity to make his point of view known</w:t>
      </w:r>
      <w:r w:rsidR="006B09F6" w:rsidRPr="00246F56">
        <w:rPr>
          <w:rFonts w:ascii="Times New Roman" w:hAnsi="Times New Roman" w:cs="Times New Roman"/>
          <w:iCs/>
          <w:lang w:val="en-GB"/>
        </w:rPr>
        <w:t>”</w:t>
      </w:r>
      <w:r w:rsidR="00080AE9" w:rsidRPr="00246F56">
        <w:rPr>
          <w:rFonts w:ascii="Times New Roman" w:hAnsi="Times New Roman" w:cs="Times New Roman"/>
          <w:iCs/>
          <w:lang w:val="en-GB"/>
        </w:rPr>
        <w:t xml:space="preserve">. In turn, the CJEU </w:t>
      </w:r>
      <w:r w:rsidR="0015401E" w:rsidRPr="00246F56">
        <w:rPr>
          <w:rFonts w:ascii="Times New Roman" w:hAnsi="Times New Roman" w:cs="Times New Roman"/>
          <w:iCs/>
          <w:lang w:val="en-GB"/>
        </w:rPr>
        <w:t xml:space="preserve">partially </w:t>
      </w:r>
      <w:r w:rsidR="00080AE9" w:rsidRPr="00246F56">
        <w:rPr>
          <w:rFonts w:ascii="Times New Roman" w:hAnsi="Times New Roman" w:cs="Times New Roman"/>
          <w:iCs/>
          <w:lang w:val="en-GB"/>
        </w:rPr>
        <w:t xml:space="preserve">annulled </w:t>
      </w:r>
      <w:r w:rsidR="0015401E" w:rsidRPr="00246F56">
        <w:rPr>
          <w:rFonts w:ascii="Times New Roman" w:hAnsi="Times New Roman" w:cs="Times New Roman"/>
          <w:iCs/>
          <w:lang w:val="en-GB"/>
        </w:rPr>
        <w:t>an exemption</w:t>
      </w:r>
      <w:r w:rsidR="006B09F6" w:rsidRPr="00246F56">
        <w:rPr>
          <w:rFonts w:ascii="Times New Roman" w:hAnsi="Times New Roman" w:cs="Times New Roman"/>
          <w:lang w:val="en-GB" w:eastAsia="fr-BE"/>
        </w:rPr>
        <w:t xml:space="preserve"> decision </w:t>
      </w:r>
      <w:r w:rsidR="00080AE9" w:rsidRPr="00246F56">
        <w:rPr>
          <w:rFonts w:ascii="Times New Roman" w:hAnsi="Times New Roman" w:cs="Times New Roman"/>
          <w:lang w:val="en-GB" w:eastAsia="fr-BE"/>
        </w:rPr>
        <w:t xml:space="preserve">because </w:t>
      </w:r>
      <w:r w:rsidR="0015401E" w:rsidRPr="00246F56">
        <w:rPr>
          <w:rFonts w:ascii="Times New Roman" w:hAnsi="Times New Roman" w:cs="Times New Roman"/>
          <w:lang w:val="en-GB" w:eastAsia="fr-BE"/>
        </w:rPr>
        <w:t xml:space="preserve">the parties to the agreement had not been granted the opportunity to formulate observations regarding the conditions to which the exemption was subordinated. </w:t>
      </w:r>
      <w:r w:rsidR="0015401E">
        <w:rPr>
          <w:rFonts w:ascii="Times New Roman" w:hAnsi="Times New Roman" w:cs="Times New Roman"/>
          <w:lang w:val="en-GB" w:eastAsia="fr-BE"/>
        </w:rPr>
        <w:t>With the annulment, t</w:t>
      </w:r>
      <w:r w:rsidR="006B09F6" w:rsidRPr="00246F56">
        <w:rPr>
          <w:rFonts w:ascii="Times New Roman" w:hAnsi="Times New Roman" w:cs="Times New Roman"/>
          <w:lang w:val="en-GB" w:eastAsia="fr-BE"/>
        </w:rPr>
        <w:t>he Commission was given a new “</w:t>
      </w:r>
      <w:r w:rsidRPr="00246F56">
        <w:rPr>
          <w:rFonts w:ascii="Times New Roman" w:hAnsi="Times New Roman" w:cs="Times New Roman"/>
          <w:i/>
          <w:lang w:val="en-GB" w:eastAsia="fr-BE"/>
        </w:rPr>
        <w:t>opportunity to reach a fresh decision (…) after hearing the observations or suggestions of the members of the association</w:t>
      </w:r>
      <w:r w:rsidR="006B09F6" w:rsidRPr="00246F56">
        <w:rPr>
          <w:rFonts w:ascii="Times New Roman" w:hAnsi="Times New Roman" w:cs="Times New Roman"/>
          <w:lang w:val="en-GB" w:eastAsia="fr-BE"/>
        </w:rPr>
        <w:t>”.</w:t>
      </w:r>
      <w:r w:rsidR="006B09F6" w:rsidRPr="00246F56">
        <w:rPr>
          <w:rStyle w:val="Appelnotedebasdep"/>
          <w:rFonts w:ascii="Times New Roman" w:hAnsi="Times New Roman" w:cs="Times New Roman"/>
          <w:lang w:val="en-GB" w:eastAsia="fr-BE"/>
        </w:rPr>
        <w:footnoteReference w:id="73"/>
      </w:r>
      <w:r w:rsidR="006B09F6" w:rsidRPr="007D6DD4">
        <w:rPr>
          <w:rFonts w:ascii="Times New Roman" w:hAnsi="Times New Roman" w:cs="Times New Roman"/>
          <w:lang w:val="en-GB" w:eastAsia="fr-BE"/>
        </w:rPr>
        <w:t xml:space="preserve"> </w:t>
      </w:r>
    </w:p>
    <w:p w:rsidR="009D526D" w:rsidRPr="007D6DD4" w:rsidRDefault="009D526D" w:rsidP="00246F56">
      <w:pPr>
        <w:jc w:val="both"/>
        <w:rPr>
          <w:rFonts w:ascii="Times New Roman" w:hAnsi="Times New Roman" w:cs="Times New Roman"/>
          <w:lang w:val="en-GB" w:eastAsia="fr-BE"/>
        </w:rPr>
      </w:pPr>
    </w:p>
    <w:p w:rsidR="006B09F6" w:rsidRPr="00311B33" w:rsidRDefault="006B09F6" w:rsidP="0082443E">
      <w:pPr>
        <w:jc w:val="both"/>
        <w:rPr>
          <w:highlight w:val="yellow"/>
          <w:lang w:val="en-GB"/>
        </w:rPr>
      </w:pPr>
    </w:p>
    <w:p w:rsidR="00A37984" w:rsidRDefault="00FF1FE7" w:rsidP="0082443E">
      <w:pPr>
        <w:jc w:val="both"/>
        <w:rPr>
          <w:rFonts w:ascii="Times New Roman" w:hAnsi="Times New Roman" w:cs="Times New Roman"/>
          <w:b/>
          <w:u w:val="single"/>
          <w:lang w:val="en-GB"/>
        </w:rPr>
      </w:pPr>
      <w:r w:rsidRPr="00311B33">
        <w:rPr>
          <w:rFonts w:ascii="Times New Roman" w:hAnsi="Times New Roman" w:cs="Times New Roman"/>
          <w:b/>
          <w:lang w:val="en-GB"/>
        </w:rPr>
        <w:t>IV.</w:t>
      </w:r>
      <w:r w:rsidRPr="00311B33">
        <w:rPr>
          <w:rFonts w:ascii="Times New Roman" w:hAnsi="Times New Roman" w:cs="Times New Roman"/>
          <w:b/>
          <w:lang w:val="en-GB"/>
        </w:rPr>
        <w:tab/>
      </w:r>
      <w:r w:rsidR="009A4463" w:rsidRPr="00311B33">
        <w:rPr>
          <w:rFonts w:ascii="Times New Roman" w:hAnsi="Times New Roman" w:cs="Times New Roman"/>
          <w:b/>
          <w:u w:val="single"/>
          <w:lang w:val="en-GB"/>
        </w:rPr>
        <w:t>Right to have a decision within a reasonable time</w:t>
      </w:r>
    </w:p>
    <w:p w:rsidR="009A4463" w:rsidRPr="00311B33" w:rsidRDefault="009A4463" w:rsidP="0082443E">
      <w:pPr>
        <w:jc w:val="both"/>
        <w:rPr>
          <w:rFonts w:ascii="Times New Roman" w:hAnsi="Times New Roman" w:cs="Times New Roman"/>
          <w:lang w:val="en-GB"/>
        </w:rPr>
      </w:pPr>
    </w:p>
    <w:p w:rsidR="00132A9F" w:rsidRPr="007D6DD4" w:rsidRDefault="00132A9F" w:rsidP="0082443E">
      <w:pPr>
        <w:jc w:val="both"/>
        <w:rPr>
          <w:rFonts w:ascii="Times New Roman" w:hAnsi="Times New Roman" w:cs="Times New Roman"/>
          <w:lang w:val="en-GB"/>
        </w:rPr>
      </w:pPr>
      <w:r w:rsidRPr="00311B33">
        <w:rPr>
          <w:rFonts w:ascii="Times New Roman" w:hAnsi="Times New Roman" w:cs="Times New Roman"/>
          <w:b/>
          <w:lang w:val="en-GB"/>
        </w:rPr>
        <w:lastRenderedPageBreak/>
        <w:t>Content and legal basis</w:t>
      </w:r>
      <w:r w:rsidRPr="00311B33">
        <w:rPr>
          <w:rFonts w:ascii="Times New Roman" w:hAnsi="Times New Roman" w:cs="Times New Roman"/>
          <w:b/>
          <w:lang w:val="en-US"/>
        </w:rPr>
        <w:t xml:space="preserve"> </w:t>
      </w:r>
      <w:r w:rsidRPr="00311B33">
        <w:rPr>
          <w:rFonts w:ascii="Times New Roman" w:hAnsi="Times New Roman" w:cs="Times New Roman"/>
          <w:lang w:val="en-US"/>
        </w:rPr>
        <w:t xml:space="preserve">– </w:t>
      </w:r>
      <w:r w:rsidR="00080AE9" w:rsidRPr="00311B33">
        <w:rPr>
          <w:rFonts w:ascii="Times New Roman" w:hAnsi="Times New Roman" w:cs="Times New Roman"/>
          <w:lang w:val="en-GB"/>
        </w:rPr>
        <w:t xml:space="preserve">Suspected firms have a right to expedient proceedings. </w:t>
      </w:r>
      <w:r w:rsidR="009A4463" w:rsidRPr="00311B33">
        <w:rPr>
          <w:rFonts w:ascii="Times New Roman" w:hAnsi="Times New Roman" w:cs="Times New Roman"/>
          <w:lang w:val="en-GB"/>
        </w:rPr>
        <w:t xml:space="preserve">The Commission </w:t>
      </w:r>
      <w:r w:rsidR="00080AE9" w:rsidRPr="00311B33">
        <w:rPr>
          <w:rFonts w:ascii="Times New Roman" w:hAnsi="Times New Roman" w:cs="Times New Roman"/>
          <w:lang w:val="en-GB"/>
        </w:rPr>
        <w:t>must not leave them in a</w:t>
      </w:r>
      <w:r w:rsidR="00C67253" w:rsidRPr="00311B33">
        <w:rPr>
          <w:rFonts w:ascii="Times New Roman" w:hAnsi="Times New Roman" w:cs="Times New Roman"/>
          <w:lang w:val="en-GB"/>
        </w:rPr>
        <w:t xml:space="preserve"> </w:t>
      </w:r>
      <w:r w:rsidR="00080AE9" w:rsidRPr="00311B33">
        <w:rPr>
          <w:rFonts w:ascii="Times New Roman" w:hAnsi="Times New Roman" w:cs="Times New Roman"/>
          <w:lang w:val="en-GB"/>
        </w:rPr>
        <w:t xml:space="preserve">state of </w:t>
      </w:r>
      <w:r w:rsidR="00C67253" w:rsidRPr="00311B33">
        <w:rPr>
          <w:rFonts w:ascii="Times New Roman" w:hAnsi="Times New Roman" w:cs="Times New Roman"/>
          <w:lang w:val="en-GB"/>
        </w:rPr>
        <w:t xml:space="preserve">enduring </w:t>
      </w:r>
      <w:r w:rsidR="00080AE9" w:rsidRPr="00311B33">
        <w:rPr>
          <w:rFonts w:ascii="Times New Roman" w:hAnsi="Times New Roman" w:cs="Times New Roman"/>
          <w:lang w:val="en-GB"/>
        </w:rPr>
        <w:t>legal uncertainty</w:t>
      </w:r>
      <w:r w:rsidR="009A4463" w:rsidRPr="00311B33">
        <w:rPr>
          <w:rFonts w:ascii="Times New Roman" w:hAnsi="Times New Roman" w:cs="Times New Roman"/>
          <w:lang w:val="en-GB"/>
        </w:rPr>
        <w:t>.</w:t>
      </w:r>
      <w:r w:rsidR="009A4463" w:rsidRPr="00311B33">
        <w:rPr>
          <w:rStyle w:val="Appelnotedebasdep"/>
          <w:rFonts w:ascii="Times New Roman" w:hAnsi="Times New Roman" w:cs="Times New Roman"/>
          <w:lang w:val="en-GB"/>
        </w:rPr>
        <w:footnoteReference w:id="74"/>
      </w:r>
      <w:r w:rsidR="006B3FDD" w:rsidRPr="00311B33">
        <w:rPr>
          <w:rFonts w:ascii="Times New Roman" w:hAnsi="Times New Roman" w:cs="Times New Roman"/>
          <w:lang w:val="en-GB"/>
        </w:rPr>
        <w:t xml:space="preserve"> </w:t>
      </w:r>
      <w:r w:rsidR="0088043B" w:rsidRPr="00311B33">
        <w:rPr>
          <w:rFonts w:ascii="Times New Roman" w:hAnsi="Times New Roman" w:cs="Times New Roman"/>
          <w:lang w:val="en-GB"/>
        </w:rPr>
        <w:t>Th</w:t>
      </w:r>
      <w:r w:rsidR="00080AE9" w:rsidRPr="00311B33">
        <w:rPr>
          <w:rFonts w:ascii="Times New Roman" w:hAnsi="Times New Roman" w:cs="Times New Roman"/>
          <w:lang w:val="en-GB"/>
        </w:rPr>
        <w:t>is</w:t>
      </w:r>
      <w:r w:rsidR="0088043B" w:rsidRPr="00311B33">
        <w:rPr>
          <w:rFonts w:ascii="Times New Roman" w:hAnsi="Times New Roman" w:cs="Times New Roman"/>
          <w:lang w:val="en-GB"/>
        </w:rPr>
        <w:t xml:space="preserve"> right </w:t>
      </w:r>
      <w:r w:rsidR="00080AE9" w:rsidRPr="00311B33">
        <w:rPr>
          <w:rFonts w:ascii="Times New Roman" w:hAnsi="Times New Roman" w:cs="Times New Roman"/>
          <w:lang w:val="en-GB"/>
        </w:rPr>
        <w:t xml:space="preserve">has often been </w:t>
      </w:r>
      <w:r w:rsidR="00BB142D" w:rsidRPr="00311B33">
        <w:rPr>
          <w:rFonts w:ascii="Times New Roman" w:hAnsi="Times New Roman" w:cs="Times New Roman"/>
          <w:lang w:val="en-GB"/>
        </w:rPr>
        <w:t xml:space="preserve">invoked when the Commission </w:t>
      </w:r>
      <w:r w:rsidR="0088043B" w:rsidRPr="00311B33">
        <w:rPr>
          <w:rFonts w:ascii="Times New Roman" w:hAnsi="Times New Roman" w:cs="Times New Roman"/>
          <w:lang w:val="en-GB"/>
        </w:rPr>
        <w:t>takes excessive time to make a decision</w:t>
      </w:r>
      <w:r w:rsidR="00EB2933" w:rsidRPr="00311B33">
        <w:rPr>
          <w:rFonts w:ascii="Times New Roman" w:hAnsi="Times New Roman" w:cs="Times New Roman"/>
          <w:lang w:val="en-GB"/>
        </w:rPr>
        <w:t xml:space="preserve"> (in particular in cases related to rejection of complaints</w:t>
      </w:r>
      <w:r w:rsidR="003C44DE">
        <w:rPr>
          <w:rFonts w:ascii="Times New Roman" w:hAnsi="Times New Roman" w:cs="Times New Roman"/>
          <w:lang w:val="en-GB"/>
        </w:rPr>
        <w:t>)</w:t>
      </w:r>
      <w:r w:rsidR="00EB2933" w:rsidRPr="00311B33">
        <w:rPr>
          <w:rFonts w:ascii="Times New Roman" w:hAnsi="Times New Roman" w:cs="Times New Roman"/>
          <w:lang w:val="en-GB"/>
        </w:rPr>
        <w:t>.</w:t>
      </w:r>
      <w:r w:rsidR="009B1657" w:rsidRPr="00246F56">
        <w:rPr>
          <w:rStyle w:val="Appelnotedebasdep"/>
          <w:rFonts w:ascii="Times New Roman" w:hAnsi="Times New Roman" w:cs="Times New Roman"/>
          <w:lang w:val="en-GB"/>
        </w:rPr>
        <w:footnoteReference w:id="75"/>
      </w:r>
      <w:r w:rsidR="0088043B" w:rsidRPr="00311B33">
        <w:rPr>
          <w:rFonts w:ascii="Times New Roman" w:hAnsi="Times New Roman" w:cs="Times New Roman"/>
          <w:lang w:val="en-GB"/>
        </w:rPr>
        <w:t xml:space="preserve"> </w:t>
      </w:r>
      <w:r w:rsidR="00080AE9" w:rsidRPr="00311B33">
        <w:rPr>
          <w:rFonts w:ascii="Times New Roman" w:hAnsi="Times New Roman" w:cs="Times New Roman"/>
          <w:lang w:val="en-GB"/>
        </w:rPr>
        <w:t xml:space="preserve">It has also been invoked when the Commission </w:t>
      </w:r>
      <w:r w:rsidR="0088043B" w:rsidRPr="00311B33">
        <w:rPr>
          <w:rFonts w:ascii="Times New Roman" w:hAnsi="Times New Roman" w:cs="Times New Roman"/>
          <w:lang w:val="en-GB"/>
        </w:rPr>
        <w:t>make</w:t>
      </w:r>
      <w:r w:rsidR="00080AE9" w:rsidRPr="00311B33">
        <w:rPr>
          <w:rFonts w:ascii="Times New Roman" w:hAnsi="Times New Roman" w:cs="Times New Roman"/>
          <w:lang w:val="en-GB"/>
        </w:rPr>
        <w:t>s</w:t>
      </w:r>
      <w:r w:rsidR="0013459F" w:rsidRPr="00311B33">
        <w:rPr>
          <w:rFonts w:ascii="Times New Roman" w:hAnsi="Times New Roman" w:cs="Times New Roman"/>
          <w:lang w:val="en-GB"/>
        </w:rPr>
        <w:t xml:space="preserve"> a decision public </w:t>
      </w:r>
      <w:r w:rsidR="00080AE9" w:rsidRPr="00311B33">
        <w:rPr>
          <w:rFonts w:ascii="Times New Roman" w:hAnsi="Times New Roman" w:cs="Times New Roman"/>
          <w:lang w:val="en-GB"/>
        </w:rPr>
        <w:t xml:space="preserve">prior to </w:t>
      </w:r>
      <w:r w:rsidR="0013459F" w:rsidRPr="00311B33">
        <w:rPr>
          <w:rFonts w:ascii="Times New Roman" w:hAnsi="Times New Roman" w:cs="Times New Roman"/>
          <w:lang w:val="en-GB"/>
        </w:rPr>
        <w:t>noti</w:t>
      </w:r>
      <w:r w:rsidR="0088043B" w:rsidRPr="00311B33">
        <w:rPr>
          <w:rFonts w:ascii="Times New Roman" w:hAnsi="Times New Roman" w:cs="Times New Roman"/>
          <w:lang w:val="en-GB"/>
        </w:rPr>
        <w:t xml:space="preserve">fying it to </w:t>
      </w:r>
      <w:r w:rsidR="00080AE9" w:rsidRPr="00311B33">
        <w:rPr>
          <w:rFonts w:ascii="Times New Roman" w:hAnsi="Times New Roman" w:cs="Times New Roman"/>
          <w:lang w:val="en-GB"/>
        </w:rPr>
        <w:t xml:space="preserve">its </w:t>
      </w:r>
      <w:r w:rsidR="00C67253" w:rsidRPr="00311B33">
        <w:rPr>
          <w:rFonts w:ascii="Times New Roman" w:hAnsi="Times New Roman" w:cs="Times New Roman"/>
          <w:lang w:val="en-GB"/>
        </w:rPr>
        <w:t>recipients</w:t>
      </w:r>
      <w:r w:rsidR="0088043B" w:rsidRPr="00311B33">
        <w:rPr>
          <w:rFonts w:ascii="Times New Roman" w:hAnsi="Times New Roman" w:cs="Times New Roman"/>
          <w:lang w:val="en-GB"/>
        </w:rPr>
        <w:t>.</w:t>
      </w:r>
      <w:r w:rsidR="004A68FE" w:rsidRPr="00311B33">
        <w:rPr>
          <w:rStyle w:val="Appelnotedebasdep"/>
          <w:rFonts w:ascii="Times New Roman" w:hAnsi="Times New Roman" w:cs="Times New Roman"/>
          <w:lang w:val="en-GB"/>
        </w:rPr>
        <w:footnoteReference w:id="76"/>
      </w:r>
      <w:r w:rsidR="006B3FDD" w:rsidRPr="00311B33">
        <w:rPr>
          <w:rFonts w:ascii="Times New Roman" w:hAnsi="Times New Roman" w:cs="Times New Roman"/>
          <w:lang w:val="en-GB"/>
        </w:rPr>
        <w:t xml:space="preserve"> </w:t>
      </w:r>
      <w:r w:rsidR="00080AE9" w:rsidRPr="00311B33">
        <w:rPr>
          <w:rFonts w:ascii="Times New Roman" w:hAnsi="Times New Roman" w:cs="Times New Roman"/>
          <w:lang w:val="en-GB"/>
        </w:rPr>
        <w:t xml:space="preserve">In this variant, the Commission is tardy in making the decision known to </w:t>
      </w:r>
      <w:r w:rsidR="00C67253" w:rsidRPr="00311B33">
        <w:rPr>
          <w:rFonts w:ascii="Times New Roman" w:hAnsi="Times New Roman" w:cs="Times New Roman"/>
          <w:lang w:val="en-GB"/>
        </w:rPr>
        <w:t xml:space="preserve">its addressees. </w:t>
      </w:r>
    </w:p>
    <w:p w:rsidR="00132A9F" w:rsidRPr="007D6DD4" w:rsidRDefault="00132A9F" w:rsidP="0082443E">
      <w:pPr>
        <w:jc w:val="both"/>
        <w:rPr>
          <w:rFonts w:ascii="Times New Roman" w:hAnsi="Times New Roman" w:cs="Times New Roman"/>
          <w:lang w:val="en-GB"/>
        </w:rPr>
      </w:pPr>
    </w:p>
    <w:p w:rsidR="004A7FE9" w:rsidRPr="00311B33" w:rsidRDefault="0088043B" w:rsidP="0082443E">
      <w:pPr>
        <w:jc w:val="both"/>
        <w:rPr>
          <w:rFonts w:ascii="Times New Roman" w:hAnsi="Times New Roman" w:cs="Times New Roman"/>
          <w:lang w:val="en-GB"/>
        </w:rPr>
      </w:pPr>
      <w:r w:rsidRPr="00311B33">
        <w:rPr>
          <w:rFonts w:ascii="Times New Roman" w:hAnsi="Times New Roman" w:cs="Times New Roman"/>
          <w:lang w:val="en-GB"/>
        </w:rPr>
        <w:t xml:space="preserve">The </w:t>
      </w:r>
      <w:r w:rsidR="00C67253" w:rsidRPr="00311B33">
        <w:rPr>
          <w:rFonts w:ascii="Times New Roman" w:hAnsi="Times New Roman" w:cs="Times New Roman"/>
          <w:lang w:val="en-GB"/>
        </w:rPr>
        <w:t xml:space="preserve">leading case on this is </w:t>
      </w:r>
      <w:r w:rsidRPr="00311B33">
        <w:rPr>
          <w:rFonts w:ascii="Times New Roman" w:hAnsi="Times New Roman" w:cs="Times New Roman"/>
          <w:i/>
          <w:lang w:val="en-GB"/>
        </w:rPr>
        <w:t>SCK/FNK</w:t>
      </w:r>
      <w:r w:rsidR="00C67253" w:rsidRPr="00311B33">
        <w:rPr>
          <w:rFonts w:ascii="Times New Roman" w:hAnsi="Times New Roman" w:cs="Times New Roman"/>
          <w:lang w:val="en-GB"/>
        </w:rPr>
        <w:t>.</w:t>
      </w:r>
      <w:r w:rsidRPr="00311B33">
        <w:rPr>
          <w:rStyle w:val="Appelnotedebasdep"/>
          <w:rFonts w:ascii="Times New Roman" w:hAnsi="Times New Roman" w:cs="Times New Roman"/>
          <w:lang w:val="en-GB"/>
        </w:rPr>
        <w:footnoteReference w:id="77"/>
      </w:r>
      <w:r w:rsidRPr="00311B33">
        <w:rPr>
          <w:rFonts w:ascii="Times New Roman" w:hAnsi="Times New Roman" w:cs="Times New Roman"/>
          <w:lang w:val="en-GB"/>
        </w:rPr>
        <w:t xml:space="preserve"> </w:t>
      </w:r>
      <w:r w:rsidR="00C67253" w:rsidRPr="00311B33">
        <w:rPr>
          <w:rFonts w:ascii="Times New Roman" w:hAnsi="Times New Roman" w:cs="Times New Roman"/>
          <w:lang w:val="en-GB"/>
        </w:rPr>
        <w:t xml:space="preserve">This judgment (and subsequent ones) finds that the right to expedient proceedings stems from </w:t>
      </w:r>
      <w:r w:rsidR="00C43127" w:rsidRPr="00311B33">
        <w:rPr>
          <w:rFonts w:ascii="Times New Roman" w:hAnsi="Times New Roman" w:cs="Times New Roman"/>
          <w:lang w:val="en-GB"/>
        </w:rPr>
        <w:t>the principle of effective judicial protection.</w:t>
      </w:r>
      <w:r w:rsidR="00C43127" w:rsidRPr="00311B33">
        <w:rPr>
          <w:rStyle w:val="Appelnotedebasdep"/>
          <w:rFonts w:ascii="Times New Roman" w:hAnsi="Times New Roman" w:cs="Times New Roman"/>
          <w:lang w:val="en-GB"/>
        </w:rPr>
        <w:footnoteReference w:id="78"/>
      </w:r>
      <w:r w:rsidR="00C67253" w:rsidRPr="00311B33">
        <w:rPr>
          <w:rFonts w:ascii="Times New Roman" w:hAnsi="Times New Roman" w:cs="Times New Roman"/>
          <w:lang w:val="en-GB"/>
        </w:rPr>
        <w:t xml:space="preserve"> How indeed can victims of anticompetitive infringements be effectively protected by the legal system if the latter is slow in remedying violations of the law? T</w:t>
      </w:r>
      <w:r w:rsidRPr="00311B33">
        <w:rPr>
          <w:rFonts w:ascii="Times New Roman" w:hAnsi="Times New Roman" w:cs="Times New Roman"/>
          <w:lang w:val="en-GB"/>
        </w:rPr>
        <w:t xml:space="preserve">he right </w:t>
      </w:r>
      <w:r w:rsidR="00C67253" w:rsidRPr="00311B33">
        <w:rPr>
          <w:rFonts w:ascii="Times New Roman" w:hAnsi="Times New Roman" w:cs="Times New Roman"/>
          <w:lang w:val="en-GB"/>
        </w:rPr>
        <w:t xml:space="preserve">to expedient proceedings </w:t>
      </w:r>
      <w:r w:rsidRPr="00311B33">
        <w:rPr>
          <w:rFonts w:ascii="Times New Roman" w:hAnsi="Times New Roman" w:cs="Times New Roman"/>
          <w:lang w:val="en-GB"/>
        </w:rPr>
        <w:t xml:space="preserve">is also </w:t>
      </w:r>
      <w:r w:rsidR="00C67253" w:rsidRPr="00311B33">
        <w:rPr>
          <w:rFonts w:ascii="Times New Roman" w:hAnsi="Times New Roman" w:cs="Times New Roman"/>
          <w:lang w:val="en-GB"/>
        </w:rPr>
        <w:t xml:space="preserve">a </w:t>
      </w:r>
      <w:r w:rsidRPr="00311B33">
        <w:rPr>
          <w:rFonts w:ascii="Times New Roman" w:hAnsi="Times New Roman" w:cs="Times New Roman"/>
          <w:lang w:val="en-GB"/>
        </w:rPr>
        <w:t xml:space="preserve">derivative of the duty of good administration. </w:t>
      </w:r>
      <w:r w:rsidR="004A68FE" w:rsidRPr="00311B33">
        <w:rPr>
          <w:rFonts w:ascii="Times New Roman" w:hAnsi="Times New Roman" w:cs="Times New Roman"/>
          <w:lang w:val="en-GB"/>
        </w:rPr>
        <w:t>Article 6</w:t>
      </w:r>
      <w:r w:rsidR="008D7EDC" w:rsidRPr="00311B33">
        <w:rPr>
          <w:rFonts w:ascii="Times New Roman" w:hAnsi="Times New Roman" w:cs="Times New Roman"/>
          <w:lang w:val="en-GB"/>
        </w:rPr>
        <w:t>(1) ECHR establishes</w:t>
      </w:r>
      <w:r w:rsidR="009A4463" w:rsidRPr="00311B33">
        <w:rPr>
          <w:rFonts w:ascii="Times New Roman" w:hAnsi="Times New Roman" w:cs="Times New Roman"/>
          <w:lang w:val="en-GB"/>
        </w:rPr>
        <w:t xml:space="preserve"> that every person has the right to have his or her affairs handled impartially, fairly, and within a reasonable</w:t>
      </w:r>
      <w:r w:rsidR="00EA1619" w:rsidRPr="00311B33">
        <w:rPr>
          <w:rFonts w:ascii="Times New Roman" w:hAnsi="Times New Roman" w:cs="Times New Roman"/>
          <w:lang w:val="en-GB"/>
        </w:rPr>
        <w:t xml:space="preserve"> time.</w:t>
      </w:r>
      <w:r w:rsidR="003E1DB7" w:rsidRPr="00311B33">
        <w:rPr>
          <w:rStyle w:val="Appelnotedebasdep"/>
          <w:rFonts w:ascii="Times New Roman" w:hAnsi="Times New Roman" w:cs="Times New Roman"/>
          <w:lang w:val="en-GB"/>
        </w:rPr>
        <w:footnoteReference w:id="79"/>
      </w:r>
      <w:r w:rsidR="003E1DB7" w:rsidRPr="00311B33">
        <w:rPr>
          <w:rFonts w:ascii="Times New Roman" w:hAnsi="Times New Roman" w:cs="Times New Roman"/>
          <w:lang w:val="en-GB"/>
        </w:rPr>
        <w:t xml:space="preserve"> Article 47 of the Charter</w:t>
      </w:r>
      <w:r w:rsidR="00C67253" w:rsidRPr="00311B33">
        <w:rPr>
          <w:rFonts w:ascii="Times New Roman" w:hAnsi="Times New Roman" w:cs="Times New Roman"/>
          <w:lang w:val="en-GB"/>
        </w:rPr>
        <w:t xml:space="preserve"> embodies a similar principle. </w:t>
      </w:r>
    </w:p>
    <w:p w:rsidR="00BB142D" w:rsidRPr="00311B33" w:rsidRDefault="00BB142D" w:rsidP="0082443E">
      <w:pPr>
        <w:jc w:val="both"/>
        <w:rPr>
          <w:rFonts w:ascii="Times New Roman" w:hAnsi="Times New Roman" w:cs="Times New Roman"/>
          <w:lang w:val="en-GB"/>
        </w:rPr>
      </w:pPr>
    </w:p>
    <w:p w:rsidR="00155CE4" w:rsidRPr="00C53DDF" w:rsidRDefault="00C67253" w:rsidP="0082443E">
      <w:pPr>
        <w:jc w:val="both"/>
        <w:rPr>
          <w:rFonts w:ascii="Times New Roman" w:hAnsi="Times New Roman" w:cs="Times New Roman"/>
          <w:lang w:val="en-GB"/>
        </w:rPr>
      </w:pPr>
      <w:r w:rsidRPr="00311B33">
        <w:rPr>
          <w:rFonts w:ascii="Times New Roman" w:hAnsi="Times New Roman" w:cs="Times New Roman"/>
          <w:lang w:val="en-GB"/>
        </w:rPr>
        <w:t xml:space="preserve">The Court has not defined what constitutes a </w:t>
      </w:r>
      <w:r w:rsidR="004A7FE9" w:rsidRPr="00311B33">
        <w:rPr>
          <w:rFonts w:ascii="Times New Roman" w:hAnsi="Times New Roman" w:cs="Times New Roman"/>
          <w:lang w:val="en-GB"/>
        </w:rPr>
        <w:t>“</w:t>
      </w:r>
      <w:r w:rsidR="004A7FE9" w:rsidRPr="00311B33">
        <w:rPr>
          <w:rFonts w:ascii="Times New Roman" w:hAnsi="Times New Roman" w:cs="Times New Roman"/>
          <w:i/>
          <w:lang w:val="en-GB"/>
        </w:rPr>
        <w:t>reasonable time</w:t>
      </w:r>
      <w:r w:rsidR="004A7FE9" w:rsidRPr="00311B33">
        <w:rPr>
          <w:rFonts w:ascii="Times New Roman" w:hAnsi="Times New Roman" w:cs="Times New Roman"/>
          <w:lang w:val="en-GB"/>
        </w:rPr>
        <w:t>”.</w:t>
      </w:r>
      <w:r w:rsidR="004A7FE9" w:rsidRPr="00311B33">
        <w:rPr>
          <w:rStyle w:val="Appelnotedebasdep"/>
          <w:rFonts w:ascii="Times New Roman" w:hAnsi="Times New Roman" w:cs="Times New Roman"/>
          <w:lang w:val="en-GB"/>
        </w:rPr>
        <w:footnoteReference w:id="80"/>
      </w:r>
      <w:r w:rsidR="004A7FE9" w:rsidRPr="00311B33">
        <w:rPr>
          <w:rFonts w:ascii="Times New Roman" w:hAnsi="Times New Roman" w:cs="Times New Roman"/>
          <w:lang w:val="en-GB"/>
        </w:rPr>
        <w:t xml:space="preserve"> </w:t>
      </w:r>
      <w:r w:rsidRPr="00311B33">
        <w:rPr>
          <w:rFonts w:ascii="Times New Roman" w:hAnsi="Times New Roman" w:cs="Times New Roman"/>
          <w:lang w:val="en-GB"/>
        </w:rPr>
        <w:t xml:space="preserve">In </w:t>
      </w:r>
      <w:r w:rsidR="002656C2" w:rsidRPr="00311B33">
        <w:rPr>
          <w:rFonts w:ascii="Times New Roman" w:hAnsi="Times New Roman" w:cs="Times New Roman"/>
          <w:lang w:val="en-GB"/>
        </w:rPr>
        <w:t>its</w:t>
      </w:r>
      <w:r w:rsidRPr="00311B33">
        <w:rPr>
          <w:rFonts w:ascii="Times New Roman" w:hAnsi="Times New Roman" w:cs="Times New Roman"/>
          <w:lang w:val="en-GB"/>
        </w:rPr>
        <w:t xml:space="preserve"> view, the </w:t>
      </w:r>
      <w:r w:rsidR="00D21A30" w:rsidRPr="00311B33">
        <w:rPr>
          <w:rFonts w:ascii="Times New Roman" w:hAnsi="Times New Roman" w:cs="Times New Roman"/>
          <w:lang w:val="en-GB"/>
        </w:rPr>
        <w:t xml:space="preserve">assessment </w:t>
      </w:r>
      <w:r w:rsidRPr="00311B33">
        <w:rPr>
          <w:rFonts w:ascii="Times New Roman" w:hAnsi="Times New Roman" w:cs="Times New Roman"/>
          <w:lang w:val="en-GB"/>
        </w:rPr>
        <w:t xml:space="preserve">must be </w:t>
      </w:r>
      <w:r w:rsidR="00D21A30" w:rsidRPr="00311B33">
        <w:rPr>
          <w:rFonts w:ascii="Times New Roman" w:hAnsi="Times New Roman" w:cs="Times New Roman"/>
          <w:lang w:val="en-GB"/>
        </w:rPr>
        <w:t xml:space="preserve">made </w:t>
      </w:r>
      <w:r w:rsidR="004A7FE9" w:rsidRPr="00311B33">
        <w:rPr>
          <w:rFonts w:ascii="Times New Roman" w:hAnsi="Times New Roman" w:cs="Times New Roman"/>
          <w:lang w:val="en-GB"/>
        </w:rPr>
        <w:t>on a case-by-case basis, according to the specifi</w:t>
      </w:r>
      <w:r w:rsidR="00F45198" w:rsidRPr="00311B33">
        <w:rPr>
          <w:rFonts w:ascii="Times New Roman" w:hAnsi="Times New Roman" w:cs="Times New Roman"/>
          <w:lang w:val="en-GB"/>
        </w:rPr>
        <w:t>c circumstances of each</w:t>
      </w:r>
      <w:r w:rsidR="004A7FE9" w:rsidRPr="00311B33">
        <w:rPr>
          <w:rFonts w:ascii="Times New Roman" w:hAnsi="Times New Roman" w:cs="Times New Roman"/>
          <w:lang w:val="en-GB"/>
        </w:rPr>
        <w:t xml:space="preserve"> case.</w:t>
      </w:r>
      <w:r w:rsidR="004A7FE9" w:rsidRPr="00311B33">
        <w:rPr>
          <w:rStyle w:val="Appelnotedebasdep"/>
          <w:rFonts w:ascii="Times New Roman" w:hAnsi="Times New Roman" w:cs="Times New Roman"/>
          <w:lang w:val="en-GB"/>
        </w:rPr>
        <w:footnoteReference w:id="81"/>
      </w:r>
      <w:r w:rsidR="004A7FE9" w:rsidRPr="00311B33">
        <w:rPr>
          <w:rFonts w:ascii="Times New Roman" w:hAnsi="Times New Roman" w:cs="Times New Roman"/>
          <w:lang w:val="en-GB"/>
        </w:rPr>
        <w:t xml:space="preserve"> </w:t>
      </w:r>
      <w:r w:rsidR="00777044" w:rsidRPr="00311B33">
        <w:rPr>
          <w:rFonts w:ascii="Times New Roman" w:hAnsi="Times New Roman" w:cs="Times New Roman"/>
          <w:lang w:val="en-GB"/>
        </w:rPr>
        <w:t>The assessment is not blind though. T</w:t>
      </w:r>
      <w:r w:rsidR="002656C2" w:rsidRPr="00311B33">
        <w:rPr>
          <w:rFonts w:ascii="Times New Roman" w:hAnsi="Times New Roman" w:cs="Times New Roman"/>
          <w:lang w:val="en-GB"/>
        </w:rPr>
        <w:t xml:space="preserve">he Court </w:t>
      </w:r>
      <w:r w:rsidR="007858B2" w:rsidRPr="00311B33">
        <w:rPr>
          <w:rFonts w:ascii="Times New Roman" w:hAnsi="Times New Roman" w:cs="Times New Roman"/>
          <w:lang w:val="en-GB"/>
        </w:rPr>
        <w:t xml:space="preserve">uses an </w:t>
      </w:r>
      <w:r w:rsidR="002656C2" w:rsidRPr="00311B33">
        <w:rPr>
          <w:rFonts w:ascii="Times New Roman" w:hAnsi="Times New Roman" w:cs="Times New Roman"/>
          <w:lang w:val="en-GB"/>
        </w:rPr>
        <w:t>analytical grid of f</w:t>
      </w:r>
      <w:r w:rsidR="004A7FE9" w:rsidRPr="00311B33">
        <w:rPr>
          <w:rFonts w:ascii="Times New Roman" w:hAnsi="Times New Roman" w:cs="Times New Roman"/>
          <w:lang w:val="en-GB"/>
        </w:rPr>
        <w:t xml:space="preserve">our </w:t>
      </w:r>
      <w:r w:rsidR="002656C2" w:rsidRPr="00311B33">
        <w:rPr>
          <w:rFonts w:ascii="Times New Roman" w:hAnsi="Times New Roman" w:cs="Times New Roman"/>
          <w:lang w:val="en-GB"/>
        </w:rPr>
        <w:t xml:space="preserve">criteria (they are not exhaustive) to </w:t>
      </w:r>
      <w:r w:rsidR="007858B2" w:rsidRPr="00311B33">
        <w:rPr>
          <w:rFonts w:ascii="Times New Roman" w:hAnsi="Times New Roman" w:cs="Times New Roman"/>
          <w:lang w:val="en-GB"/>
        </w:rPr>
        <w:t>assess whether the duration of proceedings is r</w:t>
      </w:r>
      <w:r w:rsidR="004A7FE9" w:rsidRPr="00311B33">
        <w:rPr>
          <w:rFonts w:ascii="Times New Roman" w:hAnsi="Times New Roman" w:cs="Times New Roman"/>
          <w:lang w:val="en-GB"/>
        </w:rPr>
        <w:t>easonable</w:t>
      </w:r>
      <w:r w:rsidR="007858B2" w:rsidRPr="00311B33">
        <w:rPr>
          <w:rFonts w:ascii="Times New Roman" w:hAnsi="Times New Roman" w:cs="Times New Roman"/>
          <w:lang w:val="en-GB"/>
        </w:rPr>
        <w:t>:</w:t>
      </w:r>
      <w:r w:rsidR="004A7FE9" w:rsidRPr="00311B33">
        <w:rPr>
          <w:rFonts w:ascii="Times New Roman" w:hAnsi="Times New Roman" w:cs="Times New Roman"/>
          <w:lang w:val="en-GB"/>
        </w:rPr>
        <w:t xml:space="preserve"> </w:t>
      </w:r>
      <w:r w:rsidR="00F45198" w:rsidRPr="00C53DDF">
        <w:rPr>
          <w:rFonts w:ascii="Times New Roman" w:hAnsi="Times New Roman" w:cs="Times New Roman"/>
          <w:lang w:val="en-GB"/>
        </w:rPr>
        <w:t xml:space="preserve">(i) </w:t>
      </w:r>
      <w:r w:rsidR="004A7FE9" w:rsidRPr="00C53DDF">
        <w:rPr>
          <w:rFonts w:ascii="Times New Roman" w:hAnsi="Times New Roman" w:cs="Times New Roman"/>
          <w:lang w:val="en-GB"/>
        </w:rPr>
        <w:t>importance of the case for the person concerned</w:t>
      </w:r>
      <w:r w:rsidR="007858B2" w:rsidRPr="00C53DDF">
        <w:rPr>
          <w:rFonts w:ascii="Times New Roman" w:hAnsi="Times New Roman" w:cs="Times New Roman"/>
          <w:lang w:val="en-GB"/>
        </w:rPr>
        <w:t xml:space="preserve">; </w:t>
      </w:r>
      <w:r w:rsidR="00F45198" w:rsidRPr="00C53DDF">
        <w:rPr>
          <w:rFonts w:ascii="Times New Roman" w:hAnsi="Times New Roman" w:cs="Times New Roman"/>
          <w:lang w:val="en-GB"/>
        </w:rPr>
        <w:t xml:space="preserve">(ii) </w:t>
      </w:r>
      <w:r w:rsidR="004A7FE9" w:rsidRPr="00C53DDF">
        <w:rPr>
          <w:rFonts w:ascii="Times New Roman" w:hAnsi="Times New Roman" w:cs="Times New Roman"/>
          <w:lang w:val="en-GB"/>
        </w:rPr>
        <w:t>complexity</w:t>
      </w:r>
      <w:r w:rsidR="007858B2" w:rsidRPr="00C53DDF">
        <w:rPr>
          <w:rFonts w:ascii="Times New Roman" w:hAnsi="Times New Roman" w:cs="Times New Roman"/>
          <w:lang w:val="en-GB"/>
        </w:rPr>
        <w:t xml:space="preserve"> of the case;</w:t>
      </w:r>
      <w:r w:rsidR="004A7FE9" w:rsidRPr="00C53DDF">
        <w:rPr>
          <w:rFonts w:ascii="Times New Roman" w:hAnsi="Times New Roman" w:cs="Times New Roman"/>
          <w:lang w:val="en-GB"/>
        </w:rPr>
        <w:t xml:space="preserve"> </w:t>
      </w:r>
      <w:r w:rsidR="00F45198" w:rsidRPr="00C53DDF">
        <w:rPr>
          <w:rFonts w:ascii="Times New Roman" w:hAnsi="Times New Roman" w:cs="Times New Roman"/>
          <w:lang w:val="en-GB"/>
        </w:rPr>
        <w:t xml:space="preserve">(iii) </w:t>
      </w:r>
      <w:r w:rsidR="004A7FE9" w:rsidRPr="00C53DDF">
        <w:rPr>
          <w:rFonts w:ascii="Times New Roman" w:hAnsi="Times New Roman" w:cs="Times New Roman"/>
          <w:lang w:val="en-GB"/>
        </w:rPr>
        <w:t>conduct of the applicant</w:t>
      </w:r>
      <w:r w:rsidR="007858B2" w:rsidRPr="00C53DDF">
        <w:rPr>
          <w:rFonts w:ascii="Times New Roman" w:hAnsi="Times New Roman" w:cs="Times New Roman"/>
          <w:lang w:val="en-GB"/>
        </w:rPr>
        <w:t xml:space="preserve">; </w:t>
      </w:r>
      <w:r w:rsidR="004A7FE9" w:rsidRPr="00C53DDF">
        <w:rPr>
          <w:rFonts w:ascii="Times New Roman" w:hAnsi="Times New Roman" w:cs="Times New Roman"/>
          <w:lang w:val="en-GB"/>
        </w:rPr>
        <w:t xml:space="preserve">and </w:t>
      </w:r>
      <w:r w:rsidR="00F45198" w:rsidRPr="00C53DDF">
        <w:rPr>
          <w:rFonts w:ascii="Times New Roman" w:hAnsi="Times New Roman" w:cs="Times New Roman"/>
          <w:lang w:val="en-GB"/>
        </w:rPr>
        <w:t xml:space="preserve">(iv) </w:t>
      </w:r>
      <w:r w:rsidR="004A7FE9" w:rsidRPr="00C53DDF">
        <w:rPr>
          <w:rFonts w:ascii="Times New Roman" w:hAnsi="Times New Roman" w:cs="Times New Roman"/>
          <w:lang w:val="en-GB"/>
        </w:rPr>
        <w:t>of the competent authorities.</w:t>
      </w:r>
      <w:r w:rsidR="004A7FE9" w:rsidRPr="00C53DDF">
        <w:rPr>
          <w:rStyle w:val="Appelnotedebasdep"/>
          <w:rFonts w:ascii="Times New Roman" w:hAnsi="Times New Roman" w:cs="Times New Roman"/>
          <w:lang w:val="en-GB"/>
        </w:rPr>
        <w:footnoteReference w:id="82"/>
      </w:r>
      <w:r w:rsidR="004A7FE9" w:rsidRPr="00C53DDF">
        <w:rPr>
          <w:rFonts w:ascii="Times New Roman" w:hAnsi="Times New Roman" w:cs="Times New Roman"/>
          <w:lang w:val="en-GB"/>
        </w:rPr>
        <w:t xml:space="preserve"> </w:t>
      </w:r>
      <w:r w:rsidR="00883A50" w:rsidRPr="004E08B1">
        <w:rPr>
          <w:rFonts w:ascii="Times New Roman" w:hAnsi="Times New Roman" w:cs="Times New Roman"/>
          <w:iCs/>
          <w:lang w:val="en-GB"/>
        </w:rPr>
        <w:t xml:space="preserve">The assessment of the reasonableness of the period in question does not require a systematic examination of the circumstances of the case in the light of each of the four above-mentioned criterions where the duration of the proceedings appears justified in the light of one of them. Thus, the complexity of the case or the dilatory conduct of the applicant alone may be deemed to justify </w:t>
      </w:r>
      <w:r w:rsidR="008D0F67">
        <w:rPr>
          <w:rFonts w:ascii="Times New Roman" w:hAnsi="Times New Roman" w:cs="Times New Roman"/>
          <w:iCs/>
          <w:lang w:val="en-GB"/>
        </w:rPr>
        <w:t xml:space="preserve">a </w:t>
      </w:r>
      <w:r w:rsidR="008D0F67" w:rsidRPr="004E08B1">
        <w:rPr>
          <w:rFonts w:ascii="Times New Roman" w:hAnsi="Times New Roman" w:cs="Times New Roman"/>
          <w:i/>
          <w:iCs/>
          <w:lang w:val="en-GB"/>
        </w:rPr>
        <w:t>prima facie</w:t>
      </w:r>
      <w:r w:rsidR="008D0F67">
        <w:rPr>
          <w:rFonts w:ascii="Times New Roman" w:hAnsi="Times New Roman" w:cs="Times New Roman"/>
          <w:iCs/>
          <w:lang w:val="en-GB"/>
        </w:rPr>
        <w:t xml:space="preserve"> excessive </w:t>
      </w:r>
      <w:r w:rsidR="00883A50" w:rsidRPr="004E08B1">
        <w:rPr>
          <w:rFonts w:ascii="Times New Roman" w:hAnsi="Times New Roman" w:cs="Times New Roman"/>
          <w:iCs/>
          <w:lang w:val="en-GB"/>
        </w:rPr>
        <w:t>duration. Conversely, the time taken may be regarded as longer than is reasonable in the light of just one criterion, in particular where its</w:t>
      </w:r>
      <w:r w:rsidR="00D80949">
        <w:rPr>
          <w:rFonts w:ascii="Times New Roman" w:hAnsi="Times New Roman" w:cs="Times New Roman"/>
          <w:iCs/>
          <w:lang w:val="en-GB"/>
        </w:rPr>
        <w:t xml:space="preserve"> </w:t>
      </w:r>
      <w:r w:rsidR="00883A50" w:rsidRPr="004E08B1">
        <w:rPr>
          <w:rFonts w:ascii="Times New Roman" w:hAnsi="Times New Roman" w:cs="Times New Roman"/>
          <w:iCs/>
          <w:lang w:val="en-GB"/>
        </w:rPr>
        <w:t xml:space="preserve">duration is </w:t>
      </w:r>
      <w:r w:rsidR="00D80949">
        <w:rPr>
          <w:rFonts w:ascii="Times New Roman" w:hAnsi="Times New Roman" w:cs="Times New Roman"/>
          <w:iCs/>
          <w:lang w:val="en-GB"/>
        </w:rPr>
        <w:t xml:space="preserve">caused by </w:t>
      </w:r>
      <w:r w:rsidR="00883A50" w:rsidRPr="004E08B1">
        <w:rPr>
          <w:rFonts w:ascii="Times New Roman" w:hAnsi="Times New Roman" w:cs="Times New Roman"/>
          <w:iCs/>
          <w:lang w:val="en-GB"/>
        </w:rPr>
        <w:t>the conduct of the competent authorities.</w:t>
      </w:r>
      <w:r w:rsidR="003C44DE" w:rsidRPr="00C53DDF">
        <w:rPr>
          <w:rStyle w:val="Appelnotedebasdep"/>
          <w:rFonts w:ascii="Times New Roman" w:hAnsi="Times New Roman" w:cs="Times New Roman"/>
          <w:lang w:val="en-GB"/>
        </w:rPr>
        <w:footnoteReference w:id="83"/>
      </w:r>
      <w:r w:rsidR="00883A50" w:rsidRPr="004E08B1">
        <w:rPr>
          <w:rFonts w:ascii="Times New Roman" w:hAnsi="Times New Roman" w:cs="Times New Roman"/>
          <w:iCs/>
          <w:vertAlign w:val="superscript"/>
          <w:lang w:val="en-GB"/>
        </w:rPr>
        <w:t>-</w:t>
      </w:r>
      <w:r w:rsidR="00883A50" w:rsidRPr="004E08B1">
        <w:rPr>
          <w:rStyle w:val="Appelnotedebasdep"/>
          <w:rFonts w:ascii="Times New Roman" w:hAnsi="Times New Roman" w:cs="Times New Roman"/>
          <w:iCs/>
          <w:lang w:val="en-GB"/>
        </w:rPr>
        <w:footnoteReference w:id="84"/>
      </w:r>
    </w:p>
    <w:p w:rsidR="00155CE4" w:rsidRPr="00311B33" w:rsidRDefault="00155CE4" w:rsidP="0082443E">
      <w:pPr>
        <w:jc w:val="both"/>
        <w:rPr>
          <w:rFonts w:ascii="Times New Roman" w:hAnsi="Times New Roman" w:cs="Times New Roman"/>
          <w:lang w:val="en-GB"/>
        </w:rPr>
      </w:pPr>
    </w:p>
    <w:p w:rsidR="00D21A30" w:rsidRPr="00311B33" w:rsidRDefault="009B1657" w:rsidP="0082443E">
      <w:pPr>
        <w:jc w:val="both"/>
        <w:rPr>
          <w:rFonts w:ascii="Times New Roman" w:hAnsi="Times New Roman" w:cs="Times New Roman"/>
          <w:lang w:val="en-GB"/>
        </w:rPr>
      </w:pPr>
      <w:r w:rsidRPr="00246F56">
        <w:rPr>
          <w:rFonts w:ascii="Times New Roman" w:hAnsi="Times New Roman" w:cs="Times New Roman"/>
          <w:b/>
          <w:lang w:val="en-GB"/>
        </w:rPr>
        <w:t>Two phases –</w:t>
      </w:r>
      <w:r w:rsidR="001F611F" w:rsidRPr="00311B33">
        <w:rPr>
          <w:rFonts w:ascii="Times New Roman" w:hAnsi="Times New Roman" w:cs="Times New Roman"/>
          <w:lang w:val="en-GB"/>
        </w:rPr>
        <w:t xml:space="preserve"> </w:t>
      </w:r>
      <w:r w:rsidR="004A7FE9" w:rsidRPr="00311B33">
        <w:rPr>
          <w:rFonts w:ascii="Times New Roman" w:hAnsi="Times New Roman" w:cs="Times New Roman"/>
          <w:lang w:val="en-GB"/>
        </w:rPr>
        <w:t xml:space="preserve">The </w:t>
      </w:r>
      <w:r w:rsidR="00997A15" w:rsidRPr="00311B33">
        <w:rPr>
          <w:rFonts w:ascii="Times New Roman" w:hAnsi="Times New Roman" w:cs="Times New Roman"/>
          <w:lang w:val="en-GB"/>
        </w:rPr>
        <w:t>right</w:t>
      </w:r>
      <w:r w:rsidR="00465185" w:rsidRPr="00311B33">
        <w:rPr>
          <w:rFonts w:ascii="Times New Roman" w:hAnsi="Times New Roman" w:cs="Times New Roman"/>
          <w:lang w:val="en-GB"/>
        </w:rPr>
        <w:t xml:space="preserve"> to expedient proceedings </w:t>
      </w:r>
      <w:r w:rsidR="00777044" w:rsidRPr="00311B33">
        <w:rPr>
          <w:rFonts w:ascii="Times New Roman" w:hAnsi="Times New Roman" w:cs="Times New Roman"/>
          <w:lang w:val="en-GB"/>
        </w:rPr>
        <w:t xml:space="preserve">applies to the period which starts with the adoption of a SO and ends with a final decision. </w:t>
      </w:r>
      <w:r w:rsidR="004A7FE9" w:rsidRPr="00311B33">
        <w:rPr>
          <w:rFonts w:ascii="Times New Roman" w:hAnsi="Times New Roman" w:cs="Times New Roman"/>
          <w:lang w:val="en-GB"/>
        </w:rPr>
        <w:t xml:space="preserve"> </w:t>
      </w:r>
      <w:r w:rsidR="00777044" w:rsidRPr="00311B33">
        <w:rPr>
          <w:rFonts w:ascii="Times New Roman" w:hAnsi="Times New Roman" w:cs="Times New Roman"/>
          <w:lang w:val="en-GB"/>
        </w:rPr>
        <w:t xml:space="preserve">Before this, the Commission can take as much time as it </w:t>
      </w:r>
      <w:r w:rsidR="00D80949">
        <w:rPr>
          <w:rFonts w:ascii="Times New Roman" w:hAnsi="Times New Roman" w:cs="Times New Roman"/>
          <w:lang w:val="en-GB"/>
        </w:rPr>
        <w:t>wants</w:t>
      </w:r>
      <w:r w:rsidR="00777044" w:rsidRPr="00311B33">
        <w:rPr>
          <w:rFonts w:ascii="Times New Roman" w:hAnsi="Times New Roman" w:cs="Times New Roman"/>
          <w:lang w:val="en-GB"/>
        </w:rPr>
        <w:t xml:space="preserve"> to investigate a case, in search for evidence. This is because an investigation is not </w:t>
      </w:r>
      <w:r w:rsidR="00077B71" w:rsidRPr="00311B33">
        <w:rPr>
          <w:rFonts w:ascii="Times New Roman" w:hAnsi="Times New Roman" w:cs="Times New Roman"/>
          <w:lang w:val="en-GB"/>
        </w:rPr>
        <w:t>in itself</w:t>
      </w:r>
      <w:r w:rsidR="004A7FE9" w:rsidRPr="00311B33">
        <w:rPr>
          <w:rFonts w:ascii="Times New Roman" w:hAnsi="Times New Roman" w:cs="Times New Roman"/>
          <w:lang w:val="en-GB"/>
        </w:rPr>
        <w:t xml:space="preserve"> capable of adversely </w:t>
      </w:r>
      <w:r w:rsidR="00077B71" w:rsidRPr="00311B33">
        <w:rPr>
          <w:rFonts w:ascii="Times New Roman" w:hAnsi="Times New Roman" w:cs="Times New Roman"/>
          <w:lang w:val="en-GB"/>
        </w:rPr>
        <w:t xml:space="preserve">affecting the rights of </w:t>
      </w:r>
      <w:r w:rsidR="00D21A30" w:rsidRPr="00311B33">
        <w:rPr>
          <w:rFonts w:ascii="Times New Roman" w:hAnsi="Times New Roman" w:cs="Times New Roman"/>
          <w:lang w:val="en-GB"/>
        </w:rPr>
        <w:t xml:space="preserve">the </w:t>
      </w:r>
      <w:r w:rsidR="00077B71" w:rsidRPr="00311B33">
        <w:rPr>
          <w:rFonts w:ascii="Times New Roman" w:hAnsi="Times New Roman" w:cs="Times New Roman"/>
          <w:lang w:val="en-GB"/>
        </w:rPr>
        <w:t>defence</w:t>
      </w:r>
      <w:r w:rsidR="00AA4A77" w:rsidRPr="00311B33">
        <w:rPr>
          <w:rFonts w:ascii="Times New Roman" w:hAnsi="Times New Roman" w:cs="Times New Roman"/>
          <w:lang w:val="en-GB"/>
        </w:rPr>
        <w:t xml:space="preserve"> since </w:t>
      </w:r>
      <w:r w:rsidR="004A7FE9" w:rsidRPr="00311B33">
        <w:rPr>
          <w:rFonts w:ascii="Times New Roman" w:hAnsi="Times New Roman" w:cs="Times New Roman"/>
          <w:lang w:val="en-GB"/>
        </w:rPr>
        <w:t>the undertakings concerned are not subject of any formal accusation until they receive the SO.</w:t>
      </w:r>
      <w:r w:rsidR="004A7FE9" w:rsidRPr="00311B33">
        <w:rPr>
          <w:rStyle w:val="Appelnotedebasdep"/>
          <w:rFonts w:ascii="Times New Roman" w:hAnsi="Times New Roman" w:cs="Times New Roman"/>
          <w:lang w:val="en-GB"/>
        </w:rPr>
        <w:footnoteReference w:id="85"/>
      </w:r>
      <w:r w:rsidR="00AA4A77" w:rsidRPr="00311B33">
        <w:rPr>
          <w:rFonts w:ascii="Times New Roman" w:hAnsi="Times New Roman" w:cs="Times New Roman"/>
          <w:lang w:val="en-GB"/>
        </w:rPr>
        <w:t xml:space="preserve"> </w:t>
      </w:r>
    </w:p>
    <w:p w:rsidR="00D21A30" w:rsidRPr="00311B33" w:rsidRDefault="00D21A30" w:rsidP="0082443E">
      <w:pPr>
        <w:jc w:val="both"/>
        <w:rPr>
          <w:rFonts w:ascii="Times New Roman" w:hAnsi="Times New Roman" w:cs="Times New Roman"/>
          <w:lang w:val="en-GB"/>
        </w:rPr>
      </w:pPr>
    </w:p>
    <w:p w:rsidR="00C12CD8" w:rsidRPr="00311B33" w:rsidRDefault="00077B71" w:rsidP="001104E3">
      <w:pPr>
        <w:jc w:val="both"/>
        <w:rPr>
          <w:rFonts w:ascii="Times New Roman" w:hAnsi="Times New Roman" w:cs="Times New Roman"/>
          <w:lang w:val="en-GB"/>
        </w:rPr>
      </w:pPr>
      <w:r w:rsidRPr="00311B33">
        <w:rPr>
          <w:rFonts w:ascii="Times New Roman" w:hAnsi="Times New Roman" w:cs="Times New Roman"/>
          <w:lang w:val="en-GB"/>
        </w:rPr>
        <w:t>This notwithstanding, the</w:t>
      </w:r>
      <w:r w:rsidR="004F1F1A" w:rsidRPr="00311B33">
        <w:rPr>
          <w:rFonts w:ascii="Times New Roman" w:hAnsi="Times New Roman" w:cs="Times New Roman"/>
          <w:lang w:val="en-GB"/>
        </w:rPr>
        <w:t xml:space="preserve"> </w:t>
      </w:r>
      <w:r w:rsidR="00D21A30" w:rsidRPr="00311B33">
        <w:rPr>
          <w:rFonts w:ascii="Times New Roman" w:hAnsi="Times New Roman" w:cs="Times New Roman"/>
          <w:lang w:val="en-GB"/>
        </w:rPr>
        <w:t xml:space="preserve">CJEU </w:t>
      </w:r>
      <w:r w:rsidRPr="00311B33">
        <w:rPr>
          <w:rFonts w:ascii="Times New Roman" w:hAnsi="Times New Roman" w:cs="Times New Roman"/>
          <w:lang w:val="en-GB"/>
        </w:rPr>
        <w:t>admitted</w:t>
      </w:r>
      <w:r w:rsidR="004A7FE9" w:rsidRPr="00311B33">
        <w:rPr>
          <w:rFonts w:ascii="Times New Roman" w:hAnsi="Times New Roman" w:cs="Times New Roman"/>
          <w:lang w:val="en-GB"/>
        </w:rPr>
        <w:t xml:space="preserve"> that</w:t>
      </w:r>
      <w:r w:rsidR="00777044" w:rsidRPr="00311B33">
        <w:rPr>
          <w:rFonts w:ascii="Times New Roman" w:hAnsi="Times New Roman" w:cs="Times New Roman"/>
          <w:lang w:val="en-GB"/>
        </w:rPr>
        <w:t xml:space="preserve"> in certain circumstances,</w:t>
      </w:r>
      <w:r w:rsidR="004A7FE9" w:rsidRPr="00311B33">
        <w:rPr>
          <w:rFonts w:ascii="Times New Roman" w:hAnsi="Times New Roman" w:cs="Times New Roman"/>
          <w:lang w:val="en-GB"/>
        </w:rPr>
        <w:t xml:space="preserve"> </w:t>
      </w:r>
      <w:r w:rsidR="00777044" w:rsidRPr="00311B33">
        <w:rPr>
          <w:rFonts w:ascii="Times New Roman" w:hAnsi="Times New Roman" w:cs="Times New Roman"/>
          <w:lang w:val="en-GB"/>
        </w:rPr>
        <w:t xml:space="preserve">an </w:t>
      </w:r>
      <w:r w:rsidR="004A7FE9" w:rsidRPr="00311B33">
        <w:rPr>
          <w:rFonts w:ascii="Times New Roman" w:hAnsi="Times New Roman" w:cs="Times New Roman"/>
          <w:lang w:val="en-GB"/>
        </w:rPr>
        <w:t xml:space="preserve">excessive duration </w:t>
      </w:r>
      <w:r w:rsidR="00D80949">
        <w:rPr>
          <w:rFonts w:ascii="Times New Roman" w:hAnsi="Times New Roman" w:cs="Times New Roman"/>
          <w:lang w:val="en-GB"/>
        </w:rPr>
        <w:t xml:space="preserve">during </w:t>
      </w:r>
      <w:r w:rsidR="004A7FE9" w:rsidRPr="00311B33">
        <w:rPr>
          <w:rFonts w:ascii="Times New Roman" w:hAnsi="Times New Roman" w:cs="Times New Roman"/>
          <w:lang w:val="en-GB"/>
        </w:rPr>
        <w:t xml:space="preserve">the </w:t>
      </w:r>
      <w:r w:rsidR="00777044" w:rsidRPr="00311B33">
        <w:rPr>
          <w:rFonts w:ascii="Times New Roman" w:hAnsi="Times New Roman" w:cs="Times New Roman"/>
          <w:lang w:val="en-GB"/>
        </w:rPr>
        <w:t xml:space="preserve">investigative </w:t>
      </w:r>
      <w:r w:rsidR="004A7FE9" w:rsidRPr="00311B33">
        <w:rPr>
          <w:rFonts w:ascii="Times New Roman" w:hAnsi="Times New Roman" w:cs="Times New Roman"/>
          <w:lang w:val="en-GB"/>
        </w:rPr>
        <w:t>phase may reduce the effectiveness</w:t>
      </w:r>
      <w:r w:rsidR="00E20EA8" w:rsidRPr="00311B33">
        <w:rPr>
          <w:rFonts w:ascii="Times New Roman" w:hAnsi="Times New Roman" w:cs="Times New Roman"/>
          <w:lang w:val="en-GB"/>
        </w:rPr>
        <w:t xml:space="preserve"> of the rights of</w:t>
      </w:r>
      <w:r w:rsidRPr="00311B33">
        <w:rPr>
          <w:rFonts w:ascii="Times New Roman" w:hAnsi="Times New Roman" w:cs="Times New Roman"/>
          <w:lang w:val="en-GB"/>
        </w:rPr>
        <w:t xml:space="preserve"> defence in the</w:t>
      </w:r>
      <w:r w:rsidR="00E20EA8" w:rsidRPr="00311B33">
        <w:rPr>
          <w:rFonts w:ascii="Times New Roman" w:hAnsi="Times New Roman" w:cs="Times New Roman"/>
          <w:lang w:val="en-GB"/>
        </w:rPr>
        <w:t xml:space="preserve"> second phase</w:t>
      </w:r>
      <w:r w:rsidR="00777044" w:rsidRPr="00311B33">
        <w:rPr>
          <w:rFonts w:ascii="Times New Roman" w:hAnsi="Times New Roman" w:cs="Times New Roman"/>
          <w:lang w:val="en-GB"/>
        </w:rPr>
        <w:t xml:space="preserve">. For instance, </w:t>
      </w:r>
      <w:r w:rsidR="00297B74" w:rsidRPr="00311B33">
        <w:rPr>
          <w:rFonts w:ascii="Times New Roman" w:hAnsi="Times New Roman" w:cs="Times New Roman"/>
          <w:lang w:val="en-GB"/>
        </w:rPr>
        <w:t>if the investigation is protracted, the Commission may be able to adduce a rich body of inculpatory evidence. This in turn, elevates the burden of proof on the suspected firm at the post SO stage, and its ability to defend itself within a strict timeframe.</w:t>
      </w:r>
      <w:r w:rsidR="00297B74" w:rsidRPr="00311B33">
        <w:rPr>
          <w:rStyle w:val="Appelnotedebasdep"/>
          <w:rFonts w:ascii="Times New Roman" w:hAnsi="Times New Roman" w:cs="Times New Roman"/>
          <w:lang w:val="en-GB"/>
        </w:rPr>
        <w:footnoteReference w:id="86"/>
      </w:r>
      <w:r w:rsidR="00297B74" w:rsidRPr="00311B33">
        <w:rPr>
          <w:rFonts w:ascii="Times New Roman" w:hAnsi="Times New Roman" w:cs="Times New Roman"/>
          <w:lang w:val="en-GB"/>
        </w:rPr>
        <w:t xml:space="preserve"> In addition, if </w:t>
      </w:r>
      <w:r w:rsidR="00777044" w:rsidRPr="00311B33">
        <w:rPr>
          <w:rFonts w:ascii="Times New Roman" w:hAnsi="Times New Roman" w:cs="Times New Roman"/>
          <w:lang w:val="en-GB"/>
        </w:rPr>
        <w:t xml:space="preserve">the </w:t>
      </w:r>
      <w:r w:rsidR="00297B74" w:rsidRPr="00311B33">
        <w:rPr>
          <w:rFonts w:ascii="Times New Roman" w:hAnsi="Times New Roman" w:cs="Times New Roman"/>
          <w:lang w:val="en-GB"/>
        </w:rPr>
        <w:t xml:space="preserve">internal </w:t>
      </w:r>
      <w:r w:rsidR="00777044" w:rsidRPr="00311B33">
        <w:rPr>
          <w:rFonts w:ascii="Times New Roman" w:hAnsi="Times New Roman" w:cs="Times New Roman"/>
          <w:lang w:val="en-GB"/>
        </w:rPr>
        <w:t xml:space="preserve">organisation of the suspected firm changes over time, key </w:t>
      </w:r>
      <w:r w:rsidR="007D6DD4" w:rsidRPr="00311B33">
        <w:rPr>
          <w:rFonts w:ascii="Times New Roman" w:hAnsi="Times New Roman" w:cs="Times New Roman"/>
          <w:lang w:val="en-GB"/>
        </w:rPr>
        <w:t>individual</w:t>
      </w:r>
      <w:r w:rsidR="007D6DD4">
        <w:rPr>
          <w:rFonts w:ascii="Times New Roman" w:hAnsi="Times New Roman" w:cs="Times New Roman"/>
          <w:lang w:val="en-GB"/>
        </w:rPr>
        <w:t>s</w:t>
      </w:r>
      <w:r w:rsidR="00777044" w:rsidRPr="00311B33">
        <w:rPr>
          <w:rFonts w:ascii="Times New Roman" w:hAnsi="Times New Roman" w:cs="Times New Roman"/>
          <w:lang w:val="en-GB"/>
        </w:rPr>
        <w:t xml:space="preserve"> familiar with the case may no longer be present </w:t>
      </w:r>
      <w:r w:rsidR="00D80949">
        <w:rPr>
          <w:rFonts w:ascii="Times New Roman" w:hAnsi="Times New Roman" w:cs="Times New Roman"/>
          <w:lang w:val="en-GB"/>
        </w:rPr>
        <w:t xml:space="preserve">after the adoption of the </w:t>
      </w:r>
      <w:r w:rsidR="00777044" w:rsidRPr="00311B33">
        <w:rPr>
          <w:rFonts w:ascii="Times New Roman" w:hAnsi="Times New Roman" w:cs="Times New Roman"/>
          <w:lang w:val="en-GB"/>
        </w:rPr>
        <w:t xml:space="preserve">SO. </w:t>
      </w:r>
      <w:r w:rsidR="00773E53">
        <w:rPr>
          <w:rFonts w:ascii="Times New Roman" w:hAnsi="Times New Roman" w:cs="Times New Roman"/>
          <w:lang w:val="en-GB"/>
        </w:rPr>
        <w:t>Likewise</w:t>
      </w:r>
      <w:r w:rsidR="00777044" w:rsidRPr="00311B33">
        <w:rPr>
          <w:rFonts w:ascii="Times New Roman" w:hAnsi="Times New Roman" w:cs="Times New Roman"/>
          <w:lang w:val="en-GB"/>
        </w:rPr>
        <w:t xml:space="preserve">, </w:t>
      </w:r>
      <w:r w:rsidR="00773E53">
        <w:rPr>
          <w:rFonts w:ascii="Times New Roman" w:hAnsi="Times New Roman" w:cs="Times New Roman"/>
          <w:lang w:val="en-GB"/>
        </w:rPr>
        <w:t xml:space="preserve">many changes can </w:t>
      </w:r>
      <w:r w:rsidR="001F611F" w:rsidRPr="00311B33">
        <w:rPr>
          <w:rFonts w:ascii="Times New Roman" w:hAnsi="Times New Roman" w:cs="Times New Roman"/>
          <w:lang w:val="en-GB"/>
        </w:rPr>
        <w:t>affect a business organisation over the course of time.</w:t>
      </w:r>
      <w:r w:rsidR="00773E53">
        <w:rPr>
          <w:rFonts w:ascii="Times New Roman" w:hAnsi="Times New Roman" w:cs="Times New Roman"/>
          <w:lang w:val="en-GB"/>
        </w:rPr>
        <w:t xml:space="preserve"> D</w:t>
      </w:r>
      <w:r w:rsidR="001F611F" w:rsidRPr="00311B33">
        <w:rPr>
          <w:rFonts w:ascii="Times New Roman" w:hAnsi="Times New Roman" w:cs="Times New Roman"/>
          <w:lang w:val="en-GB"/>
        </w:rPr>
        <w:t xml:space="preserve">elays in </w:t>
      </w:r>
      <w:r w:rsidR="00F30BE2" w:rsidRPr="00311B33">
        <w:rPr>
          <w:rFonts w:ascii="Times New Roman" w:hAnsi="Times New Roman" w:cs="Times New Roman"/>
          <w:lang w:val="en-GB"/>
        </w:rPr>
        <w:t>the investigatory</w:t>
      </w:r>
      <w:r w:rsidR="00D21A30" w:rsidRPr="00311B33">
        <w:rPr>
          <w:rFonts w:ascii="Times New Roman" w:hAnsi="Times New Roman" w:cs="Times New Roman"/>
          <w:lang w:val="en-GB"/>
        </w:rPr>
        <w:t xml:space="preserve"> phase </w:t>
      </w:r>
      <w:r w:rsidR="001F611F" w:rsidRPr="00311B33">
        <w:rPr>
          <w:rFonts w:ascii="Times New Roman" w:hAnsi="Times New Roman" w:cs="Times New Roman"/>
          <w:lang w:val="en-GB"/>
        </w:rPr>
        <w:t xml:space="preserve">could </w:t>
      </w:r>
      <w:r w:rsidR="001F611F" w:rsidRPr="00055FAC">
        <w:rPr>
          <w:rFonts w:ascii="Times New Roman" w:hAnsi="Times New Roman" w:cs="Times New Roman"/>
          <w:lang w:val="en-GB"/>
        </w:rPr>
        <w:t>adversely reduce the</w:t>
      </w:r>
      <w:r w:rsidR="00997A15" w:rsidRPr="00055FAC">
        <w:rPr>
          <w:rFonts w:ascii="Times New Roman" w:hAnsi="Times New Roman" w:cs="Times New Roman"/>
          <w:lang w:val="en-GB"/>
        </w:rPr>
        <w:t xml:space="preserve"> </w:t>
      </w:r>
      <w:r w:rsidR="001F611F" w:rsidRPr="00055FAC">
        <w:rPr>
          <w:rFonts w:ascii="Times New Roman" w:hAnsi="Times New Roman" w:cs="Times New Roman"/>
          <w:lang w:val="en-GB"/>
        </w:rPr>
        <w:t xml:space="preserve">odds </w:t>
      </w:r>
      <w:r w:rsidR="00997A15" w:rsidRPr="00055FAC">
        <w:rPr>
          <w:rFonts w:ascii="Times New Roman" w:hAnsi="Times New Roman" w:cs="Times New Roman"/>
          <w:lang w:val="en-GB"/>
        </w:rPr>
        <w:t>for the parties to find exculpatory evidence relat</w:t>
      </w:r>
      <w:r w:rsidR="00997A15" w:rsidRPr="006E0306">
        <w:rPr>
          <w:rFonts w:ascii="Times New Roman" w:hAnsi="Times New Roman" w:cs="Times New Roman"/>
          <w:lang w:val="en-GB"/>
        </w:rPr>
        <w:t>ing to the infringements</w:t>
      </w:r>
      <w:r w:rsidR="004A7FE9" w:rsidRPr="00055FAC">
        <w:rPr>
          <w:rFonts w:ascii="Times New Roman" w:hAnsi="Times New Roman" w:cs="Times New Roman"/>
          <w:lang w:val="en-GB"/>
        </w:rPr>
        <w:t>.</w:t>
      </w:r>
      <w:r w:rsidR="004A7FE9" w:rsidRPr="00055FAC">
        <w:rPr>
          <w:rStyle w:val="Appelnotedebasdep"/>
          <w:rFonts w:ascii="Times New Roman" w:hAnsi="Times New Roman" w:cs="Times New Roman"/>
          <w:lang w:val="en-GB"/>
        </w:rPr>
        <w:footnoteReference w:id="87"/>
      </w:r>
    </w:p>
    <w:p w:rsidR="00EB2933" w:rsidRPr="00311B33" w:rsidRDefault="00EB2933" w:rsidP="001104E3">
      <w:pPr>
        <w:jc w:val="both"/>
        <w:rPr>
          <w:rFonts w:ascii="Times New Roman" w:hAnsi="Times New Roman" w:cs="Times New Roman"/>
          <w:highlight w:val="yellow"/>
          <w:lang w:val="en-GB"/>
        </w:rPr>
      </w:pPr>
    </w:p>
    <w:p w:rsidR="00D21A30" w:rsidRPr="00311B33" w:rsidRDefault="001F611F" w:rsidP="001F611F">
      <w:pPr>
        <w:jc w:val="both"/>
        <w:rPr>
          <w:rFonts w:ascii="Times New Roman" w:hAnsi="Times New Roman" w:cs="Times New Roman"/>
          <w:lang w:val="en-GB"/>
        </w:rPr>
      </w:pPr>
      <w:r w:rsidRPr="00311B33">
        <w:rPr>
          <w:rFonts w:ascii="Times New Roman" w:hAnsi="Times New Roman" w:cs="Times New Roman"/>
          <w:b/>
          <w:lang w:val="en-GB"/>
        </w:rPr>
        <w:t>Sanction</w:t>
      </w:r>
      <w:r w:rsidR="008E625A" w:rsidRPr="00311B33">
        <w:rPr>
          <w:rFonts w:ascii="Times New Roman" w:hAnsi="Times New Roman" w:cs="Times New Roman"/>
          <w:b/>
          <w:lang w:val="en-GB"/>
        </w:rPr>
        <w:t>s</w:t>
      </w:r>
      <w:r w:rsidRPr="00311B33">
        <w:rPr>
          <w:rFonts w:ascii="Times New Roman" w:hAnsi="Times New Roman" w:cs="Times New Roman"/>
          <w:b/>
          <w:lang w:val="en-GB"/>
        </w:rPr>
        <w:t xml:space="preserve"> –</w:t>
      </w:r>
      <w:r w:rsidRPr="00311B33">
        <w:rPr>
          <w:rFonts w:ascii="Times New Roman" w:hAnsi="Times New Roman" w:cs="Times New Roman"/>
          <w:lang w:val="en-GB"/>
        </w:rPr>
        <w:t xml:space="preserve"> </w:t>
      </w:r>
      <w:r w:rsidR="00297B74" w:rsidRPr="00311B33">
        <w:rPr>
          <w:rFonts w:ascii="Times New Roman" w:hAnsi="Times New Roman" w:cs="Times New Roman"/>
          <w:lang w:val="en-GB"/>
        </w:rPr>
        <w:t xml:space="preserve">The case-law of the EU courts is reluctant to find that the Commission takes too much time to decide cases. </w:t>
      </w:r>
      <w:r w:rsidR="00D80949">
        <w:rPr>
          <w:rFonts w:ascii="Times New Roman" w:hAnsi="Times New Roman" w:cs="Times New Roman"/>
          <w:lang w:val="en-GB"/>
        </w:rPr>
        <w:t>T</w:t>
      </w:r>
      <w:r w:rsidR="00297B74" w:rsidRPr="00311B33">
        <w:rPr>
          <w:rFonts w:ascii="Times New Roman" w:hAnsi="Times New Roman" w:cs="Times New Roman"/>
          <w:lang w:val="en-GB"/>
        </w:rPr>
        <w:t xml:space="preserve">he Court </w:t>
      </w:r>
      <w:r w:rsidR="00D80949">
        <w:rPr>
          <w:rFonts w:ascii="Times New Roman" w:hAnsi="Times New Roman" w:cs="Times New Roman"/>
          <w:lang w:val="en-GB"/>
        </w:rPr>
        <w:t xml:space="preserve">has often </w:t>
      </w:r>
      <w:r w:rsidR="00297B74" w:rsidRPr="00311B33">
        <w:rPr>
          <w:rFonts w:ascii="Times New Roman" w:hAnsi="Times New Roman" w:cs="Times New Roman"/>
          <w:lang w:val="en-GB"/>
        </w:rPr>
        <w:t>dismiss</w:t>
      </w:r>
      <w:r w:rsidR="00D80949">
        <w:rPr>
          <w:rFonts w:ascii="Times New Roman" w:hAnsi="Times New Roman" w:cs="Times New Roman"/>
          <w:lang w:val="en-GB"/>
        </w:rPr>
        <w:t>ed</w:t>
      </w:r>
      <w:r w:rsidR="00297B74" w:rsidRPr="00311B33">
        <w:rPr>
          <w:rFonts w:ascii="Times New Roman" w:hAnsi="Times New Roman" w:cs="Times New Roman"/>
          <w:lang w:val="en-GB"/>
        </w:rPr>
        <w:t xml:space="preserve"> allegations of excessively inexpedient proceeding</w:t>
      </w:r>
      <w:r w:rsidR="00D80949">
        <w:rPr>
          <w:rFonts w:ascii="Times New Roman" w:hAnsi="Times New Roman" w:cs="Times New Roman"/>
          <w:lang w:val="en-GB"/>
        </w:rPr>
        <w:t>, on the sole ground that one of the above four criteria was met.</w:t>
      </w:r>
      <w:r w:rsidR="00D80949" w:rsidRPr="00246F56">
        <w:rPr>
          <w:rStyle w:val="Appelnotedebasdep"/>
          <w:rFonts w:ascii="Times New Roman" w:hAnsi="Times New Roman" w:cs="Times New Roman"/>
          <w:lang w:val="en-GB"/>
        </w:rPr>
        <w:footnoteReference w:id="88"/>
      </w:r>
      <w:r w:rsidR="00D80949" w:rsidRPr="00246F56">
        <w:rPr>
          <w:rFonts w:ascii="Times New Roman" w:hAnsi="Times New Roman" w:cs="Times New Roman"/>
          <w:lang w:val="en-GB"/>
        </w:rPr>
        <w:t xml:space="preserve"> </w:t>
      </w:r>
    </w:p>
    <w:p w:rsidR="00D21A30" w:rsidRPr="00311B33" w:rsidRDefault="00D21A30" w:rsidP="001F611F">
      <w:pPr>
        <w:jc w:val="both"/>
        <w:rPr>
          <w:rFonts w:ascii="Times New Roman" w:hAnsi="Times New Roman" w:cs="Times New Roman"/>
          <w:lang w:val="en-GB"/>
        </w:rPr>
      </w:pPr>
    </w:p>
    <w:p w:rsidR="00297B74" w:rsidRPr="00311B33" w:rsidRDefault="00297B74" w:rsidP="00E10278">
      <w:pPr>
        <w:jc w:val="both"/>
        <w:rPr>
          <w:rFonts w:ascii="Times New Roman" w:hAnsi="Times New Roman" w:cs="Times New Roman"/>
          <w:lang w:val="en-GB"/>
        </w:rPr>
      </w:pPr>
      <w:r w:rsidRPr="00311B33">
        <w:rPr>
          <w:rFonts w:ascii="Times New Roman" w:hAnsi="Times New Roman" w:cs="Times New Roman"/>
          <w:lang w:val="en-GB"/>
        </w:rPr>
        <w:t>Moreover, e</w:t>
      </w:r>
      <w:r w:rsidR="009B1657" w:rsidRPr="00246F56">
        <w:rPr>
          <w:rFonts w:ascii="Times New Roman" w:hAnsi="Times New Roman" w:cs="Times New Roman"/>
          <w:lang w:val="en-GB"/>
        </w:rPr>
        <w:t xml:space="preserve">ven </w:t>
      </w:r>
      <w:r w:rsidRPr="00311B33">
        <w:rPr>
          <w:rFonts w:ascii="Times New Roman" w:hAnsi="Times New Roman" w:cs="Times New Roman"/>
          <w:lang w:val="en-GB"/>
        </w:rPr>
        <w:t xml:space="preserve">if the Court finds </w:t>
      </w:r>
      <w:r w:rsidR="009B1657" w:rsidRPr="00246F56">
        <w:rPr>
          <w:rFonts w:ascii="Times New Roman" w:hAnsi="Times New Roman" w:cs="Times New Roman"/>
          <w:lang w:val="en-GB"/>
        </w:rPr>
        <w:t xml:space="preserve">the duration of proceedings </w:t>
      </w:r>
      <w:r w:rsidRPr="00311B33">
        <w:rPr>
          <w:rFonts w:ascii="Times New Roman" w:hAnsi="Times New Roman" w:cs="Times New Roman"/>
          <w:lang w:val="en-GB"/>
        </w:rPr>
        <w:t>unreasonable, it is hesitant to annul Commission decisions on this ground.</w:t>
      </w:r>
      <w:r w:rsidRPr="00311B33">
        <w:rPr>
          <w:rStyle w:val="Appelnotedebasdep"/>
          <w:rFonts w:ascii="Times New Roman" w:hAnsi="Times New Roman" w:cs="Times New Roman"/>
          <w:lang w:val="en-GB"/>
        </w:rPr>
        <w:footnoteReference w:id="89"/>
      </w:r>
      <w:r w:rsidRPr="00311B33">
        <w:rPr>
          <w:rFonts w:ascii="Times New Roman" w:hAnsi="Times New Roman" w:cs="Times New Roman"/>
          <w:lang w:val="en-GB"/>
        </w:rPr>
        <w:t xml:space="preserve"> </w:t>
      </w:r>
      <w:r w:rsidR="00D21A30" w:rsidRPr="00311B33">
        <w:rPr>
          <w:rFonts w:ascii="Times New Roman" w:hAnsi="Times New Roman" w:cs="Times New Roman"/>
          <w:lang w:val="en-GB"/>
        </w:rPr>
        <w:t>According to the EU Courts</w:t>
      </w:r>
      <w:r w:rsidR="001F611F" w:rsidRPr="00311B33">
        <w:rPr>
          <w:rFonts w:ascii="Times New Roman" w:hAnsi="Times New Roman" w:cs="Times New Roman"/>
          <w:lang w:val="en-GB"/>
        </w:rPr>
        <w:t xml:space="preserve">, </w:t>
      </w:r>
      <w:r w:rsidRPr="00311B33">
        <w:rPr>
          <w:rFonts w:ascii="Times New Roman" w:hAnsi="Times New Roman" w:cs="Times New Roman"/>
          <w:lang w:val="en-GB"/>
        </w:rPr>
        <w:t>a failure to adjudicate within a reasonable time can constitute a ground for annulment of infringement decisions only where the delay has adversely affected the ability of the concerned undertakings to defend themselves (for instance, if evidence has disappeared).</w:t>
      </w:r>
      <w:r w:rsidRPr="00311B33">
        <w:rPr>
          <w:rStyle w:val="Appelnotedebasdep"/>
          <w:rFonts w:ascii="Times New Roman" w:hAnsi="Times New Roman" w:cs="Times New Roman"/>
          <w:lang w:val="en-GB"/>
        </w:rPr>
        <w:footnoteReference w:id="90"/>
      </w:r>
      <w:r w:rsidRPr="00311B33">
        <w:rPr>
          <w:rFonts w:ascii="Times New Roman" w:hAnsi="Times New Roman" w:cs="Times New Roman"/>
          <w:lang w:val="en-GB"/>
        </w:rPr>
        <w:t xml:space="preserve"> </w:t>
      </w:r>
    </w:p>
    <w:p w:rsidR="00297B74" w:rsidRPr="00311B33" w:rsidRDefault="00297B74">
      <w:pPr>
        <w:jc w:val="both"/>
        <w:rPr>
          <w:rFonts w:ascii="Times New Roman" w:hAnsi="Times New Roman" w:cs="Times New Roman"/>
          <w:lang w:val="en-GB"/>
        </w:rPr>
      </w:pPr>
    </w:p>
    <w:p w:rsidR="001F611F" w:rsidRPr="00311B33" w:rsidRDefault="00297B74">
      <w:pPr>
        <w:jc w:val="both"/>
        <w:rPr>
          <w:rFonts w:ascii="Times New Roman" w:hAnsi="Times New Roman" w:cs="Times New Roman"/>
          <w:lang w:val="en-GB"/>
        </w:rPr>
      </w:pPr>
      <w:r w:rsidRPr="00311B33">
        <w:rPr>
          <w:rFonts w:ascii="Times New Roman" w:hAnsi="Times New Roman" w:cs="Times New Roman"/>
          <w:lang w:val="en-GB"/>
        </w:rPr>
        <w:t xml:space="preserve">The same is true in relation to annulment proceedings before the GC. Applicants </w:t>
      </w:r>
      <w:r w:rsidR="0069648B" w:rsidRPr="00311B33">
        <w:rPr>
          <w:rFonts w:ascii="Times New Roman" w:hAnsi="Times New Roman" w:cs="Times New Roman"/>
          <w:lang w:val="en-GB"/>
        </w:rPr>
        <w:t xml:space="preserve">for annulment </w:t>
      </w:r>
      <w:r w:rsidRPr="00311B33">
        <w:rPr>
          <w:rFonts w:ascii="Times New Roman" w:hAnsi="Times New Roman" w:cs="Times New Roman"/>
          <w:lang w:val="en-GB"/>
        </w:rPr>
        <w:t xml:space="preserve">have a right to a prompt handling of their application </w:t>
      </w:r>
      <w:r w:rsidR="0069648B" w:rsidRPr="00311B33">
        <w:rPr>
          <w:rFonts w:ascii="Times New Roman" w:hAnsi="Times New Roman" w:cs="Times New Roman"/>
          <w:lang w:val="en-GB"/>
        </w:rPr>
        <w:t>by the GC</w:t>
      </w:r>
      <w:r w:rsidRPr="00311B33">
        <w:rPr>
          <w:rFonts w:ascii="Times New Roman" w:hAnsi="Times New Roman" w:cs="Times New Roman"/>
          <w:lang w:val="en-GB"/>
        </w:rPr>
        <w:t xml:space="preserve">. However, where </w:t>
      </w:r>
      <w:r w:rsidR="009B1657" w:rsidRPr="00246F56">
        <w:rPr>
          <w:rFonts w:ascii="Times New Roman" w:hAnsi="Times New Roman" w:cs="Times New Roman"/>
          <w:lang w:val="en-GB"/>
        </w:rPr>
        <w:t xml:space="preserve">the failure to </w:t>
      </w:r>
      <w:r w:rsidRPr="00311B33">
        <w:rPr>
          <w:rFonts w:ascii="Times New Roman" w:hAnsi="Times New Roman" w:cs="Times New Roman"/>
          <w:lang w:val="en-GB"/>
        </w:rPr>
        <w:t xml:space="preserve">pass judgment </w:t>
      </w:r>
      <w:r w:rsidR="009B1657" w:rsidRPr="00246F56">
        <w:rPr>
          <w:rFonts w:ascii="Times New Roman" w:hAnsi="Times New Roman" w:cs="Times New Roman"/>
          <w:lang w:val="en-GB"/>
        </w:rPr>
        <w:t>within a reasonable time has no effect on the outcome of the dispute, the setting aside of the judgment under appeal would not remedy the infringement of the principle of effective legal protection.</w:t>
      </w:r>
      <w:r w:rsidR="001F611F" w:rsidRPr="00311B33">
        <w:rPr>
          <w:rStyle w:val="Appelnotedebasdep"/>
          <w:rFonts w:ascii="Times New Roman" w:hAnsi="Times New Roman" w:cs="Times New Roman"/>
          <w:lang w:val="en-GB"/>
        </w:rPr>
        <w:footnoteReference w:id="91"/>
      </w:r>
      <w:r w:rsidR="001F611F" w:rsidRPr="00311B33">
        <w:rPr>
          <w:rFonts w:ascii="Times New Roman" w:hAnsi="Times New Roman" w:cs="Times New Roman"/>
          <w:lang w:val="en-GB"/>
        </w:rPr>
        <w:t xml:space="preserve"> </w:t>
      </w:r>
      <w:r w:rsidRPr="00311B33">
        <w:rPr>
          <w:rFonts w:ascii="Times New Roman" w:hAnsi="Times New Roman" w:cs="Times New Roman"/>
          <w:lang w:val="en-GB"/>
        </w:rPr>
        <w:t xml:space="preserve">Rather, the Court considers </w:t>
      </w:r>
      <w:r w:rsidR="0069648B" w:rsidRPr="00311B33">
        <w:rPr>
          <w:rFonts w:ascii="Times New Roman" w:hAnsi="Times New Roman" w:cs="Times New Roman"/>
          <w:lang w:val="en-GB"/>
        </w:rPr>
        <w:t xml:space="preserve">the applicant that has suffered harm can still </w:t>
      </w:r>
      <w:r w:rsidR="001F611F" w:rsidRPr="00311B33">
        <w:rPr>
          <w:rFonts w:ascii="Times New Roman" w:hAnsi="Times New Roman" w:cs="Times New Roman"/>
          <w:lang w:val="en-GB"/>
        </w:rPr>
        <w:t xml:space="preserve">seek financial compensation </w:t>
      </w:r>
      <w:r w:rsidR="0069648B" w:rsidRPr="00311B33">
        <w:rPr>
          <w:rFonts w:ascii="Times New Roman" w:hAnsi="Times New Roman" w:cs="Times New Roman"/>
          <w:lang w:val="en-GB"/>
        </w:rPr>
        <w:t xml:space="preserve">on the basis of </w:t>
      </w:r>
      <w:r w:rsidR="009B1657" w:rsidRPr="00246F56">
        <w:rPr>
          <w:rFonts w:ascii="Times New Roman" w:hAnsi="Times New Roman" w:cs="Times New Roman"/>
          <w:lang w:val="en-GB"/>
        </w:rPr>
        <w:t>Article 268 and 340 TFEU</w:t>
      </w:r>
      <w:r w:rsidR="0069648B" w:rsidRPr="00311B33">
        <w:rPr>
          <w:rFonts w:ascii="Times New Roman" w:hAnsi="Times New Roman" w:cs="Times New Roman"/>
          <w:lang w:val="en-GB"/>
        </w:rPr>
        <w:t>.</w:t>
      </w:r>
      <w:r w:rsidR="00F61AE0">
        <w:rPr>
          <w:rStyle w:val="Appelnotedebasdep"/>
          <w:rFonts w:ascii="Times New Roman" w:hAnsi="Times New Roman" w:cs="Times New Roman"/>
          <w:lang w:val="en-GB"/>
        </w:rPr>
        <w:footnoteReference w:id="92"/>
      </w:r>
      <w:r w:rsidR="0069648B" w:rsidRPr="00311B33">
        <w:rPr>
          <w:rFonts w:ascii="Times New Roman" w:hAnsi="Times New Roman" w:cs="Times New Roman"/>
          <w:lang w:val="en-GB"/>
        </w:rPr>
        <w:t xml:space="preserve"> But this solution is curious</w:t>
      </w:r>
      <w:r w:rsidR="00A37984">
        <w:rPr>
          <w:rFonts w:ascii="Times New Roman" w:hAnsi="Times New Roman" w:cs="Times New Roman"/>
          <w:lang w:val="en-GB"/>
        </w:rPr>
        <w:t xml:space="preserve"> b</w:t>
      </w:r>
      <w:r w:rsidR="0069648B" w:rsidRPr="00311B33">
        <w:rPr>
          <w:rFonts w:ascii="Times New Roman" w:hAnsi="Times New Roman" w:cs="Times New Roman"/>
          <w:lang w:val="en-GB"/>
        </w:rPr>
        <w:t>ecause the application for financial compensation must be lodged before the General Court itself, the one court that was to</w:t>
      </w:r>
      <w:r w:rsidR="00D80949">
        <w:rPr>
          <w:rFonts w:ascii="Times New Roman" w:hAnsi="Times New Roman" w:cs="Times New Roman"/>
          <w:lang w:val="en-GB"/>
        </w:rPr>
        <w:t>o</w:t>
      </w:r>
      <w:r w:rsidR="0069648B" w:rsidRPr="00311B33">
        <w:rPr>
          <w:rFonts w:ascii="Times New Roman" w:hAnsi="Times New Roman" w:cs="Times New Roman"/>
          <w:lang w:val="en-GB"/>
        </w:rPr>
        <w:t xml:space="preserve"> slow in handling the initial application for annulment. A better alternative would have been for the CJEU to reduce the fine imposed, as a sort of quid pro quo.</w:t>
      </w:r>
      <w:r w:rsidR="009620ED">
        <w:rPr>
          <w:rStyle w:val="Appelnotedebasdep"/>
          <w:rFonts w:ascii="Times New Roman" w:hAnsi="Times New Roman" w:cs="Times New Roman"/>
          <w:lang w:val="en-GB"/>
        </w:rPr>
        <w:footnoteReference w:id="93"/>
      </w:r>
      <w:r w:rsidR="0069648B" w:rsidRPr="00311B33">
        <w:rPr>
          <w:rFonts w:ascii="Times New Roman" w:hAnsi="Times New Roman" w:cs="Times New Roman"/>
          <w:lang w:val="en-GB"/>
        </w:rPr>
        <w:t xml:space="preserve"> Moreover, this would have sparred further legal proceedings (and costs) on the initial applicant.</w:t>
      </w:r>
      <w:r w:rsidR="00FC5047">
        <w:rPr>
          <w:rStyle w:val="Appelnotedebasdep"/>
          <w:rFonts w:ascii="Times New Roman" w:hAnsi="Times New Roman" w:cs="Times New Roman"/>
          <w:lang w:val="en-GB"/>
        </w:rPr>
        <w:footnoteReference w:id="94"/>
      </w:r>
      <w:r w:rsidR="0069648B" w:rsidRPr="00311B33">
        <w:rPr>
          <w:rFonts w:ascii="Times New Roman" w:hAnsi="Times New Roman" w:cs="Times New Roman"/>
          <w:lang w:val="en-GB"/>
        </w:rPr>
        <w:t xml:space="preserve"> </w:t>
      </w:r>
      <w:r w:rsidR="001F611F" w:rsidRPr="00311B33">
        <w:rPr>
          <w:rFonts w:ascii="Times New Roman" w:hAnsi="Times New Roman" w:cs="Times New Roman"/>
          <w:lang w:val="en-GB"/>
        </w:rPr>
        <w:t xml:space="preserve">Yet, </w:t>
      </w:r>
      <w:r w:rsidR="0069648B" w:rsidRPr="00311B33">
        <w:rPr>
          <w:rFonts w:ascii="Times New Roman" w:hAnsi="Times New Roman" w:cs="Times New Roman"/>
          <w:lang w:val="en-GB"/>
        </w:rPr>
        <w:t xml:space="preserve">the CJEU dismissed this possibility. No </w:t>
      </w:r>
      <w:r w:rsidR="001F611F" w:rsidRPr="00311B33">
        <w:rPr>
          <w:rFonts w:ascii="Times New Roman" w:hAnsi="Times New Roman" w:cs="Times New Roman"/>
          <w:lang w:val="en-GB"/>
        </w:rPr>
        <w:t xml:space="preserve">reduction </w:t>
      </w:r>
      <w:r w:rsidR="004D77A1" w:rsidRPr="00311B33">
        <w:rPr>
          <w:rFonts w:ascii="Times New Roman" w:hAnsi="Times New Roman" w:cs="Times New Roman"/>
          <w:lang w:val="en-GB"/>
        </w:rPr>
        <w:t xml:space="preserve">of </w:t>
      </w:r>
      <w:r w:rsidR="001F611F" w:rsidRPr="00311B33">
        <w:rPr>
          <w:rFonts w:ascii="Times New Roman" w:hAnsi="Times New Roman" w:cs="Times New Roman"/>
          <w:lang w:val="en-GB"/>
        </w:rPr>
        <w:t xml:space="preserve">the fine </w:t>
      </w:r>
      <w:r w:rsidR="0069648B" w:rsidRPr="00311B33">
        <w:rPr>
          <w:rFonts w:ascii="Times New Roman" w:hAnsi="Times New Roman" w:cs="Times New Roman"/>
          <w:lang w:val="en-GB"/>
        </w:rPr>
        <w:t xml:space="preserve">can </w:t>
      </w:r>
      <w:r w:rsidR="001F611F" w:rsidRPr="00311B33">
        <w:rPr>
          <w:rFonts w:ascii="Times New Roman" w:hAnsi="Times New Roman" w:cs="Times New Roman"/>
          <w:lang w:val="en-GB"/>
        </w:rPr>
        <w:t xml:space="preserve">be granted </w:t>
      </w:r>
      <w:r w:rsidR="009B1657" w:rsidRPr="00246F56">
        <w:rPr>
          <w:rFonts w:ascii="Times New Roman" w:hAnsi="Times New Roman" w:cs="Times New Roman"/>
          <w:lang w:val="en-US"/>
        </w:rPr>
        <w:t>since “</w:t>
      </w:r>
      <w:r w:rsidR="009B1657" w:rsidRPr="00246F56">
        <w:rPr>
          <w:rFonts w:ascii="Times New Roman" w:hAnsi="Times New Roman" w:cs="Times New Roman"/>
          <w:i/>
          <w:lang w:val="en-US"/>
        </w:rPr>
        <w:t>the need to ensure that EU competition rules are complied with</w:t>
      </w:r>
      <w:r w:rsidR="009B1657" w:rsidRPr="00246F56">
        <w:rPr>
          <w:rFonts w:ascii="Times New Roman" w:hAnsi="Times New Roman" w:cs="Times New Roman"/>
          <w:lang w:val="en-US"/>
        </w:rPr>
        <w:t>” cannot allow an appellant to reopen the question of the amount of a fine where all of its pleas directed against the amount of that fine have been rejected</w:t>
      </w:r>
      <w:r w:rsidR="00EB2933" w:rsidRPr="00311B33">
        <w:rPr>
          <w:rFonts w:ascii="Times New Roman" w:hAnsi="Times New Roman" w:cs="Times New Roman"/>
          <w:lang w:val="en-US"/>
        </w:rPr>
        <w:t xml:space="preserve"> by the GC.</w:t>
      </w:r>
      <w:r w:rsidR="009B1657" w:rsidRPr="00246F56">
        <w:rPr>
          <w:rStyle w:val="Appelnotedebasdep"/>
          <w:rFonts w:ascii="Times New Roman" w:hAnsi="Times New Roman" w:cs="Times New Roman"/>
          <w:lang w:val="en-US"/>
        </w:rPr>
        <w:footnoteReference w:id="95"/>
      </w:r>
      <w:r w:rsidR="001F611F" w:rsidRPr="00311B33">
        <w:rPr>
          <w:rFonts w:ascii="Times New Roman" w:hAnsi="Times New Roman" w:cs="Times New Roman"/>
          <w:lang w:val="en-GB"/>
        </w:rPr>
        <w:t xml:space="preserve"> </w:t>
      </w:r>
    </w:p>
    <w:p w:rsidR="001F611F" w:rsidRDefault="001F611F" w:rsidP="001F611F">
      <w:pPr>
        <w:jc w:val="both"/>
        <w:rPr>
          <w:rFonts w:ascii="Times New Roman" w:hAnsi="Times New Roman" w:cs="Times New Roman"/>
          <w:lang w:val="en-GB"/>
        </w:rPr>
      </w:pPr>
    </w:p>
    <w:p w:rsidR="00BD7478" w:rsidRPr="00311B33" w:rsidRDefault="00BD7478" w:rsidP="001F611F">
      <w:pPr>
        <w:jc w:val="both"/>
        <w:rPr>
          <w:rFonts w:ascii="Times New Roman" w:hAnsi="Times New Roman" w:cs="Times New Roman"/>
          <w:lang w:val="en-GB"/>
        </w:rPr>
      </w:pPr>
    </w:p>
    <w:p w:rsidR="004F0434" w:rsidRPr="00311B33" w:rsidRDefault="00FF1FE7" w:rsidP="00246F56">
      <w:pPr>
        <w:ind w:left="705" w:hanging="705"/>
        <w:jc w:val="both"/>
        <w:rPr>
          <w:rFonts w:ascii="Times New Roman" w:hAnsi="Times New Roman" w:cs="Times New Roman"/>
          <w:b/>
          <w:u w:val="single"/>
          <w:lang w:val="en-GB"/>
        </w:rPr>
      </w:pPr>
      <w:r w:rsidRPr="00311B33">
        <w:rPr>
          <w:rFonts w:ascii="Times New Roman" w:hAnsi="Times New Roman" w:cs="Times New Roman"/>
          <w:b/>
          <w:lang w:val="en-GB"/>
        </w:rPr>
        <w:t>V.</w:t>
      </w:r>
      <w:r w:rsidRPr="00311B33">
        <w:rPr>
          <w:rFonts w:ascii="Times New Roman" w:hAnsi="Times New Roman" w:cs="Times New Roman"/>
          <w:b/>
          <w:lang w:val="en-GB"/>
        </w:rPr>
        <w:tab/>
      </w:r>
      <w:r w:rsidR="009A4463" w:rsidRPr="00311B33">
        <w:rPr>
          <w:rFonts w:ascii="Times New Roman" w:hAnsi="Times New Roman" w:cs="Times New Roman"/>
          <w:b/>
          <w:u w:val="single"/>
          <w:lang w:val="en-GB"/>
        </w:rPr>
        <w:t xml:space="preserve">Right to </w:t>
      </w:r>
      <w:r w:rsidR="004C2082" w:rsidRPr="00311B33">
        <w:rPr>
          <w:rFonts w:ascii="Times New Roman" w:hAnsi="Times New Roman" w:cs="Times New Roman"/>
          <w:b/>
          <w:u w:val="single"/>
          <w:lang w:val="en-GB"/>
        </w:rPr>
        <w:t>integrity</w:t>
      </w:r>
      <w:r w:rsidR="00EB2933" w:rsidRPr="00311B33">
        <w:rPr>
          <w:rFonts w:ascii="Times New Roman" w:hAnsi="Times New Roman" w:cs="Times New Roman"/>
          <w:b/>
          <w:u w:val="single"/>
          <w:lang w:val="en-GB"/>
        </w:rPr>
        <w:t xml:space="preserve"> (also called, right to </w:t>
      </w:r>
      <w:r w:rsidR="009A4463" w:rsidRPr="00311B33">
        <w:rPr>
          <w:rFonts w:ascii="Times New Roman" w:hAnsi="Times New Roman" w:cs="Times New Roman"/>
          <w:b/>
          <w:u w:val="single"/>
          <w:lang w:val="en-GB"/>
        </w:rPr>
        <w:t>have the private life, home and communications respected</w:t>
      </w:r>
      <w:r w:rsidR="00EB2933" w:rsidRPr="00311B33">
        <w:rPr>
          <w:rFonts w:ascii="Times New Roman" w:hAnsi="Times New Roman" w:cs="Times New Roman"/>
          <w:b/>
          <w:u w:val="single"/>
          <w:lang w:val="en-GB"/>
        </w:rPr>
        <w:t>)</w:t>
      </w:r>
    </w:p>
    <w:p w:rsidR="009A4463" w:rsidRPr="00311B33" w:rsidRDefault="009A4463" w:rsidP="0082443E">
      <w:pPr>
        <w:jc w:val="both"/>
        <w:rPr>
          <w:rFonts w:ascii="Times New Roman" w:hAnsi="Times New Roman" w:cs="Times New Roman"/>
          <w:lang w:val="en-GB"/>
        </w:rPr>
      </w:pPr>
    </w:p>
    <w:p w:rsidR="002B144B" w:rsidRPr="00311B33" w:rsidRDefault="00CC4444" w:rsidP="0082443E">
      <w:pPr>
        <w:jc w:val="both"/>
        <w:rPr>
          <w:rFonts w:ascii="Times New Roman" w:hAnsi="Times New Roman" w:cs="Times New Roman"/>
          <w:lang w:val="en-GB"/>
        </w:rPr>
      </w:pPr>
      <w:r w:rsidRPr="00311B33">
        <w:rPr>
          <w:rFonts w:ascii="Times New Roman" w:hAnsi="Times New Roman" w:cs="Times New Roman"/>
          <w:b/>
          <w:lang w:val="en-GB"/>
        </w:rPr>
        <w:t>Content and legal basis</w:t>
      </w:r>
      <w:r w:rsidRPr="00311B33">
        <w:rPr>
          <w:rFonts w:ascii="Times New Roman" w:hAnsi="Times New Roman" w:cs="Times New Roman"/>
          <w:b/>
          <w:lang w:val="en-US"/>
        </w:rPr>
        <w:t xml:space="preserve"> </w:t>
      </w:r>
      <w:r w:rsidRPr="00311B33">
        <w:rPr>
          <w:rFonts w:ascii="Times New Roman" w:hAnsi="Times New Roman" w:cs="Times New Roman"/>
          <w:lang w:val="en-US"/>
        </w:rPr>
        <w:t xml:space="preserve">– </w:t>
      </w:r>
      <w:r w:rsidR="001104E3" w:rsidRPr="00311B33">
        <w:rPr>
          <w:rFonts w:ascii="Times New Roman" w:hAnsi="Times New Roman" w:cs="Times New Roman"/>
          <w:lang w:val="en-GB"/>
        </w:rPr>
        <w:t xml:space="preserve">In </w:t>
      </w:r>
      <w:r w:rsidR="00EB2933" w:rsidRPr="00311B33">
        <w:rPr>
          <w:rFonts w:ascii="Times New Roman" w:hAnsi="Times New Roman" w:cs="Times New Roman"/>
          <w:lang w:val="en-GB"/>
        </w:rPr>
        <w:t xml:space="preserve">antitrust </w:t>
      </w:r>
      <w:r w:rsidR="001104E3" w:rsidRPr="00311B33">
        <w:rPr>
          <w:rFonts w:ascii="Times New Roman" w:hAnsi="Times New Roman" w:cs="Times New Roman"/>
          <w:lang w:val="en-GB"/>
        </w:rPr>
        <w:t>investigations,</w:t>
      </w:r>
      <w:r w:rsidR="008A7A43" w:rsidRPr="00311B33">
        <w:rPr>
          <w:rFonts w:ascii="Times New Roman" w:hAnsi="Times New Roman" w:cs="Times New Roman"/>
          <w:i/>
          <w:lang w:val="en-GB"/>
        </w:rPr>
        <w:t xml:space="preserve"> </w:t>
      </w:r>
      <w:r w:rsidR="001104E3" w:rsidRPr="00311B33">
        <w:rPr>
          <w:rFonts w:ascii="Times New Roman" w:hAnsi="Times New Roman" w:cs="Times New Roman"/>
          <w:lang w:val="en-GB"/>
        </w:rPr>
        <w:t>t</w:t>
      </w:r>
      <w:r w:rsidR="005C0B17" w:rsidRPr="00311B33">
        <w:rPr>
          <w:rFonts w:ascii="Times New Roman" w:hAnsi="Times New Roman" w:cs="Times New Roman"/>
          <w:lang w:val="en-GB"/>
        </w:rPr>
        <w:t>he Commission</w:t>
      </w:r>
      <w:r w:rsidR="001B73BE" w:rsidRPr="00311B33">
        <w:rPr>
          <w:rFonts w:ascii="Times New Roman" w:hAnsi="Times New Roman" w:cs="Times New Roman"/>
          <w:lang w:val="en-GB"/>
        </w:rPr>
        <w:t xml:space="preserve"> has the</w:t>
      </w:r>
      <w:r w:rsidR="00DC61F9" w:rsidRPr="00311B33">
        <w:rPr>
          <w:rFonts w:ascii="Times New Roman" w:hAnsi="Times New Roman" w:cs="Times New Roman"/>
          <w:lang w:val="en-GB"/>
        </w:rPr>
        <w:t xml:space="preserve"> power to </w:t>
      </w:r>
      <w:r w:rsidR="00EB2933" w:rsidRPr="00311B33">
        <w:rPr>
          <w:rFonts w:ascii="Times New Roman" w:hAnsi="Times New Roman" w:cs="Times New Roman"/>
          <w:lang w:val="en-GB"/>
        </w:rPr>
        <w:t xml:space="preserve">enter </w:t>
      </w:r>
      <w:r w:rsidR="001104E3" w:rsidRPr="00311B33">
        <w:rPr>
          <w:rFonts w:ascii="Times New Roman" w:hAnsi="Times New Roman" w:cs="Times New Roman"/>
          <w:lang w:val="en-GB"/>
        </w:rPr>
        <w:t xml:space="preserve">the </w:t>
      </w:r>
      <w:r w:rsidR="00DC61F9" w:rsidRPr="00311B33">
        <w:rPr>
          <w:rFonts w:ascii="Times New Roman" w:hAnsi="Times New Roman" w:cs="Times New Roman"/>
          <w:lang w:val="en-GB"/>
        </w:rPr>
        <w:t xml:space="preserve">premises of </w:t>
      </w:r>
      <w:r w:rsidR="00EB2933" w:rsidRPr="00311B33">
        <w:rPr>
          <w:rFonts w:ascii="Times New Roman" w:hAnsi="Times New Roman" w:cs="Times New Roman"/>
          <w:lang w:val="en-GB"/>
        </w:rPr>
        <w:t xml:space="preserve">business organisations </w:t>
      </w:r>
      <w:r w:rsidR="00DC61F9" w:rsidRPr="00311B33">
        <w:rPr>
          <w:rFonts w:ascii="Times New Roman" w:hAnsi="Times New Roman" w:cs="Times New Roman"/>
          <w:lang w:val="en-GB"/>
        </w:rPr>
        <w:t>and</w:t>
      </w:r>
      <w:r w:rsidR="00EB2933" w:rsidRPr="00311B33">
        <w:rPr>
          <w:rFonts w:ascii="Times New Roman" w:hAnsi="Times New Roman" w:cs="Times New Roman"/>
          <w:lang w:val="en-GB"/>
        </w:rPr>
        <w:t xml:space="preserve"> to</w:t>
      </w:r>
      <w:r w:rsidR="00DC61F9" w:rsidRPr="00311B33">
        <w:rPr>
          <w:rFonts w:ascii="Times New Roman" w:hAnsi="Times New Roman" w:cs="Times New Roman"/>
          <w:lang w:val="en-GB"/>
        </w:rPr>
        <w:t xml:space="preserve"> seize </w:t>
      </w:r>
      <w:r w:rsidR="00EB2933" w:rsidRPr="00311B33">
        <w:rPr>
          <w:rFonts w:ascii="Times New Roman" w:hAnsi="Times New Roman" w:cs="Times New Roman"/>
          <w:lang w:val="en-GB"/>
        </w:rPr>
        <w:t>evidence</w:t>
      </w:r>
      <w:r w:rsidR="001B73BE" w:rsidRPr="00311B33">
        <w:rPr>
          <w:rFonts w:ascii="Times New Roman" w:hAnsi="Times New Roman" w:cs="Times New Roman"/>
          <w:lang w:val="en-GB"/>
        </w:rPr>
        <w:t>.</w:t>
      </w:r>
      <w:r w:rsidR="00FA71DB" w:rsidRPr="00311B33">
        <w:rPr>
          <w:rStyle w:val="Appelnotedebasdep"/>
          <w:rFonts w:ascii="Times New Roman" w:hAnsi="Times New Roman" w:cs="Times New Roman"/>
          <w:lang w:val="en-GB"/>
        </w:rPr>
        <w:footnoteReference w:id="96"/>
      </w:r>
      <w:r w:rsidR="001B73BE" w:rsidRPr="00311B33">
        <w:rPr>
          <w:rFonts w:ascii="Times New Roman" w:hAnsi="Times New Roman" w:cs="Times New Roman"/>
          <w:lang w:val="en-GB"/>
        </w:rPr>
        <w:t xml:space="preserve"> </w:t>
      </w:r>
      <w:r w:rsidR="00FA71DB" w:rsidRPr="00311B33">
        <w:rPr>
          <w:rFonts w:ascii="Times New Roman" w:hAnsi="Times New Roman" w:cs="Times New Roman"/>
          <w:lang w:val="en-GB"/>
        </w:rPr>
        <w:t>In some circumstances, the Commission can also inspect the private premises of directors, managers and other members of staff of the undertakings.</w:t>
      </w:r>
      <w:r w:rsidR="00FA71DB" w:rsidRPr="00311B33">
        <w:rPr>
          <w:rStyle w:val="Appelnotedebasdep"/>
          <w:rFonts w:ascii="Times New Roman" w:hAnsi="Times New Roman" w:cs="Times New Roman"/>
          <w:lang w:val="en-GB"/>
        </w:rPr>
        <w:footnoteReference w:id="97"/>
      </w:r>
      <w:r w:rsidR="00FA71DB" w:rsidRPr="00311B33">
        <w:rPr>
          <w:rFonts w:ascii="Times New Roman" w:hAnsi="Times New Roman" w:cs="Times New Roman"/>
          <w:lang w:val="en-GB"/>
        </w:rPr>
        <w:t xml:space="preserve"> Finally, the Commission can request any information, subject to hefty fines. Those prerogatives are </w:t>
      </w:r>
      <w:r w:rsidR="00DC61F9" w:rsidRPr="00311B33">
        <w:rPr>
          <w:rFonts w:ascii="Times New Roman" w:hAnsi="Times New Roman" w:cs="Times New Roman"/>
          <w:lang w:val="en-GB"/>
        </w:rPr>
        <w:t>one o</w:t>
      </w:r>
      <w:r w:rsidR="001104E3" w:rsidRPr="00311B33">
        <w:rPr>
          <w:rFonts w:ascii="Times New Roman" w:hAnsi="Times New Roman" w:cs="Times New Roman"/>
          <w:lang w:val="en-GB"/>
        </w:rPr>
        <w:t>f the Commission’s most spectacular</w:t>
      </w:r>
      <w:r w:rsidR="00DC61F9" w:rsidRPr="00311B33">
        <w:rPr>
          <w:rFonts w:ascii="Times New Roman" w:hAnsi="Times New Roman" w:cs="Times New Roman"/>
          <w:lang w:val="en-GB"/>
        </w:rPr>
        <w:t xml:space="preserve"> means to secure information about possible infringement</w:t>
      </w:r>
      <w:r w:rsidR="00EB2933" w:rsidRPr="00311B33">
        <w:rPr>
          <w:rFonts w:ascii="Times New Roman" w:hAnsi="Times New Roman" w:cs="Times New Roman"/>
          <w:lang w:val="en-GB"/>
        </w:rPr>
        <w:t>s</w:t>
      </w:r>
      <w:r w:rsidR="00DC61F9" w:rsidRPr="00311B33">
        <w:rPr>
          <w:rFonts w:ascii="Times New Roman" w:hAnsi="Times New Roman" w:cs="Times New Roman"/>
          <w:lang w:val="en-GB"/>
        </w:rPr>
        <w:t>.</w:t>
      </w:r>
      <w:r w:rsidR="00DC61F9" w:rsidRPr="00311B33">
        <w:rPr>
          <w:rStyle w:val="Appelnotedebasdep"/>
          <w:rFonts w:ascii="Times New Roman" w:hAnsi="Times New Roman" w:cs="Times New Roman"/>
          <w:lang w:val="en-GB"/>
        </w:rPr>
        <w:footnoteReference w:id="98"/>
      </w:r>
      <w:r w:rsidR="00DC61F9" w:rsidRPr="00311B33">
        <w:rPr>
          <w:rFonts w:ascii="Times New Roman" w:hAnsi="Times New Roman" w:cs="Times New Roman"/>
          <w:lang w:val="en-GB"/>
        </w:rPr>
        <w:t xml:space="preserve"> </w:t>
      </w:r>
      <w:r w:rsidR="00FA71DB" w:rsidRPr="00311B33">
        <w:rPr>
          <w:rFonts w:ascii="Times New Roman" w:hAnsi="Times New Roman" w:cs="Times New Roman"/>
          <w:lang w:val="en-GB"/>
        </w:rPr>
        <w:t>They come</w:t>
      </w:r>
      <w:r w:rsidR="00EB2933" w:rsidRPr="00311B33">
        <w:rPr>
          <w:rFonts w:ascii="Times New Roman" w:hAnsi="Times New Roman" w:cs="Times New Roman"/>
          <w:lang w:val="en-GB"/>
        </w:rPr>
        <w:t xml:space="preserve">, however, with </w:t>
      </w:r>
      <w:r w:rsidR="00FA71DB" w:rsidRPr="00311B33">
        <w:rPr>
          <w:rFonts w:ascii="Times New Roman" w:hAnsi="Times New Roman" w:cs="Times New Roman"/>
          <w:lang w:val="en-GB"/>
        </w:rPr>
        <w:t xml:space="preserve">a </w:t>
      </w:r>
      <w:r w:rsidR="00EB2933" w:rsidRPr="00311B33">
        <w:rPr>
          <w:rFonts w:ascii="Times New Roman" w:hAnsi="Times New Roman" w:cs="Times New Roman"/>
          <w:lang w:val="en-GB"/>
        </w:rPr>
        <w:t xml:space="preserve">drastic limitation: </w:t>
      </w:r>
      <w:r w:rsidRPr="00311B33">
        <w:rPr>
          <w:rFonts w:ascii="Times New Roman" w:hAnsi="Times New Roman" w:cs="Times New Roman"/>
          <w:lang w:val="en-GB"/>
        </w:rPr>
        <w:t>the right of</w:t>
      </w:r>
      <w:r w:rsidR="001104E3" w:rsidRPr="00311B33">
        <w:rPr>
          <w:rFonts w:ascii="Times New Roman" w:hAnsi="Times New Roman" w:cs="Times New Roman"/>
          <w:lang w:val="en-GB"/>
        </w:rPr>
        <w:t xml:space="preserve"> undertakings to have their private life, home and communications res</w:t>
      </w:r>
      <w:r w:rsidR="002B144B" w:rsidRPr="00311B33">
        <w:rPr>
          <w:rFonts w:ascii="Times New Roman" w:hAnsi="Times New Roman" w:cs="Times New Roman"/>
          <w:lang w:val="en-GB"/>
        </w:rPr>
        <w:t>pected.</w:t>
      </w:r>
    </w:p>
    <w:p w:rsidR="00CC4444" w:rsidRPr="00311B33" w:rsidRDefault="00CC4444" w:rsidP="0082443E">
      <w:pPr>
        <w:jc w:val="both"/>
        <w:rPr>
          <w:rFonts w:ascii="Times New Roman" w:hAnsi="Times New Roman" w:cs="Times New Roman"/>
          <w:lang w:val="en-GB"/>
        </w:rPr>
      </w:pPr>
    </w:p>
    <w:p w:rsidR="009A4463" w:rsidRPr="00311B33" w:rsidRDefault="00B14908" w:rsidP="0082443E">
      <w:pPr>
        <w:jc w:val="both"/>
        <w:rPr>
          <w:rFonts w:ascii="Times New Roman" w:hAnsi="Times New Roman" w:cs="Times New Roman"/>
          <w:lang w:val="en-GB"/>
        </w:rPr>
      </w:pPr>
      <w:r w:rsidRPr="00311B33">
        <w:rPr>
          <w:rFonts w:ascii="Times New Roman" w:hAnsi="Times New Roman" w:cs="Times New Roman"/>
          <w:lang w:val="en-GB"/>
        </w:rPr>
        <w:lastRenderedPageBreak/>
        <w:t>Th</w:t>
      </w:r>
      <w:r w:rsidR="00CC4444" w:rsidRPr="00311B33">
        <w:rPr>
          <w:rFonts w:ascii="Times New Roman" w:hAnsi="Times New Roman" w:cs="Times New Roman"/>
          <w:lang w:val="en-GB"/>
        </w:rPr>
        <w:t>e</w:t>
      </w:r>
      <w:r w:rsidR="00EB2933" w:rsidRPr="00311B33">
        <w:rPr>
          <w:rFonts w:ascii="Times New Roman" w:hAnsi="Times New Roman" w:cs="Times New Roman"/>
          <w:lang w:val="en-GB"/>
        </w:rPr>
        <w:t xml:space="preserve"> right to </w:t>
      </w:r>
      <w:r w:rsidR="004C2082" w:rsidRPr="00311B33">
        <w:rPr>
          <w:rFonts w:ascii="Times New Roman" w:hAnsi="Times New Roman" w:cs="Times New Roman"/>
          <w:lang w:val="en-GB"/>
        </w:rPr>
        <w:t>integrity</w:t>
      </w:r>
      <w:r w:rsidR="00997A15" w:rsidRPr="00311B33">
        <w:rPr>
          <w:rFonts w:ascii="Times New Roman" w:hAnsi="Times New Roman" w:cs="Times New Roman"/>
          <w:lang w:val="en-GB"/>
        </w:rPr>
        <w:t xml:space="preserve"> </w:t>
      </w:r>
      <w:r w:rsidR="00D1087A" w:rsidRPr="00311B33">
        <w:rPr>
          <w:rFonts w:ascii="Times New Roman" w:hAnsi="Times New Roman" w:cs="Times New Roman"/>
          <w:lang w:val="en-GB"/>
        </w:rPr>
        <w:t xml:space="preserve">is found </w:t>
      </w:r>
      <w:r w:rsidR="003F0B9F" w:rsidRPr="00311B33">
        <w:rPr>
          <w:rFonts w:ascii="Times New Roman" w:hAnsi="Times New Roman" w:cs="Times New Roman"/>
          <w:lang w:val="en-GB"/>
        </w:rPr>
        <w:t>in the ECHR</w:t>
      </w:r>
      <w:r w:rsidR="002B144B" w:rsidRPr="00311B33">
        <w:rPr>
          <w:rFonts w:ascii="Times New Roman" w:hAnsi="Times New Roman" w:cs="Times New Roman"/>
          <w:lang w:val="en-GB"/>
        </w:rPr>
        <w:t>, the Charter</w:t>
      </w:r>
      <w:r w:rsidR="003F0B9F" w:rsidRPr="00311B33">
        <w:rPr>
          <w:rFonts w:ascii="Times New Roman" w:hAnsi="Times New Roman" w:cs="Times New Roman"/>
          <w:lang w:val="en-GB"/>
        </w:rPr>
        <w:t xml:space="preserve"> and in Regulation 1/2003.</w:t>
      </w:r>
      <w:r w:rsidR="002B144B" w:rsidRPr="00311B33">
        <w:rPr>
          <w:rFonts w:ascii="Times New Roman" w:hAnsi="Times New Roman" w:cs="Times New Roman"/>
          <w:lang w:val="en-GB"/>
        </w:rPr>
        <w:t xml:space="preserve"> </w:t>
      </w:r>
      <w:r w:rsidR="00E83C7E" w:rsidRPr="00311B33">
        <w:rPr>
          <w:rFonts w:ascii="Times New Roman" w:hAnsi="Times New Roman" w:cs="Times New Roman"/>
          <w:lang w:val="en-GB"/>
        </w:rPr>
        <w:t>Article</w:t>
      </w:r>
      <w:r w:rsidR="00480059" w:rsidRPr="00311B33">
        <w:rPr>
          <w:rFonts w:ascii="Times New Roman" w:hAnsi="Times New Roman" w:cs="Times New Roman"/>
          <w:lang w:val="en-GB"/>
        </w:rPr>
        <w:t xml:space="preserve"> 8 </w:t>
      </w:r>
      <w:r w:rsidR="009A4463" w:rsidRPr="00311B33">
        <w:rPr>
          <w:rFonts w:ascii="Times New Roman" w:hAnsi="Times New Roman" w:cs="Times New Roman"/>
          <w:lang w:val="en-GB"/>
        </w:rPr>
        <w:t xml:space="preserve">ECHR </w:t>
      </w:r>
      <w:r w:rsidR="002B144B" w:rsidRPr="00311B33">
        <w:rPr>
          <w:rFonts w:ascii="Times New Roman" w:hAnsi="Times New Roman" w:cs="Times New Roman"/>
          <w:lang w:val="en-GB"/>
        </w:rPr>
        <w:t xml:space="preserve">and Article 7 of the Charter </w:t>
      </w:r>
      <w:r w:rsidR="00EB2933" w:rsidRPr="00311B33">
        <w:rPr>
          <w:rFonts w:ascii="Times New Roman" w:hAnsi="Times New Roman" w:cs="Times New Roman"/>
          <w:lang w:val="en-GB"/>
        </w:rPr>
        <w:t xml:space="preserve">provide </w:t>
      </w:r>
      <w:r w:rsidR="009A4463" w:rsidRPr="00311B33">
        <w:rPr>
          <w:rFonts w:ascii="Times New Roman" w:hAnsi="Times New Roman" w:cs="Times New Roman"/>
          <w:lang w:val="en-GB"/>
        </w:rPr>
        <w:t>that everyone has the right to respect for his private and family life, hi</w:t>
      </w:r>
      <w:r w:rsidR="008D5073" w:rsidRPr="00311B33">
        <w:rPr>
          <w:rFonts w:ascii="Times New Roman" w:hAnsi="Times New Roman" w:cs="Times New Roman"/>
          <w:lang w:val="en-GB"/>
        </w:rPr>
        <w:t>s home, and his correspondence.</w:t>
      </w:r>
      <w:r w:rsidR="00EB2933" w:rsidRPr="00311B33">
        <w:rPr>
          <w:rStyle w:val="Appelnotedebasdep"/>
          <w:rFonts w:ascii="Times New Roman" w:hAnsi="Times New Roman" w:cs="Times New Roman"/>
          <w:lang w:val="en-GB"/>
        </w:rPr>
        <w:footnoteReference w:id="99"/>
      </w:r>
      <w:r w:rsidR="009A4463" w:rsidRPr="00311B33">
        <w:rPr>
          <w:rFonts w:ascii="Times New Roman" w:hAnsi="Times New Roman" w:cs="Times New Roman"/>
          <w:lang w:val="en-GB"/>
        </w:rPr>
        <w:t xml:space="preserve"> </w:t>
      </w:r>
      <w:r w:rsidR="00E83C7E" w:rsidRPr="00311B33">
        <w:rPr>
          <w:rFonts w:ascii="Times New Roman" w:hAnsi="Times New Roman" w:cs="Times New Roman"/>
          <w:lang w:val="en-GB"/>
        </w:rPr>
        <w:t>Article</w:t>
      </w:r>
      <w:r w:rsidR="008D5073" w:rsidRPr="00311B33">
        <w:rPr>
          <w:rFonts w:ascii="Times New Roman" w:hAnsi="Times New Roman" w:cs="Times New Roman"/>
          <w:lang w:val="en-GB"/>
        </w:rPr>
        <w:t xml:space="preserve"> 8</w:t>
      </w:r>
      <w:r w:rsidR="009A4463" w:rsidRPr="00311B33">
        <w:rPr>
          <w:rFonts w:ascii="Times New Roman" w:hAnsi="Times New Roman" w:cs="Times New Roman"/>
          <w:lang w:val="en-GB"/>
        </w:rPr>
        <w:t>(2)</w:t>
      </w:r>
      <w:r w:rsidR="008D5073" w:rsidRPr="00311B33">
        <w:rPr>
          <w:rFonts w:ascii="Times New Roman" w:hAnsi="Times New Roman" w:cs="Times New Roman"/>
          <w:lang w:val="en-GB"/>
        </w:rPr>
        <w:t xml:space="preserve"> ECHR</w:t>
      </w:r>
      <w:r w:rsidR="00FA71DB" w:rsidRPr="00311B33">
        <w:rPr>
          <w:rFonts w:ascii="Times New Roman" w:hAnsi="Times New Roman" w:cs="Times New Roman"/>
          <w:lang w:val="en-GB"/>
        </w:rPr>
        <w:t xml:space="preserve"> however</w:t>
      </w:r>
      <w:r w:rsidR="009A4463" w:rsidRPr="00311B33">
        <w:rPr>
          <w:rFonts w:ascii="Times New Roman" w:hAnsi="Times New Roman" w:cs="Times New Roman"/>
          <w:lang w:val="en-GB"/>
        </w:rPr>
        <w:t xml:space="preserve"> </w:t>
      </w:r>
      <w:r w:rsidR="00FA71DB" w:rsidRPr="00311B33">
        <w:rPr>
          <w:rFonts w:ascii="Times New Roman" w:hAnsi="Times New Roman" w:cs="Times New Roman"/>
          <w:lang w:val="en-GB"/>
        </w:rPr>
        <w:t>brings</w:t>
      </w:r>
      <w:r w:rsidR="00EB2933" w:rsidRPr="00311B33">
        <w:rPr>
          <w:rFonts w:ascii="Times New Roman" w:hAnsi="Times New Roman" w:cs="Times New Roman"/>
          <w:lang w:val="en-GB"/>
        </w:rPr>
        <w:t xml:space="preserve"> </w:t>
      </w:r>
      <w:r w:rsidR="004903F0" w:rsidRPr="00311B33">
        <w:rPr>
          <w:rFonts w:ascii="Times New Roman" w:hAnsi="Times New Roman" w:cs="Times New Roman"/>
          <w:lang w:val="en-GB"/>
        </w:rPr>
        <w:t>a</w:t>
      </w:r>
      <w:r w:rsidR="00EB2933" w:rsidRPr="00311B33">
        <w:rPr>
          <w:rFonts w:ascii="Times New Roman" w:hAnsi="Times New Roman" w:cs="Times New Roman"/>
          <w:lang w:val="en-GB"/>
        </w:rPr>
        <w:t xml:space="preserve"> </w:t>
      </w:r>
      <w:r w:rsidR="00480059" w:rsidRPr="00311B33">
        <w:rPr>
          <w:rFonts w:ascii="Times New Roman" w:hAnsi="Times New Roman" w:cs="Times New Roman"/>
          <w:lang w:val="en-GB"/>
        </w:rPr>
        <w:t>derogation</w:t>
      </w:r>
      <w:r w:rsidR="00D1087A" w:rsidRPr="00311B33">
        <w:rPr>
          <w:rFonts w:ascii="Times New Roman" w:hAnsi="Times New Roman" w:cs="Times New Roman"/>
          <w:lang w:val="en-GB"/>
        </w:rPr>
        <w:t xml:space="preserve"> to this right</w:t>
      </w:r>
      <w:r w:rsidR="00EB2933" w:rsidRPr="00311B33">
        <w:rPr>
          <w:rFonts w:ascii="Times New Roman" w:hAnsi="Times New Roman" w:cs="Times New Roman"/>
          <w:lang w:val="en-GB"/>
        </w:rPr>
        <w:t xml:space="preserve">. </w:t>
      </w:r>
      <w:r w:rsidR="004C2082" w:rsidRPr="00311B33">
        <w:rPr>
          <w:rFonts w:ascii="Times New Roman" w:hAnsi="Times New Roman" w:cs="Times New Roman"/>
          <w:lang w:val="en-GB"/>
        </w:rPr>
        <w:t>Public i</w:t>
      </w:r>
      <w:r w:rsidR="00EB2933" w:rsidRPr="00311B33">
        <w:rPr>
          <w:rFonts w:ascii="Times New Roman" w:hAnsi="Times New Roman" w:cs="Times New Roman"/>
          <w:lang w:val="en-GB"/>
        </w:rPr>
        <w:t xml:space="preserve">nterference </w:t>
      </w:r>
      <w:r w:rsidR="00FA71DB" w:rsidRPr="00311B33">
        <w:rPr>
          <w:rFonts w:ascii="Times New Roman" w:hAnsi="Times New Roman" w:cs="Times New Roman"/>
          <w:lang w:val="en-GB"/>
        </w:rPr>
        <w:t xml:space="preserve">is </w:t>
      </w:r>
      <w:r w:rsidR="00EB2933" w:rsidRPr="00311B33">
        <w:rPr>
          <w:rFonts w:ascii="Times New Roman" w:hAnsi="Times New Roman" w:cs="Times New Roman"/>
          <w:lang w:val="en-GB"/>
        </w:rPr>
        <w:t xml:space="preserve">tolerated if (i) there is a legal basis; (ii) it is </w:t>
      </w:r>
      <w:r w:rsidR="00CC4444" w:rsidRPr="00311B33">
        <w:rPr>
          <w:rFonts w:ascii="Times New Roman" w:hAnsi="Times New Roman" w:cs="Times New Roman"/>
          <w:lang w:val="en-GB"/>
        </w:rPr>
        <w:t xml:space="preserve">necessary to achieve a legitimate aim – </w:t>
      </w:r>
      <w:r w:rsidR="00D80949" w:rsidRPr="004E08B1">
        <w:rPr>
          <w:rFonts w:ascii="Times New Roman" w:hAnsi="Times New Roman" w:cs="Times New Roman"/>
          <w:i/>
          <w:lang w:val="en-GB"/>
        </w:rPr>
        <w:t>e</w:t>
      </w:r>
      <w:r w:rsidR="002B24A4" w:rsidRPr="004E08B1">
        <w:rPr>
          <w:rFonts w:ascii="Times New Roman" w:hAnsi="Times New Roman" w:cs="Times New Roman"/>
          <w:i/>
          <w:lang w:val="en-GB"/>
        </w:rPr>
        <w:t>.g</w:t>
      </w:r>
      <w:r w:rsidR="002B24A4" w:rsidRPr="00246F56">
        <w:rPr>
          <w:rFonts w:ascii="Times New Roman" w:hAnsi="Times New Roman" w:cs="Times New Roman"/>
          <w:lang w:val="en-GB"/>
        </w:rPr>
        <w:t>.</w:t>
      </w:r>
      <w:r w:rsidR="00EB2933" w:rsidRPr="00311B33">
        <w:rPr>
          <w:rFonts w:ascii="Times New Roman" w:hAnsi="Times New Roman" w:cs="Times New Roman"/>
          <w:lang w:val="en-GB"/>
        </w:rPr>
        <w:t xml:space="preserve"> </w:t>
      </w:r>
      <w:r w:rsidR="00BE3A3D" w:rsidRPr="00311B33">
        <w:rPr>
          <w:rFonts w:ascii="Times New Roman" w:hAnsi="Times New Roman" w:cs="Times New Roman"/>
          <w:lang w:val="en-GB"/>
        </w:rPr>
        <w:t xml:space="preserve">crime </w:t>
      </w:r>
      <w:r w:rsidR="00EB2933" w:rsidRPr="00311B33">
        <w:rPr>
          <w:rFonts w:ascii="Times New Roman" w:hAnsi="Times New Roman" w:cs="Times New Roman"/>
          <w:lang w:val="en-GB"/>
        </w:rPr>
        <w:t xml:space="preserve">prevention </w:t>
      </w:r>
      <w:r w:rsidR="00BE3A3D" w:rsidRPr="00311B33">
        <w:rPr>
          <w:rFonts w:ascii="Times New Roman" w:hAnsi="Times New Roman" w:cs="Times New Roman"/>
          <w:lang w:val="en-GB"/>
        </w:rPr>
        <w:t xml:space="preserve">or </w:t>
      </w:r>
      <w:r w:rsidR="009A4463" w:rsidRPr="00311B33">
        <w:rPr>
          <w:rFonts w:ascii="Times New Roman" w:hAnsi="Times New Roman" w:cs="Times New Roman"/>
          <w:lang w:val="en-GB"/>
        </w:rPr>
        <w:t xml:space="preserve">economic </w:t>
      </w:r>
      <w:r w:rsidR="00FA71DB" w:rsidRPr="00311B33">
        <w:rPr>
          <w:rFonts w:ascii="Times New Roman" w:hAnsi="Times New Roman" w:cs="Times New Roman"/>
          <w:lang w:val="en-GB"/>
        </w:rPr>
        <w:t>progress</w:t>
      </w:r>
      <w:r w:rsidR="00480059" w:rsidRPr="00311B33">
        <w:rPr>
          <w:rFonts w:ascii="Times New Roman" w:hAnsi="Times New Roman" w:cs="Times New Roman"/>
          <w:lang w:val="en-GB"/>
        </w:rPr>
        <w:t>.</w:t>
      </w:r>
      <w:r w:rsidR="00EA713A" w:rsidRPr="00311B33">
        <w:rPr>
          <w:rFonts w:ascii="Times New Roman" w:hAnsi="Times New Roman" w:cs="Times New Roman"/>
          <w:lang w:val="en-GB"/>
        </w:rPr>
        <w:t xml:space="preserve"> </w:t>
      </w:r>
      <w:r w:rsidR="00D1087A" w:rsidRPr="00311B33">
        <w:rPr>
          <w:rFonts w:ascii="Times New Roman" w:hAnsi="Times New Roman" w:cs="Times New Roman"/>
          <w:lang w:val="en-GB"/>
        </w:rPr>
        <w:t>This derogation is subject to the classic principle that exceptions must be interpreted narrowly.</w:t>
      </w:r>
      <w:r w:rsidR="00D1087A" w:rsidRPr="00311B33">
        <w:rPr>
          <w:rStyle w:val="Appelnotedebasdep"/>
          <w:rFonts w:ascii="Times New Roman" w:hAnsi="Times New Roman" w:cs="Times New Roman"/>
          <w:lang w:val="en-GB"/>
        </w:rPr>
        <w:footnoteReference w:id="100"/>
      </w:r>
      <w:r w:rsidR="00D1087A" w:rsidRPr="00311B33">
        <w:rPr>
          <w:rFonts w:ascii="Times New Roman" w:hAnsi="Times New Roman" w:cs="Times New Roman"/>
          <w:lang w:val="en-GB"/>
        </w:rPr>
        <w:t xml:space="preserve"> </w:t>
      </w:r>
    </w:p>
    <w:p w:rsidR="00DC61F9" w:rsidRPr="00311B33" w:rsidRDefault="00DC61F9" w:rsidP="0082443E">
      <w:pPr>
        <w:jc w:val="both"/>
        <w:rPr>
          <w:rFonts w:ascii="Times New Roman" w:hAnsi="Times New Roman" w:cs="Times New Roman"/>
          <w:lang w:val="en-GB"/>
        </w:rPr>
      </w:pPr>
    </w:p>
    <w:p w:rsidR="00AA0BBE" w:rsidRPr="00311B33" w:rsidRDefault="008B0D3D" w:rsidP="0082443E">
      <w:pPr>
        <w:jc w:val="both"/>
        <w:rPr>
          <w:rFonts w:ascii="Times New Roman" w:hAnsi="Times New Roman" w:cs="Times New Roman"/>
          <w:b/>
          <w:lang w:val="en-GB"/>
        </w:rPr>
      </w:pPr>
      <w:r w:rsidRPr="00311B33">
        <w:rPr>
          <w:rFonts w:ascii="Times New Roman" w:hAnsi="Times New Roman" w:cs="Times New Roman"/>
          <w:b/>
          <w:lang w:val="en-GB"/>
        </w:rPr>
        <w:t>Natural and legal persons</w:t>
      </w:r>
      <w:r w:rsidR="009B1657" w:rsidRPr="00246F56">
        <w:rPr>
          <w:rFonts w:ascii="Times New Roman" w:hAnsi="Times New Roman" w:cs="Times New Roman"/>
          <w:b/>
          <w:lang w:val="en-GB"/>
        </w:rPr>
        <w:t xml:space="preserve"> </w:t>
      </w:r>
      <w:r w:rsidR="008C6CFC" w:rsidRPr="00311B33">
        <w:rPr>
          <w:rFonts w:ascii="Times New Roman" w:hAnsi="Times New Roman" w:cs="Times New Roman"/>
          <w:lang w:val="en-GB"/>
        </w:rPr>
        <w:t>–</w:t>
      </w:r>
      <w:r w:rsidR="00D1087A" w:rsidRPr="00311B33">
        <w:rPr>
          <w:rFonts w:ascii="Times New Roman" w:hAnsi="Times New Roman" w:cs="Times New Roman"/>
          <w:lang w:val="en-GB"/>
        </w:rPr>
        <w:t xml:space="preserve"> </w:t>
      </w:r>
      <w:r w:rsidR="00C74657" w:rsidRPr="00311B33">
        <w:rPr>
          <w:rFonts w:ascii="Times New Roman" w:hAnsi="Times New Roman" w:cs="Times New Roman"/>
          <w:lang w:val="en-GB"/>
        </w:rPr>
        <w:t xml:space="preserve">The right to </w:t>
      </w:r>
      <w:r w:rsidR="004C2082" w:rsidRPr="00311B33">
        <w:rPr>
          <w:rFonts w:ascii="Times New Roman" w:hAnsi="Times New Roman" w:cs="Times New Roman"/>
          <w:lang w:val="en-GB"/>
        </w:rPr>
        <w:t>integrity</w:t>
      </w:r>
      <w:r w:rsidR="00D1087A" w:rsidRPr="00311B33">
        <w:rPr>
          <w:rFonts w:ascii="Times New Roman" w:hAnsi="Times New Roman" w:cs="Times New Roman"/>
          <w:lang w:val="en-GB"/>
        </w:rPr>
        <w:t xml:space="preserve"> </w:t>
      </w:r>
      <w:r w:rsidR="00BE3A3D" w:rsidRPr="00311B33">
        <w:rPr>
          <w:rFonts w:ascii="Times New Roman" w:hAnsi="Times New Roman" w:cs="Times New Roman"/>
          <w:lang w:val="en-GB"/>
        </w:rPr>
        <w:t xml:space="preserve">was </w:t>
      </w:r>
      <w:r w:rsidR="00D1087A" w:rsidRPr="00311B33">
        <w:rPr>
          <w:rFonts w:ascii="Times New Roman" w:hAnsi="Times New Roman" w:cs="Times New Roman"/>
          <w:lang w:val="en-GB"/>
        </w:rPr>
        <w:t>first interpreted</w:t>
      </w:r>
      <w:r w:rsidR="00BE3A3D" w:rsidRPr="00311B33">
        <w:rPr>
          <w:rFonts w:ascii="Times New Roman" w:hAnsi="Times New Roman" w:cs="Times New Roman"/>
          <w:lang w:val="en-GB"/>
        </w:rPr>
        <w:t xml:space="preserve"> </w:t>
      </w:r>
      <w:r w:rsidR="00D1087A" w:rsidRPr="00311B33">
        <w:rPr>
          <w:rFonts w:ascii="Times New Roman" w:hAnsi="Times New Roman" w:cs="Times New Roman"/>
          <w:lang w:val="en-GB"/>
        </w:rPr>
        <w:t>by the ECtHR. Whilst Article 8 embodies</w:t>
      </w:r>
      <w:r w:rsidR="00BE3A3D" w:rsidRPr="00311B33">
        <w:rPr>
          <w:rFonts w:ascii="Times New Roman" w:hAnsi="Times New Roman" w:cs="Times New Roman"/>
          <w:lang w:val="en-GB"/>
        </w:rPr>
        <w:t xml:space="preserve"> </w:t>
      </w:r>
      <w:r w:rsidR="00C74657" w:rsidRPr="00311B33">
        <w:rPr>
          <w:rFonts w:ascii="Times New Roman" w:hAnsi="Times New Roman" w:cs="Times New Roman"/>
          <w:lang w:val="en-GB"/>
        </w:rPr>
        <w:t>a righ</w:t>
      </w:r>
      <w:r w:rsidR="00766B55" w:rsidRPr="00311B33">
        <w:rPr>
          <w:rFonts w:ascii="Times New Roman" w:hAnsi="Times New Roman" w:cs="Times New Roman"/>
          <w:lang w:val="en-GB"/>
        </w:rPr>
        <w:t>t</w:t>
      </w:r>
      <w:r w:rsidR="00C74657" w:rsidRPr="00311B33">
        <w:rPr>
          <w:rFonts w:ascii="Times New Roman" w:hAnsi="Times New Roman" w:cs="Times New Roman"/>
          <w:lang w:val="en-GB"/>
        </w:rPr>
        <w:t xml:space="preserve"> for individuals</w:t>
      </w:r>
      <w:r w:rsidR="00D1087A" w:rsidRPr="00311B33">
        <w:rPr>
          <w:rFonts w:ascii="Times New Roman" w:hAnsi="Times New Roman" w:cs="Times New Roman"/>
          <w:lang w:val="en-GB"/>
        </w:rPr>
        <w:t xml:space="preserve">, the ECtHR held in </w:t>
      </w:r>
      <w:r w:rsidR="001B257A" w:rsidRPr="00311B33">
        <w:rPr>
          <w:rFonts w:ascii="Times New Roman" w:hAnsi="Times New Roman" w:cs="Times New Roman"/>
          <w:i/>
          <w:lang w:val="en-GB"/>
        </w:rPr>
        <w:t>Niemetz v Germany</w:t>
      </w:r>
      <w:r w:rsidR="00C74657" w:rsidRPr="00311B33">
        <w:rPr>
          <w:rFonts w:ascii="Times New Roman" w:hAnsi="Times New Roman" w:cs="Times New Roman"/>
          <w:lang w:val="en-GB"/>
        </w:rPr>
        <w:t xml:space="preserve">, that the right </w:t>
      </w:r>
      <w:r w:rsidR="00D1087A" w:rsidRPr="00311B33">
        <w:rPr>
          <w:rFonts w:ascii="Times New Roman" w:hAnsi="Times New Roman" w:cs="Times New Roman"/>
          <w:lang w:val="en-GB"/>
        </w:rPr>
        <w:t xml:space="preserve">to </w:t>
      </w:r>
      <w:r w:rsidR="004C2082" w:rsidRPr="00311B33">
        <w:rPr>
          <w:rFonts w:ascii="Times New Roman" w:hAnsi="Times New Roman" w:cs="Times New Roman"/>
          <w:lang w:val="en-GB"/>
        </w:rPr>
        <w:t>integrity</w:t>
      </w:r>
      <w:r w:rsidR="00D1087A" w:rsidRPr="00311B33">
        <w:rPr>
          <w:rFonts w:ascii="Times New Roman" w:hAnsi="Times New Roman" w:cs="Times New Roman"/>
          <w:lang w:val="en-GB"/>
        </w:rPr>
        <w:t xml:space="preserve"> </w:t>
      </w:r>
      <w:r w:rsidR="00C74657" w:rsidRPr="00311B33">
        <w:rPr>
          <w:rFonts w:ascii="Times New Roman" w:hAnsi="Times New Roman" w:cs="Times New Roman"/>
          <w:lang w:val="en-GB"/>
        </w:rPr>
        <w:t>includes business premises when necessary to protect individual</w:t>
      </w:r>
      <w:r w:rsidR="00A86221" w:rsidRPr="00311B33">
        <w:rPr>
          <w:rFonts w:ascii="Times New Roman" w:hAnsi="Times New Roman" w:cs="Times New Roman"/>
          <w:lang w:val="en-GB"/>
        </w:rPr>
        <w:t>s</w:t>
      </w:r>
      <w:r w:rsidR="00C74657" w:rsidRPr="00311B33">
        <w:rPr>
          <w:rFonts w:ascii="Times New Roman" w:hAnsi="Times New Roman" w:cs="Times New Roman"/>
          <w:lang w:val="en-GB"/>
        </w:rPr>
        <w:t xml:space="preserve"> against arbitrary interference </w:t>
      </w:r>
      <w:r w:rsidRPr="00311B33">
        <w:rPr>
          <w:rFonts w:ascii="Times New Roman" w:hAnsi="Times New Roman" w:cs="Times New Roman"/>
          <w:lang w:val="en-GB"/>
        </w:rPr>
        <w:t xml:space="preserve">of </w:t>
      </w:r>
      <w:r w:rsidR="00C74657" w:rsidRPr="00311B33">
        <w:rPr>
          <w:rFonts w:ascii="Times New Roman" w:hAnsi="Times New Roman" w:cs="Times New Roman"/>
          <w:lang w:val="en-GB"/>
        </w:rPr>
        <w:t>public authorities.</w:t>
      </w:r>
      <w:r w:rsidR="004B0F03" w:rsidRPr="00311B33">
        <w:rPr>
          <w:rStyle w:val="Appelnotedebasdep"/>
          <w:rFonts w:ascii="Times New Roman" w:hAnsi="Times New Roman" w:cs="Times New Roman"/>
          <w:lang w:val="en-GB"/>
        </w:rPr>
        <w:footnoteReference w:id="101"/>
      </w:r>
      <w:r w:rsidR="00C74657" w:rsidRPr="00311B33">
        <w:rPr>
          <w:rFonts w:ascii="Times New Roman" w:hAnsi="Times New Roman" w:cs="Times New Roman"/>
          <w:lang w:val="en-GB"/>
        </w:rPr>
        <w:t xml:space="preserve"> </w:t>
      </w:r>
      <w:r w:rsidR="005A00E8" w:rsidRPr="00311B33">
        <w:rPr>
          <w:rFonts w:ascii="Times New Roman" w:hAnsi="Times New Roman" w:cs="Times New Roman"/>
          <w:lang w:val="en-GB"/>
        </w:rPr>
        <w:t xml:space="preserve">This </w:t>
      </w:r>
      <w:r w:rsidR="00D1087A" w:rsidRPr="00311B33">
        <w:rPr>
          <w:rFonts w:ascii="Times New Roman" w:hAnsi="Times New Roman" w:cs="Times New Roman"/>
          <w:lang w:val="en-GB"/>
        </w:rPr>
        <w:t xml:space="preserve">interpretation </w:t>
      </w:r>
      <w:r w:rsidR="005A00E8" w:rsidRPr="00311B33">
        <w:rPr>
          <w:rFonts w:ascii="Times New Roman" w:hAnsi="Times New Roman" w:cs="Times New Roman"/>
          <w:lang w:val="en-GB"/>
        </w:rPr>
        <w:t xml:space="preserve">was </w:t>
      </w:r>
      <w:r w:rsidR="00766B55" w:rsidRPr="00311B33">
        <w:rPr>
          <w:rFonts w:ascii="Times New Roman" w:hAnsi="Times New Roman" w:cs="Times New Roman"/>
          <w:lang w:val="en-GB"/>
        </w:rPr>
        <w:t xml:space="preserve">further </w:t>
      </w:r>
      <w:r w:rsidR="005A00E8" w:rsidRPr="00311B33">
        <w:rPr>
          <w:rFonts w:ascii="Times New Roman" w:hAnsi="Times New Roman" w:cs="Times New Roman"/>
          <w:lang w:val="en-GB"/>
        </w:rPr>
        <w:t xml:space="preserve">refined in </w:t>
      </w:r>
      <w:r w:rsidR="00C74657" w:rsidRPr="00311B33">
        <w:rPr>
          <w:rFonts w:ascii="Times New Roman" w:hAnsi="Times New Roman" w:cs="Times New Roman"/>
          <w:i/>
          <w:lang w:val="en-GB"/>
        </w:rPr>
        <w:t>Société Colas Est and Others v France</w:t>
      </w:r>
      <w:r w:rsidRPr="00311B33">
        <w:rPr>
          <w:rFonts w:ascii="Times New Roman" w:hAnsi="Times New Roman" w:cs="Times New Roman"/>
          <w:i/>
          <w:lang w:val="en-GB"/>
        </w:rPr>
        <w:t xml:space="preserve"> </w:t>
      </w:r>
      <w:r w:rsidR="009B1657" w:rsidRPr="00246F56">
        <w:rPr>
          <w:rFonts w:ascii="Times New Roman" w:hAnsi="Times New Roman" w:cs="Times New Roman"/>
          <w:lang w:val="en-GB"/>
        </w:rPr>
        <w:t>where</w:t>
      </w:r>
      <w:r w:rsidR="005A00E8" w:rsidRPr="00311B33">
        <w:rPr>
          <w:rFonts w:ascii="Times New Roman" w:hAnsi="Times New Roman" w:cs="Times New Roman"/>
          <w:lang w:val="en-GB"/>
        </w:rPr>
        <w:t xml:space="preserve"> </w:t>
      </w:r>
      <w:r w:rsidRPr="00311B33">
        <w:rPr>
          <w:rFonts w:ascii="Times New Roman" w:hAnsi="Times New Roman" w:cs="Times New Roman"/>
          <w:lang w:val="en-GB"/>
        </w:rPr>
        <w:t>t</w:t>
      </w:r>
      <w:r w:rsidR="005A00E8" w:rsidRPr="00311B33">
        <w:rPr>
          <w:rFonts w:ascii="Times New Roman" w:hAnsi="Times New Roman" w:cs="Times New Roman"/>
          <w:lang w:val="en-GB"/>
        </w:rPr>
        <w:t>he ECtHR stressed</w:t>
      </w:r>
      <w:r w:rsidR="00C74657" w:rsidRPr="00311B33">
        <w:rPr>
          <w:rFonts w:ascii="Times New Roman" w:hAnsi="Times New Roman" w:cs="Times New Roman"/>
          <w:lang w:val="en-GB"/>
        </w:rPr>
        <w:t xml:space="preserve"> that judicial authorisation is required </w:t>
      </w:r>
      <w:r w:rsidR="00766B55" w:rsidRPr="00311B33">
        <w:rPr>
          <w:rFonts w:ascii="Times New Roman" w:hAnsi="Times New Roman" w:cs="Times New Roman"/>
          <w:lang w:val="en-GB"/>
        </w:rPr>
        <w:t xml:space="preserve">prior to </w:t>
      </w:r>
      <w:r w:rsidR="00D1087A" w:rsidRPr="00311B33">
        <w:rPr>
          <w:rFonts w:ascii="Times New Roman" w:hAnsi="Times New Roman" w:cs="Times New Roman"/>
          <w:lang w:val="en-GB"/>
        </w:rPr>
        <w:t xml:space="preserve">any </w:t>
      </w:r>
      <w:r w:rsidR="00766B55" w:rsidRPr="00311B33">
        <w:rPr>
          <w:rFonts w:ascii="Times New Roman" w:hAnsi="Times New Roman" w:cs="Times New Roman"/>
          <w:lang w:val="en-GB"/>
        </w:rPr>
        <w:t xml:space="preserve">inspection </w:t>
      </w:r>
      <w:r w:rsidR="00D1087A" w:rsidRPr="00311B33">
        <w:rPr>
          <w:rFonts w:ascii="Times New Roman" w:hAnsi="Times New Roman" w:cs="Times New Roman"/>
          <w:lang w:val="en-GB"/>
        </w:rPr>
        <w:t xml:space="preserve">of </w:t>
      </w:r>
      <w:r w:rsidR="00766B55" w:rsidRPr="00311B33">
        <w:rPr>
          <w:rFonts w:ascii="Times New Roman" w:hAnsi="Times New Roman" w:cs="Times New Roman"/>
          <w:lang w:val="en-GB"/>
        </w:rPr>
        <w:t>business premises</w:t>
      </w:r>
      <w:r w:rsidR="00D1087A" w:rsidRPr="00311B33">
        <w:rPr>
          <w:rFonts w:ascii="Times New Roman" w:hAnsi="Times New Roman" w:cs="Times New Roman"/>
          <w:lang w:val="en-GB"/>
        </w:rPr>
        <w:t>, so as</w:t>
      </w:r>
      <w:r w:rsidR="00766B55" w:rsidRPr="00311B33">
        <w:rPr>
          <w:rFonts w:ascii="Times New Roman" w:hAnsi="Times New Roman" w:cs="Times New Roman"/>
          <w:lang w:val="en-GB"/>
        </w:rPr>
        <w:t xml:space="preserve"> </w:t>
      </w:r>
      <w:r w:rsidR="00D1087A" w:rsidRPr="00311B33">
        <w:rPr>
          <w:rFonts w:ascii="Times New Roman" w:hAnsi="Times New Roman" w:cs="Times New Roman"/>
          <w:lang w:val="en-GB"/>
        </w:rPr>
        <w:t xml:space="preserve">to avoid risks of </w:t>
      </w:r>
      <w:r w:rsidR="00C74657" w:rsidRPr="00311B33">
        <w:rPr>
          <w:rFonts w:ascii="Times New Roman" w:hAnsi="Times New Roman" w:cs="Times New Roman"/>
          <w:lang w:val="en-GB"/>
        </w:rPr>
        <w:t>abuse</w:t>
      </w:r>
      <w:r w:rsidR="00D1087A" w:rsidRPr="00311B33">
        <w:rPr>
          <w:rFonts w:ascii="Times New Roman" w:hAnsi="Times New Roman" w:cs="Times New Roman"/>
          <w:lang w:val="en-GB"/>
        </w:rPr>
        <w:t>s</w:t>
      </w:r>
      <w:r w:rsidR="00C74657" w:rsidRPr="00311B33">
        <w:rPr>
          <w:rFonts w:ascii="Times New Roman" w:hAnsi="Times New Roman" w:cs="Times New Roman"/>
          <w:lang w:val="en-GB"/>
        </w:rPr>
        <w:t>.</w:t>
      </w:r>
      <w:r w:rsidR="00612BFD" w:rsidRPr="00311B33">
        <w:rPr>
          <w:rStyle w:val="Appelnotedebasdep"/>
          <w:rFonts w:ascii="Times New Roman" w:hAnsi="Times New Roman" w:cs="Times New Roman"/>
          <w:lang w:val="en-GB"/>
        </w:rPr>
        <w:footnoteReference w:id="102"/>
      </w:r>
    </w:p>
    <w:p w:rsidR="005A00E8" w:rsidRPr="00311B33" w:rsidRDefault="005A00E8" w:rsidP="0082443E">
      <w:pPr>
        <w:jc w:val="both"/>
        <w:rPr>
          <w:rFonts w:ascii="Times New Roman" w:hAnsi="Times New Roman" w:cs="Times New Roman"/>
          <w:lang w:val="en-GB"/>
        </w:rPr>
      </w:pPr>
    </w:p>
    <w:p w:rsidR="00D1087A" w:rsidRPr="00311B33" w:rsidRDefault="00D1087A" w:rsidP="005A00E8">
      <w:pPr>
        <w:jc w:val="both"/>
        <w:rPr>
          <w:rFonts w:ascii="Times New Roman" w:hAnsi="Times New Roman" w:cs="Times New Roman"/>
          <w:lang w:val="en-GB"/>
        </w:rPr>
      </w:pPr>
      <w:r w:rsidRPr="00311B33">
        <w:rPr>
          <w:rFonts w:ascii="Times New Roman" w:hAnsi="Times New Roman" w:cs="Times New Roman"/>
          <w:lang w:val="en-GB"/>
        </w:rPr>
        <w:t xml:space="preserve">This case-law was </w:t>
      </w:r>
      <w:r w:rsidR="004C2082" w:rsidRPr="00311B33">
        <w:rPr>
          <w:rFonts w:ascii="Times New Roman" w:hAnsi="Times New Roman" w:cs="Times New Roman"/>
          <w:lang w:val="en-GB"/>
        </w:rPr>
        <w:t>later</w:t>
      </w:r>
      <w:r w:rsidRPr="00311B33">
        <w:rPr>
          <w:rFonts w:ascii="Times New Roman" w:hAnsi="Times New Roman" w:cs="Times New Roman"/>
          <w:lang w:val="en-GB"/>
        </w:rPr>
        <w:t xml:space="preserve"> transplanted in the EU legal </w:t>
      </w:r>
      <w:r w:rsidR="004C2082" w:rsidRPr="00311B33">
        <w:rPr>
          <w:rFonts w:ascii="Times New Roman" w:hAnsi="Times New Roman" w:cs="Times New Roman"/>
          <w:lang w:val="en-GB"/>
        </w:rPr>
        <w:t>system</w:t>
      </w:r>
      <w:r w:rsidRPr="00311B33">
        <w:rPr>
          <w:rFonts w:ascii="Times New Roman" w:hAnsi="Times New Roman" w:cs="Times New Roman"/>
          <w:lang w:val="en-GB"/>
        </w:rPr>
        <w:t xml:space="preserve">, but only in part. Like the ECtHR, the CJEU held in </w:t>
      </w:r>
      <w:r w:rsidR="008B0D3D" w:rsidRPr="00311B33">
        <w:rPr>
          <w:rFonts w:ascii="Times New Roman" w:hAnsi="Times New Roman" w:cs="Times New Roman"/>
          <w:i/>
          <w:lang w:val="en-GB"/>
        </w:rPr>
        <w:t>Roquette Frères</w:t>
      </w:r>
      <w:r w:rsidRPr="00311B33">
        <w:rPr>
          <w:rFonts w:ascii="Times New Roman" w:hAnsi="Times New Roman" w:cs="Times New Roman"/>
          <w:lang w:val="en-GB"/>
        </w:rPr>
        <w:t xml:space="preserve"> </w:t>
      </w:r>
      <w:r w:rsidR="005A00E8" w:rsidRPr="00311B33">
        <w:rPr>
          <w:rFonts w:ascii="Times New Roman" w:hAnsi="Times New Roman" w:cs="Times New Roman"/>
          <w:lang w:val="en-GB"/>
        </w:rPr>
        <w:t>that the protection of the home provided for in Article 8 ECHR may in certain circumstances be extended to business premises.</w:t>
      </w:r>
      <w:r w:rsidR="005A00E8" w:rsidRPr="00311B33">
        <w:rPr>
          <w:rStyle w:val="Appelnotedebasdep"/>
          <w:rFonts w:ascii="Times New Roman" w:hAnsi="Times New Roman" w:cs="Times New Roman"/>
          <w:lang w:val="en-GB"/>
        </w:rPr>
        <w:footnoteReference w:id="103"/>
      </w:r>
      <w:r w:rsidR="005A00E8" w:rsidRPr="00311B33">
        <w:rPr>
          <w:rFonts w:ascii="Times New Roman" w:hAnsi="Times New Roman" w:cs="Times New Roman"/>
          <w:lang w:val="en-GB"/>
        </w:rPr>
        <w:t xml:space="preserve"> </w:t>
      </w:r>
      <w:r w:rsidR="00E10278" w:rsidRPr="00311B33">
        <w:rPr>
          <w:rFonts w:ascii="Times New Roman" w:hAnsi="Times New Roman" w:cs="Times New Roman"/>
          <w:lang w:val="en-GB"/>
        </w:rPr>
        <w:t xml:space="preserve">However, the CJEU strayed from the </w:t>
      </w:r>
      <w:r w:rsidR="00E5506D" w:rsidRPr="00311B33">
        <w:rPr>
          <w:rFonts w:ascii="Times New Roman" w:hAnsi="Times New Roman" w:cs="Times New Roman"/>
          <w:lang w:val="en-GB"/>
        </w:rPr>
        <w:t>ECtHR case law</w:t>
      </w:r>
      <w:r w:rsidR="00E10278" w:rsidRPr="00311B33">
        <w:rPr>
          <w:rFonts w:ascii="Times New Roman" w:hAnsi="Times New Roman" w:cs="Times New Roman"/>
          <w:lang w:val="en-GB"/>
        </w:rPr>
        <w:t xml:space="preserve">, in holding </w:t>
      </w:r>
      <w:r w:rsidR="00E5506D" w:rsidRPr="00311B33">
        <w:rPr>
          <w:rFonts w:ascii="Times New Roman" w:hAnsi="Times New Roman" w:cs="Times New Roman"/>
          <w:lang w:val="en-GB"/>
        </w:rPr>
        <w:t xml:space="preserve">that </w:t>
      </w:r>
      <w:r w:rsidR="00724F24" w:rsidRPr="00311B33">
        <w:rPr>
          <w:rFonts w:ascii="Times New Roman" w:hAnsi="Times New Roman" w:cs="Times New Roman"/>
          <w:lang w:val="en-GB"/>
        </w:rPr>
        <w:t xml:space="preserve">the </w:t>
      </w:r>
      <w:r w:rsidRPr="00311B33">
        <w:rPr>
          <w:rFonts w:ascii="Times New Roman" w:hAnsi="Times New Roman" w:cs="Times New Roman"/>
          <w:lang w:val="en-GB"/>
        </w:rPr>
        <w:t xml:space="preserve">possibility of </w:t>
      </w:r>
      <w:r w:rsidR="00724F24" w:rsidRPr="00311B33">
        <w:rPr>
          <w:rFonts w:ascii="Times New Roman" w:hAnsi="Times New Roman" w:cs="Times New Roman"/>
          <w:lang w:val="en-GB"/>
        </w:rPr>
        <w:t xml:space="preserve">public </w:t>
      </w:r>
      <w:r w:rsidR="005A00E8" w:rsidRPr="00311B33">
        <w:rPr>
          <w:rFonts w:ascii="Times New Roman" w:hAnsi="Times New Roman" w:cs="Times New Roman"/>
          <w:lang w:val="en-GB"/>
        </w:rPr>
        <w:t xml:space="preserve">interference established by Article 8(2) ECHR </w:t>
      </w:r>
      <w:r w:rsidR="00E5506D" w:rsidRPr="00311B33">
        <w:rPr>
          <w:rFonts w:ascii="Times New Roman" w:hAnsi="Times New Roman" w:cs="Times New Roman"/>
          <w:lang w:val="en-GB"/>
        </w:rPr>
        <w:t>“</w:t>
      </w:r>
      <w:r w:rsidR="009B1657" w:rsidRPr="00246F56">
        <w:rPr>
          <w:rFonts w:ascii="Times New Roman" w:hAnsi="Times New Roman" w:cs="Times New Roman"/>
          <w:i/>
          <w:lang w:val="en-GB"/>
        </w:rPr>
        <w:t>might well be more far-reaching where professional or business activities or premises were involved than would otherwise be the case</w:t>
      </w:r>
      <w:r w:rsidR="00E5506D" w:rsidRPr="00311B33">
        <w:rPr>
          <w:rFonts w:ascii="Times New Roman" w:hAnsi="Times New Roman" w:cs="Times New Roman"/>
          <w:lang w:val="en-GB"/>
        </w:rPr>
        <w:t>”</w:t>
      </w:r>
      <w:r w:rsidR="005A00E8" w:rsidRPr="00311B33">
        <w:rPr>
          <w:rFonts w:ascii="Times New Roman" w:hAnsi="Times New Roman" w:cs="Times New Roman"/>
          <w:lang w:val="en-GB"/>
        </w:rPr>
        <w:t>.</w:t>
      </w:r>
      <w:r w:rsidR="005A00E8" w:rsidRPr="00311B33">
        <w:rPr>
          <w:rStyle w:val="Appelnotedebasdep"/>
          <w:rFonts w:ascii="Times New Roman" w:hAnsi="Times New Roman" w:cs="Times New Roman"/>
          <w:lang w:val="en-GB"/>
        </w:rPr>
        <w:footnoteReference w:id="104"/>
      </w:r>
      <w:r w:rsidR="005A00E8" w:rsidRPr="00311B33">
        <w:rPr>
          <w:rFonts w:ascii="Times New Roman" w:hAnsi="Times New Roman" w:cs="Times New Roman"/>
          <w:lang w:val="en-GB"/>
        </w:rPr>
        <w:t xml:space="preserve"> </w:t>
      </w:r>
      <w:r w:rsidR="00E10278" w:rsidRPr="00311B33">
        <w:rPr>
          <w:rFonts w:ascii="Times New Roman" w:hAnsi="Times New Roman" w:cs="Times New Roman"/>
          <w:lang w:val="en-GB"/>
        </w:rPr>
        <w:t>A</w:t>
      </w:r>
      <w:r w:rsidRPr="00311B33">
        <w:rPr>
          <w:rFonts w:ascii="Times New Roman" w:hAnsi="Times New Roman" w:cs="Times New Roman"/>
          <w:lang w:val="en-GB"/>
        </w:rPr>
        <w:t>ccording to the CJEU</w:t>
      </w:r>
      <w:r w:rsidR="00E10278" w:rsidRPr="00311B33">
        <w:rPr>
          <w:rFonts w:ascii="Times New Roman" w:hAnsi="Times New Roman" w:cs="Times New Roman"/>
          <w:lang w:val="en-GB"/>
        </w:rPr>
        <w:t>,</w:t>
      </w:r>
      <w:r w:rsidRPr="00311B33">
        <w:rPr>
          <w:rFonts w:ascii="Times New Roman" w:hAnsi="Times New Roman" w:cs="Times New Roman"/>
          <w:lang w:val="en-GB"/>
        </w:rPr>
        <w:t xml:space="preserve"> </w:t>
      </w:r>
      <w:r w:rsidR="00724F24" w:rsidRPr="00311B33">
        <w:rPr>
          <w:rFonts w:ascii="Times New Roman" w:hAnsi="Times New Roman" w:cs="Times New Roman"/>
          <w:lang w:val="en-GB"/>
        </w:rPr>
        <w:t xml:space="preserve">business premises </w:t>
      </w:r>
      <w:r w:rsidRPr="00311B33">
        <w:rPr>
          <w:rFonts w:ascii="Times New Roman" w:hAnsi="Times New Roman" w:cs="Times New Roman"/>
          <w:lang w:val="en-GB"/>
        </w:rPr>
        <w:t>can</w:t>
      </w:r>
      <w:r w:rsidR="00724F24" w:rsidRPr="00311B33">
        <w:rPr>
          <w:rFonts w:ascii="Times New Roman" w:hAnsi="Times New Roman" w:cs="Times New Roman"/>
          <w:lang w:val="en-GB"/>
        </w:rPr>
        <w:t xml:space="preserve"> be submitted to a weaker protection than </w:t>
      </w:r>
      <w:r w:rsidRPr="00311B33">
        <w:rPr>
          <w:rFonts w:ascii="Times New Roman" w:hAnsi="Times New Roman" w:cs="Times New Roman"/>
          <w:lang w:val="en-GB"/>
        </w:rPr>
        <w:t xml:space="preserve">private </w:t>
      </w:r>
      <w:r w:rsidR="00724F24" w:rsidRPr="00311B33">
        <w:rPr>
          <w:rFonts w:ascii="Times New Roman" w:hAnsi="Times New Roman" w:cs="Times New Roman"/>
          <w:lang w:val="en-GB"/>
        </w:rPr>
        <w:t>homes.</w:t>
      </w:r>
    </w:p>
    <w:p w:rsidR="00D1087A" w:rsidRPr="00311B33" w:rsidRDefault="00D1087A" w:rsidP="005A00E8">
      <w:pPr>
        <w:jc w:val="both"/>
        <w:rPr>
          <w:rFonts w:ascii="Times New Roman" w:hAnsi="Times New Roman" w:cs="Times New Roman"/>
          <w:lang w:val="en-GB"/>
        </w:rPr>
      </w:pPr>
    </w:p>
    <w:p w:rsidR="008E625A" w:rsidRPr="00311B33" w:rsidRDefault="00724F24" w:rsidP="005A00E8">
      <w:pPr>
        <w:jc w:val="both"/>
        <w:rPr>
          <w:rFonts w:ascii="Times New Roman" w:hAnsi="Times New Roman" w:cs="Times New Roman"/>
          <w:lang w:val="en-GB"/>
        </w:rPr>
      </w:pPr>
      <w:r w:rsidRPr="00311B33">
        <w:rPr>
          <w:rFonts w:ascii="Times New Roman" w:hAnsi="Times New Roman" w:cs="Times New Roman"/>
          <w:lang w:val="en-GB"/>
        </w:rPr>
        <w:t xml:space="preserve">Moreover, </w:t>
      </w:r>
      <w:r w:rsidR="005A00E8" w:rsidRPr="00311B33">
        <w:rPr>
          <w:rFonts w:ascii="Times New Roman" w:hAnsi="Times New Roman" w:cs="Times New Roman"/>
          <w:lang w:val="en-GB"/>
        </w:rPr>
        <w:t xml:space="preserve">the </w:t>
      </w:r>
      <w:r w:rsidRPr="00311B33">
        <w:rPr>
          <w:rFonts w:ascii="Times New Roman" w:hAnsi="Times New Roman" w:cs="Times New Roman"/>
          <w:lang w:val="en-GB"/>
        </w:rPr>
        <w:t xml:space="preserve">CJEU </w:t>
      </w:r>
      <w:r w:rsidR="00D1087A" w:rsidRPr="00311B33">
        <w:rPr>
          <w:rFonts w:ascii="Times New Roman" w:hAnsi="Times New Roman" w:cs="Times New Roman"/>
          <w:lang w:val="en-GB"/>
        </w:rPr>
        <w:t>further departed from the ECtHR case law</w:t>
      </w:r>
      <w:r w:rsidR="00E10278" w:rsidRPr="00311B33">
        <w:rPr>
          <w:rFonts w:ascii="Times New Roman" w:hAnsi="Times New Roman" w:cs="Times New Roman"/>
          <w:lang w:val="en-GB"/>
        </w:rPr>
        <w:t>.</w:t>
      </w:r>
      <w:r w:rsidR="00D1087A" w:rsidRPr="00311B33">
        <w:rPr>
          <w:rFonts w:ascii="Times New Roman" w:hAnsi="Times New Roman" w:cs="Times New Roman"/>
          <w:lang w:val="en-GB"/>
        </w:rPr>
        <w:t xml:space="preserve"> </w:t>
      </w:r>
      <w:r w:rsidR="00E10278" w:rsidRPr="00311B33">
        <w:rPr>
          <w:rFonts w:ascii="Times New Roman" w:hAnsi="Times New Roman" w:cs="Times New Roman"/>
          <w:lang w:val="en-GB"/>
        </w:rPr>
        <w:t xml:space="preserve">It held </w:t>
      </w:r>
      <w:r w:rsidR="00D1087A" w:rsidRPr="00311B33">
        <w:rPr>
          <w:rFonts w:ascii="Times New Roman" w:hAnsi="Times New Roman" w:cs="Times New Roman"/>
          <w:lang w:val="en-GB"/>
        </w:rPr>
        <w:t xml:space="preserve">that </w:t>
      </w:r>
      <w:r w:rsidR="005A00E8" w:rsidRPr="00311B33">
        <w:rPr>
          <w:rFonts w:ascii="Times New Roman" w:hAnsi="Times New Roman" w:cs="Times New Roman"/>
          <w:lang w:val="en-GB"/>
        </w:rPr>
        <w:t xml:space="preserve">judicial authorisation </w:t>
      </w:r>
      <w:r w:rsidR="00D1087A" w:rsidRPr="00311B33">
        <w:rPr>
          <w:rFonts w:ascii="Times New Roman" w:hAnsi="Times New Roman" w:cs="Times New Roman"/>
          <w:lang w:val="en-GB"/>
        </w:rPr>
        <w:t xml:space="preserve">is not </w:t>
      </w:r>
      <w:r w:rsidRPr="00311B33">
        <w:rPr>
          <w:rFonts w:ascii="Times New Roman" w:hAnsi="Times New Roman" w:cs="Times New Roman"/>
          <w:lang w:val="en-GB"/>
        </w:rPr>
        <w:t xml:space="preserve">a </w:t>
      </w:r>
      <w:r w:rsidR="005A00E8" w:rsidRPr="00311B33">
        <w:rPr>
          <w:rFonts w:ascii="Times New Roman" w:hAnsi="Times New Roman" w:cs="Times New Roman"/>
          <w:lang w:val="en-GB"/>
        </w:rPr>
        <w:t>necessary</w:t>
      </w:r>
      <w:r w:rsidRPr="00311B33">
        <w:rPr>
          <w:rFonts w:ascii="Times New Roman" w:hAnsi="Times New Roman" w:cs="Times New Roman"/>
          <w:lang w:val="en-GB"/>
        </w:rPr>
        <w:t xml:space="preserve"> prerequisite for inspections</w:t>
      </w:r>
      <w:r w:rsidR="005A00E8" w:rsidRPr="00311B33">
        <w:rPr>
          <w:rFonts w:ascii="Times New Roman" w:hAnsi="Times New Roman" w:cs="Times New Roman"/>
          <w:lang w:val="en-GB"/>
        </w:rPr>
        <w:t xml:space="preserve">, unless </w:t>
      </w:r>
      <w:r w:rsidR="00D1087A" w:rsidRPr="00311B33">
        <w:rPr>
          <w:rFonts w:ascii="Times New Roman" w:hAnsi="Times New Roman" w:cs="Times New Roman"/>
          <w:lang w:val="en-GB"/>
        </w:rPr>
        <w:t xml:space="preserve">national law so </w:t>
      </w:r>
      <w:r w:rsidR="005A00E8" w:rsidRPr="00311B33">
        <w:rPr>
          <w:rFonts w:ascii="Times New Roman" w:hAnsi="Times New Roman" w:cs="Times New Roman"/>
          <w:lang w:val="en-GB"/>
        </w:rPr>
        <w:t>requires</w:t>
      </w:r>
      <w:r w:rsidRPr="00311B33">
        <w:rPr>
          <w:rFonts w:ascii="Times New Roman" w:hAnsi="Times New Roman" w:cs="Times New Roman"/>
          <w:lang w:val="en-GB"/>
        </w:rPr>
        <w:t>.</w:t>
      </w:r>
      <w:r w:rsidR="004C2082" w:rsidRPr="00311B33">
        <w:rPr>
          <w:rFonts w:ascii="Times New Roman" w:hAnsi="Times New Roman" w:cs="Times New Roman"/>
          <w:lang w:val="en-GB"/>
        </w:rPr>
        <w:t xml:space="preserve"> </w:t>
      </w:r>
      <w:r w:rsidR="009B1657" w:rsidRPr="00246F56">
        <w:rPr>
          <w:rFonts w:ascii="Times New Roman" w:hAnsi="Times New Roman" w:cs="Times New Roman"/>
          <w:i/>
          <w:lang w:val="en-GB"/>
        </w:rPr>
        <w:t>Roquette Frères</w:t>
      </w:r>
      <w:r w:rsidRPr="00311B33">
        <w:rPr>
          <w:rFonts w:ascii="Times New Roman" w:hAnsi="Times New Roman" w:cs="Times New Roman"/>
          <w:lang w:val="en-GB"/>
        </w:rPr>
        <w:t xml:space="preserve"> </w:t>
      </w:r>
      <w:r w:rsidR="005A00E8" w:rsidRPr="00311B33">
        <w:rPr>
          <w:rFonts w:ascii="Times New Roman" w:hAnsi="Times New Roman" w:cs="Times New Roman"/>
          <w:lang w:val="en-GB"/>
        </w:rPr>
        <w:t>was later codified in Regulation 1/2003.</w:t>
      </w:r>
      <w:r w:rsidR="005A00E8" w:rsidRPr="00311B33">
        <w:rPr>
          <w:rStyle w:val="Appelnotedebasdep"/>
          <w:rFonts w:ascii="Times New Roman" w:hAnsi="Times New Roman" w:cs="Times New Roman"/>
          <w:lang w:val="en-GB"/>
        </w:rPr>
        <w:footnoteReference w:id="105"/>
      </w:r>
    </w:p>
    <w:p w:rsidR="008E625A" w:rsidRPr="00311B33" w:rsidRDefault="008E625A" w:rsidP="005A00E8">
      <w:pPr>
        <w:jc w:val="both"/>
        <w:rPr>
          <w:rFonts w:ascii="Times New Roman" w:hAnsi="Times New Roman" w:cs="Times New Roman"/>
          <w:lang w:val="en-GB"/>
        </w:rPr>
      </w:pPr>
    </w:p>
    <w:p w:rsidR="005A00E8" w:rsidRPr="00311B33" w:rsidRDefault="009B1657" w:rsidP="00E10278">
      <w:pPr>
        <w:jc w:val="both"/>
        <w:rPr>
          <w:rFonts w:ascii="Times New Roman" w:hAnsi="Times New Roman" w:cs="Times New Roman"/>
          <w:lang w:val="en-GB"/>
        </w:rPr>
      </w:pPr>
      <w:r w:rsidRPr="00246F56">
        <w:rPr>
          <w:rFonts w:ascii="Times New Roman" w:hAnsi="Times New Roman" w:cs="Times New Roman"/>
          <w:b/>
          <w:lang w:val="en-GB"/>
        </w:rPr>
        <w:t>Sanctions</w:t>
      </w:r>
      <w:r w:rsidR="00106EDF" w:rsidRPr="00311B33">
        <w:rPr>
          <w:rFonts w:ascii="Times New Roman" w:hAnsi="Times New Roman" w:cs="Times New Roman"/>
          <w:lang w:val="en-GB"/>
        </w:rPr>
        <w:t xml:space="preserve"> –</w:t>
      </w:r>
      <w:r w:rsidR="00724F24" w:rsidRPr="00311B33">
        <w:rPr>
          <w:rFonts w:ascii="Times New Roman" w:hAnsi="Times New Roman" w:cs="Times New Roman"/>
          <w:lang w:val="en-GB"/>
        </w:rPr>
        <w:t xml:space="preserve"> </w:t>
      </w:r>
      <w:r w:rsidR="004C2082" w:rsidRPr="00311B33">
        <w:rPr>
          <w:rFonts w:ascii="Times New Roman" w:hAnsi="Times New Roman" w:cs="Times New Roman"/>
          <w:lang w:val="en-GB"/>
        </w:rPr>
        <w:t xml:space="preserve">Violations of the right to integrity can lead to the annulment of the infringing measures. </w:t>
      </w:r>
      <w:r w:rsidR="00E5506D" w:rsidRPr="00311B33">
        <w:rPr>
          <w:rFonts w:ascii="Times New Roman" w:hAnsi="Times New Roman" w:cs="Times New Roman"/>
          <w:lang w:val="en-GB"/>
        </w:rPr>
        <w:t>In</w:t>
      </w:r>
      <w:r w:rsidRPr="00246F56">
        <w:rPr>
          <w:rFonts w:ascii="Times New Roman" w:hAnsi="Times New Roman" w:cs="Times New Roman"/>
          <w:i/>
          <w:lang w:val="en-GB"/>
        </w:rPr>
        <w:t xml:space="preserve"> Nexans</w:t>
      </w:r>
      <w:r w:rsidR="00E5506D" w:rsidRPr="00311B33">
        <w:rPr>
          <w:rFonts w:ascii="Times New Roman" w:hAnsi="Times New Roman" w:cs="Times New Roman"/>
          <w:lang w:val="en-GB"/>
        </w:rPr>
        <w:t xml:space="preserve">, </w:t>
      </w:r>
      <w:r w:rsidR="004C2082" w:rsidRPr="00311B33">
        <w:rPr>
          <w:rFonts w:ascii="Times New Roman" w:hAnsi="Times New Roman" w:cs="Times New Roman"/>
          <w:lang w:val="en-GB"/>
        </w:rPr>
        <w:t xml:space="preserve">for instance, </w:t>
      </w:r>
      <w:r w:rsidR="00724F24" w:rsidRPr="00311B33">
        <w:rPr>
          <w:rFonts w:ascii="Times New Roman" w:hAnsi="Times New Roman" w:cs="Times New Roman"/>
          <w:lang w:val="en-GB"/>
        </w:rPr>
        <w:t xml:space="preserve">the General Court </w:t>
      </w:r>
      <w:r w:rsidR="00EE5AEE" w:rsidRPr="00311B33">
        <w:rPr>
          <w:rFonts w:ascii="Times New Roman" w:hAnsi="Times New Roman" w:cs="Times New Roman"/>
          <w:lang w:val="en-GB"/>
        </w:rPr>
        <w:t xml:space="preserve">annulled the </w:t>
      </w:r>
      <w:r w:rsidR="004C2082" w:rsidRPr="00311B33">
        <w:rPr>
          <w:rFonts w:ascii="Times New Roman" w:hAnsi="Times New Roman" w:cs="Times New Roman"/>
          <w:lang w:val="en-GB"/>
        </w:rPr>
        <w:t xml:space="preserve">Commission’s </w:t>
      </w:r>
      <w:r w:rsidR="00EE5AEE" w:rsidRPr="00311B33">
        <w:rPr>
          <w:rFonts w:ascii="Times New Roman" w:hAnsi="Times New Roman" w:cs="Times New Roman"/>
          <w:lang w:val="en-GB"/>
        </w:rPr>
        <w:t>decision</w:t>
      </w:r>
      <w:r w:rsidR="004C2082" w:rsidRPr="00311B33">
        <w:rPr>
          <w:rFonts w:ascii="Times New Roman" w:hAnsi="Times New Roman" w:cs="Times New Roman"/>
          <w:lang w:val="en-GB"/>
        </w:rPr>
        <w:t xml:space="preserve"> ordering an inspection. It found that </w:t>
      </w:r>
      <w:r w:rsidR="00EE5AEE" w:rsidRPr="00311B33">
        <w:rPr>
          <w:rFonts w:ascii="Times New Roman" w:hAnsi="Times New Roman" w:cs="Times New Roman"/>
          <w:lang w:val="en-GB"/>
        </w:rPr>
        <w:t>the Commission</w:t>
      </w:r>
      <w:r w:rsidR="004C2082" w:rsidRPr="00311B33">
        <w:rPr>
          <w:rFonts w:ascii="Times New Roman" w:hAnsi="Times New Roman" w:cs="Times New Roman"/>
          <w:lang w:val="en-GB"/>
        </w:rPr>
        <w:t xml:space="preserve"> had not </w:t>
      </w:r>
      <w:r w:rsidR="00EE5AEE" w:rsidRPr="00311B33">
        <w:rPr>
          <w:rFonts w:ascii="Times New Roman" w:hAnsi="Times New Roman" w:cs="Times New Roman"/>
          <w:lang w:val="en-GB"/>
        </w:rPr>
        <w:t xml:space="preserve">precisely </w:t>
      </w:r>
      <w:r w:rsidR="004C2082" w:rsidRPr="00311B33">
        <w:rPr>
          <w:rFonts w:ascii="Times New Roman" w:hAnsi="Times New Roman" w:cs="Times New Roman"/>
          <w:lang w:val="en-GB"/>
        </w:rPr>
        <w:t xml:space="preserve">delineated </w:t>
      </w:r>
      <w:r w:rsidR="00EE5AEE" w:rsidRPr="00311B33">
        <w:rPr>
          <w:rFonts w:ascii="Times New Roman" w:hAnsi="Times New Roman" w:cs="Times New Roman"/>
          <w:lang w:val="en-GB"/>
        </w:rPr>
        <w:t xml:space="preserve">the products </w:t>
      </w:r>
      <w:r w:rsidR="00106EDF" w:rsidRPr="00311B33">
        <w:rPr>
          <w:rFonts w:ascii="Times New Roman" w:hAnsi="Times New Roman" w:cs="Times New Roman"/>
          <w:lang w:val="en-GB"/>
        </w:rPr>
        <w:t>targeted by the investigation</w:t>
      </w:r>
      <w:r w:rsidR="00EE5AEE" w:rsidRPr="00311B33">
        <w:rPr>
          <w:rFonts w:ascii="Times New Roman" w:hAnsi="Times New Roman" w:cs="Times New Roman"/>
          <w:lang w:val="en-GB"/>
        </w:rPr>
        <w:t xml:space="preserve">. </w:t>
      </w:r>
      <w:r w:rsidR="00106EDF" w:rsidRPr="00311B33">
        <w:rPr>
          <w:rFonts w:ascii="Times New Roman" w:hAnsi="Times New Roman" w:cs="Times New Roman"/>
          <w:lang w:val="en-GB"/>
        </w:rPr>
        <w:t xml:space="preserve">According to the Court, the Commission </w:t>
      </w:r>
      <w:r w:rsidR="00EE5AEE" w:rsidRPr="00311B33">
        <w:rPr>
          <w:rFonts w:ascii="Times New Roman" w:hAnsi="Times New Roman" w:cs="Times New Roman"/>
          <w:lang w:val="en-GB"/>
        </w:rPr>
        <w:t xml:space="preserve">can only order inspections </w:t>
      </w:r>
      <w:r w:rsidR="004C2082" w:rsidRPr="00311B33">
        <w:rPr>
          <w:rFonts w:ascii="Times New Roman" w:hAnsi="Times New Roman" w:cs="Times New Roman"/>
          <w:lang w:val="en-GB"/>
        </w:rPr>
        <w:t xml:space="preserve">if </w:t>
      </w:r>
      <w:r w:rsidR="00EE5AEE" w:rsidRPr="00311B33">
        <w:rPr>
          <w:rFonts w:ascii="Times New Roman" w:hAnsi="Times New Roman" w:cs="Times New Roman"/>
          <w:lang w:val="en-GB"/>
        </w:rPr>
        <w:t xml:space="preserve">it has a </w:t>
      </w:r>
      <w:r w:rsidR="00D80949">
        <w:rPr>
          <w:rFonts w:ascii="Times New Roman" w:hAnsi="Times New Roman" w:cs="Times New Roman"/>
          <w:lang w:val="en-GB"/>
        </w:rPr>
        <w:t>sound</w:t>
      </w:r>
      <w:r w:rsidR="00D80949" w:rsidRPr="00311B33">
        <w:rPr>
          <w:rFonts w:ascii="Times New Roman" w:hAnsi="Times New Roman" w:cs="Times New Roman"/>
          <w:lang w:val="en-GB"/>
        </w:rPr>
        <w:t xml:space="preserve"> </w:t>
      </w:r>
      <w:r w:rsidR="004C2082" w:rsidRPr="00311B33">
        <w:rPr>
          <w:rFonts w:ascii="Times New Roman" w:hAnsi="Times New Roman" w:cs="Times New Roman"/>
          <w:lang w:val="en-GB"/>
        </w:rPr>
        <w:t xml:space="preserve">legal </w:t>
      </w:r>
      <w:r w:rsidR="00EE5AEE" w:rsidRPr="00311B33">
        <w:rPr>
          <w:rFonts w:ascii="Times New Roman" w:hAnsi="Times New Roman" w:cs="Times New Roman"/>
          <w:lang w:val="en-GB"/>
        </w:rPr>
        <w:t xml:space="preserve">basis. </w:t>
      </w:r>
      <w:r w:rsidR="004C2082" w:rsidRPr="00311B33">
        <w:rPr>
          <w:rFonts w:ascii="Times New Roman" w:hAnsi="Times New Roman" w:cs="Times New Roman"/>
          <w:lang w:val="en-GB"/>
        </w:rPr>
        <w:t xml:space="preserve">A decision that is too abstract does not meet that standard. With this, risks of </w:t>
      </w:r>
      <w:r w:rsidR="00106EDF" w:rsidRPr="00311B33">
        <w:rPr>
          <w:rFonts w:ascii="Times New Roman" w:hAnsi="Times New Roman" w:cs="Times New Roman"/>
          <w:lang w:val="en-GB"/>
        </w:rPr>
        <w:t>“</w:t>
      </w:r>
      <w:r w:rsidRPr="00246F56">
        <w:rPr>
          <w:rFonts w:ascii="Times New Roman" w:hAnsi="Times New Roman" w:cs="Times New Roman"/>
          <w:i/>
          <w:lang w:val="en-GB"/>
        </w:rPr>
        <w:t>fishing expeditions</w:t>
      </w:r>
      <w:r w:rsidR="00106EDF" w:rsidRPr="00311B33">
        <w:rPr>
          <w:rFonts w:ascii="Times New Roman" w:hAnsi="Times New Roman" w:cs="Times New Roman"/>
          <w:lang w:val="en-GB"/>
        </w:rPr>
        <w:t>”</w:t>
      </w:r>
      <w:r w:rsidR="004C2082" w:rsidRPr="00311B33">
        <w:rPr>
          <w:rFonts w:ascii="Times New Roman" w:hAnsi="Times New Roman" w:cs="Times New Roman"/>
          <w:lang w:val="en-GB"/>
        </w:rPr>
        <w:t xml:space="preserve"> have decreased</w:t>
      </w:r>
      <w:r w:rsidR="00106EDF" w:rsidRPr="00311B33">
        <w:rPr>
          <w:rFonts w:ascii="Times New Roman" w:hAnsi="Times New Roman" w:cs="Times New Roman"/>
          <w:lang w:val="en-GB"/>
        </w:rPr>
        <w:t>.</w:t>
      </w:r>
      <w:r w:rsidR="00A86221" w:rsidRPr="00311B33">
        <w:rPr>
          <w:rStyle w:val="Appelnotedebasdep"/>
          <w:rFonts w:ascii="Times New Roman" w:hAnsi="Times New Roman" w:cs="Times New Roman"/>
          <w:lang w:val="en-GB"/>
        </w:rPr>
        <w:footnoteReference w:id="106"/>
      </w:r>
      <w:r w:rsidR="00106EDF" w:rsidRPr="00311B33">
        <w:rPr>
          <w:rFonts w:ascii="Times New Roman" w:hAnsi="Times New Roman" w:cs="Times New Roman"/>
          <w:lang w:val="en-GB"/>
        </w:rPr>
        <w:t xml:space="preserve"> </w:t>
      </w:r>
      <w:r w:rsidR="004C2082" w:rsidRPr="00311B33">
        <w:rPr>
          <w:rFonts w:ascii="Times New Roman" w:hAnsi="Times New Roman" w:cs="Times New Roman"/>
          <w:lang w:val="en-GB"/>
        </w:rPr>
        <w:t>U</w:t>
      </w:r>
      <w:r w:rsidR="00EE5AEE" w:rsidRPr="00311B33">
        <w:rPr>
          <w:rFonts w:ascii="Times New Roman" w:hAnsi="Times New Roman" w:cs="Times New Roman"/>
          <w:lang w:val="en-GB"/>
        </w:rPr>
        <w:t xml:space="preserve">nfortunately, </w:t>
      </w:r>
      <w:r w:rsidR="004C2082" w:rsidRPr="00311B33">
        <w:rPr>
          <w:rFonts w:ascii="Times New Roman" w:hAnsi="Times New Roman" w:cs="Times New Roman"/>
          <w:lang w:val="en-GB"/>
        </w:rPr>
        <w:t xml:space="preserve">however, </w:t>
      </w:r>
      <w:r w:rsidR="00106EDF" w:rsidRPr="00311B33">
        <w:rPr>
          <w:rFonts w:ascii="Times New Roman" w:hAnsi="Times New Roman" w:cs="Times New Roman"/>
          <w:lang w:val="en-GB"/>
        </w:rPr>
        <w:t xml:space="preserve">the Court </w:t>
      </w:r>
      <w:r w:rsidR="00EE5AEE" w:rsidRPr="00311B33">
        <w:rPr>
          <w:rFonts w:ascii="Times New Roman" w:hAnsi="Times New Roman" w:cs="Times New Roman"/>
          <w:lang w:val="en-GB"/>
        </w:rPr>
        <w:t xml:space="preserve">did </w:t>
      </w:r>
      <w:r w:rsidR="008B4AAA">
        <w:rPr>
          <w:rFonts w:ascii="Times New Roman" w:hAnsi="Times New Roman" w:cs="Times New Roman"/>
          <w:lang w:val="en-GB"/>
        </w:rPr>
        <w:t xml:space="preserve">not </w:t>
      </w:r>
      <w:r w:rsidR="004C2082" w:rsidRPr="00311B33">
        <w:rPr>
          <w:rFonts w:ascii="Times New Roman" w:hAnsi="Times New Roman" w:cs="Times New Roman"/>
          <w:lang w:val="en-GB"/>
        </w:rPr>
        <w:t xml:space="preserve">elaborate on the status of the evidence that has been </w:t>
      </w:r>
      <w:r w:rsidR="00EE5AEE" w:rsidRPr="00311B33">
        <w:rPr>
          <w:rFonts w:ascii="Times New Roman" w:hAnsi="Times New Roman" w:cs="Times New Roman"/>
          <w:lang w:val="en-GB"/>
        </w:rPr>
        <w:t xml:space="preserve">illicitly </w:t>
      </w:r>
      <w:r w:rsidR="004C2082" w:rsidRPr="00311B33">
        <w:rPr>
          <w:rFonts w:ascii="Times New Roman" w:hAnsi="Times New Roman" w:cs="Times New Roman"/>
          <w:lang w:val="en-GB"/>
        </w:rPr>
        <w:t>collected</w:t>
      </w:r>
      <w:r w:rsidR="00EE5AEE" w:rsidRPr="00311B33">
        <w:rPr>
          <w:rFonts w:ascii="Times New Roman" w:hAnsi="Times New Roman" w:cs="Times New Roman"/>
          <w:lang w:val="en-GB"/>
        </w:rPr>
        <w:t>.</w:t>
      </w:r>
    </w:p>
    <w:p w:rsidR="005A00E8" w:rsidRDefault="005A00E8" w:rsidP="0082443E">
      <w:pPr>
        <w:jc w:val="both"/>
        <w:rPr>
          <w:rFonts w:ascii="Times New Roman" w:hAnsi="Times New Roman" w:cs="Times New Roman"/>
          <w:lang w:val="en-GB"/>
        </w:rPr>
      </w:pPr>
    </w:p>
    <w:p w:rsidR="00A37984" w:rsidRPr="00311B33" w:rsidRDefault="00A37984" w:rsidP="0082443E">
      <w:pPr>
        <w:jc w:val="both"/>
        <w:rPr>
          <w:rFonts w:ascii="Times New Roman" w:hAnsi="Times New Roman" w:cs="Times New Roman"/>
          <w:lang w:val="en-GB"/>
        </w:rPr>
      </w:pPr>
    </w:p>
    <w:p w:rsidR="009A4463" w:rsidRPr="00311B33" w:rsidRDefault="00FF1FE7" w:rsidP="0082443E">
      <w:pPr>
        <w:jc w:val="both"/>
        <w:rPr>
          <w:rFonts w:ascii="Times New Roman" w:hAnsi="Times New Roman" w:cs="Times New Roman"/>
          <w:b/>
          <w:u w:val="single"/>
          <w:lang w:val="en-GB"/>
        </w:rPr>
      </w:pPr>
      <w:r w:rsidRPr="00311B33">
        <w:rPr>
          <w:rFonts w:ascii="Times New Roman" w:hAnsi="Times New Roman" w:cs="Times New Roman"/>
          <w:b/>
          <w:lang w:val="en-GB"/>
        </w:rPr>
        <w:t>VI.</w:t>
      </w:r>
      <w:r w:rsidRPr="00311B33">
        <w:rPr>
          <w:rFonts w:ascii="Times New Roman" w:hAnsi="Times New Roman" w:cs="Times New Roman"/>
          <w:b/>
          <w:lang w:val="en-GB"/>
        </w:rPr>
        <w:tab/>
      </w:r>
      <w:r w:rsidR="009A4463" w:rsidRPr="00311B33">
        <w:rPr>
          <w:rFonts w:ascii="Times New Roman" w:hAnsi="Times New Roman" w:cs="Times New Roman"/>
          <w:b/>
          <w:u w:val="single"/>
          <w:lang w:val="en-GB"/>
        </w:rPr>
        <w:t>Right to be presumed innocent</w:t>
      </w:r>
    </w:p>
    <w:p w:rsidR="009A4463" w:rsidRPr="00311B33" w:rsidRDefault="009A4463" w:rsidP="0082443E">
      <w:pPr>
        <w:jc w:val="both"/>
        <w:rPr>
          <w:rFonts w:ascii="Times New Roman" w:hAnsi="Times New Roman" w:cs="Times New Roman"/>
          <w:lang w:val="en-GB"/>
        </w:rPr>
      </w:pPr>
    </w:p>
    <w:p w:rsidR="009A4463" w:rsidRPr="00311B33" w:rsidRDefault="00DB7DE9" w:rsidP="0082443E">
      <w:pPr>
        <w:widowControl w:val="0"/>
        <w:autoSpaceDE w:val="0"/>
        <w:autoSpaceDN w:val="0"/>
        <w:adjustRightInd w:val="0"/>
        <w:jc w:val="both"/>
        <w:rPr>
          <w:rFonts w:ascii="Times New Roman" w:hAnsi="Times New Roman" w:cs="Times New Roman"/>
          <w:lang w:val="en-US"/>
        </w:rPr>
      </w:pPr>
      <w:r w:rsidRPr="00311B33">
        <w:rPr>
          <w:rFonts w:ascii="Times New Roman" w:hAnsi="Times New Roman" w:cs="Times New Roman"/>
          <w:b/>
          <w:lang w:val="en-GB"/>
        </w:rPr>
        <w:t>Content and legal basis</w:t>
      </w:r>
      <w:r w:rsidRPr="00311B33">
        <w:rPr>
          <w:rFonts w:ascii="Times New Roman" w:hAnsi="Times New Roman" w:cs="Times New Roman"/>
          <w:b/>
          <w:lang w:val="en-US"/>
        </w:rPr>
        <w:t xml:space="preserve"> </w:t>
      </w:r>
      <w:r w:rsidRPr="00311B33">
        <w:rPr>
          <w:rFonts w:ascii="Times New Roman" w:hAnsi="Times New Roman" w:cs="Times New Roman"/>
          <w:lang w:val="en-US"/>
        </w:rPr>
        <w:t xml:space="preserve">– </w:t>
      </w:r>
      <w:r w:rsidR="008B2AE7" w:rsidRPr="00311B33">
        <w:rPr>
          <w:rFonts w:ascii="Times New Roman" w:hAnsi="Times New Roman" w:cs="Times New Roman"/>
          <w:lang w:val="en-GB"/>
        </w:rPr>
        <w:t>This right is self-explanatory</w:t>
      </w:r>
      <w:r w:rsidR="004C2082" w:rsidRPr="00311B33">
        <w:rPr>
          <w:rFonts w:ascii="Times New Roman" w:hAnsi="Times New Roman" w:cs="Times New Roman"/>
          <w:lang w:val="en-GB"/>
        </w:rPr>
        <w:t>. A</w:t>
      </w:r>
      <w:r w:rsidR="009C49F2" w:rsidRPr="00311B33">
        <w:rPr>
          <w:rFonts w:ascii="Times New Roman" w:hAnsi="Times New Roman" w:cs="Times New Roman"/>
          <w:lang w:val="en-GB"/>
        </w:rPr>
        <w:t>ny</w:t>
      </w:r>
      <w:r w:rsidR="004C2082" w:rsidRPr="00311B33">
        <w:rPr>
          <w:rFonts w:ascii="Times New Roman" w:hAnsi="Times New Roman" w:cs="Times New Roman"/>
          <w:lang w:val="en-GB"/>
        </w:rPr>
        <w:t xml:space="preserve">one </w:t>
      </w:r>
      <w:r w:rsidR="00E10278" w:rsidRPr="00311B33">
        <w:rPr>
          <w:rFonts w:ascii="Times New Roman" w:hAnsi="Times New Roman" w:cs="Times New Roman"/>
          <w:lang w:val="en-GB"/>
        </w:rPr>
        <w:t xml:space="preserve">subject to legal proceedings </w:t>
      </w:r>
      <w:r w:rsidR="009C49F2" w:rsidRPr="00311B33">
        <w:rPr>
          <w:rFonts w:ascii="Times New Roman" w:hAnsi="Times New Roman" w:cs="Times New Roman"/>
          <w:lang w:val="en-GB"/>
        </w:rPr>
        <w:lastRenderedPageBreak/>
        <w:t>is presumed innocent until proven guilty.</w:t>
      </w:r>
      <w:r w:rsidR="009C49F2" w:rsidRPr="00311B33">
        <w:rPr>
          <w:rStyle w:val="Appelnotedebasdep"/>
          <w:rFonts w:ascii="Times New Roman" w:hAnsi="Times New Roman" w:cs="Times New Roman"/>
          <w:lang w:val="en-GB"/>
        </w:rPr>
        <w:footnoteReference w:id="107"/>
      </w:r>
      <w:r w:rsidR="00E10278" w:rsidRPr="00311B33">
        <w:rPr>
          <w:rFonts w:ascii="Times New Roman" w:hAnsi="Times New Roman" w:cs="Times New Roman"/>
          <w:lang w:val="en-GB"/>
        </w:rPr>
        <w:t xml:space="preserve"> </w:t>
      </w:r>
      <w:r w:rsidR="005C3A1D" w:rsidRPr="00311B33">
        <w:rPr>
          <w:rFonts w:ascii="Times New Roman" w:hAnsi="Times New Roman" w:cs="Times New Roman"/>
          <w:lang w:val="en-US"/>
        </w:rPr>
        <w:t xml:space="preserve">In </w:t>
      </w:r>
      <w:r w:rsidR="009A4463" w:rsidRPr="00311B33">
        <w:rPr>
          <w:rFonts w:ascii="Times New Roman" w:hAnsi="Times New Roman" w:cs="Times New Roman"/>
          <w:lang w:val="en-US"/>
        </w:rPr>
        <w:t xml:space="preserve">competition law, the presumption of innocence </w:t>
      </w:r>
      <w:r w:rsidR="00E10278" w:rsidRPr="00311B33">
        <w:rPr>
          <w:rFonts w:ascii="Times New Roman" w:hAnsi="Times New Roman" w:cs="Times New Roman"/>
          <w:lang w:val="en-US"/>
        </w:rPr>
        <w:t>has three declinations</w:t>
      </w:r>
      <w:r w:rsidR="009A4463" w:rsidRPr="00311B33">
        <w:rPr>
          <w:rFonts w:ascii="Times New Roman" w:hAnsi="Times New Roman" w:cs="Times New Roman"/>
          <w:lang w:val="en-US"/>
        </w:rPr>
        <w:t>: (i) an</w:t>
      </w:r>
      <w:r w:rsidR="00E46616" w:rsidRPr="00311B33">
        <w:rPr>
          <w:rFonts w:ascii="Times New Roman" w:hAnsi="Times New Roman" w:cs="Times New Roman"/>
          <w:lang w:val="en-US"/>
        </w:rPr>
        <w:t>y</w:t>
      </w:r>
      <w:r w:rsidR="009A4463" w:rsidRPr="00311B33">
        <w:rPr>
          <w:rFonts w:ascii="Times New Roman" w:hAnsi="Times New Roman" w:cs="Times New Roman"/>
          <w:lang w:val="en-US"/>
        </w:rPr>
        <w:t xml:space="preserve"> </w:t>
      </w:r>
      <w:r w:rsidR="00E10278" w:rsidRPr="00311B33">
        <w:rPr>
          <w:rFonts w:ascii="Times New Roman" w:hAnsi="Times New Roman" w:cs="Times New Roman"/>
          <w:lang w:val="en-US"/>
        </w:rPr>
        <w:t xml:space="preserve">suspected firm is deemed </w:t>
      </w:r>
      <w:r w:rsidR="009A4463" w:rsidRPr="00311B33">
        <w:rPr>
          <w:rFonts w:ascii="Times New Roman" w:hAnsi="Times New Roman" w:cs="Times New Roman"/>
          <w:lang w:val="en-US"/>
        </w:rPr>
        <w:t xml:space="preserve">innocent until its </w:t>
      </w:r>
      <w:r w:rsidR="00E10278" w:rsidRPr="00311B33">
        <w:rPr>
          <w:rFonts w:ascii="Times New Roman" w:hAnsi="Times New Roman" w:cs="Times New Roman"/>
          <w:lang w:val="en-US"/>
        </w:rPr>
        <w:t xml:space="preserve">liability for an infringement </w:t>
      </w:r>
      <w:r w:rsidR="00A15120">
        <w:rPr>
          <w:rFonts w:ascii="Times New Roman" w:hAnsi="Times New Roman" w:cs="Times New Roman"/>
          <w:lang w:val="en-US"/>
        </w:rPr>
        <w:t>has been</w:t>
      </w:r>
      <w:r w:rsidR="00A15120" w:rsidRPr="00311B33">
        <w:rPr>
          <w:rFonts w:ascii="Times New Roman" w:hAnsi="Times New Roman" w:cs="Times New Roman"/>
          <w:lang w:val="en-US"/>
        </w:rPr>
        <w:t xml:space="preserve"> </w:t>
      </w:r>
      <w:r w:rsidR="00E10278" w:rsidRPr="00311B33">
        <w:rPr>
          <w:rFonts w:ascii="Times New Roman" w:hAnsi="Times New Roman" w:cs="Times New Roman"/>
          <w:lang w:val="en-US"/>
        </w:rPr>
        <w:t xml:space="preserve">established </w:t>
      </w:r>
      <w:r w:rsidR="009A4463" w:rsidRPr="00311B33">
        <w:rPr>
          <w:rFonts w:ascii="Times New Roman" w:hAnsi="Times New Roman" w:cs="Times New Roman"/>
          <w:lang w:val="en-US"/>
        </w:rPr>
        <w:t>in a formal decision (</w:t>
      </w:r>
      <w:r w:rsidR="00E46616" w:rsidRPr="00311B33">
        <w:rPr>
          <w:rFonts w:ascii="Times New Roman" w:hAnsi="Times New Roman" w:cs="Times New Roman"/>
          <w:lang w:val="en-US"/>
        </w:rPr>
        <w:t xml:space="preserve">presumption of innocence </w:t>
      </w:r>
      <w:r w:rsidR="009A4463" w:rsidRPr="00311B33">
        <w:rPr>
          <w:rFonts w:ascii="Times New Roman" w:hAnsi="Times New Roman" w:cs="Times New Roman"/>
          <w:i/>
          <w:lang w:val="en-US"/>
        </w:rPr>
        <w:t>sensu stricto</w:t>
      </w:r>
      <w:r w:rsidR="00E10278" w:rsidRPr="00311B33">
        <w:rPr>
          <w:rFonts w:ascii="Times New Roman" w:hAnsi="Times New Roman" w:cs="Times New Roman"/>
          <w:lang w:val="en-US"/>
        </w:rPr>
        <w:t>);</w:t>
      </w:r>
      <w:r w:rsidR="00E10278" w:rsidRPr="00311B33">
        <w:rPr>
          <w:rStyle w:val="Appelnotedebasdep"/>
          <w:rFonts w:ascii="Times New Roman" w:hAnsi="Times New Roman" w:cs="Times New Roman"/>
          <w:lang w:val="en-US"/>
        </w:rPr>
        <w:footnoteReference w:id="108"/>
      </w:r>
      <w:r w:rsidR="00E10278" w:rsidRPr="00311B33">
        <w:rPr>
          <w:rFonts w:ascii="Times New Roman" w:hAnsi="Times New Roman" w:cs="Times New Roman"/>
          <w:lang w:val="en-US"/>
        </w:rPr>
        <w:t xml:space="preserve"> </w:t>
      </w:r>
      <w:r w:rsidR="005C3A1D" w:rsidRPr="00311B33">
        <w:rPr>
          <w:rFonts w:ascii="Times New Roman" w:hAnsi="Times New Roman" w:cs="Times New Roman"/>
          <w:lang w:val="en-US"/>
        </w:rPr>
        <w:t>(ii)</w:t>
      </w:r>
      <w:r w:rsidR="009A4463" w:rsidRPr="00311B33">
        <w:rPr>
          <w:rFonts w:ascii="Times New Roman" w:hAnsi="Times New Roman" w:cs="Times New Roman"/>
          <w:lang w:val="en-US"/>
        </w:rPr>
        <w:t xml:space="preserve"> any doubt </w:t>
      </w:r>
      <w:r w:rsidR="00E10278" w:rsidRPr="00311B33">
        <w:rPr>
          <w:rFonts w:ascii="Times New Roman" w:hAnsi="Times New Roman" w:cs="Times New Roman"/>
          <w:lang w:val="en-US"/>
        </w:rPr>
        <w:t xml:space="preserve">should </w:t>
      </w:r>
      <w:r w:rsidR="009A4463" w:rsidRPr="00311B33">
        <w:rPr>
          <w:rFonts w:ascii="Times New Roman" w:hAnsi="Times New Roman" w:cs="Times New Roman"/>
          <w:lang w:val="en-US"/>
        </w:rPr>
        <w:t xml:space="preserve">benefit </w:t>
      </w:r>
      <w:r w:rsidR="00E10278" w:rsidRPr="00311B33">
        <w:rPr>
          <w:rFonts w:ascii="Times New Roman" w:hAnsi="Times New Roman" w:cs="Times New Roman"/>
          <w:lang w:val="en-US"/>
        </w:rPr>
        <w:t xml:space="preserve">to </w:t>
      </w:r>
      <w:r w:rsidR="009A4463" w:rsidRPr="00311B33">
        <w:rPr>
          <w:rFonts w:ascii="Times New Roman" w:hAnsi="Times New Roman" w:cs="Times New Roman"/>
          <w:lang w:val="en-US"/>
        </w:rPr>
        <w:t xml:space="preserve">the </w:t>
      </w:r>
      <w:r w:rsidR="00E10278" w:rsidRPr="00311B33">
        <w:rPr>
          <w:rFonts w:ascii="Times New Roman" w:hAnsi="Times New Roman" w:cs="Times New Roman"/>
          <w:lang w:val="en-US"/>
        </w:rPr>
        <w:t>suspected firm;</w:t>
      </w:r>
      <w:r w:rsidR="00805915" w:rsidRPr="00311B33">
        <w:rPr>
          <w:rStyle w:val="Appelnotedebasdep"/>
          <w:rFonts w:ascii="Times New Roman" w:hAnsi="Times New Roman" w:cs="Times New Roman"/>
          <w:lang w:val="en-US"/>
        </w:rPr>
        <w:footnoteReference w:id="109"/>
      </w:r>
      <w:r w:rsidR="007E7DE1" w:rsidRPr="00311B33">
        <w:rPr>
          <w:rFonts w:ascii="Times New Roman" w:hAnsi="Times New Roman" w:cs="Times New Roman"/>
          <w:lang w:val="en-US"/>
        </w:rPr>
        <w:t xml:space="preserve"> and</w:t>
      </w:r>
      <w:r w:rsidR="009A4463" w:rsidRPr="00311B33">
        <w:rPr>
          <w:rFonts w:ascii="Times New Roman" w:hAnsi="Times New Roman" w:cs="Times New Roman"/>
          <w:lang w:val="en-US"/>
        </w:rPr>
        <w:t xml:space="preserve"> (iii) </w:t>
      </w:r>
      <w:r w:rsidR="00E10278" w:rsidRPr="00311B33">
        <w:rPr>
          <w:rFonts w:ascii="Times New Roman" w:hAnsi="Times New Roman" w:cs="Times New Roman"/>
          <w:lang w:val="en-US"/>
        </w:rPr>
        <w:t xml:space="preserve">a suspected firm </w:t>
      </w:r>
      <w:r w:rsidR="00E46616" w:rsidRPr="00311B33">
        <w:rPr>
          <w:rFonts w:ascii="Times New Roman" w:hAnsi="Times New Roman" w:cs="Times New Roman"/>
          <w:lang w:val="en-US"/>
        </w:rPr>
        <w:t xml:space="preserve">has the </w:t>
      </w:r>
      <w:r w:rsidR="009A4463" w:rsidRPr="00311B33">
        <w:rPr>
          <w:rFonts w:ascii="Times New Roman" w:hAnsi="Times New Roman" w:cs="Times New Roman"/>
          <w:lang w:val="en-US"/>
        </w:rPr>
        <w:t>right not to incriminate</w:t>
      </w:r>
      <w:r w:rsidR="00E46616" w:rsidRPr="00311B33">
        <w:rPr>
          <w:rFonts w:ascii="Times New Roman" w:hAnsi="Times New Roman" w:cs="Times New Roman"/>
          <w:lang w:val="en-US"/>
        </w:rPr>
        <w:t xml:space="preserve"> it</w:t>
      </w:r>
      <w:r w:rsidR="009A4463" w:rsidRPr="00311B33">
        <w:rPr>
          <w:rFonts w:ascii="Times New Roman" w:hAnsi="Times New Roman" w:cs="Times New Roman"/>
          <w:lang w:val="en-US"/>
        </w:rPr>
        <w:t>self.</w:t>
      </w:r>
      <w:r w:rsidR="00A65B1B" w:rsidRPr="00311B33">
        <w:rPr>
          <w:rStyle w:val="Appelnotedebasdep"/>
          <w:rFonts w:ascii="Times New Roman" w:hAnsi="Times New Roman" w:cs="Times New Roman"/>
          <w:lang w:val="en-US"/>
        </w:rPr>
        <w:footnoteReference w:id="110"/>
      </w:r>
    </w:p>
    <w:p w:rsidR="009A4463" w:rsidRPr="00311B33" w:rsidRDefault="009A4463" w:rsidP="0082443E">
      <w:pPr>
        <w:widowControl w:val="0"/>
        <w:autoSpaceDE w:val="0"/>
        <w:autoSpaceDN w:val="0"/>
        <w:adjustRightInd w:val="0"/>
        <w:jc w:val="both"/>
        <w:rPr>
          <w:rFonts w:ascii="Times New Roman" w:hAnsi="Times New Roman" w:cs="Times New Roman"/>
          <w:lang w:val="en-US"/>
        </w:rPr>
      </w:pPr>
    </w:p>
    <w:p w:rsidR="00BB3B86" w:rsidRPr="00311B33" w:rsidRDefault="009B7B12" w:rsidP="0082443E">
      <w:pPr>
        <w:jc w:val="both"/>
        <w:rPr>
          <w:rFonts w:ascii="Times New Roman" w:hAnsi="Times New Roman" w:cs="Times New Roman"/>
          <w:b/>
          <w:lang w:val="en-GB"/>
        </w:rPr>
      </w:pPr>
      <w:r w:rsidRPr="00311B33">
        <w:rPr>
          <w:rFonts w:ascii="Times New Roman" w:hAnsi="Times New Roman" w:cs="Times New Roman"/>
          <w:lang w:val="en-US"/>
        </w:rPr>
        <w:t xml:space="preserve">The presumption of innocence </w:t>
      </w:r>
      <w:r w:rsidRPr="00311B33">
        <w:rPr>
          <w:rFonts w:ascii="Times New Roman" w:hAnsi="Times New Roman" w:cs="Times New Roman"/>
          <w:i/>
          <w:lang w:val="en-US"/>
        </w:rPr>
        <w:t>sensu stricto</w:t>
      </w:r>
      <w:r w:rsidRPr="00311B33">
        <w:rPr>
          <w:rFonts w:ascii="Times New Roman" w:hAnsi="Times New Roman" w:cs="Times New Roman"/>
          <w:lang w:val="en-US"/>
        </w:rPr>
        <w:t xml:space="preserve"> stems from Article 6 ECHR and Article 48 of the Charter. Both Articles state that “</w:t>
      </w:r>
      <w:r w:rsidRPr="00311B33">
        <w:rPr>
          <w:rFonts w:ascii="Times New Roman" w:hAnsi="Times New Roman" w:cs="Times New Roman"/>
          <w:i/>
          <w:lang w:val="en-US"/>
        </w:rPr>
        <w:t>everyone charged with a criminal offence shall be presumed innocent until proven guilty according to law</w:t>
      </w:r>
      <w:r w:rsidRPr="00311B33">
        <w:rPr>
          <w:rFonts w:ascii="Times New Roman" w:hAnsi="Times New Roman" w:cs="Times New Roman"/>
          <w:lang w:val="en-US"/>
        </w:rPr>
        <w:t>”.</w:t>
      </w:r>
      <w:r w:rsidRPr="00311B33">
        <w:rPr>
          <w:rStyle w:val="Appelnotedebasdep"/>
          <w:rFonts w:ascii="Times New Roman" w:hAnsi="Times New Roman" w:cs="Times New Roman"/>
          <w:lang w:val="en-US"/>
        </w:rPr>
        <w:footnoteReference w:id="111"/>
      </w:r>
      <w:r w:rsidRPr="00311B33">
        <w:rPr>
          <w:rFonts w:ascii="Times New Roman" w:hAnsi="Times New Roman" w:cs="Times New Roman"/>
          <w:lang w:val="en-US"/>
        </w:rPr>
        <w:t xml:space="preserve"> It is itself predicated on </w:t>
      </w:r>
      <w:r w:rsidR="00CF03C9" w:rsidRPr="00311B33">
        <w:rPr>
          <w:rFonts w:ascii="Times New Roman" w:hAnsi="Times New Roman" w:cs="Times New Roman"/>
          <w:lang w:val="en-US"/>
        </w:rPr>
        <w:t>the</w:t>
      </w:r>
      <w:r w:rsidRPr="00311B33">
        <w:rPr>
          <w:rFonts w:ascii="Times New Roman" w:hAnsi="Times New Roman" w:cs="Times New Roman"/>
          <w:lang w:val="en-US"/>
        </w:rPr>
        <w:t xml:space="preserve"> theoretical</w:t>
      </w:r>
      <w:r w:rsidR="00CF03C9" w:rsidRPr="00311B33">
        <w:rPr>
          <w:rFonts w:ascii="Times New Roman" w:hAnsi="Times New Roman" w:cs="Times New Roman"/>
          <w:lang w:val="en-US"/>
        </w:rPr>
        <w:t xml:space="preserve"> </w:t>
      </w:r>
      <w:r w:rsidRPr="00311B33">
        <w:rPr>
          <w:rFonts w:ascii="Times New Roman" w:hAnsi="Times New Roman" w:cs="Times New Roman"/>
          <w:lang w:val="en-US"/>
        </w:rPr>
        <w:t xml:space="preserve">idea that in a free society, guilt can only be established if </w:t>
      </w:r>
      <w:r w:rsidR="00A15120">
        <w:rPr>
          <w:rFonts w:ascii="Times New Roman" w:hAnsi="Times New Roman" w:cs="Times New Roman"/>
          <w:lang w:val="en-US"/>
        </w:rPr>
        <w:t>a public authority</w:t>
      </w:r>
      <w:r w:rsidR="00A15120" w:rsidRPr="00311B33">
        <w:rPr>
          <w:rFonts w:ascii="Times New Roman" w:hAnsi="Times New Roman" w:cs="Times New Roman"/>
          <w:lang w:val="en-US"/>
        </w:rPr>
        <w:t xml:space="preserve"> </w:t>
      </w:r>
      <w:r w:rsidRPr="00311B33">
        <w:rPr>
          <w:rFonts w:ascii="Times New Roman" w:hAnsi="Times New Roman" w:cs="Times New Roman"/>
          <w:lang w:val="en-US"/>
        </w:rPr>
        <w:t>proves it,</w:t>
      </w:r>
      <w:r w:rsidR="00CF03C9" w:rsidRPr="00311B33">
        <w:rPr>
          <w:rFonts w:ascii="Times New Roman" w:hAnsi="Times New Roman" w:cs="Times New Roman"/>
          <w:lang w:val="en-US"/>
        </w:rPr>
        <w:t xml:space="preserve"> </w:t>
      </w:r>
      <w:r w:rsidRPr="00311B33">
        <w:rPr>
          <w:rFonts w:ascii="Times New Roman" w:hAnsi="Times New Roman" w:cs="Times New Roman"/>
          <w:lang w:val="en-US"/>
        </w:rPr>
        <w:t>and citizens should not be requested to prove their innocence in the first place</w:t>
      </w:r>
      <w:r w:rsidR="00CF03C9" w:rsidRPr="00311B33">
        <w:rPr>
          <w:rFonts w:ascii="Times New Roman" w:hAnsi="Times New Roman" w:cs="Times New Roman"/>
          <w:lang w:val="en-US"/>
        </w:rPr>
        <w:t>.</w:t>
      </w:r>
      <w:r w:rsidR="00CF03C9" w:rsidRPr="00311B33">
        <w:rPr>
          <w:rStyle w:val="Appelnotedebasdep"/>
          <w:rFonts w:ascii="Times New Roman" w:hAnsi="Times New Roman" w:cs="Times New Roman"/>
          <w:lang w:val="en-US"/>
        </w:rPr>
        <w:footnoteReference w:id="112"/>
      </w:r>
      <w:r w:rsidR="00CF03C9" w:rsidRPr="00311B33">
        <w:rPr>
          <w:rFonts w:ascii="Times New Roman" w:hAnsi="Times New Roman" w:cs="Times New Roman"/>
          <w:lang w:val="en-US"/>
        </w:rPr>
        <w:t xml:space="preserve"> </w:t>
      </w:r>
      <w:r w:rsidRPr="00311B33">
        <w:rPr>
          <w:rFonts w:ascii="Times New Roman" w:hAnsi="Times New Roman" w:cs="Times New Roman"/>
          <w:lang w:val="en-US"/>
        </w:rPr>
        <w:t>In practice, t</w:t>
      </w:r>
      <w:r w:rsidR="009A4463" w:rsidRPr="00311B33">
        <w:rPr>
          <w:rFonts w:ascii="Times New Roman" w:hAnsi="Times New Roman" w:cs="Times New Roman"/>
          <w:lang w:val="en-US"/>
        </w:rPr>
        <w:t xml:space="preserve">he </w:t>
      </w:r>
      <w:r w:rsidR="00BB3B86" w:rsidRPr="00311B33">
        <w:rPr>
          <w:rFonts w:ascii="Times New Roman" w:hAnsi="Times New Roman" w:cs="Times New Roman"/>
          <w:lang w:val="en-US"/>
        </w:rPr>
        <w:t>right to be presumed innocent prevent</w:t>
      </w:r>
      <w:r w:rsidR="00CF03C9" w:rsidRPr="00311B33">
        <w:rPr>
          <w:rFonts w:ascii="Times New Roman" w:hAnsi="Times New Roman" w:cs="Times New Roman"/>
          <w:lang w:val="en-US"/>
        </w:rPr>
        <w:t>s</w:t>
      </w:r>
      <w:r w:rsidR="00BB3B86" w:rsidRPr="00311B33">
        <w:rPr>
          <w:rFonts w:ascii="Times New Roman" w:hAnsi="Times New Roman" w:cs="Times New Roman"/>
          <w:lang w:val="en-US"/>
        </w:rPr>
        <w:t xml:space="preserve"> the </w:t>
      </w:r>
      <w:r w:rsidR="009A4463" w:rsidRPr="00311B33">
        <w:rPr>
          <w:rFonts w:ascii="Times New Roman" w:hAnsi="Times New Roman" w:cs="Times New Roman"/>
          <w:lang w:val="en-US"/>
        </w:rPr>
        <w:t>Commission</w:t>
      </w:r>
      <w:r w:rsidR="00930CEB" w:rsidRPr="00311B33">
        <w:rPr>
          <w:rFonts w:ascii="Times New Roman" w:hAnsi="Times New Roman" w:cs="Times New Roman"/>
          <w:lang w:val="en-US"/>
        </w:rPr>
        <w:t xml:space="preserve"> </w:t>
      </w:r>
      <w:r w:rsidR="00BB3B86" w:rsidRPr="00311B33">
        <w:rPr>
          <w:rFonts w:ascii="Times New Roman" w:hAnsi="Times New Roman" w:cs="Times New Roman"/>
          <w:lang w:val="en-US"/>
        </w:rPr>
        <w:t>from</w:t>
      </w:r>
      <w:r w:rsidR="009A4463" w:rsidRPr="00311B33">
        <w:rPr>
          <w:rFonts w:ascii="Times New Roman" w:hAnsi="Times New Roman" w:cs="Times New Roman"/>
          <w:lang w:val="en-US"/>
        </w:rPr>
        <w:t xml:space="preserve"> reveal</w:t>
      </w:r>
      <w:r w:rsidR="00BB3B86" w:rsidRPr="00311B33">
        <w:rPr>
          <w:rFonts w:ascii="Times New Roman" w:hAnsi="Times New Roman" w:cs="Times New Roman"/>
          <w:lang w:val="en-US"/>
        </w:rPr>
        <w:t>ing</w:t>
      </w:r>
      <w:r w:rsidRPr="00311B33">
        <w:rPr>
          <w:rFonts w:ascii="Times New Roman" w:hAnsi="Times New Roman" w:cs="Times New Roman"/>
          <w:lang w:val="en-US"/>
        </w:rPr>
        <w:t>, leaking, or suggesting</w:t>
      </w:r>
      <w:r w:rsidR="009A4463" w:rsidRPr="00311B33">
        <w:rPr>
          <w:rFonts w:ascii="Times New Roman" w:hAnsi="Times New Roman" w:cs="Times New Roman"/>
          <w:lang w:val="en-US"/>
        </w:rPr>
        <w:t xml:space="preserve"> the existence of an infringement </w:t>
      </w:r>
      <w:r w:rsidR="00BB3B86" w:rsidRPr="00311B33">
        <w:rPr>
          <w:rFonts w:ascii="Times New Roman" w:hAnsi="Times New Roman" w:cs="Times New Roman"/>
          <w:lang w:val="en-US"/>
        </w:rPr>
        <w:t xml:space="preserve">to the public </w:t>
      </w:r>
      <w:r w:rsidR="009A4463" w:rsidRPr="00311B33">
        <w:rPr>
          <w:rFonts w:ascii="Times New Roman" w:hAnsi="Times New Roman" w:cs="Times New Roman"/>
          <w:lang w:val="en-US"/>
        </w:rPr>
        <w:t xml:space="preserve">before </w:t>
      </w:r>
      <w:r w:rsidRPr="00311B33">
        <w:rPr>
          <w:rFonts w:ascii="Times New Roman" w:hAnsi="Times New Roman" w:cs="Times New Roman"/>
          <w:lang w:val="en-US"/>
        </w:rPr>
        <w:t>the adoption of a formal decision</w:t>
      </w:r>
      <w:r w:rsidR="009A4463" w:rsidRPr="00311B33">
        <w:rPr>
          <w:rFonts w:ascii="Times New Roman" w:hAnsi="Times New Roman" w:cs="Times New Roman"/>
          <w:lang w:val="en-US"/>
        </w:rPr>
        <w:t>.</w:t>
      </w:r>
      <w:r w:rsidR="009A4463" w:rsidRPr="00311B33">
        <w:rPr>
          <w:rStyle w:val="Appelnotedebasdep"/>
          <w:rFonts w:ascii="Times New Roman" w:hAnsi="Times New Roman" w:cs="Times New Roman"/>
          <w:lang w:val="en-US"/>
        </w:rPr>
        <w:footnoteReference w:id="113"/>
      </w:r>
    </w:p>
    <w:p w:rsidR="008E625A" w:rsidRPr="00311B33" w:rsidRDefault="008E625A" w:rsidP="0082443E">
      <w:pPr>
        <w:jc w:val="both"/>
        <w:rPr>
          <w:rFonts w:ascii="Times New Roman" w:hAnsi="Times New Roman" w:cs="Times New Roman"/>
          <w:b/>
          <w:lang w:val="en-GB"/>
        </w:rPr>
      </w:pPr>
    </w:p>
    <w:p w:rsidR="00010C9E" w:rsidRPr="00311B33" w:rsidRDefault="009B1657" w:rsidP="0082443E">
      <w:pPr>
        <w:jc w:val="both"/>
        <w:rPr>
          <w:rFonts w:ascii="Times New Roman" w:hAnsi="Times New Roman" w:cs="Times New Roman"/>
          <w:lang w:val="en-GB"/>
        </w:rPr>
      </w:pPr>
      <w:r w:rsidRPr="00246F56">
        <w:rPr>
          <w:rFonts w:ascii="Times New Roman" w:hAnsi="Times New Roman" w:cs="Times New Roman"/>
          <w:b/>
          <w:lang w:val="en-GB"/>
        </w:rPr>
        <w:t xml:space="preserve">Threshold </w:t>
      </w:r>
      <w:r w:rsidR="00BB3B86" w:rsidRPr="00311B33">
        <w:rPr>
          <w:rFonts w:ascii="Times New Roman" w:hAnsi="Times New Roman" w:cs="Times New Roman"/>
          <w:lang w:val="en-GB"/>
        </w:rPr>
        <w:t xml:space="preserve">– </w:t>
      </w:r>
      <w:r w:rsidR="002E3BB7" w:rsidRPr="00311B33">
        <w:rPr>
          <w:rFonts w:ascii="Times New Roman" w:hAnsi="Times New Roman" w:cs="Times New Roman"/>
          <w:lang w:val="en-GB"/>
        </w:rPr>
        <w:t>T</w:t>
      </w:r>
      <w:r w:rsidR="00292BE0" w:rsidRPr="00311B33">
        <w:rPr>
          <w:rFonts w:ascii="Times New Roman" w:hAnsi="Times New Roman" w:cs="Times New Roman"/>
          <w:lang w:val="en-GB"/>
        </w:rPr>
        <w:t>he presumption of innocence applies</w:t>
      </w:r>
      <w:r w:rsidR="009B7B12" w:rsidRPr="00311B33">
        <w:rPr>
          <w:rFonts w:ascii="Times New Roman" w:hAnsi="Times New Roman" w:cs="Times New Roman"/>
          <w:lang w:val="en-GB"/>
        </w:rPr>
        <w:t xml:space="preserve"> </w:t>
      </w:r>
      <w:r w:rsidR="00292BE0" w:rsidRPr="00311B33">
        <w:rPr>
          <w:rFonts w:ascii="Times New Roman" w:hAnsi="Times New Roman" w:cs="Times New Roman"/>
          <w:lang w:val="en-GB"/>
        </w:rPr>
        <w:t>to</w:t>
      </w:r>
      <w:r w:rsidR="001C50B7">
        <w:rPr>
          <w:rFonts w:ascii="Times New Roman" w:hAnsi="Times New Roman" w:cs="Times New Roman"/>
          <w:lang w:val="en-GB"/>
        </w:rPr>
        <w:t xml:space="preserve"> all</w:t>
      </w:r>
      <w:r w:rsidR="00292BE0" w:rsidRPr="00311B33">
        <w:rPr>
          <w:rFonts w:ascii="Times New Roman" w:hAnsi="Times New Roman" w:cs="Times New Roman"/>
          <w:lang w:val="en-GB"/>
        </w:rPr>
        <w:t xml:space="preserve"> procedures relating to infringements of competition </w:t>
      </w:r>
      <w:r w:rsidR="009B7B12" w:rsidRPr="00311B33">
        <w:rPr>
          <w:rFonts w:ascii="Times New Roman" w:hAnsi="Times New Roman" w:cs="Times New Roman"/>
          <w:lang w:val="en-GB"/>
        </w:rPr>
        <w:t xml:space="preserve">law </w:t>
      </w:r>
      <w:r w:rsidR="00292BE0" w:rsidRPr="00311B33">
        <w:rPr>
          <w:rFonts w:ascii="Times New Roman" w:hAnsi="Times New Roman" w:cs="Times New Roman"/>
          <w:lang w:val="en-GB"/>
        </w:rPr>
        <w:t xml:space="preserve">that may result in the imposition of </w:t>
      </w:r>
      <w:r w:rsidR="002E3BB7" w:rsidRPr="00311B33">
        <w:rPr>
          <w:rFonts w:ascii="Times New Roman" w:hAnsi="Times New Roman" w:cs="Times New Roman"/>
          <w:lang w:val="en-GB"/>
        </w:rPr>
        <w:t xml:space="preserve">serious </w:t>
      </w:r>
      <w:r w:rsidR="00292BE0" w:rsidRPr="00311B33">
        <w:rPr>
          <w:rFonts w:ascii="Times New Roman" w:hAnsi="Times New Roman" w:cs="Times New Roman"/>
          <w:lang w:val="en-GB"/>
        </w:rPr>
        <w:t xml:space="preserve">fines </w:t>
      </w:r>
      <w:r w:rsidR="002E3BB7" w:rsidRPr="00311B33">
        <w:rPr>
          <w:rFonts w:ascii="Times New Roman" w:hAnsi="Times New Roman" w:cs="Times New Roman"/>
          <w:lang w:val="en-GB"/>
        </w:rPr>
        <w:t xml:space="preserve">and </w:t>
      </w:r>
      <w:r w:rsidR="00292BE0" w:rsidRPr="00311B33">
        <w:rPr>
          <w:rFonts w:ascii="Times New Roman" w:hAnsi="Times New Roman" w:cs="Times New Roman"/>
          <w:lang w:val="en-GB"/>
        </w:rPr>
        <w:t>periodic penalty payments.</w:t>
      </w:r>
      <w:r w:rsidR="00304C4E" w:rsidRPr="00311B33">
        <w:rPr>
          <w:rStyle w:val="Appelnotedebasdep"/>
          <w:rFonts w:ascii="Times New Roman" w:hAnsi="Times New Roman" w:cs="Times New Roman"/>
          <w:lang w:val="en-GB"/>
        </w:rPr>
        <w:footnoteReference w:id="114"/>
      </w:r>
      <w:r w:rsidR="00292BE0" w:rsidRPr="00311B33">
        <w:rPr>
          <w:rFonts w:ascii="Times New Roman" w:hAnsi="Times New Roman" w:cs="Times New Roman"/>
          <w:lang w:val="en-GB"/>
        </w:rPr>
        <w:t xml:space="preserve"> </w:t>
      </w:r>
      <w:r w:rsidR="009B7B12" w:rsidRPr="00311B33">
        <w:rPr>
          <w:rFonts w:ascii="Times New Roman" w:hAnsi="Times New Roman" w:cs="Times New Roman"/>
          <w:lang w:val="en-GB"/>
        </w:rPr>
        <w:t>In those cases</w:t>
      </w:r>
      <w:r w:rsidR="00292BE0" w:rsidRPr="00311B33">
        <w:rPr>
          <w:rFonts w:ascii="Times New Roman" w:hAnsi="Times New Roman" w:cs="Times New Roman"/>
          <w:lang w:val="en-GB"/>
        </w:rPr>
        <w:t xml:space="preserve">, the Commission </w:t>
      </w:r>
      <w:r w:rsidR="009B7B12" w:rsidRPr="00311B33">
        <w:rPr>
          <w:rFonts w:ascii="Times New Roman" w:hAnsi="Times New Roman" w:cs="Times New Roman"/>
          <w:lang w:val="en-GB"/>
        </w:rPr>
        <w:t xml:space="preserve">must adduce </w:t>
      </w:r>
      <w:r w:rsidR="00292BE0" w:rsidRPr="00311B33">
        <w:rPr>
          <w:rFonts w:ascii="Times New Roman" w:hAnsi="Times New Roman" w:cs="Times New Roman"/>
          <w:lang w:val="en-GB"/>
        </w:rPr>
        <w:t xml:space="preserve">sufficiently precise and consistent </w:t>
      </w:r>
      <w:r w:rsidR="00292BE0" w:rsidRPr="00311B33">
        <w:rPr>
          <w:rFonts w:ascii="Times New Roman" w:hAnsi="Times New Roman" w:cs="Times New Roman"/>
          <w:lang w:val="en-GB"/>
        </w:rPr>
        <w:lastRenderedPageBreak/>
        <w:t xml:space="preserve">evidence </w:t>
      </w:r>
      <w:r w:rsidR="009B7B12" w:rsidRPr="00311B33">
        <w:rPr>
          <w:rFonts w:ascii="Times New Roman" w:hAnsi="Times New Roman" w:cs="Times New Roman"/>
          <w:lang w:val="en-GB"/>
        </w:rPr>
        <w:t xml:space="preserve">of an </w:t>
      </w:r>
      <w:r w:rsidR="002E3BB7" w:rsidRPr="00311B33">
        <w:rPr>
          <w:rFonts w:ascii="Times New Roman" w:hAnsi="Times New Roman" w:cs="Times New Roman"/>
          <w:lang w:val="en-GB"/>
        </w:rPr>
        <w:t>infringement</w:t>
      </w:r>
      <w:r w:rsidR="00096FA6" w:rsidRPr="00311B33">
        <w:rPr>
          <w:rFonts w:ascii="Times New Roman" w:hAnsi="Times New Roman" w:cs="Times New Roman"/>
          <w:lang w:val="en-GB"/>
        </w:rPr>
        <w:t>, on pain of breaching the presumption of innocence</w:t>
      </w:r>
      <w:r w:rsidR="00362AC6" w:rsidRPr="00311B33">
        <w:rPr>
          <w:rFonts w:ascii="Times New Roman" w:hAnsi="Times New Roman" w:cs="Times New Roman"/>
          <w:lang w:val="en-GB"/>
        </w:rPr>
        <w:t>.</w:t>
      </w:r>
      <w:r w:rsidR="00304C4E" w:rsidRPr="00311B33">
        <w:rPr>
          <w:rStyle w:val="Appelnotedebasdep"/>
          <w:rFonts w:ascii="Times New Roman" w:hAnsi="Times New Roman" w:cs="Times New Roman"/>
          <w:lang w:val="en-GB"/>
        </w:rPr>
        <w:footnoteReference w:id="115"/>
      </w:r>
      <w:r w:rsidR="002E3BB7" w:rsidRPr="00311B33">
        <w:rPr>
          <w:rFonts w:ascii="Times New Roman" w:hAnsi="Times New Roman" w:cs="Times New Roman"/>
          <w:lang w:val="en-US"/>
        </w:rPr>
        <w:t xml:space="preserve"> It is, however, </w:t>
      </w:r>
      <w:r w:rsidR="009B7B12" w:rsidRPr="00311B33">
        <w:rPr>
          <w:rFonts w:ascii="Times New Roman" w:hAnsi="Times New Roman" w:cs="Times New Roman"/>
          <w:lang w:val="en-US"/>
        </w:rPr>
        <w:t>un</w:t>
      </w:r>
      <w:r w:rsidR="002E3BB7" w:rsidRPr="00311B33">
        <w:rPr>
          <w:rFonts w:ascii="Times New Roman" w:hAnsi="Times New Roman" w:cs="Times New Roman"/>
          <w:lang w:val="en-US"/>
        </w:rPr>
        <w:t>clear what the EU Courts consider as “</w:t>
      </w:r>
      <w:r w:rsidR="002E3BB7" w:rsidRPr="00311B33">
        <w:rPr>
          <w:rFonts w:ascii="Times New Roman" w:hAnsi="Times New Roman" w:cs="Times New Roman"/>
          <w:i/>
          <w:lang w:val="en-US"/>
        </w:rPr>
        <w:t>sufficient”</w:t>
      </w:r>
      <w:r w:rsidR="002E3BB7" w:rsidRPr="00311B33">
        <w:rPr>
          <w:rFonts w:ascii="Times New Roman" w:hAnsi="Times New Roman" w:cs="Times New Roman"/>
          <w:lang w:val="en-US"/>
        </w:rPr>
        <w:t xml:space="preserve"> evidence.</w:t>
      </w:r>
      <w:r w:rsidR="002E3BB7" w:rsidRPr="00311B33">
        <w:rPr>
          <w:rStyle w:val="Appelnotedebasdep"/>
          <w:rFonts w:ascii="Times New Roman" w:hAnsi="Times New Roman" w:cs="Times New Roman"/>
          <w:lang w:val="en-US"/>
        </w:rPr>
        <w:footnoteReference w:id="116"/>
      </w:r>
    </w:p>
    <w:p w:rsidR="008E625A" w:rsidRPr="00311B33" w:rsidRDefault="008E625A" w:rsidP="008E625A">
      <w:pPr>
        <w:jc w:val="both"/>
        <w:rPr>
          <w:rFonts w:ascii="Times New Roman" w:hAnsi="Times New Roman" w:cs="Times New Roman"/>
          <w:lang w:val="en-GB"/>
        </w:rPr>
      </w:pPr>
    </w:p>
    <w:p w:rsidR="00E85605" w:rsidRPr="004E08B1" w:rsidRDefault="009B1657" w:rsidP="00E85605">
      <w:pPr>
        <w:jc w:val="both"/>
        <w:rPr>
          <w:rFonts w:ascii="Times New Roman" w:hAnsi="Times New Roman" w:cs="Times New Roman"/>
          <w:iCs/>
          <w:lang w:val="en-GB"/>
        </w:rPr>
      </w:pPr>
      <w:r w:rsidRPr="00246F56">
        <w:rPr>
          <w:rFonts w:ascii="Times New Roman" w:hAnsi="Times New Roman" w:cs="Times New Roman"/>
          <w:b/>
          <w:lang w:val="en-GB"/>
        </w:rPr>
        <w:t>Sanctions –</w:t>
      </w:r>
      <w:r w:rsidR="008E625A" w:rsidRPr="00311B33">
        <w:rPr>
          <w:rFonts w:ascii="Times New Roman" w:hAnsi="Times New Roman" w:cs="Times New Roman"/>
          <w:lang w:val="en-GB"/>
        </w:rPr>
        <w:t xml:space="preserve"> In </w:t>
      </w:r>
      <w:r w:rsidR="008E625A" w:rsidRPr="00311B33">
        <w:rPr>
          <w:rFonts w:ascii="Times New Roman" w:hAnsi="Times New Roman" w:cs="Times New Roman"/>
          <w:i/>
          <w:lang w:val="en-GB"/>
        </w:rPr>
        <w:t>Volkswagen</w:t>
      </w:r>
      <w:r w:rsidR="00096FA6" w:rsidRPr="00311B33">
        <w:rPr>
          <w:rFonts w:ascii="Times New Roman" w:hAnsi="Times New Roman" w:cs="Times New Roman"/>
          <w:lang w:val="en-GB"/>
        </w:rPr>
        <w:t>,</w:t>
      </w:r>
      <w:r w:rsidRPr="00246F56">
        <w:rPr>
          <w:rStyle w:val="Appelnotedebasdep"/>
          <w:rFonts w:ascii="Times New Roman" w:hAnsi="Times New Roman" w:cs="Times New Roman"/>
          <w:lang w:val="en-GB"/>
        </w:rPr>
        <w:footnoteReference w:id="117"/>
      </w:r>
      <w:r w:rsidR="008E625A" w:rsidRPr="00311B33">
        <w:rPr>
          <w:rFonts w:ascii="Times New Roman" w:hAnsi="Times New Roman" w:cs="Times New Roman"/>
          <w:lang w:val="en-GB"/>
        </w:rPr>
        <w:t xml:space="preserve"> a Commission </w:t>
      </w:r>
      <w:r w:rsidR="00096FA6" w:rsidRPr="00311B33">
        <w:rPr>
          <w:rFonts w:ascii="Times New Roman" w:hAnsi="Times New Roman" w:cs="Times New Roman"/>
          <w:lang w:val="en-GB"/>
        </w:rPr>
        <w:t xml:space="preserve">official had </w:t>
      </w:r>
      <w:r w:rsidR="008E625A" w:rsidRPr="00311B33">
        <w:rPr>
          <w:rFonts w:ascii="Times New Roman" w:hAnsi="Times New Roman" w:cs="Times New Roman"/>
          <w:lang w:val="en-GB"/>
        </w:rPr>
        <w:t>disclosed its personal views on the proposed findings to the press and informed the public about the level of fines envisaged</w:t>
      </w:r>
      <w:r w:rsidR="00E85605" w:rsidRPr="00311B33">
        <w:rPr>
          <w:rFonts w:ascii="Times New Roman" w:hAnsi="Times New Roman" w:cs="Times New Roman"/>
          <w:lang w:val="en-GB"/>
        </w:rPr>
        <w:t xml:space="preserve"> while</w:t>
      </w:r>
      <w:r w:rsidR="008E625A" w:rsidRPr="00311B33">
        <w:rPr>
          <w:rFonts w:ascii="Times New Roman" w:hAnsi="Times New Roman" w:cs="Times New Roman"/>
          <w:lang w:val="en-GB"/>
        </w:rPr>
        <w:t xml:space="preserve"> </w:t>
      </w:r>
      <w:r w:rsidR="00E85605" w:rsidRPr="00311B33">
        <w:rPr>
          <w:rFonts w:ascii="Times New Roman" w:hAnsi="Times New Roman" w:cs="Times New Roman"/>
          <w:lang w:val="en-GB"/>
        </w:rPr>
        <w:t>t</w:t>
      </w:r>
      <w:r w:rsidR="008E625A" w:rsidRPr="00311B33">
        <w:rPr>
          <w:rFonts w:ascii="Times New Roman" w:hAnsi="Times New Roman" w:cs="Times New Roman"/>
          <w:lang w:val="en-GB"/>
        </w:rPr>
        <w:t>hose findings had been submitted to the Advisory Committee and the College of Commissioners for deliberation</w:t>
      </w:r>
      <w:r w:rsidR="00E85605" w:rsidRPr="00311B33">
        <w:rPr>
          <w:rStyle w:val="Appelnotedebasdep"/>
          <w:rFonts w:ascii="Times New Roman" w:hAnsi="Times New Roman" w:cs="Times New Roman"/>
          <w:lang w:val="en-GB"/>
        </w:rPr>
        <w:footnoteReference w:id="118"/>
      </w:r>
      <w:r w:rsidR="008E625A" w:rsidRPr="00311B33">
        <w:rPr>
          <w:rFonts w:ascii="Times New Roman" w:hAnsi="Times New Roman" w:cs="Times New Roman"/>
          <w:lang w:val="en-GB"/>
        </w:rPr>
        <w:t>.</w:t>
      </w:r>
      <w:r w:rsidR="00E85605" w:rsidRPr="00311B33">
        <w:rPr>
          <w:rFonts w:ascii="Times New Roman" w:hAnsi="Times New Roman" w:cs="Times New Roman"/>
          <w:lang w:val="en-GB"/>
        </w:rPr>
        <w:t xml:space="preserve"> The Court </w:t>
      </w:r>
      <w:r w:rsidR="00096FA6" w:rsidRPr="00311B33">
        <w:rPr>
          <w:rFonts w:ascii="Times New Roman" w:hAnsi="Times New Roman" w:cs="Times New Roman"/>
          <w:lang w:val="en-GB"/>
        </w:rPr>
        <w:t xml:space="preserve">lambasted </w:t>
      </w:r>
      <w:r w:rsidR="00E85605" w:rsidRPr="00311B33">
        <w:rPr>
          <w:rFonts w:ascii="Times New Roman" w:hAnsi="Times New Roman" w:cs="Times New Roman"/>
          <w:lang w:val="en-GB"/>
        </w:rPr>
        <w:t>the Commission</w:t>
      </w:r>
      <w:r w:rsidR="00096FA6" w:rsidRPr="00311B33">
        <w:rPr>
          <w:rFonts w:ascii="Times New Roman" w:hAnsi="Times New Roman" w:cs="Times New Roman"/>
          <w:lang w:val="en-GB"/>
        </w:rPr>
        <w:t>. It held</w:t>
      </w:r>
      <w:r w:rsidR="00E85605" w:rsidRPr="00311B33">
        <w:rPr>
          <w:rFonts w:ascii="Times New Roman" w:hAnsi="Times New Roman" w:cs="Times New Roman"/>
          <w:lang w:val="en-GB"/>
        </w:rPr>
        <w:t xml:space="preserve"> </w:t>
      </w:r>
      <w:r w:rsidR="00096FA6" w:rsidRPr="00311B33">
        <w:rPr>
          <w:rFonts w:ascii="Times New Roman" w:hAnsi="Times New Roman" w:cs="Times New Roman"/>
          <w:lang w:val="en-GB"/>
        </w:rPr>
        <w:t xml:space="preserve">that this </w:t>
      </w:r>
      <w:r w:rsidR="00E85605" w:rsidRPr="00311B33">
        <w:rPr>
          <w:rFonts w:ascii="Times New Roman" w:hAnsi="Times New Roman" w:cs="Times New Roman"/>
          <w:lang w:val="en-GB"/>
        </w:rPr>
        <w:t xml:space="preserve">was a blatant violation of the presumption of innocence, </w:t>
      </w:r>
      <w:r w:rsidR="00096FA6" w:rsidRPr="00311B33">
        <w:rPr>
          <w:rFonts w:ascii="Times New Roman" w:hAnsi="Times New Roman" w:cs="Times New Roman"/>
          <w:lang w:val="en-GB"/>
        </w:rPr>
        <w:t xml:space="preserve">and added that the Commission had disregarded </w:t>
      </w:r>
      <w:r w:rsidR="00883A50" w:rsidRPr="004E08B1">
        <w:rPr>
          <w:rStyle w:val="Accentuation"/>
          <w:rFonts w:ascii="Times New Roman" w:hAnsi="Times New Roman" w:cs="Times New Roman"/>
          <w:i w:val="0"/>
          <w:lang w:val="en-GB"/>
        </w:rPr>
        <w:t>its duty to</w:t>
      </w:r>
      <w:r w:rsidRPr="007D6DD4">
        <w:rPr>
          <w:rStyle w:val="Accentuation"/>
          <w:rFonts w:ascii="Times New Roman" w:hAnsi="Times New Roman" w:cs="Times New Roman"/>
          <w:i w:val="0"/>
          <w:lang w:val="en-GB"/>
        </w:rPr>
        <w:t xml:space="preserve"> respect business </w:t>
      </w:r>
      <w:r w:rsidR="00883A50" w:rsidRPr="004E08B1">
        <w:rPr>
          <w:rStyle w:val="Accentuation"/>
          <w:rFonts w:ascii="Times New Roman" w:hAnsi="Times New Roman" w:cs="Times New Roman"/>
          <w:i w:val="0"/>
          <w:lang w:val="en-GB"/>
        </w:rPr>
        <w:t>secrecy and its duty of good administration. The Court however did not go as far as to annul the Commission’s decision. It found that the content of the decision would not have differed if that irregularity had not occurred.</w:t>
      </w:r>
    </w:p>
    <w:p w:rsidR="00A37984" w:rsidRPr="001C50B7" w:rsidRDefault="00A37984" w:rsidP="0082443E">
      <w:pPr>
        <w:jc w:val="both"/>
        <w:rPr>
          <w:rFonts w:ascii="Times New Roman" w:hAnsi="Times New Roman" w:cs="Times New Roman"/>
          <w:lang w:val="en-GB"/>
        </w:rPr>
      </w:pPr>
    </w:p>
    <w:p w:rsidR="00E85605" w:rsidRPr="00311B33" w:rsidRDefault="00E85605" w:rsidP="0082443E">
      <w:pPr>
        <w:jc w:val="both"/>
        <w:rPr>
          <w:rFonts w:ascii="Times New Roman" w:hAnsi="Times New Roman" w:cs="Times New Roman"/>
          <w:lang w:val="en-GB"/>
        </w:rPr>
      </w:pPr>
    </w:p>
    <w:p w:rsidR="009A4463" w:rsidRPr="00311B33" w:rsidRDefault="00FF1FE7" w:rsidP="0082443E">
      <w:pPr>
        <w:jc w:val="both"/>
        <w:rPr>
          <w:rFonts w:ascii="Times New Roman" w:hAnsi="Times New Roman" w:cs="Times New Roman"/>
          <w:b/>
          <w:u w:val="single"/>
          <w:lang w:val="en-GB"/>
        </w:rPr>
      </w:pPr>
      <w:r w:rsidRPr="00311B33">
        <w:rPr>
          <w:rFonts w:ascii="Times New Roman" w:hAnsi="Times New Roman" w:cs="Times New Roman"/>
          <w:b/>
          <w:lang w:val="en-GB"/>
        </w:rPr>
        <w:t>VII.</w:t>
      </w:r>
      <w:r w:rsidRPr="00311B33">
        <w:rPr>
          <w:rFonts w:ascii="Times New Roman" w:hAnsi="Times New Roman" w:cs="Times New Roman"/>
          <w:b/>
          <w:lang w:val="en-GB"/>
        </w:rPr>
        <w:tab/>
      </w:r>
      <w:r w:rsidR="009A4463" w:rsidRPr="00311B33">
        <w:rPr>
          <w:rFonts w:ascii="Times New Roman" w:hAnsi="Times New Roman" w:cs="Times New Roman"/>
          <w:b/>
          <w:u w:val="single"/>
          <w:lang w:val="en-GB"/>
        </w:rPr>
        <w:t xml:space="preserve">The right </w:t>
      </w:r>
      <w:r w:rsidR="008058F6" w:rsidRPr="00311B33">
        <w:rPr>
          <w:rFonts w:ascii="Times New Roman" w:hAnsi="Times New Roman" w:cs="Times New Roman"/>
          <w:b/>
          <w:u w:val="single"/>
          <w:lang w:val="en-GB"/>
        </w:rPr>
        <w:t xml:space="preserve">to </w:t>
      </w:r>
      <w:r w:rsidR="0071256D" w:rsidRPr="00311B33">
        <w:rPr>
          <w:rFonts w:ascii="Times New Roman" w:hAnsi="Times New Roman" w:cs="Times New Roman"/>
          <w:b/>
          <w:u w:val="single"/>
          <w:lang w:val="en-GB"/>
        </w:rPr>
        <w:t>silence</w:t>
      </w:r>
    </w:p>
    <w:p w:rsidR="009A4463" w:rsidRPr="00311B33" w:rsidRDefault="009A4463" w:rsidP="0082443E">
      <w:pPr>
        <w:jc w:val="both"/>
        <w:rPr>
          <w:rFonts w:ascii="Times New Roman" w:hAnsi="Times New Roman" w:cs="Times New Roman"/>
          <w:lang w:val="en-GB"/>
        </w:rPr>
      </w:pPr>
    </w:p>
    <w:p w:rsidR="00A15120" w:rsidRDefault="00B8419C" w:rsidP="0082443E">
      <w:pPr>
        <w:jc w:val="both"/>
        <w:rPr>
          <w:rFonts w:ascii="Times New Roman" w:hAnsi="Times New Roman" w:cs="Times New Roman"/>
          <w:lang w:val="en-US"/>
        </w:rPr>
      </w:pPr>
      <w:r w:rsidRPr="00311B33">
        <w:rPr>
          <w:rFonts w:ascii="Times New Roman" w:hAnsi="Times New Roman" w:cs="Times New Roman"/>
          <w:b/>
          <w:lang w:val="en-GB"/>
        </w:rPr>
        <w:t>Content and legal basis</w:t>
      </w:r>
      <w:r w:rsidRPr="00311B33">
        <w:rPr>
          <w:rFonts w:ascii="Times New Roman" w:hAnsi="Times New Roman" w:cs="Times New Roman"/>
          <w:b/>
          <w:lang w:val="en-US"/>
        </w:rPr>
        <w:t xml:space="preserve"> </w:t>
      </w:r>
      <w:r w:rsidRPr="00311B33">
        <w:rPr>
          <w:rFonts w:ascii="Times New Roman" w:hAnsi="Times New Roman" w:cs="Times New Roman"/>
          <w:lang w:val="en-US"/>
        </w:rPr>
        <w:t xml:space="preserve">– </w:t>
      </w:r>
      <w:r w:rsidR="00A76C89" w:rsidRPr="00311B33">
        <w:rPr>
          <w:rFonts w:ascii="Times New Roman" w:hAnsi="Times New Roman" w:cs="Times New Roman"/>
          <w:lang w:val="en-US"/>
        </w:rPr>
        <w:t xml:space="preserve">The threat of sanctions can lead firms to self-incriminate themselves, even </w:t>
      </w:r>
      <w:r w:rsidR="00062EAE" w:rsidRPr="00311B33">
        <w:rPr>
          <w:rFonts w:ascii="Times New Roman" w:hAnsi="Times New Roman" w:cs="Times New Roman"/>
          <w:lang w:val="en-US"/>
        </w:rPr>
        <w:t>if they</w:t>
      </w:r>
      <w:r w:rsidR="00A76C89" w:rsidRPr="00311B33">
        <w:rPr>
          <w:rFonts w:ascii="Times New Roman" w:hAnsi="Times New Roman" w:cs="Times New Roman"/>
          <w:lang w:val="en-US"/>
        </w:rPr>
        <w:t xml:space="preserve"> are not guilty of infringement. For instance, </w:t>
      </w:r>
      <w:r w:rsidR="00062EAE" w:rsidRPr="00311B33">
        <w:rPr>
          <w:rFonts w:ascii="Times New Roman" w:hAnsi="Times New Roman" w:cs="Times New Roman"/>
          <w:lang w:val="en-US"/>
        </w:rPr>
        <w:t>a public authority may issue a request for information</w:t>
      </w:r>
      <w:r w:rsidR="004F1C25" w:rsidRPr="00311B33">
        <w:rPr>
          <w:rFonts w:ascii="Times New Roman" w:hAnsi="Times New Roman" w:cs="Times New Roman"/>
          <w:lang w:val="en-US"/>
        </w:rPr>
        <w:t xml:space="preserve"> (“RFI”)</w:t>
      </w:r>
      <w:r w:rsidR="00062EAE" w:rsidRPr="00311B33">
        <w:rPr>
          <w:rFonts w:ascii="Times New Roman" w:hAnsi="Times New Roman" w:cs="Times New Roman"/>
          <w:lang w:val="en-US"/>
        </w:rPr>
        <w:t xml:space="preserve"> that asks for answers </w:t>
      </w:r>
      <w:r w:rsidR="00062EAE" w:rsidRPr="00311B33">
        <w:rPr>
          <w:rFonts w:ascii="Times New Roman" w:hAnsi="Times New Roman" w:cs="Times New Roman"/>
          <w:lang w:val="en-GB"/>
        </w:rPr>
        <w:t>which might involve an admission of the existence of an infringement.</w:t>
      </w:r>
      <w:r w:rsidR="00062EAE" w:rsidRPr="00311B33">
        <w:rPr>
          <w:rFonts w:ascii="Times New Roman" w:hAnsi="Times New Roman" w:cs="Times New Roman"/>
          <w:lang w:val="en-US"/>
        </w:rPr>
        <w:t xml:space="preserve"> The threat of fines for </w:t>
      </w:r>
      <w:r w:rsidR="009D256D" w:rsidRPr="00311B33">
        <w:rPr>
          <w:rFonts w:ascii="Times New Roman" w:hAnsi="Times New Roman" w:cs="Times New Roman"/>
          <w:lang w:val="en-US"/>
        </w:rPr>
        <w:t xml:space="preserve">inadequate </w:t>
      </w:r>
      <w:r w:rsidR="00062EAE" w:rsidRPr="00311B33">
        <w:rPr>
          <w:rFonts w:ascii="Times New Roman" w:hAnsi="Times New Roman" w:cs="Times New Roman"/>
          <w:lang w:val="en-US"/>
        </w:rPr>
        <w:t>replies</w:t>
      </w:r>
      <w:r w:rsidR="009D256D" w:rsidRPr="00311B33">
        <w:rPr>
          <w:rFonts w:ascii="Times New Roman" w:hAnsi="Times New Roman" w:cs="Times New Roman"/>
          <w:lang w:val="en-US"/>
        </w:rPr>
        <w:t xml:space="preserve"> </w:t>
      </w:r>
      <w:r w:rsidR="00062EAE" w:rsidRPr="00311B33">
        <w:rPr>
          <w:rFonts w:ascii="Times New Roman" w:hAnsi="Times New Roman" w:cs="Times New Roman"/>
          <w:lang w:val="en-US"/>
        </w:rPr>
        <w:t xml:space="preserve">may </w:t>
      </w:r>
      <w:r w:rsidR="009D256D" w:rsidRPr="00311B33">
        <w:rPr>
          <w:rFonts w:ascii="Times New Roman" w:hAnsi="Times New Roman" w:cs="Times New Roman"/>
          <w:lang w:val="en-US"/>
        </w:rPr>
        <w:t xml:space="preserve">prompt the addressee of such RFI </w:t>
      </w:r>
      <w:r w:rsidR="00062EAE" w:rsidRPr="00311B33">
        <w:rPr>
          <w:rFonts w:ascii="Times New Roman" w:hAnsi="Times New Roman" w:cs="Times New Roman"/>
          <w:lang w:val="en-US"/>
        </w:rPr>
        <w:t xml:space="preserve">to concede that it is guilty of infringement. More indirectly, </w:t>
      </w:r>
      <w:r w:rsidR="00062EAE" w:rsidRPr="002374A9">
        <w:rPr>
          <w:rFonts w:ascii="Times New Roman" w:hAnsi="Times New Roman" w:cs="Times New Roman"/>
          <w:lang w:val="en-US"/>
        </w:rPr>
        <w:t xml:space="preserve">a public authority may design, phrase, and organize its questions so as to frame an addressee of a request for information. </w:t>
      </w:r>
    </w:p>
    <w:p w:rsidR="00A15120" w:rsidRDefault="00A15120" w:rsidP="0082443E">
      <w:pPr>
        <w:jc w:val="both"/>
        <w:rPr>
          <w:rFonts w:ascii="Times New Roman" w:hAnsi="Times New Roman" w:cs="Times New Roman"/>
          <w:lang w:val="en-US"/>
        </w:rPr>
      </w:pPr>
    </w:p>
    <w:p w:rsidR="009A4463" w:rsidRPr="00311B33" w:rsidRDefault="00A15120" w:rsidP="0082443E">
      <w:pPr>
        <w:jc w:val="both"/>
        <w:rPr>
          <w:rFonts w:ascii="Times New Roman" w:hAnsi="Times New Roman" w:cs="Times New Roman"/>
          <w:lang w:val="en-GB"/>
        </w:rPr>
      </w:pPr>
      <w:r>
        <w:rPr>
          <w:rFonts w:ascii="Times New Roman" w:hAnsi="Times New Roman" w:cs="Times New Roman"/>
          <w:lang w:val="en-US"/>
        </w:rPr>
        <w:t xml:space="preserve">The right to silence has no express legal basis. The </w:t>
      </w:r>
      <w:r w:rsidR="002374A9" w:rsidRPr="004E08B1">
        <w:rPr>
          <w:rFonts w:ascii="Times New Roman" w:hAnsi="Times New Roman" w:cs="Times New Roman"/>
          <w:lang w:val="en-US"/>
        </w:rPr>
        <w:t xml:space="preserve">CJEU considers that </w:t>
      </w:r>
      <w:r>
        <w:rPr>
          <w:rFonts w:ascii="Times New Roman" w:hAnsi="Times New Roman" w:cs="Times New Roman"/>
          <w:lang w:val="en-US"/>
        </w:rPr>
        <w:t xml:space="preserve">it </w:t>
      </w:r>
      <w:r w:rsidR="002374A9" w:rsidRPr="004E08B1">
        <w:rPr>
          <w:rFonts w:ascii="Times New Roman" w:hAnsi="Times New Roman" w:cs="Times New Roman"/>
          <w:lang w:val="en-US"/>
        </w:rPr>
        <w:t xml:space="preserve">derives from the rights of defence, </w:t>
      </w:r>
      <w:r>
        <w:rPr>
          <w:rFonts w:ascii="Times New Roman" w:hAnsi="Times New Roman" w:cs="Times New Roman"/>
          <w:lang w:val="en-US"/>
        </w:rPr>
        <w:t>and the</w:t>
      </w:r>
      <w:r w:rsidR="002374A9" w:rsidRPr="004E08B1">
        <w:rPr>
          <w:rFonts w:ascii="Times New Roman" w:hAnsi="Times New Roman" w:cs="Times New Roman"/>
          <w:lang w:val="en-US"/>
        </w:rPr>
        <w:t xml:space="preserve"> Court held </w:t>
      </w:r>
      <w:r>
        <w:rPr>
          <w:rFonts w:ascii="Times New Roman" w:hAnsi="Times New Roman" w:cs="Times New Roman"/>
          <w:lang w:val="en-US"/>
        </w:rPr>
        <w:t xml:space="preserve">it </w:t>
      </w:r>
      <w:r w:rsidR="002374A9" w:rsidRPr="004E08B1">
        <w:rPr>
          <w:rFonts w:ascii="Times New Roman" w:hAnsi="Times New Roman" w:cs="Times New Roman"/>
          <w:lang w:val="en-US"/>
        </w:rPr>
        <w:t>to be a fundamental principle of the Community legal order.</w:t>
      </w:r>
      <w:r w:rsidR="002374A9">
        <w:rPr>
          <w:rStyle w:val="Appelnotedebasdep"/>
          <w:rFonts w:ascii="Times New Roman" w:hAnsi="Times New Roman" w:cs="Times New Roman"/>
          <w:iCs/>
          <w:color w:val="333333"/>
          <w:bdr w:val="none" w:sz="0" w:space="0" w:color="auto" w:frame="1"/>
          <w:shd w:val="clear" w:color="auto" w:fill="FFFFFF"/>
        </w:rPr>
        <w:footnoteReference w:id="119"/>
      </w:r>
    </w:p>
    <w:p w:rsidR="00A15120" w:rsidRDefault="00A15120" w:rsidP="00C87FA4">
      <w:pPr>
        <w:widowControl w:val="0"/>
        <w:autoSpaceDE w:val="0"/>
        <w:autoSpaceDN w:val="0"/>
        <w:adjustRightInd w:val="0"/>
        <w:jc w:val="both"/>
        <w:rPr>
          <w:rFonts w:ascii="Times New Roman" w:hAnsi="Times New Roman" w:cs="Times New Roman"/>
          <w:lang w:val="en-GB"/>
        </w:rPr>
      </w:pPr>
    </w:p>
    <w:p w:rsidR="00E85605" w:rsidRPr="00311B33" w:rsidRDefault="00A15120" w:rsidP="00C87FA4">
      <w:pPr>
        <w:widowControl w:val="0"/>
        <w:autoSpaceDE w:val="0"/>
        <w:autoSpaceDN w:val="0"/>
        <w:adjustRightInd w:val="0"/>
        <w:jc w:val="both"/>
        <w:rPr>
          <w:rFonts w:ascii="Times New Roman" w:hAnsi="Times New Roman" w:cs="Times New Roman"/>
          <w:lang w:val="en-GB"/>
        </w:rPr>
      </w:pPr>
      <w:r>
        <w:rPr>
          <w:rFonts w:ascii="Times New Roman" w:hAnsi="Times New Roman" w:cs="Times New Roman"/>
          <w:lang w:val="en-GB"/>
        </w:rPr>
        <w:t>In practice, t</w:t>
      </w:r>
      <w:r w:rsidRPr="00311B33">
        <w:rPr>
          <w:rFonts w:ascii="Times New Roman" w:hAnsi="Times New Roman" w:cs="Times New Roman"/>
          <w:lang w:val="en-GB"/>
        </w:rPr>
        <w:t xml:space="preserve">he </w:t>
      </w:r>
      <w:r w:rsidR="00890F43" w:rsidRPr="00311B33">
        <w:rPr>
          <w:rFonts w:ascii="Times New Roman" w:hAnsi="Times New Roman" w:cs="Times New Roman"/>
          <w:lang w:val="en-GB"/>
        </w:rPr>
        <w:t>right to remain silent is</w:t>
      </w:r>
      <w:r w:rsidR="00062EAE" w:rsidRPr="00311B33">
        <w:rPr>
          <w:rFonts w:ascii="Times New Roman" w:hAnsi="Times New Roman" w:cs="Times New Roman"/>
          <w:lang w:val="en-GB"/>
        </w:rPr>
        <w:t xml:space="preserve"> relevant in relation to two investigative </w:t>
      </w:r>
      <w:r>
        <w:rPr>
          <w:rFonts w:ascii="Times New Roman" w:hAnsi="Times New Roman" w:cs="Times New Roman"/>
          <w:lang w:val="en-GB"/>
        </w:rPr>
        <w:t>instruments</w:t>
      </w:r>
      <w:r w:rsidR="00890F43" w:rsidRPr="00311B33">
        <w:rPr>
          <w:rFonts w:ascii="Times New Roman" w:hAnsi="Times New Roman" w:cs="Times New Roman"/>
          <w:lang w:val="en-GB"/>
        </w:rPr>
        <w:t xml:space="preserve">. </w:t>
      </w:r>
      <w:r w:rsidR="00062EAE" w:rsidRPr="00311B33">
        <w:rPr>
          <w:rFonts w:ascii="Times New Roman" w:hAnsi="Times New Roman" w:cs="Times New Roman"/>
          <w:lang w:val="en-GB"/>
        </w:rPr>
        <w:t xml:space="preserve">First, </w:t>
      </w:r>
      <w:r w:rsidR="00995EDD" w:rsidRPr="00311B33">
        <w:rPr>
          <w:rFonts w:ascii="Times New Roman" w:hAnsi="Times New Roman" w:cs="Times New Roman"/>
          <w:lang w:val="en-GB"/>
        </w:rPr>
        <w:t xml:space="preserve">Article 18 of Regulation 1/2003 allows the Commission to require information by means of a simple request or of a formal decision. These measures must satisfy </w:t>
      </w:r>
      <w:r w:rsidR="00062EAE" w:rsidRPr="00311B33">
        <w:rPr>
          <w:rFonts w:ascii="Times New Roman" w:hAnsi="Times New Roman" w:cs="Times New Roman"/>
          <w:lang w:val="en-GB"/>
        </w:rPr>
        <w:t xml:space="preserve">certain </w:t>
      </w:r>
      <w:r w:rsidR="00995EDD" w:rsidRPr="00311B33">
        <w:rPr>
          <w:rFonts w:ascii="Times New Roman" w:hAnsi="Times New Roman" w:cs="Times New Roman"/>
          <w:lang w:val="en-GB"/>
        </w:rPr>
        <w:t xml:space="preserve">requirements </w:t>
      </w:r>
      <w:r w:rsidR="00062EAE" w:rsidRPr="00311B33">
        <w:rPr>
          <w:rFonts w:ascii="Times New Roman" w:hAnsi="Times New Roman" w:cs="Times New Roman"/>
          <w:lang w:val="en-GB"/>
        </w:rPr>
        <w:t xml:space="preserve">in terms of </w:t>
      </w:r>
      <w:r w:rsidR="00995EDD" w:rsidRPr="00311B33">
        <w:rPr>
          <w:rFonts w:ascii="Times New Roman" w:hAnsi="Times New Roman" w:cs="Times New Roman"/>
          <w:lang w:val="en-GB"/>
        </w:rPr>
        <w:t>content</w:t>
      </w:r>
      <w:r w:rsidR="00062EAE" w:rsidRPr="00311B33">
        <w:rPr>
          <w:rFonts w:ascii="Times New Roman" w:hAnsi="Times New Roman" w:cs="Times New Roman"/>
          <w:lang w:val="en-GB"/>
        </w:rPr>
        <w:t xml:space="preserve">, </w:t>
      </w:r>
      <w:r w:rsidR="00995EDD" w:rsidRPr="00311B33">
        <w:rPr>
          <w:rFonts w:ascii="Times New Roman" w:hAnsi="Times New Roman" w:cs="Times New Roman"/>
          <w:lang w:val="en-GB"/>
        </w:rPr>
        <w:t xml:space="preserve">legal basis, purpose, </w:t>
      </w:r>
      <w:r w:rsidR="00062EAE" w:rsidRPr="00311B33">
        <w:rPr>
          <w:rFonts w:ascii="Times New Roman" w:hAnsi="Times New Roman" w:cs="Times New Roman"/>
          <w:lang w:val="en-GB"/>
        </w:rPr>
        <w:t xml:space="preserve">amount of </w:t>
      </w:r>
      <w:r w:rsidR="00995EDD" w:rsidRPr="00311B33">
        <w:rPr>
          <w:rFonts w:ascii="Times New Roman" w:hAnsi="Times New Roman" w:cs="Times New Roman"/>
          <w:lang w:val="en-GB"/>
        </w:rPr>
        <w:t>information required and time limit.</w:t>
      </w:r>
      <w:r w:rsidR="004D57DD" w:rsidRPr="00311B33">
        <w:rPr>
          <w:rFonts w:ascii="Times New Roman" w:hAnsi="Times New Roman" w:cs="Times New Roman"/>
          <w:lang w:val="en-GB"/>
        </w:rPr>
        <w:t xml:space="preserve"> </w:t>
      </w:r>
      <w:r w:rsidR="00062EAE" w:rsidRPr="00311B33">
        <w:rPr>
          <w:rFonts w:ascii="Times New Roman" w:hAnsi="Times New Roman" w:cs="Times New Roman"/>
          <w:lang w:val="en-GB"/>
        </w:rPr>
        <w:t xml:space="preserve">Second, </w:t>
      </w:r>
      <w:r w:rsidR="00995EDD" w:rsidRPr="00311B33">
        <w:rPr>
          <w:rFonts w:ascii="Times New Roman" w:hAnsi="Times New Roman" w:cs="Times New Roman"/>
          <w:lang w:val="en-GB"/>
        </w:rPr>
        <w:t xml:space="preserve">Article 19 of Regulation 1/2003 empowers the Commission to interview </w:t>
      </w:r>
      <w:r w:rsidR="00062EAE" w:rsidRPr="00311B33">
        <w:rPr>
          <w:rFonts w:ascii="Times New Roman" w:hAnsi="Times New Roman" w:cs="Times New Roman"/>
          <w:lang w:val="en-GB"/>
        </w:rPr>
        <w:t xml:space="preserve">any natural or legal person </w:t>
      </w:r>
      <w:r w:rsidR="000025CF" w:rsidRPr="00311B33">
        <w:rPr>
          <w:rFonts w:ascii="Times New Roman" w:hAnsi="Times New Roman" w:cs="Times New Roman"/>
          <w:lang w:val="en-GB"/>
        </w:rPr>
        <w:t xml:space="preserve">who consents </w:t>
      </w:r>
      <w:r w:rsidR="00062EAE" w:rsidRPr="00311B33">
        <w:rPr>
          <w:rFonts w:ascii="Times New Roman" w:hAnsi="Times New Roman" w:cs="Times New Roman"/>
          <w:lang w:val="en-GB"/>
        </w:rPr>
        <w:t xml:space="preserve">for the purpose of collecting information relating to </w:t>
      </w:r>
      <w:r w:rsidR="00062EAE" w:rsidRPr="00311B33">
        <w:rPr>
          <w:rFonts w:ascii="Times New Roman" w:hAnsi="Times New Roman" w:cs="Times New Roman"/>
          <w:lang w:val="en-GB"/>
        </w:rPr>
        <w:lastRenderedPageBreak/>
        <w:t>the subject-matter of an investigation</w:t>
      </w:r>
      <w:r w:rsidR="00995EDD" w:rsidRPr="00311B33">
        <w:rPr>
          <w:rFonts w:ascii="Times New Roman" w:hAnsi="Times New Roman" w:cs="Times New Roman"/>
          <w:lang w:val="en-GB"/>
        </w:rPr>
        <w:t>.</w:t>
      </w:r>
      <w:r w:rsidR="00C20CF5" w:rsidRPr="00311B33">
        <w:rPr>
          <w:rStyle w:val="Appelnotedebasdep"/>
          <w:rFonts w:ascii="Times New Roman" w:hAnsi="Times New Roman" w:cs="Times New Roman"/>
          <w:lang w:val="en-GB"/>
        </w:rPr>
        <w:footnoteReference w:id="120"/>
      </w:r>
      <w:r w:rsidR="00995EDD" w:rsidRPr="00311B33">
        <w:rPr>
          <w:rFonts w:ascii="Times New Roman" w:hAnsi="Times New Roman" w:cs="Times New Roman"/>
          <w:lang w:val="en-GB"/>
        </w:rPr>
        <w:t xml:space="preserve"> </w:t>
      </w:r>
    </w:p>
    <w:p w:rsidR="00A15120" w:rsidRDefault="00A15120" w:rsidP="00482DF2">
      <w:pPr>
        <w:jc w:val="both"/>
        <w:rPr>
          <w:rFonts w:ascii="Times New Roman" w:hAnsi="Times New Roman" w:cs="Times New Roman"/>
          <w:b/>
          <w:lang w:val="en-GB"/>
        </w:rPr>
      </w:pPr>
    </w:p>
    <w:p w:rsidR="00482DF2" w:rsidRPr="00311B33" w:rsidRDefault="001F30B6" w:rsidP="00482DF2">
      <w:pPr>
        <w:jc w:val="both"/>
        <w:rPr>
          <w:rFonts w:ascii="Times New Roman" w:hAnsi="Times New Roman" w:cs="Times New Roman"/>
          <w:lang w:val="en-GB"/>
        </w:rPr>
      </w:pPr>
      <w:r w:rsidRPr="00311B33">
        <w:rPr>
          <w:rFonts w:ascii="Times New Roman" w:hAnsi="Times New Roman" w:cs="Times New Roman"/>
          <w:b/>
          <w:lang w:val="en-GB"/>
        </w:rPr>
        <w:t>B</w:t>
      </w:r>
      <w:r w:rsidR="009B1657" w:rsidRPr="00246F56">
        <w:rPr>
          <w:rFonts w:ascii="Times New Roman" w:hAnsi="Times New Roman" w:cs="Times New Roman"/>
          <w:b/>
          <w:lang w:val="en-GB"/>
        </w:rPr>
        <w:t xml:space="preserve">alance – </w:t>
      </w:r>
      <w:r w:rsidRPr="00311B33">
        <w:rPr>
          <w:rFonts w:ascii="Times New Roman" w:hAnsi="Times New Roman" w:cs="Times New Roman"/>
          <w:lang w:val="en-GB"/>
        </w:rPr>
        <w:t>T</w:t>
      </w:r>
      <w:r w:rsidR="003C2E72" w:rsidRPr="00311B33">
        <w:rPr>
          <w:rFonts w:ascii="Times New Roman" w:hAnsi="Times New Roman" w:cs="Times New Roman"/>
          <w:lang w:val="en-GB"/>
        </w:rPr>
        <w:t xml:space="preserve">he right to remain silent is not absolute. </w:t>
      </w:r>
      <w:r w:rsidRPr="00311B33">
        <w:rPr>
          <w:rFonts w:ascii="Times New Roman" w:hAnsi="Times New Roman" w:cs="Times New Roman"/>
          <w:lang w:val="en-GB"/>
        </w:rPr>
        <w:t>Whilst n</w:t>
      </w:r>
      <w:r w:rsidR="00482DF2" w:rsidRPr="00311B33">
        <w:rPr>
          <w:rFonts w:ascii="Times New Roman" w:hAnsi="Times New Roman" w:cs="Times New Roman"/>
          <w:lang w:val="en-GB"/>
        </w:rPr>
        <w:t xml:space="preserve">o undertaking can be forced to admit </w:t>
      </w:r>
      <w:r w:rsidR="0010675B" w:rsidRPr="00311B33">
        <w:rPr>
          <w:rFonts w:ascii="Times New Roman" w:hAnsi="Times New Roman" w:cs="Times New Roman"/>
          <w:lang w:val="en-GB"/>
        </w:rPr>
        <w:t>liability for</w:t>
      </w:r>
      <w:r w:rsidR="00482DF2" w:rsidRPr="00311B33">
        <w:rPr>
          <w:rFonts w:ascii="Times New Roman" w:hAnsi="Times New Roman" w:cs="Times New Roman"/>
          <w:lang w:val="en-GB"/>
        </w:rPr>
        <w:t xml:space="preserve"> infringement</w:t>
      </w:r>
      <w:r w:rsidRPr="00311B33">
        <w:rPr>
          <w:rFonts w:ascii="Times New Roman" w:hAnsi="Times New Roman" w:cs="Times New Roman"/>
          <w:lang w:val="en-GB"/>
        </w:rPr>
        <w:t xml:space="preserve">, all have the </w:t>
      </w:r>
      <w:r w:rsidR="00482DF2" w:rsidRPr="00311B33">
        <w:rPr>
          <w:rFonts w:ascii="Times New Roman" w:hAnsi="Times New Roman" w:cs="Times New Roman"/>
          <w:lang w:val="en-GB"/>
        </w:rPr>
        <w:t>obligation to cooperate actively</w:t>
      </w:r>
      <w:r w:rsidR="000716CF" w:rsidRPr="00311B33">
        <w:rPr>
          <w:rFonts w:ascii="Times New Roman" w:hAnsi="Times New Roman" w:cs="Times New Roman"/>
          <w:lang w:val="en-GB"/>
        </w:rPr>
        <w:t xml:space="preserve"> to investigations</w:t>
      </w:r>
      <w:r w:rsidR="00482DF2" w:rsidRPr="00311B33">
        <w:rPr>
          <w:rFonts w:ascii="Times New Roman" w:hAnsi="Times New Roman" w:cs="Times New Roman"/>
          <w:lang w:val="en-GB"/>
        </w:rPr>
        <w:t>.</w:t>
      </w:r>
      <w:r w:rsidR="00482DF2" w:rsidRPr="00311B33">
        <w:rPr>
          <w:rStyle w:val="Appelnotedebasdep"/>
          <w:rFonts w:ascii="Times New Roman" w:hAnsi="Times New Roman" w:cs="Times New Roman"/>
          <w:lang w:val="en-GB"/>
        </w:rPr>
        <w:footnoteReference w:id="121"/>
      </w:r>
      <w:r w:rsidR="00482DF2" w:rsidRPr="00311B33">
        <w:rPr>
          <w:rFonts w:ascii="Times New Roman" w:hAnsi="Times New Roman" w:cs="Times New Roman"/>
          <w:lang w:val="en-GB"/>
        </w:rPr>
        <w:t xml:space="preserve"> </w:t>
      </w:r>
    </w:p>
    <w:p w:rsidR="00B8419C" w:rsidRPr="00311B33" w:rsidRDefault="00B8419C" w:rsidP="0082443E">
      <w:pPr>
        <w:jc w:val="both"/>
        <w:rPr>
          <w:rFonts w:ascii="Times New Roman" w:hAnsi="Times New Roman" w:cs="Times New Roman"/>
          <w:lang w:val="en-GB"/>
        </w:rPr>
      </w:pPr>
    </w:p>
    <w:p w:rsidR="006B2695" w:rsidRPr="00311B33" w:rsidRDefault="006B2695" w:rsidP="0082443E">
      <w:pPr>
        <w:jc w:val="both"/>
        <w:rPr>
          <w:rFonts w:ascii="Times New Roman" w:hAnsi="Times New Roman" w:cs="Times New Roman"/>
          <w:lang w:val="en-GB"/>
        </w:rPr>
      </w:pPr>
      <w:r w:rsidRPr="00311B33">
        <w:rPr>
          <w:rFonts w:ascii="Times New Roman" w:hAnsi="Times New Roman" w:cs="Times New Roman"/>
          <w:lang w:val="en-GB"/>
        </w:rPr>
        <w:t xml:space="preserve">The </w:t>
      </w:r>
      <w:r w:rsidR="007A4875" w:rsidRPr="00311B33">
        <w:rPr>
          <w:rFonts w:ascii="Times New Roman" w:hAnsi="Times New Roman" w:cs="Times New Roman"/>
          <w:lang w:val="en-GB"/>
        </w:rPr>
        <w:t>ECtHR</w:t>
      </w:r>
      <w:r w:rsidR="00BC6CFA" w:rsidRPr="00311B33">
        <w:rPr>
          <w:rFonts w:ascii="Times New Roman" w:hAnsi="Times New Roman" w:cs="Times New Roman"/>
          <w:lang w:val="en-GB"/>
        </w:rPr>
        <w:t xml:space="preserve"> case-law cast</w:t>
      </w:r>
      <w:r w:rsidR="00CC13CE">
        <w:rPr>
          <w:rFonts w:ascii="Times New Roman" w:hAnsi="Times New Roman" w:cs="Times New Roman"/>
          <w:lang w:val="en-GB"/>
        </w:rPr>
        <w:t>s</w:t>
      </w:r>
      <w:r w:rsidR="00BC6CFA" w:rsidRPr="00311B33">
        <w:rPr>
          <w:rFonts w:ascii="Times New Roman" w:hAnsi="Times New Roman" w:cs="Times New Roman"/>
          <w:lang w:val="en-GB"/>
        </w:rPr>
        <w:t xml:space="preserve"> lights on the subtle articulation between the right to remain silent and the duty to assist investigations. In </w:t>
      </w:r>
      <w:r w:rsidR="009B1657" w:rsidRPr="00311B33">
        <w:rPr>
          <w:rFonts w:ascii="Times New Roman" w:hAnsi="Times New Roman" w:cs="Times New Roman"/>
          <w:i/>
          <w:lang w:val="en-GB"/>
        </w:rPr>
        <w:t>Saunders</w:t>
      </w:r>
      <w:r w:rsidR="00BC6CFA" w:rsidRPr="00311B33">
        <w:rPr>
          <w:rFonts w:ascii="Times New Roman" w:hAnsi="Times New Roman" w:cs="Times New Roman"/>
          <w:lang w:val="en-GB"/>
        </w:rPr>
        <w:t xml:space="preserve">, the ECtHR explained that whilst </w:t>
      </w:r>
      <w:r w:rsidR="009A4463" w:rsidRPr="00311B33">
        <w:rPr>
          <w:rFonts w:ascii="Times New Roman" w:hAnsi="Times New Roman" w:cs="Times New Roman"/>
          <w:lang w:val="en-GB"/>
        </w:rPr>
        <w:t xml:space="preserve">the investigated party could refrain from </w:t>
      </w:r>
      <w:r w:rsidR="009A4463" w:rsidRPr="00812253">
        <w:rPr>
          <w:rFonts w:ascii="Times New Roman" w:hAnsi="Times New Roman" w:cs="Times New Roman"/>
          <w:lang w:val="en-GB"/>
        </w:rPr>
        <w:t xml:space="preserve">providing incriminating statements, </w:t>
      </w:r>
      <w:r w:rsidR="00812253" w:rsidRPr="00812253">
        <w:rPr>
          <w:rFonts w:ascii="Times New Roman" w:hAnsi="Times New Roman" w:cs="Times New Roman"/>
          <w:lang w:val="en-GB"/>
        </w:rPr>
        <w:t xml:space="preserve">the right </w:t>
      </w:r>
      <w:r w:rsidR="00812253" w:rsidRPr="0040568D">
        <w:rPr>
          <w:rFonts w:ascii="Times New Roman" w:hAnsi="Times New Roman" w:cs="Times New Roman"/>
          <w:lang w:val="en-GB"/>
        </w:rPr>
        <w:t>to</w:t>
      </w:r>
      <w:r w:rsidR="00812253" w:rsidRPr="002374A9">
        <w:rPr>
          <w:rFonts w:ascii="Times New Roman" w:hAnsi="Times New Roman" w:cs="Times New Roman"/>
          <w:lang w:val="en-GB"/>
        </w:rPr>
        <w:t xml:space="preserve"> remain silent </w:t>
      </w:r>
      <w:r w:rsidR="00812253" w:rsidRPr="00812253">
        <w:rPr>
          <w:rFonts w:ascii="Times New Roman" w:hAnsi="Times New Roman" w:cs="Times New Roman"/>
          <w:lang w:val="en-GB"/>
        </w:rPr>
        <w:t>does not ext</w:t>
      </w:r>
      <w:r w:rsidR="00812253" w:rsidRPr="0040568D">
        <w:rPr>
          <w:rFonts w:ascii="Times New Roman" w:hAnsi="Times New Roman" w:cs="Times New Roman"/>
          <w:lang w:val="en-GB"/>
        </w:rPr>
        <w:t>e</w:t>
      </w:r>
      <w:r w:rsidR="00812253" w:rsidRPr="002374A9">
        <w:rPr>
          <w:rFonts w:ascii="Times New Roman" w:hAnsi="Times New Roman" w:cs="Times New Roman"/>
          <w:lang w:val="en-GB"/>
        </w:rPr>
        <w:t xml:space="preserve">nd to </w:t>
      </w:r>
      <w:r w:rsidR="00883A50" w:rsidRPr="004E08B1">
        <w:rPr>
          <w:rFonts w:ascii="Times New Roman" w:hAnsi="Times New Roman" w:cs="Times New Roman"/>
          <w:lang w:val="en-GB"/>
        </w:rPr>
        <w:t xml:space="preserve">documents </w:t>
      </w:r>
      <w:r w:rsidR="00C63F32" w:rsidRPr="00812253">
        <w:rPr>
          <w:rFonts w:ascii="Times New Roman" w:hAnsi="Times New Roman" w:cs="Times New Roman"/>
          <w:lang w:val="en-GB"/>
        </w:rPr>
        <w:t>“</w:t>
      </w:r>
      <w:r w:rsidR="00812253" w:rsidRPr="007D6DD4">
        <w:rPr>
          <w:rFonts w:ascii="Times New Roman" w:hAnsi="Times New Roman" w:cs="Times New Roman"/>
          <w:i/>
          <w:color w:val="000000"/>
          <w:shd w:val="clear" w:color="auto" w:fill="FFFFFF"/>
          <w:lang w:val="en-GB"/>
        </w:rPr>
        <w:t>which may be obtained from the accused through the use of compulsory powers but</w:t>
      </w:r>
      <w:r w:rsidR="00812253" w:rsidRPr="007D6DD4">
        <w:rPr>
          <w:rStyle w:val="apple-converted-space"/>
          <w:rFonts w:ascii="Times New Roman" w:hAnsi="Times New Roman" w:cs="Times New Roman"/>
          <w:i/>
          <w:color w:val="000000"/>
          <w:shd w:val="clear" w:color="auto" w:fill="FFFFFF"/>
          <w:lang w:val="en-GB"/>
        </w:rPr>
        <w:t> </w:t>
      </w:r>
      <w:r w:rsidR="00883A50" w:rsidRPr="004E08B1">
        <w:rPr>
          <w:rFonts w:ascii="Times New Roman" w:hAnsi="Times New Roman" w:cs="Times New Roman"/>
          <w:i/>
          <w:lang w:val="en-GB"/>
        </w:rPr>
        <w:t xml:space="preserve">which </w:t>
      </w:r>
      <w:r w:rsidR="00812253" w:rsidRPr="00812253">
        <w:rPr>
          <w:rFonts w:ascii="Times New Roman" w:hAnsi="Times New Roman" w:cs="Times New Roman"/>
          <w:i/>
          <w:lang w:val="en-GB"/>
        </w:rPr>
        <w:t>[have]</w:t>
      </w:r>
      <w:r w:rsidR="00883A50" w:rsidRPr="004E08B1">
        <w:rPr>
          <w:rFonts w:ascii="Times New Roman" w:hAnsi="Times New Roman" w:cs="Times New Roman"/>
          <w:i/>
          <w:lang w:val="en-GB"/>
        </w:rPr>
        <w:t xml:space="preserve"> an existence independent of the will of the suspect such as, inter alia, documents acquired pursuant to a warrant, breath, blood and urine samples and bodily tissue for the purpose of DNA testing</w:t>
      </w:r>
      <w:r w:rsidR="00C63F32" w:rsidRPr="00812253">
        <w:rPr>
          <w:rFonts w:ascii="Times New Roman" w:hAnsi="Times New Roman" w:cs="Times New Roman"/>
          <w:lang w:val="en-GB"/>
        </w:rPr>
        <w:t>”</w:t>
      </w:r>
      <w:r w:rsidR="00812253">
        <w:rPr>
          <w:rFonts w:ascii="Times New Roman" w:hAnsi="Times New Roman" w:cs="Times New Roman"/>
          <w:lang w:val="en-GB"/>
        </w:rPr>
        <w:t>.</w:t>
      </w:r>
      <w:r w:rsidR="00BC6CFA" w:rsidRPr="00812253">
        <w:rPr>
          <w:rStyle w:val="Appelnotedebasdep"/>
          <w:rFonts w:ascii="Times New Roman" w:hAnsi="Times New Roman" w:cs="Times New Roman"/>
          <w:lang w:val="en-GB"/>
        </w:rPr>
        <w:footnoteReference w:id="122"/>
      </w:r>
      <w:r w:rsidR="00BC6CFA" w:rsidRPr="00812253">
        <w:rPr>
          <w:rFonts w:ascii="Times New Roman" w:hAnsi="Times New Roman" w:cs="Times New Roman"/>
          <w:lang w:val="en-GB"/>
        </w:rPr>
        <w:t xml:space="preserve"> In </w:t>
      </w:r>
      <w:r w:rsidR="009A4463" w:rsidRPr="002374A9">
        <w:rPr>
          <w:rFonts w:ascii="Times New Roman" w:hAnsi="Times New Roman" w:cs="Times New Roman"/>
          <w:i/>
          <w:lang w:val="en-GB"/>
        </w:rPr>
        <w:t>O’Halloran</w:t>
      </w:r>
      <w:r w:rsidR="00BC6CFA" w:rsidRPr="002374A9">
        <w:rPr>
          <w:rFonts w:ascii="Times New Roman" w:hAnsi="Times New Roman" w:cs="Times New Roman"/>
          <w:lang w:val="en-GB"/>
        </w:rPr>
        <w:t>, the Court further noted</w:t>
      </w:r>
      <w:r w:rsidRPr="002374A9">
        <w:rPr>
          <w:rFonts w:ascii="Times New Roman" w:hAnsi="Times New Roman" w:cs="Times New Roman"/>
          <w:lang w:val="en-GB"/>
        </w:rPr>
        <w:t xml:space="preserve"> that</w:t>
      </w:r>
      <w:r w:rsidR="009A4463" w:rsidRPr="002374A9">
        <w:rPr>
          <w:rFonts w:ascii="Times New Roman" w:hAnsi="Times New Roman" w:cs="Times New Roman"/>
          <w:lang w:val="en-GB"/>
        </w:rPr>
        <w:t xml:space="preserve"> a certain degree of compulsion </w:t>
      </w:r>
      <w:r w:rsidR="00B033C1" w:rsidRPr="002374A9">
        <w:rPr>
          <w:rFonts w:ascii="Times New Roman" w:hAnsi="Times New Roman" w:cs="Times New Roman"/>
          <w:lang w:val="en-GB"/>
        </w:rPr>
        <w:t xml:space="preserve">is </w:t>
      </w:r>
      <w:r w:rsidR="00BC6CFA" w:rsidRPr="002374A9">
        <w:rPr>
          <w:rFonts w:ascii="Times New Roman" w:hAnsi="Times New Roman" w:cs="Times New Roman"/>
          <w:lang w:val="en-GB"/>
        </w:rPr>
        <w:t xml:space="preserve">possible </w:t>
      </w:r>
      <w:r w:rsidR="007A4875" w:rsidRPr="002374A9">
        <w:rPr>
          <w:rFonts w:ascii="Times New Roman" w:hAnsi="Times New Roman" w:cs="Times New Roman"/>
          <w:lang w:val="en-GB"/>
        </w:rPr>
        <w:t>within certain limits</w:t>
      </w:r>
      <w:r w:rsidR="00BC6CFA" w:rsidRPr="002374A9">
        <w:rPr>
          <w:rFonts w:ascii="Times New Roman" w:hAnsi="Times New Roman" w:cs="Times New Roman"/>
          <w:lang w:val="en-GB"/>
        </w:rPr>
        <w:t>, so</w:t>
      </w:r>
      <w:r w:rsidR="007A4875" w:rsidRPr="002374A9">
        <w:rPr>
          <w:rFonts w:ascii="Times New Roman" w:hAnsi="Times New Roman" w:cs="Times New Roman"/>
          <w:lang w:val="en-GB"/>
        </w:rPr>
        <w:t xml:space="preserve"> </w:t>
      </w:r>
      <w:r w:rsidR="00BC6CFA" w:rsidRPr="002374A9">
        <w:rPr>
          <w:rFonts w:ascii="Times New Roman" w:hAnsi="Times New Roman" w:cs="Times New Roman"/>
          <w:lang w:val="en-GB"/>
        </w:rPr>
        <w:t xml:space="preserve">as to </w:t>
      </w:r>
      <w:r w:rsidR="00BB5FFF" w:rsidRPr="002374A9">
        <w:rPr>
          <w:rFonts w:ascii="Times New Roman" w:hAnsi="Times New Roman" w:cs="Times New Roman"/>
          <w:lang w:val="en-GB"/>
        </w:rPr>
        <w:t xml:space="preserve">protect </w:t>
      </w:r>
      <w:r w:rsidR="009A4463" w:rsidRPr="002374A9">
        <w:rPr>
          <w:rFonts w:ascii="Times New Roman" w:hAnsi="Times New Roman" w:cs="Times New Roman"/>
          <w:lang w:val="en-GB"/>
        </w:rPr>
        <w:t>the public interest.</w:t>
      </w:r>
      <w:r w:rsidR="009A4463" w:rsidRPr="00812253">
        <w:rPr>
          <w:rStyle w:val="Appelnotedebasdep"/>
          <w:rFonts w:ascii="Times New Roman" w:hAnsi="Times New Roman" w:cs="Times New Roman"/>
          <w:lang w:val="en-GB"/>
        </w:rPr>
        <w:footnoteReference w:id="123"/>
      </w:r>
    </w:p>
    <w:p w:rsidR="00B8419C" w:rsidRPr="00311B33" w:rsidRDefault="00B8419C" w:rsidP="0082443E">
      <w:pPr>
        <w:jc w:val="both"/>
        <w:rPr>
          <w:rFonts w:ascii="Times New Roman" w:hAnsi="Times New Roman" w:cs="Times New Roman"/>
          <w:lang w:val="en-GB"/>
        </w:rPr>
      </w:pPr>
    </w:p>
    <w:p w:rsidR="004F1C25" w:rsidRPr="00311B33" w:rsidRDefault="00BC6CFA">
      <w:pPr>
        <w:jc w:val="both"/>
        <w:rPr>
          <w:rFonts w:ascii="Times New Roman" w:hAnsi="Times New Roman" w:cs="Times New Roman"/>
          <w:lang w:val="en-GB"/>
        </w:rPr>
      </w:pPr>
      <w:r w:rsidRPr="00311B33">
        <w:rPr>
          <w:rFonts w:ascii="Times New Roman" w:hAnsi="Times New Roman" w:cs="Times New Roman"/>
          <w:lang w:val="en-GB"/>
        </w:rPr>
        <w:t xml:space="preserve">In the EU legal system, </w:t>
      </w:r>
      <w:r w:rsidR="006B2695" w:rsidRPr="00311B33">
        <w:rPr>
          <w:rFonts w:ascii="Times New Roman" w:hAnsi="Times New Roman" w:cs="Times New Roman"/>
          <w:i/>
          <w:lang w:val="en-GB"/>
        </w:rPr>
        <w:t>Orkem</w:t>
      </w:r>
      <w:r w:rsidR="004F1C25" w:rsidRPr="00311B33">
        <w:rPr>
          <w:rFonts w:ascii="Times New Roman" w:hAnsi="Times New Roman" w:cs="Times New Roman"/>
          <w:lang w:val="en-GB"/>
        </w:rPr>
        <w:t xml:space="preserve"> is the leading precedent</w:t>
      </w:r>
      <w:r w:rsidR="009B1657" w:rsidRPr="00246F56">
        <w:rPr>
          <w:rFonts w:ascii="Times New Roman" w:hAnsi="Times New Roman" w:cs="Times New Roman"/>
          <w:lang w:val="en-GB"/>
        </w:rPr>
        <w:t>.</w:t>
      </w:r>
      <w:r w:rsidR="009B1657" w:rsidRPr="00246F56">
        <w:rPr>
          <w:rStyle w:val="Appelnotedebasdep"/>
          <w:rFonts w:ascii="Times New Roman" w:hAnsi="Times New Roman" w:cs="Times New Roman"/>
          <w:lang w:val="en-GB"/>
        </w:rPr>
        <w:footnoteReference w:id="124"/>
      </w:r>
      <w:r w:rsidR="009A4463" w:rsidRPr="00311B33">
        <w:rPr>
          <w:rFonts w:ascii="Times New Roman" w:hAnsi="Times New Roman" w:cs="Times New Roman"/>
          <w:lang w:val="en-GB"/>
        </w:rPr>
        <w:t xml:space="preserve"> </w:t>
      </w:r>
      <w:r w:rsidR="00F15AB1" w:rsidRPr="00311B33">
        <w:rPr>
          <w:rFonts w:ascii="Times New Roman" w:hAnsi="Times New Roman" w:cs="Times New Roman"/>
          <w:lang w:val="en-GB"/>
        </w:rPr>
        <w:t xml:space="preserve">In </w:t>
      </w:r>
      <w:r w:rsidR="004F1C25" w:rsidRPr="00311B33">
        <w:rPr>
          <w:rFonts w:ascii="Times New Roman" w:hAnsi="Times New Roman" w:cs="Times New Roman"/>
          <w:lang w:val="en-GB"/>
        </w:rPr>
        <w:t xml:space="preserve">this case, </w:t>
      </w:r>
      <w:r w:rsidR="00F15AB1" w:rsidRPr="00311B33">
        <w:rPr>
          <w:rFonts w:ascii="Times New Roman" w:hAnsi="Times New Roman" w:cs="Times New Roman"/>
          <w:lang w:val="en-GB"/>
        </w:rPr>
        <w:t xml:space="preserve">an undertaking </w:t>
      </w:r>
      <w:r w:rsidR="004F1C25" w:rsidRPr="00311B33">
        <w:rPr>
          <w:rFonts w:ascii="Times New Roman" w:hAnsi="Times New Roman" w:cs="Times New Roman"/>
          <w:lang w:val="en-GB"/>
        </w:rPr>
        <w:t xml:space="preserve">was seeking annulment of a Commission RFI. The applicant argued that the RFI </w:t>
      </w:r>
      <w:r w:rsidR="00F15AB1" w:rsidRPr="00311B33">
        <w:rPr>
          <w:rFonts w:ascii="Times New Roman" w:hAnsi="Times New Roman" w:cs="Times New Roman"/>
          <w:lang w:val="en-GB"/>
        </w:rPr>
        <w:t>infringed “</w:t>
      </w:r>
      <w:r w:rsidR="00F15AB1" w:rsidRPr="00311B33">
        <w:rPr>
          <w:rFonts w:ascii="Times New Roman" w:hAnsi="Times New Roman" w:cs="Times New Roman"/>
          <w:i/>
          <w:lang w:val="en-GB"/>
        </w:rPr>
        <w:t>the general principle that no one may be compelled to give evidence against himself</w:t>
      </w:r>
      <w:r w:rsidR="00F15AB1" w:rsidRPr="00311B33">
        <w:rPr>
          <w:rFonts w:ascii="Times New Roman" w:hAnsi="Times New Roman" w:cs="Times New Roman"/>
          <w:lang w:val="en-GB"/>
        </w:rPr>
        <w:t>”.</w:t>
      </w:r>
      <w:r w:rsidR="00F15AB1" w:rsidRPr="00311B33">
        <w:rPr>
          <w:rStyle w:val="Appelnotedebasdep"/>
          <w:rFonts w:ascii="Times New Roman" w:hAnsi="Times New Roman" w:cs="Times New Roman"/>
          <w:lang w:val="en-GB"/>
        </w:rPr>
        <w:footnoteReference w:id="125"/>
      </w:r>
      <w:r w:rsidR="00F15AB1" w:rsidRPr="00311B33">
        <w:rPr>
          <w:rFonts w:ascii="Times New Roman" w:hAnsi="Times New Roman" w:cs="Times New Roman"/>
          <w:lang w:val="en-GB"/>
        </w:rPr>
        <w:t xml:space="preserve"> </w:t>
      </w:r>
      <w:r w:rsidR="004F1C25" w:rsidRPr="00311B33">
        <w:rPr>
          <w:rFonts w:ascii="Times New Roman" w:hAnsi="Times New Roman" w:cs="Times New Roman"/>
          <w:lang w:val="en-GB"/>
        </w:rPr>
        <w:t>In its judgment, t</w:t>
      </w:r>
      <w:r w:rsidR="00F15AB1" w:rsidRPr="00311B33">
        <w:rPr>
          <w:rFonts w:ascii="Times New Roman" w:hAnsi="Times New Roman" w:cs="Times New Roman"/>
          <w:lang w:val="en-GB"/>
        </w:rPr>
        <w:t xml:space="preserve">he </w:t>
      </w:r>
      <w:r w:rsidR="00B033C1" w:rsidRPr="00311B33">
        <w:rPr>
          <w:rFonts w:ascii="Times New Roman" w:hAnsi="Times New Roman" w:cs="Times New Roman"/>
          <w:lang w:val="en-GB"/>
        </w:rPr>
        <w:t xml:space="preserve">CJEU </w:t>
      </w:r>
      <w:r w:rsidR="00F15AB1" w:rsidRPr="00311B33">
        <w:rPr>
          <w:rFonts w:ascii="Times New Roman" w:hAnsi="Times New Roman" w:cs="Times New Roman"/>
          <w:lang w:val="en-GB"/>
        </w:rPr>
        <w:t xml:space="preserve">noted </w:t>
      </w:r>
      <w:r w:rsidR="004F1C25" w:rsidRPr="00311B33">
        <w:rPr>
          <w:rFonts w:ascii="Times New Roman" w:hAnsi="Times New Roman" w:cs="Times New Roman"/>
          <w:lang w:val="en-GB"/>
        </w:rPr>
        <w:t xml:space="preserve">preliminary </w:t>
      </w:r>
      <w:r w:rsidR="00F15AB1" w:rsidRPr="00311B33">
        <w:rPr>
          <w:rFonts w:ascii="Times New Roman" w:hAnsi="Times New Roman" w:cs="Times New Roman"/>
          <w:lang w:val="en-GB"/>
        </w:rPr>
        <w:t xml:space="preserve">that </w:t>
      </w:r>
      <w:r w:rsidR="004F1C25" w:rsidRPr="00311B33">
        <w:rPr>
          <w:rFonts w:ascii="Times New Roman" w:hAnsi="Times New Roman" w:cs="Times New Roman"/>
          <w:lang w:val="en-GB"/>
        </w:rPr>
        <w:t xml:space="preserve">the </w:t>
      </w:r>
      <w:r w:rsidR="00F15AB1" w:rsidRPr="00311B33">
        <w:rPr>
          <w:rFonts w:ascii="Times New Roman" w:hAnsi="Times New Roman" w:cs="Times New Roman"/>
          <w:lang w:val="en-GB"/>
        </w:rPr>
        <w:t xml:space="preserve">right </w:t>
      </w:r>
      <w:r w:rsidR="004F1C25" w:rsidRPr="00311B33">
        <w:rPr>
          <w:rFonts w:ascii="Times New Roman" w:hAnsi="Times New Roman" w:cs="Times New Roman"/>
          <w:lang w:val="en-GB"/>
        </w:rPr>
        <w:t xml:space="preserve">against self-incrimination </w:t>
      </w:r>
      <w:r w:rsidR="00C71450" w:rsidRPr="00311B33">
        <w:rPr>
          <w:rFonts w:ascii="Times New Roman" w:hAnsi="Times New Roman" w:cs="Times New Roman"/>
          <w:lang w:val="en-GB"/>
        </w:rPr>
        <w:t xml:space="preserve">can </w:t>
      </w:r>
      <w:r w:rsidR="00F15AB1" w:rsidRPr="00311B33">
        <w:rPr>
          <w:rFonts w:ascii="Times New Roman" w:hAnsi="Times New Roman" w:cs="Times New Roman"/>
          <w:lang w:val="en-GB"/>
        </w:rPr>
        <w:t>only be invoked by natural persons in criminal proceedings</w:t>
      </w:r>
      <w:r w:rsidR="004F1C25" w:rsidRPr="00311B33">
        <w:rPr>
          <w:rFonts w:ascii="Times New Roman" w:hAnsi="Times New Roman" w:cs="Times New Roman"/>
          <w:lang w:val="en-GB"/>
        </w:rPr>
        <w:t>,</w:t>
      </w:r>
      <w:r w:rsidR="00F15AB1" w:rsidRPr="00311B33">
        <w:rPr>
          <w:rFonts w:ascii="Times New Roman" w:hAnsi="Times New Roman" w:cs="Times New Roman"/>
          <w:lang w:val="en-GB"/>
        </w:rPr>
        <w:t xml:space="preserve"> and not by </w:t>
      </w:r>
      <w:r w:rsidR="004F1C25" w:rsidRPr="00311B33">
        <w:rPr>
          <w:rFonts w:ascii="Times New Roman" w:hAnsi="Times New Roman" w:cs="Times New Roman"/>
          <w:lang w:val="en-GB"/>
        </w:rPr>
        <w:t xml:space="preserve">legal persons </w:t>
      </w:r>
      <w:r w:rsidR="00F15AB1" w:rsidRPr="00311B33">
        <w:rPr>
          <w:rFonts w:ascii="Times New Roman" w:hAnsi="Times New Roman" w:cs="Times New Roman"/>
          <w:lang w:val="en-GB"/>
        </w:rPr>
        <w:t>in competition law proceedings</w:t>
      </w:r>
      <w:r w:rsidR="00B033C1" w:rsidRPr="00311B33">
        <w:rPr>
          <w:rFonts w:ascii="Times New Roman" w:hAnsi="Times New Roman" w:cs="Times New Roman"/>
          <w:lang w:val="en-GB"/>
        </w:rPr>
        <w:t xml:space="preserve">. </w:t>
      </w:r>
      <w:r w:rsidR="004F1C25" w:rsidRPr="00311B33">
        <w:rPr>
          <w:rFonts w:ascii="Times New Roman" w:hAnsi="Times New Roman" w:cs="Times New Roman"/>
          <w:lang w:val="en-GB"/>
        </w:rPr>
        <w:t>However, t</w:t>
      </w:r>
      <w:r w:rsidR="00B033C1" w:rsidRPr="00311B33">
        <w:rPr>
          <w:rFonts w:ascii="Times New Roman" w:hAnsi="Times New Roman" w:cs="Times New Roman"/>
          <w:lang w:val="en-GB"/>
        </w:rPr>
        <w:t>he</w:t>
      </w:r>
      <w:r w:rsidR="009B1657" w:rsidRPr="00246F56">
        <w:rPr>
          <w:rFonts w:ascii="Times New Roman" w:hAnsi="Times New Roman" w:cs="Times New Roman"/>
          <w:lang w:val="en-GB"/>
        </w:rPr>
        <w:t xml:space="preserve"> </w:t>
      </w:r>
      <w:r w:rsidR="00B033C1" w:rsidRPr="00311B33">
        <w:rPr>
          <w:rFonts w:ascii="Times New Roman" w:hAnsi="Times New Roman" w:cs="Times New Roman"/>
          <w:lang w:val="en-GB"/>
        </w:rPr>
        <w:t xml:space="preserve">Court </w:t>
      </w:r>
      <w:r w:rsidR="004F1C25" w:rsidRPr="00311B33">
        <w:rPr>
          <w:rFonts w:ascii="Times New Roman" w:hAnsi="Times New Roman" w:cs="Times New Roman"/>
          <w:lang w:val="en-GB"/>
        </w:rPr>
        <w:t xml:space="preserve">went on to hold that </w:t>
      </w:r>
      <w:r w:rsidR="009B1657" w:rsidRPr="00246F56">
        <w:rPr>
          <w:rFonts w:ascii="Times New Roman" w:hAnsi="Times New Roman" w:cs="Times New Roman"/>
          <w:lang w:val="en-GB"/>
        </w:rPr>
        <w:t>the Commission’s power to request information</w:t>
      </w:r>
      <w:r w:rsidR="004F1C25" w:rsidRPr="00311B33">
        <w:rPr>
          <w:rFonts w:ascii="Times New Roman" w:hAnsi="Times New Roman" w:cs="Times New Roman"/>
          <w:lang w:val="en-GB"/>
        </w:rPr>
        <w:t xml:space="preserve"> was not limitless</w:t>
      </w:r>
      <w:r w:rsidR="009B1657" w:rsidRPr="00246F56">
        <w:rPr>
          <w:rFonts w:ascii="Times New Roman" w:hAnsi="Times New Roman" w:cs="Times New Roman"/>
          <w:lang w:val="en-GB"/>
        </w:rPr>
        <w:t>.</w:t>
      </w:r>
      <w:r w:rsidR="009B1657" w:rsidRPr="00246F56">
        <w:rPr>
          <w:rStyle w:val="Appelnotedebasdep"/>
          <w:rFonts w:ascii="Times New Roman" w:hAnsi="Times New Roman" w:cs="Times New Roman"/>
          <w:lang w:val="en-GB"/>
        </w:rPr>
        <w:footnoteReference w:id="126"/>
      </w:r>
      <w:r w:rsidR="00F15AB1" w:rsidRPr="00311B33">
        <w:rPr>
          <w:rFonts w:ascii="Times New Roman" w:hAnsi="Times New Roman" w:cs="Times New Roman"/>
          <w:b/>
          <w:lang w:val="en-GB"/>
        </w:rPr>
        <w:t xml:space="preserve"> </w:t>
      </w:r>
      <w:r w:rsidR="00BB5FFF" w:rsidRPr="00311B33">
        <w:rPr>
          <w:rFonts w:ascii="Times New Roman" w:hAnsi="Times New Roman" w:cs="Times New Roman"/>
          <w:lang w:val="en-GB"/>
        </w:rPr>
        <w:t>I</w:t>
      </w:r>
      <w:r w:rsidR="004F1C25" w:rsidRPr="00311B33">
        <w:rPr>
          <w:rFonts w:ascii="Times New Roman" w:hAnsi="Times New Roman" w:cs="Times New Roman"/>
          <w:lang w:val="en-GB"/>
        </w:rPr>
        <w:t>n particular, i</w:t>
      </w:r>
      <w:r w:rsidR="00BB5FFF" w:rsidRPr="00311B33">
        <w:rPr>
          <w:rFonts w:ascii="Times New Roman" w:hAnsi="Times New Roman" w:cs="Times New Roman"/>
          <w:lang w:val="en-GB"/>
        </w:rPr>
        <w:t xml:space="preserve">t stated the Commission </w:t>
      </w:r>
      <w:r w:rsidR="004F1C25" w:rsidRPr="00311B33">
        <w:rPr>
          <w:rFonts w:ascii="Times New Roman" w:hAnsi="Times New Roman" w:cs="Times New Roman"/>
          <w:lang w:val="en-GB"/>
        </w:rPr>
        <w:t xml:space="preserve">could not </w:t>
      </w:r>
      <w:r w:rsidR="00BB5FFF" w:rsidRPr="00311B33">
        <w:rPr>
          <w:rFonts w:ascii="Times New Roman" w:hAnsi="Times New Roman" w:cs="Times New Roman"/>
          <w:lang w:val="en-GB"/>
        </w:rPr>
        <w:t xml:space="preserve">compel undertakings to admit </w:t>
      </w:r>
      <w:r w:rsidR="004F1C25" w:rsidRPr="00311B33">
        <w:rPr>
          <w:rFonts w:ascii="Times New Roman" w:hAnsi="Times New Roman" w:cs="Times New Roman"/>
          <w:lang w:val="en-GB"/>
        </w:rPr>
        <w:t xml:space="preserve">their liability for </w:t>
      </w:r>
      <w:r w:rsidR="00BB5FFF" w:rsidRPr="00311B33">
        <w:rPr>
          <w:rFonts w:ascii="Times New Roman" w:hAnsi="Times New Roman" w:cs="Times New Roman"/>
          <w:lang w:val="en-GB"/>
        </w:rPr>
        <w:t xml:space="preserve">an infringement </w:t>
      </w:r>
      <w:r w:rsidR="004F1C25" w:rsidRPr="00311B33">
        <w:rPr>
          <w:rFonts w:ascii="Times New Roman" w:hAnsi="Times New Roman" w:cs="Times New Roman"/>
          <w:lang w:val="en-GB"/>
        </w:rPr>
        <w:t xml:space="preserve">of </w:t>
      </w:r>
      <w:r w:rsidR="00BB5FFF" w:rsidRPr="00311B33">
        <w:rPr>
          <w:rFonts w:ascii="Times New Roman" w:hAnsi="Times New Roman" w:cs="Times New Roman"/>
          <w:lang w:val="en-GB"/>
        </w:rPr>
        <w:t>Article 101 and</w:t>
      </w:r>
      <w:r w:rsidR="004F1C25" w:rsidRPr="00311B33">
        <w:rPr>
          <w:rFonts w:ascii="Times New Roman" w:hAnsi="Times New Roman" w:cs="Times New Roman"/>
          <w:lang w:val="en-GB"/>
        </w:rPr>
        <w:t>/or</w:t>
      </w:r>
      <w:r w:rsidR="00BB5FFF" w:rsidRPr="00311B33">
        <w:rPr>
          <w:rFonts w:ascii="Times New Roman" w:hAnsi="Times New Roman" w:cs="Times New Roman"/>
          <w:lang w:val="en-GB"/>
        </w:rPr>
        <w:t xml:space="preserve"> 102 TFEU. </w:t>
      </w:r>
      <w:r w:rsidR="004F1C25" w:rsidRPr="00311B33">
        <w:rPr>
          <w:rFonts w:ascii="Times New Roman" w:hAnsi="Times New Roman" w:cs="Times New Roman"/>
          <w:lang w:val="en-GB"/>
        </w:rPr>
        <w:t xml:space="preserve">According to the Court, </w:t>
      </w:r>
      <w:r w:rsidR="001A133C" w:rsidRPr="00311B33">
        <w:rPr>
          <w:rFonts w:ascii="Times New Roman" w:hAnsi="Times New Roman" w:cs="Times New Roman"/>
          <w:lang w:val="en-GB"/>
        </w:rPr>
        <w:t>Ar</w:t>
      </w:r>
      <w:r w:rsidR="004F1C25" w:rsidRPr="00311B33">
        <w:rPr>
          <w:rFonts w:ascii="Times New Roman" w:hAnsi="Times New Roman" w:cs="Times New Roman"/>
          <w:lang w:val="en-GB"/>
        </w:rPr>
        <w:t>ticle</w:t>
      </w:r>
      <w:r w:rsidR="009B1657" w:rsidRPr="00246F56">
        <w:rPr>
          <w:rFonts w:ascii="Times New Roman" w:hAnsi="Times New Roman" w:cs="Times New Roman"/>
          <w:lang w:val="en-GB"/>
        </w:rPr>
        <w:t xml:space="preserve"> 6 </w:t>
      </w:r>
      <w:r w:rsidR="004F1C25" w:rsidRPr="00311B33">
        <w:rPr>
          <w:rFonts w:ascii="Times New Roman" w:hAnsi="Times New Roman" w:cs="Times New Roman"/>
          <w:lang w:val="en-GB"/>
        </w:rPr>
        <w:t xml:space="preserve">ECHR gives an investigated firm the right to a </w:t>
      </w:r>
      <w:r w:rsidR="009A4463" w:rsidRPr="00311B33">
        <w:rPr>
          <w:rFonts w:ascii="Times New Roman" w:hAnsi="Times New Roman" w:cs="Times New Roman"/>
          <w:lang w:val="en-GB"/>
        </w:rPr>
        <w:t>limited degree of silence</w:t>
      </w:r>
      <w:r w:rsidR="001B44D6" w:rsidRPr="00311B33">
        <w:rPr>
          <w:rFonts w:ascii="Times New Roman" w:hAnsi="Times New Roman" w:cs="Times New Roman"/>
          <w:lang w:val="en-GB"/>
        </w:rPr>
        <w:t>.</w:t>
      </w:r>
      <w:r w:rsidR="003904E3" w:rsidRPr="00311B33">
        <w:rPr>
          <w:rStyle w:val="Appelnotedebasdep"/>
          <w:rFonts w:ascii="Times New Roman" w:hAnsi="Times New Roman" w:cs="Times New Roman"/>
          <w:lang w:val="en-GB"/>
        </w:rPr>
        <w:footnoteReference w:id="127"/>
      </w:r>
      <w:r w:rsidR="009F25D3" w:rsidRPr="00311B33">
        <w:rPr>
          <w:rFonts w:ascii="Times New Roman" w:hAnsi="Times New Roman" w:cs="Times New Roman"/>
          <w:lang w:val="en-GB"/>
        </w:rPr>
        <w:t xml:space="preserve"> </w:t>
      </w:r>
    </w:p>
    <w:p w:rsidR="004F1C25" w:rsidRPr="00311B33" w:rsidRDefault="004F1C25">
      <w:pPr>
        <w:jc w:val="both"/>
        <w:rPr>
          <w:rFonts w:ascii="Times New Roman" w:hAnsi="Times New Roman" w:cs="Times New Roman"/>
          <w:lang w:val="en-GB"/>
        </w:rPr>
      </w:pPr>
    </w:p>
    <w:p w:rsidR="0010675B" w:rsidRPr="007D6DD4" w:rsidRDefault="0010675B" w:rsidP="0010675B">
      <w:pPr>
        <w:jc w:val="both"/>
        <w:rPr>
          <w:rStyle w:val="Accentuation"/>
          <w:lang w:val="en-GB"/>
        </w:rPr>
      </w:pPr>
      <w:r w:rsidRPr="00311B33">
        <w:rPr>
          <w:rFonts w:ascii="Times New Roman" w:hAnsi="Times New Roman" w:cs="Times New Roman"/>
          <w:lang w:val="en-GB"/>
        </w:rPr>
        <w:t>Later, i</w:t>
      </w:r>
      <w:r w:rsidR="004F1C25" w:rsidRPr="00311B33">
        <w:rPr>
          <w:rFonts w:ascii="Times New Roman" w:hAnsi="Times New Roman" w:cs="Times New Roman"/>
          <w:lang w:val="en-GB"/>
        </w:rPr>
        <w:t xml:space="preserve">n </w:t>
      </w:r>
      <w:r w:rsidR="004F1C25" w:rsidRPr="00311B33">
        <w:rPr>
          <w:rFonts w:ascii="Times New Roman" w:hAnsi="Times New Roman" w:cs="Times New Roman"/>
          <w:i/>
          <w:lang w:val="en-GB"/>
        </w:rPr>
        <w:t>Mannesmannröhren-Werke</w:t>
      </w:r>
      <w:r w:rsidR="004F1C25" w:rsidRPr="00311B33">
        <w:rPr>
          <w:rFonts w:ascii="Times New Roman" w:hAnsi="Times New Roman" w:cs="Times New Roman"/>
          <w:lang w:val="en-GB"/>
        </w:rPr>
        <w:t>, t</w:t>
      </w:r>
      <w:r w:rsidR="001A133C" w:rsidRPr="00311B33">
        <w:rPr>
          <w:rFonts w:ascii="Times New Roman" w:hAnsi="Times New Roman" w:cs="Times New Roman"/>
          <w:lang w:val="en-GB"/>
        </w:rPr>
        <w:t xml:space="preserve">he </w:t>
      </w:r>
      <w:r w:rsidR="004F1C25" w:rsidRPr="00311B33">
        <w:rPr>
          <w:rFonts w:ascii="Times New Roman" w:hAnsi="Times New Roman" w:cs="Times New Roman"/>
          <w:lang w:val="en-GB"/>
        </w:rPr>
        <w:t>GC</w:t>
      </w:r>
      <w:r w:rsidR="001A133C" w:rsidRPr="00311B33">
        <w:rPr>
          <w:rFonts w:ascii="Times New Roman" w:hAnsi="Times New Roman" w:cs="Times New Roman"/>
          <w:lang w:val="en-GB"/>
        </w:rPr>
        <w:t xml:space="preserve"> </w:t>
      </w:r>
      <w:r w:rsidR="004F1C25" w:rsidRPr="00311B33">
        <w:rPr>
          <w:rFonts w:ascii="Times New Roman" w:hAnsi="Times New Roman" w:cs="Times New Roman"/>
          <w:lang w:val="en-GB"/>
        </w:rPr>
        <w:t xml:space="preserve">drew the practical consequences of </w:t>
      </w:r>
      <w:r w:rsidR="009B1657" w:rsidRPr="00246F56">
        <w:rPr>
          <w:rFonts w:ascii="Times New Roman" w:hAnsi="Times New Roman" w:cs="Times New Roman"/>
          <w:i/>
          <w:lang w:val="en-GB"/>
        </w:rPr>
        <w:t>Orkem</w:t>
      </w:r>
      <w:r w:rsidR="004F1C25" w:rsidRPr="00311B33">
        <w:rPr>
          <w:rFonts w:ascii="Times New Roman" w:hAnsi="Times New Roman" w:cs="Times New Roman"/>
          <w:lang w:val="en-GB"/>
        </w:rPr>
        <w:t xml:space="preserve">. It </w:t>
      </w:r>
      <w:r w:rsidR="004F1C25" w:rsidRPr="00CA7EA8">
        <w:rPr>
          <w:rFonts w:ascii="Times New Roman" w:hAnsi="Times New Roman" w:cs="Times New Roman"/>
          <w:lang w:val="en-GB"/>
        </w:rPr>
        <w:t xml:space="preserve">held </w:t>
      </w:r>
      <w:r w:rsidR="00B033C1" w:rsidRPr="00CA7EA8">
        <w:rPr>
          <w:rFonts w:ascii="Times New Roman" w:hAnsi="Times New Roman" w:cs="Times New Roman"/>
          <w:lang w:val="en-GB"/>
        </w:rPr>
        <w:t>that an undertaking can</w:t>
      </w:r>
      <w:r w:rsidR="001A133C" w:rsidRPr="00CA7EA8">
        <w:rPr>
          <w:rFonts w:ascii="Times New Roman" w:hAnsi="Times New Roman" w:cs="Times New Roman"/>
          <w:lang w:val="en-GB"/>
        </w:rPr>
        <w:t xml:space="preserve"> confine itself to </w:t>
      </w:r>
      <w:r w:rsidR="004F1C25" w:rsidRPr="00CA7EA8">
        <w:rPr>
          <w:rFonts w:ascii="Times New Roman" w:hAnsi="Times New Roman" w:cs="Times New Roman"/>
          <w:lang w:val="en-GB"/>
        </w:rPr>
        <w:t xml:space="preserve">address </w:t>
      </w:r>
      <w:r w:rsidR="001A133C" w:rsidRPr="00CA7EA8">
        <w:rPr>
          <w:rFonts w:ascii="Times New Roman" w:hAnsi="Times New Roman" w:cs="Times New Roman"/>
          <w:lang w:val="en-GB"/>
        </w:rPr>
        <w:t xml:space="preserve">questions of a factual nature. </w:t>
      </w:r>
      <w:r w:rsidR="004F1C25" w:rsidRPr="00CA7EA8">
        <w:rPr>
          <w:rFonts w:ascii="Times New Roman" w:hAnsi="Times New Roman" w:cs="Times New Roman"/>
          <w:lang w:val="en-GB"/>
        </w:rPr>
        <w:t>In contrast</w:t>
      </w:r>
      <w:r w:rsidR="001A133C" w:rsidRPr="00CA7EA8">
        <w:rPr>
          <w:rFonts w:ascii="Times New Roman" w:hAnsi="Times New Roman" w:cs="Times New Roman"/>
          <w:lang w:val="en-GB"/>
        </w:rPr>
        <w:t xml:space="preserve">, the Commission is </w:t>
      </w:r>
      <w:r w:rsidR="00883A50" w:rsidRPr="004E08B1">
        <w:rPr>
          <w:rStyle w:val="Accentuation"/>
          <w:rFonts w:ascii="Times New Roman" w:hAnsi="Times New Roman" w:cs="Times New Roman"/>
          <w:i w:val="0"/>
          <w:lang w:val="en-GB"/>
        </w:rPr>
        <w:t xml:space="preserve">not entitled to ask for opinions or </w:t>
      </w:r>
      <w:r w:rsidR="00A15120">
        <w:rPr>
          <w:rStyle w:val="Accentuation"/>
          <w:rFonts w:ascii="Times New Roman" w:hAnsi="Times New Roman" w:cs="Times New Roman"/>
          <w:i w:val="0"/>
          <w:lang w:val="en-GB"/>
        </w:rPr>
        <w:t>assessments</w:t>
      </w:r>
      <w:r w:rsidR="00883A50" w:rsidRPr="004E08B1">
        <w:rPr>
          <w:rStyle w:val="Accentuation"/>
          <w:rFonts w:ascii="Times New Roman" w:hAnsi="Times New Roman" w:cs="Times New Roman"/>
          <w:i w:val="0"/>
          <w:lang w:val="en-GB"/>
        </w:rPr>
        <w:t>, or to invite the applicant to make assumptions or draw conclusions.</w:t>
      </w:r>
      <w:r w:rsidR="00883A50" w:rsidRPr="004E08B1">
        <w:rPr>
          <w:rStyle w:val="Appelnotedebasdep"/>
          <w:rFonts w:ascii="Times New Roman" w:hAnsi="Times New Roman" w:cs="Times New Roman"/>
          <w:iCs/>
          <w:lang w:val="en-GB"/>
        </w:rPr>
        <w:footnoteReference w:id="128"/>
      </w:r>
      <w:r w:rsidRPr="007D6DD4">
        <w:rPr>
          <w:rStyle w:val="Accentuation"/>
          <w:rFonts w:ascii="Times New Roman" w:hAnsi="Times New Roman" w:cs="Times New Roman"/>
          <w:i w:val="0"/>
          <w:lang w:val="en-GB"/>
        </w:rPr>
        <w:t xml:space="preserve"> </w:t>
      </w:r>
    </w:p>
    <w:p w:rsidR="0010675B" w:rsidRPr="007D6DD4" w:rsidRDefault="0010675B" w:rsidP="0010675B">
      <w:pPr>
        <w:jc w:val="both"/>
        <w:rPr>
          <w:rStyle w:val="Accentuation"/>
          <w:lang w:val="en-GB"/>
        </w:rPr>
      </w:pPr>
    </w:p>
    <w:p w:rsidR="00D03835" w:rsidRPr="00C9037B" w:rsidRDefault="0010675B" w:rsidP="00C9037B">
      <w:pPr>
        <w:jc w:val="both"/>
        <w:rPr>
          <w:rFonts w:ascii="Times New Roman" w:hAnsi="Times New Roman" w:cs="Times New Roman"/>
          <w:lang w:val="en-GB"/>
        </w:rPr>
      </w:pPr>
      <w:r w:rsidRPr="00311B33">
        <w:rPr>
          <w:rFonts w:ascii="Times New Roman" w:hAnsi="Times New Roman" w:cs="Times New Roman"/>
          <w:lang w:val="en-GB"/>
        </w:rPr>
        <w:t>The notion of what constitutes a factual question, distinct from an incriminating query has been discussed in the scholarship.</w:t>
      </w:r>
      <w:r w:rsidRPr="00311B33">
        <w:rPr>
          <w:rStyle w:val="Appelnotedebasdep"/>
          <w:rFonts w:ascii="Times New Roman" w:hAnsi="Times New Roman" w:cs="Times New Roman"/>
          <w:lang w:val="en-GB"/>
        </w:rPr>
        <w:footnoteReference w:id="129"/>
      </w:r>
      <w:r w:rsidRPr="00311B33">
        <w:rPr>
          <w:rFonts w:ascii="Times New Roman" w:hAnsi="Times New Roman" w:cs="Times New Roman"/>
          <w:lang w:val="en-GB"/>
        </w:rPr>
        <w:t xml:space="preserve"> In </w:t>
      </w:r>
      <w:r w:rsidRPr="00311B33">
        <w:rPr>
          <w:rFonts w:ascii="Times New Roman" w:hAnsi="Times New Roman" w:cs="Times New Roman"/>
          <w:i/>
          <w:lang w:val="en-GB"/>
        </w:rPr>
        <w:t xml:space="preserve">PVC </w:t>
      </w:r>
      <w:r w:rsidR="009B1657" w:rsidRPr="00311B33">
        <w:rPr>
          <w:rFonts w:ascii="Times New Roman" w:hAnsi="Times New Roman" w:cs="Times New Roman"/>
          <w:i/>
          <w:lang w:val="en-GB"/>
        </w:rPr>
        <w:t>II</w:t>
      </w:r>
      <w:r w:rsidRPr="00311B33">
        <w:rPr>
          <w:rFonts w:ascii="Times New Roman" w:hAnsi="Times New Roman" w:cs="Times New Roman"/>
          <w:lang w:val="en-GB"/>
        </w:rPr>
        <w:t xml:space="preserve">, the Court sought to offer guidance on this. It </w:t>
      </w:r>
      <w:r w:rsidRPr="00C9037B">
        <w:rPr>
          <w:rFonts w:ascii="Times New Roman" w:hAnsi="Times New Roman" w:cs="Times New Roman"/>
          <w:lang w:val="en-GB"/>
        </w:rPr>
        <w:lastRenderedPageBreak/>
        <w:t xml:space="preserve">reaffirmed that </w:t>
      </w:r>
      <w:r w:rsidR="006B7E30" w:rsidRPr="00691E57">
        <w:rPr>
          <w:rFonts w:ascii="Times New Roman" w:hAnsi="Times New Roman" w:cs="Times New Roman"/>
          <w:lang w:val="en-GB"/>
        </w:rPr>
        <w:t>any un</w:t>
      </w:r>
      <w:r w:rsidR="006B7E30" w:rsidRPr="003F48C5">
        <w:rPr>
          <w:rFonts w:ascii="Times New Roman" w:hAnsi="Times New Roman" w:cs="Times New Roman"/>
          <w:lang w:val="en-GB"/>
        </w:rPr>
        <w:t>derta</w:t>
      </w:r>
      <w:r w:rsidR="006B7E30" w:rsidRPr="00D1419D">
        <w:rPr>
          <w:rFonts w:ascii="Times New Roman" w:hAnsi="Times New Roman" w:cs="Times New Roman"/>
          <w:lang w:val="en-GB"/>
        </w:rPr>
        <w:t xml:space="preserve">king </w:t>
      </w:r>
      <w:r w:rsidR="006B7E30" w:rsidRPr="006B7E30">
        <w:rPr>
          <w:rFonts w:ascii="Times New Roman" w:hAnsi="Times New Roman" w:cs="Times New Roman"/>
          <w:lang w:val="en-GB"/>
        </w:rPr>
        <w:t>under investigation is</w:t>
      </w:r>
      <w:r w:rsidR="00116FB4" w:rsidRPr="006B7E30">
        <w:rPr>
          <w:rFonts w:ascii="Times New Roman" w:hAnsi="Times New Roman" w:cs="Times New Roman"/>
          <w:i/>
          <w:lang w:val="en-GB"/>
        </w:rPr>
        <w:t xml:space="preserve"> </w:t>
      </w:r>
      <w:r w:rsidR="006B7E30" w:rsidRPr="006B7E30">
        <w:rPr>
          <w:rFonts w:ascii="Times New Roman" w:hAnsi="Times New Roman" w:cs="Times New Roman"/>
          <w:i/>
          <w:lang w:val="en-GB"/>
        </w:rPr>
        <w:t>“</w:t>
      </w:r>
      <w:r w:rsidR="00116FB4" w:rsidRPr="006B7E30">
        <w:rPr>
          <w:rFonts w:ascii="Times New Roman" w:hAnsi="Times New Roman" w:cs="Times New Roman"/>
          <w:i/>
          <w:lang w:val="en-GB"/>
        </w:rPr>
        <w:t>under a duty of active cooperation, which means that it must be prepared to make any information relating to the object of the inquiry available to the Commission</w:t>
      </w:r>
      <w:r w:rsidR="006B7E30" w:rsidRPr="006B7E30">
        <w:rPr>
          <w:rFonts w:ascii="Times New Roman" w:hAnsi="Times New Roman" w:cs="Times New Roman"/>
          <w:lang w:val="en-GB"/>
        </w:rPr>
        <w:t xml:space="preserve"> </w:t>
      </w:r>
      <w:r w:rsidR="006B7E30" w:rsidRPr="004E08B1">
        <w:rPr>
          <w:rFonts w:ascii="Times New Roman" w:hAnsi="Times New Roman" w:cs="Times New Roman"/>
          <w:i/>
          <w:lang w:val="en-GB"/>
        </w:rPr>
        <w:t>(…)</w:t>
      </w:r>
      <w:r w:rsidR="006B7E30" w:rsidRPr="004E08B1" w:rsidDel="006B7E30">
        <w:rPr>
          <w:rStyle w:val="Appelnotedebasdep"/>
          <w:rFonts w:ascii="Times New Roman" w:hAnsi="Times New Roman" w:cs="Times New Roman"/>
          <w:i/>
          <w:lang w:val="en-GB"/>
        </w:rPr>
        <w:t xml:space="preserve"> </w:t>
      </w:r>
      <w:r w:rsidR="006B7E30" w:rsidRPr="004E08B1">
        <w:rPr>
          <w:rFonts w:ascii="Times New Roman" w:hAnsi="Times New Roman" w:cs="Times New Roman"/>
          <w:i/>
          <w:lang w:val="en-GB"/>
        </w:rPr>
        <w:t>even if the documents that are in its possession</w:t>
      </w:r>
      <w:r w:rsidR="006B7E30" w:rsidRPr="00C9037B">
        <w:rPr>
          <w:rFonts w:ascii="Times New Roman" w:hAnsi="Times New Roman" w:cs="Times New Roman"/>
          <w:lang w:val="en-GB"/>
        </w:rPr>
        <w:t xml:space="preserve"> </w:t>
      </w:r>
      <w:r w:rsidR="006B7E30" w:rsidRPr="004E08B1">
        <w:rPr>
          <w:rFonts w:ascii="Times New Roman" w:eastAsia="Times New Roman" w:hAnsi="Times New Roman" w:cs="Times New Roman"/>
          <w:i/>
          <w:iCs/>
          <w:bdr w:val="none" w:sz="0" w:space="0" w:color="auto" w:frame="1"/>
          <w:shd w:val="clear" w:color="auto" w:fill="FFFFFF"/>
          <w:lang w:val="en-US" w:eastAsia="fr-BE"/>
        </w:rPr>
        <w:t>may be used to establish, against it or another undertaking, the existence of anti-competitive conduct”.</w:t>
      </w:r>
      <w:r w:rsidR="006B7E30" w:rsidRPr="004E08B1">
        <w:rPr>
          <w:rStyle w:val="Appelnotedebasdep"/>
          <w:rFonts w:ascii="Times New Roman" w:eastAsia="Times New Roman" w:hAnsi="Times New Roman" w:cs="Times New Roman"/>
          <w:iCs/>
          <w:bdr w:val="none" w:sz="0" w:space="0" w:color="auto" w:frame="1"/>
          <w:shd w:val="clear" w:color="auto" w:fill="FFFFFF"/>
          <w:lang w:val="en-US" w:eastAsia="fr-BE"/>
        </w:rPr>
        <w:footnoteReference w:id="130"/>
      </w:r>
      <w:r w:rsidR="006B7E30" w:rsidRPr="004E08B1">
        <w:rPr>
          <w:rFonts w:ascii="Times New Roman" w:eastAsia="Times New Roman" w:hAnsi="Times New Roman" w:cs="Times New Roman"/>
          <w:i/>
          <w:iCs/>
          <w:bdr w:val="none" w:sz="0" w:space="0" w:color="auto" w:frame="1"/>
          <w:shd w:val="clear" w:color="auto" w:fill="FFFFFF"/>
          <w:lang w:val="en-US" w:eastAsia="fr-BE"/>
        </w:rPr>
        <w:t xml:space="preserve"> </w:t>
      </w:r>
      <w:r w:rsidR="006B7E30" w:rsidRPr="004E08B1">
        <w:rPr>
          <w:rFonts w:ascii="Times New Roman" w:eastAsia="Times New Roman" w:hAnsi="Times New Roman" w:cs="Times New Roman"/>
          <w:iCs/>
          <w:bdr w:val="none" w:sz="0" w:space="0" w:color="auto" w:frame="1"/>
          <w:shd w:val="clear" w:color="auto" w:fill="FFFFFF"/>
          <w:lang w:val="en-US" w:eastAsia="fr-BE"/>
        </w:rPr>
        <w:t>However, the Commission</w:t>
      </w:r>
      <w:r w:rsidR="006B7E30" w:rsidRPr="004E08B1">
        <w:rPr>
          <w:rFonts w:ascii="Times New Roman" w:eastAsia="Times New Roman" w:hAnsi="Times New Roman" w:cs="Times New Roman"/>
          <w:i/>
          <w:iCs/>
          <w:bdr w:val="none" w:sz="0" w:space="0" w:color="auto" w:frame="1"/>
          <w:shd w:val="clear" w:color="auto" w:fill="FFFFFF"/>
          <w:lang w:val="en-US" w:eastAsia="fr-BE"/>
        </w:rPr>
        <w:t xml:space="preserve"> “may not compel an undertaking to provide it with answers which might involve an admission on its part of the existence of an infringement which it is incumbent upon the Commission to prove”</w:t>
      </w:r>
      <w:r w:rsidR="006B7E30">
        <w:rPr>
          <w:rFonts w:ascii="Times New Roman" w:eastAsia="Times New Roman" w:hAnsi="Times New Roman" w:cs="Times New Roman"/>
          <w:i/>
          <w:iCs/>
          <w:bdr w:val="none" w:sz="0" w:space="0" w:color="auto" w:frame="1"/>
          <w:shd w:val="clear" w:color="auto" w:fill="FFFFFF"/>
          <w:lang w:val="en-US" w:eastAsia="fr-BE"/>
        </w:rPr>
        <w:t>.</w:t>
      </w:r>
      <w:r w:rsidR="006B7E30" w:rsidRPr="004E08B1">
        <w:rPr>
          <w:rStyle w:val="Appelnotedebasdep"/>
          <w:rFonts w:ascii="Times New Roman" w:eastAsia="Times New Roman" w:hAnsi="Times New Roman" w:cs="Times New Roman"/>
          <w:iCs/>
          <w:bdr w:val="none" w:sz="0" w:space="0" w:color="auto" w:frame="1"/>
          <w:shd w:val="clear" w:color="auto" w:fill="FFFFFF"/>
          <w:lang w:val="en-US" w:eastAsia="fr-BE"/>
        </w:rPr>
        <w:footnoteReference w:id="131"/>
      </w:r>
      <w:r w:rsidR="006B7E30" w:rsidRPr="004E08B1">
        <w:rPr>
          <w:rFonts w:ascii="Times New Roman" w:eastAsia="Times New Roman" w:hAnsi="Times New Roman" w:cs="Times New Roman"/>
          <w:i/>
          <w:iCs/>
          <w:bdr w:val="none" w:sz="0" w:space="0" w:color="auto" w:frame="1"/>
          <w:shd w:val="clear" w:color="auto" w:fill="FFFFFF"/>
          <w:lang w:val="en-US" w:eastAsia="fr-BE"/>
        </w:rPr>
        <w:t xml:space="preserve"> </w:t>
      </w:r>
      <w:r w:rsidR="006B7E30" w:rsidRPr="00C9037B">
        <w:rPr>
          <w:rFonts w:ascii="Times New Roman" w:hAnsi="Times New Roman" w:cs="Times New Roman"/>
          <w:lang w:val="en-GB"/>
        </w:rPr>
        <w:t xml:space="preserve">Hence, it has been held in the literature that </w:t>
      </w:r>
      <w:r w:rsidRPr="00691E57">
        <w:rPr>
          <w:rFonts w:ascii="Times New Roman" w:hAnsi="Times New Roman" w:cs="Times New Roman"/>
          <w:lang w:val="en-GB"/>
        </w:rPr>
        <w:t xml:space="preserve">the Commission cannot, for instance, ask the parties how many meetings they had, but </w:t>
      </w:r>
      <w:r w:rsidR="002425C0" w:rsidRPr="003F48C5">
        <w:rPr>
          <w:rFonts w:ascii="Times New Roman" w:hAnsi="Times New Roman" w:cs="Times New Roman"/>
          <w:lang w:val="en-GB"/>
        </w:rPr>
        <w:t xml:space="preserve">only </w:t>
      </w:r>
      <w:r w:rsidRPr="00D1419D">
        <w:rPr>
          <w:rFonts w:ascii="Times New Roman" w:hAnsi="Times New Roman" w:cs="Times New Roman"/>
          <w:lang w:val="en-GB"/>
        </w:rPr>
        <w:t>factual information,</w:t>
      </w:r>
      <w:r w:rsidR="002425C0" w:rsidRPr="006B7E30">
        <w:rPr>
          <w:rFonts w:ascii="Times New Roman" w:hAnsi="Times New Roman" w:cs="Times New Roman"/>
          <w:lang w:val="en-GB"/>
        </w:rPr>
        <w:t xml:space="preserve"> </w:t>
      </w:r>
      <w:r w:rsidR="00883A50" w:rsidRPr="004E08B1">
        <w:rPr>
          <w:rFonts w:ascii="Times New Roman" w:hAnsi="Times New Roman" w:cs="Times New Roman"/>
          <w:lang w:val="en-US"/>
        </w:rPr>
        <w:t>such as details of those taking part in talks, and documents already in existence, such as copies of invitations, agendas, minutes, internal records, reports, etc</w:t>
      </w:r>
      <w:r w:rsidR="002425C0" w:rsidRPr="00C9037B">
        <w:rPr>
          <w:rFonts w:ascii="Times New Roman" w:hAnsi="Times New Roman" w:cs="Times New Roman"/>
          <w:lang w:val="en-US"/>
        </w:rPr>
        <w:t>.</w:t>
      </w:r>
      <w:r w:rsidRPr="00C9037B">
        <w:rPr>
          <w:rStyle w:val="Appelnotedebasdep"/>
          <w:rFonts w:ascii="Times New Roman" w:hAnsi="Times New Roman" w:cs="Times New Roman"/>
          <w:lang w:val="en-GB"/>
        </w:rPr>
        <w:footnoteReference w:id="132"/>
      </w:r>
    </w:p>
    <w:p w:rsidR="00813E76" w:rsidRPr="00691E57" w:rsidRDefault="00813E76" w:rsidP="0082443E">
      <w:pPr>
        <w:jc w:val="both"/>
        <w:rPr>
          <w:rFonts w:ascii="Times New Roman" w:hAnsi="Times New Roman" w:cs="Times New Roman"/>
          <w:lang w:val="en-GB"/>
        </w:rPr>
      </w:pPr>
    </w:p>
    <w:p w:rsidR="004F0434" w:rsidRPr="00C9037B" w:rsidRDefault="009D256D" w:rsidP="004E08B1">
      <w:pPr>
        <w:jc w:val="both"/>
        <w:rPr>
          <w:rFonts w:ascii="Times New Roman" w:hAnsi="Times New Roman" w:cs="Times New Roman"/>
          <w:lang w:val="en-GB"/>
        </w:rPr>
      </w:pPr>
      <w:r w:rsidRPr="00691E57">
        <w:rPr>
          <w:rFonts w:ascii="Times New Roman" w:hAnsi="Times New Roman" w:cs="Times New Roman"/>
          <w:lang w:val="en-GB"/>
        </w:rPr>
        <w:t>With this background, the Commission can only compel undertakings to provide two types of information</w:t>
      </w:r>
      <w:r w:rsidR="000716CF" w:rsidRPr="006B7E30">
        <w:rPr>
          <w:rFonts w:ascii="Times New Roman" w:hAnsi="Times New Roman" w:cs="Times New Roman"/>
          <w:lang w:val="en-GB"/>
        </w:rPr>
        <w:t>: (i) documentary evidence already in the possession of the undertaking</w:t>
      </w:r>
      <w:r w:rsidRPr="006B7E30">
        <w:rPr>
          <w:rFonts w:ascii="Times New Roman" w:hAnsi="Times New Roman" w:cs="Times New Roman"/>
          <w:lang w:val="en-GB"/>
        </w:rPr>
        <w:t>;</w:t>
      </w:r>
      <w:r w:rsidR="000716CF" w:rsidRPr="006B7E30">
        <w:rPr>
          <w:rFonts w:ascii="Times New Roman" w:hAnsi="Times New Roman" w:cs="Times New Roman"/>
          <w:lang w:val="en-GB"/>
        </w:rPr>
        <w:t xml:space="preserve"> and (ii) purely factual information.</w:t>
      </w:r>
      <w:r w:rsidR="000716CF" w:rsidRPr="00C9037B">
        <w:rPr>
          <w:rStyle w:val="Appelnotedebasdep"/>
          <w:rFonts w:ascii="Times New Roman" w:hAnsi="Times New Roman" w:cs="Times New Roman"/>
          <w:lang w:val="en-GB"/>
        </w:rPr>
        <w:footnoteReference w:id="133"/>
      </w:r>
      <w:r w:rsidR="000716CF" w:rsidRPr="00C9037B">
        <w:rPr>
          <w:rFonts w:ascii="Times New Roman" w:hAnsi="Times New Roman" w:cs="Times New Roman"/>
          <w:lang w:val="en-GB"/>
        </w:rPr>
        <w:t xml:space="preserve"> </w:t>
      </w:r>
      <w:r w:rsidRPr="00C9037B">
        <w:rPr>
          <w:rFonts w:ascii="Times New Roman" w:hAnsi="Times New Roman" w:cs="Times New Roman"/>
          <w:lang w:val="en-GB"/>
        </w:rPr>
        <w:t xml:space="preserve">At the other side of the spectrum, undertakings can resist to requests for information on grounds of right </w:t>
      </w:r>
      <w:r w:rsidR="00465B02" w:rsidRPr="00691E57">
        <w:rPr>
          <w:rFonts w:ascii="Times New Roman" w:hAnsi="Times New Roman" w:cs="Times New Roman"/>
          <w:lang w:val="en-GB"/>
        </w:rPr>
        <w:t>to</w:t>
      </w:r>
      <w:r w:rsidRPr="00D1419D">
        <w:rPr>
          <w:rFonts w:ascii="Times New Roman" w:hAnsi="Times New Roman" w:cs="Times New Roman"/>
          <w:lang w:val="en-GB"/>
        </w:rPr>
        <w:t xml:space="preserve"> silence if:</w:t>
      </w:r>
      <w:r w:rsidR="000716CF" w:rsidRPr="00D1419D">
        <w:rPr>
          <w:rFonts w:ascii="Times New Roman" w:hAnsi="Times New Roman" w:cs="Times New Roman"/>
          <w:lang w:val="en-GB"/>
        </w:rPr>
        <w:t xml:space="preserve"> (i) </w:t>
      </w:r>
      <w:r w:rsidRPr="006B7E30">
        <w:rPr>
          <w:rFonts w:ascii="Times New Roman" w:hAnsi="Times New Roman" w:cs="Times New Roman"/>
          <w:lang w:val="en-GB"/>
        </w:rPr>
        <w:t xml:space="preserve">the RFI explicitly or implicitly is a request to </w:t>
      </w:r>
      <w:r w:rsidR="00717CEB" w:rsidRPr="006B7E30">
        <w:rPr>
          <w:rFonts w:ascii="Times New Roman" w:hAnsi="Times New Roman" w:cs="Times New Roman"/>
          <w:lang w:val="en-GB"/>
        </w:rPr>
        <w:t xml:space="preserve">admit the existence of a competition law </w:t>
      </w:r>
      <w:r w:rsidR="000716CF" w:rsidRPr="006B7E30">
        <w:rPr>
          <w:rFonts w:ascii="Times New Roman" w:hAnsi="Times New Roman" w:cs="Times New Roman"/>
          <w:lang w:val="en-GB"/>
        </w:rPr>
        <w:t>infringement</w:t>
      </w:r>
      <w:r w:rsidRPr="006B7E30">
        <w:rPr>
          <w:rFonts w:ascii="Times New Roman" w:hAnsi="Times New Roman" w:cs="Times New Roman"/>
          <w:lang w:val="en-GB"/>
        </w:rPr>
        <w:t>;</w:t>
      </w:r>
      <w:r w:rsidR="000716CF" w:rsidRPr="006B7E30">
        <w:rPr>
          <w:rFonts w:ascii="Times New Roman" w:hAnsi="Times New Roman" w:cs="Times New Roman"/>
          <w:lang w:val="en-GB"/>
        </w:rPr>
        <w:t xml:space="preserve"> and (ii) </w:t>
      </w:r>
      <w:r w:rsidRPr="006B7E30">
        <w:rPr>
          <w:rFonts w:ascii="Times New Roman" w:hAnsi="Times New Roman" w:cs="Times New Roman"/>
          <w:lang w:val="en-GB"/>
        </w:rPr>
        <w:t>they are</w:t>
      </w:r>
      <w:r w:rsidR="006B7E30">
        <w:rPr>
          <w:rFonts w:ascii="Times New Roman" w:hAnsi="Times New Roman" w:cs="Times New Roman"/>
          <w:lang w:val="en-GB"/>
        </w:rPr>
        <w:t xml:space="preserve"> </w:t>
      </w:r>
      <w:r w:rsidR="000716CF" w:rsidRPr="00C9037B">
        <w:rPr>
          <w:rFonts w:ascii="Times New Roman" w:hAnsi="Times New Roman" w:cs="Times New Roman"/>
          <w:lang w:val="en-GB"/>
        </w:rPr>
        <w:t>c</w:t>
      </w:r>
      <w:r w:rsidR="00717CEB" w:rsidRPr="00C9037B">
        <w:rPr>
          <w:rFonts w:ascii="Times New Roman" w:hAnsi="Times New Roman" w:cs="Times New Roman"/>
          <w:lang w:val="en-GB"/>
        </w:rPr>
        <w:t>ompelled to answer.</w:t>
      </w:r>
      <w:r w:rsidR="000716CF" w:rsidRPr="00C9037B">
        <w:rPr>
          <w:rStyle w:val="Appelnotedebasdep"/>
          <w:rFonts w:ascii="Times New Roman" w:hAnsi="Times New Roman" w:cs="Times New Roman"/>
          <w:lang w:val="en-GB"/>
        </w:rPr>
        <w:footnoteReference w:id="134"/>
      </w:r>
      <w:r w:rsidR="0010675B" w:rsidRPr="00C9037B">
        <w:rPr>
          <w:rFonts w:ascii="Times New Roman" w:hAnsi="Times New Roman" w:cs="Times New Roman"/>
          <w:lang w:val="en-GB"/>
        </w:rPr>
        <w:t xml:space="preserve"> </w:t>
      </w:r>
      <w:r w:rsidR="00A15120">
        <w:rPr>
          <w:rFonts w:ascii="Times New Roman" w:hAnsi="Times New Roman" w:cs="Times New Roman"/>
          <w:lang w:val="en-GB"/>
        </w:rPr>
        <w:t>In 2012, t</w:t>
      </w:r>
      <w:r w:rsidRPr="00C9037B">
        <w:rPr>
          <w:rFonts w:ascii="Times New Roman" w:hAnsi="Times New Roman" w:cs="Times New Roman"/>
          <w:lang w:val="en-GB"/>
        </w:rPr>
        <w:t xml:space="preserve">he Commission’s </w:t>
      </w:r>
      <w:r w:rsidR="000716CF" w:rsidRPr="00C9037B">
        <w:rPr>
          <w:rFonts w:ascii="Times New Roman" w:hAnsi="Times New Roman" w:cs="Times New Roman"/>
          <w:lang w:val="en-GB"/>
        </w:rPr>
        <w:t>Antitrust Manual of procedures</w:t>
      </w:r>
      <w:r w:rsidRPr="00C9037B">
        <w:rPr>
          <w:rFonts w:ascii="Times New Roman" w:hAnsi="Times New Roman" w:cs="Times New Roman"/>
          <w:lang w:val="en-GB"/>
        </w:rPr>
        <w:t xml:space="preserve"> </w:t>
      </w:r>
      <w:r w:rsidR="0010675B" w:rsidRPr="00C9037B">
        <w:rPr>
          <w:rFonts w:ascii="Times New Roman" w:hAnsi="Times New Roman" w:cs="Times New Roman"/>
          <w:lang w:val="en-GB"/>
        </w:rPr>
        <w:t>codified</w:t>
      </w:r>
      <w:r w:rsidRPr="00C9037B">
        <w:rPr>
          <w:rFonts w:ascii="Times New Roman" w:hAnsi="Times New Roman" w:cs="Times New Roman"/>
          <w:lang w:val="en-GB"/>
        </w:rPr>
        <w:t xml:space="preserve"> those principles.</w:t>
      </w:r>
      <w:r w:rsidR="000716CF" w:rsidRPr="00C9037B">
        <w:rPr>
          <w:rStyle w:val="Appelnotedebasdep"/>
          <w:rFonts w:ascii="Times New Roman" w:hAnsi="Times New Roman" w:cs="Times New Roman"/>
          <w:lang w:val="en-GB"/>
        </w:rPr>
        <w:footnoteReference w:id="135"/>
      </w:r>
    </w:p>
    <w:p w:rsidR="000716CF" w:rsidRPr="00311B33" w:rsidRDefault="000716CF" w:rsidP="0082443E">
      <w:pPr>
        <w:jc w:val="both"/>
        <w:rPr>
          <w:rFonts w:ascii="Times New Roman" w:hAnsi="Times New Roman" w:cs="Times New Roman"/>
          <w:lang w:val="en-GB"/>
        </w:rPr>
      </w:pPr>
    </w:p>
    <w:p w:rsidR="00C71450" w:rsidRPr="00311B33" w:rsidRDefault="00C71450" w:rsidP="00C71450">
      <w:pPr>
        <w:jc w:val="both"/>
        <w:rPr>
          <w:rFonts w:ascii="Times New Roman" w:hAnsi="Times New Roman" w:cs="Times New Roman"/>
          <w:lang w:val="en-GB"/>
        </w:rPr>
      </w:pPr>
      <w:r w:rsidRPr="00311B33">
        <w:rPr>
          <w:rFonts w:ascii="Times New Roman" w:hAnsi="Times New Roman" w:cs="Times New Roman"/>
          <w:b/>
          <w:lang w:val="en-GB"/>
        </w:rPr>
        <w:lastRenderedPageBreak/>
        <w:t xml:space="preserve">Leniency </w:t>
      </w:r>
      <w:r w:rsidRPr="00311B33">
        <w:rPr>
          <w:rFonts w:ascii="Times New Roman" w:hAnsi="Times New Roman" w:cs="Times New Roman"/>
          <w:lang w:val="en-GB"/>
        </w:rPr>
        <w:t xml:space="preserve">– It has been argued that the </w:t>
      </w:r>
      <w:r w:rsidR="0010675B" w:rsidRPr="00311B33">
        <w:rPr>
          <w:rFonts w:ascii="Times New Roman" w:hAnsi="Times New Roman" w:cs="Times New Roman"/>
          <w:lang w:val="en-GB"/>
        </w:rPr>
        <w:t>EU leniency programme</w:t>
      </w:r>
      <w:r w:rsidRPr="00311B33">
        <w:rPr>
          <w:rFonts w:ascii="Times New Roman" w:hAnsi="Times New Roman" w:cs="Times New Roman"/>
          <w:lang w:val="en-GB"/>
        </w:rPr>
        <w:t xml:space="preserve"> infringe</w:t>
      </w:r>
      <w:r w:rsidR="0010675B" w:rsidRPr="00311B33">
        <w:rPr>
          <w:rFonts w:ascii="Times New Roman" w:hAnsi="Times New Roman" w:cs="Times New Roman"/>
          <w:lang w:val="en-GB"/>
        </w:rPr>
        <w:t>s</w:t>
      </w:r>
      <w:r w:rsidRPr="00311B33">
        <w:rPr>
          <w:rFonts w:ascii="Times New Roman" w:hAnsi="Times New Roman" w:cs="Times New Roman"/>
          <w:lang w:val="en-GB"/>
        </w:rPr>
        <w:t xml:space="preserve"> the right to remain silent</w:t>
      </w:r>
      <w:r w:rsidR="00FB7308">
        <w:rPr>
          <w:rFonts w:ascii="Times New Roman" w:hAnsi="Times New Roman" w:cs="Times New Roman"/>
          <w:lang w:val="en-GB"/>
        </w:rPr>
        <w:t>.</w:t>
      </w:r>
      <w:r w:rsidR="00FB7308">
        <w:rPr>
          <w:rStyle w:val="Appelnotedebasdep"/>
          <w:rFonts w:ascii="Times New Roman" w:hAnsi="Times New Roman" w:cs="Times New Roman"/>
          <w:lang w:val="en-GB"/>
        </w:rPr>
        <w:footnoteReference w:id="136"/>
      </w:r>
      <w:r w:rsidR="00A15120">
        <w:rPr>
          <w:rFonts w:ascii="Times New Roman" w:hAnsi="Times New Roman" w:cs="Times New Roman"/>
          <w:lang w:val="en-GB"/>
        </w:rPr>
        <w:t xml:space="preserve"> </w:t>
      </w:r>
      <w:r w:rsidR="00341C7F" w:rsidRPr="00311B33">
        <w:rPr>
          <w:rFonts w:ascii="Times New Roman" w:hAnsi="Times New Roman" w:cs="Times New Roman"/>
          <w:lang w:val="en-GB"/>
        </w:rPr>
        <w:t>Firms that apply for leniency are nudged to self-incriminate in order to avoid a fine.</w:t>
      </w:r>
      <w:r w:rsidRPr="00311B33">
        <w:rPr>
          <w:rFonts w:ascii="Times New Roman" w:hAnsi="Times New Roman" w:cs="Times New Roman"/>
          <w:lang w:val="en-GB"/>
        </w:rPr>
        <w:t xml:space="preserve"> </w:t>
      </w:r>
    </w:p>
    <w:p w:rsidR="00C71450" w:rsidRPr="00311B33" w:rsidRDefault="00C71450" w:rsidP="00C71450">
      <w:pPr>
        <w:jc w:val="both"/>
        <w:rPr>
          <w:rFonts w:ascii="Times New Roman" w:hAnsi="Times New Roman" w:cs="Times New Roman"/>
          <w:lang w:val="en-GB"/>
        </w:rPr>
      </w:pPr>
    </w:p>
    <w:p w:rsidR="00C71450" w:rsidRDefault="00341C7F" w:rsidP="00C71450">
      <w:pPr>
        <w:jc w:val="both"/>
        <w:rPr>
          <w:rFonts w:ascii="Times New Roman" w:hAnsi="Times New Roman" w:cs="Times New Roman"/>
          <w:lang w:val="en-GB"/>
        </w:rPr>
      </w:pPr>
      <w:r w:rsidRPr="00311B33">
        <w:rPr>
          <w:rFonts w:ascii="Times New Roman" w:hAnsi="Times New Roman" w:cs="Times New Roman"/>
          <w:lang w:val="en-GB"/>
        </w:rPr>
        <w:t xml:space="preserve">The </w:t>
      </w:r>
      <w:r w:rsidR="00C71450" w:rsidRPr="00311B33">
        <w:rPr>
          <w:rFonts w:ascii="Times New Roman" w:hAnsi="Times New Roman" w:cs="Times New Roman"/>
          <w:lang w:val="en-GB"/>
        </w:rPr>
        <w:t>General Court</w:t>
      </w:r>
      <w:r w:rsidRPr="00311B33">
        <w:rPr>
          <w:rFonts w:ascii="Times New Roman" w:hAnsi="Times New Roman" w:cs="Times New Roman"/>
          <w:lang w:val="en-GB"/>
        </w:rPr>
        <w:t xml:space="preserve"> has dismissed this argument</w:t>
      </w:r>
      <w:r w:rsidR="00C71450" w:rsidRPr="00311B33">
        <w:rPr>
          <w:rFonts w:ascii="Times New Roman" w:hAnsi="Times New Roman" w:cs="Times New Roman"/>
          <w:lang w:val="en-GB"/>
        </w:rPr>
        <w:t xml:space="preserve">. </w:t>
      </w:r>
      <w:r w:rsidRPr="00311B33">
        <w:rPr>
          <w:rFonts w:ascii="Times New Roman" w:hAnsi="Times New Roman" w:cs="Times New Roman"/>
          <w:lang w:val="en-GB"/>
        </w:rPr>
        <w:t xml:space="preserve">In </w:t>
      </w:r>
      <w:r w:rsidR="00C71450" w:rsidRPr="00311B33">
        <w:rPr>
          <w:rFonts w:ascii="Times New Roman" w:hAnsi="Times New Roman" w:cs="Times New Roman"/>
          <w:lang w:val="en-GB"/>
        </w:rPr>
        <w:t>the Court</w:t>
      </w:r>
      <w:r w:rsidRPr="00311B33">
        <w:rPr>
          <w:rFonts w:ascii="Times New Roman" w:hAnsi="Times New Roman" w:cs="Times New Roman"/>
          <w:lang w:val="en-GB"/>
        </w:rPr>
        <w:t>’s view</w:t>
      </w:r>
      <w:r w:rsidR="00C71450" w:rsidRPr="00311B33">
        <w:rPr>
          <w:rFonts w:ascii="Times New Roman" w:hAnsi="Times New Roman" w:cs="Times New Roman"/>
          <w:lang w:val="en-GB"/>
        </w:rPr>
        <w:t xml:space="preserve">, </w:t>
      </w:r>
      <w:r w:rsidR="004722AD" w:rsidRPr="00311B33">
        <w:rPr>
          <w:rFonts w:ascii="Times New Roman" w:hAnsi="Times New Roman" w:cs="Times New Roman"/>
          <w:lang w:val="en-GB"/>
        </w:rPr>
        <w:t xml:space="preserve">undertakings </w:t>
      </w:r>
      <w:r w:rsidRPr="00311B33">
        <w:rPr>
          <w:rFonts w:ascii="Times New Roman" w:hAnsi="Times New Roman" w:cs="Times New Roman"/>
          <w:lang w:val="en-GB"/>
        </w:rPr>
        <w:t xml:space="preserve">that </w:t>
      </w:r>
      <w:r w:rsidR="004722AD" w:rsidRPr="00311B33">
        <w:rPr>
          <w:rFonts w:ascii="Times New Roman" w:hAnsi="Times New Roman" w:cs="Times New Roman"/>
          <w:lang w:val="en-GB"/>
        </w:rPr>
        <w:t>provid</w:t>
      </w:r>
      <w:r w:rsidRPr="00311B33">
        <w:rPr>
          <w:rFonts w:ascii="Times New Roman" w:hAnsi="Times New Roman" w:cs="Times New Roman"/>
          <w:lang w:val="en-GB"/>
        </w:rPr>
        <w:t>e</w:t>
      </w:r>
      <w:r w:rsidR="004722AD" w:rsidRPr="00311B33">
        <w:rPr>
          <w:rFonts w:ascii="Times New Roman" w:hAnsi="Times New Roman" w:cs="Times New Roman"/>
          <w:lang w:val="en-GB"/>
        </w:rPr>
        <w:t xml:space="preserve"> information </w:t>
      </w:r>
      <w:r w:rsidRPr="00311B33">
        <w:rPr>
          <w:rFonts w:ascii="Times New Roman" w:hAnsi="Times New Roman" w:cs="Times New Roman"/>
          <w:lang w:val="en-GB"/>
        </w:rPr>
        <w:t xml:space="preserve">under </w:t>
      </w:r>
      <w:r w:rsidR="004722AD" w:rsidRPr="00311B33">
        <w:rPr>
          <w:rFonts w:ascii="Times New Roman" w:hAnsi="Times New Roman" w:cs="Times New Roman"/>
          <w:lang w:val="en-GB"/>
        </w:rPr>
        <w:t xml:space="preserve">the leniency programme </w:t>
      </w:r>
      <w:r w:rsidRPr="00311B33">
        <w:rPr>
          <w:rFonts w:ascii="Times New Roman" w:hAnsi="Times New Roman" w:cs="Times New Roman"/>
          <w:lang w:val="en-GB"/>
        </w:rPr>
        <w:t>cho</w:t>
      </w:r>
      <w:r w:rsidR="007D6DD4">
        <w:rPr>
          <w:rFonts w:ascii="Times New Roman" w:hAnsi="Times New Roman" w:cs="Times New Roman"/>
          <w:lang w:val="en-GB"/>
        </w:rPr>
        <w:t>o</w:t>
      </w:r>
      <w:r w:rsidRPr="00311B33">
        <w:rPr>
          <w:rFonts w:ascii="Times New Roman" w:hAnsi="Times New Roman" w:cs="Times New Roman"/>
          <w:lang w:val="en-GB"/>
        </w:rPr>
        <w:t xml:space="preserve">se to do so </w:t>
      </w:r>
      <w:r w:rsidR="004722AD" w:rsidRPr="00311B33">
        <w:rPr>
          <w:rFonts w:ascii="Times New Roman" w:hAnsi="Times New Roman" w:cs="Times New Roman"/>
          <w:lang w:val="en-GB"/>
        </w:rPr>
        <w:t>freely</w:t>
      </w:r>
      <w:r w:rsidRPr="00311B33">
        <w:rPr>
          <w:rFonts w:ascii="Times New Roman" w:hAnsi="Times New Roman" w:cs="Times New Roman"/>
          <w:lang w:val="en-GB"/>
        </w:rPr>
        <w:t>,</w:t>
      </w:r>
      <w:r w:rsidR="004722AD" w:rsidRPr="00311B33">
        <w:rPr>
          <w:rFonts w:ascii="Times New Roman" w:hAnsi="Times New Roman" w:cs="Times New Roman"/>
          <w:lang w:val="en-GB"/>
        </w:rPr>
        <w:t xml:space="preserve"> and </w:t>
      </w:r>
      <w:r w:rsidRPr="00311B33">
        <w:rPr>
          <w:rFonts w:ascii="Times New Roman" w:hAnsi="Times New Roman" w:cs="Times New Roman"/>
          <w:lang w:val="en-GB"/>
        </w:rPr>
        <w:t xml:space="preserve">there is </w:t>
      </w:r>
      <w:r w:rsidR="004722AD" w:rsidRPr="00311B33">
        <w:rPr>
          <w:rFonts w:ascii="Times New Roman" w:hAnsi="Times New Roman" w:cs="Times New Roman"/>
          <w:lang w:val="en-GB"/>
        </w:rPr>
        <w:t>n</w:t>
      </w:r>
      <w:r w:rsidR="00C71450" w:rsidRPr="00311B33">
        <w:rPr>
          <w:rFonts w:ascii="Times New Roman" w:hAnsi="Times New Roman" w:cs="Times New Roman"/>
          <w:lang w:val="en-GB"/>
        </w:rPr>
        <w:t xml:space="preserve">o infringement of the rights of defence </w:t>
      </w:r>
      <w:r w:rsidRPr="00311B33">
        <w:rPr>
          <w:rFonts w:ascii="Times New Roman" w:hAnsi="Times New Roman" w:cs="Times New Roman"/>
          <w:lang w:val="en-GB"/>
        </w:rPr>
        <w:t>in this context</w:t>
      </w:r>
      <w:r w:rsidR="00C71450" w:rsidRPr="00311B33">
        <w:rPr>
          <w:rFonts w:ascii="Times New Roman" w:hAnsi="Times New Roman" w:cs="Times New Roman"/>
          <w:lang w:val="en-GB"/>
        </w:rPr>
        <w:t>.</w:t>
      </w:r>
      <w:r w:rsidR="00C71450" w:rsidRPr="00311B33">
        <w:rPr>
          <w:rStyle w:val="Appelnotedebasdep"/>
          <w:rFonts w:ascii="Times New Roman" w:hAnsi="Times New Roman" w:cs="Times New Roman"/>
          <w:lang w:val="en-GB"/>
        </w:rPr>
        <w:footnoteReference w:id="137"/>
      </w:r>
    </w:p>
    <w:p w:rsidR="00465B02" w:rsidRPr="00311B33" w:rsidRDefault="00465B02" w:rsidP="00C71450">
      <w:pPr>
        <w:jc w:val="both"/>
        <w:rPr>
          <w:rFonts w:ascii="Times New Roman" w:hAnsi="Times New Roman" w:cs="Times New Roman"/>
          <w:lang w:val="en-GB"/>
        </w:rPr>
      </w:pPr>
    </w:p>
    <w:p w:rsidR="00C71450" w:rsidRPr="00311B33" w:rsidRDefault="009B1657" w:rsidP="0082443E">
      <w:pPr>
        <w:jc w:val="both"/>
        <w:rPr>
          <w:rFonts w:ascii="Times New Roman" w:hAnsi="Times New Roman" w:cs="Times New Roman"/>
          <w:lang w:val="en-GB"/>
        </w:rPr>
      </w:pPr>
      <w:r w:rsidRPr="00246F56">
        <w:rPr>
          <w:rFonts w:ascii="Times New Roman" w:hAnsi="Times New Roman" w:cs="Times New Roman"/>
          <w:b/>
          <w:lang w:val="en-GB"/>
        </w:rPr>
        <w:t>Sanctions –</w:t>
      </w:r>
      <w:r w:rsidR="00C71450" w:rsidRPr="00311B33">
        <w:rPr>
          <w:rFonts w:ascii="Times New Roman" w:hAnsi="Times New Roman" w:cs="Times New Roman"/>
          <w:lang w:val="en-GB"/>
        </w:rPr>
        <w:t xml:space="preserve"> </w:t>
      </w:r>
      <w:r w:rsidR="007A0162" w:rsidRPr="00311B33">
        <w:rPr>
          <w:rFonts w:ascii="Times New Roman" w:hAnsi="Times New Roman" w:cs="Times New Roman"/>
          <w:lang w:val="en-GB"/>
        </w:rPr>
        <w:t xml:space="preserve">Violations </w:t>
      </w:r>
      <w:r w:rsidR="0082376F" w:rsidRPr="00311B33">
        <w:rPr>
          <w:rFonts w:ascii="Times New Roman" w:hAnsi="Times New Roman" w:cs="Times New Roman"/>
          <w:lang w:val="en-GB"/>
        </w:rPr>
        <w:t xml:space="preserve">of the right to remain silent </w:t>
      </w:r>
      <w:r w:rsidR="004722AD" w:rsidRPr="00311B33">
        <w:rPr>
          <w:rFonts w:ascii="Times New Roman" w:hAnsi="Times New Roman" w:cs="Times New Roman"/>
          <w:lang w:val="en-GB"/>
        </w:rPr>
        <w:t xml:space="preserve">typically </w:t>
      </w:r>
      <w:r w:rsidR="003A6727" w:rsidRPr="00311B33">
        <w:rPr>
          <w:rFonts w:ascii="Times New Roman" w:hAnsi="Times New Roman" w:cs="Times New Roman"/>
          <w:lang w:val="en-GB"/>
        </w:rPr>
        <w:t xml:space="preserve">lead to annulment of </w:t>
      </w:r>
      <w:r w:rsidR="00341C7F" w:rsidRPr="00311B33">
        <w:rPr>
          <w:rFonts w:ascii="Times New Roman" w:hAnsi="Times New Roman" w:cs="Times New Roman"/>
          <w:lang w:val="en-GB"/>
        </w:rPr>
        <w:t xml:space="preserve">the Commission’s </w:t>
      </w:r>
      <w:r w:rsidR="0082376F" w:rsidRPr="00311B33">
        <w:rPr>
          <w:rFonts w:ascii="Times New Roman" w:hAnsi="Times New Roman" w:cs="Times New Roman"/>
          <w:lang w:val="en-GB"/>
        </w:rPr>
        <w:t xml:space="preserve">decision. </w:t>
      </w:r>
      <w:r w:rsidR="00341C7F" w:rsidRPr="00311B33">
        <w:rPr>
          <w:rFonts w:ascii="Times New Roman" w:hAnsi="Times New Roman" w:cs="Times New Roman"/>
          <w:lang w:val="en-GB"/>
        </w:rPr>
        <w:t xml:space="preserve">Absent self-incrimination, the outcome of proceedings might have been radically different. </w:t>
      </w:r>
      <w:r w:rsidR="003A6727" w:rsidRPr="00311B33">
        <w:rPr>
          <w:rFonts w:ascii="Times New Roman" w:hAnsi="Times New Roman" w:cs="Times New Roman"/>
          <w:lang w:val="en-GB"/>
        </w:rPr>
        <w:t xml:space="preserve">In </w:t>
      </w:r>
      <w:r w:rsidR="00341C7F" w:rsidRPr="00311B33">
        <w:rPr>
          <w:rFonts w:ascii="Times New Roman" w:hAnsi="Times New Roman" w:cs="Times New Roman"/>
          <w:lang w:val="en-GB"/>
        </w:rPr>
        <w:t>the case-law</w:t>
      </w:r>
      <w:r w:rsidR="004722AD" w:rsidRPr="00311B33">
        <w:rPr>
          <w:rFonts w:ascii="Times New Roman" w:hAnsi="Times New Roman" w:cs="Times New Roman"/>
          <w:lang w:val="en-GB"/>
        </w:rPr>
        <w:t xml:space="preserve">, </w:t>
      </w:r>
      <w:r w:rsidR="00341C7F" w:rsidRPr="00311B33">
        <w:rPr>
          <w:rFonts w:ascii="Times New Roman" w:hAnsi="Times New Roman" w:cs="Times New Roman"/>
          <w:lang w:val="en-GB"/>
        </w:rPr>
        <w:t xml:space="preserve">several </w:t>
      </w:r>
      <w:r w:rsidR="004722AD" w:rsidRPr="00311B33">
        <w:rPr>
          <w:rFonts w:ascii="Times New Roman" w:hAnsi="Times New Roman" w:cs="Times New Roman"/>
          <w:lang w:val="en-GB"/>
        </w:rPr>
        <w:t>decisions</w:t>
      </w:r>
      <w:r w:rsidR="003A6727" w:rsidRPr="00311B33">
        <w:rPr>
          <w:rFonts w:ascii="Times New Roman" w:hAnsi="Times New Roman" w:cs="Times New Roman"/>
          <w:lang w:val="en-GB"/>
        </w:rPr>
        <w:t xml:space="preserve"> of the Commission have been quashed on </w:t>
      </w:r>
      <w:r w:rsidR="00341C7F" w:rsidRPr="00311B33">
        <w:rPr>
          <w:rFonts w:ascii="Times New Roman" w:hAnsi="Times New Roman" w:cs="Times New Roman"/>
          <w:lang w:val="en-GB"/>
        </w:rPr>
        <w:t xml:space="preserve">this </w:t>
      </w:r>
      <w:r w:rsidR="003A6727" w:rsidRPr="00311B33">
        <w:rPr>
          <w:rFonts w:ascii="Times New Roman" w:hAnsi="Times New Roman" w:cs="Times New Roman"/>
          <w:lang w:val="en-GB"/>
        </w:rPr>
        <w:t>ground</w:t>
      </w:r>
      <w:r w:rsidR="00341C7F" w:rsidRPr="00311B33">
        <w:rPr>
          <w:rFonts w:ascii="Times New Roman" w:hAnsi="Times New Roman" w:cs="Times New Roman"/>
          <w:lang w:val="en-GB"/>
        </w:rPr>
        <w:t xml:space="preserve"> </w:t>
      </w:r>
      <w:r w:rsidR="003A6727" w:rsidRPr="00311B33">
        <w:rPr>
          <w:rFonts w:ascii="Times New Roman" w:hAnsi="Times New Roman" w:cs="Times New Roman"/>
          <w:lang w:val="en-GB"/>
        </w:rPr>
        <w:t>“</w:t>
      </w:r>
      <w:r w:rsidR="004722AD" w:rsidRPr="00311B33">
        <w:rPr>
          <w:rFonts w:ascii="Times New Roman" w:hAnsi="Times New Roman" w:cs="Times New Roman"/>
          <w:i/>
          <w:lang w:val="en-GB"/>
        </w:rPr>
        <w:t>in so far as [they]</w:t>
      </w:r>
      <w:r w:rsidRPr="00311B33">
        <w:rPr>
          <w:rFonts w:ascii="Times New Roman" w:hAnsi="Times New Roman" w:cs="Times New Roman"/>
          <w:i/>
          <w:lang w:val="en-GB"/>
        </w:rPr>
        <w:t xml:space="preserve"> relate</w:t>
      </w:r>
      <w:r w:rsidR="003A6727" w:rsidRPr="00311B33">
        <w:rPr>
          <w:rFonts w:ascii="Times New Roman" w:hAnsi="Times New Roman" w:cs="Times New Roman"/>
          <w:lang w:val="en-GB"/>
        </w:rPr>
        <w:t>” to questions that the Commission should not have asked</w:t>
      </w:r>
      <w:r w:rsidR="004722AD" w:rsidRPr="00311B33">
        <w:rPr>
          <w:rFonts w:ascii="Times New Roman" w:hAnsi="Times New Roman" w:cs="Times New Roman"/>
          <w:lang w:val="en-GB"/>
        </w:rPr>
        <w:t>.</w:t>
      </w:r>
      <w:r w:rsidR="003A6727" w:rsidRPr="00311B33">
        <w:rPr>
          <w:rStyle w:val="Appelnotedebasdep"/>
          <w:rFonts w:ascii="Times New Roman" w:hAnsi="Times New Roman" w:cs="Times New Roman"/>
          <w:lang w:val="en-GB"/>
        </w:rPr>
        <w:footnoteReference w:id="138"/>
      </w:r>
    </w:p>
    <w:p w:rsidR="003A6727" w:rsidRPr="00311B33" w:rsidRDefault="003A6727" w:rsidP="0082443E">
      <w:pPr>
        <w:jc w:val="both"/>
        <w:rPr>
          <w:rFonts w:ascii="Times New Roman" w:hAnsi="Times New Roman" w:cs="Times New Roman"/>
          <w:lang w:val="en-GB"/>
        </w:rPr>
      </w:pPr>
    </w:p>
    <w:p w:rsidR="00E85605" w:rsidRPr="00311B33" w:rsidRDefault="00E85605" w:rsidP="0082443E">
      <w:pPr>
        <w:jc w:val="both"/>
        <w:rPr>
          <w:rFonts w:ascii="Times New Roman" w:hAnsi="Times New Roman" w:cs="Times New Roman"/>
          <w:lang w:val="en-GB"/>
        </w:rPr>
      </w:pPr>
    </w:p>
    <w:p w:rsidR="009A4463" w:rsidRPr="00311B33" w:rsidRDefault="00FF1FE7" w:rsidP="0082443E">
      <w:pPr>
        <w:jc w:val="both"/>
        <w:rPr>
          <w:rFonts w:ascii="Times New Roman" w:hAnsi="Times New Roman" w:cs="Times New Roman"/>
          <w:b/>
          <w:u w:val="single"/>
          <w:lang w:val="en-GB"/>
        </w:rPr>
      </w:pPr>
      <w:r w:rsidRPr="00311B33">
        <w:rPr>
          <w:rFonts w:ascii="Times New Roman" w:hAnsi="Times New Roman" w:cs="Times New Roman"/>
          <w:b/>
          <w:lang w:val="en-GB"/>
        </w:rPr>
        <w:t>VIII.</w:t>
      </w:r>
      <w:r w:rsidRPr="00311B33">
        <w:rPr>
          <w:rFonts w:ascii="Times New Roman" w:hAnsi="Times New Roman" w:cs="Times New Roman"/>
          <w:b/>
          <w:lang w:val="en-GB"/>
        </w:rPr>
        <w:tab/>
      </w:r>
      <w:r w:rsidR="00D81673" w:rsidRPr="00311B33">
        <w:rPr>
          <w:rFonts w:ascii="Times New Roman" w:hAnsi="Times New Roman" w:cs="Times New Roman"/>
          <w:b/>
          <w:u w:val="single"/>
          <w:lang w:val="en-GB"/>
        </w:rPr>
        <w:t>The right</w:t>
      </w:r>
      <w:r w:rsidR="004E5575" w:rsidRPr="00311B33">
        <w:rPr>
          <w:rFonts w:ascii="Times New Roman" w:hAnsi="Times New Roman" w:cs="Times New Roman"/>
          <w:b/>
          <w:u w:val="single"/>
          <w:lang w:val="en-GB"/>
        </w:rPr>
        <w:t xml:space="preserve"> to </w:t>
      </w:r>
      <w:r w:rsidR="00E833EA" w:rsidRPr="00311B33">
        <w:rPr>
          <w:rFonts w:ascii="Times New Roman" w:hAnsi="Times New Roman" w:cs="Times New Roman"/>
          <w:b/>
          <w:u w:val="single"/>
          <w:lang w:val="en-GB"/>
        </w:rPr>
        <w:t>professional secrecy</w:t>
      </w:r>
    </w:p>
    <w:p w:rsidR="009A4463" w:rsidRPr="00311B33" w:rsidRDefault="009A4463" w:rsidP="0082443E">
      <w:pPr>
        <w:jc w:val="both"/>
        <w:rPr>
          <w:rFonts w:ascii="Times New Roman" w:hAnsi="Times New Roman" w:cs="Times New Roman"/>
          <w:b/>
          <w:lang w:val="en-GB"/>
        </w:rPr>
      </w:pPr>
    </w:p>
    <w:p w:rsidR="00A30840" w:rsidRPr="00311B33" w:rsidRDefault="00AB5090" w:rsidP="00A30840">
      <w:pPr>
        <w:jc w:val="both"/>
        <w:rPr>
          <w:rFonts w:ascii="Times New Roman" w:hAnsi="Times New Roman" w:cs="Times New Roman"/>
          <w:lang w:val="en-GB"/>
        </w:rPr>
      </w:pPr>
      <w:r w:rsidRPr="00311B33">
        <w:rPr>
          <w:rFonts w:ascii="Times New Roman" w:hAnsi="Times New Roman" w:cs="Times New Roman"/>
          <w:b/>
          <w:lang w:val="en-GB"/>
        </w:rPr>
        <w:t>Content and legal basis</w:t>
      </w:r>
      <w:r w:rsidRPr="00311B33">
        <w:rPr>
          <w:rFonts w:ascii="Times New Roman" w:hAnsi="Times New Roman" w:cs="Times New Roman"/>
          <w:b/>
          <w:lang w:val="en-US"/>
        </w:rPr>
        <w:t xml:space="preserve"> </w:t>
      </w:r>
      <w:r w:rsidRPr="00311B33">
        <w:rPr>
          <w:rFonts w:ascii="Times New Roman" w:hAnsi="Times New Roman" w:cs="Times New Roman"/>
          <w:lang w:val="en-US"/>
        </w:rPr>
        <w:t xml:space="preserve">– </w:t>
      </w:r>
      <w:r w:rsidR="00310E9F" w:rsidRPr="00311B33">
        <w:rPr>
          <w:rFonts w:ascii="Times New Roman" w:hAnsi="Times New Roman" w:cs="Times New Roman"/>
          <w:lang w:val="en-GB"/>
        </w:rPr>
        <w:t xml:space="preserve">The right to </w:t>
      </w:r>
      <w:r w:rsidR="00E833EA" w:rsidRPr="00311B33">
        <w:rPr>
          <w:rFonts w:ascii="Times New Roman" w:hAnsi="Times New Roman" w:cs="Times New Roman"/>
          <w:lang w:val="en-GB"/>
        </w:rPr>
        <w:t xml:space="preserve">professional secrecy </w:t>
      </w:r>
      <w:r w:rsidR="00310E9F" w:rsidRPr="00311B33">
        <w:rPr>
          <w:rFonts w:ascii="Times New Roman" w:hAnsi="Times New Roman" w:cs="Times New Roman"/>
          <w:lang w:val="en-GB"/>
        </w:rPr>
        <w:t>is a cle</w:t>
      </w:r>
      <w:r w:rsidR="00816B55" w:rsidRPr="00311B33">
        <w:rPr>
          <w:rFonts w:ascii="Times New Roman" w:hAnsi="Times New Roman" w:cs="Times New Roman"/>
          <w:lang w:val="en-GB"/>
        </w:rPr>
        <w:t>ar example where the Commission</w:t>
      </w:r>
      <w:r w:rsidR="00310E9F" w:rsidRPr="00311B33">
        <w:rPr>
          <w:rFonts w:ascii="Times New Roman" w:hAnsi="Times New Roman" w:cs="Times New Roman"/>
          <w:lang w:val="en-GB"/>
        </w:rPr>
        <w:t xml:space="preserve"> has to </w:t>
      </w:r>
      <w:r w:rsidR="001E1C1F" w:rsidRPr="00311B33">
        <w:rPr>
          <w:rFonts w:ascii="Times New Roman" w:hAnsi="Times New Roman" w:cs="Times New Roman"/>
          <w:lang w:val="en-GB"/>
        </w:rPr>
        <w:t>strike a fine</w:t>
      </w:r>
      <w:r w:rsidR="00310E9F" w:rsidRPr="00311B33">
        <w:rPr>
          <w:rFonts w:ascii="Times New Roman" w:hAnsi="Times New Roman" w:cs="Times New Roman"/>
          <w:lang w:val="en-GB"/>
        </w:rPr>
        <w:t xml:space="preserve"> balance between</w:t>
      </w:r>
      <w:r w:rsidR="00E833EA" w:rsidRPr="00311B33">
        <w:rPr>
          <w:rFonts w:ascii="Times New Roman" w:hAnsi="Times New Roman" w:cs="Times New Roman"/>
          <w:lang w:val="en-GB"/>
        </w:rPr>
        <w:t xml:space="preserve"> the private and the</w:t>
      </w:r>
      <w:r w:rsidR="00310E9F" w:rsidRPr="00311B33">
        <w:rPr>
          <w:rFonts w:ascii="Times New Roman" w:hAnsi="Times New Roman" w:cs="Times New Roman"/>
          <w:lang w:val="en-GB"/>
        </w:rPr>
        <w:t xml:space="preserve"> public interest. </w:t>
      </w:r>
      <w:r w:rsidR="00E833EA" w:rsidRPr="00311B33">
        <w:rPr>
          <w:rFonts w:ascii="Times New Roman" w:hAnsi="Times New Roman" w:cs="Times New Roman"/>
          <w:lang w:val="en-GB"/>
        </w:rPr>
        <w:t xml:space="preserve">Firms involved in competition proceedings </w:t>
      </w:r>
      <w:r w:rsidR="00D81673" w:rsidRPr="00311B33">
        <w:rPr>
          <w:rFonts w:ascii="Times New Roman" w:hAnsi="Times New Roman" w:cs="Times New Roman"/>
          <w:lang w:val="en-GB"/>
        </w:rPr>
        <w:t>want their</w:t>
      </w:r>
      <w:r w:rsidR="002F43FD" w:rsidRPr="00311B33">
        <w:rPr>
          <w:rFonts w:ascii="Times New Roman" w:hAnsi="Times New Roman" w:cs="Times New Roman"/>
          <w:lang w:val="en-GB"/>
        </w:rPr>
        <w:t xml:space="preserve"> confidential information </w:t>
      </w:r>
      <w:r w:rsidR="00D81673" w:rsidRPr="00311B33">
        <w:rPr>
          <w:rFonts w:ascii="Times New Roman" w:hAnsi="Times New Roman" w:cs="Times New Roman"/>
          <w:lang w:val="en-GB"/>
        </w:rPr>
        <w:t>to be</w:t>
      </w:r>
      <w:r w:rsidR="002F43FD" w:rsidRPr="00311B33">
        <w:rPr>
          <w:rFonts w:ascii="Times New Roman" w:hAnsi="Times New Roman" w:cs="Times New Roman"/>
          <w:lang w:val="en-GB"/>
        </w:rPr>
        <w:t xml:space="preserve"> protected </w:t>
      </w:r>
      <w:r w:rsidR="00816B55" w:rsidRPr="00311B33">
        <w:rPr>
          <w:rFonts w:ascii="Times New Roman" w:hAnsi="Times New Roman" w:cs="Times New Roman"/>
          <w:lang w:val="en-GB"/>
        </w:rPr>
        <w:t xml:space="preserve">against </w:t>
      </w:r>
      <w:r w:rsidR="002F43FD" w:rsidRPr="00311B33">
        <w:rPr>
          <w:rFonts w:ascii="Times New Roman" w:hAnsi="Times New Roman" w:cs="Times New Roman"/>
          <w:lang w:val="en-GB"/>
        </w:rPr>
        <w:t>disclosure</w:t>
      </w:r>
      <w:r w:rsidRPr="00311B33">
        <w:rPr>
          <w:rFonts w:ascii="Times New Roman" w:hAnsi="Times New Roman" w:cs="Times New Roman"/>
          <w:lang w:val="en-GB"/>
        </w:rPr>
        <w:t xml:space="preserve"> in order </w:t>
      </w:r>
      <w:r w:rsidR="009A4463" w:rsidRPr="00311B33">
        <w:rPr>
          <w:rFonts w:ascii="Times New Roman" w:hAnsi="Times New Roman" w:cs="Times New Roman"/>
          <w:lang w:val="en-GB"/>
        </w:rPr>
        <w:t xml:space="preserve">to </w:t>
      </w:r>
      <w:r w:rsidRPr="00311B33">
        <w:rPr>
          <w:rFonts w:ascii="Times New Roman" w:hAnsi="Times New Roman" w:cs="Times New Roman"/>
          <w:lang w:val="en-GB"/>
        </w:rPr>
        <w:t xml:space="preserve">avoid any </w:t>
      </w:r>
      <w:r w:rsidR="009A4463" w:rsidRPr="00311B33">
        <w:rPr>
          <w:rFonts w:ascii="Times New Roman" w:hAnsi="Times New Roman" w:cs="Times New Roman"/>
          <w:lang w:val="en-GB"/>
        </w:rPr>
        <w:t xml:space="preserve">substantial damage to </w:t>
      </w:r>
      <w:r w:rsidR="00F46DE0" w:rsidRPr="00311B33">
        <w:rPr>
          <w:rFonts w:ascii="Times New Roman" w:hAnsi="Times New Roman" w:cs="Times New Roman"/>
          <w:lang w:val="en-GB"/>
        </w:rPr>
        <w:t>their</w:t>
      </w:r>
      <w:r w:rsidR="009A4463" w:rsidRPr="00311B33">
        <w:rPr>
          <w:rFonts w:ascii="Times New Roman" w:hAnsi="Times New Roman" w:cs="Times New Roman"/>
          <w:lang w:val="en-GB"/>
        </w:rPr>
        <w:t xml:space="preserve"> commercial interests. </w:t>
      </w:r>
      <w:r w:rsidR="00E833EA" w:rsidRPr="00311B33">
        <w:rPr>
          <w:rFonts w:ascii="Times New Roman" w:hAnsi="Times New Roman" w:cs="Times New Roman"/>
          <w:lang w:val="en-GB"/>
        </w:rPr>
        <w:t>However, r</w:t>
      </w:r>
      <w:r w:rsidRPr="00311B33">
        <w:rPr>
          <w:rFonts w:ascii="Times New Roman" w:hAnsi="Times New Roman" w:cs="Times New Roman"/>
          <w:lang w:val="en-GB"/>
        </w:rPr>
        <w:t>equest</w:t>
      </w:r>
      <w:r w:rsidR="00310E9F" w:rsidRPr="00311B33">
        <w:rPr>
          <w:rFonts w:ascii="Times New Roman" w:hAnsi="Times New Roman" w:cs="Times New Roman"/>
          <w:lang w:val="en-GB"/>
        </w:rPr>
        <w:t>s</w:t>
      </w:r>
      <w:r w:rsidRPr="00311B33">
        <w:rPr>
          <w:rFonts w:ascii="Times New Roman" w:hAnsi="Times New Roman" w:cs="Times New Roman"/>
          <w:lang w:val="en-GB"/>
        </w:rPr>
        <w:t xml:space="preserve"> for </w:t>
      </w:r>
      <w:r w:rsidR="00E833EA" w:rsidRPr="00311B33">
        <w:rPr>
          <w:rFonts w:ascii="Times New Roman" w:hAnsi="Times New Roman" w:cs="Times New Roman"/>
          <w:lang w:val="en-GB"/>
        </w:rPr>
        <w:t xml:space="preserve">the protection of </w:t>
      </w:r>
      <w:r w:rsidRPr="00311B33">
        <w:rPr>
          <w:rFonts w:ascii="Times New Roman" w:hAnsi="Times New Roman" w:cs="Times New Roman"/>
          <w:lang w:val="en-GB"/>
        </w:rPr>
        <w:t xml:space="preserve">confidential </w:t>
      </w:r>
      <w:r w:rsidR="00E833EA" w:rsidRPr="00311B33">
        <w:rPr>
          <w:rFonts w:ascii="Times New Roman" w:hAnsi="Times New Roman" w:cs="Times New Roman"/>
          <w:lang w:val="en-GB"/>
        </w:rPr>
        <w:t>information delay the operation and impoverish the substance of competition proceedings</w:t>
      </w:r>
      <w:r w:rsidR="00310E9F" w:rsidRPr="00311B33">
        <w:rPr>
          <w:rFonts w:ascii="Times New Roman" w:hAnsi="Times New Roman" w:cs="Times New Roman"/>
          <w:lang w:val="en-GB"/>
        </w:rPr>
        <w:t xml:space="preserve">. </w:t>
      </w:r>
      <w:r w:rsidR="00B94512" w:rsidRPr="00246F56">
        <w:rPr>
          <w:rFonts w:ascii="Times New Roman" w:hAnsi="Times New Roman" w:cs="Times New Roman"/>
          <w:lang w:val="en-GB"/>
        </w:rPr>
        <w:t>The right to professional secrecy is protected at Article 339 TFEU, and implemented in Article 28 of the Regulation.</w:t>
      </w:r>
      <w:r w:rsidR="00B94512" w:rsidRPr="00773E53">
        <w:rPr>
          <w:rStyle w:val="Appelnotedebasdep"/>
          <w:rFonts w:ascii="Times New Roman" w:hAnsi="Times New Roman" w:cs="Times New Roman"/>
          <w:lang w:val="en-GB"/>
        </w:rPr>
        <w:footnoteReference w:id="139"/>
      </w:r>
    </w:p>
    <w:p w:rsidR="00A30840" w:rsidRPr="00311B33" w:rsidRDefault="00A30840" w:rsidP="00A30840">
      <w:pPr>
        <w:jc w:val="both"/>
        <w:rPr>
          <w:rFonts w:ascii="Times New Roman" w:hAnsi="Times New Roman" w:cs="Times New Roman"/>
          <w:lang w:val="en-GB"/>
        </w:rPr>
      </w:pPr>
    </w:p>
    <w:p w:rsidR="004F0434" w:rsidRPr="007D6DD4" w:rsidRDefault="00DE12A0" w:rsidP="00246F56">
      <w:pPr>
        <w:jc w:val="both"/>
        <w:rPr>
          <w:lang w:val="en-GB"/>
        </w:rPr>
      </w:pPr>
      <w:r w:rsidRPr="00773E53">
        <w:rPr>
          <w:rFonts w:ascii="Times New Roman" w:hAnsi="Times New Roman" w:cs="Times New Roman"/>
          <w:b/>
          <w:lang w:val="en-GB"/>
        </w:rPr>
        <w:t>Business secrets</w:t>
      </w:r>
      <w:r w:rsidR="009B1657" w:rsidRPr="00246F56">
        <w:rPr>
          <w:rFonts w:ascii="Times New Roman" w:hAnsi="Times New Roman" w:cs="Times New Roman"/>
          <w:b/>
          <w:lang w:val="en-GB"/>
        </w:rPr>
        <w:t xml:space="preserve"> and other confidential information –</w:t>
      </w:r>
      <w:r w:rsidR="00A15120">
        <w:rPr>
          <w:rFonts w:ascii="Times New Roman" w:hAnsi="Times New Roman" w:cs="Times New Roman"/>
          <w:b/>
          <w:lang w:val="en-GB"/>
        </w:rPr>
        <w:t xml:space="preserve"> </w:t>
      </w:r>
      <w:r w:rsidR="00B94512">
        <w:rPr>
          <w:rFonts w:ascii="Times New Roman" w:hAnsi="Times New Roman" w:cs="Times New Roman"/>
          <w:lang w:val="en-GB"/>
        </w:rPr>
        <w:t>I</w:t>
      </w:r>
      <w:r w:rsidR="009B1657" w:rsidRPr="00246F56">
        <w:rPr>
          <w:rFonts w:ascii="Times New Roman" w:hAnsi="Times New Roman" w:cs="Times New Roman"/>
          <w:lang w:val="en-GB"/>
        </w:rPr>
        <w:t>nformation covered by professional secrecy consist in business secrets or other confidential information. Business secrets are "</w:t>
      </w:r>
      <w:r w:rsidR="009B1657" w:rsidRPr="004E08B1">
        <w:rPr>
          <w:rFonts w:ascii="Times New Roman" w:hAnsi="Times New Roman" w:cs="Times New Roman"/>
          <w:i/>
          <w:lang w:val="en-GB"/>
        </w:rPr>
        <w:t>information of which not only disclosure to the public but also mere transmission to a person other than the one that provide</w:t>
      </w:r>
      <w:r w:rsidR="009F0974">
        <w:rPr>
          <w:rFonts w:ascii="Times New Roman" w:hAnsi="Times New Roman" w:cs="Times New Roman"/>
          <w:i/>
          <w:lang w:val="en-GB"/>
        </w:rPr>
        <w:t>s</w:t>
      </w:r>
      <w:r w:rsidR="009B1657" w:rsidRPr="004E08B1">
        <w:rPr>
          <w:rFonts w:ascii="Times New Roman" w:hAnsi="Times New Roman" w:cs="Times New Roman"/>
          <w:i/>
          <w:lang w:val="en-GB"/>
        </w:rPr>
        <w:t xml:space="preserve"> the information might seriously harm the latter's interests</w:t>
      </w:r>
      <w:r w:rsidR="009B1657" w:rsidRPr="00246F56">
        <w:rPr>
          <w:rFonts w:ascii="Times New Roman" w:hAnsi="Times New Roman" w:cs="Times New Roman"/>
          <w:lang w:val="en-GB"/>
        </w:rPr>
        <w:t>". For instance, business secrets are information about undertakings' know-how, business relations (supply sources, customers and distributors list), marketing plans, costs, price structure, etc.</w:t>
      </w:r>
      <w:r w:rsidR="006557C5" w:rsidRPr="00246F56">
        <w:rPr>
          <w:rStyle w:val="Appelnotedebasdep"/>
          <w:rFonts w:ascii="Times New Roman" w:hAnsi="Times New Roman" w:cs="Times New Roman"/>
          <w:lang w:val="en-GB"/>
        </w:rPr>
        <w:footnoteReference w:id="140"/>
      </w:r>
    </w:p>
    <w:p w:rsidR="00802C9E" w:rsidRPr="007D6DD4" w:rsidRDefault="00802C9E" w:rsidP="00246F56">
      <w:pPr>
        <w:jc w:val="both"/>
        <w:rPr>
          <w:lang w:val="en-GB"/>
        </w:rPr>
      </w:pPr>
    </w:p>
    <w:p w:rsidR="004F0434" w:rsidRPr="007D6DD4" w:rsidRDefault="009B1657" w:rsidP="00246F56">
      <w:pPr>
        <w:jc w:val="both"/>
        <w:rPr>
          <w:lang w:val="en-GB"/>
        </w:rPr>
      </w:pPr>
      <w:r w:rsidRPr="00246F56">
        <w:rPr>
          <w:rFonts w:ascii="Times New Roman" w:hAnsi="Times New Roman" w:cs="Times New Roman"/>
          <w:lang w:val="en-GB"/>
        </w:rPr>
        <w:t>The category "</w:t>
      </w:r>
      <w:r w:rsidRPr="00246F56">
        <w:rPr>
          <w:rFonts w:ascii="Times New Roman" w:hAnsi="Times New Roman" w:cs="Times New Roman"/>
          <w:i/>
          <w:lang w:val="en-GB"/>
        </w:rPr>
        <w:t>other confidential information</w:t>
      </w:r>
      <w:r w:rsidRPr="00246F56">
        <w:rPr>
          <w:rFonts w:ascii="Times New Roman" w:hAnsi="Times New Roman" w:cs="Times New Roman"/>
          <w:lang w:val="en-GB"/>
        </w:rPr>
        <w:t xml:space="preserve">" includes all information other than business secrets, the disclosure of which could significantly harm a person or undertaking. This covers for instance letters from suppliers or customers of undertakings subject to competition proceedings, since their disclosure might easily expose the authors to the risk of retaliatory </w:t>
      </w:r>
      <w:r w:rsidRPr="00246F56">
        <w:rPr>
          <w:rFonts w:ascii="Times New Roman" w:hAnsi="Times New Roman" w:cs="Times New Roman"/>
          <w:lang w:val="en-GB"/>
        </w:rPr>
        <w:lastRenderedPageBreak/>
        <w:t>measures.</w:t>
      </w:r>
      <w:r w:rsidR="00883A50" w:rsidRPr="004E08B1">
        <w:rPr>
          <w:rStyle w:val="Appelnotedebasdep"/>
          <w:lang w:val="en-GB"/>
        </w:rPr>
        <w:footnoteReference w:id="141"/>
      </w:r>
      <w:r w:rsidRPr="00246F56">
        <w:rPr>
          <w:rFonts w:ascii="Times New Roman" w:hAnsi="Times New Roman" w:cs="Times New Roman"/>
          <w:lang w:val="en-GB"/>
        </w:rPr>
        <w:t xml:space="preserve"> This notion also protects company-unrelated information like the identity of informants,</w:t>
      </w:r>
      <w:r w:rsidR="00883A50" w:rsidRPr="004E08B1">
        <w:rPr>
          <w:rStyle w:val="Appelnotedebasdep"/>
          <w:rFonts w:ascii="Times New Roman" w:hAnsi="Times New Roman"/>
          <w:lang w:val="en-GB"/>
        </w:rPr>
        <w:footnoteReference w:id="142"/>
      </w:r>
      <w:r w:rsidRPr="00015404">
        <w:rPr>
          <w:rFonts w:ascii="Times New Roman" w:hAnsi="Times New Roman" w:cs="Times New Roman"/>
          <w:lang w:val="en-GB"/>
        </w:rPr>
        <w:t xml:space="preserve"> </w:t>
      </w:r>
      <w:r w:rsidRPr="00246F56">
        <w:rPr>
          <w:rFonts w:ascii="Times New Roman" w:hAnsi="Times New Roman" w:cs="Times New Roman"/>
          <w:lang w:val="en-GB"/>
        </w:rPr>
        <w:t>military secrets, etc.</w:t>
      </w:r>
    </w:p>
    <w:p w:rsidR="00AC367C" w:rsidRPr="00311B33" w:rsidRDefault="00AC367C" w:rsidP="003648D5">
      <w:pPr>
        <w:jc w:val="both"/>
        <w:rPr>
          <w:rFonts w:ascii="Times New Roman" w:hAnsi="Times New Roman" w:cs="Times New Roman"/>
          <w:lang w:val="en-GB"/>
        </w:rPr>
      </w:pPr>
    </w:p>
    <w:p w:rsidR="001061C9" w:rsidRPr="00311B33" w:rsidRDefault="00DE12A0" w:rsidP="001061C9">
      <w:pPr>
        <w:jc w:val="both"/>
        <w:rPr>
          <w:rFonts w:ascii="Times New Roman" w:hAnsi="Times New Roman" w:cs="Times New Roman"/>
          <w:lang w:val="en-GB"/>
        </w:rPr>
      </w:pPr>
      <w:r w:rsidRPr="00311B33">
        <w:rPr>
          <w:rFonts w:ascii="Times New Roman" w:hAnsi="Times New Roman" w:cs="Times New Roman"/>
          <w:lang w:val="en-GB"/>
        </w:rPr>
        <w:t>Interestingly</w:t>
      </w:r>
      <w:r w:rsidR="008C00C4" w:rsidRPr="00311B33">
        <w:rPr>
          <w:rFonts w:ascii="Times New Roman" w:hAnsi="Times New Roman" w:cs="Times New Roman"/>
          <w:lang w:val="en-GB"/>
        </w:rPr>
        <w:t xml:space="preserve">, the main difference between confidential information and business secrets </w:t>
      </w:r>
      <w:r w:rsidR="001061C9" w:rsidRPr="00311B33">
        <w:rPr>
          <w:rFonts w:ascii="Times New Roman" w:hAnsi="Times New Roman" w:cs="Times New Roman"/>
          <w:lang w:val="en-GB"/>
        </w:rPr>
        <w:t xml:space="preserve">may be that </w:t>
      </w:r>
      <w:r w:rsidR="008C00C4" w:rsidRPr="00311B33">
        <w:rPr>
          <w:rFonts w:ascii="Times New Roman" w:hAnsi="Times New Roman" w:cs="Times New Roman"/>
          <w:lang w:val="en-GB"/>
        </w:rPr>
        <w:t xml:space="preserve">the latter </w:t>
      </w:r>
      <w:r w:rsidR="001061C9" w:rsidRPr="00311B33">
        <w:rPr>
          <w:rFonts w:ascii="Times New Roman" w:hAnsi="Times New Roman" w:cs="Times New Roman"/>
          <w:lang w:val="en-GB"/>
        </w:rPr>
        <w:t>are not subject to time obsolescence.</w:t>
      </w:r>
      <w:r w:rsidR="008C00C4" w:rsidRPr="00311B33">
        <w:rPr>
          <w:rFonts w:ascii="Times New Roman" w:hAnsi="Times New Roman" w:cs="Times New Roman"/>
          <w:lang w:val="en-GB"/>
        </w:rPr>
        <w:t xml:space="preserve"> Confidential information cease</w:t>
      </w:r>
      <w:r w:rsidRPr="00311B33">
        <w:rPr>
          <w:rFonts w:ascii="Times New Roman" w:hAnsi="Times New Roman" w:cs="Times New Roman"/>
          <w:lang w:val="en-GB"/>
        </w:rPr>
        <w:t>s</w:t>
      </w:r>
      <w:r w:rsidR="001061C9" w:rsidRPr="00311B33">
        <w:rPr>
          <w:rFonts w:ascii="Times New Roman" w:hAnsi="Times New Roman" w:cs="Times New Roman"/>
          <w:lang w:val="en-GB"/>
        </w:rPr>
        <w:t xml:space="preserve"> to be confidential once </w:t>
      </w:r>
      <w:r w:rsidRPr="00311B33">
        <w:rPr>
          <w:rFonts w:ascii="Times New Roman" w:hAnsi="Times New Roman" w:cs="Times New Roman"/>
          <w:lang w:val="en-GB"/>
        </w:rPr>
        <w:t xml:space="preserve">it falls in the public domain </w:t>
      </w:r>
      <w:r w:rsidR="001061C9" w:rsidRPr="00311B33">
        <w:rPr>
          <w:rFonts w:ascii="Times New Roman" w:hAnsi="Times New Roman" w:cs="Times New Roman"/>
          <w:lang w:val="en-GB"/>
        </w:rPr>
        <w:t xml:space="preserve">or </w:t>
      </w:r>
      <w:r w:rsidRPr="00311B33">
        <w:rPr>
          <w:rFonts w:ascii="Times New Roman" w:hAnsi="Times New Roman" w:cs="Times New Roman"/>
          <w:lang w:val="en-GB"/>
        </w:rPr>
        <w:t xml:space="preserve">when it loses </w:t>
      </w:r>
      <w:r w:rsidR="001061C9" w:rsidRPr="00311B33">
        <w:rPr>
          <w:rFonts w:ascii="Times New Roman" w:hAnsi="Times New Roman" w:cs="Times New Roman"/>
          <w:lang w:val="en-GB"/>
        </w:rPr>
        <w:t xml:space="preserve">commercial importance </w:t>
      </w:r>
      <w:r w:rsidRPr="00311B33">
        <w:rPr>
          <w:rFonts w:ascii="Times New Roman" w:hAnsi="Times New Roman" w:cs="Times New Roman"/>
          <w:lang w:val="en-GB"/>
        </w:rPr>
        <w:t>(</w:t>
      </w:r>
      <w:r w:rsidR="001061C9" w:rsidRPr="00311B33">
        <w:rPr>
          <w:rFonts w:ascii="Times New Roman" w:hAnsi="Times New Roman" w:cs="Times New Roman"/>
          <w:lang w:val="en-GB"/>
        </w:rPr>
        <w:t xml:space="preserve">for </w:t>
      </w:r>
      <w:r w:rsidRPr="00311B33">
        <w:rPr>
          <w:rFonts w:ascii="Times New Roman" w:hAnsi="Times New Roman" w:cs="Times New Roman"/>
          <w:lang w:val="en-GB"/>
        </w:rPr>
        <w:t>instance</w:t>
      </w:r>
      <w:r w:rsidR="001061C9" w:rsidRPr="00311B33">
        <w:rPr>
          <w:rFonts w:ascii="Times New Roman" w:hAnsi="Times New Roman" w:cs="Times New Roman"/>
          <w:lang w:val="en-GB"/>
        </w:rPr>
        <w:t>, due to the passage of time</w:t>
      </w:r>
      <w:r w:rsidRPr="00311B33">
        <w:rPr>
          <w:rFonts w:ascii="Times New Roman" w:hAnsi="Times New Roman" w:cs="Times New Roman"/>
          <w:lang w:val="en-GB"/>
        </w:rPr>
        <w:t>)</w:t>
      </w:r>
      <w:r w:rsidR="001061C9" w:rsidRPr="00311B33">
        <w:rPr>
          <w:rFonts w:ascii="Times New Roman" w:hAnsi="Times New Roman" w:cs="Times New Roman"/>
          <w:lang w:val="en-GB"/>
        </w:rPr>
        <w:t>.</w:t>
      </w:r>
      <w:r w:rsidR="001061C9" w:rsidRPr="00311B33">
        <w:rPr>
          <w:rStyle w:val="Appelnotedebasdep"/>
          <w:rFonts w:ascii="Times New Roman" w:hAnsi="Times New Roman" w:cs="Times New Roman"/>
          <w:lang w:val="en-GB"/>
        </w:rPr>
        <w:footnoteReference w:id="143"/>
      </w:r>
      <w:r w:rsidR="001061C9" w:rsidRPr="00311B33">
        <w:rPr>
          <w:rFonts w:ascii="Times New Roman" w:hAnsi="Times New Roman" w:cs="Times New Roman"/>
          <w:lang w:val="en-GB"/>
        </w:rPr>
        <w:t xml:space="preserve"> </w:t>
      </w:r>
      <w:r w:rsidR="009B1657" w:rsidRPr="00246F56">
        <w:rPr>
          <w:rFonts w:ascii="Times New Roman" w:hAnsi="Times New Roman" w:cs="Times New Roman"/>
          <w:lang w:val="en-US"/>
        </w:rPr>
        <w:t>As a rule, the Commission presumes that information pertaining to the parties' turnover, sales, market-share data and similar information is no longer confidential</w:t>
      </w:r>
      <w:r w:rsidR="00523381" w:rsidRPr="00311B33">
        <w:rPr>
          <w:rFonts w:ascii="Times New Roman" w:hAnsi="Times New Roman" w:cs="Times New Roman"/>
          <w:lang w:val="en-US"/>
        </w:rPr>
        <w:t xml:space="preserve"> after 5 years</w:t>
      </w:r>
      <w:r w:rsidR="001061C9" w:rsidRPr="00311B33">
        <w:rPr>
          <w:rFonts w:ascii="Times New Roman" w:hAnsi="Times New Roman" w:cs="Times New Roman"/>
          <w:lang w:val="en-GB"/>
        </w:rPr>
        <w:t>.</w:t>
      </w:r>
      <w:r w:rsidR="001061C9" w:rsidRPr="00311B33">
        <w:rPr>
          <w:rStyle w:val="Appelnotedebasdep"/>
          <w:rFonts w:ascii="Times New Roman" w:hAnsi="Times New Roman" w:cs="Times New Roman"/>
          <w:lang w:val="en-GB"/>
        </w:rPr>
        <w:footnoteReference w:id="144"/>
      </w:r>
      <w:r w:rsidR="001061C9" w:rsidRPr="00311B33">
        <w:rPr>
          <w:rFonts w:ascii="Times New Roman" w:hAnsi="Times New Roman" w:cs="Times New Roman"/>
          <w:lang w:val="en-GB"/>
        </w:rPr>
        <w:t xml:space="preserve"> In contrast, the value of business secrets </w:t>
      </w:r>
      <w:r w:rsidR="00523381" w:rsidRPr="00311B33">
        <w:rPr>
          <w:rFonts w:ascii="Times New Roman" w:hAnsi="Times New Roman" w:cs="Times New Roman"/>
          <w:lang w:val="en-GB"/>
        </w:rPr>
        <w:t xml:space="preserve">is not affected by </w:t>
      </w:r>
      <w:r w:rsidR="001061C9" w:rsidRPr="00311B33">
        <w:rPr>
          <w:rFonts w:ascii="Times New Roman" w:hAnsi="Times New Roman" w:cs="Times New Roman"/>
          <w:lang w:val="en-GB"/>
        </w:rPr>
        <w:t>the passage of time</w:t>
      </w:r>
      <w:r w:rsidR="00523381" w:rsidRPr="00311B33">
        <w:rPr>
          <w:rFonts w:ascii="Times New Roman" w:hAnsi="Times New Roman" w:cs="Times New Roman"/>
          <w:lang w:val="en-GB"/>
        </w:rPr>
        <w:t>,</w:t>
      </w:r>
      <w:r w:rsidR="001061C9" w:rsidRPr="00311B33">
        <w:rPr>
          <w:rFonts w:ascii="Times New Roman" w:hAnsi="Times New Roman" w:cs="Times New Roman"/>
          <w:lang w:val="en-GB"/>
        </w:rPr>
        <w:t xml:space="preserve"> but </w:t>
      </w:r>
      <w:r w:rsidR="00523381" w:rsidRPr="00311B33">
        <w:rPr>
          <w:rFonts w:ascii="Times New Roman" w:hAnsi="Times New Roman" w:cs="Times New Roman"/>
          <w:lang w:val="en-GB"/>
        </w:rPr>
        <w:t xml:space="preserve">depends on how well </w:t>
      </w:r>
      <w:r w:rsidR="001061C9" w:rsidRPr="00311B33">
        <w:rPr>
          <w:rFonts w:ascii="Times New Roman" w:hAnsi="Times New Roman" w:cs="Times New Roman"/>
          <w:lang w:val="en-GB"/>
        </w:rPr>
        <w:t>the secret</w:t>
      </w:r>
      <w:r w:rsidR="00523381" w:rsidRPr="00311B33">
        <w:rPr>
          <w:rFonts w:ascii="Times New Roman" w:hAnsi="Times New Roman" w:cs="Times New Roman"/>
          <w:lang w:val="en-GB"/>
        </w:rPr>
        <w:t xml:space="preserve"> is preserved</w:t>
      </w:r>
      <w:r w:rsidR="001061C9" w:rsidRPr="00311B33">
        <w:rPr>
          <w:rFonts w:ascii="Times New Roman" w:hAnsi="Times New Roman" w:cs="Times New Roman"/>
          <w:lang w:val="en-GB"/>
        </w:rPr>
        <w:t xml:space="preserve">. Hence, the protection granted to business may potentially be infinite. </w:t>
      </w:r>
    </w:p>
    <w:p w:rsidR="00310E9F" w:rsidRPr="00311B33" w:rsidRDefault="00310E9F" w:rsidP="0082443E">
      <w:pPr>
        <w:jc w:val="both"/>
        <w:rPr>
          <w:rFonts w:ascii="Times New Roman" w:hAnsi="Times New Roman" w:cs="Times New Roman"/>
          <w:lang w:val="en-GB"/>
        </w:rPr>
      </w:pPr>
    </w:p>
    <w:p w:rsidR="00D854B6" w:rsidRPr="00311B33" w:rsidRDefault="009B1657" w:rsidP="0082443E">
      <w:pPr>
        <w:jc w:val="both"/>
        <w:rPr>
          <w:rFonts w:ascii="Times New Roman" w:hAnsi="Times New Roman" w:cs="Times New Roman"/>
          <w:lang w:val="en-GB"/>
        </w:rPr>
      </w:pPr>
      <w:r w:rsidRPr="00246F56">
        <w:rPr>
          <w:rFonts w:ascii="Times New Roman" w:hAnsi="Times New Roman" w:cs="Times New Roman"/>
          <w:b/>
          <w:lang w:val="en-GB"/>
        </w:rPr>
        <w:t xml:space="preserve">Confidentiality claims </w:t>
      </w:r>
      <w:r w:rsidR="00E45940" w:rsidRPr="00311B33">
        <w:rPr>
          <w:rFonts w:ascii="Times New Roman" w:hAnsi="Times New Roman" w:cs="Times New Roman"/>
          <w:b/>
          <w:lang w:val="en-GB"/>
        </w:rPr>
        <w:t xml:space="preserve">versus access to file </w:t>
      </w:r>
      <w:r w:rsidR="009B582F" w:rsidRPr="00311B33">
        <w:rPr>
          <w:rFonts w:ascii="Times New Roman" w:hAnsi="Times New Roman" w:cs="Times New Roman"/>
          <w:lang w:val="en-GB"/>
        </w:rPr>
        <w:t xml:space="preserve">– </w:t>
      </w:r>
      <w:r w:rsidR="007D10CD" w:rsidRPr="00311B33">
        <w:rPr>
          <w:rFonts w:ascii="Times New Roman" w:hAnsi="Times New Roman" w:cs="Times New Roman"/>
          <w:lang w:val="en-GB"/>
        </w:rPr>
        <w:t xml:space="preserve">The </w:t>
      </w:r>
      <w:r w:rsidR="00523381" w:rsidRPr="00311B33">
        <w:rPr>
          <w:rFonts w:ascii="Times New Roman" w:hAnsi="Times New Roman" w:cs="Times New Roman"/>
          <w:lang w:val="en-GB"/>
        </w:rPr>
        <w:t xml:space="preserve">Commission cannot invoke the duty </w:t>
      </w:r>
      <w:r w:rsidR="007D10CD" w:rsidRPr="00311B33">
        <w:rPr>
          <w:rFonts w:ascii="Times New Roman" w:hAnsi="Times New Roman" w:cs="Times New Roman"/>
          <w:lang w:val="en-GB"/>
        </w:rPr>
        <w:t>to protect business s</w:t>
      </w:r>
      <w:r w:rsidR="00EC1FC7" w:rsidRPr="00311B33">
        <w:rPr>
          <w:rFonts w:ascii="Times New Roman" w:hAnsi="Times New Roman" w:cs="Times New Roman"/>
          <w:lang w:val="en-GB"/>
        </w:rPr>
        <w:t xml:space="preserve">ecrets </w:t>
      </w:r>
      <w:r w:rsidR="00523381" w:rsidRPr="00311B33">
        <w:rPr>
          <w:rFonts w:ascii="Times New Roman" w:hAnsi="Times New Roman" w:cs="Times New Roman"/>
          <w:lang w:val="en-GB"/>
        </w:rPr>
        <w:t>to refuse to give access to its file to firms suspected of infringement</w:t>
      </w:r>
      <w:r w:rsidR="007D10CD" w:rsidRPr="00311B33">
        <w:rPr>
          <w:rFonts w:ascii="Times New Roman" w:hAnsi="Times New Roman" w:cs="Times New Roman"/>
          <w:lang w:val="en-GB"/>
        </w:rPr>
        <w:t>.</w:t>
      </w:r>
      <w:r w:rsidR="007223C1" w:rsidRPr="00311B33">
        <w:rPr>
          <w:rStyle w:val="Appelnotedebasdep"/>
          <w:rFonts w:ascii="Times New Roman" w:hAnsi="Times New Roman" w:cs="Times New Roman"/>
          <w:lang w:val="en-GB"/>
        </w:rPr>
        <w:footnoteReference w:id="145"/>
      </w:r>
      <w:r w:rsidR="007D10CD" w:rsidRPr="00311B33">
        <w:rPr>
          <w:rFonts w:ascii="Times New Roman" w:hAnsi="Times New Roman" w:cs="Times New Roman"/>
          <w:lang w:val="en-GB"/>
        </w:rPr>
        <w:t xml:space="preserve"> </w:t>
      </w:r>
      <w:r w:rsidR="003324D2" w:rsidRPr="00311B33">
        <w:rPr>
          <w:rFonts w:ascii="Times New Roman" w:hAnsi="Times New Roman" w:cs="Times New Roman"/>
          <w:lang w:val="en-GB"/>
        </w:rPr>
        <w:t xml:space="preserve">The Commission must balance, on a case-by-case basis, </w:t>
      </w:r>
      <w:r w:rsidR="009B3019" w:rsidRPr="00311B33">
        <w:rPr>
          <w:rFonts w:ascii="Times New Roman" w:hAnsi="Times New Roman" w:cs="Times New Roman"/>
          <w:lang w:val="en-GB"/>
        </w:rPr>
        <w:t xml:space="preserve">the </w:t>
      </w:r>
      <w:r w:rsidR="003324D2" w:rsidRPr="00311B33">
        <w:rPr>
          <w:rFonts w:ascii="Times New Roman" w:hAnsi="Times New Roman" w:cs="Times New Roman"/>
          <w:lang w:val="en-GB"/>
        </w:rPr>
        <w:t xml:space="preserve">private interests of protecting confidentiality with </w:t>
      </w:r>
      <w:r w:rsidR="009B3019" w:rsidRPr="00311B33">
        <w:rPr>
          <w:rFonts w:ascii="Times New Roman" w:hAnsi="Times New Roman" w:cs="Times New Roman"/>
          <w:lang w:val="en-GB"/>
        </w:rPr>
        <w:t xml:space="preserve">the public interest </w:t>
      </w:r>
      <w:r w:rsidR="003324D2" w:rsidRPr="00311B33">
        <w:rPr>
          <w:rFonts w:ascii="Times New Roman" w:hAnsi="Times New Roman" w:cs="Times New Roman"/>
          <w:lang w:val="en-GB"/>
        </w:rPr>
        <w:t xml:space="preserve">of having </w:t>
      </w:r>
      <w:r w:rsidR="008C00C4" w:rsidRPr="00311B33">
        <w:rPr>
          <w:rFonts w:ascii="Times New Roman" w:hAnsi="Times New Roman" w:cs="Times New Roman"/>
          <w:lang w:val="en-GB"/>
        </w:rPr>
        <w:t>a</w:t>
      </w:r>
      <w:r w:rsidR="003324D2" w:rsidRPr="00311B33">
        <w:rPr>
          <w:rFonts w:ascii="Times New Roman" w:hAnsi="Times New Roman" w:cs="Times New Roman"/>
          <w:lang w:val="en-GB"/>
        </w:rPr>
        <w:t xml:space="preserve">n open and transparent </w:t>
      </w:r>
      <w:r w:rsidR="009B3019" w:rsidRPr="00311B33">
        <w:rPr>
          <w:rFonts w:ascii="Times New Roman" w:hAnsi="Times New Roman" w:cs="Times New Roman"/>
          <w:lang w:val="en-GB"/>
        </w:rPr>
        <w:t>procedure.</w:t>
      </w:r>
      <w:r w:rsidR="009B3019" w:rsidRPr="00311B33">
        <w:rPr>
          <w:rStyle w:val="Appelnotedebasdep"/>
          <w:rFonts w:ascii="Times New Roman" w:hAnsi="Times New Roman" w:cs="Times New Roman"/>
          <w:lang w:val="en-GB"/>
        </w:rPr>
        <w:footnoteReference w:id="146"/>
      </w:r>
    </w:p>
    <w:p w:rsidR="009B3019" w:rsidRPr="00311B33" w:rsidRDefault="009B3019" w:rsidP="0082443E">
      <w:pPr>
        <w:jc w:val="both"/>
        <w:rPr>
          <w:rFonts w:ascii="Times New Roman" w:hAnsi="Times New Roman" w:cs="Times New Roman"/>
          <w:lang w:val="en-GB"/>
        </w:rPr>
      </w:pPr>
    </w:p>
    <w:p w:rsidR="00310E9F" w:rsidRPr="00311B33" w:rsidRDefault="003324D2" w:rsidP="00310E9F">
      <w:pPr>
        <w:jc w:val="both"/>
        <w:rPr>
          <w:rFonts w:ascii="Times New Roman" w:hAnsi="Times New Roman" w:cs="Times New Roman"/>
          <w:lang w:val="en-GB"/>
        </w:rPr>
      </w:pPr>
      <w:r w:rsidRPr="00311B33">
        <w:rPr>
          <w:rFonts w:ascii="Times New Roman" w:hAnsi="Times New Roman" w:cs="Times New Roman"/>
          <w:lang w:val="en-GB"/>
        </w:rPr>
        <w:t xml:space="preserve">In practice, the Commission can reconcile those conflicting principles, by redacting the </w:t>
      </w:r>
      <w:r w:rsidR="00E45940" w:rsidRPr="00311B33">
        <w:rPr>
          <w:rFonts w:ascii="Times New Roman" w:hAnsi="Times New Roman" w:cs="Times New Roman"/>
          <w:lang w:val="en-GB"/>
        </w:rPr>
        <w:t xml:space="preserve">sensitive passages from the copies </w:t>
      </w:r>
      <w:r w:rsidRPr="00311B33">
        <w:rPr>
          <w:rFonts w:ascii="Times New Roman" w:hAnsi="Times New Roman" w:cs="Times New Roman"/>
          <w:lang w:val="en-GB"/>
        </w:rPr>
        <w:t>to which the applicant seeks access,</w:t>
      </w:r>
      <w:r w:rsidR="00E45940" w:rsidRPr="00311B33">
        <w:rPr>
          <w:rStyle w:val="Appelnotedebasdep"/>
          <w:rFonts w:ascii="Times New Roman" w:hAnsi="Times New Roman" w:cs="Times New Roman"/>
          <w:lang w:val="en-GB"/>
        </w:rPr>
        <w:footnoteReference w:id="147"/>
      </w:r>
      <w:r w:rsidR="00E45940" w:rsidRPr="00311B33">
        <w:rPr>
          <w:rFonts w:ascii="Times New Roman" w:hAnsi="Times New Roman" w:cs="Times New Roman"/>
          <w:lang w:val="en-GB"/>
        </w:rPr>
        <w:t xml:space="preserve"> </w:t>
      </w:r>
      <w:r w:rsidRPr="00311B33">
        <w:rPr>
          <w:rFonts w:ascii="Times New Roman" w:hAnsi="Times New Roman" w:cs="Times New Roman"/>
          <w:lang w:val="en-GB"/>
        </w:rPr>
        <w:t xml:space="preserve">or by indicating in </w:t>
      </w:r>
      <w:r w:rsidR="00310E9F" w:rsidRPr="00311B33">
        <w:rPr>
          <w:rFonts w:ascii="Times New Roman" w:hAnsi="Times New Roman" w:cs="Times New Roman"/>
          <w:lang w:val="en-GB"/>
        </w:rPr>
        <w:t>index</w:t>
      </w:r>
      <w:r w:rsidRPr="00311B33">
        <w:rPr>
          <w:rFonts w:ascii="Times New Roman" w:hAnsi="Times New Roman" w:cs="Times New Roman"/>
          <w:lang w:val="en-GB"/>
        </w:rPr>
        <w:t>es</w:t>
      </w:r>
      <w:r w:rsidR="00310E9F" w:rsidRPr="00311B33">
        <w:rPr>
          <w:rFonts w:ascii="Times New Roman" w:hAnsi="Times New Roman" w:cs="Times New Roman"/>
          <w:lang w:val="en-GB"/>
        </w:rPr>
        <w:t xml:space="preserve"> </w:t>
      </w:r>
      <w:r w:rsidRPr="00311B33">
        <w:rPr>
          <w:rFonts w:ascii="Times New Roman" w:hAnsi="Times New Roman" w:cs="Times New Roman"/>
          <w:lang w:val="en-GB"/>
        </w:rPr>
        <w:t xml:space="preserve">of documents that some consist in </w:t>
      </w:r>
      <w:r w:rsidR="00310E9F" w:rsidRPr="00311B33">
        <w:rPr>
          <w:rFonts w:ascii="Times New Roman" w:hAnsi="Times New Roman" w:cs="Times New Roman"/>
          <w:lang w:val="en-GB"/>
        </w:rPr>
        <w:t>“</w:t>
      </w:r>
      <w:r w:rsidR="00310E9F" w:rsidRPr="00311B33">
        <w:rPr>
          <w:rFonts w:ascii="Times New Roman" w:hAnsi="Times New Roman" w:cs="Times New Roman"/>
          <w:i/>
          <w:lang w:val="en-GB"/>
        </w:rPr>
        <w:t>correspondence on confidentiality claims</w:t>
      </w:r>
      <w:r w:rsidR="00310E9F" w:rsidRPr="00311B33">
        <w:rPr>
          <w:rFonts w:ascii="Times New Roman" w:hAnsi="Times New Roman" w:cs="Times New Roman"/>
          <w:lang w:val="en-GB"/>
        </w:rPr>
        <w:t xml:space="preserve">”, to allow parties to understand why a </w:t>
      </w:r>
      <w:r w:rsidRPr="00311B33">
        <w:rPr>
          <w:rFonts w:ascii="Times New Roman" w:hAnsi="Times New Roman" w:cs="Times New Roman"/>
          <w:lang w:val="en-GB"/>
        </w:rPr>
        <w:t xml:space="preserve">given </w:t>
      </w:r>
      <w:r w:rsidR="00310E9F" w:rsidRPr="00311B33">
        <w:rPr>
          <w:rFonts w:ascii="Times New Roman" w:hAnsi="Times New Roman" w:cs="Times New Roman"/>
          <w:lang w:val="en-GB"/>
        </w:rPr>
        <w:t>document is inaccessible.</w:t>
      </w:r>
      <w:r w:rsidR="00310E9F" w:rsidRPr="00311B33">
        <w:rPr>
          <w:rStyle w:val="Appelnotedebasdep"/>
          <w:rFonts w:ascii="Times New Roman" w:hAnsi="Times New Roman" w:cs="Times New Roman"/>
          <w:lang w:val="en-GB"/>
        </w:rPr>
        <w:footnoteReference w:id="148"/>
      </w:r>
      <w:r w:rsidR="00310E9F" w:rsidRPr="00311B33">
        <w:rPr>
          <w:rFonts w:ascii="Times New Roman" w:hAnsi="Times New Roman" w:cs="Times New Roman"/>
          <w:lang w:val="en-GB"/>
        </w:rPr>
        <w:t xml:space="preserve"> </w:t>
      </w:r>
    </w:p>
    <w:p w:rsidR="00B8419C" w:rsidRPr="00311B33" w:rsidRDefault="00B8419C" w:rsidP="0082443E">
      <w:pPr>
        <w:jc w:val="both"/>
        <w:rPr>
          <w:rFonts w:ascii="Times New Roman" w:hAnsi="Times New Roman" w:cs="Times New Roman"/>
          <w:lang w:val="en-GB"/>
        </w:rPr>
      </w:pPr>
    </w:p>
    <w:p w:rsidR="009A4463" w:rsidRPr="00311B33" w:rsidRDefault="009B1657" w:rsidP="0082443E">
      <w:pPr>
        <w:jc w:val="both"/>
        <w:rPr>
          <w:rFonts w:ascii="Times New Roman" w:hAnsi="Times New Roman" w:cs="Times New Roman"/>
          <w:b/>
          <w:lang w:val="en-GB"/>
        </w:rPr>
      </w:pPr>
      <w:r w:rsidRPr="00246F56">
        <w:rPr>
          <w:rFonts w:ascii="Times New Roman" w:hAnsi="Times New Roman" w:cs="Times New Roman"/>
          <w:b/>
          <w:lang w:val="en-GB"/>
        </w:rPr>
        <w:t xml:space="preserve">Sanctions – </w:t>
      </w:r>
      <w:r w:rsidR="003324D2" w:rsidRPr="00311B33">
        <w:rPr>
          <w:rFonts w:ascii="Times New Roman" w:hAnsi="Times New Roman" w:cs="Times New Roman"/>
          <w:lang w:val="en-GB"/>
        </w:rPr>
        <w:t xml:space="preserve">Violations </w:t>
      </w:r>
      <w:r w:rsidR="008C1CF8" w:rsidRPr="00311B33">
        <w:rPr>
          <w:rFonts w:ascii="Times New Roman" w:hAnsi="Times New Roman" w:cs="Times New Roman"/>
          <w:lang w:val="en-GB"/>
        </w:rPr>
        <w:t xml:space="preserve">of </w:t>
      </w:r>
      <w:r w:rsidR="003324D2" w:rsidRPr="00311B33">
        <w:rPr>
          <w:rFonts w:ascii="Times New Roman" w:hAnsi="Times New Roman" w:cs="Times New Roman"/>
          <w:lang w:val="en-GB"/>
        </w:rPr>
        <w:t xml:space="preserve">the right to professional secrecy generally do not lead to annulment. The </w:t>
      </w:r>
      <w:r w:rsidR="00630A4D" w:rsidRPr="00311B33">
        <w:rPr>
          <w:rFonts w:ascii="Times New Roman" w:hAnsi="Times New Roman" w:cs="Times New Roman"/>
          <w:lang w:val="en-GB"/>
        </w:rPr>
        <w:t>disclosure of pr</w:t>
      </w:r>
      <w:r w:rsidR="002C1ED4" w:rsidRPr="00311B33">
        <w:rPr>
          <w:rFonts w:ascii="Times New Roman" w:hAnsi="Times New Roman" w:cs="Times New Roman"/>
          <w:lang w:val="en-GB"/>
        </w:rPr>
        <w:t xml:space="preserve">otected information </w:t>
      </w:r>
      <w:r w:rsidR="003324D2" w:rsidRPr="00311B33">
        <w:rPr>
          <w:rFonts w:ascii="Times New Roman" w:hAnsi="Times New Roman" w:cs="Times New Roman"/>
          <w:lang w:val="en-GB"/>
        </w:rPr>
        <w:t xml:space="preserve">can hardly </w:t>
      </w:r>
      <w:r w:rsidR="00630A4D" w:rsidRPr="00311B33">
        <w:rPr>
          <w:rFonts w:ascii="Times New Roman" w:hAnsi="Times New Roman" w:cs="Times New Roman"/>
          <w:lang w:val="en-GB"/>
        </w:rPr>
        <w:t>impact the outcome of administrative proceedings</w:t>
      </w:r>
      <w:r w:rsidR="003324D2" w:rsidRPr="00311B33">
        <w:rPr>
          <w:rFonts w:ascii="Times New Roman" w:hAnsi="Times New Roman" w:cs="Times New Roman"/>
          <w:lang w:val="en-GB"/>
        </w:rPr>
        <w:t>.</w:t>
      </w:r>
      <w:r w:rsidR="00630A4D" w:rsidRPr="00311B33">
        <w:rPr>
          <w:rFonts w:ascii="Times New Roman" w:hAnsi="Times New Roman" w:cs="Times New Roman"/>
          <w:lang w:val="en-GB"/>
        </w:rPr>
        <w:t xml:space="preserve"> </w:t>
      </w:r>
      <w:r w:rsidR="003324D2" w:rsidRPr="00311B33">
        <w:rPr>
          <w:rFonts w:ascii="Times New Roman" w:hAnsi="Times New Roman" w:cs="Times New Roman"/>
          <w:lang w:val="en-GB"/>
        </w:rPr>
        <w:t xml:space="preserve">At worst, it will </w:t>
      </w:r>
      <w:r w:rsidR="00630A4D" w:rsidRPr="00311B33">
        <w:rPr>
          <w:rFonts w:ascii="Times New Roman" w:hAnsi="Times New Roman" w:cs="Times New Roman"/>
          <w:lang w:val="en-GB"/>
        </w:rPr>
        <w:t xml:space="preserve">deprive the concerned undertaking from </w:t>
      </w:r>
      <w:r w:rsidR="003324D2" w:rsidRPr="00311B33">
        <w:rPr>
          <w:rFonts w:ascii="Times New Roman" w:hAnsi="Times New Roman" w:cs="Times New Roman"/>
          <w:lang w:val="en-GB"/>
        </w:rPr>
        <w:t xml:space="preserve">a strategic </w:t>
      </w:r>
      <w:r w:rsidR="00630A4D" w:rsidRPr="00311B33">
        <w:rPr>
          <w:rFonts w:ascii="Times New Roman" w:hAnsi="Times New Roman" w:cs="Times New Roman"/>
          <w:lang w:val="en-GB"/>
        </w:rPr>
        <w:t xml:space="preserve">advantage. </w:t>
      </w:r>
      <w:r w:rsidR="003324D2" w:rsidRPr="00311B33">
        <w:rPr>
          <w:rFonts w:ascii="Times New Roman" w:hAnsi="Times New Roman" w:cs="Times New Roman"/>
          <w:lang w:val="en-GB"/>
        </w:rPr>
        <w:t xml:space="preserve">If harm follows, the victim of a breach of confidentiality can seek damages before the General Court pursuant to Article </w:t>
      </w:r>
      <w:r w:rsidR="00B9179D" w:rsidRPr="004E08B1">
        <w:rPr>
          <w:rFonts w:ascii="Times New Roman" w:hAnsi="Times New Roman" w:cs="Times New Roman"/>
          <w:lang w:val="en-GB"/>
        </w:rPr>
        <w:t xml:space="preserve">268 </w:t>
      </w:r>
      <w:r w:rsidRPr="004E08B1">
        <w:rPr>
          <w:rFonts w:ascii="Times New Roman" w:hAnsi="Times New Roman" w:cs="Times New Roman"/>
          <w:lang w:val="en-GB"/>
        </w:rPr>
        <w:t xml:space="preserve">and </w:t>
      </w:r>
      <w:r w:rsidR="00B9179D" w:rsidRPr="004E08B1">
        <w:rPr>
          <w:rFonts w:ascii="Times New Roman" w:hAnsi="Times New Roman" w:cs="Times New Roman"/>
          <w:lang w:val="en-GB"/>
        </w:rPr>
        <w:t>340 TFEU</w:t>
      </w:r>
      <w:r w:rsidRPr="004E08B1">
        <w:rPr>
          <w:rFonts w:ascii="Times New Roman" w:hAnsi="Times New Roman" w:cs="Times New Roman"/>
          <w:lang w:val="en-GB"/>
        </w:rPr>
        <w:t>.</w:t>
      </w:r>
    </w:p>
    <w:p w:rsidR="00E85605" w:rsidRDefault="00E85605" w:rsidP="0082443E">
      <w:pPr>
        <w:jc w:val="both"/>
        <w:rPr>
          <w:rFonts w:ascii="Times New Roman" w:hAnsi="Times New Roman" w:cs="Times New Roman"/>
          <w:b/>
          <w:lang w:val="en-GB"/>
        </w:rPr>
      </w:pPr>
    </w:p>
    <w:p w:rsidR="00152865" w:rsidRPr="00311B33" w:rsidRDefault="00152865" w:rsidP="0082443E">
      <w:pPr>
        <w:jc w:val="both"/>
        <w:rPr>
          <w:rFonts w:ascii="Times New Roman" w:hAnsi="Times New Roman" w:cs="Times New Roman"/>
          <w:b/>
          <w:lang w:val="en-GB"/>
        </w:rPr>
      </w:pPr>
    </w:p>
    <w:p w:rsidR="004F0434" w:rsidRPr="00311B33" w:rsidRDefault="00EC1FC7" w:rsidP="00246F56">
      <w:pPr>
        <w:ind w:left="705" w:hanging="705"/>
        <w:jc w:val="both"/>
        <w:rPr>
          <w:rFonts w:ascii="Times New Roman" w:hAnsi="Times New Roman" w:cs="Times New Roman"/>
          <w:u w:val="single"/>
          <w:lang w:val="en-GB"/>
        </w:rPr>
      </w:pPr>
      <w:r w:rsidRPr="00311B33">
        <w:rPr>
          <w:rFonts w:ascii="Times New Roman" w:hAnsi="Times New Roman" w:cs="Times New Roman"/>
          <w:b/>
          <w:lang w:val="en-GB"/>
        </w:rPr>
        <w:t>IX</w:t>
      </w:r>
      <w:r w:rsidR="00FF1FE7" w:rsidRPr="00311B33">
        <w:rPr>
          <w:rFonts w:ascii="Times New Roman" w:hAnsi="Times New Roman" w:cs="Times New Roman"/>
          <w:b/>
          <w:lang w:val="en-GB"/>
        </w:rPr>
        <w:t>.</w:t>
      </w:r>
      <w:r w:rsidR="00FF1FE7" w:rsidRPr="00311B33">
        <w:rPr>
          <w:rFonts w:ascii="Times New Roman" w:hAnsi="Times New Roman" w:cs="Times New Roman"/>
          <w:b/>
          <w:lang w:val="en-GB"/>
        </w:rPr>
        <w:tab/>
      </w:r>
      <w:r w:rsidR="009A4463" w:rsidRPr="00311B33">
        <w:rPr>
          <w:rFonts w:ascii="Times New Roman" w:hAnsi="Times New Roman" w:cs="Times New Roman"/>
          <w:b/>
          <w:u w:val="single"/>
          <w:lang w:val="en-GB"/>
        </w:rPr>
        <w:t xml:space="preserve">Right </w:t>
      </w:r>
      <w:r w:rsidR="003324D2" w:rsidRPr="00311B33">
        <w:rPr>
          <w:rFonts w:ascii="Times New Roman" w:hAnsi="Times New Roman" w:cs="Times New Roman"/>
          <w:b/>
          <w:u w:val="single"/>
          <w:lang w:val="en-GB"/>
        </w:rPr>
        <w:t>to an explanation (</w:t>
      </w:r>
      <w:r w:rsidR="009B1657" w:rsidRPr="003F48C5">
        <w:rPr>
          <w:rFonts w:ascii="Times New Roman" w:hAnsi="Times New Roman" w:cs="Times New Roman"/>
          <w:b/>
          <w:u w:val="single"/>
          <w:lang w:val="en-GB"/>
        </w:rPr>
        <w:t>also called right of the addressees to obtain the reasons of the measure adopted</w:t>
      </w:r>
      <w:r w:rsidR="003324D2" w:rsidRPr="003F48C5">
        <w:rPr>
          <w:rFonts w:ascii="Times New Roman" w:hAnsi="Times New Roman" w:cs="Times New Roman"/>
          <w:b/>
          <w:u w:val="single"/>
          <w:lang w:val="en-GB"/>
        </w:rPr>
        <w:t>)</w:t>
      </w:r>
    </w:p>
    <w:p w:rsidR="009A4463" w:rsidRPr="00311B33" w:rsidRDefault="009A4463" w:rsidP="0082443E">
      <w:pPr>
        <w:jc w:val="both"/>
        <w:rPr>
          <w:rFonts w:ascii="Times New Roman" w:hAnsi="Times New Roman" w:cs="Times New Roman"/>
          <w:lang w:val="en-GB"/>
        </w:rPr>
      </w:pPr>
    </w:p>
    <w:p w:rsidR="00D34F1C" w:rsidRPr="00311B33" w:rsidRDefault="00630A4D" w:rsidP="00255B30">
      <w:pPr>
        <w:jc w:val="both"/>
        <w:rPr>
          <w:rFonts w:ascii="Times New Roman" w:hAnsi="Times New Roman" w:cs="Times New Roman"/>
          <w:lang w:val="en-GB"/>
        </w:rPr>
      </w:pPr>
      <w:r w:rsidRPr="00311B33">
        <w:rPr>
          <w:rFonts w:ascii="Times New Roman" w:hAnsi="Times New Roman" w:cs="Times New Roman"/>
          <w:b/>
          <w:lang w:val="en-GB"/>
        </w:rPr>
        <w:t>Content and legal basis</w:t>
      </w:r>
      <w:r w:rsidRPr="00311B33">
        <w:rPr>
          <w:rFonts w:ascii="Times New Roman" w:hAnsi="Times New Roman" w:cs="Times New Roman"/>
          <w:b/>
          <w:lang w:val="en-US"/>
        </w:rPr>
        <w:t xml:space="preserve"> </w:t>
      </w:r>
      <w:r w:rsidRPr="00311B33">
        <w:rPr>
          <w:rFonts w:ascii="Times New Roman" w:hAnsi="Times New Roman" w:cs="Times New Roman"/>
          <w:lang w:val="en-US"/>
        </w:rPr>
        <w:t>–</w:t>
      </w:r>
      <w:r w:rsidR="00C72C2B" w:rsidRPr="00311B33">
        <w:rPr>
          <w:rFonts w:ascii="Times New Roman" w:hAnsi="Times New Roman" w:cs="Times New Roman"/>
          <w:lang w:val="en-US"/>
        </w:rPr>
        <w:t xml:space="preserve"> In the competition field</w:t>
      </w:r>
      <w:r w:rsidR="00FC037D" w:rsidRPr="00311B33">
        <w:rPr>
          <w:rFonts w:ascii="Times New Roman" w:hAnsi="Times New Roman" w:cs="Times New Roman"/>
          <w:lang w:val="en-US"/>
        </w:rPr>
        <w:t xml:space="preserve">, </w:t>
      </w:r>
      <w:r w:rsidR="00FC037D" w:rsidRPr="00311B33">
        <w:rPr>
          <w:rFonts w:ascii="Times New Roman" w:hAnsi="Times New Roman" w:cs="Times New Roman"/>
          <w:lang w:val="en-GB"/>
        </w:rPr>
        <w:t>t</w:t>
      </w:r>
      <w:r w:rsidR="00D34F1C" w:rsidRPr="00311B33">
        <w:rPr>
          <w:rFonts w:ascii="Times New Roman" w:hAnsi="Times New Roman" w:cs="Times New Roman"/>
          <w:lang w:val="en-GB"/>
        </w:rPr>
        <w:t xml:space="preserve">he </w:t>
      </w:r>
      <w:r w:rsidR="002F43FD" w:rsidRPr="00311B33">
        <w:rPr>
          <w:rFonts w:ascii="Times New Roman" w:hAnsi="Times New Roman" w:cs="Times New Roman"/>
          <w:lang w:val="en-GB"/>
        </w:rPr>
        <w:t xml:space="preserve">Commission </w:t>
      </w:r>
      <w:r w:rsidR="00C72C2B" w:rsidRPr="00311B33">
        <w:rPr>
          <w:rFonts w:ascii="Times New Roman" w:hAnsi="Times New Roman" w:cs="Times New Roman"/>
          <w:lang w:val="en-GB"/>
        </w:rPr>
        <w:t xml:space="preserve">must </w:t>
      </w:r>
      <w:r w:rsidR="002F43FD" w:rsidRPr="00311B33">
        <w:rPr>
          <w:rFonts w:ascii="Times New Roman" w:hAnsi="Times New Roman" w:cs="Times New Roman"/>
          <w:lang w:val="en-GB"/>
        </w:rPr>
        <w:t xml:space="preserve">state the reasons for </w:t>
      </w:r>
      <w:r w:rsidR="00FC037D" w:rsidRPr="00311B33">
        <w:rPr>
          <w:rFonts w:ascii="Times New Roman" w:hAnsi="Times New Roman" w:cs="Times New Roman"/>
          <w:lang w:val="en-GB"/>
        </w:rPr>
        <w:t>its decision</w:t>
      </w:r>
      <w:r w:rsidR="00C40C55" w:rsidRPr="00311B33">
        <w:rPr>
          <w:rFonts w:ascii="Times New Roman" w:hAnsi="Times New Roman" w:cs="Times New Roman"/>
          <w:lang w:val="en-GB"/>
        </w:rPr>
        <w:t>s</w:t>
      </w:r>
      <w:r w:rsidR="00C72C2B" w:rsidRPr="00311B33">
        <w:rPr>
          <w:rFonts w:ascii="Times New Roman" w:hAnsi="Times New Roman" w:cs="Times New Roman"/>
          <w:lang w:val="en-GB"/>
        </w:rPr>
        <w:t xml:space="preserve">, be they decisions to launch an inspection, to impose commitments, to adopt </w:t>
      </w:r>
      <w:r w:rsidR="00C72C2B" w:rsidRPr="00311B33">
        <w:rPr>
          <w:rFonts w:ascii="Times New Roman" w:hAnsi="Times New Roman" w:cs="Times New Roman"/>
          <w:lang w:val="en-GB"/>
        </w:rPr>
        <w:lastRenderedPageBreak/>
        <w:t>interim measures, to fine a company, etc.</w:t>
      </w:r>
      <w:r w:rsidR="00FC037D" w:rsidRPr="00311B33">
        <w:rPr>
          <w:rFonts w:ascii="Times New Roman" w:hAnsi="Times New Roman" w:cs="Times New Roman"/>
          <w:lang w:val="en-GB"/>
        </w:rPr>
        <w:t xml:space="preserve"> </w:t>
      </w:r>
      <w:r w:rsidR="00C72C2B" w:rsidRPr="00311B33">
        <w:rPr>
          <w:rFonts w:ascii="Times New Roman" w:hAnsi="Times New Roman" w:cs="Times New Roman"/>
          <w:lang w:val="en-GB"/>
        </w:rPr>
        <w:t xml:space="preserve">The Commission’s duty to provide an explanation for its decisions is all the more important given their serious economic consequences in markets, and the need of guidance of market players – including their addressees </w:t>
      </w:r>
      <w:r w:rsidR="00C9037B" w:rsidRPr="00311B33">
        <w:rPr>
          <w:rFonts w:ascii="Times New Roman" w:hAnsi="Times New Roman" w:cs="Times New Roman"/>
          <w:lang w:val="en-GB"/>
        </w:rPr>
        <w:t>–</w:t>
      </w:r>
      <w:r w:rsidR="00C72C2B" w:rsidRPr="00311B33">
        <w:rPr>
          <w:rFonts w:ascii="Times New Roman" w:hAnsi="Times New Roman" w:cs="Times New Roman"/>
          <w:lang w:val="en-GB"/>
        </w:rPr>
        <w:t xml:space="preserve"> who seek to comply with the law. It is also key from a political standpoint. Given the large margin of discretion enjoyed by the Commission, an appropriate explanation helps ensure the legitimacy of competition enforcement. Finally, from a legal standpoint, the duty to state reasons entitles </w:t>
      </w:r>
      <w:r w:rsidR="00D34F1C" w:rsidRPr="00311B33">
        <w:rPr>
          <w:rFonts w:ascii="Times New Roman" w:hAnsi="Times New Roman" w:cs="Times New Roman"/>
          <w:lang w:val="en-GB"/>
        </w:rPr>
        <w:t xml:space="preserve">EU Courts to </w:t>
      </w:r>
      <w:r w:rsidR="00C72C2B" w:rsidRPr="00311B33">
        <w:rPr>
          <w:rFonts w:ascii="Times New Roman" w:hAnsi="Times New Roman" w:cs="Times New Roman"/>
          <w:lang w:val="en-GB"/>
        </w:rPr>
        <w:t xml:space="preserve">discharge an effective judicial review of </w:t>
      </w:r>
      <w:r w:rsidR="00D34F1C" w:rsidRPr="00311B33">
        <w:rPr>
          <w:rFonts w:ascii="Times New Roman" w:hAnsi="Times New Roman" w:cs="Times New Roman"/>
          <w:lang w:val="en-GB"/>
        </w:rPr>
        <w:t>Commission</w:t>
      </w:r>
      <w:r w:rsidR="00C72C2B" w:rsidRPr="00311B33">
        <w:rPr>
          <w:rFonts w:ascii="Times New Roman" w:hAnsi="Times New Roman" w:cs="Times New Roman"/>
          <w:lang w:val="en-GB"/>
        </w:rPr>
        <w:t xml:space="preserve"> </w:t>
      </w:r>
      <w:r w:rsidR="00D34F1C" w:rsidRPr="00311B33">
        <w:rPr>
          <w:rFonts w:ascii="Times New Roman" w:hAnsi="Times New Roman" w:cs="Times New Roman"/>
          <w:lang w:val="en-GB"/>
        </w:rPr>
        <w:t>decisions.</w:t>
      </w:r>
      <w:r w:rsidR="00D34F1C" w:rsidRPr="00311B33">
        <w:rPr>
          <w:rStyle w:val="Appelnotedebasdep"/>
          <w:rFonts w:ascii="Times New Roman" w:hAnsi="Times New Roman" w:cs="Times New Roman"/>
          <w:lang w:val="en-GB"/>
        </w:rPr>
        <w:footnoteReference w:id="149"/>
      </w:r>
      <w:r w:rsidR="00C9037B">
        <w:rPr>
          <w:rFonts w:ascii="Times New Roman" w:hAnsi="Times New Roman" w:cs="Times New Roman"/>
          <w:lang w:val="en-GB"/>
        </w:rPr>
        <w:t xml:space="preserve"> </w:t>
      </w:r>
    </w:p>
    <w:p w:rsidR="008C59DE" w:rsidRPr="00311B33" w:rsidDel="00C40C55" w:rsidRDefault="008C59DE" w:rsidP="006B4B49">
      <w:pPr>
        <w:jc w:val="both"/>
        <w:rPr>
          <w:rFonts w:ascii="Times New Roman" w:hAnsi="Times New Roman" w:cs="Times New Roman"/>
          <w:lang w:val="en-GB"/>
        </w:rPr>
      </w:pPr>
    </w:p>
    <w:p w:rsidR="00D34F1C" w:rsidRPr="00311B33" w:rsidRDefault="00D34F1C" w:rsidP="00F30BE2">
      <w:pPr>
        <w:jc w:val="both"/>
        <w:rPr>
          <w:rFonts w:ascii="Times New Roman" w:hAnsi="Times New Roman" w:cs="Times New Roman"/>
          <w:lang w:val="en-GB"/>
        </w:rPr>
      </w:pPr>
      <w:r w:rsidRPr="00311B33">
        <w:rPr>
          <w:rFonts w:ascii="Times New Roman" w:hAnsi="Times New Roman" w:cs="Times New Roman"/>
          <w:lang w:val="en-GB"/>
        </w:rPr>
        <w:t xml:space="preserve">The requirement </w:t>
      </w:r>
      <w:r w:rsidR="00C72C2B" w:rsidRPr="00311B33">
        <w:rPr>
          <w:rFonts w:ascii="Times New Roman" w:hAnsi="Times New Roman" w:cs="Times New Roman"/>
          <w:lang w:val="en-GB"/>
        </w:rPr>
        <w:t xml:space="preserve">to state reasons </w:t>
      </w:r>
      <w:r w:rsidRPr="00311B33">
        <w:rPr>
          <w:rFonts w:ascii="Times New Roman" w:hAnsi="Times New Roman" w:cs="Times New Roman"/>
          <w:lang w:val="en-GB"/>
        </w:rPr>
        <w:t>can be found in Article 296 TFEU.</w:t>
      </w:r>
      <w:r w:rsidRPr="00311B33">
        <w:rPr>
          <w:rStyle w:val="Appelnotedebasdep"/>
          <w:rFonts w:ascii="Times New Roman" w:hAnsi="Times New Roman" w:cs="Times New Roman"/>
          <w:lang w:val="en-GB"/>
        </w:rPr>
        <w:footnoteReference w:id="150"/>
      </w:r>
      <w:r w:rsidRPr="00311B33">
        <w:rPr>
          <w:rFonts w:ascii="Times New Roman" w:hAnsi="Times New Roman" w:cs="Times New Roman"/>
          <w:lang w:val="en-GB"/>
        </w:rPr>
        <w:t xml:space="preserve"> </w:t>
      </w:r>
      <w:r w:rsidR="006A5E60" w:rsidRPr="00311B33">
        <w:rPr>
          <w:rFonts w:ascii="Times New Roman" w:hAnsi="Times New Roman" w:cs="Times New Roman"/>
          <w:lang w:val="en-GB"/>
        </w:rPr>
        <w:t xml:space="preserve">The Court often recalls that it is a derivative </w:t>
      </w:r>
      <w:r w:rsidRPr="00311B33">
        <w:rPr>
          <w:rFonts w:ascii="Times New Roman" w:hAnsi="Times New Roman" w:cs="Times New Roman"/>
          <w:lang w:val="en-GB"/>
        </w:rPr>
        <w:t xml:space="preserve">of the principle </w:t>
      </w:r>
      <w:r w:rsidR="006A5E60" w:rsidRPr="00311B33">
        <w:rPr>
          <w:rFonts w:ascii="Times New Roman" w:hAnsi="Times New Roman" w:cs="Times New Roman"/>
          <w:lang w:val="en-GB"/>
        </w:rPr>
        <w:t xml:space="preserve">according to which </w:t>
      </w:r>
      <w:r w:rsidRPr="00311B33">
        <w:rPr>
          <w:rFonts w:ascii="Times New Roman" w:hAnsi="Times New Roman" w:cs="Times New Roman"/>
          <w:lang w:val="en-GB"/>
        </w:rPr>
        <w:t>administrative measures must be lawful</w:t>
      </w:r>
      <w:r w:rsidR="006A5E60" w:rsidRPr="00311B33">
        <w:rPr>
          <w:rFonts w:ascii="Times New Roman" w:hAnsi="Times New Roman" w:cs="Times New Roman"/>
          <w:lang w:val="en-GB"/>
        </w:rPr>
        <w:t>,</w:t>
      </w:r>
      <w:r w:rsidRPr="00311B33">
        <w:rPr>
          <w:rStyle w:val="Appelnotedebasdep"/>
          <w:rFonts w:ascii="Times New Roman" w:hAnsi="Times New Roman" w:cs="Times New Roman"/>
          <w:lang w:val="en-GB"/>
        </w:rPr>
        <w:footnoteReference w:id="151"/>
      </w:r>
      <w:r w:rsidRPr="00311B33">
        <w:rPr>
          <w:rFonts w:ascii="Times New Roman" w:hAnsi="Times New Roman" w:cs="Times New Roman"/>
          <w:lang w:val="en-GB"/>
        </w:rPr>
        <w:t xml:space="preserve"> as well of the principle of </w:t>
      </w:r>
      <w:r w:rsidR="006A5E60" w:rsidRPr="00311B33">
        <w:rPr>
          <w:rFonts w:ascii="Times New Roman" w:hAnsi="Times New Roman" w:cs="Times New Roman"/>
          <w:lang w:val="en-GB"/>
        </w:rPr>
        <w:t xml:space="preserve">legality </w:t>
      </w:r>
      <w:r w:rsidRPr="00311B33">
        <w:rPr>
          <w:rFonts w:ascii="Times New Roman" w:hAnsi="Times New Roman" w:cs="Times New Roman"/>
          <w:lang w:val="en-GB"/>
        </w:rPr>
        <w:t>of administrative proceedings.</w:t>
      </w:r>
      <w:r w:rsidRPr="00311B33">
        <w:rPr>
          <w:rStyle w:val="Appelnotedebasdep"/>
          <w:rFonts w:ascii="Times New Roman" w:hAnsi="Times New Roman" w:cs="Times New Roman"/>
          <w:lang w:val="en-GB"/>
        </w:rPr>
        <w:footnoteReference w:id="152"/>
      </w:r>
    </w:p>
    <w:p w:rsidR="002C1ED4" w:rsidRPr="00311B33" w:rsidRDefault="002C1ED4" w:rsidP="0082443E">
      <w:pPr>
        <w:jc w:val="both"/>
        <w:rPr>
          <w:rFonts w:ascii="Times New Roman" w:hAnsi="Times New Roman" w:cs="Times New Roman"/>
          <w:lang w:val="en-GB"/>
        </w:rPr>
      </w:pPr>
    </w:p>
    <w:p w:rsidR="00E83163" w:rsidRPr="00246F56" w:rsidRDefault="009B1657" w:rsidP="00F30BE2">
      <w:pPr>
        <w:jc w:val="both"/>
        <w:rPr>
          <w:rFonts w:ascii="Times New Roman" w:hAnsi="Times New Roman" w:cs="Times New Roman"/>
          <w:lang w:val="en-GB"/>
        </w:rPr>
      </w:pPr>
      <w:r w:rsidRPr="00246F56">
        <w:rPr>
          <w:rFonts w:ascii="Times New Roman" w:hAnsi="Times New Roman" w:cs="Times New Roman"/>
          <w:b/>
          <w:lang w:val="en-GB"/>
        </w:rPr>
        <w:t xml:space="preserve">Scope and extent </w:t>
      </w:r>
      <w:r w:rsidR="00AF542E" w:rsidRPr="00311B33">
        <w:rPr>
          <w:rFonts w:ascii="Times New Roman" w:hAnsi="Times New Roman" w:cs="Times New Roman"/>
          <w:lang w:val="en-GB"/>
        </w:rPr>
        <w:t xml:space="preserve">– </w:t>
      </w:r>
      <w:r w:rsidR="006A5E60" w:rsidRPr="00311B33">
        <w:rPr>
          <w:rFonts w:ascii="Times New Roman" w:hAnsi="Times New Roman" w:cs="Times New Roman"/>
          <w:lang w:val="en-GB"/>
        </w:rPr>
        <w:t xml:space="preserve">In providing explanations, the </w:t>
      </w:r>
      <w:r w:rsidR="00883A50" w:rsidRPr="004E08B1">
        <w:rPr>
          <w:rFonts w:ascii="Times New Roman" w:hAnsi="Times New Roman" w:cs="Times New Roman"/>
          <w:iCs/>
          <w:lang w:val="en-GB"/>
        </w:rPr>
        <w:t>Commission must fully set out the considerations of fact and law underpinning its decision</w:t>
      </w:r>
      <w:r w:rsidR="00C45B53" w:rsidRPr="00311B33">
        <w:rPr>
          <w:rFonts w:ascii="Times New Roman" w:hAnsi="Times New Roman" w:cs="Times New Roman"/>
          <w:lang w:val="en-GB"/>
        </w:rPr>
        <w:t>.</w:t>
      </w:r>
      <w:r w:rsidR="00C45B53" w:rsidRPr="00311B33">
        <w:rPr>
          <w:rStyle w:val="Appelnotedebasdep"/>
          <w:rFonts w:ascii="Times New Roman" w:hAnsi="Times New Roman" w:cs="Times New Roman"/>
          <w:lang w:val="en-GB"/>
        </w:rPr>
        <w:footnoteReference w:id="153"/>
      </w:r>
      <w:r w:rsidR="00C45B53" w:rsidRPr="00311B33">
        <w:rPr>
          <w:rFonts w:ascii="Times New Roman" w:hAnsi="Times New Roman" w:cs="Times New Roman"/>
          <w:lang w:val="en-GB"/>
        </w:rPr>
        <w:t xml:space="preserve"> </w:t>
      </w:r>
      <w:r w:rsidR="006A5E60" w:rsidRPr="00311B33">
        <w:rPr>
          <w:rFonts w:ascii="Times New Roman" w:hAnsi="Times New Roman" w:cs="Times New Roman"/>
          <w:lang w:val="en-GB"/>
        </w:rPr>
        <w:t xml:space="preserve">The Commission’s decision must </w:t>
      </w:r>
      <w:r w:rsidR="00E83163" w:rsidRPr="00311B33">
        <w:rPr>
          <w:rFonts w:ascii="Times New Roman" w:hAnsi="Times New Roman" w:cs="Times New Roman"/>
          <w:lang w:val="en-GB"/>
        </w:rPr>
        <w:t xml:space="preserve">go beyond </w:t>
      </w:r>
      <w:r w:rsidR="006A5E60" w:rsidRPr="00311B33">
        <w:rPr>
          <w:rFonts w:ascii="Times New Roman" w:hAnsi="Times New Roman" w:cs="Times New Roman"/>
          <w:lang w:val="en-GB"/>
        </w:rPr>
        <w:t xml:space="preserve">the provision of a </w:t>
      </w:r>
      <w:r w:rsidR="00E83163" w:rsidRPr="00311B33">
        <w:rPr>
          <w:rFonts w:ascii="Times New Roman" w:hAnsi="Times New Roman" w:cs="Times New Roman"/>
          <w:lang w:val="en-GB"/>
        </w:rPr>
        <w:t>mere summary of the relevant facts</w:t>
      </w:r>
      <w:r w:rsidR="006A5E60" w:rsidRPr="00311B33">
        <w:rPr>
          <w:rFonts w:ascii="Times New Roman" w:hAnsi="Times New Roman" w:cs="Times New Roman"/>
          <w:lang w:val="en-GB"/>
        </w:rPr>
        <w:t>. However, the Commission’s</w:t>
      </w:r>
      <w:r w:rsidR="00E83163" w:rsidRPr="00311B33">
        <w:rPr>
          <w:rFonts w:ascii="Times New Roman" w:hAnsi="Times New Roman" w:cs="Times New Roman"/>
          <w:lang w:val="en-GB"/>
        </w:rPr>
        <w:t xml:space="preserve"> </w:t>
      </w:r>
      <w:r w:rsidR="006A5E60" w:rsidRPr="00311B33">
        <w:rPr>
          <w:rFonts w:ascii="Times New Roman" w:hAnsi="Times New Roman" w:cs="Times New Roman"/>
          <w:lang w:val="en-GB"/>
        </w:rPr>
        <w:t xml:space="preserve">decision </w:t>
      </w:r>
      <w:r w:rsidR="00E83163" w:rsidRPr="00311B33">
        <w:rPr>
          <w:rFonts w:ascii="Times New Roman" w:hAnsi="Times New Roman" w:cs="Times New Roman"/>
          <w:lang w:val="en-GB"/>
        </w:rPr>
        <w:t>must not necessarily be exhaustive. It is sufficient</w:t>
      </w:r>
      <w:r w:rsidR="006A5E60" w:rsidRPr="00311B33">
        <w:rPr>
          <w:rFonts w:ascii="Times New Roman" w:hAnsi="Times New Roman" w:cs="Times New Roman"/>
          <w:lang w:val="en-GB"/>
        </w:rPr>
        <w:t xml:space="preserve"> for the decision to articulate conclusive factual information and legal findings</w:t>
      </w:r>
      <w:r w:rsidR="00E83163" w:rsidRPr="00311B33">
        <w:rPr>
          <w:rFonts w:ascii="Times New Roman" w:hAnsi="Times New Roman" w:cs="Times New Roman"/>
          <w:lang w:val="en-GB"/>
        </w:rPr>
        <w:t>.</w:t>
      </w:r>
      <w:r w:rsidR="00E83163" w:rsidRPr="00311B33">
        <w:rPr>
          <w:rStyle w:val="Appelnotedebasdep"/>
          <w:rFonts w:ascii="Times New Roman" w:hAnsi="Times New Roman" w:cs="Times New Roman"/>
          <w:lang w:val="en-GB"/>
        </w:rPr>
        <w:footnoteReference w:id="154"/>
      </w:r>
    </w:p>
    <w:p w:rsidR="00E83163" w:rsidRPr="00311B33" w:rsidRDefault="00E83163" w:rsidP="0082443E">
      <w:pPr>
        <w:jc w:val="both"/>
        <w:rPr>
          <w:rFonts w:ascii="Times New Roman" w:hAnsi="Times New Roman" w:cs="Times New Roman"/>
          <w:highlight w:val="yellow"/>
          <w:lang w:val="en-GB"/>
        </w:rPr>
      </w:pPr>
    </w:p>
    <w:p w:rsidR="00C50216" w:rsidRPr="00311B33" w:rsidRDefault="00C50216" w:rsidP="0082443E">
      <w:pPr>
        <w:jc w:val="both"/>
        <w:rPr>
          <w:rFonts w:ascii="Times New Roman" w:hAnsi="Times New Roman" w:cs="Times New Roman"/>
          <w:lang w:val="en-GB"/>
        </w:rPr>
      </w:pPr>
      <w:r w:rsidRPr="00311B33">
        <w:rPr>
          <w:rFonts w:ascii="Times New Roman" w:hAnsi="Times New Roman" w:cs="Times New Roman"/>
          <w:lang w:val="en-GB"/>
        </w:rPr>
        <w:t>In practice, the duty to state reasons fluctuates on a case</w:t>
      </w:r>
      <w:r w:rsidR="006A5E60" w:rsidRPr="00311B33">
        <w:rPr>
          <w:rFonts w:ascii="Times New Roman" w:hAnsi="Times New Roman" w:cs="Times New Roman"/>
          <w:lang w:val="en-GB"/>
        </w:rPr>
        <w:t>-</w:t>
      </w:r>
      <w:r w:rsidRPr="00311B33">
        <w:rPr>
          <w:rFonts w:ascii="Times New Roman" w:hAnsi="Times New Roman" w:cs="Times New Roman"/>
          <w:lang w:val="en-GB"/>
        </w:rPr>
        <w:t>by</w:t>
      </w:r>
      <w:r w:rsidR="006A5E60" w:rsidRPr="00311B33">
        <w:rPr>
          <w:rFonts w:ascii="Times New Roman" w:hAnsi="Times New Roman" w:cs="Times New Roman"/>
          <w:lang w:val="en-GB"/>
        </w:rPr>
        <w:t>-</w:t>
      </w:r>
      <w:r w:rsidRPr="00311B33">
        <w:rPr>
          <w:rFonts w:ascii="Times New Roman" w:hAnsi="Times New Roman" w:cs="Times New Roman"/>
          <w:lang w:val="en-GB"/>
        </w:rPr>
        <w:t>case basis</w:t>
      </w:r>
      <w:r w:rsidR="006A5E60" w:rsidRPr="00311B33">
        <w:rPr>
          <w:rFonts w:ascii="Times New Roman" w:hAnsi="Times New Roman" w:cs="Times New Roman"/>
          <w:lang w:val="en-GB"/>
        </w:rPr>
        <w:t xml:space="preserve">. </w:t>
      </w:r>
      <w:r w:rsidR="00E76BDC" w:rsidRPr="00311B33">
        <w:rPr>
          <w:rFonts w:ascii="Times New Roman" w:hAnsi="Times New Roman" w:cs="Times New Roman"/>
          <w:lang w:val="en-GB"/>
        </w:rPr>
        <w:t>The length, accuracy and depth of the explanations</w:t>
      </w:r>
      <w:r w:rsidR="006A5E60" w:rsidRPr="00311B33">
        <w:rPr>
          <w:rFonts w:ascii="Times New Roman" w:hAnsi="Times New Roman" w:cs="Times New Roman"/>
          <w:lang w:val="en-GB"/>
        </w:rPr>
        <w:t xml:space="preserve"> </w:t>
      </w:r>
      <w:r w:rsidR="00E76BDC" w:rsidRPr="00311B33">
        <w:rPr>
          <w:rFonts w:ascii="Times New Roman" w:hAnsi="Times New Roman" w:cs="Times New Roman"/>
          <w:lang w:val="en-GB"/>
        </w:rPr>
        <w:t xml:space="preserve">depends </w:t>
      </w:r>
      <w:r w:rsidRPr="00311B33">
        <w:rPr>
          <w:rFonts w:ascii="Times New Roman" w:hAnsi="Times New Roman" w:cs="Times New Roman"/>
          <w:lang w:val="en-GB"/>
        </w:rPr>
        <w:t>on a whole host of factors:</w:t>
      </w:r>
      <w:r w:rsidR="002F43FD" w:rsidRPr="00311B33">
        <w:rPr>
          <w:rFonts w:ascii="Times New Roman" w:hAnsi="Times New Roman" w:cs="Times New Roman"/>
          <w:lang w:val="en-GB"/>
        </w:rPr>
        <w:t xml:space="preserve"> </w:t>
      </w:r>
      <w:r w:rsidR="00FC7C02" w:rsidRPr="00311B33">
        <w:rPr>
          <w:rFonts w:ascii="Times New Roman" w:hAnsi="Times New Roman" w:cs="Times New Roman"/>
          <w:lang w:val="en-GB"/>
        </w:rPr>
        <w:t>nature of the act</w:t>
      </w:r>
      <w:r w:rsidR="00E76BDC" w:rsidRPr="00311B33">
        <w:rPr>
          <w:rFonts w:ascii="Times New Roman" w:hAnsi="Times New Roman" w:cs="Times New Roman"/>
          <w:lang w:val="en-GB"/>
        </w:rPr>
        <w:t>;</w:t>
      </w:r>
      <w:r w:rsidR="00FC7C02" w:rsidRPr="00311B33">
        <w:rPr>
          <w:rStyle w:val="Appelnotedebasdep"/>
          <w:rFonts w:ascii="Times New Roman" w:hAnsi="Times New Roman" w:cs="Times New Roman"/>
          <w:lang w:val="en-GB"/>
        </w:rPr>
        <w:footnoteReference w:id="155"/>
      </w:r>
      <w:r w:rsidR="00FC7C02" w:rsidRPr="00311B33">
        <w:rPr>
          <w:rFonts w:ascii="Times New Roman" w:hAnsi="Times New Roman" w:cs="Times New Roman"/>
          <w:lang w:val="en-GB"/>
        </w:rPr>
        <w:t xml:space="preserve"> </w:t>
      </w:r>
      <w:r w:rsidR="00E76BDC" w:rsidRPr="00311B33">
        <w:rPr>
          <w:rFonts w:ascii="Times New Roman" w:hAnsi="Times New Roman" w:cs="Times New Roman"/>
          <w:lang w:val="en-GB"/>
        </w:rPr>
        <w:t xml:space="preserve">existence of previous decisions from </w:t>
      </w:r>
      <w:r w:rsidR="00C169F9" w:rsidRPr="00311B33">
        <w:rPr>
          <w:rFonts w:ascii="Times New Roman" w:hAnsi="Times New Roman" w:cs="Times New Roman"/>
          <w:lang w:val="en-GB"/>
        </w:rPr>
        <w:t>the Commission</w:t>
      </w:r>
      <w:r w:rsidR="00E76BDC" w:rsidRPr="00311B33">
        <w:rPr>
          <w:rFonts w:ascii="Times New Roman" w:hAnsi="Times New Roman" w:cs="Times New Roman"/>
          <w:lang w:val="en-GB"/>
        </w:rPr>
        <w:t xml:space="preserve">; </w:t>
      </w:r>
      <w:r w:rsidR="00FC7C02" w:rsidRPr="00311B33">
        <w:rPr>
          <w:rFonts w:ascii="Times New Roman" w:hAnsi="Times New Roman" w:cs="Times New Roman"/>
          <w:lang w:val="en-GB"/>
        </w:rPr>
        <w:t>margin of discretion</w:t>
      </w:r>
      <w:r w:rsidR="00E76BDC" w:rsidRPr="00311B33">
        <w:rPr>
          <w:rFonts w:ascii="Times New Roman" w:hAnsi="Times New Roman" w:cs="Times New Roman"/>
          <w:lang w:val="en-GB"/>
        </w:rPr>
        <w:t xml:space="preserve"> held by the Commission;</w:t>
      </w:r>
      <w:r w:rsidR="00FC7C02" w:rsidRPr="00311B33">
        <w:rPr>
          <w:rStyle w:val="Appelnotedebasdep"/>
          <w:rFonts w:ascii="Times New Roman" w:hAnsi="Times New Roman" w:cs="Times New Roman"/>
          <w:lang w:val="en-GB"/>
        </w:rPr>
        <w:footnoteReference w:id="156"/>
      </w:r>
      <w:r w:rsidR="00E76BDC" w:rsidRPr="00311B33">
        <w:rPr>
          <w:rFonts w:ascii="Times New Roman" w:hAnsi="Times New Roman" w:cs="Times New Roman"/>
          <w:lang w:val="en-GB"/>
        </w:rPr>
        <w:t xml:space="preserve"> </w:t>
      </w:r>
      <w:r w:rsidR="002F43FD" w:rsidRPr="00311B33">
        <w:rPr>
          <w:rFonts w:ascii="Times New Roman" w:hAnsi="Times New Roman" w:cs="Times New Roman"/>
          <w:lang w:val="en-GB"/>
        </w:rPr>
        <w:t>con</w:t>
      </w:r>
      <w:r w:rsidRPr="00311B33">
        <w:rPr>
          <w:rFonts w:ascii="Times New Roman" w:hAnsi="Times New Roman" w:cs="Times New Roman"/>
          <w:lang w:val="en-GB"/>
        </w:rPr>
        <w:t>tent of the measure in question</w:t>
      </w:r>
      <w:r w:rsidR="00E76BDC" w:rsidRPr="00311B33">
        <w:rPr>
          <w:rFonts w:ascii="Times New Roman" w:hAnsi="Times New Roman" w:cs="Times New Roman"/>
          <w:lang w:val="en-GB"/>
        </w:rPr>
        <w:t xml:space="preserve">; </w:t>
      </w:r>
      <w:r w:rsidR="002F43FD" w:rsidRPr="00311B33">
        <w:rPr>
          <w:rFonts w:ascii="Times New Roman" w:hAnsi="Times New Roman" w:cs="Times New Roman"/>
          <w:lang w:val="en-GB"/>
        </w:rPr>
        <w:t>interest which the addressee of the measure</w:t>
      </w:r>
      <w:r w:rsidR="0049294B" w:rsidRPr="00311B33">
        <w:rPr>
          <w:rFonts w:ascii="Times New Roman" w:hAnsi="Times New Roman" w:cs="Times New Roman"/>
          <w:lang w:val="en-GB"/>
        </w:rPr>
        <w:t xml:space="preserve">, </w:t>
      </w:r>
      <w:r w:rsidR="002F43FD" w:rsidRPr="00311B33">
        <w:rPr>
          <w:rFonts w:ascii="Times New Roman" w:hAnsi="Times New Roman" w:cs="Times New Roman"/>
          <w:lang w:val="en-GB"/>
        </w:rPr>
        <w:t>or other parties to whom it is of direct and individual concern, may</w:t>
      </w:r>
      <w:r w:rsidR="00B4578E" w:rsidRPr="00311B33">
        <w:rPr>
          <w:rFonts w:ascii="Times New Roman" w:hAnsi="Times New Roman" w:cs="Times New Roman"/>
          <w:lang w:val="en-GB"/>
        </w:rPr>
        <w:t xml:space="preserve"> have in obtaining explanations.</w:t>
      </w:r>
      <w:r w:rsidR="00D824D4" w:rsidRPr="00311B33">
        <w:rPr>
          <w:rStyle w:val="Appelnotedebasdep"/>
          <w:rFonts w:ascii="Times New Roman" w:hAnsi="Times New Roman" w:cs="Times New Roman"/>
          <w:lang w:val="en-GB"/>
        </w:rPr>
        <w:footnoteReference w:id="157"/>
      </w:r>
    </w:p>
    <w:p w:rsidR="009A4463" w:rsidRPr="00311B33" w:rsidRDefault="009A4463" w:rsidP="0082443E">
      <w:pPr>
        <w:jc w:val="both"/>
        <w:rPr>
          <w:rFonts w:ascii="Times New Roman" w:hAnsi="Times New Roman" w:cs="Times New Roman"/>
          <w:lang w:val="en-GB"/>
        </w:rPr>
      </w:pPr>
    </w:p>
    <w:p w:rsidR="009A4463" w:rsidRPr="00311B33" w:rsidRDefault="009B1657" w:rsidP="0082443E">
      <w:pPr>
        <w:jc w:val="both"/>
        <w:rPr>
          <w:rFonts w:ascii="Times New Roman" w:hAnsi="Times New Roman" w:cs="Times New Roman"/>
          <w:highlight w:val="yellow"/>
          <w:lang w:val="en-GB"/>
        </w:rPr>
      </w:pPr>
      <w:r w:rsidRPr="00246F56">
        <w:rPr>
          <w:rFonts w:ascii="Times New Roman" w:hAnsi="Times New Roman" w:cs="Times New Roman"/>
          <w:b/>
          <w:lang w:val="en-GB"/>
        </w:rPr>
        <w:t xml:space="preserve">Fines – </w:t>
      </w:r>
      <w:r w:rsidR="00E76BDC" w:rsidRPr="00311B33">
        <w:rPr>
          <w:rFonts w:ascii="Times New Roman" w:hAnsi="Times New Roman" w:cs="Times New Roman"/>
          <w:lang w:val="en-GB"/>
        </w:rPr>
        <w:t>The right to an explanation has been specifically discussed in relation to fines</w:t>
      </w:r>
      <w:r w:rsidR="00B4578E" w:rsidRPr="00311B33">
        <w:rPr>
          <w:rFonts w:ascii="Times New Roman" w:hAnsi="Times New Roman" w:cs="Times New Roman"/>
          <w:lang w:val="en-GB"/>
        </w:rPr>
        <w:t xml:space="preserve">. </w:t>
      </w:r>
      <w:r w:rsidR="00E76BDC" w:rsidRPr="00311B33">
        <w:rPr>
          <w:rFonts w:ascii="Times New Roman" w:hAnsi="Times New Roman" w:cs="Times New Roman"/>
          <w:lang w:val="en-GB"/>
        </w:rPr>
        <w:t xml:space="preserve">The </w:t>
      </w:r>
      <w:r w:rsidR="008443F5" w:rsidRPr="00311B33">
        <w:rPr>
          <w:rFonts w:ascii="Times New Roman" w:hAnsi="Times New Roman" w:cs="Times New Roman"/>
          <w:lang w:val="en-GB"/>
        </w:rPr>
        <w:t>EU</w:t>
      </w:r>
      <w:r w:rsidR="00B416FC" w:rsidRPr="00311B33">
        <w:rPr>
          <w:rFonts w:ascii="Times New Roman" w:hAnsi="Times New Roman" w:cs="Times New Roman"/>
          <w:lang w:val="en-GB"/>
        </w:rPr>
        <w:t xml:space="preserve"> C</w:t>
      </w:r>
      <w:r w:rsidR="009A4463" w:rsidRPr="00311B33">
        <w:rPr>
          <w:rFonts w:ascii="Times New Roman" w:hAnsi="Times New Roman" w:cs="Times New Roman"/>
          <w:lang w:val="en-GB"/>
        </w:rPr>
        <w:t xml:space="preserve">ourts </w:t>
      </w:r>
      <w:r w:rsidR="00E76BDC" w:rsidRPr="00311B33">
        <w:rPr>
          <w:rFonts w:ascii="Times New Roman" w:hAnsi="Times New Roman" w:cs="Times New Roman"/>
          <w:lang w:val="en-GB"/>
        </w:rPr>
        <w:t xml:space="preserve">consider that </w:t>
      </w:r>
      <w:r w:rsidR="009A4463" w:rsidRPr="00311B33">
        <w:rPr>
          <w:rFonts w:ascii="Times New Roman" w:hAnsi="Times New Roman" w:cs="Times New Roman"/>
          <w:lang w:val="en-GB"/>
        </w:rPr>
        <w:t xml:space="preserve">the Commission </w:t>
      </w:r>
      <w:r w:rsidR="0049294B" w:rsidRPr="00311B33">
        <w:rPr>
          <w:rFonts w:ascii="Times New Roman" w:hAnsi="Times New Roman" w:cs="Times New Roman"/>
          <w:lang w:val="en-GB"/>
        </w:rPr>
        <w:t>fulfils</w:t>
      </w:r>
      <w:r w:rsidR="009A4463" w:rsidRPr="00311B33">
        <w:rPr>
          <w:rFonts w:ascii="Times New Roman" w:hAnsi="Times New Roman" w:cs="Times New Roman"/>
          <w:lang w:val="en-GB"/>
        </w:rPr>
        <w:t xml:space="preserve"> its </w:t>
      </w:r>
      <w:r w:rsidR="00E76BDC" w:rsidRPr="00311B33">
        <w:rPr>
          <w:rFonts w:ascii="Times New Roman" w:hAnsi="Times New Roman" w:cs="Times New Roman"/>
          <w:lang w:val="en-GB"/>
        </w:rPr>
        <w:t xml:space="preserve">duty </w:t>
      </w:r>
      <w:r w:rsidR="009A4463" w:rsidRPr="00311B33">
        <w:rPr>
          <w:rFonts w:ascii="Times New Roman" w:hAnsi="Times New Roman" w:cs="Times New Roman"/>
          <w:lang w:val="en-GB"/>
        </w:rPr>
        <w:t xml:space="preserve">to state reasons </w:t>
      </w:r>
      <w:r w:rsidR="00E76BDC" w:rsidRPr="00311B33">
        <w:rPr>
          <w:rFonts w:ascii="Times New Roman" w:hAnsi="Times New Roman" w:cs="Times New Roman"/>
          <w:lang w:val="en-GB"/>
        </w:rPr>
        <w:t xml:space="preserve">as long as it </w:t>
      </w:r>
      <w:r w:rsidR="009A4463" w:rsidRPr="00311B33">
        <w:rPr>
          <w:rFonts w:ascii="Times New Roman" w:hAnsi="Times New Roman" w:cs="Times New Roman"/>
          <w:lang w:val="en-GB"/>
        </w:rPr>
        <w:t>indicat</w:t>
      </w:r>
      <w:r w:rsidR="00E76BDC" w:rsidRPr="00311B33">
        <w:rPr>
          <w:rFonts w:ascii="Times New Roman" w:hAnsi="Times New Roman" w:cs="Times New Roman"/>
          <w:lang w:val="en-GB"/>
        </w:rPr>
        <w:t>es</w:t>
      </w:r>
      <w:r w:rsidR="009A4463" w:rsidRPr="00311B33">
        <w:rPr>
          <w:rFonts w:ascii="Times New Roman" w:hAnsi="Times New Roman" w:cs="Times New Roman"/>
          <w:lang w:val="en-GB"/>
        </w:rPr>
        <w:t xml:space="preserve"> </w:t>
      </w:r>
      <w:r w:rsidR="00E76BDC" w:rsidRPr="00311B33">
        <w:rPr>
          <w:rFonts w:ascii="Times New Roman" w:hAnsi="Times New Roman" w:cs="Times New Roman"/>
          <w:lang w:val="en-GB"/>
        </w:rPr>
        <w:t xml:space="preserve">which </w:t>
      </w:r>
      <w:r w:rsidR="009A4463" w:rsidRPr="00311B33">
        <w:rPr>
          <w:rFonts w:ascii="Times New Roman" w:hAnsi="Times New Roman" w:cs="Times New Roman"/>
          <w:lang w:val="en-GB"/>
        </w:rPr>
        <w:t xml:space="preserve">factors </w:t>
      </w:r>
      <w:r w:rsidR="00E76BDC" w:rsidRPr="00311B33">
        <w:rPr>
          <w:rFonts w:ascii="Times New Roman" w:hAnsi="Times New Roman" w:cs="Times New Roman"/>
          <w:lang w:val="en-GB"/>
        </w:rPr>
        <w:t xml:space="preserve">it took </w:t>
      </w:r>
      <w:r w:rsidR="00502B1D">
        <w:rPr>
          <w:rFonts w:ascii="Times New Roman" w:hAnsi="Times New Roman" w:cs="Times New Roman"/>
          <w:lang w:val="en-GB"/>
        </w:rPr>
        <w:t xml:space="preserve">into </w:t>
      </w:r>
      <w:r w:rsidR="00E76BDC" w:rsidRPr="00311B33">
        <w:rPr>
          <w:rFonts w:ascii="Times New Roman" w:hAnsi="Times New Roman" w:cs="Times New Roman"/>
          <w:lang w:val="en-GB"/>
        </w:rPr>
        <w:t xml:space="preserve">account to decide on </w:t>
      </w:r>
      <w:r w:rsidR="009A4463" w:rsidRPr="00311B33">
        <w:rPr>
          <w:rFonts w:ascii="Times New Roman" w:hAnsi="Times New Roman" w:cs="Times New Roman"/>
          <w:lang w:val="en-GB"/>
        </w:rPr>
        <w:t xml:space="preserve">the gravity of the offence. No </w:t>
      </w:r>
      <w:r w:rsidR="00E76BDC" w:rsidRPr="00311B33">
        <w:rPr>
          <w:rFonts w:ascii="Times New Roman" w:hAnsi="Times New Roman" w:cs="Times New Roman"/>
          <w:lang w:val="en-GB"/>
        </w:rPr>
        <w:t xml:space="preserve">further </w:t>
      </w:r>
      <w:r w:rsidR="009A4463" w:rsidRPr="00311B33">
        <w:rPr>
          <w:rFonts w:ascii="Times New Roman" w:hAnsi="Times New Roman" w:cs="Times New Roman"/>
          <w:lang w:val="en-GB"/>
        </w:rPr>
        <w:t xml:space="preserve">requirement </w:t>
      </w:r>
      <w:r w:rsidR="00E76BDC" w:rsidRPr="00311B33">
        <w:rPr>
          <w:rFonts w:ascii="Times New Roman" w:hAnsi="Times New Roman" w:cs="Times New Roman"/>
          <w:lang w:val="en-GB"/>
        </w:rPr>
        <w:t xml:space="preserve">is imposed on the Commission (for instance, the Commission </w:t>
      </w:r>
      <w:r w:rsidR="00FE4DB2" w:rsidRPr="00311B33">
        <w:rPr>
          <w:rFonts w:ascii="Times New Roman" w:hAnsi="Times New Roman" w:cs="Times New Roman"/>
          <w:lang w:val="en-GB"/>
        </w:rPr>
        <w:t xml:space="preserve">must </w:t>
      </w:r>
      <w:r w:rsidR="00E76BDC" w:rsidRPr="00311B33">
        <w:rPr>
          <w:rFonts w:ascii="Times New Roman" w:hAnsi="Times New Roman" w:cs="Times New Roman"/>
          <w:lang w:val="en-GB"/>
        </w:rPr>
        <w:t xml:space="preserve">not provide </w:t>
      </w:r>
      <w:r w:rsidR="009A4463" w:rsidRPr="00311B33">
        <w:rPr>
          <w:rFonts w:ascii="Times New Roman" w:hAnsi="Times New Roman" w:cs="Times New Roman"/>
          <w:lang w:val="en-GB"/>
        </w:rPr>
        <w:t>more detailed figures for the calculation</w:t>
      </w:r>
      <w:r w:rsidR="00FE4DB2" w:rsidRPr="00311B33">
        <w:rPr>
          <w:rFonts w:ascii="Times New Roman" w:hAnsi="Times New Roman" w:cs="Times New Roman"/>
          <w:lang w:val="en-GB"/>
        </w:rPr>
        <w:t xml:space="preserve"> of fines</w:t>
      </w:r>
      <w:r w:rsidR="00E76BDC" w:rsidRPr="00311B33">
        <w:rPr>
          <w:rFonts w:ascii="Times New Roman" w:hAnsi="Times New Roman" w:cs="Times New Roman"/>
          <w:lang w:val="en-GB"/>
        </w:rPr>
        <w:t>)</w:t>
      </w:r>
      <w:r w:rsidR="009A4463" w:rsidRPr="00311B33">
        <w:rPr>
          <w:rFonts w:ascii="Times New Roman" w:hAnsi="Times New Roman" w:cs="Times New Roman"/>
          <w:lang w:val="en-GB"/>
        </w:rPr>
        <w:t>.</w:t>
      </w:r>
      <w:r w:rsidR="00F52602" w:rsidRPr="00311B33">
        <w:rPr>
          <w:rStyle w:val="Appelnotedebasdep"/>
          <w:rFonts w:ascii="Times New Roman" w:hAnsi="Times New Roman" w:cs="Times New Roman"/>
          <w:lang w:val="en-GB"/>
        </w:rPr>
        <w:footnoteReference w:id="158"/>
      </w:r>
      <w:r w:rsidR="009A4463" w:rsidRPr="00311B33">
        <w:rPr>
          <w:rFonts w:ascii="Times New Roman" w:hAnsi="Times New Roman" w:cs="Times New Roman"/>
          <w:lang w:val="en-GB"/>
        </w:rPr>
        <w:t xml:space="preserve"> </w:t>
      </w:r>
      <w:r w:rsidR="00FE4DB2" w:rsidRPr="00311B33">
        <w:rPr>
          <w:rFonts w:ascii="Times New Roman" w:hAnsi="Times New Roman" w:cs="Times New Roman"/>
          <w:lang w:val="en-GB"/>
        </w:rPr>
        <w:t xml:space="preserve">This explains that, in most fining </w:t>
      </w:r>
      <w:r w:rsidR="00FE4DB2" w:rsidRPr="00311B33">
        <w:rPr>
          <w:rFonts w:ascii="Times New Roman" w:hAnsi="Times New Roman" w:cs="Times New Roman"/>
          <w:lang w:val="en-GB"/>
        </w:rPr>
        <w:lastRenderedPageBreak/>
        <w:t xml:space="preserve">decisions, the Commission simply refers to </w:t>
      </w:r>
      <w:r w:rsidR="009A4463" w:rsidRPr="00311B33">
        <w:rPr>
          <w:rFonts w:ascii="Times New Roman" w:hAnsi="Times New Roman" w:cs="Times New Roman"/>
          <w:lang w:val="en-GB"/>
        </w:rPr>
        <w:t xml:space="preserve">the Guidelines on the calculation of fines and </w:t>
      </w:r>
      <w:r w:rsidR="00FE4DB2" w:rsidRPr="00311B33">
        <w:rPr>
          <w:rFonts w:ascii="Times New Roman" w:hAnsi="Times New Roman" w:cs="Times New Roman"/>
          <w:lang w:val="en-GB"/>
        </w:rPr>
        <w:t xml:space="preserve">gives </w:t>
      </w:r>
      <w:r w:rsidR="009A4463" w:rsidRPr="00311B33">
        <w:rPr>
          <w:rFonts w:ascii="Times New Roman" w:hAnsi="Times New Roman" w:cs="Times New Roman"/>
          <w:lang w:val="en-GB"/>
        </w:rPr>
        <w:t xml:space="preserve">indication </w:t>
      </w:r>
      <w:r w:rsidR="00FD7392" w:rsidRPr="00311B33">
        <w:rPr>
          <w:rFonts w:ascii="Times New Roman" w:hAnsi="Times New Roman" w:cs="Times New Roman"/>
          <w:lang w:val="en-GB"/>
        </w:rPr>
        <w:t>of</w:t>
      </w:r>
      <w:r w:rsidR="009A4463" w:rsidRPr="00311B33">
        <w:rPr>
          <w:rFonts w:ascii="Times New Roman" w:hAnsi="Times New Roman" w:cs="Times New Roman"/>
          <w:lang w:val="en-GB"/>
        </w:rPr>
        <w:t xml:space="preserve"> the duration and the gravity of the infringement.</w:t>
      </w:r>
      <w:r w:rsidR="009A4463" w:rsidRPr="00311B33">
        <w:rPr>
          <w:rStyle w:val="Appelnotedebasdep"/>
          <w:rFonts w:ascii="Times New Roman" w:hAnsi="Times New Roman" w:cs="Times New Roman"/>
          <w:lang w:val="en-GB"/>
        </w:rPr>
        <w:footnoteReference w:id="159"/>
      </w:r>
    </w:p>
    <w:p w:rsidR="00DC6883" w:rsidRPr="00311B33" w:rsidRDefault="00DC6883" w:rsidP="0082443E">
      <w:pPr>
        <w:jc w:val="both"/>
        <w:rPr>
          <w:rFonts w:ascii="Times New Roman" w:hAnsi="Times New Roman" w:cs="Times New Roman"/>
          <w:highlight w:val="yellow"/>
          <w:lang w:val="en-GB"/>
        </w:rPr>
      </w:pPr>
    </w:p>
    <w:p w:rsidR="00E7095A" w:rsidRPr="00311B33" w:rsidRDefault="00E7095A" w:rsidP="00E7095A">
      <w:pPr>
        <w:jc w:val="both"/>
        <w:rPr>
          <w:rFonts w:ascii="Times New Roman" w:hAnsi="Times New Roman" w:cs="Times New Roman"/>
          <w:lang w:val="en-GB"/>
        </w:rPr>
      </w:pPr>
      <w:r w:rsidRPr="00311B33">
        <w:rPr>
          <w:rFonts w:ascii="Times New Roman" w:hAnsi="Times New Roman" w:cs="Times New Roman"/>
          <w:b/>
          <w:lang w:val="en-GB"/>
        </w:rPr>
        <w:t xml:space="preserve">Discretion – </w:t>
      </w:r>
      <w:r w:rsidRPr="00311B33">
        <w:rPr>
          <w:rFonts w:ascii="Times New Roman" w:hAnsi="Times New Roman" w:cs="Times New Roman"/>
          <w:lang w:val="en-GB"/>
        </w:rPr>
        <w:t xml:space="preserve">The obligation to state reasons </w:t>
      </w:r>
      <w:r w:rsidR="00FE4DB2" w:rsidRPr="00311B33">
        <w:rPr>
          <w:rFonts w:ascii="Times New Roman" w:hAnsi="Times New Roman" w:cs="Times New Roman"/>
          <w:lang w:val="en-GB"/>
        </w:rPr>
        <w:t>has also been specifically discussed in relation to decisions to reject complaints. T</w:t>
      </w:r>
      <w:r w:rsidRPr="00311B33">
        <w:rPr>
          <w:rFonts w:ascii="Times New Roman" w:hAnsi="Times New Roman" w:cs="Times New Roman"/>
          <w:lang w:val="en-GB"/>
        </w:rPr>
        <w:t>he Commission</w:t>
      </w:r>
      <w:r w:rsidR="00FE4DB2" w:rsidRPr="00311B33">
        <w:rPr>
          <w:rFonts w:ascii="Times New Roman" w:hAnsi="Times New Roman" w:cs="Times New Roman"/>
          <w:lang w:val="en-GB"/>
        </w:rPr>
        <w:t xml:space="preserve"> enjoys a wide margin of discretion </w:t>
      </w:r>
      <w:r w:rsidRPr="00311B33">
        <w:rPr>
          <w:rFonts w:ascii="Times New Roman" w:hAnsi="Times New Roman" w:cs="Times New Roman"/>
          <w:lang w:val="en-GB"/>
        </w:rPr>
        <w:t>to reject complaints</w:t>
      </w:r>
      <w:r w:rsidR="00FE4DB2" w:rsidRPr="00311B33">
        <w:rPr>
          <w:rFonts w:ascii="Times New Roman" w:hAnsi="Times New Roman" w:cs="Times New Roman"/>
          <w:lang w:val="en-GB"/>
        </w:rPr>
        <w:t>. It can in principle</w:t>
      </w:r>
      <w:r w:rsidRPr="00311B33">
        <w:rPr>
          <w:rFonts w:ascii="Times New Roman" w:hAnsi="Times New Roman" w:cs="Times New Roman"/>
          <w:lang w:val="en-GB"/>
        </w:rPr>
        <w:t xml:space="preserve"> </w:t>
      </w:r>
      <w:r w:rsidR="00FE4DB2" w:rsidRPr="00311B33">
        <w:rPr>
          <w:rFonts w:ascii="Times New Roman" w:hAnsi="Times New Roman" w:cs="Times New Roman"/>
          <w:lang w:val="en-GB"/>
        </w:rPr>
        <w:t xml:space="preserve">dismiss complaints on the sole ground that there </w:t>
      </w:r>
      <w:r w:rsidRPr="00311B33">
        <w:rPr>
          <w:rFonts w:ascii="Times New Roman" w:hAnsi="Times New Roman" w:cs="Times New Roman"/>
          <w:lang w:val="en-GB"/>
        </w:rPr>
        <w:t xml:space="preserve">is </w:t>
      </w:r>
      <w:r w:rsidR="008336A7">
        <w:rPr>
          <w:rFonts w:ascii="Times New Roman" w:hAnsi="Times New Roman" w:cs="Times New Roman"/>
          <w:lang w:val="en-GB"/>
        </w:rPr>
        <w:t xml:space="preserve">a lack of </w:t>
      </w:r>
      <w:r w:rsidRPr="00311B33">
        <w:rPr>
          <w:rFonts w:ascii="Times New Roman" w:hAnsi="Times New Roman" w:cs="Times New Roman"/>
          <w:lang w:val="en-GB"/>
        </w:rPr>
        <w:t>“</w:t>
      </w:r>
      <w:r w:rsidRPr="00311B33">
        <w:rPr>
          <w:rFonts w:ascii="Times New Roman" w:hAnsi="Times New Roman" w:cs="Times New Roman"/>
          <w:i/>
          <w:lang w:val="en-GB"/>
        </w:rPr>
        <w:t>community interest</w:t>
      </w:r>
      <w:r w:rsidRPr="00311B33">
        <w:rPr>
          <w:rFonts w:ascii="Times New Roman" w:hAnsi="Times New Roman" w:cs="Times New Roman"/>
          <w:lang w:val="en-GB"/>
        </w:rPr>
        <w:t xml:space="preserve">”. </w:t>
      </w:r>
    </w:p>
    <w:p w:rsidR="00E7095A" w:rsidRPr="00311B33" w:rsidRDefault="00E7095A" w:rsidP="00E7095A">
      <w:pPr>
        <w:jc w:val="both"/>
        <w:rPr>
          <w:rFonts w:ascii="Times New Roman" w:hAnsi="Times New Roman" w:cs="Times New Roman"/>
          <w:lang w:val="en-GB"/>
        </w:rPr>
      </w:pPr>
    </w:p>
    <w:p w:rsidR="00E7095A" w:rsidRPr="004E08B1" w:rsidRDefault="00FE4DB2" w:rsidP="00E7095A">
      <w:pPr>
        <w:ind w:right="-6"/>
        <w:jc w:val="both"/>
        <w:rPr>
          <w:rFonts w:ascii="Times New Roman" w:hAnsi="Times New Roman" w:cs="Times New Roman"/>
          <w:iCs/>
          <w:lang w:val="en-GB"/>
        </w:rPr>
      </w:pPr>
      <w:r w:rsidRPr="00B94512">
        <w:rPr>
          <w:rFonts w:ascii="Times New Roman" w:hAnsi="Times New Roman" w:cs="Times New Roman"/>
          <w:lang w:val="en-GB"/>
        </w:rPr>
        <w:t xml:space="preserve">Because of a perceived tension with </w:t>
      </w:r>
      <w:r w:rsidR="00E7095A" w:rsidRPr="00B94512">
        <w:rPr>
          <w:rFonts w:ascii="Times New Roman" w:hAnsi="Times New Roman" w:cs="Times New Roman"/>
          <w:lang w:val="en-GB"/>
        </w:rPr>
        <w:t xml:space="preserve">the right of the addressees to obtain the reasons for the </w:t>
      </w:r>
      <w:r w:rsidRPr="00B94512">
        <w:rPr>
          <w:rFonts w:ascii="Times New Roman" w:hAnsi="Times New Roman" w:cs="Times New Roman"/>
          <w:lang w:val="en-GB"/>
        </w:rPr>
        <w:t xml:space="preserve">rejection of their complaint, </w:t>
      </w:r>
      <w:r w:rsidR="00883A50" w:rsidRPr="004E08B1">
        <w:rPr>
          <w:rFonts w:ascii="Times New Roman" w:eastAsia="Times New Roman" w:hAnsi="Times New Roman" w:cs="Times New Roman"/>
          <w:iCs/>
          <w:lang w:val="en-GB" w:eastAsia="fr-BE"/>
        </w:rPr>
        <w:t xml:space="preserve">the </w:t>
      </w:r>
      <w:r w:rsidR="00B94512" w:rsidRPr="00B94512">
        <w:rPr>
          <w:rFonts w:ascii="Times New Roman" w:eastAsia="Times New Roman" w:hAnsi="Times New Roman" w:cs="Times New Roman"/>
          <w:iCs/>
          <w:lang w:val="en-GB" w:eastAsia="fr-BE"/>
        </w:rPr>
        <w:t>GC</w:t>
      </w:r>
      <w:r w:rsidR="00883A50" w:rsidRPr="004E08B1">
        <w:rPr>
          <w:rFonts w:ascii="Times New Roman" w:eastAsia="Times New Roman" w:hAnsi="Times New Roman" w:cs="Times New Roman"/>
          <w:iCs/>
          <w:lang w:val="en-GB" w:eastAsia="fr-BE"/>
        </w:rPr>
        <w:t xml:space="preserve"> identified three criteria to assess </w:t>
      </w:r>
      <w:r w:rsidR="00883A50" w:rsidRPr="004E08B1">
        <w:rPr>
          <w:rFonts w:ascii="Times New Roman" w:hAnsi="Times New Roman" w:cs="Times New Roman"/>
          <w:iCs/>
          <w:lang w:val="en-GB"/>
        </w:rPr>
        <w:t>the existence – or lack thereof – of a Community interest, namely:</w:t>
      </w:r>
      <w:r w:rsidR="00883A50" w:rsidRPr="004E08B1">
        <w:rPr>
          <w:rFonts w:ascii="Times New Roman" w:hAnsi="Times New Roman" w:cs="Times New Roman"/>
          <w:i/>
          <w:iCs/>
          <w:lang w:val="en-GB"/>
        </w:rPr>
        <w:t xml:space="preserve"> “the significance of the alleged infringement as regards the functioning of the internal market, the probability of establishing the existence of the infringement and the scope of the investigation required in order to fulfil, under the best possible conditions, its task of ensuring that Articles [101 and 102] of the Treaty are complied with.</w:t>
      </w:r>
      <w:r w:rsidR="00883A50" w:rsidRPr="004E08B1">
        <w:rPr>
          <w:rFonts w:ascii="Times New Roman" w:hAnsi="Times New Roman" w:cs="Times New Roman"/>
          <w:iCs/>
          <w:lang w:val="en-GB"/>
        </w:rPr>
        <w:t>”.</w:t>
      </w:r>
      <w:r w:rsidR="00883A50" w:rsidRPr="004E08B1">
        <w:rPr>
          <w:rStyle w:val="Appelnotedebasdep"/>
          <w:rFonts w:ascii="Times New Roman" w:hAnsi="Times New Roman" w:cs="Times New Roman"/>
          <w:iCs/>
          <w:lang w:val="en-GB"/>
        </w:rPr>
        <w:footnoteReference w:id="160"/>
      </w:r>
    </w:p>
    <w:p w:rsidR="00E7095A" w:rsidRPr="004E08B1" w:rsidRDefault="00E7095A" w:rsidP="00E7095A">
      <w:pPr>
        <w:ind w:right="-6"/>
        <w:jc w:val="both"/>
        <w:rPr>
          <w:rFonts w:ascii="Times New Roman" w:eastAsia="Times New Roman" w:hAnsi="Times New Roman" w:cs="Times New Roman"/>
          <w:iCs/>
          <w:lang w:val="en-GB" w:eastAsia="fr-BE"/>
        </w:rPr>
      </w:pPr>
    </w:p>
    <w:p w:rsidR="004F0434" w:rsidRPr="004E08B1" w:rsidRDefault="00FE4DB2" w:rsidP="00246F56">
      <w:pPr>
        <w:spacing w:after="150"/>
        <w:ind w:right="-6"/>
        <w:jc w:val="both"/>
        <w:rPr>
          <w:rFonts w:ascii="Times New Roman" w:eastAsia="Times New Roman" w:hAnsi="Times New Roman" w:cs="Times New Roman"/>
          <w:iCs/>
          <w:lang w:val="en-GB" w:eastAsia="fr-BE"/>
        </w:rPr>
      </w:pPr>
      <w:r w:rsidRPr="00B94512">
        <w:rPr>
          <w:rFonts w:ascii="Times New Roman" w:hAnsi="Times New Roman" w:cs="Times New Roman"/>
          <w:lang w:val="en-GB"/>
        </w:rPr>
        <w:t>I</w:t>
      </w:r>
      <w:r w:rsidR="00E7095A" w:rsidRPr="00B94512">
        <w:rPr>
          <w:rFonts w:ascii="Times New Roman" w:hAnsi="Times New Roman" w:cs="Times New Roman"/>
          <w:lang w:val="en-GB"/>
        </w:rPr>
        <w:t xml:space="preserve">n </w:t>
      </w:r>
      <w:r w:rsidR="009B1657" w:rsidRPr="00B94512">
        <w:rPr>
          <w:rFonts w:ascii="Times New Roman" w:hAnsi="Times New Roman" w:cs="Times New Roman"/>
          <w:i/>
          <w:lang w:val="en-GB"/>
        </w:rPr>
        <w:t>IEEC</w:t>
      </w:r>
      <w:r w:rsidRPr="00B94512">
        <w:rPr>
          <w:rFonts w:ascii="Times New Roman" w:hAnsi="Times New Roman" w:cs="Times New Roman"/>
          <w:lang w:val="en-GB"/>
        </w:rPr>
        <w:t>, however,</w:t>
      </w:r>
      <w:r w:rsidR="00E7095A" w:rsidRPr="00B94512">
        <w:rPr>
          <w:rFonts w:ascii="Times New Roman" w:hAnsi="Times New Roman" w:cs="Times New Roman"/>
          <w:lang w:val="en-GB"/>
        </w:rPr>
        <w:t xml:space="preserve"> the CJEU </w:t>
      </w:r>
      <w:r w:rsidRPr="00B94512">
        <w:rPr>
          <w:rFonts w:ascii="Times New Roman" w:hAnsi="Times New Roman" w:cs="Times New Roman"/>
          <w:lang w:val="en-GB"/>
        </w:rPr>
        <w:t xml:space="preserve">strayed from the GC. It held that </w:t>
      </w:r>
      <w:r w:rsidR="00E7095A" w:rsidRPr="00B94512">
        <w:rPr>
          <w:rFonts w:ascii="Times New Roman" w:hAnsi="Times New Roman" w:cs="Times New Roman"/>
          <w:lang w:val="en-GB"/>
        </w:rPr>
        <w:t xml:space="preserve">if the Commission does not escape from the obligation to state </w:t>
      </w:r>
      <w:r w:rsidR="009B1657" w:rsidRPr="006269D7">
        <w:rPr>
          <w:rFonts w:ascii="Times New Roman" w:hAnsi="Times New Roman" w:cs="Times New Roman"/>
          <w:lang w:val="en-GB"/>
        </w:rPr>
        <w:t xml:space="preserve">reasons </w:t>
      </w:r>
      <w:r w:rsidRPr="006269D7">
        <w:rPr>
          <w:rFonts w:ascii="Times New Roman" w:hAnsi="Times New Roman" w:cs="Times New Roman"/>
          <w:lang w:val="en-GB"/>
        </w:rPr>
        <w:t xml:space="preserve">in a decision to reject </w:t>
      </w:r>
      <w:r w:rsidR="00E7095A" w:rsidRPr="006269D7">
        <w:rPr>
          <w:rFonts w:ascii="Times New Roman" w:hAnsi="Times New Roman" w:cs="Times New Roman"/>
          <w:lang w:val="en-GB"/>
        </w:rPr>
        <w:t>a complaint,</w:t>
      </w:r>
      <w:r w:rsidR="00883A50" w:rsidRPr="004E08B1">
        <w:rPr>
          <w:rFonts w:ascii="Times New Roman" w:eastAsia="Times New Roman" w:hAnsi="Times New Roman" w:cs="Times New Roman"/>
          <w:i/>
          <w:iCs/>
          <w:lang w:val="en-GB" w:eastAsia="fr-BE"/>
        </w:rPr>
        <w:t xml:space="preserve"> “the assessment of the Community interest raised by a complaint depends on the circumstances of each case”</w:t>
      </w:r>
      <w:r w:rsidR="009B1657" w:rsidRPr="00B94512">
        <w:rPr>
          <w:rFonts w:ascii="Times New Roman" w:hAnsi="Times New Roman" w:cs="Times New Roman"/>
          <w:lang w:val="en-GB"/>
        </w:rPr>
        <w:t xml:space="preserve"> </w:t>
      </w:r>
      <w:r w:rsidR="00883A50" w:rsidRPr="004E08B1">
        <w:rPr>
          <w:rFonts w:ascii="Times New Roman" w:eastAsia="Times New Roman" w:hAnsi="Times New Roman" w:cs="Times New Roman"/>
          <w:iCs/>
          <w:lang w:val="en-GB" w:eastAsia="fr-BE"/>
        </w:rPr>
        <w:t>and the Commission</w:t>
      </w:r>
      <w:r w:rsidR="00883A50" w:rsidRPr="004E08B1">
        <w:rPr>
          <w:rFonts w:ascii="Times New Roman" w:eastAsia="Times New Roman" w:hAnsi="Times New Roman" w:cs="Times New Roman"/>
          <w:i/>
          <w:iCs/>
          <w:lang w:val="en-GB" w:eastAsia="fr-BE"/>
        </w:rPr>
        <w:t xml:space="preserve"> “should not be limited in the number of criteria of assessment to which it may refer nor, conversely, should it be required to have recourse exclusively to certain criteria”.</w:t>
      </w:r>
      <w:r w:rsidR="00883A50" w:rsidRPr="004E08B1">
        <w:rPr>
          <w:rStyle w:val="Appelnotedebasdep"/>
          <w:rFonts w:ascii="Times New Roman" w:eastAsia="Times New Roman" w:hAnsi="Times New Roman" w:cs="Times New Roman"/>
          <w:iCs/>
          <w:lang w:val="en-GB" w:eastAsia="fr-BE"/>
        </w:rPr>
        <w:footnoteReference w:id="161"/>
      </w:r>
      <w:r w:rsidR="00883A50" w:rsidRPr="004E08B1">
        <w:rPr>
          <w:rFonts w:ascii="Times New Roman" w:eastAsia="Times New Roman" w:hAnsi="Times New Roman" w:cs="Times New Roman"/>
          <w:iCs/>
          <w:lang w:val="en-GB" w:eastAsia="fr-BE"/>
        </w:rPr>
        <w:t xml:space="preserve"> Following this ruling, the criterions that explain a decision to reject a complaint remain muddied in the water.</w:t>
      </w:r>
      <w:r w:rsidR="008336A7">
        <w:rPr>
          <w:rStyle w:val="Appelnotedebasdep"/>
          <w:rFonts w:ascii="Times New Roman" w:eastAsia="Times New Roman" w:hAnsi="Times New Roman" w:cs="Times New Roman"/>
          <w:iCs/>
          <w:lang w:val="en-GB" w:eastAsia="fr-BE"/>
        </w:rPr>
        <w:footnoteReference w:id="162"/>
      </w:r>
      <w:r w:rsidR="00883A50" w:rsidRPr="004E08B1">
        <w:rPr>
          <w:rFonts w:ascii="Times New Roman" w:eastAsia="Times New Roman" w:hAnsi="Times New Roman" w:cs="Times New Roman"/>
          <w:iCs/>
          <w:lang w:val="en-GB" w:eastAsia="fr-BE"/>
        </w:rPr>
        <w:t xml:space="preserve"> </w:t>
      </w:r>
    </w:p>
    <w:p w:rsidR="004E3AAA" w:rsidRPr="00811EDD" w:rsidRDefault="009B1657" w:rsidP="0082443E">
      <w:pPr>
        <w:jc w:val="both"/>
        <w:rPr>
          <w:rFonts w:ascii="Times New Roman" w:hAnsi="Times New Roman" w:cs="Times New Roman"/>
          <w:b/>
          <w:lang w:val="en-GB"/>
        </w:rPr>
      </w:pPr>
      <w:r w:rsidRPr="00811EDD">
        <w:rPr>
          <w:rFonts w:ascii="Times New Roman" w:hAnsi="Times New Roman" w:cs="Times New Roman"/>
          <w:b/>
          <w:lang w:val="en-GB"/>
        </w:rPr>
        <w:t xml:space="preserve">Sanctions – </w:t>
      </w:r>
      <w:r w:rsidRPr="00811EDD">
        <w:rPr>
          <w:rFonts w:ascii="Times New Roman" w:hAnsi="Times New Roman" w:cs="Times New Roman"/>
          <w:lang w:val="en-GB"/>
        </w:rPr>
        <w:t>The</w:t>
      </w:r>
      <w:r w:rsidR="006D5231" w:rsidRPr="00811EDD">
        <w:rPr>
          <w:rFonts w:ascii="Times New Roman" w:hAnsi="Times New Roman" w:cs="Times New Roman"/>
          <w:b/>
          <w:lang w:val="en-GB"/>
        </w:rPr>
        <w:t xml:space="preserve"> </w:t>
      </w:r>
      <w:r w:rsidRPr="00811EDD">
        <w:rPr>
          <w:rFonts w:ascii="Times New Roman" w:hAnsi="Times New Roman" w:cs="Times New Roman"/>
          <w:lang w:val="en-GB"/>
        </w:rPr>
        <w:t>EU Court</w:t>
      </w:r>
      <w:r w:rsidR="00753874" w:rsidRPr="00811EDD">
        <w:rPr>
          <w:rFonts w:ascii="Times New Roman" w:hAnsi="Times New Roman" w:cs="Times New Roman"/>
          <w:lang w:val="en-GB"/>
        </w:rPr>
        <w:t>s</w:t>
      </w:r>
      <w:r w:rsidRPr="00811EDD">
        <w:rPr>
          <w:rFonts w:ascii="Times New Roman" w:hAnsi="Times New Roman" w:cs="Times New Roman"/>
          <w:lang w:val="en-GB"/>
        </w:rPr>
        <w:t xml:space="preserve"> </w:t>
      </w:r>
      <w:r w:rsidR="006D5231" w:rsidRPr="00811EDD">
        <w:rPr>
          <w:rFonts w:ascii="Times New Roman" w:hAnsi="Times New Roman" w:cs="Times New Roman"/>
          <w:lang w:val="en-GB"/>
        </w:rPr>
        <w:t xml:space="preserve">draw variable consequences from violations of the right to an explanation. If, on the one hand, the Commission’s decision </w:t>
      </w:r>
      <w:r w:rsidR="00883A50" w:rsidRPr="004E08B1">
        <w:rPr>
          <w:rStyle w:val="Accentuation"/>
          <w:rFonts w:ascii="Times New Roman" w:hAnsi="Times New Roman" w:cs="Times New Roman"/>
          <w:i w:val="0"/>
          <w:lang w:val="en-GB"/>
        </w:rPr>
        <w:t>falls within a well-established line of decisional precedents, then the reasons stated to support the decision do not need to be comprehensive. If, on the other hand, “</w:t>
      </w:r>
      <w:r w:rsidR="00883A50" w:rsidRPr="004E08B1">
        <w:rPr>
          <w:rStyle w:val="Accentuation"/>
          <w:rFonts w:ascii="Times New Roman" w:hAnsi="Times New Roman" w:cs="Times New Roman"/>
          <w:lang w:val="en-GB"/>
        </w:rPr>
        <w:t xml:space="preserve">it goes appreciably further than the previous decisions, the commission must give an </w:t>
      </w:r>
      <w:r w:rsidR="00D814BD">
        <w:rPr>
          <w:rStyle w:val="Accentuation"/>
          <w:rFonts w:ascii="Times New Roman" w:hAnsi="Times New Roman" w:cs="Times New Roman"/>
          <w:lang w:val="en-GB"/>
        </w:rPr>
        <w:t xml:space="preserve">explicit </w:t>
      </w:r>
      <w:r w:rsidR="00883A50" w:rsidRPr="004E08B1">
        <w:rPr>
          <w:rStyle w:val="Accentuation"/>
          <w:rFonts w:ascii="Times New Roman" w:hAnsi="Times New Roman" w:cs="Times New Roman"/>
          <w:lang w:val="en-GB"/>
        </w:rPr>
        <w:t>account of its reasoning</w:t>
      </w:r>
      <w:r w:rsidR="00883A50" w:rsidRPr="004E08B1">
        <w:rPr>
          <w:rStyle w:val="Accentuation"/>
          <w:rFonts w:ascii="Times New Roman" w:hAnsi="Times New Roman" w:cs="Times New Roman"/>
          <w:i w:val="0"/>
          <w:lang w:val="en-GB"/>
        </w:rPr>
        <w:t>”.</w:t>
      </w:r>
      <w:r w:rsidR="00D814BD">
        <w:rPr>
          <w:rStyle w:val="Appelnotedebasdep"/>
          <w:rFonts w:ascii="Times New Roman" w:hAnsi="Times New Roman" w:cs="Times New Roman"/>
          <w:iCs/>
          <w:lang w:val="en-GB"/>
        </w:rPr>
        <w:footnoteReference w:id="163"/>
      </w:r>
      <w:r w:rsidR="00D814BD">
        <w:rPr>
          <w:rStyle w:val="Accentuation"/>
          <w:rFonts w:ascii="Times New Roman" w:hAnsi="Times New Roman" w:cs="Times New Roman"/>
          <w:i w:val="0"/>
          <w:lang w:val="en-GB"/>
        </w:rPr>
        <w:t xml:space="preserve"> </w:t>
      </w:r>
      <w:r w:rsidR="00883A50" w:rsidRPr="004E08B1">
        <w:rPr>
          <w:rStyle w:val="Accentuation"/>
          <w:rFonts w:ascii="Times New Roman" w:hAnsi="Times New Roman" w:cs="Times New Roman"/>
          <w:i w:val="0"/>
          <w:lang w:val="en-GB"/>
        </w:rPr>
        <w:t>Decisions that are not sufficiently reasoned may be annulled.</w:t>
      </w:r>
      <w:r w:rsidR="00883A50" w:rsidRPr="004E08B1">
        <w:rPr>
          <w:rStyle w:val="Appelnotedebasdep"/>
          <w:rFonts w:ascii="Times New Roman" w:hAnsi="Times New Roman" w:cs="Times New Roman"/>
          <w:iCs/>
          <w:lang w:val="en-GB"/>
        </w:rPr>
        <w:footnoteReference w:id="164"/>
      </w:r>
    </w:p>
    <w:p w:rsidR="00152865" w:rsidRPr="00811EDD" w:rsidRDefault="00152865" w:rsidP="0082443E">
      <w:pPr>
        <w:jc w:val="both"/>
        <w:rPr>
          <w:rFonts w:ascii="Times New Roman" w:hAnsi="Times New Roman" w:cs="Times New Roman"/>
          <w:highlight w:val="yellow"/>
          <w:lang w:val="en-GB"/>
        </w:rPr>
      </w:pPr>
    </w:p>
    <w:p w:rsidR="00DC6883" w:rsidRPr="00311B33" w:rsidRDefault="00DC6883" w:rsidP="0082443E">
      <w:pPr>
        <w:jc w:val="both"/>
        <w:rPr>
          <w:rFonts w:ascii="Times New Roman" w:hAnsi="Times New Roman" w:cs="Times New Roman"/>
          <w:highlight w:val="yellow"/>
          <w:lang w:val="en-GB"/>
        </w:rPr>
      </w:pPr>
    </w:p>
    <w:p w:rsidR="009A4463" w:rsidRPr="00311B33" w:rsidRDefault="009B1657" w:rsidP="0082443E">
      <w:pPr>
        <w:jc w:val="both"/>
        <w:rPr>
          <w:rFonts w:ascii="Times New Roman" w:hAnsi="Times New Roman" w:cs="Times New Roman"/>
          <w:b/>
          <w:u w:val="single"/>
          <w:lang w:val="en-GB"/>
        </w:rPr>
      </w:pPr>
      <w:r w:rsidRPr="00246F56">
        <w:rPr>
          <w:rFonts w:ascii="Times New Roman" w:hAnsi="Times New Roman" w:cs="Times New Roman"/>
          <w:b/>
          <w:lang w:val="en-GB"/>
        </w:rPr>
        <w:t>X.</w:t>
      </w:r>
      <w:r w:rsidRPr="00246F56">
        <w:rPr>
          <w:rFonts w:ascii="Times New Roman" w:hAnsi="Times New Roman" w:cs="Times New Roman"/>
          <w:b/>
          <w:lang w:val="en-GB"/>
        </w:rPr>
        <w:tab/>
      </w:r>
      <w:r w:rsidRPr="00246F56">
        <w:rPr>
          <w:rFonts w:ascii="Times New Roman" w:hAnsi="Times New Roman" w:cs="Times New Roman"/>
          <w:b/>
          <w:u w:val="single"/>
          <w:lang w:val="en-GB"/>
        </w:rPr>
        <w:t xml:space="preserve">Right </w:t>
      </w:r>
      <w:r w:rsidR="006D5231" w:rsidRPr="00311B33">
        <w:rPr>
          <w:rFonts w:ascii="Times New Roman" w:hAnsi="Times New Roman" w:cs="Times New Roman"/>
          <w:b/>
          <w:u w:val="single"/>
          <w:lang w:val="en-GB"/>
        </w:rPr>
        <w:t xml:space="preserve">to consistency </w:t>
      </w:r>
      <w:r w:rsidR="004E3AAA" w:rsidRPr="00311B33">
        <w:rPr>
          <w:rFonts w:ascii="Times New Roman" w:hAnsi="Times New Roman" w:cs="Times New Roman"/>
          <w:b/>
          <w:u w:val="single"/>
          <w:lang w:val="en-GB"/>
        </w:rPr>
        <w:t>and predictability in decision</w:t>
      </w:r>
      <w:r w:rsidR="00024C04">
        <w:rPr>
          <w:rFonts w:ascii="Times New Roman" w:hAnsi="Times New Roman" w:cs="Times New Roman"/>
          <w:b/>
          <w:u w:val="single"/>
          <w:lang w:val="en-GB"/>
        </w:rPr>
        <w:t>-</w:t>
      </w:r>
      <w:r w:rsidR="004E3AAA" w:rsidRPr="00311B33">
        <w:rPr>
          <w:rFonts w:ascii="Times New Roman" w:hAnsi="Times New Roman" w:cs="Times New Roman"/>
          <w:b/>
          <w:u w:val="single"/>
          <w:lang w:val="en-GB"/>
        </w:rPr>
        <w:t xml:space="preserve">making </w:t>
      </w:r>
      <w:r w:rsidR="006D5231" w:rsidRPr="00311B33">
        <w:rPr>
          <w:rFonts w:ascii="Times New Roman" w:hAnsi="Times New Roman" w:cs="Times New Roman"/>
          <w:b/>
          <w:u w:val="single"/>
          <w:lang w:val="en-GB"/>
        </w:rPr>
        <w:t xml:space="preserve">(or right to </w:t>
      </w:r>
      <w:r w:rsidRPr="00246F56">
        <w:rPr>
          <w:rFonts w:ascii="Times New Roman" w:hAnsi="Times New Roman" w:cs="Times New Roman"/>
          <w:b/>
          <w:u w:val="single"/>
          <w:lang w:val="en-GB"/>
        </w:rPr>
        <w:t xml:space="preserve">rely upon </w:t>
      </w:r>
      <w:r w:rsidR="006D5231" w:rsidRPr="00311B33">
        <w:rPr>
          <w:rFonts w:ascii="Times New Roman" w:hAnsi="Times New Roman" w:cs="Times New Roman"/>
          <w:b/>
          <w:u w:val="single"/>
          <w:lang w:val="en-GB"/>
        </w:rPr>
        <w:t xml:space="preserve">previous </w:t>
      </w:r>
      <w:r w:rsidRPr="00246F56">
        <w:rPr>
          <w:rFonts w:ascii="Times New Roman" w:hAnsi="Times New Roman" w:cs="Times New Roman"/>
          <w:b/>
          <w:u w:val="single"/>
          <w:lang w:val="en-GB"/>
        </w:rPr>
        <w:t>Commission</w:t>
      </w:r>
      <w:r w:rsidR="006D5231" w:rsidRPr="00311B33">
        <w:rPr>
          <w:rFonts w:ascii="Times New Roman" w:hAnsi="Times New Roman" w:cs="Times New Roman"/>
          <w:b/>
          <w:u w:val="single"/>
          <w:lang w:val="en-GB"/>
        </w:rPr>
        <w:t xml:space="preserve"> </w:t>
      </w:r>
      <w:r w:rsidRPr="00246F56">
        <w:rPr>
          <w:rFonts w:ascii="Times New Roman" w:hAnsi="Times New Roman" w:cs="Times New Roman"/>
          <w:b/>
          <w:u w:val="single"/>
          <w:lang w:val="en-GB"/>
        </w:rPr>
        <w:t>decisions</w:t>
      </w:r>
      <w:r w:rsidR="006D5231" w:rsidRPr="00311B33">
        <w:rPr>
          <w:rFonts w:ascii="Times New Roman" w:hAnsi="Times New Roman" w:cs="Times New Roman"/>
          <w:b/>
          <w:u w:val="single"/>
          <w:lang w:val="en-GB"/>
        </w:rPr>
        <w:t>)</w:t>
      </w:r>
    </w:p>
    <w:p w:rsidR="009A4463" w:rsidRPr="00311B33" w:rsidRDefault="009A4463" w:rsidP="0082443E">
      <w:pPr>
        <w:jc w:val="both"/>
        <w:rPr>
          <w:rFonts w:ascii="Times New Roman" w:hAnsi="Times New Roman" w:cs="Times New Roman"/>
          <w:lang w:val="en-GB"/>
        </w:rPr>
      </w:pPr>
    </w:p>
    <w:p w:rsidR="004F0434" w:rsidRPr="00311B33" w:rsidRDefault="009B1657">
      <w:pPr>
        <w:jc w:val="both"/>
        <w:rPr>
          <w:rFonts w:ascii="Times New Roman" w:hAnsi="Times New Roman" w:cs="Times New Roman"/>
          <w:lang w:val="en-GB"/>
        </w:rPr>
      </w:pPr>
      <w:r w:rsidRPr="00246F56">
        <w:rPr>
          <w:rFonts w:ascii="Times New Roman" w:hAnsi="Times New Roman" w:cs="Times New Roman"/>
          <w:b/>
          <w:lang w:val="en-GB"/>
        </w:rPr>
        <w:t xml:space="preserve">Content and legal basis – </w:t>
      </w:r>
      <w:r w:rsidR="00411219" w:rsidRPr="00311B33">
        <w:rPr>
          <w:rFonts w:ascii="Times New Roman" w:hAnsi="Times New Roman" w:cs="Times New Roman"/>
          <w:lang w:val="en-GB"/>
        </w:rPr>
        <w:t>T</w:t>
      </w:r>
      <w:r w:rsidR="00490903" w:rsidRPr="00311B33">
        <w:rPr>
          <w:rFonts w:ascii="Times New Roman" w:hAnsi="Times New Roman" w:cs="Times New Roman"/>
          <w:lang w:val="en-GB"/>
        </w:rPr>
        <w:t xml:space="preserve">he right </w:t>
      </w:r>
      <w:r w:rsidR="004E3AAA" w:rsidRPr="00311B33">
        <w:rPr>
          <w:rFonts w:ascii="Times New Roman" w:hAnsi="Times New Roman" w:cs="Times New Roman"/>
          <w:lang w:val="en-GB"/>
        </w:rPr>
        <w:t>to consistency and predictability in decision</w:t>
      </w:r>
      <w:r w:rsidR="009F0974">
        <w:rPr>
          <w:rFonts w:ascii="Times New Roman" w:hAnsi="Times New Roman" w:cs="Times New Roman"/>
          <w:lang w:val="en-GB"/>
        </w:rPr>
        <w:t>-</w:t>
      </w:r>
      <w:r w:rsidR="004E3AAA" w:rsidRPr="00311B33">
        <w:rPr>
          <w:rFonts w:ascii="Times New Roman" w:hAnsi="Times New Roman" w:cs="Times New Roman"/>
          <w:lang w:val="en-GB"/>
        </w:rPr>
        <w:t xml:space="preserve">making </w:t>
      </w:r>
      <w:r w:rsidR="00411219" w:rsidRPr="00311B33">
        <w:rPr>
          <w:rFonts w:ascii="Times New Roman" w:hAnsi="Times New Roman" w:cs="Times New Roman"/>
          <w:lang w:val="en-GB"/>
        </w:rPr>
        <w:t>means that</w:t>
      </w:r>
      <w:r w:rsidR="009A4463" w:rsidRPr="00311B33">
        <w:rPr>
          <w:rFonts w:ascii="Times New Roman" w:hAnsi="Times New Roman" w:cs="Times New Roman"/>
          <w:lang w:val="en-GB"/>
        </w:rPr>
        <w:t xml:space="preserve"> the Commission </w:t>
      </w:r>
      <w:r w:rsidR="004E3AAA" w:rsidRPr="00311B33">
        <w:rPr>
          <w:rFonts w:ascii="Times New Roman" w:hAnsi="Times New Roman" w:cs="Times New Roman"/>
          <w:lang w:val="en-GB"/>
        </w:rPr>
        <w:t xml:space="preserve">must decide in line with </w:t>
      </w:r>
      <w:r w:rsidR="00EC3966">
        <w:rPr>
          <w:rFonts w:ascii="Times New Roman" w:hAnsi="Times New Roman" w:cs="Times New Roman"/>
          <w:lang w:val="en-GB"/>
        </w:rPr>
        <w:t>previous decisional interventions</w:t>
      </w:r>
      <w:r w:rsidR="004E3AAA" w:rsidRPr="00311B33">
        <w:rPr>
          <w:rFonts w:ascii="Times New Roman" w:hAnsi="Times New Roman" w:cs="Times New Roman"/>
          <w:lang w:val="en-GB"/>
        </w:rPr>
        <w:t>,</w:t>
      </w:r>
      <w:r w:rsidR="009A4463" w:rsidRPr="00311B33">
        <w:rPr>
          <w:rFonts w:ascii="Times New Roman" w:hAnsi="Times New Roman" w:cs="Times New Roman"/>
          <w:lang w:val="en-GB"/>
        </w:rPr>
        <w:t xml:space="preserve"> </w:t>
      </w:r>
      <w:r w:rsidR="004E3AAA" w:rsidRPr="00311B33">
        <w:rPr>
          <w:rFonts w:ascii="Times New Roman" w:hAnsi="Times New Roman" w:cs="Times New Roman"/>
          <w:lang w:val="en-GB"/>
        </w:rPr>
        <w:t xml:space="preserve">if </w:t>
      </w:r>
      <w:r w:rsidR="009A4463" w:rsidRPr="00311B33">
        <w:rPr>
          <w:rFonts w:ascii="Times New Roman" w:hAnsi="Times New Roman" w:cs="Times New Roman"/>
          <w:lang w:val="en-GB"/>
        </w:rPr>
        <w:t>legitimate expectations have been created.</w:t>
      </w:r>
      <w:r w:rsidR="00575813" w:rsidRPr="00311B33">
        <w:rPr>
          <w:rStyle w:val="Appelnotedebasdep"/>
          <w:rFonts w:ascii="Times New Roman" w:hAnsi="Times New Roman" w:cs="Times New Roman"/>
          <w:lang w:val="en-GB"/>
        </w:rPr>
        <w:footnoteReference w:id="165"/>
      </w:r>
      <w:r w:rsidR="00591888" w:rsidRPr="00311B33">
        <w:rPr>
          <w:rFonts w:ascii="Times New Roman" w:hAnsi="Times New Roman" w:cs="Times New Roman"/>
          <w:lang w:val="en-GB"/>
        </w:rPr>
        <w:t xml:space="preserve"> </w:t>
      </w:r>
      <w:r w:rsidR="004E3AAA" w:rsidRPr="00311B33">
        <w:rPr>
          <w:rFonts w:ascii="Times New Roman" w:hAnsi="Times New Roman" w:cs="Times New Roman"/>
          <w:lang w:val="en-GB"/>
        </w:rPr>
        <w:t xml:space="preserve">For instance, if the Commission has previously solved cases X and Y under principle 1, it cannot solve a similar case Z under principle </w:t>
      </w:r>
      <w:r w:rsidR="00EC3966">
        <w:rPr>
          <w:rFonts w:ascii="Times New Roman" w:hAnsi="Times New Roman" w:cs="Times New Roman"/>
          <w:lang w:val="en-GB"/>
        </w:rPr>
        <w:t>2</w:t>
      </w:r>
      <w:r w:rsidR="004E3AAA" w:rsidRPr="00311B33">
        <w:rPr>
          <w:rFonts w:ascii="Times New Roman" w:hAnsi="Times New Roman" w:cs="Times New Roman"/>
          <w:lang w:val="en-GB"/>
        </w:rPr>
        <w:t xml:space="preserve">. Legitimate expectations arise if a natural or legal person </w:t>
      </w:r>
      <w:r w:rsidR="00FA7F63" w:rsidRPr="00311B33">
        <w:rPr>
          <w:rFonts w:ascii="Times New Roman" w:hAnsi="Times New Roman" w:cs="Times New Roman"/>
          <w:lang w:val="en-GB"/>
        </w:rPr>
        <w:t xml:space="preserve">has </w:t>
      </w:r>
      <w:r w:rsidR="004E3AAA" w:rsidRPr="00311B33">
        <w:rPr>
          <w:rFonts w:ascii="Times New Roman" w:hAnsi="Times New Roman" w:cs="Times New Roman"/>
          <w:lang w:val="en-GB"/>
        </w:rPr>
        <w:t xml:space="preserve">received sufficiently precise </w:t>
      </w:r>
      <w:r w:rsidR="004E3AAA" w:rsidRPr="00311B33">
        <w:rPr>
          <w:rFonts w:ascii="Times New Roman" w:hAnsi="Times New Roman" w:cs="Times New Roman"/>
          <w:lang w:val="en-GB"/>
        </w:rPr>
        <w:lastRenderedPageBreak/>
        <w:t>assurances in respect of its legal situation</w:t>
      </w:r>
      <w:r w:rsidR="00FA7F63" w:rsidRPr="00311B33">
        <w:rPr>
          <w:rFonts w:ascii="Times New Roman" w:hAnsi="Times New Roman" w:cs="Times New Roman"/>
          <w:lang w:val="en-GB"/>
        </w:rPr>
        <w:t xml:space="preserve">, and </w:t>
      </w:r>
      <w:r w:rsidR="004B14D8" w:rsidRPr="00311B33">
        <w:rPr>
          <w:rFonts w:ascii="Times New Roman" w:hAnsi="Times New Roman" w:cs="Times New Roman"/>
          <w:lang w:val="en-GB"/>
        </w:rPr>
        <w:t xml:space="preserve">has </w:t>
      </w:r>
      <w:r w:rsidR="00FA7F63" w:rsidRPr="00311B33">
        <w:rPr>
          <w:rFonts w:ascii="Times New Roman" w:hAnsi="Times New Roman" w:cs="Times New Roman"/>
          <w:lang w:val="en-GB"/>
        </w:rPr>
        <w:t xml:space="preserve">thus entertained </w:t>
      </w:r>
      <w:r w:rsidR="004B14D8" w:rsidRPr="00311B33">
        <w:rPr>
          <w:rFonts w:ascii="Times New Roman" w:hAnsi="Times New Roman" w:cs="Times New Roman"/>
          <w:lang w:val="en-GB"/>
        </w:rPr>
        <w:t>precise, unconditional and consistent expectations from a reliable and authorized source.</w:t>
      </w:r>
      <w:r w:rsidR="004B14D8" w:rsidRPr="00311B33">
        <w:rPr>
          <w:rStyle w:val="Appelnotedebasdep"/>
          <w:rFonts w:ascii="Times New Roman" w:hAnsi="Times New Roman" w:cs="Times New Roman"/>
          <w:lang w:val="en-GB"/>
        </w:rPr>
        <w:footnoteReference w:id="166"/>
      </w:r>
      <w:r w:rsidR="004B14D8" w:rsidRPr="00311B33">
        <w:rPr>
          <w:rFonts w:ascii="Times New Roman" w:hAnsi="Times New Roman" w:cs="Times New Roman"/>
          <w:lang w:val="en-GB"/>
        </w:rPr>
        <w:t xml:space="preserve"> Vague contacts or general statements by a Commissio</w:t>
      </w:r>
      <w:r w:rsidR="00FA7F63" w:rsidRPr="00311B33">
        <w:rPr>
          <w:rFonts w:ascii="Times New Roman" w:hAnsi="Times New Roman" w:cs="Times New Roman"/>
          <w:lang w:val="en-GB"/>
        </w:rPr>
        <w:t>n</w:t>
      </w:r>
      <w:r w:rsidR="004B14D8" w:rsidRPr="00311B33">
        <w:rPr>
          <w:rFonts w:ascii="Times New Roman" w:hAnsi="Times New Roman" w:cs="Times New Roman"/>
          <w:lang w:val="en-GB"/>
        </w:rPr>
        <w:t xml:space="preserve"> official </w:t>
      </w:r>
      <w:r w:rsidR="00FA7F63" w:rsidRPr="00311B33">
        <w:rPr>
          <w:rFonts w:ascii="Times New Roman" w:hAnsi="Times New Roman" w:cs="Times New Roman"/>
          <w:lang w:val="en-GB"/>
        </w:rPr>
        <w:t xml:space="preserve">are not sufficient to </w:t>
      </w:r>
      <w:r w:rsidR="00B71A39" w:rsidRPr="00311B33">
        <w:rPr>
          <w:rFonts w:ascii="Times New Roman" w:hAnsi="Times New Roman" w:cs="Times New Roman"/>
          <w:lang w:val="en-GB"/>
        </w:rPr>
        <w:t>create such expectations</w:t>
      </w:r>
      <w:r w:rsidR="004B14D8" w:rsidRPr="00311B33">
        <w:rPr>
          <w:rFonts w:ascii="Times New Roman" w:hAnsi="Times New Roman" w:cs="Times New Roman"/>
          <w:lang w:val="en-GB"/>
        </w:rPr>
        <w:t>.</w:t>
      </w:r>
      <w:r w:rsidR="004B14D8" w:rsidRPr="00311B33">
        <w:rPr>
          <w:rStyle w:val="Appelnotedebasdep"/>
          <w:rFonts w:ascii="Times New Roman" w:hAnsi="Times New Roman" w:cs="Times New Roman"/>
          <w:lang w:val="en-GB"/>
        </w:rPr>
        <w:footnoteReference w:id="167"/>
      </w:r>
    </w:p>
    <w:p w:rsidR="004B14D8" w:rsidRPr="00311B33" w:rsidRDefault="004B14D8" w:rsidP="0082443E">
      <w:pPr>
        <w:jc w:val="both"/>
        <w:rPr>
          <w:rFonts w:ascii="Times New Roman" w:hAnsi="Times New Roman" w:cs="Times New Roman"/>
          <w:lang w:val="en-GB"/>
        </w:rPr>
      </w:pPr>
    </w:p>
    <w:p w:rsidR="0085089D" w:rsidRPr="00311B33" w:rsidRDefault="005820DC" w:rsidP="0082443E">
      <w:pPr>
        <w:jc w:val="both"/>
        <w:rPr>
          <w:rFonts w:ascii="Times New Roman" w:hAnsi="Times New Roman" w:cs="Times New Roman"/>
          <w:lang w:val="en-GB"/>
        </w:rPr>
      </w:pPr>
      <w:r w:rsidRPr="00311B33">
        <w:rPr>
          <w:rFonts w:ascii="Times New Roman" w:hAnsi="Times New Roman" w:cs="Times New Roman"/>
          <w:lang w:val="en-GB"/>
        </w:rPr>
        <w:t xml:space="preserve">The right </w:t>
      </w:r>
      <w:r w:rsidR="00FA7F63" w:rsidRPr="00311B33">
        <w:rPr>
          <w:rFonts w:ascii="Times New Roman" w:hAnsi="Times New Roman" w:cs="Times New Roman"/>
          <w:lang w:val="en-GB"/>
        </w:rPr>
        <w:t xml:space="preserve">to consistency and predictability in </w:t>
      </w:r>
      <w:r w:rsidR="007E3345" w:rsidRPr="00311B33">
        <w:rPr>
          <w:rFonts w:ascii="Times New Roman" w:hAnsi="Times New Roman" w:cs="Times New Roman"/>
          <w:lang w:val="en-GB"/>
        </w:rPr>
        <w:t>decision-making</w:t>
      </w:r>
      <w:r w:rsidR="00FA7F63" w:rsidRPr="00311B33">
        <w:rPr>
          <w:rFonts w:ascii="Times New Roman" w:hAnsi="Times New Roman" w:cs="Times New Roman"/>
          <w:lang w:val="en-GB"/>
        </w:rPr>
        <w:t xml:space="preserve"> originates </w:t>
      </w:r>
      <w:r w:rsidR="00EC3966">
        <w:rPr>
          <w:rFonts w:ascii="Times New Roman" w:hAnsi="Times New Roman" w:cs="Times New Roman"/>
          <w:lang w:val="en-GB"/>
        </w:rPr>
        <w:t xml:space="preserve">can be traced back to the </w:t>
      </w:r>
      <w:r w:rsidR="008D3F67" w:rsidRPr="00311B33">
        <w:rPr>
          <w:rFonts w:ascii="Times New Roman" w:hAnsi="Times New Roman" w:cs="Times New Roman"/>
          <w:lang w:val="en-GB"/>
        </w:rPr>
        <w:t>case-law</w:t>
      </w:r>
      <w:r w:rsidR="00FA7F63" w:rsidRPr="00311B33">
        <w:rPr>
          <w:rFonts w:ascii="Times New Roman" w:hAnsi="Times New Roman" w:cs="Times New Roman"/>
          <w:lang w:val="en-GB"/>
        </w:rPr>
        <w:t xml:space="preserve"> of the EU courts</w:t>
      </w:r>
      <w:r w:rsidR="008D3F67" w:rsidRPr="00311B33">
        <w:rPr>
          <w:rFonts w:ascii="Times New Roman" w:hAnsi="Times New Roman" w:cs="Times New Roman"/>
          <w:lang w:val="en-GB"/>
        </w:rPr>
        <w:t xml:space="preserve">. </w:t>
      </w:r>
      <w:r w:rsidR="00FA7F63" w:rsidRPr="00311B33">
        <w:rPr>
          <w:rFonts w:ascii="Times New Roman" w:hAnsi="Times New Roman" w:cs="Times New Roman"/>
          <w:lang w:val="en-GB"/>
        </w:rPr>
        <w:t xml:space="preserve">It is itself </w:t>
      </w:r>
      <w:r w:rsidR="00EC3966">
        <w:rPr>
          <w:rFonts w:ascii="Times New Roman" w:hAnsi="Times New Roman" w:cs="Times New Roman"/>
          <w:lang w:val="en-GB"/>
        </w:rPr>
        <w:t xml:space="preserve">a derivative of </w:t>
      </w:r>
      <w:r w:rsidR="00FA7F63" w:rsidRPr="00311B33">
        <w:rPr>
          <w:rFonts w:ascii="Times New Roman" w:hAnsi="Times New Roman" w:cs="Times New Roman"/>
          <w:lang w:val="en-GB"/>
        </w:rPr>
        <w:t xml:space="preserve">the general </w:t>
      </w:r>
      <w:r w:rsidRPr="00311B33">
        <w:rPr>
          <w:rFonts w:ascii="Times New Roman" w:hAnsi="Times New Roman" w:cs="Times New Roman"/>
          <w:lang w:val="en-GB"/>
        </w:rPr>
        <w:t>principle of legal certainty</w:t>
      </w:r>
      <w:r w:rsidR="00591888" w:rsidRPr="00311B33">
        <w:rPr>
          <w:rFonts w:ascii="Times New Roman" w:hAnsi="Times New Roman" w:cs="Times New Roman"/>
          <w:lang w:val="en-GB"/>
        </w:rPr>
        <w:t>.</w:t>
      </w:r>
      <w:r w:rsidR="004B14D8" w:rsidRPr="00311B33">
        <w:rPr>
          <w:rFonts w:ascii="Times New Roman" w:hAnsi="Times New Roman" w:cs="Times New Roman"/>
          <w:lang w:val="en-GB"/>
        </w:rPr>
        <w:t xml:space="preserve"> In the </w:t>
      </w:r>
      <w:r w:rsidR="00FA7F63" w:rsidRPr="00311B33">
        <w:rPr>
          <w:rFonts w:ascii="Times New Roman" w:hAnsi="Times New Roman" w:cs="Times New Roman"/>
          <w:lang w:val="en-GB"/>
        </w:rPr>
        <w:t xml:space="preserve">EU </w:t>
      </w:r>
      <w:r w:rsidR="004B14D8" w:rsidRPr="00311B33">
        <w:rPr>
          <w:rFonts w:ascii="Times New Roman" w:hAnsi="Times New Roman" w:cs="Times New Roman"/>
          <w:lang w:val="en-GB"/>
        </w:rPr>
        <w:t xml:space="preserve">Court’s view, </w:t>
      </w:r>
      <w:r w:rsidR="00FA7F63" w:rsidRPr="00311B33">
        <w:rPr>
          <w:rFonts w:ascii="Times New Roman" w:hAnsi="Times New Roman" w:cs="Times New Roman"/>
          <w:lang w:val="en-GB"/>
        </w:rPr>
        <w:t xml:space="preserve">it </w:t>
      </w:r>
      <w:r w:rsidR="004B14D8" w:rsidRPr="00311B33">
        <w:rPr>
          <w:rFonts w:ascii="Times New Roman" w:hAnsi="Times New Roman" w:cs="Times New Roman"/>
          <w:lang w:val="en-GB"/>
        </w:rPr>
        <w:t xml:space="preserve">is a </w:t>
      </w:r>
      <w:r w:rsidR="00FA7F63" w:rsidRPr="00311B33">
        <w:rPr>
          <w:rFonts w:ascii="Times New Roman" w:hAnsi="Times New Roman" w:cs="Times New Roman"/>
          <w:lang w:val="en-GB"/>
        </w:rPr>
        <w:t xml:space="preserve">general </w:t>
      </w:r>
      <w:r w:rsidR="004B14D8" w:rsidRPr="00311B33">
        <w:rPr>
          <w:rFonts w:ascii="Times New Roman" w:hAnsi="Times New Roman" w:cs="Times New Roman"/>
          <w:lang w:val="en-GB"/>
        </w:rPr>
        <w:t xml:space="preserve">principle of </w:t>
      </w:r>
      <w:r w:rsidR="00FA7F63" w:rsidRPr="00311B33">
        <w:rPr>
          <w:rFonts w:ascii="Times New Roman" w:hAnsi="Times New Roman" w:cs="Times New Roman"/>
          <w:lang w:val="en-GB"/>
        </w:rPr>
        <w:t>EU law</w:t>
      </w:r>
      <w:r w:rsidR="004B14D8" w:rsidRPr="00311B33">
        <w:rPr>
          <w:rFonts w:ascii="Times New Roman" w:hAnsi="Times New Roman" w:cs="Times New Roman"/>
          <w:lang w:val="en-GB"/>
        </w:rPr>
        <w:t>.</w:t>
      </w:r>
      <w:r w:rsidR="004B14D8" w:rsidRPr="00311B33">
        <w:rPr>
          <w:rStyle w:val="Appelnotedebasdep"/>
          <w:rFonts w:ascii="Times New Roman" w:hAnsi="Times New Roman" w:cs="Times New Roman"/>
          <w:lang w:val="en-GB"/>
        </w:rPr>
        <w:footnoteReference w:id="168"/>
      </w:r>
      <w:r w:rsidR="00FA7F63" w:rsidRPr="00311B33">
        <w:rPr>
          <w:rFonts w:ascii="Times New Roman" w:hAnsi="Times New Roman" w:cs="Times New Roman"/>
          <w:lang w:val="en-GB"/>
        </w:rPr>
        <w:t xml:space="preserve"> Some have also bridged it to </w:t>
      </w:r>
      <w:r w:rsidR="00EC3966">
        <w:rPr>
          <w:rFonts w:ascii="Times New Roman" w:hAnsi="Times New Roman" w:cs="Times New Roman"/>
          <w:lang w:val="en-GB"/>
        </w:rPr>
        <w:t xml:space="preserve">public </w:t>
      </w:r>
      <w:r w:rsidR="00FA7F63" w:rsidRPr="00311B33">
        <w:rPr>
          <w:rFonts w:ascii="Times New Roman" w:hAnsi="Times New Roman" w:cs="Times New Roman"/>
          <w:lang w:val="en-GB"/>
        </w:rPr>
        <w:t xml:space="preserve">international law principles, such as </w:t>
      </w:r>
      <w:r w:rsidR="009B1657" w:rsidRPr="00246F56">
        <w:rPr>
          <w:rFonts w:ascii="Times New Roman" w:hAnsi="Times New Roman" w:cs="Times New Roman"/>
          <w:i/>
          <w:lang w:val="en-GB"/>
        </w:rPr>
        <w:t>pacta sunt servanda</w:t>
      </w:r>
      <w:r w:rsidR="00FA7F63" w:rsidRPr="00311B33">
        <w:rPr>
          <w:rFonts w:ascii="Times New Roman" w:hAnsi="Times New Roman" w:cs="Times New Roman"/>
          <w:lang w:val="en-GB"/>
        </w:rPr>
        <w:t xml:space="preserve"> or </w:t>
      </w:r>
      <w:r w:rsidR="00EC3966">
        <w:rPr>
          <w:rFonts w:ascii="Times New Roman" w:hAnsi="Times New Roman" w:cs="Times New Roman"/>
          <w:lang w:val="en-GB"/>
        </w:rPr>
        <w:t xml:space="preserve">the </w:t>
      </w:r>
      <w:r w:rsidR="00FA7F63" w:rsidRPr="00311B33">
        <w:rPr>
          <w:rFonts w:ascii="Times New Roman" w:hAnsi="Times New Roman" w:cs="Times New Roman"/>
          <w:lang w:val="en-GB"/>
        </w:rPr>
        <w:t xml:space="preserve">Estoppel </w:t>
      </w:r>
      <w:r w:rsidR="00EC3966">
        <w:rPr>
          <w:rFonts w:ascii="Times New Roman" w:hAnsi="Times New Roman" w:cs="Times New Roman"/>
          <w:lang w:val="en-GB"/>
        </w:rPr>
        <w:t>doctrine</w:t>
      </w:r>
      <w:r w:rsidR="00FA7F63" w:rsidRPr="00311B33">
        <w:rPr>
          <w:rFonts w:ascii="Times New Roman" w:hAnsi="Times New Roman" w:cs="Times New Roman"/>
          <w:lang w:val="en-GB"/>
        </w:rPr>
        <w:t>.</w:t>
      </w:r>
    </w:p>
    <w:p w:rsidR="004F0434" w:rsidRPr="006269D7" w:rsidRDefault="004F0434">
      <w:pPr>
        <w:jc w:val="both"/>
        <w:rPr>
          <w:rFonts w:ascii="Times New Roman" w:hAnsi="Times New Roman" w:cs="Times New Roman"/>
          <w:highlight w:val="yellow"/>
          <w:lang w:val="en-GB"/>
        </w:rPr>
      </w:pPr>
    </w:p>
    <w:p w:rsidR="004F0434" w:rsidRPr="006269D7" w:rsidRDefault="009B1657" w:rsidP="00246F56">
      <w:pPr>
        <w:jc w:val="both"/>
        <w:rPr>
          <w:rFonts w:ascii="Times New Roman" w:hAnsi="Times New Roman" w:cs="Times New Roman"/>
          <w:lang w:val="en-US"/>
        </w:rPr>
      </w:pPr>
      <w:r w:rsidRPr="00691E57">
        <w:rPr>
          <w:rFonts w:ascii="Times New Roman" w:hAnsi="Times New Roman" w:cs="Times New Roman"/>
          <w:b/>
          <w:lang w:val="en-GB"/>
        </w:rPr>
        <w:t>Fines –</w:t>
      </w:r>
      <w:r w:rsidR="004B14D8" w:rsidRPr="00691E57">
        <w:rPr>
          <w:rFonts w:ascii="Times New Roman" w:hAnsi="Times New Roman" w:cs="Times New Roman"/>
          <w:lang w:val="en-GB"/>
        </w:rPr>
        <w:t xml:space="preserve"> </w:t>
      </w:r>
      <w:r w:rsidR="00B71A39" w:rsidRPr="003F48C5">
        <w:rPr>
          <w:rFonts w:ascii="Times New Roman" w:hAnsi="Times New Roman" w:cs="Times New Roman"/>
          <w:lang w:val="en-GB"/>
        </w:rPr>
        <w:t>T</w:t>
      </w:r>
      <w:r w:rsidR="00246BD0" w:rsidRPr="003F48C5">
        <w:rPr>
          <w:rFonts w:ascii="Times New Roman" w:hAnsi="Times New Roman" w:cs="Times New Roman"/>
          <w:lang w:val="en-GB"/>
        </w:rPr>
        <w:t xml:space="preserve">he </w:t>
      </w:r>
      <w:r w:rsidR="003C30C5" w:rsidRPr="00702423">
        <w:rPr>
          <w:rFonts w:ascii="Times New Roman" w:hAnsi="Times New Roman" w:cs="Times New Roman"/>
          <w:lang w:val="en-GB"/>
        </w:rPr>
        <w:t xml:space="preserve">General Court </w:t>
      </w:r>
      <w:r w:rsidR="00FA7F63" w:rsidRPr="00702423">
        <w:rPr>
          <w:rFonts w:ascii="Times New Roman" w:hAnsi="Times New Roman" w:cs="Times New Roman"/>
          <w:lang w:val="en-GB"/>
        </w:rPr>
        <w:t>cons</w:t>
      </w:r>
      <w:r w:rsidR="00FA7F63" w:rsidRPr="006269D7">
        <w:rPr>
          <w:rFonts w:ascii="Times New Roman" w:hAnsi="Times New Roman" w:cs="Times New Roman"/>
          <w:lang w:val="en-GB"/>
        </w:rPr>
        <w:t>iders that the right to consistency and predictability does not prevent the Commission from raising fines above the levels applied in previous decisions</w:t>
      </w:r>
      <w:r w:rsidRPr="006269D7">
        <w:rPr>
          <w:rFonts w:ascii="Times New Roman" w:hAnsi="Times New Roman" w:cs="Times New Roman"/>
          <w:lang w:val="en-US"/>
        </w:rPr>
        <w:t xml:space="preserve">. On the contrary, the </w:t>
      </w:r>
      <w:r w:rsidR="00FA7F63" w:rsidRPr="006269D7">
        <w:rPr>
          <w:rFonts w:ascii="Times New Roman" w:hAnsi="Times New Roman" w:cs="Times New Roman"/>
          <w:lang w:val="en-US"/>
        </w:rPr>
        <w:t xml:space="preserve">effective </w:t>
      </w:r>
      <w:r w:rsidRPr="006269D7">
        <w:rPr>
          <w:rFonts w:ascii="Times New Roman" w:hAnsi="Times New Roman" w:cs="Times New Roman"/>
          <w:lang w:val="en-US"/>
        </w:rPr>
        <w:t xml:space="preserve">application of </w:t>
      </w:r>
      <w:r w:rsidR="00B71A39" w:rsidRPr="006269D7">
        <w:rPr>
          <w:rFonts w:ascii="Times New Roman" w:hAnsi="Times New Roman" w:cs="Times New Roman"/>
          <w:lang w:val="en-US"/>
        </w:rPr>
        <w:t xml:space="preserve">EU </w:t>
      </w:r>
      <w:r w:rsidRPr="006269D7">
        <w:rPr>
          <w:rFonts w:ascii="Times New Roman" w:hAnsi="Times New Roman" w:cs="Times New Roman"/>
          <w:lang w:val="en-US"/>
        </w:rPr>
        <w:t xml:space="preserve">competition </w:t>
      </w:r>
      <w:r w:rsidR="00FA7F63" w:rsidRPr="006269D7">
        <w:rPr>
          <w:rFonts w:ascii="Times New Roman" w:hAnsi="Times New Roman" w:cs="Times New Roman"/>
          <w:lang w:val="en-US"/>
        </w:rPr>
        <w:t xml:space="preserve">law </w:t>
      </w:r>
      <w:r w:rsidRPr="006269D7">
        <w:rPr>
          <w:rFonts w:ascii="Times New Roman" w:hAnsi="Times New Roman" w:cs="Times New Roman"/>
          <w:lang w:val="en-US"/>
        </w:rPr>
        <w:t xml:space="preserve">requires </w:t>
      </w:r>
      <w:r w:rsidR="00FA7F63" w:rsidRPr="006269D7">
        <w:rPr>
          <w:rFonts w:ascii="Times New Roman" w:hAnsi="Times New Roman" w:cs="Times New Roman"/>
          <w:lang w:val="en-US"/>
        </w:rPr>
        <w:t xml:space="preserve">giving to the </w:t>
      </w:r>
      <w:r w:rsidRPr="006269D7">
        <w:rPr>
          <w:rFonts w:ascii="Times New Roman" w:hAnsi="Times New Roman" w:cs="Times New Roman"/>
          <w:lang w:val="en-US"/>
        </w:rPr>
        <w:t xml:space="preserve">Commission </w:t>
      </w:r>
      <w:r w:rsidR="00FA7F63" w:rsidRPr="006269D7">
        <w:rPr>
          <w:rFonts w:ascii="Times New Roman" w:hAnsi="Times New Roman" w:cs="Times New Roman"/>
          <w:lang w:val="en-US"/>
        </w:rPr>
        <w:t xml:space="preserve">some discretion to </w:t>
      </w:r>
      <w:r w:rsidRPr="006269D7">
        <w:rPr>
          <w:rFonts w:ascii="Times New Roman" w:hAnsi="Times New Roman" w:cs="Times New Roman"/>
          <w:lang w:val="en-US"/>
        </w:rPr>
        <w:t>adjust the level of fines.</w:t>
      </w:r>
      <w:r w:rsidR="007E4D0A" w:rsidRPr="006269D7">
        <w:rPr>
          <w:rStyle w:val="Appelnotedebasdep"/>
          <w:rFonts w:ascii="Times New Roman" w:hAnsi="Times New Roman" w:cs="Times New Roman"/>
          <w:lang w:val="en-GB"/>
        </w:rPr>
        <w:footnoteReference w:id="169"/>
      </w:r>
      <w:r w:rsidR="007E4D0A" w:rsidRPr="006269D7">
        <w:rPr>
          <w:rFonts w:ascii="Times New Roman" w:hAnsi="Times New Roman" w:cs="Times New Roman"/>
          <w:lang w:val="en-US"/>
        </w:rPr>
        <w:t xml:space="preserve"> </w:t>
      </w:r>
    </w:p>
    <w:p w:rsidR="004F0434" w:rsidRPr="00691E57" w:rsidRDefault="004F0434" w:rsidP="00246F56">
      <w:pPr>
        <w:jc w:val="both"/>
        <w:rPr>
          <w:rFonts w:ascii="Times New Roman" w:hAnsi="Times New Roman" w:cs="Times New Roman"/>
          <w:lang w:val="en-US"/>
        </w:rPr>
      </w:pPr>
    </w:p>
    <w:p w:rsidR="00F30BE2" w:rsidRPr="00691E57" w:rsidRDefault="00FA7F63" w:rsidP="00255B30">
      <w:pPr>
        <w:jc w:val="both"/>
        <w:rPr>
          <w:lang w:val="en-US"/>
        </w:rPr>
      </w:pPr>
      <w:r w:rsidRPr="00691E57">
        <w:rPr>
          <w:rFonts w:ascii="Times New Roman" w:hAnsi="Times New Roman" w:cs="Times New Roman"/>
          <w:lang w:val="en-US"/>
        </w:rPr>
        <w:t>By parity of reasoning</w:t>
      </w:r>
      <w:r w:rsidR="007E4D0A" w:rsidRPr="003F48C5">
        <w:rPr>
          <w:rFonts w:ascii="Times New Roman" w:hAnsi="Times New Roman" w:cs="Times New Roman"/>
          <w:lang w:val="en-US"/>
        </w:rPr>
        <w:t>, t</w:t>
      </w:r>
      <w:r w:rsidR="009B1657" w:rsidRPr="004E08B1">
        <w:rPr>
          <w:rFonts w:ascii="Times New Roman" w:eastAsia="Times New Roman" w:hAnsi="Times New Roman" w:cs="Times New Roman"/>
          <w:lang w:val="en-US" w:eastAsia="fr-BE"/>
        </w:rPr>
        <w:t>he legitimate expectation</w:t>
      </w:r>
      <w:r w:rsidRPr="006269D7">
        <w:rPr>
          <w:rFonts w:ascii="Times New Roman" w:hAnsi="Times New Roman" w:cs="Times New Roman"/>
          <w:lang w:val="en-US"/>
        </w:rPr>
        <w:t>s</w:t>
      </w:r>
      <w:r w:rsidR="009B1657" w:rsidRPr="004E08B1">
        <w:rPr>
          <w:rFonts w:ascii="Times New Roman" w:eastAsia="Times New Roman" w:hAnsi="Times New Roman" w:cs="Times New Roman"/>
          <w:lang w:val="en-US" w:eastAsia="fr-BE"/>
        </w:rPr>
        <w:t xml:space="preserve"> that </w:t>
      </w:r>
      <w:r w:rsidRPr="006269D7">
        <w:rPr>
          <w:rFonts w:ascii="Times New Roman" w:hAnsi="Times New Roman" w:cs="Times New Roman"/>
          <w:lang w:val="en-US"/>
        </w:rPr>
        <w:t xml:space="preserve">firms entertain pursuant to </w:t>
      </w:r>
      <w:r w:rsidR="007E4D0A" w:rsidRPr="006269D7">
        <w:rPr>
          <w:rFonts w:ascii="Times New Roman" w:hAnsi="Times New Roman" w:cs="Times New Roman"/>
          <w:lang w:val="en-US"/>
        </w:rPr>
        <w:t xml:space="preserve">the Leniency </w:t>
      </w:r>
      <w:r w:rsidR="009B1657" w:rsidRPr="004E08B1">
        <w:rPr>
          <w:rFonts w:ascii="Times New Roman" w:eastAsia="Times New Roman" w:hAnsi="Times New Roman" w:cs="Times New Roman"/>
          <w:lang w:val="en-US" w:eastAsia="fr-BE"/>
        </w:rPr>
        <w:t xml:space="preserve">Notice is limited to an assurance that their fines will be reduced by a </w:t>
      </w:r>
      <w:r w:rsidRPr="006269D7">
        <w:rPr>
          <w:rFonts w:ascii="Times New Roman" w:hAnsi="Times New Roman" w:cs="Times New Roman"/>
          <w:lang w:val="en-US"/>
        </w:rPr>
        <w:t xml:space="preserve">given </w:t>
      </w:r>
      <w:r w:rsidR="009B1657" w:rsidRPr="004E08B1">
        <w:rPr>
          <w:rFonts w:ascii="Times New Roman" w:eastAsia="Times New Roman" w:hAnsi="Times New Roman" w:cs="Times New Roman"/>
          <w:lang w:val="en-US" w:eastAsia="fr-BE"/>
        </w:rPr>
        <w:t>percentage</w:t>
      </w:r>
      <w:r w:rsidRPr="006269D7">
        <w:rPr>
          <w:rFonts w:ascii="Times New Roman" w:hAnsi="Times New Roman" w:cs="Times New Roman"/>
          <w:lang w:val="en-US"/>
        </w:rPr>
        <w:t xml:space="preserve">. But the Leniency Notice gives rise to no </w:t>
      </w:r>
      <w:r w:rsidR="00EC3966">
        <w:rPr>
          <w:rFonts w:ascii="Times New Roman" w:hAnsi="Times New Roman" w:cs="Times New Roman"/>
          <w:lang w:val="en-US"/>
        </w:rPr>
        <w:t xml:space="preserve">legitimate </w:t>
      </w:r>
      <w:r w:rsidRPr="006269D7">
        <w:rPr>
          <w:rFonts w:ascii="Times New Roman" w:hAnsi="Times New Roman" w:cs="Times New Roman"/>
          <w:lang w:val="en-US"/>
        </w:rPr>
        <w:t xml:space="preserve">expectation in terms of the </w:t>
      </w:r>
      <w:r w:rsidR="009B1657" w:rsidRPr="004E08B1">
        <w:rPr>
          <w:rFonts w:ascii="Times New Roman" w:eastAsia="Times New Roman" w:hAnsi="Times New Roman" w:cs="Times New Roman"/>
          <w:lang w:val="en-US" w:eastAsia="fr-BE"/>
        </w:rPr>
        <w:t xml:space="preserve">method </w:t>
      </w:r>
      <w:r w:rsidRPr="006269D7">
        <w:rPr>
          <w:rFonts w:ascii="Times New Roman" w:hAnsi="Times New Roman" w:cs="Times New Roman"/>
          <w:lang w:val="en-US"/>
        </w:rPr>
        <w:t xml:space="preserve">applied to set </w:t>
      </w:r>
      <w:r w:rsidR="009B1657" w:rsidRPr="004E08B1">
        <w:rPr>
          <w:rFonts w:ascii="Times New Roman" w:eastAsia="Times New Roman" w:hAnsi="Times New Roman" w:cs="Times New Roman"/>
          <w:lang w:val="en-US" w:eastAsia="fr-BE"/>
        </w:rPr>
        <w:t xml:space="preserve">fines </w:t>
      </w:r>
      <w:r w:rsidRPr="006269D7">
        <w:rPr>
          <w:rFonts w:ascii="Times New Roman" w:hAnsi="Times New Roman" w:cs="Times New Roman"/>
          <w:lang w:val="en-US"/>
        </w:rPr>
        <w:t>and</w:t>
      </w:r>
      <w:r w:rsidR="009B1657" w:rsidRPr="004E08B1">
        <w:rPr>
          <w:rFonts w:ascii="Times New Roman" w:eastAsia="Times New Roman" w:hAnsi="Times New Roman" w:cs="Times New Roman"/>
          <w:lang w:val="en-US" w:eastAsia="fr-BE"/>
        </w:rPr>
        <w:t xml:space="preserve">, </w:t>
      </w:r>
      <w:r w:rsidR="009B1657" w:rsidRPr="004E08B1">
        <w:rPr>
          <w:rFonts w:ascii="Times New Roman" w:eastAsia="Times New Roman" w:hAnsi="Times New Roman" w:cs="Times New Roman"/>
          <w:i/>
          <w:iCs/>
          <w:lang w:val="en-US" w:eastAsia="fr-BE"/>
        </w:rPr>
        <w:t>a fortiori</w:t>
      </w:r>
      <w:r w:rsidR="009B1657" w:rsidRPr="004E08B1">
        <w:rPr>
          <w:rFonts w:ascii="Times New Roman" w:eastAsia="Times New Roman" w:hAnsi="Times New Roman" w:cs="Times New Roman"/>
          <w:lang w:val="en-US" w:eastAsia="fr-BE"/>
        </w:rPr>
        <w:t xml:space="preserve">, </w:t>
      </w:r>
      <w:r w:rsidRPr="006269D7">
        <w:rPr>
          <w:rFonts w:ascii="Times New Roman" w:hAnsi="Times New Roman" w:cs="Times New Roman"/>
          <w:lang w:val="en-US"/>
        </w:rPr>
        <w:t xml:space="preserve">in terms of </w:t>
      </w:r>
      <w:r w:rsidR="009B1657" w:rsidRPr="004E08B1">
        <w:rPr>
          <w:rFonts w:ascii="Times New Roman" w:eastAsia="Times New Roman" w:hAnsi="Times New Roman" w:cs="Times New Roman"/>
          <w:lang w:val="en-US" w:eastAsia="fr-BE"/>
        </w:rPr>
        <w:t>a specific</w:t>
      </w:r>
      <w:r w:rsidR="00EC3966">
        <w:rPr>
          <w:rFonts w:ascii="Times New Roman" w:eastAsia="Times New Roman" w:hAnsi="Times New Roman" w:cs="Times New Roman"/>
          <w:lang w:val="en-US" w:eastAsia="fr-BE"/>
        </w:rPr>
        <w:t xml:space="preserve"> fine</w:t>
      </w:r>
      <w:r w:rsidR="009B1657" w:rsidRPr="004E08B1">
        <w:rPr>
          <w:rFonts w:ascii="Times New Roman" w:eastAsia="Times New Roman" w:hAnsi="Times New Roman" w:cs="Times New Roman"/>
          <w:lang w:val="en-US" w:eastAsia="fr-BE"/>
        </w:rPr>
        <w:t xml:space="preserve"> level </w:t>
      </w:r>
      <w:r w:rsidRPr="006269D7">
        <w:rPr>
          <w:rFonts w:ascii="Times New Roman" w:hAnsi="Times New Roman" w:cs="Times New Roman"/>
          <w:lang w:val="en-US"/>
        </w:rPr>
        <w:t>when leniency applicants cooperate with the Commission</w:t>
      </w:r>
      <w:r w:rsidR="00246BD0" w:rsidRPr="00691E57">
        <w:rPr>
          <w:rFonts w:ascii="Times New Roman" w:hAnsi="Times New Roman" w:cs="Times New Roman"/>
          <w:lang w:val="en-GB"/>
        </w:rPr>
        <w:t>.</w:t>
      </w:r>
      <w:r w:rsidR="00246BD0" w:rsidRPr="00691E57">
        <w:rPr>
          <w:rStyle w:val="Appelnotedebasdep"/>
          <w:rFonts w:ascii="Times New Roman" w:hAnsi="Times New Roman" w:cs="Times New Roman"/>
          <w:lang w:val="en-GB"/>
        </w:rPr>
        <w:footnoteReference w:id="170"/>
      </w:r>
    </w:p>
    <w:p w:rsidR="004F0434" w:rsidRPr="004E08B1" w:rsidRDefault="004F0434" w:rsidP="00246F56">
      <w:pPr>
        <w:pStyle w:val="s01pointaltn"/>
        <w:spacing w:before="0" w:beforeAutospacing="0" w:after="0" w:afterAutospacing="0"/>
        <w:jc w:val="both"/>
        <w:rPr>
          <w:rFonts w:ascii="Times New Roman" w:hAnsi="Times New Roman" w:cs="Times New Roman"/>
          <w:sz w:val="24"/>
          <w:szCs w:val="24"/>
          <w:lang w:val="en-US"/>
        </w:rPr>
      </w:pPr>
    </w:p>
    <w:p w:rsidR="00AE2F1C" w:rsidRDefault="009B1657" w:rsidP="004E08B1">
      <w:pPr>
        <w:widowControl w:val="0"/>
        <w:autoSpaceDE w:val="0"/>
        <w:autoSpaceDN w:val="0"/>
        <w:adjustRightInd w:val="0"/>
        <w:jc w:val="both"/>
        <w:rPr>
          <w:rFonts w:ascii="Times New Roman" w:hAnsi="Times New Roman" w:cs="Times New Roman"/>
          <w:highlight w:val="yellow"/>
          <w:lang w:val="en-GB"/>
        </w:rPr>
      </w:pPr>
      <w:r w:rsidRPr="006269D7">
        <w:rPr>
          <w:rFonts w:ascii="Times New Roman" w:hAnsi="Times New Roman" w:cs="Times New Roman"/>
          <w:b/>
          <w:lang w:val="en-GB"/>
        </w:rPr>
        <w:t xml:space="preserve">Sanctions – </w:t>
      </w:r>
      <w:r w:rsidR="00811741" w:rsidRPr="006269D7">
        <w:rPr>
          <w:rFonts w:ascii="Times New Roman" w:hAnsi="Times New Roman" w:cs="Times New Roman"/>
          <w:lang w:val="en-GB"/>
        </w:rPr>
        <w:t xml:space="preserve">To our best knowledge, </w:t>
      </w:r>
      <w:r w:rsidR="00C66D4D" w:rsidRPr="006269D7">
        <w:rPr>
          <w:rFonts w:ascii="Times New Roman" w:hAnsi="Times New Roman" w:cs="Times New Roman"/>
          <w:lang w:val="en-GB"/>
        </w:rPr>
        <w:t>the right</w:t>
      </w:r>
      <w:r w:rsidR="00C24EB5" w:rsidRPr="006269D7">
        <w:rPr>
          <w:rFonts w:ascii="Times New Roman" w:hAnsi="Times New Roman" w:cs="Times New Roman"/>
          <w:lang w:val="en-GB"/>
        </w:rPr>
        <w:t xml:space="preserve"> </w:t>
      </w:r>
      <w:r w:rsidR="006B4B49" w:rsidRPr="006269D7">
        <w:rPr>
          <w:rFonts w:ascii="Times New Roman" w:hAnsi="Times New Roman" w:cs="Times New Roman"/>
          <w:lang w:val="en-GB"/>
        </w:rPr>
        <w:t xml:space="preserve">of </w:t>
      </w:r>
      <w:r w:rsidR="007319B2" w:rsidRPr="006269D7">
        <w:rPr>
          <w:rFonts w:ascii="Times New Roman" w:hAnsi="Times New Roman" w:cs="Times New Roman"/>
          <w:lang w:val="en-GB"/>
        </w:rPr>
        <w:t xml:space="preserve">consistency and predictability has </w:t>
      </w:r>
      <w:r w:rsidR="00C24EB5" w:rsidRPr="006269D7">
        <w:rPr>
          <w:rFonts w:ascii="Times New Roman" w:hAnsi="Times New Roman" w:cs="Times New Roman"/>
          <w:lang w:val="en-GB"/>
        </w:rPr>
        <w:t xml:space="preserve">never </w:t>
      </w:r>
      <w:r w:rsidR="007319B2" w:rsidRPr="006269D7">
        <w:rPr>
          <w:rFonts w:ascii="Times New Roman" w:hAnsi="Times New Roman" w:cs="Times New Roman"/>
          <w:lang w:val="en-GB"/>
        </w:rPr>
        <w:t xml:space="preserve">led to the annulment of a Commission decision. </w:t>
      </w:r>
      <w:r w:rsidR="00811741" w:rsidRPr="00691E57">
        <w:rPr>
          <w:rFonts w:ascii="Times New Roman" w:hAnsi="Times New Roman" w:cs="Times New Roman"/>
          <w:lang w:val="en-GB"/>
        </w:rPr>
        <w:t>Yet,</w:t>
      </w:r>
      <w:r w:rsidR="00C24EB5" w:rsidRPr="00691E57">
        <w:rPr>
          <w:rFonts w:ascii="Times New Roman" w:hAnsi="Times New Roman" w:cs="Times New Roman"/>
          <w:lang w:val="en-GB"/>
        </w:rPr>
        <w:t xml:space="preserve"> </w:t>
      </w:r>
      <w:r w:rsidR="007319B2" w:rsidRPr="003F48C5">
        <w:rPr>
          <w:rFonts w:ascii="Times New Roman" w:hAnsi="Times New Roman" w:cs="Times New Roman"/>
          <w:lang w:val="en-GB"/>
        </w:rPr>
        <w:t xml:space="preserve">the right of consistency and predictability has been repeatedly affirmed in the case-law of the EU courts. </w:t>
      </w:r>
      <w:r w:rsidR="00AA601F" w:rsidRPr="006269D7">
        <w:rPr>
          <w:rFonts w:ascii="Times New Roman" w:hAnsi="Times New Roman" w:cs="Times New Roman"/>
          <w:lang w:val="en-GB"/>
        </w:rPr>
        <w:t xml:space="preserve">In </w:t>
      </w:r>
      <w:r w:rsidR="00AA601F" w:rsidRPr="006269D7">
        <w:rPr>
          <w:rFonts w:ascii="Times New Roman" w:hAnsi="Times New Roman" w:cs="Times New Roman"/>
          <w:i/>
          <w:lang w:val="en-GB"/>
        </w:rPr>
        <w:t>Hercules Chemicals</w:t>
      </w:r>
      <w:r w:rsidR="00AA601F" w:rsidRPr="006269D7">
        <w:rPr>
          <w:rFonts w:ascii="Times New Roman" w:hAnsi="Times New Roman" w:cs="Times New Roman"/>
          <w:lang w:val="en-GB"/>
        </w:rPr>
        <w:t>, the General Court held that</w:t>
      </w:r>
      <w:r w:rsidR="00DC4D33" w:rsidRPr="006269D7">
        <w:rPr>
          <w:rFonts w:ascii="Times New Roman" w:hAnsi="Times New Roman" w:cs="Times New Roman"/>
          <w:lang w:val="en-GB"/>
        </w:rPr>
        <w:t xml:space="preserve"> </w:t>
      </w:r>
      <w:r w:rsidR="003805C9" w:rsidRPr="006269D7">
        <w:rPr>
          <w:rFonts w:ascii="Times New Roman" w:hAnsi="Times New Roman" w:cs="Times New Roman"/>
          <w:lang w:val="en-GB"/>
        </w:rPr>
        <w:t>“</w:t>
      </w:r>
      <w:r w:rsidRPr="006269D7">
        <w:rPr>
          <w:rStyle w:val="Accentuation"/>
          <w:rFonts w:ascii="Times New Roman" w:hAnsi="Times New Roman" w:cs="Times New Roman"/>
          <w:lang w:val="en-GB"/>
        </w:rPr>
        <w:t>o</w:t>
      </w:r>
      <w:r w:rsidR="00883A50" w:rsidRPr="004E08B1">
        <w:rPr>
          <w:rStyle w:val="Accentuation"/>
          <w:rFonts w:ascii="Times New Roman" w:hAnsi="Times New Roman" w:cs="Times New Roman"/>
          <w:lang w:val="en-GB"/>
        </w:rPr>
        <w:t>nce the</w:t>
      </w:r>
      <w:r w:rsidRPr="007D6DD4">
        <w:rPr>
          <w:rStyle w:val="Accentuation"/>
          <w:rFonts w:ascii="Times New Roman" w:hAnsi="Times New Roman" w:cs="Times New Roman"/>
          <w:lang w:val="en-GB"/>
        </w:rPr>
        <w:t xml:space="preserve"> </w:t>
      </w:r>
      <w:r w:rsidR="00883A50" w:rsidRPr="004E08B1">
        <w:rPr>
          <w:rStyle w:val="Accentuation"/>
          <w:rFonts w:ascii="Times New Roman" w:hAnsi="Times New Roman" w:cs="Times New Roman"/>
          <w:lang w:val="en-GB"/>
        </w:rPr>
        <w:t>Commission, going beyond what is required by observance of the rights of the defence, has established a procedure for providing access to the file in competition cases, it may not depart from the rules which it has imposed on itself</w:t>
      </w:r>
      <w:r w:rsidR="00883A50" w:rsidRPr="004E08B1">
        <w:rPr>
          <w:rStyle w:val="Accentuation"/>
          <w:rFonts w:ascii="Times New Roman" w:hAnsi="Times New Roman" w:cs="Times New Roman"/>
          <w:i w:val="0"/>
          <w:lang w:val="en-GB"/>
        </w:rPr>
        <w:t>”.</w:t>
      </w:r>
      <w:r w:rsidR="003805C9" w:rsidRPr="00E73609">
        <w:rPr>
          <w:rStyle w:val="Appelnotedebasdep"/>
          <w:rFonts w:ascii="Times New Roman" w:hAnsi="Times New Roman" w:cs="Times New Roman"/>
          <w:lang w:val="en-GB"/>
        </w:rPr>
        <w:footnoteReference w:id="171"/>
      </w:r>
      <w:r w:rsidR="00883A50" w:rsidRPr="004E08B1">
        <w:rPr>
          <w:rStyle w:val="Accentuation"/>
          <w:rFonts w:ascii="Times New Roman" w:hAnsi="Times New Roman" w:cs="Times New Roman"/>
          <w:i w:val="0"/>
          <w:lang w:val="en-GB"/>
        </w:rPr>
        <w:t xml:space="preserve"> Moreover, several other judgments suggest that if the Commission generates legitimate expectations regarding the application of a specific rule, any inconsistent decision adopted later may be annulled on this ground.</w:t>
      </w:r>
      <w:r w:rsidR="00883A50" w:rsidRPr="004E08B1">
        <w:rPr>
          <w:rStyle w:val="Appelnotedebasdep"/>
          <w:rFonts w:ascii="Times New Roman" w:hAnsi="Times New Roman" w:cs="Times New Roman"/>
          <w:iCs/>
          <w:lang w:val="en-GB"/>
        </w:rPr>
        <w:footnoteReference w:id="172"/>
      </w:r>
    </w:p>
    <w:p w:rsidR="00A37984" w:rsidRPr="00311B33" w:rsidRDefault="00A37984" w:rsidP="0082443E">
      <w:pPr>
        <w:jc w:val="both"/>
        <w:rPr>
          <w:rFonts w:ascii="Times New Roman" w:hAnsi="Times New Roman" w:cs="Times New Roman"/>
          <w:highlight w:val="yellow"/>
          <w:lang w:val="en-GB"/>
        </w:rPr>
      </w:pPr>
    </w:p>
    <w:p w:rsidR="008D0F65" w:rsidRPr="00246F56" w:rsidRDefault="009B1657" w:rsidP="0082443E">
      <w:pPr>
        <w:jc w:val="both"/>
        <w:rPr>
          <w:rFonts w:ascii="Times New Roman" w:hAnsi="Times New Roman" w:cs="Times New Roman"/>
          <w:b/>
          <w:u w:val="single"/>
          <w:lang w:val="en-GB"/>
        </w:rPr>
      </w:pPr>
      <w:r w:rsidRPr="00246F56">
        <w:rPr>
          <w:rFonts w:ascii="Times New Roman" w:hAnsi="Times New Roman" w:cs="Times New Roman"/>
          <w:b/>
          <w:u w:val="single"/>
          <w:lang w:val="en-GB"/>
        </w:rPr>
        <w:t>Conclusions</w:t>
      </w:r>
    </w:p>
    <w:p w:rsidR="00BF3AC1" w:rsidRPr="00311B33" w:rsidRDefault="00BF3AC1" w:rsidP="0082443E">
      <w:pPr>
        <w:jc w:val="both"/>
        <w:rPr>
          <w:rFonts w:ascii="Times New Roman" w:hAnsi="Times New Roman" w:cs="Times New Roman"/>
          <w:lang w:val="en-GB"/>
        </w:rPr>
      </w:pPr>
    </w:p>
    <w:p w:rsidR="004F0434" w:rsidRPr="00311B33" w:rsidRDefault="007319B2" w:rsidP="00246F56">
      <w:pPr>
        <w:jc w:val="both"/>
        <w:rPr>
          <w:rFonts w:ascii="Times New Roman" w:hAnsi="Times New Roman" w:cs="Times New Roman"/>
          <w:lang w:val="en-GB"/>
        </w:rPr>
      </w:pPr>
      <w:r w:rsidRPr="00311B33">
        <w:rPr>
          <w:rFonts w:ascii="Times New Roman" w:hAnsi="Times New Roman" w:cs="Times New Roman"/>
          <w:lang w:val="en-GB"/>
        </w:rPr>
        <w:t>The rights of defen</w:t>
      </w:r>
      <w:r w:rsidR="00387477">
        <w:rPr>
          <w:rFonts w:ascii="Times New Roman" w:hAnsi="Times New Roman" w:cs="Times New Roman"/>
          <w:lang w:val="en-GB"/>
        </w:rPr>
        <w:t>c</w:t>
      </w:r>
      <w:r w:rsidRPr="00311B33">
        <w:rPr>
          <w:rFonts w:ascii="Times New Roman" w:hAnsi="Times New Roman" w:cs="Times New Roman"/>
          <w:lang w:val="en-GB"/>
        </w:rPr>
        <w:t xml:space="preserve">e of parties to competition cases have been gradually affirmed by the </w:t>
      </w:r>
      <w:r w:rsidR="009B1657" w:rsidRPr="00246F56">
        <w:rPr>
          <w:rFonts w:ascii="Times New Roman" w:hAnsi="Times New Roman" w:cs="Times New Roman"/>
          <w:lang w:val="en-GB"/>
        </w:rPr>
        <w:t xml:space="preserve">EU </w:t>
      </w:r>
      <w:r w:rsidRPr="00311B33">
        <w:rPr>
          <w:rFonts w:ascii="Times New Roman" w:hAnsi="Times New Roman" w:cs="Times New Roman"/>
          <w:lang w:val="en-GB"/>
        </w:rPr>
        <w:t xml:space="preserve">Treaties and in the case-law. This process has inevitable shortcomings. In particular, most of </w:t>
      </w:r>
      <w:r w:rsidRPr="00311B33">
        <w:rPr>
          <w:rFonts w:ascii="Times New Roman" w:hAnsi="Times New Roman" w:cs="Times New Roman"/>
          <w:lang w:val="en-GB"/>
        </w:rPr>
        <w:lastRenderedPageBreak/>
        <w:t xml:space="preserve">these rights remain embodied in a variety of instruments, their precise content </w:t>
      </w:r>
      <w:r w:rsidR="00EC3966">
        <w:rPr>
          <w:rFonts w:ascii="Times New Roman" w:hAnsi="Times New Roman" w:cs="Times New Roman"/>
          <w:lang w:val="en-GB"/>
        </w:rPr>
        <w:t>is somewhat</w:t>
      </w:r>
      <w:r w:rsidR="00EC3966" w:rsidRPr="00311B33">
        <w:rPr>
          <w:rFonts w:ascii="Times New Roman" w:hAnsi="Times New Roman" w:cs="Times New Roman"/>
          <w:lang w:val="en-GB"/>
        </w:rPr>
        <w:t xml:space="preserve"> </w:t>
      </w:r>
      <w:r w:rsidRPr="00311B33">
        <w:rPr>
          <w:rFonts w:ascii="Times New Roman" w:hAnsi="Times New Roman" w:cs="Times New Roman"/>
          <w:lang w:val="en-GB"/>
        </w:rPr>
        <w:t>obscure</w:t>
      </w:r>
      <w:r w:rsidR="00BB0157">
        <w:rPr>
          <w:rFonts w:ascii="Times New Roman" w:hAnsi="Times New Roman" w:cs="Times New Roman"/>
          <w:lang w:val="en-GB"/>
        </w:rPr>
        <w:t>, and the consequences attached to their violations are unclear.</w:t>
      </w:r>
      <w:r w:rsidR="00BB0157" w:rsidRPr="00311B33">
        <w:rPr>
          <w:rStyle w:val="Appelnotedebasdep"/>
          <w:rFonts w:ascii="Times New Roman" w:hAnsi="Times New Roman" w:cs="Times New Roman"/>
          <w:lang w:val="en-GB"/>
        </w:rPr>
        <w:footnoteReference w:id="173"/>
      </w:r>
      <w:r w:rsidR="00BB0157" w:rsidRPr="00311B33">
        <w:rPr>
          <w:rFonts w:ascii="Times New Roman" w:hAnsi="Times New Roman" w:cs="Times New Roman"/>
          <w:lang w:val="en-GB"/>
        </w:rPr>
        <w:t xml:space="preserve"> </w:t>
      </w:r>
    </w:p>
    <w:p w:rsidR="004F0434" w:rsidRPr="00311B33" w:rsidRDefault="004F0434" w:rsidP="00246F56">
      <w:pPr>
        <w:jc w:val="both"/>
        <w:rPr>
          <w:rFonts w:ascii="Times New Roman" w:hAnsi="Times New Roman" w:cs="Times New Roman"/>
          <w:lang w:val="en-GB"/>
        </w:rPr>
      </w:pPr>
    </w:p>
    <w:p w:rsidR="002C5483" w:rsidRDefault="00BB0157" w:rsidP="0082443E">
      <w:pPr>
        <w:jc w:val="both"/>
        <w:rPr>
          <w:rFonts w:ascii="Times New Roman" w:hAnsi="Times New Roman" w:cs="Times New Roman"/>
          <w:lang w:val="en-GB"/>
        </w:rPr>
      </w:pPr>
      <w:r>
        <w:rPr>
          <w:rFonts w:ascii="Times New Roman" w:hAnsi="Times New Roman" w:cs="Times New Roman"/>
          <w:lang w:val="en-GB"/>
        </w:rPr>
        <w:t>W</w:t>
      </w:r>
      <w:r w:rsidR="002C5483">
        <w:rPr>
          <w:rFonts w:ascii="Times New Roman" w:hAnsi="Times New Roman" w:cs="Times New Roman"/>
          <w:lang w:val="en-GB"/>
        </w:rPr>
        <w:t>ith this paper, we have sought to provide clarifications on this, by</w:t>
      </w:r>
      <w:r>
        <w:rPr>
          <w:rFonts w:ascii="Times New Roman" w:hAnsi="Times New Roman" w:cs="Times New Roman"/>
          <w:lang w:val="en-GB"/>
        </w:rPr>
        <w:t xml:space="preserve"> </w:t>
      </w:r>
      <w:r w:rsidR="002C5483">
        <w:rPr>
          <w:rFonts w:ascii="Times New Roman" w:hAnsi="Times New Roman" w:cs="Times New Roman"/>
          <w:lang w:val="en-GB"/>
        </w:rPr>
        <w:t xml:space="preserve">presenting competition rights under a </w:t>
      </w:r>
      <w:r>
        <w:rPr>
          <w:rFonts w:ascii="Times New Roman" w:hAnsi="Times New Roman" w:cs="Times New Roman"/>
          <w:lang w:val="en-GB"/>
        </w:rPr>
        <w:t xml:space="preserve">granular and itemized </w:t>
      </w:r>
      <w:r w:rsidR="002C5483">
        <w:rPr>
          <w:rFonts w:ascii="Times New Roman" w:hAnsi="Times New Roman" w:cs="Times New Roman"/>
          <w:lang w:val="en-GB"/>
        </w:rPr>
        <w:t>perspective. In so doing, our inventory</w:t>
      </w:r>
      <w:r w:rsidR="00F10BDA">
        <w:rPr>
          <w:rFonts w:ascii="Times New Roman" w:hAnsi="Times New Roman" w:cs="Times New Roman"/>
          <w:lang w:val="en-GB"/>
        </w:rPr>
        <w:t xml:space="preserve"> </w:t>
      </w:r>
      <w:r w:rsidR="002C5483">
        <w:rPr>
          <w:rFonts w:ascii="Times New Roman" w:hAnsi="Times New Roman" w:cs="Times New Roman"/>
          <w:lang w:val="en-GB"/>
        </w:rPr>
        <w:t xml:space="preserve">of competition rights shows that the conventional formulation of those rights is not always in line with their true content. In our opinion, it would be helpful to align form and substance, </w:t>
      </w:r>
      <w:r w:rsidR="00F10BDA">
        <w:rPr>
          <w:rFonts w:ascii="Times New Roman" w:hAnsi="Times New Roman" w:cs="Times New Roman"/>
          <w:lang w:val="en-GB"/>
        </w:rPr>
        <w:t>including if this requires changing</w:t>
      </w:r>
      <w:r w:rsidR="002C5483">
        <w:rPr>
          <w:rFonts w:ascii="Times New Roman" w:hAnsi="Times New Roman" w:cs="Times New Roman"/>
          <w:lang w:val="en-GB"/>
        </w:rPr>
        <w:t xml:space="preserve"> the label </w:t>
      </w:r>
      <w:r w:rsidR="00F10BDA">
        <w:rPr>
          <w:rFonts w:ascii="Times New Roman" w:hAnsi="Times New Roman" w:cs="Times New Roman"/>
          <w:lang w:val="en-GB"/>
        </w:rPr>
        <w:t xml:space="preserve">attached to </w:t>
      </w:r>
      <w:r w:rsidR="002C5483">
        <w:rPr>
          <w:rFonts w:ascii="Times New Roman" w:hAnsi="Times New Roman" w:cs="Times New Roman"/>
          <w:lang w:val="en-GB"/>
        </w:rPr>
        <w:t xml:space="preserve">certain competition rights. </w:t>
      </w:r>
    </w:p>
    <w:p w:rsidR="002C5483" w:rsidRDefault="002C5483" w:rsidP="0082443E">
      <w:pPr>
        <w:jc w:val="both"/>
        <w:rPr>
          <w:rFonts w:ascii="Times New Roman" w:hAnsi="Times New Roman" w:cs="Times New Roman"/>
          <w:lang w:val="en-GB"/>
        </w:rPr>
      </w:pPr>
    </w:p>
    <w:p w:rsidR="002C5483" w:rsidRDefault="002C5483" w:rsidP="0082443E">
      <w:pPr>
        <w:jc w:val="both"/>
        <w:rPr>
          <w:rFonts w:ascii="Times New Roman" w:hAnsi="Times New Roman" w:cs="Times New Roman"/>
          <w:lang w:val="en-GB"/>
        </w:rPr>
      </w:pPr>
      <w:r>
        <w:rPr>
          <w:rFonts w:ascii="Times New Roman" w:hAnsi="Times New Roman" w:cs="Times New Roman"/>
          <w:lang w:val="en-GB"/>
        </w:rPr>
        <w:t xml:space="preserve">Moreover, we believe that a more systematic presentation </w:t>
      </w:r>
      <w:r w:rsidR="00F10BDA">
        <w:rPr>
          <w:rFonts w:ascii="Times New Roman" w:hAnsi="Times New Roman" w:cs="Times New Roman"/>
          <w:lang w:val="en-GB"/>
        </w:rPr>
        <w:t xml:space="preserve">(in a soft law instrument for instance) </w:t>
      </w:r>
      <w:r>
        <w:rPr>
          <w:rFonts w:ascii="Times New Roman" w:hAnsi="Times New Roman" w:cs="Times New Roman"/>
          <w:lang w:val="en-GB"/>
        </w:rPr>
        <w:t>of the consequences attached to violation</w:t>
      </w:r>
      <w:r w:rsidR="00F10BDA">
        <w:rPr>
          <w:rFonts w:ascii="Times New Roman" w:hAnsi="Times New Roman" w:cs="Times New Roman"/>
          <w:lang w:val="en-GB"/>
        </w:rPr>
        <w:t>s</w:t>
      </w:r>
      <w:r>
        <w:rPr>
          <w:rFonts w:ascii="Times New Roman" w:hAnsi="Times New Roman" w:cs="Times New Roman"/>
          <w:lang w:val="en-GB"/>
        </w:rPr>
        <w:t xml:space="preserve"> of procedural rights would be helpful. Annulment is not a systematic outcome. R</w:t>
      </w:r>
      <w:r w:rsidRPr="00311B33">
        <w:rPr>
          <w:rFonts w:ascii="Times New Roman" w:hAnsi="Times New Roman" w:cs="Times New Roman"/>
          <w:lang w:val="en-GB"/>
        </w:rPr>
        <w:t>eductions of fines no longer make good procedural wrongs</w:t>
      </w:r>
      <w:r>
        <w:rPr>
          <w:rFonts w:ascii="Times New Roman" w:hAnsi="Times New Roman" w:cs="Times New Roman"/>
          <w:lang w:val="en-GB"/>
        </w:rPr>
        <w:t>.</w:t>
      </w:r>
      <w:r w:rsidRPr="00311B33">
        <w:rPr>
          <w:rStyle w:val="Appelnotedebasdep"/>
          <w:rFonts w:ascii="Times New Roman" w:hAnsi="Times New Roman" w:cs="Times New Roman"/>
          <w:lang w:val="en-GB"/>
        </w:rPr>
        <w:footnoteReference w:id="174"/>
      </w:r>
      <w:r w:rsidRPr="00311B33">
        <w:rPr>
          <w:rFonts w:ascii="Times New Roman" w:hAnsi="Times New Roman" w:cs="Times New Roman"/>
          <w:lang w:val="en-GB"/>
        </w:rPr>
        <w:t xml:space="preserve"> </w:t>
      </w:r>
      <w:r>
        <w:rPr>
          <w:rFonts w:ascii="Times New Roman" w:hAnsi="Times New Roman" w:cs="Times New Roman"/>
          <w:lang w:val="en-GB"/>
        </w:rPr>
        <w:t>In some cases, damages and other remedies may be adopted (</w:t>
      </w:r>
      <w:r w:rsidRPr="00246F56">
        <w:rPr>
          <w:rFonts w:ascii="Times New Roman" w:hAnsi="Times New Roman" w:cs="Times New Roman"/>
          <w:lang w:val="en-US"/>
        </w:rPr>
        <w:t>letter</w:t>
      </w:r>
      <w:r w:rsidRPr="00D83BC5">
        <w:rPr>
          <w:rFonts w:ascii="Times New Roman" w:hAnsi="Times New Roman" w:cs="Times New Roman"/>
          <w:lang w:val="en-US"/>
        </w:rPr>
        <w:t>s</w:t>
      </w:r>
      <w:r w:rsidRPr="00246F56">
        <w:rPr>
          <w:rFonts w:ascii="Times New Roman" w:hAnsi="Times New Roman" w:cs="Times New Roman"/>
          <w:lang w:val="en-US"/>
        </w:rPr>
        <w:t xml:space="preserve"> of apology </w:t>
      </w:r>
      <w:r w:rsidRPr="00D83BC5">
        <w:rPr>
          <w:rFonts w:ascii="Times New Roman" w:hAnsi="Times New Roman" w:cs="Times New Roman"/>
          <w:lang w:val="en-US"/>
        </w:rPr>
        <w:t xml:space="preserve">from the Commission, flat </w:t>
      </w:r>
      <w:r w:rsidRPr="00246F56">
        <w:rPr>
          <w:rFonts w:ascii="Times New Roman" w:hAnsi="Times New Roman" w:cs="Times New Roman"/>
          <w:lang w:val="en-US"/>
        </w:rPr>
        <w:t>payment</w:t>
      </w:r>
      <w:r w:rsidRPr="00D83BC5">
        <w:rPr>
          <w:rFonts w:ascii="Times New Roman" w:hAnsi="Times New Roman" w:cs="Times New Roman"/>
          <w:lang w:val="en-US"/>
        </w:rPr>
        <w:t>s</w:t>
      </w:r>
      <w:r w:rsidRPr="00246F56">
        <w:rPr>
          <w:rFonts w:ascii="Times New Roman" w:hAnsi="Times New Roman" w:cs="Times New Roman"/>
          <w:lang w:val="en-US"/>
        </w:rPr>
        <w:t xml:space="preserve"> as compensation</w:t>
      </w:r>
      <w:r w:rsidRPr="00D83BC5">
        <w:rPr>
          <w:rFonts w:ascii="Times New Roman" w:hAnsi="Times New Roman" w:cs="Times New Roman"/>
          <w:lang w:val="en-US"/>
        </w:rPr>
        <w:t xml:space="preserve"> </w:t>
      </w:r>
      <w:r w:rsidRPr="00246F56">
        <w:rPr>
          <w:rFonts w:ascii="Times New Roman" w:hAnsi="Times New Roman" w:cs="Times New Roman"/>
          <w:lang w:val="en-US"/>
        </w:rPr>
        <w:t xml:space="preserve">for moral damage, </w:t>
      </w:r>
      <w:r w:rsidRPr="00D83BC5">
        <w:rPr>
          <w:rFonts w:ascii="Times New Roman" w:hAnsi="Times New Roman" w:cs="Times New Roman"/>
          <w:lang w:val="en-US"/>
        </w:rPr>
        <w:t>organization of</w:t>
      </w:r>
      <w:r w:rsidRPr="00246F56">
        <w:rPr>
          <w:rFonts w:ascii="Times New Roman" w:hAnsi="Times New Roman" w:cs="Times New Roman"/>
          <w:lang w:val="en-US"/>
        </w:rPr>
        <w:t xml:space="preserve"> a series</w:t>
      </w:r>
      <w:r w:rsidRPr="00D83BC5">
        <w:rPr>
          <w:rFonts w:ascii="Times New Roman" w:hAnsi="Times New Roman" w:cs="Times New Roman"/>
          <w:lang w:val="en-US"/>
        </w:rPr>
        <w:t xml:space="preserve"> </w:t>
      </w:r>
      <w:r w:rsidRPr="00246F56">
        <w:rPr>
          <w:rFonts w:ascii="Times New Roman" w:hAnsi="Times New Roman" w:cs="Times New Roman"/>
          <w:lang w:val="en-US"/>
        </w:rPr>
        <w:t>of internal training sessions</w:t>
      </w:r>
      <w:r>
        <w:rPr>
          <w:rFonts w:ascii="Times New Roman" w:hAnsi="Times New Roman" w:cs="Times New Roman"/>
          <w:lang w:val="en-US"/>
        </w:rPr>
        <w:t>).</w:t>
      </w:r>
      <w:r>
        <w:rPr>
          <w:rStyle w:val="Appelnotedebasdep"/>
          <w:rFonts w:ascii="Times New Roman" w:hAnsi="Times New Roman" w:cs="Times New Roman"/>
          <w:lang w:val="en-US"/>
        </w:rPr>
        <w:footnoteReference w:id="175"/>
      </w:r>
    </w:p>
    <w:p w:rsidR="002C5483" w:rsidRDefault="002C5483" w:rsidP="0082443E">
      <w:pPr>
        <w:jc w:val="both"/>
        <w:rPr>
          <w:rFonts w:ascii="Times New Roman" w:hAnsi="Times New Roman" w:cs="Times New Roman"/>
          <w:lang w:val="en-GB"/>
        </w:rPr>
      </w:pPr>
    </w:p>
    <w:p w:rsidR="00802C9E" w:rsidRDefault="002C5483" w:rsidP="0082443E">
      <w:pPr>
        <w:jc w:val="both"/>
        <w:rPr>
          <w:rFonts w:ascii="Times New Roman" w:hAnsi="Times New Roman" w:cs="Times New Roman"/>
          <w:lang w:val="en-GB"/>
        </w:rPr>
      </w:pPr>
      <w:r>
        <w:rPr>
          <w:rFonts w:ascii="Times New Roman" w:hAnsi="Times New Roman" w:cs="Times New Roman"/>
          <w:lang w:val="en-GB"/>
        </w:rPr>
        <w:t xml:space="preserve">By </w:t>
      </w:r>
      <w:r w:rsidR="00F10BDA">
        <w:rPr>
          <w:rFonts w:ascii="Times New Roman" w:hAnsi="Times New Roman" w:cs="Times New Roman"/>
          <w:lang w:val="en-GB"/>
        </w:rPr>
        <w:t xml:space="preserve">providing </w:t>
      </w:r>
      <w:r>
        <w:rPr>
          <w:rFonts w:ascii="Times New Roman" w:hAnsi="Times New Roman" w:cs="Times New Roman"/>
          <w:lang w:val="en-GB"/>
        </w:rPr>
        <w:t xml:space="preserve">guidance </w:t>
      </w:r>
      <w:r w:rsidR="00F10BDA">
        <w:rPr>
          <w:rFonts w:ascii="Times New Roman" w:hAnsi="Times New Roman" w:cs="Times New Roman"/>
          <w:lang w:val="en-GB"/>
        </w:rPr>
        <w:t xml:space="preserve">on this, the Commission would help parties to antitrust proceedings assess </w:t>
      </w:r>
      <w:r w:rsidR="004B14D8" w:rsidRPr="00CD3562">
        <w:rPr>
          <w:rFonts w:ascii="Times New Roman" w:hAnsi="Times New Roman" w:cs="Times New Roman"/>
          <w:lang w:val="en-GB"/>
        </w:rPr>
        <w:t xml:space="preserve">what </w:t>
      </w:r>
      <w:r w:rsidR="00EC3966">
        <w:rPr>
          <w:rFonts w:ascii="Times New Roman" w:hAnsi="Times New Roman" w:cs="Times New Roman"/>
          <w:lang w:val="en-GB"/>
        </w:rPr>
        <w:t>procedural infringements are worth litigating</w:t>
      </w:r>
      <w:r w:rsidR="004B14D8" w:rsidRPr="00CD3562">
        <w:rPr>
          <w:rFonts w:ascii="Times New Roman" w:hAnsi="Times New Roman" w:cs="Times New Roman"/>
          <w:lang w:val="en-GB"/>
        </w:rPr>
        <w:t>.</w:t>
      </w:r>
      <w:r w:rsidR="002F4D0D" w:rsidRPr="00CD3562">
        <w:rPr>
          <w:rFonts w:ascii="Times New Roman" w:hAnsi="Times New Roman" w:cs="Times New Roman"/>
          <w:lang w:val="en-GB"/>
        </w:rPr>
        <w:t xml:space="preserve"> </w:t>
      </w:r>
      <w:r w:rsidR="007319B2" w:rsidRPr="00CD3562">
        <w:rPr>
          <w:rFonts w:ascii="Times New Roman" w:hAnsi="Times New Roman" w:cs="Times New Roman"/>
          <w:lang w:val="en-GB"/>
        </w:rPr>
        <w:t>In</w:t>
      </w:r>
      <w:r w:rsidR="00334412" w:rsidRPr="00CD3562">
        <w:rPr>
          <w:rFonts w:ascii="Times New Roman" w:hAnsi="Times New Roman" w:cs="Times New Roman"/>
          <w:lang w:val="en-GB"/>
        </w:rPr>
        <w:t xml:space="preserve"> the long run</w:t>
      </w:r>
      <w:r w:rsidR="002F4D0D" w:rsidRPr="00CD3562">
        <w:rPr>
          <w:rFonts w:ascii="Times New Roman" w:hAnsi="Times New Roman" w:cs="Times New Roman"/>
          <w:lang w:val="en-GB"/>
        </w:rPr>
        <w:t xml:space="preserve">, </w:t>
      </w:r>
      <w:r w:rsidR="00F10BDA">
        <w:rPr>
          <w:rFonts w:ascii="Times New Roman" w:hAnsi="Times New Roman" w:cs="Times New Roman"/>
          <w:lang w:val="en-GB"/>
        </w:rPr>
        <w:t xml:space="preserve">this </w:t>
      </w:r>
      <w:r w:rsidR="00037626" w:rsidRPr="00CD3562">
        <w:rPr>
          <w:rFonts w:ascii="Times New Roman" w:hAnsi="Times New Roman" w:cs="Times New Roman"/>
          <w:lang w:val="en-GB"/>
        </w:rPr>
        <w:t>w</w:t>
      </w:r>
      <w:r w:rsidR="002F4D0D" w:rsidRPr="00CD3562">
        <w:rPr>
          <w:rFonts w:ascii="Times New Roman" w:hAnsi="Times New Roman" w:cs="Times New Roman"/>
          <w:lang w:val="en-GB"/>
        </w:rPr>
        <w:t xml:space="preserve">ould reduce </w:t>
      </w:r>
      <w:r w:rsidR="00F10BDA">
        <w:rPr>
          <w:rFonts w:ascii="Times New Roman" w:hAnsi="Times New Roman" w:cs="Times New Roman"/>
          <w:lang w:val="en-GB"/>
        </w:rPr>
        <w:t xml:space="preserve">the risk of </w:t>
      </w:r>
      <w:r w:rsidR="007319B2" w:rsidRPr="00CD3562">
        <w:rPr>
          <w:rFonts w:ascii="Times New Roman" w:hAnsi="Times New Roman" w:cs="Times New Roman"/>
          <w:lang w:val="en-GB"/>
        </w:rPr>
        <w:t xml:space="preserve">opportunistic </w:t>
      </w:r>
      <w:r w:rsidR="002F4D0D" w:rsidRPr="00CD3562">
        <w:rPr>
          <w:rFonts w:ascii="Times New Roman" w:hAnsi="Times New Roman" w:cs="Times New Roman"/>
          <w:lang w:val="en-GB"/>
        </w:rPr>
        <w:t>appeals.</w:t>
      </w:r>
    </w:p>
    <w:p w:rsidR="00802C9E" w:rsidRDefault="00802C9E" w:rsidP="0082443E">
      <w:pPr>
        <w:jc w:val="both"/>
        <w:rPr>
          <w:rFonts w:ascii="Times New Roman" w:hAnsi="Times New Roman" w:cs="Times New Roman"/>
          <w:lang w:val="en-GB"/>
        </w:rPr>
      </w:pPr>
    </w:p>
    <w:p w:rsidR="0036293E" w:rsidRPr="00246F56" w:rsidRDefault="00596D18" w:rsidP="0082443E">
      <w:pPr>
        <w:jc w:val="both"/>
        <w:rPr>
          <w:rFonts w:ascii="Times New Roman" w:hAnsi="Times New Roman" w:cs="Times New Roman"/>
          <w:lang w:val="en-GB"/>
        </w:rPr>
      </w:pPr>
      <w:r w:rsidRPr="00311B33">
        <w:rPr>
          <w:rFonts w:ascii="Times New Roman" w:hAnsi="Times New Roman" w:cs="Times New Roman"/>
          <w:lang w:val="en-GB"/>
        </w:rPr>
        <w:t>Much h</w:t>
      </w:r>
      <w:r w:rsidR="00C321BF" w:rsidRPr="00311B33">
        <w:rPr>
          <w:rFonts w:ascii="Times New Roman" w:hAnsi="Times New Roman" w:cs="Times New Roman"/>
          <w:lang w:val="en-GB"/>
        </w:rPr>
        <w:t>as been done so far</w:t>
      </w:r>
      <w:r w:rsidRPr="00311B33">
        <w:rPr>
          <w:rFonts w:ascii="Times New Roman" w:hAnsi="Times New Roman" w:cs="Times New Roman"/>
          <w:lang w:val="en-GB"/>
        </w:rPr>
        <w:t xml:space="preserve"> regarding procedural rights. Much can still be</w:t>
      </w:r>
      <w:r w:rsidR="009B1657" w:rsidRPr="00246F56">
        <w:rPr>
          <w:rFonts w:ascii="Times New Roman" w:hAnsi="Times New Roman" w:cs="Times New Roman"/>
          <w:lang w:val="en-GB"/>
        </w:rPr>
        <w:t xml:space="preserve"> done. The </w:t>
      </w:r>
      <w:r w:rsidR="00255B30" w:rsidRPr="00311B33">
        <w:rPr>
          <w:rFonts w:ascii="Times New Roman" w:hAnsi="Times New Roman" w:cs="Times New Roman"/>
          <w:lang w:val="en-GB"/>
        </w:rPr>
        <w:t xml:space="preserve">elaboration of </w:t>
      </w:r>
      <w:r w:rsidR="00C321BF" w:rsidRPr="00311B33">
        <w:rPr>
          <w:rFonts w:ascii="Times New Roman" w:hAnsi="Times New Roman" w:cs="Times New Roman"/>
          <w:lang w:val="en-GB"/>
        </w:rPr>
        <w:t>a</w:t>
      </w:r>
      <w:r w:rsidR="00F10BDA">
        <w:rPr>
          <w:rFonts w:ascii="Times New Roman" w:hAnsi="Times New Roman" w:cs="Times New Roman"/>
          <w:lang w:val="en-GB"/>
        </w:rPr>
        <w:t>n inventory, a code or a b</w:t>
      </w:r>
      <w:r w:rsidR="00C321BF" w:rsidRPr="00311B33">
        <w:rPr>
          <w:rFonts w:ascii="Times New Roman" w:hAnsi="Times New Roman" w:cs="Times New Roman"/>
          <w:lang w:val="en-GB"/>
        </w:rPr>
        <w:t xml:space="preserve">ill of competition law rights could be a good opportunity </w:t>
      </w:r>
      <w:r w:rsidR="00255B30" w:rsidRPr="00311B33">
        <w:rPr>
          <w:rFonts w:ascii="Times New Roman" w:hAnsi="Times New Roman" w:cs="Times New Roman"/>
          <w:lang w:val="en-GB"/>
        </w:rPr>
        <w:t>to improve the current landscape</w:t>
      </w:r>
      <w:r w:rsidR="00C321BF" w:rsidRPr="00311B33">
        <w:rPr>
          <w:rFonts w:ascii="Times New Roman" w:hAnsi="Times New Roman" w:cs="Times New Roman"/>
          <w:lang w:val="en-GB"/>
        </w:rPr>
        <w:t xml:space="preserve">.  </w:t>
      </w:r>
    </w:p>
    <w:sectPr w:rsidR="0036293E" w:rsidRPr="00246F56" w:rsidSect="005D427B">
      <w:footerReference w:type="even" r:id="rId9"/>
      <w:footerReference w:type="default" r:id="rId10"/>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37B" w:rsidRDefault="00A2137B">
      <w:r>
        <w:separator/>
      </w:r>
    </w:p>
  </w:endnote>
  <w:endnote w:type="continuationSeparator" w:id="0">
    <w:p w:rsidR="00A2137B" w:rsidRDefault="00A2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1C" w:rsidRDefault="0081781C" w:rsidP="005D427B">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81781C" w:rsidRDefault="0081781C" w:rsidP="005D427B">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1C" w:rsidRPr="004E08B1" w:rsidRDefault="0081781C" w:rsidP="005D427B">
    <w:pPr>
      <w:pStyle w:val="Pieddepage"/>
      <w:framePr w:wrap="around" w:vAnchor="text" w:hAnchor="margin" w:xAlign="right" w:y="1"/>
      <w:rPr>
        <w:rStyle w:val="Numrodepage"/>
        <w:rFonts w:ascii="Times New Roman" w:hAnsi="Times New Roman"/>
      </w:rPr>
    </w:pPr>
    <w:r w:rsidRPr="004E08B1">
      <w:rPr>
        <w:rStyle w:val="Numrodepage"/>
        <w:rFonts w:ascii="Times New Roman" w:hAnsi="Times New Roman"/>
      </w:rPr>
      <w:fldChar w:fldCharType="begin"/>
    </w:r>
    <w:r w:rsidRPr="004E08B1">
      <w:rPr>
        <w:rStyle w:val="Numrodepage"/>
        <w:rFonts w:ascii="Times New Roman" w:hAnsi="Times New Roman"/>
      </w:rPr>
      <w:instrText xml:space="preserve">PAGE  </w:instrText>
    </w:r>
    <w:r w:rsidRPr="004E08B1">
      <w:rPr>
        <w:rStyle w:val="Numrodepage"/>
        <w:rFonts w:ascii="Times New Roman" w:hAnsi="Times New Roman"/>
      </w:rPr>
      <w:fldChar w:fldCharType="separate"/>
    </w:r>
    <w:r w:rsidR="007D6DD4">
      <w:rPr>
        <w:rStyle w:val="Numrodepage"/>
        <w:rFonts w:ascii="Times New Roman" w:hAnsi="Times New Roman"/>
        <w:noProof/>
      </w:rPr>
      <w:t>1</w:t>
    </w:r>
    <w:r w:rsidRPr="004E08B1">
      <w:rPr>
        <w:rStyle w:val="Numrodepage"/>
        <w:rFonts w:ascii="Times New Roman" w:hAnsi="Times New Roman"/>
      </w:rPr>
      <w:fldChar w:fldCharType="end"/>
    </w:r>
  </w:p>
  <w:p w:rsidR="0081781C" w:rsidRDefault="0081781C" w:rsidP="005D427B">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37B" w:rsidRDefault="00A2137B">
      <w:r>
        <w:separator/>
      </w:r>
    </w:p>
  </w:footnote>
  <w:footnote w:type="continuationSeparator" w:id="0">
    <w:p w:rsidR="00A2137B" w:rsidRDefault="00A2137B">
      <w:r>
        <w:continuationSeparator/>
      </w:r>
    </w:p>
  </w:footnote>
  <w:footnote w:id="1">
    <w:p w:rsidR="0081781C" w:rsidRPr="007D6DD4" w:rsidRDefault="0081781C">
      <w:pPr>
        <w:pStyle w:val="Notedebasdepage"/>
        <w:rPr>
          <w:lang w:val="en-GB"/>
        </w:rPr>
      </w:pPr>
      <w:r w:rsidRPr="004E08B1">
        <w:rPr>
          <w:rStyle w:val="Appelnotedebasdep"/>
        </w:rPr>
        <w:sym w:font="Symbol" w:char="F02A"/>
      </w:r>
      <w:r w:rsidRPr="007D6DD4">
        <w:rPr>
          <w:lang w:val="en-GB"/>
        </w:rPr>
        <w:t xml:space="preserve"> </w:t>
      </w:r>
      <w:r w:rsidRPr="004E08B1">
        <w:rPr>
          <w:rFonts w:ascii="Times New Roman" w:hAnsi="Times New Roman" w:cs="Times New Roman"/>
          <w:sz w:val="20"/>
          <w:szCs w:val="20"/>
          <w:lang w:val="en-US"/>
        </w:rPr>
        <w:t>Assistant at the Liege Competition and Innovation Institute (LCII) of the University of Liege (ULg)</w:t>
      </w:r>
      <w:r>
        <w:rPr>
          <w:rFonts w:ascii="Times New Roman" w:hAnsi="Times New Roman" w:cs="Times New Roman"/>
          <w:sz w:val="20"/>
          <w:szCs w:val="20"/>
          <w:lang w:val="en-US"/>
        </w:rPr>
        <w:t>.</w:t>
      </w:r>
    </w:p>
  </w:footnote>
  <w:footnote w:id="2">
    <w:p w:rsidR="0081781C" w:rsidRPr="007D6DD4" w:rsidRDefault="0081781C">
      <w:pPr>
        <w:pStyle w:val="Notedebasdepage"/>
        <w:rPr>
          <w:lang w:val="en-GB"/>
        </w:rPr>
      </w:pPr>
      <w:r w:rsidRPr="004E08B1">
        <w:rPr>
          <w:rStyle w:val="Appelnotedebasdep"/>
        </w:rPr>
        <w:sym w:font="Symbol" w:char="F02A"/>
      </w:r>
      <w:r w:rsidRPr="004E08B1">
        <w:rPr>
          <w:rStyle w:val="Appelnotedebasdep"/>
        </w:rPr>
        <w:sym w:font="Symbol" w:char="F02A"/>
      </w:r>
      <w:r w:rsidRPr="007D6DD4">
        <w:rPr>
          <w:lang w:val="en-GB"/>
        </w:rPr>
        <w:t xml:space="preserve"> </w:t>
      </w:r>
      <w:r w:rsidRPr="004E08B1">
        <w:rPr>
          <w:rFonts w:ascii="Times New Roman" w:hAnsi="Times New Roman" w:cs="Times New Roman"/>
          <w:sz w:val="20"/>
          <w:szCs w:val="20"/>
          <w:lang w:val="en-US"/>
        </w:rPr>
        <w:t>Assistant, LCII and ULg; lawyer, Philippe and Partners</w:t>
      </w:r>
      <w:r>
        <w:rPr>
          <w:rFonts w:ascii="Times New Roman" w:hAnsi="Times New Roman" w:cs="Times New Roman"/>
          <w:sz w:val="20"/>
          <w:szCs w:val="20"/>
          <w:lang w:val="en-US"/>
        </w:rPr>
        <w:t>.</w:t>
      </w:r>
    </w:p>
  </w:footnote>
  <w:footnote w:id="3">
    <w:p w:rsidR="0081781C" w:rsidRPr="007D6DD4" w:rsidRDefault="0081781C">
      <w:pPr>
        <w:pStyle w:val="Notedebasdepage"/>
        <w:rPr>
          <w:lang w:val="en-GB"/>
        </w:rPr>
      </w:pPr>
      <w:r w:rsidRPr="004E08B1">
        <w:rPr>
          <w:rStyle w:val="Appelnotedebasdep"/>
        </w:rPr>
        <w:sym w:font="Symbol" w:char="F02A"/>
      </w:r>
      <w:r w:rsidRPr="004E08B1">
        <w:rPr>
          <w:rStyle w:val="Appelnotedebasdep"/>
        </w:rPr>
        <w:sym w:font="Symbol" w:char="F02A"/>
      </w:r>
      <w:r w:rsidRPr="004E08B1">
        <w:rPr>
          <w:rStyle w:val="Appelnotedebasdep"/>
        </w:rPr>
        <w:sym w:font="Symbol" w:char="F02A"/>
      </w:r>
      <w:r w:rsidRPr="007D6DD4">
        <w:rPr>
          <w:lang w:val="en-GB"/>
        </w:rPr>
        <w:t xml:space="preserve"> </w:t>
      </w:r>
      <w:r w:rsidRPr="004E08B1">
        <w:rPr>
          <w:rFonts w:ascii="Times New Roman" w:hAnsi="Times New Roman" w:cs="Times New Roman"/>
          <w:sz w:val="20"/>
          <w:szCs w:val="20"/>
          <w:lang w:val="en-US"/>
        </w:rPr>
        <w:t>Professor, LCII and Ulg</w:t>
      </w:r>
      <w:r>
        <w:rPr>
          <w:rFonts w:ascii="Times New Roman" w:hAnsi="Times New Roman" w:cs="Times New Roman"/>
          <w:sz w:val="20"/>
          <w:szCs w:val="20"/>
          <w:lang w:val="en-US"/>
        </w:rPr>
        <w:t>.</w:t>
      </w:r>
    </w:p>
  </w:footnote>
  <w:footnote w:id="4">
    <w:p w:rsidR="0081781C" w:rsidRPr="007235C7" w:rsidRDefault="0081781C" w:rsidP="00CD4E3B">
      <w:pPr>
        <w:pStyle w:val="Notedebasdepage"/>
        <w:jc w:val="both"/>
        <w:rPr>
          <w:rFonts w:ascii="Times New Roman" w:hAnsi="Times New Roman" w:cs="Times New Roman"/>
          <w:sz w:val="20"/>
          <w:szCs w:val="20"/>
          <w:lang w:val="en-US"/>
        </w:rPr>
      </w:pPr>
      <w:r w:rsidRPr="00246F56">
        <w:rPr>
          <w:rStyle w:val="Appelnotedebasdep"/>
          <w:rFonts w:ascii="Times New Roman" w:hAnsi="Times New Roman" w:cs="Times New Roman"/>
          <w:sz w:val="20"/>
          <w:szCs w:val="20"/>
        </w:rPr>
        <w:footnoteRef/>
      </w:r>
      <w:r w:rsidRPr="00246F56">
        <w:rPr>
          <w:rFonts w:ascii="Times New Roman" w:hAnsi="Times New Roman" w:cs="Times New Roman"/>
          <w:sz w:val="20"/>
          <w:szCs w:val="20"/>
          <w:lang w:val="en-US"/>
        </w:rPr>
        <w:t xml:space="preserve"> See</w:t>
      </w:r>
      <w:r w:rsidRPr="007235C7">
        <w:rPr>
          <w:rFonts w:ascii="Times New Roman" w:hAnsi="Times New Roman" w:cs="Times New Roman"/>
          <w:sz w:val="20"/>
          <w:szCs w:val="20"/>
          <w:lang w:val="en-US"/>
        </w:rPr>
        <w:t xml:space="preserve"> Consolidated version of the Treaty on the Functioning of the European Union, 13 December 2007, 2008/C 115/01.</w:t>
      </w:r>
    </w:p>
  </w:footnote>
  <w:footnote w:id="5">
    <w:p w:rsidR="0081781C" w:rsidRPr="007A32C3" w:rsidRDefault="0081781C" w:rsidP="007235C7">
      <w:pPr>
        <w:widowControl w:val="0"/>
        <w:autoSpaceDE w:val="0"/>
        <w:autoSpaceDN w:val="0"/>
        <w:adjustRightInd w:val="0"/>
        <w:jc w:val="both"/>
        <w:rPr>
          <w:rFonts w:ascii="Times New Roman" w:hAnsi="Times New Roman" w:cs="Times New Roman"/>
          <w:sz w:val="20"/>
          <w:szCs w:val="20"/>
          <w:lang w:val="en-US"/>
        </w:rPr>
      </w:pPr>
      <w:r w:rsidRPr="00246F56">
        <w:rPr>
          <w:rStyle w:val="Appelnotedebasdep"/>
          <w:rFonts w:ascii="Times New Roman" w:hAnsi="Times New Roman" w:cs="Times New Roman"/>
          <w:sz w:val="20"/>
          <w:szCs w:val="20"/>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US"/>
        </w:rPr>
        <w:t>See Charter of Fundamental rights of the European U</w:t>
      </w:r>
      <w:r w:rsidRPr="007A32C3">
        <w:rPr>
          <w:rFonts w:ascii="Times New Roman" w:hAnsi="Times New Roman" w:cs="Times New Roman"/>
          <w:sz w:val="20"/>
          <w:szCs w:val="20"/>
          <w:lang w:val="en-US"/>
        </w:rPr>
        <w:t>nion, 18 December 2000, 2000/C 364/01.</w:t>
      </w:r>
    </w:p>
  </w:footnote>
  <w:footnote w:id="6">
    <w:p w:rsidR="0081781C" w:rsidRPr="007235C7" w:rsidRDefault="0081781C" w:rsidP="007A32C3">
      <w:pPr>
        <w:pStyle w:val="Notedebasdepage"/>
        <w:jc w:val="both"/>
        <w:rPr>
          <w:rFonts w:ascii="Times New Roman" w:hAnsi="Times New Roman" w:cs="Times New Roman"/>
          <w:sz w:val="20"/>
          <w:szCs w:val="20"/>
          <w:lang w:val="en-US"/>
        </w:rPr>
      </w:pPr>
      <w:r w:rsidRPr="00246F56">
        <w:rPr>
          <w:rStyle w:val="Appelnotedebasdep"/>
          <w:rFonts w:ascii="Times New Roman" w:hAnsi="Times New Roman" w:cs="Times New Roman"/>
          <w:sz w:val="20"/>
          <w:szCs w:val="20"/>
        </w:rPr>
        <w:footnoteRef/>
      </w:r>
      <w:r w:rsidRPr="00246F56">
        <w:rPr>
          <w:rStyle w:val="Appelnotedebasdep"/>
          <w:rFonts w:ascii="Times New Roman" w:hAnsi="Times New Roman" w:cs="Times New Roman"/>
          <w:sz w:val="20"/>
          <w:szCs w:val="20"/>
          <w:lang w:val="en-US"/>
        </w:rPr>
        <w:t xml:space="preserve"> </w:t>
      </w:r>
      <w:r w:rsidRPr="007235C7">
        <w:rPr>
          <w:rFonts w:ascii="Times New Roman" w:hAnsi="Times New Roman" w:cs="Times New Roman"/>
          <w:sz w:val="20"/>
          <w:szCs w:val="20"/>
          <w:lang w:val="en-US"/>
        </w:rPr>
        <w:t>See European Convention for the Protection of Human Rights and Fundamental Freedoms, as amended by Protocols Nos. 11 and 14, 4 November 1950, ETS 5.</w:t>
      </w:r>
    </w:p>
  </w:footnote>
  <w:footnote w:id="7">
    <w:p w:rsidR="0081781C" w:rsidRPr="00246F56" w:rsidRDefault="0081781C" w:rsidP="006E0306">
      <w:pPr>
        <w:pStyle w:val="Notedebasdepage"/>
        <w:jc w:val="both"/>
        <w:rPr>
          <w:rFonts w:ascii="Times New Roman" w:hAnsi="Times New Roman" w:cs="Times New Roman"/>
          <w:sz w:val="20"/>
          <w:szCs w:val="20"/>
          <w:lang w:val="en-US"/>
        </w:rPr>
      </w:pPr>
      <w:r w:rsidRPr="00246F56">
        <w:rPr>
          <w:rStyle w:val="Appelnotedebasdep"/>
          <w:rFonts w:ascii="Times New Roman" w:hAnsi="Times New Roman" w:cs="Times New Roman"/>
          <w:sz w:val="20"/>
          <w:szCs w:val="20"/>
        </w:rPr>
        <w:footnoteRef/>
      </w:r>
      <w:r w:rsidRPr="00246F56">
        <w:rPr>
          <w:rStyle w:val="Appelnotedebasdep"/>
          <w:rFonts w:ascii="Times New Roman" w:hAnsi="Times New Roman" w:cs="Times New Roman"/>
          <w:sz w:val="20"/>
          <w:szCs w:val="20"/>
          <w:lang w:val="en-US"/>
        </w:rPr>
        <w:t xml:space="preserve"> </w:t>
      </w:r>
      <w:r w:rsidRPr="007235C7">
        <w:rPr>
          <w:rFonts w:ascii="Times New Roman" w:hAnsi="Times New Roman" w:cs="Times New Roman"/>
          <w:sz w:val="20"/>
          <w:szCs w:val="20"/>
          <w:lang w:val="en-US"/>
        </w:rPr>
        <w:t>See Council Regulation (EC) No 1/2003 of 16 December 2002 on the</w:t>
      </w:r>
      <w:r w:rsidRPr="007A32C3">
        <w:rPr>
          <w:rFonts w:ascii="Times New Roman" w:hAnsi="Times New Roman" w:cs="Times New Roman"/>
          <w:sz w:val="20"/>
          <w:szCs w:val="20"/>
          <w:lang w:val="en-US"/>
        </w:rPr>
        <w:t xml:space="preserve"> implementation of the rules on competition laid down in Articles 81 and 82 of the Treaty [2003] OJ L1/1</w:t>
      </w:r>
      <w:r w:rsidRPr="006E0306">
        <w:rPr>
          <w:rFonts w:ascii="Times New Roman" w:hAnsi="Times New Roman" w:cs="Times New Roman"/>
          <w:sz w:val="20"/>
          <w:szCs w:val="20"/>
          <w:lang w:val="en-GB"/>
        </w:rPr>
        <w:t xml:space="preserve"> (hereafter “Regulation 1/2003”), in particular Preamble at Recital 37.</w:t>
      </w:r>
    </w:p>
  </w:footnote>
  <w:footnote w:id="8">
    <w:p w:rsidR="0081781C" w:rsidRPr="00246F56" w:rsidRDefault="0081781C">
      <w:pPr>
        <w:widowControl w:val="0"/>
        <w:autoSpaceDE w:val="0"/>
        <w:autoSpaceDN w:val="0"/>
        <w:adjustRightInd w:val="0"/>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US"/>
        </w:rPr>
        <w:t>See Commission Implementing Regulation (EC) No 773/2004 of 7 April 2004 relati</w:t>
      </w:r>
      <w:r w:rsidRPr="007A32C3">
        <w:rPr>
          <w:rFonts w:ascii="Times New Roman" w:hAnsi="Times New Roman" w:cs="Times New Roman"/>
          <w:sz w:val="20"/>
          <w:szCs w:val="20"/>
          <w:lang w:val="en-US"/>
        </w:rPr>
        <w:t>ng to the conduct of proceedings by the Commission pursuant to Articles 81 and 82 of the EC Treaty (OJ L 123</w:t>
      </w:r>
      <w:r w:rsidRPr="00CD4E3B">
        <w:rPr>
          <w:rFonts w:ascii="Times New Roman" w:hAnsi="Times New Roman" w:cs="Times New Roman"/>
          <w:sz w:val="20"/>
          <w:szCs w:val="20"/>
          <w:lang w:val="en-US"/>
        </w:rPr>
        <w:t>/18).</w:t>
      </w:r>
    </w:p>
  </w:footnote>
  <w:footnote w:id="9">
    <w:p w:rsidR="0081781C" w:rsidRPr="006E0306"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In this Chapter we use CJEU and GC, to refer also to cases dealt by the former ECJ and CFI. We use EU Courts to refer to bot</w:t>
      </w:r>
      <w:r w:rsidRPr="006E0306">
        <w:rPr>
          <w:rFonts w:ascii="Times New Roman" w:hAnsi="Times New Roman" w:cs="Times New Roman"/>
          <w:sz w:val="20"/>
          <w:szCs w:val="20"/>
          <w:lang w:val="en-GB"/>
        </w:rPr>
        <w:t>h CJEU/ECJ and GC/CFI rulings.</w:t>
      </w:r>
    </w:p>
  </w:footnote>
  <w:footnote w:id="10">
    <w:p w:rsidR="0081781C" w:rsidRPr="00CD4E3B" w:rsidRDefault="0081781C">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7235C7">
        <w:rPr>
          <w:rFonts w:ascii="Times New Roman" w:hAnsi="Times New Roman" w:cs="Times New Roman"/>
          <w:sz w:val="20"/>
          <w:szCs w:val="20"/>
          <w:lang w:val="en-GB"/>
        </w:rPr>
        <w:t xml:space="preserve"> See </w:t>
      </w:r>
      <w:r w:rsidRPr="007A32C3">
        <w:rPr>
          <w:rFonts w:ascii="Times New Roman" w:hAnsi="Times New Roman" w:cs="Times New Roman"/>
          <w:sz w:val="20"/>
          <w:szCs w:val="20"/>
          <w:lang w:val="en-GB"/>
        </w:rPr>
        <w:t>I. Forrester, Due process in competition proceedings, Concurrences N° 3-2010,</w:t>
      </w:r>
      <w:r w:rsidRPr="00CD4E3B">
        <w:rPr>
          <w:rFonts w:ascii="Times New Roman" w:hAnsi="Times New Roman" w:cs="Times New Roman"/>
          <w:sz w:val="20"/>
          <w:szCs w:val="20"/>
          <w:lang w:val="en-GB"/>
        </w:rPr>
        <w:t xml:space="preserve"> 13-16.</w:t>
      </w:r>
    </w:p>
  </w:footnote>
  <w:footnote w:id="11">
    <w:p w:rsidR="0081781C" w:rsidRPr="00246F56" w:rsidRDefault="0081781C" w:rsidP="00246F56">
      <w:pPr>
        <w:pStyle w:val="Notedebasdepage"/>
        <w:jc w:val="both"/>
        <w:rPr>
          <w:rFonts w:ascii="Times New Roman" w:hAnsi="Times New Roman" w:cs="Times New Roman"/>
          <w:sz w:val="20"/>
          <w:szCs w:val="20"/>
          <w:lang w:val="en-US"/>
        </w:rPr>
      </w:pPr>
      <w:r w:rsidRPr="00246F56">
        <w:rPr>
          <w:rStyle w:val="Appelnotedebasdep"/>
          <w:rFonts w:ascii="Times New Roman" w:hAnsi="Times New Roman" w:cs="Times New Roman"/>
          <w:sz w:val="20"/>
          <w:szCs w:val="20"/>
        </w:rPr>
        <w:footnoteRef/>
      </w:r>
      <w:r w:rsidRPr="00246F56">
        <w:rPr>
          <w:rFonts w:ascii="Times New Roman" w:hAnsi="Times New Roman" w:cs="Times New Roman"/>
          <w:sz w:val="20"/>
          <w:szCs w:val="20"/>
          <w:lang w:val="en-US"/>
        </w:rPr>
        <w:t xml:space="preserve"> </w:t>
      </w:r>
      <w:r w:rsidRPr="00246F56">
        <w:rPr>
          <w:rFonts w:ascii="Times New Roman" w:hAnsi="Times New Roman" w:cs="Times New Roman"/>
          <w:i/>
          <w:sz w:val="20"/>
          <w:szCs w:val="20"/>
          <w:lang w:val="en-US"/>
        </w:rPr>
        <w:t xml:space="preserve">Ibid. </w:t>
      </w:r>
      <w:r w:rsidRPr="00246F56">
        <w:rPr>
          <w:rFonts w:ascii="Times New Roman" w:hAnsi="Times New Roman" w:cs="Times New Roman"/>
          <w:sz w:val="20"/>
          <w:szCs w:val="20"/>
          <w:lang w:val="en-GB"/>
        </w:rPr>
        <w:t>This paper does not specifically address the role of the Hearing Officer or the controversial issues generated by the fact that the EU Commission acts as investigator, prosecutor and judge.</w:t>
      </w:r>
    </w:p>
  </w:footnote>
  <w:footnote w:id="12">
    <w:p w:rsidR="0081781C" w:rsidRPr="00246F56" w:rsidRDefault="0081781C" w:rsidP="00246F56">
      <w:pPr>
        <w:pStyle w:val="Notedebasdepage"/>
        <w:jc w:val="both"/>
        <w:rPr>
          <w:rFonts w:ascii="Times New Roman" w:hAnsi="Times New Roman" w:cs="Times New Roman"/>
          <w:sz w:val="20"/>
          <w:szCs w:val="20"/>
          <w:lang w:val="en-US"/>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See </w:t>
      </w:r>
      <w:r w:rsidRPr="007235C7">
        <w:rPr>
          <w:rFonts w:ascii="Times New Roman" w:hAnsi="Times New Roman" w:cs="Times New Roman"/>
          <w:sz w:val="20"/>
          <w:szCs w:val="20"/>
          <w:lang w:val="en-GB"/>
        </w:rPr>
        <w:t xml:space="preserve">C-347/87, Orkem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3283, §</w:t>
      </w:r>
      <w:r w:rsidRPr="007A32C3">
        <w:rPr>
          <w:rFonts w:ascii="Times New Roman" w:hAnsi="Times New Roman" w:cs="Times New Roman"/>
          <w:sz w:val="20"/>
          <w:szCs w:val="20"/>
          <w:lang w:val="en-GB"/>
        </w:rPr>
        <w:t>30.</w:t>
      </w:r>
    </w:p>
  </w:footnote>
  <w:footnote w:id="13">
    <w:p w:rsidR="0081781C" w:rsidRPr="00246F56" w:rsidRDefault="0081781C" w:rsidP="007A32C3">
      <w:pPr>
        <w:pStyle w:val="Sansinterligne"/>
        <w:jc w:val="both"/>
        <w:rPr>
          <w:rFonts w:ascii="Times New Roman" w:hAnsi="Times New Roman"/>
          <w:sz w:val="20"/>
          <w:szCs w:val="20"/>
          <w:lang w:val="en-GB"/>
        </w:rPr>
      </w:pPr>
      <w:r w:rsidRPr="007235C7">
        <w:rPr>
          <w:rStyle w:val="Appelnotedebasdep"/>
          <w:rFonts w:ascii="Times New Roman" w:hAnsi="Times New Roman"/>
          <w:sz w:val="20"/>
          <w:szCs w:val="20"/>
        </w:rPr>
        <w:footnoteRef/>
      </w:r>
      <w:r w:rsidRPr="00246F56">
        <w:rPr>
          <w:rFonts w:ascii="Times New Roman" w:hAnsi="Times New Roman"/>
          <w:sz w:val="20"/>
          <w:szCs w:val="20"/>
          <w:lang w:val="en-US"/>
        </w:rPr>
        <w:t xml:space="preserve"> See T-348/94, </w:t>
      </w:r>
      <w:r w:rsidRPr="00246F56">
        <w:rPr>
          <w:rFonts w:ascii="Times New Roman" w:hAnsi="Times New Roman"/>
          <w:i/>
          <w:sz w:val="20"/>
          <w:szCs w:val="20"/>
          <w:lang w:val="en-US"/>
        </w:rPr>
        <w:t>Enso Española SA v Commission</w:t>
      </w:r>
      <w:r w:rsidRPr="00246F56">
        <w:rPr>
          <w:rFonts w:ascii="Times New Roman" w:hAnsi="Times New Roman"/>
          <w:sz w:val="20"/>
          <w:szCs w:val="20"/>
          <w:lang w:val="en-US"/>
        </w:rPr>
        <w:t xml:space="preserve">, [1998] </w:t>
      </w:r>
      <w:r w:rsidRPr="007235C7">
        <w:rPr>
          <w:rStyle w:val="Accentuation"/>
          <w:rFonts w:ascii="Times New Roman" w:hAnsi="Times New Roman"/>
          <w:i w:val="0"/>
          <w:sz w:val="20"/>
          <w:szCs w:val="20"/>
          <w:lang w:val="en-US"/>
        </w:rPr>
        <w:t xml:space="preserve">ECR, 1998, </w:t>
      </w:r>
      <w:r w:rsidRPr="00246F56">
        <w:rPr>
          <w:rStyle w:val="Accentuation"/>
          <w:rFonts w:ascii="Times New Roman" w:hAnsi="Times New Roman"/>
          <w:i w:val="0"/>
          <w:sz w:val="20"/>
          <w:szCs w:val="20"/>
          <w:lang w:val="en-US"/>
        </w:rPr>
        <w:t>II-1875</w:t>
      </w:r>
      <w:r w:rsidRPr="00246F56">
        <w:rPr>
          <w:rFonts w:ascii="Times New Roman" w:hAnsi="Times New Roman"/>
          <w:sz w:val="20"/>
          <w:szCs w:val="20"/>
          <w:lang w:val="en-US"/>
        </w:rPr>
        <w:t>, §</w:t>
      </w:r>
      <w:r w:rsidRPr="007235C7">
        <w:rPr>
          <w:rFonts w:ascii="Times New Roman" w:hAnsi="Times New Roman"/>
          <w:sz w:val="20"/>
          <w:szCs w:val="20"/>
          <w:lang w:val="en-US"/>
        </w:rPr>
        <w:t>60</w:t>
      </w:r>
      <w:r w:rsidRPr="007A32C3">
        <w:rPr>
          <w:rFonts w:ascii="Times New Roman" w:hAnsi="Times New Roman"/>
          <w:sz w:val="20"/>
          <w:szCs w:val="20"/>
          <w:lang w:val="en-US"/>
        </w:rPr>
        <w:t xml:space="preserve"> and</w:t>
      </w:r>
      <w:r w:rsidRPr="006E0306">
        <w:rPr>
          <w:rFonts w:ascii="Times New Roman" w:hAnsi="Times New Roman"/>
          <w:sz w:val="20"/>
          <w:szCs w:val="20"/>
          <w:lang w:val="en-US"/>
        </w:rPr>
        <w:t xml:space="preserve"> </w:t>
      </w:r>
      <w:r w:rsidRPr="00246F56">
        <w:rPr>
          <w:rFonts w:ascii="Times New Roman" w:hAnsi="Times New Roman"/>
          <w:sz w:val="20"/>
          <w:szCs w:val="20"/>
          <w:lang w:val="en-US" w:eastAsia="fr-BE"/>
        </w:rPr>
        <w:t>C-341/06 P and C-342/06 P</w:t>
      </w:r>
      <w:r w:rsidRPr="00246F56">
        <w:rPr>
          <w:rFonts w:ascii="Times New Roman" w:hAnsi="Times New Roman"/>
          <w:i/>
          <w:sz w:val="20"/>
          <w:szCs w:val="20"/>
          <w:lang w:val="en-US" w:eastAsia="fr-BE"/>
        </w:rPr>
        <w:t xml:space="preserve">, </w:t>
      </w:r>
      <w:r w:rsidRPr="00246F56">
        <w:rPr>
          <w:rFonts w:ascii="Times New Roman" w:hAnsi="Times New Roman"/>
          <w:sz w:val="20"/>
          <w:szCs w:val="20"/>
          <w:lang w:val="en-US" w:eastAsia="fr-BE"/>
        </w:rPr>
        <w:t xml:space="preserve">Chronopost SA and La Poste v UFEX </w:t>
      </w:r>
      <w:r w:rsidRPr="00246F56">
        <w:rPr>
          <w:rFonts w:ascii="Times New Roman" w:hAnsi="Times New Roman"/>
          <w:i/>
          <w:iCs/>
          <w:sz w:val="20"/>
          <w:szCs w:val="20"/>
          <w:lang w:val="en-US" w:eastAsia="fr-BE"/>
        </w:rPr>
        <w:t xml:space="preserve">, </w:t>
      </w:r>
      <w:r w:rsidRPr="00246F56">
        <w:rPr>
          <w:rFonts w:ascii="Times New Roman" w:hAnsi="Times New Roman"/>
          <w:iCs/>
          <w:sz w:val="20"/>
          <w:szCs w:val="20"/>
          <w:lang w:val="en-US" w:eastAsia="fr-BE"/>
        </w:rPr>
        <w:t>[2008] ECR</w:t>
      </w:r>
      <w:r w:rsidRPr="00246F56">
        <w:rPr>
          <w:rFonts w:ascii="Times New Roman" w:hAnsi="Times New Roman"/>
          <w:i/>
          <w:iCs/>
          <w:sz w:val="20"/>
          <w:szCs w:val="20"/>
          <w:lang w:val="en-US" w:eastAsia="fr-BE"/>
        </w:rPr>
        <w:t xml:space="preserve">, </w:t>
      </w:r>
      <w:r w:rsidRPr="00246F56">
        <w:rPr>
          <w:rFonts w:ascii="Times New Roman" w:hAnsi="Times New Roman"/>
          <w:iCs/>
          <w:sz w:val="20"/>
          <w:szCs w:val="20"/>
          <w:lang w:val="en-US" w:eastAsia="fr-BE"/>
        </w:rPr>
        <w:t>I-04777</w:t>
      </w:r>
      <w:r w:rsidRPr="00246F56">
        <w:rPr>
          <w:rFonts w:ascii="Times New Roman" w:hAnsi="Times New Roman"/>
          <w:sz w:val="20"/>
          <w:szCs w:val="20"/>
          <w:lang w:val="en-US" w:eastAsia="fr-BE"/>
        </w:rPr>
        <w:t>, §§ 44- 45:</w:t>
      </w:r>
      <w:r w:rsidRPr="007235C7">
        <w:rPr>
          <w:rFonts w:ascii="Times New Roman" w:hAnsi="Times New Roman"/>
          <w:sz w:val="20"/>
          <w:szCs w:val="20"/>
          <w:lang w:val="en-US"/>
        </w:rPr>
        <w:t xml:space="preserve"> </w:t>
      </w:r>
      <w:r w:rsidRPr="00246F56">
        <w:rPr>
          <w:rFonts w:ascii="Times New Roman" w:hAnsi="Times New Roman"/>
          <w:sz w:val="20"/>
          <w:szCs w:val="20"/>
          <w:lang w:val="en-US" w:eastAsia="fr-BE"/>
        </w:rPr>
        <w:t xml:space="preserve"> “</w:t>
      </w:r>
      <w:r w:rsidRPr="00246F56">
        <w:rPr>
          <w:rFonts w:ascii="Times New Roman" w:hAnsi="Times New Roman"/>
          <w:i/>
          <w:sz w:val="20"/>
          <w:szCs w:val="20"/>
          <w:lang w:val="en-US" w:eastAsia="fr-BE"/>
        </w:rPr>
        <w:t>The right to a fair trial, which derives inter alia from Article 6(1) of the ECHR, constitutes a fundamental right which the European Union respects as a general principle under Article 6(2) EU. That right to a fair trial means that everyone must be entitled to a fair and public hearing within a reasonable time by an independent and impartial tribunal established by law. Such a right is applicable in the context of proceedings brought against a Commission decision</w:t>
      </w:r>
      <w:r w:rsidRPr="00246F56">
        <w:rPr>
          <w:rFonts w:ascii="Times New Roman" w:hAnsi="Times New Roman"/>
          <w:sz w:val="20"/>
          <w:szCs w:val="20"/>
          <w:lang w:val="en-US" w:eastAsia="fr-BE"/>
        </w:rPr>
        <w:t>”.</w:t>
      </w:r>
    </w:p>
  </w:footnote>
  <w:footnote w:id="14">
    <w:p w:rsidR="0081781C" w:rsidRPr="007235C7" w:rsidRDefault="0081781C" w:rsidP="006E0306">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 xml:space="preserve">See </w:t>
      </w:r>
      <w:r w:rsidRPr="00246F56">
        <w:rPr>
          <w:rFonts w:ascii="Times New Roman" w:hAnsi="Times New Roman" w:cs="Times New Roman"/>
          <w:i/>
          <w:sz w:val="20"/>
          <w:szCs w:val="20"/>
          <w:lang w:val="en-GB"/>
        </w:rPr>
        <w:t>Ibid</w:t>
      </w:r>
      <w:r w:rsidRPr="007235C7">
        <w:rPr>
          <w:rFonts w:ascii="Times New Roman" w:hAnsi="Times New Roman" w:cs="Times New Roman"/>
          <w:sz w:val="20"/>
          <w:szCs w:val="20"/>
          <w:lang w:val="en-GB"/>
        </w:rPr>
        <w:t>.</w:t>
      </w:r>
    </w:p>
  </w:footnote>
  <w:footnote w:id="15">
    <w:p w:rsidR="0081781C" w:rsidRPr="007A32C3"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7A32C3">
        <w:rPr>
          <w:rFonts w:ascii="Times New Roman" w:hAnsi="Times New Roman" w:cs="Times New Roman"/>
          <w:sz w:val="20"/>
          <w:szCs w:val="20"/>
          <w:lang w:val="en-GB"/>
        </w:rPr>
        <w:t xml:space="preserve">C-155/79, AM &amp; Europe Limited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1982</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1575</w:t>
      </w:r>
      <w:r w:rsidRPr="007A32C3">
        <w:rPr>
          <w:rFonts w:ascii="Times New Roman" w:hAnsi="Times New Roman" w:cs="Times New Roman"/>
          <w:sz w:val="20"/>
          <w:szCs w:val="20"/>
          <w:lang w:val="en-GB"/>
        </w:rPr>
        <w:t>, §§18-27.</w:t>
      </w:r>
    </w:p>
  </w:footnote>
  <w:footnote w:id="16">
    <w:p w:rsidR="0081781C" w:rsidRPr="00CD4E3B" w:rsidRDefault="0081781C">
      <w:pPr>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See C-85/87, Dow Bénélux v Commission</w:t>
      </w:r>
      <w:r w:rsidRPr="007235C7">
        <w:rPr>
          <w:rFonts w:ascii="Times New Roman" w:hAnsi="Times New Roman" w:cs="Times New Roman"/>
          <w:sz w:val="20"/>
          <w:szCs w:val="20"/>
          <w:lang w:val="en-US"/>
        </w:rPr>
        <w:t>,</w:t>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fr-BE"/>
        </w:rPr>
        <w:sym w:font="Symbol" w:char="F05B"/>
      </w:r>
      <w:r w:rsidRPr="00246F56">
        <w:rPr>
          <w:rFonts w:ascii="Times New Roman" w:hAnsi="Times New Roman" w:cs="Times New Roman"/>
          <w:sz w:val="20"/>
          <w:szCs w:val="20"/>
          <w:lang w:val="en-US"/>
        </w:rPr>
        <w:t>1987</w:t>
      </w:r>
      <w:r w:rsidRPr="007235C7">
        <w:rPr>
          <w:rFonts w:ascii="Times New Roman" w:hAnsi="Times New Roman" w:cs="Times New Roman"/>
          <w:sz w:val="20"/>
          <w:szCs w:val="20"/>
          <w:lang w:val="fr-BE"/>
        </w:rPr>
        <w:sym w:font="Symbol" w:char="F05D"/>
      </w:r>
      <w:r w:rsidRPr="00246F56">
        <w:rPr>
          <w:rFonts w:ascii="Times New Roman" w:hAnsi="Times New Roman" w:cs="Times New Roman"/>
          <w:sz w:val="20"/>
          <w:szCs w:val="20"/>
          <w:lang w:val="en-US"/>
        </w:rPr>
        <w:t xml:space="preserve"> ECR 3150</w:t>
      </w:r>
      <w:r w:rsidRPr="007235C7">
        <w:rPr>
          <w:rFonts w:ascii="Times New Roman" w:hAnsi="Times New Roman" w:cs="Times New Roman"/>
          <w:sz w:val="20"/>
          <w:szCs w:val="20"/>
          <w:lang w:val="en-US"/>
        </w:rPr>
        <w:t>, §27</w:t>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The ECJ has recognized the role of the lawyer as collaborating in the administ</w:t>
      </w:r>
      <w:r w:rsidRPr="006E0306">
        <w:rPr>
          <w:rFonts w:ascii="Times New Roman" w:hAnsi="Times New Roman" w:cs="Times New Roman"/>
          <w:sz w:val="20"/>
          <w:szCs w:val="20"/>
          <w:lang w:val="en-GB"/>
        </w:rPr>
        <w:t>ration of justice by the courts and as being required to provide the independent legal assistant the client needs without any constraints.</w:t>
      </w:r>
      <w:r w:rsidRPr="00CD4E3B">
        <w:rPr>
          <w:rFonts w:ascii="Times New Roman" w:hAnsi="Times New Roman" w:cs="Times New Roman"/>
          <w:sz w:val="20"/>
          <w:szCs w:val="20"/>
          <w:lang w:val="en-GB"/>
        </w:rPr>
        <w:t xml:space="preserve"> See also Case 94/00 Roquette Frères,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2002</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I-9011, §46; Case 155/79 AM &amp; S Europe Limited v Commission</w:t>
      </w:r>
      <w:r w:rsidRPr="007A32C3">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1982</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1575, §</w:t>
      </w:r>
      <w:r w:rsidRPr="007A32C3">
        <w:rPr>
          <w:rFonts w:ascii="Times New Roman" w:hAnsi="Times New Roman" w:cs="Times New Roman"/>
          <w:sz w:val="20"/>
          <w:szCs w:val="20"/>
          <w:lang w:val="en-GB"/>
        </w:rPr>
        <w:t>§18-27. Suspected firms can also dispense with external counsels, and use their in-house lawyers or other corporate executives to represent themselves directly before the Commission. What matters is that firms swiftly come forward with a r</w:t>
      </w:r>
      <w:r w:rsidRPr="006E0306">
        <w:rPr>
          <w:rFonts w:ascii="Times New Roman" w:hAnsi="Times New Roman" w:cs="Times New Roman"/>
          <w:sz w:val="20"/>
          <w:szCs w:val="20"/>
          <w:lang w:val="en-GB"/>
        </w:rPr>
        <w:t>epresentative who may act on their behalf during the inspection. EU law does not mention the precise identity of the persons entitled to assist undertakings during the proceedings.</w:t>
      </w:r>
      <w:r w:rsidRPr="00CD4E3B">
        <w:rPr>
          <w:rFonts w:ascii="Times New Roman" w:hAnsi="Times New Roman" w:cs="Times New Roman"/>
          <w:sz w:val="20"/>
          <w:szCs w:val="20"/>
          <w:lang w:val="en-GB"/>
        </w:rPr>
        <w:t xml:space="preserve"> </w:t>
      </w:r>
    </w:p>
  </w:footnote>
  <w:footnote w:id="17">
    <w:p w:rsidR="0081781C" w:rsidRPr="00CD4E3B" w:rsidRDefault="0081781C">
      <w:pPr>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246F56">
        <w:rPr>
          <w:rFonts w:ascii="Times New Roman" w:hAnsi="Times New Roman" w:cs="Times New Roman"/>
          <w:sz w:val="20"/>
          <w:szCs w:val="20"/>
          <w:lang w:val="en-US"/>
        </w:rPr>
        <w:t xml:space="preserve"> See Article 18(4) of </w:t>
      </w:r>
      <w:r w:rsidRPr="007235C7">
        <w:rPr>
          <w:rFonts w:ascii="Times New Roman" w:hAnsi="Times New Roman" w:cs="Times New Roman"/>
          <w:sz w:val="20"/>
          <w:szCs w:val="20"/>
          <w:lang w:val="en-GB"/>
        </w:rPr>
        <w:t xml:space="preserve">Regulation 1/2003 </w:t>
      </w:r>
      <w:r w:rsidRPr="00CD4E3B">
        <w:rPr>
          <w:rFonts w:ascii="Times New Roman" w:hAnsi="Times New Roman" w:cs="Times New Roman"/>
          <w:sz w:val="20"/>
          <w:szCs w:val="20"/>
          <w:lang w:val="en-GB"/>
        </w:rPr>
        <w:t xml:space="preserve">which provides that: </w:t>
      </w:r>
      <w:r w:rsidRPr="00CD4E3B">
        <w:rPr>
          <w:rFonts w:ascii="Times New Roman" w:hAnsi="Times New Roman" w:cs="Times New Roman"/>
          <w:i/>
          <w:sz w:val="20"/>
          <w:szCs w:val="20"/>
          <w:lang w:val="en-GB"/>
        </w:rPr>
        <w:t>“The owners of the undertakings or their representatives and, in the case of legal persons, companies or firms, or associations having no legal personality, the persons authorised to represent them by law or by their constitution shall supply the information requested on behalf of the undertaking or the association of undertakings concerned. Lawyers duly authorised to act may supply the information on behalf of their clients. The latter shall remain fully responsible if the information supplied is incomplete, incorrect or misleading”.</w:t>
      </w:r>
    </w:p>
    <w:p w:rsidR="0081781C" w:rsidRPr="00CD4E3B" w:rsidRDefault="0081781C">
      <w:pPr>
        <w:jc w:val="both"/>
        <w:rPr>
          <w:rFonts w:ascii="Times New Roman" w:hAnsi="Times New Roman" w:cs="Times New Roman"/>
          <w:sz w:val="20"/>
          <w:szCs w:val="20"/>
          <w:lang w:val="en-GB"/>
        </w:rPr>
      </w:pPr>
      <w:r w:rsidRPr="00CD4E3B">
        <w:rPr>
          <w:rFonts w:ascii="Times New Roman" w:hAnsi="Times New Roman" w:cs="Times New Roman"/>
          <w:sz w:val="20"/>
          <w:szCs w:val="20"/>
          <w:lang w:val="en-GB"/>
        </w:rPr>
        <w:t>Even if the right to participate effectively to antitrust proceedings is not included in Regulation 1/2003, we pinpoint that Article 27 is dedicated to the right to be heard. Before taking decisions of imposing a fine or periodic penalty payments, of ordering interim measures and finding infringement, the Commission shall give the undertakings which are the subject of the proceedings “</w:t>
      </w:r>
      <w:r w:rsidRPr="00CD4E3B">
        <w:rPr>
          <w:rFonts w:ascii="Times New Roman" w:hAnsi="Times New Roman" w:cs="Times New Roman"/>
          <w:i/>
          <w:sz w:val="20"/>
          <w:szCs w:val="20"/>
          <w:lang w:val="en-GB"/>
        </w:rPr>
        <w:t>the opportunity of being heard on the matters to which the Commission has taken objection</w:t>
      </w:r>
      <w:r w:rsidRPr="00CD4E3B">
        <w:rPr>
          <w:rFonts w:ascii="Times New Roman" w:hAnsi="Times New Roman" w:cs="Times New Roman"/>
          <w:sz w:val="20"/>
          <w:szCs w:val="20"/>
          <w:lang w:val="en-GB"/>
        </w:rPr>
        <w:t>”. After mentioning the right to be heard, Regulation 1/2003 states more generally “</w:t>
      </w:r>
      <w:r w:rsidRPr="00CD4E3B">
        <w:rPr>
          <w:rFonts w:ascii="Times New Roman" w:hAnsi="Times New Roman" w:cs="Times New Roman"/>
          <w:i/>
          <w:sz w:val="20"/>
          <w:szCs w:val="20"/>
          <w:lang w:val="en-GB"/>
        </w:rPr>
        <w:t>the right of defence of the parties concerned shall be fully respected in the proceedings</w:t>
      </w:r>
      <w:r w:rsidRPr="00CD4E3B">
        <w:rPr>
          <w:rFonts w:ascii="Times New Roman" w:hAnsi="Times New Roman" w:cs="Times New Roman"/>
          <w:sz w:val="20"/>
          <w:szCs w:val="20"/>
          <w:lang w:val="en-GB"/>
        </w:rPr>
        <w:t>”. This can imply a right of the accused participate in an effective manner in a criminal or administrative-sanctions procedure.</w:t>
      </w:r>
    </w:p>
  </w:footnote>
  <w:footnote w:id="18">
    <w:p w:rsidR="0081781C" w:rsidRPr="007D6DD4" w:rsidRDefault="0081781C">
      <w:pPr>
        <w:pStyle w:val="Notedebasdepage"/>
        <w:jc w:val="both"/>
        <w:rPr>
          <w:rStyle w:val="Appelnotedebasdep"/>
          <w:lang w:val="en-GB"/>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 xml:space="preserve"> See for example L. Ortiz Blanco, </w:t>
      </w:r>
      <w:r w:rsidRPr="00CD4E3B">
        <w:rPr>
          <w:rFonts w:ascii="Times New Roman" w:hAnsi="Times New Roman" w:cs="Times New Roman"/>
          <w:sz w:val="20"/>
          <w:szCs w:val="20"/>
          <w:lang w:val="en-GB"/>
        </w:rPr>
        <w:t>EU Competition Procedure, Oxford University Press, Oxford, 2013, 336-337; I. Lianos and D. Geradin, Handbook on European Competition Law, Edward Elgar Publishing Limited, Cheltenham, 2013, 153; D. Chalmers, G. Davies and G. Monti, European Union Law, Cambridge University Press, Cambridge, 2010, 927; W. Van Gerven, Principes du droit des ententes de la Communauté Economique européenne, Bruylant, Bruxelles, 1966, 355.</w:t>
      </w:r>
    </w:p>
  </w:footnote>
  <w:footnote w:id="19">
    <w:p w:rsidR="0081781C" w:rsidRPr="007D6DD4" w:rsidRDefault="0081781C">
      <w:pPr>
        <w:pStyle w:val="Notedebasdepage"/>
        <w:jc w:val="both"/>
        <w:rPr>
          <w:rStyle w:val="Appelnotedebasdep"/>
          <w:lang w:val="en-GB"/>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 xml:space="preserve"> See L. Ortiz Blanco, </w:t>
      </w:r>
      <w:r w:rsidRPr="00CD4E3B">
        <w:rPr>
          <w:rFonts w:ascii="Times New Roman" w:hAnsi="Times New Roman" w:cs="Times New Roman"/>
          <w:sz w:val="20"/>
          <w:szCs w:val="20"/>
          <w:lang w:val="en-GB"/>
        </w:rPr>
        <w:t>EU Competition Procedure, Oxford University Press, Oxford, 2013, 336-337.</w:t>
      </w:r>
    </w:p>
  </w:footnote>
  <w:footnote w:id="20">
    <w:p w:rsidR="0081781C" w:rsidRPr="00CD4E3B" w:rsidRDefault="0081781C">
      <w:pPr>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It seems nonetheless appropriate to give the employee the opportunity to consult a lawyer where there is a clear risk of self-incrimination and surely in case the employee has explicitly requested this. T</w:t>
      </w:r>
      <w:r w:rsidRPr="006E0306">
        <w:rPr>
          <w:rFonts w:ascii="Times New Roman" w:hAnsi="Times New Roman" w:cs="Times New Roman"/>
          <w:sz w:val="20"/>
          <w:szCs w:val="20"/>
          <w:lang w:val="en-GB"/>
        </w:rPr>
        <w:t xml:space="preserve">his would ensure the </w:t>
      </w:r>
      <w:r w:rsidRPr="00CD4E3B">
        <w:rPr>
          <w:rFonts w:ascii="Times New Roman" w:hAnsi="Times New Roman" w:cs="Times New Roman"/>
          <w:sz w:val="20"/>
          <w:szCs w:val="20"/>
          <w:lang w:val="en-GB"/>
        </w:rPr>
        <w:t>protection of the employee’s rights of defence.</w:t>
      </w:r>
    </w:p>
  </w:footnote>
  <w:footnote w:id="21">
    <w:p w:rsidR="0081781C" w:rsidRPr="007235C7" w:rsidRDefault="0081781C">
      <w:pPr>
        <w:widowControl w:val="0"/>
        <w:autoSpaceDE w:val="0"/>
        <w:autoSpaceDN w:val="0"/>
        <w:adjustRightInd w:val="0"/>
        <w:ind w:right="-6"/>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See Article 12(3) of Regulation 1/2003</w:t>
      </w:r>
      <w:r w:rsidRPr="00246F56">
        <w:rPr>
          <w:rFonts w:ascii="Times New Roman" w:hAnsi="Times New Roman" w:cs="Times New Roman"/>
          <w:sz w:val="20"/>
          <w:szCs w:val="20"/>
          <w:lang w:val="en-GB"/>
        </w:rPr>
        <w:t xml:space="preserve">: </w:t>
      </w:r>
      <w:r w:rsidRPr="00246F56">
        <w:rPr>
          <w:rFonts w:ascii="Times New Roman" w:hAnsi="Times New Roman" w:cs="Times New Roman"/>
          <w:i/>
          <w:sz w:val="20"/>
          <w:szCs w:val="20"/>
          <w:lang w:val="en-GB"/>
        </w:rPr>
        <w:t>“Information exchanged pursuant to paragraph 1 can only be used in evidence to impose sanctions on natural persons where: (i) the law of the transmitting authority foresees sanctions of a similar kind in relation to an infringement of Article 81 or Article 82 of the Treaty or, in the absence thereof, (ii) the information has been collected in a way which respects the same level of protection of the rights of defence of natural persons as provided for under the national rules of the receiving authority. However, in this case, the information exchanged cannot be used by the receiving authority to impose custodial sanctions.”</w:t>
      </w:r>
    </w:p>
  </w:footnote>
  <w:footnote w:id="22">
    <w:p w:rsidR="0081781C" w:rsidRPr="00246F56" w:rsidRDefault="0081781C" w:rsidP="00246F56">
      <w:pPr>
        <w:autoSpaceDE w:val="0"/>
        <w:autoSpaceDN w:val="0"/>
        <w:adjustRightInd w:val="0"/>
        <w:jc w:val="both"/>
        <w:rPr>
          <w:rFonts w:ascii="Times New Roman" w:hAnsi="Times New Roman" w:cs="Times New Roman"/>
          <w:bCs/>
          <w:color w:val="A80C28"/>
          <w:sz w:val="20"/>
          <w:szCs w:val="20"/>
          <w:lang w:val="en-US"/>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See </w:t>
      </w:r>
      <w:r w:rsidRPr="00246F56">
        <w:rPr>
          <w:rFonts w:ascii="Times New Roman" w:hAnsi="Times New Roman" w:cs="Times New Roman"/>
          <w:bCs/>
          <w:sz w:val="20"/>
          <w:szCs w:val="20"/>
          <w:lang w:val="en-US"/>
        </w:rPr>
        <w:t>J</w:t>
      </w:r>
      <w:r w:rsidRPr="007235C7">
        <w:rPr>
          <w:rFonts w:ascii="Times New Roman" w:hAnsi="Times New Roman" w:cs="Times New Roman"/>
          <w:bCs/>
          <w:sz w:val="20"/>
          <w:szCs w:val="20"/>
          <w:lang w:val="en-US"/>
        </w:rPr>
        <w:t>.</w:t>
      </w:r>
      <w:r w:rsidRPr="00246F56">
        <w:rPr>
          <w:rFonts w:ascii="Times New Roman" w:hAnsi="Times New Roman" w:cs="Times New Roman"/>
          <w:bCs/>
          <w:sz w:val="20"/>
          <w:szCs w:val="20"/>
          <w:lang w:val="en-US"/>
        </w:rPr>
        <w:t>H Boykin</w:t>
      </w:r>
      <w:r w:rsidRPr="007235C7">
        <w:rPr>
          <w:rFonts w:ascii="Times New Roman" w:hAnsi="Times New Roman" w:cs="Times New Roman"/>
          <w:bCs/>
          <w:sz w:val="20"/>
          <w:szCs w:val="20"/>
          <w:lang w:val="en-US"/>
        </w:rPr>
        <w:t>,</w:t>
      </w:r>
      <w:r w:rsidRPr="00246F56">
        <w:rPr>
          <w:rFonts w:ascii="Times New Roman" w:hAnsi="Times New Roman" w:cs="Times New Roman"/>
          <w:bCs/>
          <w:color w:val="A80C28"/>
          <w:sz w:val="20"/>
          <w:szCs w:val="20"/>
          <w:lang w:val="en-US"/>
        </w:rPr>
        <w:t xml:space="preserve"> </w:t>
      </w:r>
      <w:r w:rsidRPr="00246F56">
        <w:rPr>
          <w:rFonts w:ascii="Times New Roman" w:hAnsi="Times New Roman" w:cs="Times New Roman"/>
          <w:bCs/>
          <w:sz w:val="20"/>
          <w:szCs w:val="20"/>
          <w:lang w:val="en-US"/>
        </w:rPr>
        <w:t>Legal Privilege – the Debate,</w:t>
      </w:r>
      <w:r w:rsidRPr="00246F56">
        <w:rPr>
          <w:rFonts w:ascii="Times New Roman" w:hAnsi="Times New Roman" w:cs="Times New Roman"/>
          <w:i/>
          <w:iCs/>
          <w:sz w:val="20"/>
          <w:szCs w:val="20"/>
          <w:lang w:val="en-US"/>
        </w:rPr>
        <w:t xml:space="preserve"> </w:t>
      </w:r>
      <w:r w:rsidRPr="00246F56">
        <w:rPr>
          <w:rFonts w:ascii="Times New Roman" w:hAnsi="Times New Roman" w:cs="Times New Roman"/>
          <w:iCs/>
          <w:sz w:val="20"/>
          <w:szCs w:val="20"/>
          <w:lang w:val="en-US"/>
        </w:rPr>
        <w:t>(</w:t>
      </w:r>
      <w:r w:rsidRPr="007235C7">
        <w:rPr>
          <w:rFonts w:ascii="Times New Roman" w:hAnsi="Times New Roman" w:cs="Times New Roman"/>
          <w:sz w:val="20"/>
          <w:szCs w:val="20"/>
          <w:lang w:val="en-US"/>
        </w:rPr>
        <w:t xml:space="preserve">2006) </w:t>
      </w:r>
      <w:r w:rsidRPr="00246F56">
        <w:rPr>
          <w:rFonts w:ascii="Times New Roman" w:hAnsi="Times New Roman" w:cs="Times New Roman"/>
          <w:iCs/>
          <w:sz w:val="20"/>
          <w:szCs w:val="20"/>
          <w:lang w:val="en-US"/>
        </w:rPr>
        <w:t>The</w:t>
      </w:r>
      <w:r w:rsidRPr="00246F56">
        <w:rPr>
          <w:rFonts w:ascii="Times New Roman" w:hAnsi="Times New Roman" w:cs="Times New Roman"/>
          <w:i/>
          <w:iCs/>
          <w:sz w:val="20"/>
          <w:szCs w:val="20"/>
          <w:lang w:val="en-US"/>
        </w:rPr>
        <w:t xml:space="preserve"> </w:t>
      </w:r>
      <w:r w:rsidRPr="007235C7">
        <w:rPr>
          <w:rFonts w:ascii="Times New Roman" w:hAnsi="Times New Roman" w:cs="Times New Roman"/>
          <w:bCs/>
          <w:sz w:val="20"/>
          <w:szCs w:val="20"/>
          <w:lang w:val="en-US"/>
        </w:rPr>
        <w:t xml:space="preserve">In-House </w:t>
      </w:r>
      <w:r w:rsidRPr="007A32C3">
        <w:rPr>
          <w:rFonts w:ascii="Times New Roman" w:hAnsi="Times New Roman" w:cs="Times New Roman"/>
          <w:sz w:val="20"/>
          <w:szCs w:val="20"/>
          <w:lang w:val="en-US"/>
        </w:rPr>
        <w:t>Perspective,</w:t>
      </w:r>
      <w:r w:rsidRPr="006E0306">
        <w:rPr>
          <w:rFonts w:ascii="Times New Roman" w:hAnsi="Times New Roman" w:cs="Times New Roman"/>
          <w:sz w:val="20"/>
          <w:szCs w:val="20"/>
          <w:lang w:val="en-US"/>
        </w:rPr>
        <w:t xml:space="preserve"> </w:t>
      </w:r>
      <w:r w:rsidRPr="00246F56">
        <w:rPr>
          <w:rFonts w:ascii="Times New Roman" w:hAnsi="Times New Roman" w:cs="Times New Roman"/>
          <w:sz w:val="20"/>
          <w:szCs w:val="20"/>
          <w:lang w:val="en-US"/>
        </w:rPr>
        <w:t xml:space="preserve">Volume 2 Issue 1, </w:t>
      </w:r>
      <w:r w:rsidRPr="007235C7">
        <w:rPr>
          <w:rFonts w:ascii="Times New Roman" w:hAnsi="Times New Roman" w:cs="Times New Roman"/>
          <w:sz w:val="20"/>
          <w:szCs w:val="20"/>
          <w:lang w:val="en-US"/>
        </w:rPr>
        <w:t xml:space="preserve">19-21 (available at: </w:t>
      </w:r>
      <w:hyperlink r:id="rId1" w:history="1">
        <w:r w:rsidRPr="00246F56">
          <w:rPr>
            <w:rStyle w:val="Lienhypertexte"/>
            <w:rFonts w:ascii="Times New Roman" w:hAnsi="Times New Roman" w:cs="Times New Roman"/>
            <w:sz w:val="20"/>
            <w:szCs w:val="20"/>
            <w:lang w:val="en-US"/>
          </w:rPr>
          <w:t>http://www.hugheshubbard.com/ArticleDocuments/Boykin_article%20_2.pdf</w:t>
        </w:r>
      </w:hyperlink>
      <w:r w:rsidRPr="007235C7">
        <w:rPr>
          <w:rFonts w:ascii="Times New Roman" w:hAnsi="Times New Roman" w:cs="Times New Roman"/>
          <w:sz w:val="20"/>
          <w:szCs w:val="20"/>
          <w:lang w:val="en-US"/>
        </w:rPr>
        <w:t>).</w:t>
      </w:r>
      <w:r w:rsidRPr="00246F56">
        <w:rPr>
          <w:rFonts w:ascii="Times New Roman" w:hAnsi="Times New Roman" w:cs="Times New Roman"/>
          <w:sz w:val="20"/>
          <w:szCs w:val="20"/>
          <w:lang w:val="en-US"/>
        </w:rPr>
        <w:t xml:space="preserve"> </w:t>
      </w:r>
    </w:p>
  </w:footnote>
  <w:footnote w:id="23">
    <w:p w:rsidR="0081781C" w:rsidRPr="00CD4E3B" w:rsidRDefault="0081781C" w:rsidP="007235C7">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w:t>
      </w:r>
      <w:r w:rsidRPr="007A32C3">
        <w:rPr>
          <w:rFonts w:ascii="Times New Roman" w:hAnsi="Times New Roman" w:cs="Times New Roman"/>
          <w:sz w:val="20"/>
          <w:szCs w:val="20"/>
          <w:lang w:val="en-GB"/>
        </w:rPr>
        <w:t xml:space="preserve">ee C-155/79, AM &amp; 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1982</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1575, §18: </w:t>
      </w:r>
      <w:r w:rsidRPr="007A32C3">
        <w:rPr>
          <w:rFonts w:ascii="Times New Roman" w:hAnsi="Times New Roman" w:cs="Times New Roman"/>
          <w:i/>
          <w:sz w:val="20"/>
          <w:szCs w:val="20"/>
          <w:lang w:val="en-GB"/>
        </w:rPr>
        <w:t xml:space="preserve">“Community law, which derives not only the economic but also the legal interpretation of the </w:t>
      </w:r>
      <w:r>
        <w:rPr>
          <w:rFonts w:ascii="Times New Roman" w:hAnsi="Times New Roman" w:cs="Times New Roman"/>
          <w:i/>
          <w:sz w:val="20"/>
          <w:szCs w:val="20"/>
          <w:lang w:val="en-GB"/>
        </w:rPr>
        <w:t>M</w:t>
      </w:r>
      <w:r w:rsidRPr="007A32C3">
        <w:rPr>
          <w:rFonts w:ascii="Times New Roman" w:hAnsi="Times New Roman" w:cs="Times New Roman"/>
          <w:i/>
          <w:sz w:val="20"/>
          <w:szCs w:val="20"/>
          <w:lang w:val="en-GB"/>
        </w:rPr>
        <w:t xml:space="preserve">ember </w:t>
      </w:r>
      <w:r>
        <w:rPr>
          <w:rFonts w:ascii="Times New Roman" w:hAnsi="Times New Roman" w:cs="Times New Roman"/>
          <w:i/>
          <w:sz w:val="20"/>
          <w:szCs w:val="20"/>
          <w:lang w:val="en-GB"/>
        </w:rPr>
        <w:t>S</w:t>
      </w:r>
      <w:r w:rsidRPr="007A32C3">
        <w:rPr>
          <w:rFonts w:ascii="Times New Roman" w:hAnsi="Times New Roman" w:cs="Times New Roman"/>
          <w:i/>
          <w:sz w:val="20"/>
          <w:szCs w:val="20"/>
          <w:lang w:val="en-GB"/>
        </w:rPr>
        <w:t>tates, must take into account the principles and concepts common to the laws of those States concer</w:t>
      </w:r>
      <w:r w:rsidRPr="006E0306">
        <w:rPr>
          <w:rFonts w:ascii="Times New Roman" w:hAnsi="Times New Roman" w:cs="Times New Roman"/>
          <w:i/>
          <w:sz w:val="20"/>
          <w:szCs w:val="20"/>
          <w:lang w:val="en-GB"/>
        </w:rPr>
        <w:t xml:space="preserve">ning the observance of confidentiality, in particular, as regards certain communications between lawyer and client”. </w:t>
      </w:r>
      <w:r w:rsidRPr="007D6DD4">
        <w:rPr>
          <w:rFonts w:ascii="Times New Roman" w:hAnsi="Times New Roman" w:cs="Times New Roman"/>
          <w:sz w:val="20"/>
          <w:szCs w:val="20"/>
          <w:lang w:val="en-GB"/>
        </w:rPr>
        <w:t>This principle is itself derived from national case-law in criminal cases</w:t>
      </w:r>
      <w:r>
        <w:rPr>
          <w:rFonts w:ascii="Times New Roman" w:hAnsi="Times New Roman" w:cs="Times New Roman"/>
          <w:i/>
          <w:sz w:val="20"/>
          <w:szCs w:val="20"/>
          <w:lang w:val="en-GB"/>
        </w:rPr>
        <w:t xml:space="preserve"> </w:t>
      </w:r>
    </w:p>
  </w:footnote>
  <w:footnote w:id="24">
    <w:p w:rsidR="0081781C" w:rsidRPr="007235C7" w:rsidRDefault="0081781C" w:rsidP="007A32C3">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7A32C3">
        <w:rPr>
          <w:rFonts w:ascii="Times New Roman" w:hAnsi="Times New Roman" w:cs="Times New Roman"/>
          <w:sz w:val="20"/>
          <w:szCs w:val="20"/>
          <w:lang w:val="en-GB"/>
        </w:rPr>
        <w:t xml:space="preserve">C-155/79, AM &amp; 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1982</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1575, §21: </w:t>
      </w:r>
      <w:r w:rsidRPr="00246F56">
        <w:rPr>
          <w:rFonts w:ascii="Times New Roman" w:hAnsi="Times New Roman" w:cs="Times New Roman"/>
          <w:i/>
          <w:sz w:val="20"/>
          <w:szCs w:val="20"/>
          <w:lang w:val="en-GB"/>
        </w:rPr>
        <w:t>“Apart from these differences, however, there are to be found in the national laws of the Member States common criteria inasmuch as those laws protect, in similar circumstances, the confidentiality of written communications between lawyer and client provided that, on the one hand, such communications are ma</w:t>
      </w:r>
      <w:r>
        <w:rPr>
          <w:rFonts w:ascii="Times New Roman" w:hAnsi="Times New Roman" w:cs="Times New Roman"/>
          <w:i/>
          <w:sz w:val="20"/>
          <w:szCs w:val="20"/>
          <w:lang w:val="en-GB"/>
        </w:rPr>
        <w:t>d</w:t>
      </w:r>
      <w:r w:rsidRPr="00246F56">
        <w:rPr>
          <w:rFonts w:ascii="Times New Roman" w:hAnsi="Times New Roman" w:cs="Times New Roman"/>
          <w:i/>
          <w:sz w:val="20"/>
          <w:szCs w:val="20"/>
          <w:lang w:val="en-GB"/>
        </w:rPr>
        <w:t>e for the purposes and in the interests of the client’s rights of defence and, on the other hand, they emanate from independent lawyers, that is to say, lawyers who are not bound to the client by a relationship of employement”</w:t>
      </w:r>
      <w:r w:rsidRPr="007235C7">
        <w:rPr>
          <w:rFonts w:ascii="Times New Roman" w:hAnsi="Times New Roman" w:cs="Times New Roman"/>
          <w:sz w:val="20"/>
          <w:szCs w:val="20"/>
          <w:lang w:val="en-GB"/>
        </w:rPr>
        <w:t>. See also Order of the General</w:t>
      </w:r>
      <w:r w:rsidRPr="007A32C3">
        <w:rPr>
          <w:rFonts w:ascii="Times New Roman" w:hAnsi="Times New Roman" w:cs="Times New Roman"/>
          <w:sz w:val="20"/>
          <w:szCs w:val="20"/>
          <w:lang w:val="en-GB"/>
        </w:rPr>
        <w:t xml:space="preserve"> Court, T-30/89, Hilti Aktiengesselschaft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 xml:space="preserve">ECR II-163; </w:t>
      </w:r>
      <w:r w:rsidRPr="006E0306">
        <w:rPr>
          <w:rFonts w:ascii="Times New Roman" w:hAnsi="Times New Roman" w:cs="Times New Roman"/>
          <w:sz w:val="20"/>
          <w:szCs w:val="20"/>
          <w:lang w:val="en-GB"/>
        </w:rPr>
        <w:t>J</w:t>
      </w:r>
      <w:r w:rsidRPr="00CD4E3B">
        <w:rPr>
          <w:rFonts w:ascii="Times New Roman" w:hAnsi="Times New Roman" w:cs="Times New Roman"/>
          <w:sz w:val="20"/>
          <w:szCs w:val="20"/>
          <w:lang w:val="en-GB"/>
        </w:rPr>
        <w:t xml:space="preserve">oined Cases T-125/03 and 253/03, Akzo Nobel Chemicals Ltd et Ackros Chemicals Ltd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II-3523, §117. The Court of Justice has confirmed the GC ru</w:t>
      </w:r>
      <w:r w:rsidRPr="006E0306">
        <w:rPr>
          <w:rFonts w:ascii="Times New Roman" w:hAnsi="Times New Roman" w:cs="Times New Roman"/>
          <w:sz w:val="20"/>
          <w:szCs w:val="20"/>
          <w:lang w:val="en-GB"/>
        </w:rPr>
        <w:t xml:space="preserve">ling. See </w:t>
      </w:r>
      <w:r w:rsidRPr="00CD4E3B">
        <w:rPr>
          <w:rFonts w:ascii="Times New Roman" w:hAnsi="Times New Roman" w:cs="Times New Roman"/>
          <w:sz w:val="20"/>
          <w:szCs w:val="20"/>
          <w:lang w:val="en-GB"/>
        </w:rPr>
        <w:t xml:space="preserve">C-550/07 P, Akzo Nobel Chemicals Ltd and Akcros Chemicals Ltd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2010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I-8301.</w:t>
      </w:r>
    </w:p>
  </w:footnote>
  <w:footnote w:id="25">
    <w:p w:rsidR="0081781C" w:rsidRPr="007A32C3" w:rsidRDefault="0081781C" w:rsidP="006E0306">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7A32C3">
        <w:rPr>
          <w:rFonts w:ascii="Times New Roman" w:hAnsi="Times New Roman" w:cs="Times New Roman"/>
          <w:sz w:val="20"/>
          <w:szCs w:val="20"/>
          <w:lang w:val="en-GB"/>
        </w:rPr>
        <w:t xml:space="preserve">Joined Cases T-125/03 and 253/03, Akzo Nobel Chemicals Ltd </w:t>
      </w:r>
      <w:r>
        <w:rPr>
          <w:rFonts w:ascii="Times New Roman" w:hAnsi="Times New Roman" w:cs="Times New Roman"/>
          <w:sz w:val="20"/>
          <w:szCs w:val="20"/>
          <w:lang w:val="en-GB"/>
        </w:rPr>
        <w:t>and</w:t>
      </w:r>
      <w:r w:rsidRPr="007A32C3">
        <w:rPr>
          <w:rFonts w:ascii="Times New Roman" w:hAnsi="Times New Roman" w:cs="Times New Roman"/>
          <w:sz w:val="20"/>
          <w:szCs w:val="20"/>
          <w:lang w:val="en-GB"/>
        </w:rPr>
        <w:t xml:space="preserve"> Ackros Chemicals Ltd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II-3523, §1</w:t>
      </w:r>
      <w:r w:rsidRPr="007A32C3">
        <w:rPr>
          <w:rFonts w:ascii="Times New Roman" w:hAnsi="Times New Roman" w:cs="Times New Roman"/>
          <w:sz w:val="20"/>
          <w:szCs w:val="20"/>
          <w:lang w:val="en-GB"/>
        </w:rPr>
        <w:t>34.</w:t>
      </w:r>
    </w:p>
  </w:footnote>
  <w:footnote w:id="26">
    <w:p w:rsidR="0081781C" w:rsidRPr="006E0306" w:rsidRDefault="0081781C" w:rsidP="006E0306">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 xml:space="preserve">See </w:t>
      </w:r>
      <w:r w:rsidRPr="007A32C3">
        <w:rPr>
          <w:rFonts w:ascii="Times New Roman" w:hAnsi="Times New Roman" w:cs="Times New Roman"/>
          <w:i/>
          <w:sz w:val="20"/>
          <w:szCs w:val="20"/>
          <w:lang w:val="en-GB"/>
        </w:rPr>
        <w:t>Ibidem</w:t>
      </w:r>
      <w:r w:rsidRPr="006E0306">
        <w:rPr>
          <w:rFonts w:ascii="Times New Roman" w:hAnsi="Times New Roman" w:cs="Times New Roman"/>
          <w:sz w:val="20"/>
          <w:szCs w:val="20"/>
          <w:lang w:val="en-GB"/>
        </w:rPr>
        <w:t xml:space="preserve">, </w:t>
      </w:r>
      <w:r w:rsidRPr="00CD4E3B">
        <w:rPr>
          <w:rFonts w:ascii="Times New Roman" w:hAnsi="Times New Roman" w:cs="Times New Roman"/>
          <w:sz w:val="20"/>
          <w:szCs w:val="20"/>
          <w:lang w:val="en-GB"/>
        </w:rPr>
        <w:t>§128.</w:t>
      </w:r>
    </w:p>
  </w:footnote>
  <w:footnote w:id="27">
    <w:p w:rsidR="0081781C" w:rsidRPr="004E08B1" w:rsidRDefault="0081781C" w:rsidP="00246F56">
      <w:pPr>
        <w:pStyle w:val="Notedebasdepage"/>
        <w:jc w:val="both"/>
        <w:rPr>
          <w:rFonts w:ascii="Times New Roman" w:hAnsi="Times New Roman" w:cs="Times New Roman"/>
          <w:sz w:val="20"/>
          <w:szCs w:val="20"/>
          <w:lang w:val="en-US"/>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t xml:space="preserve">See </w:t>
      </w:r>
      <w:r w:rsidRPr="007A32C3">
        <w:rPr>
          <w:rFonts w:ascii="Times New Roman" w:hAnsi="Times New Roman" w:cs="Times New Roman"/>
          <w:i/>
          <w:sz w:val="20"/>
          <w:szCs w:val="20"/>
          <w:lang w:val="en-GB"/>
        </w:rPr>
        <w:t>Ibidem</w:t>
      </w:r>
      <w:r w:rsidRPr="007A32C3">
        <w:rPr>
          <w:rFonts w:ascii="Times New Roman" w:hAnsi="Times New Roman" w:cs="Times New Roman"/>
          <w:sz w:val="20"/>
          <w:szCs w:val="20"/>
          <w:lang w:val="en-GB"/>
        </w:rPr>
        <w:t>, §127.</w:t>
      </w:r>
    </w:p>
  </w:footnote>
  <w:footnote w:id="28">
    <w:p w:rsidR="0081781C" w:rsidRPr="007235C7" w:rsidRDefault="0081781C" w:rsidP="007A32C3">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Documents prepared in the context of a compliance program are excluded from legal professional privilege. See Joined Cases T-125/03 and 253/03, Akzo Nobel Chemicals Ltd and Akcros Chemicals Ltd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II-3532, §124.</w:t>
      </w:r>
    </w:p>
  </w:footnote>
  <w:footnote w:id="29">
    <w:p w:rsidR="0081781C" w:rsidRPr="007A32C3" w:rsidRDefault="0081781C" w:rsidP="006E0306">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246F56">
        <w:rPr>
          <w:rFonts w:ascii="Times New Roman" w:hAnsi="Times New Roman" w:cs="Times New Roman"/>
          <w:i/>
          <w:sz w:val="20"/>
          <w:szCs w:val="20"/>
          <w:lang w:val="en-GB"/>
        </w:rPr>
        <w:t>Ibid</w:t>
      </w:r>
      <w:r w:rsidRPr="007235C7">
        <w:rPr>
          <w:rFonts w:ascii="Times New Roman" w:hAnsi="Times New Roman" w:cs="Times New Roman"/>
          <w:i/>
          <w:sz w:val="20"/>
          <w:szCs w:val="20"/>
          <w:lang w:val="en-GB"/>
        </w:rPr>
        <w:t>em,</w:t>
      </w:r>
      <w:r w:rsidRPr="007A32C3">
        <w:rPr>
          <w:rFonts w:ascii="Times New Roman" w:hAnsi="Times New Roman" w:cs="Times New Roman"/>
          <w:sz w:val="20"/>
          <w:szCs w:val="20"/>
          <w:lang w:val="en-GB"/>
        </w:rPr>
        <w:t xml:space="preserve"> §44.</w:t>
      </w:r>
    </w:p>
  </w:footnote>
  <w:footnote w:id="30">
    <w:p w:rsidR="0081781C" w:rsidRPr="007D6DD4" w:rsidRDefault="0081781C" w:rsidP="00246F56">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w:t>
      </w:r>
      <w:r w:rsidRPr="00246F56">
        <w:rPr>
          <w:rFonts w:ascii="Times New Roman" w:hAnsi="Times New Roman" w:cs="Times New Roman"/>
          <w:sz w:val="20"/>
          <w:szCs w:val="20"/>
          <w:lang w:val="en-GB"/>
        </w:rPr>
        <w:t xml:space="preserve">See </w:t>
      </w:r>
      <w:r w:rsidRPr="007235C7">
        <w:rPr>
          <w:rFonts w:ascii="Times New Roman" w:hAnsi="Times New Roman" w:cs="Times New Roman"/>
          <w:sz w:val="20"/>
          <w:szCs w:val="20"/>
          <w:lang w:val="en-GB"/>
        </w:rPr>
        <w:t>P. Coen and C. Roquilly (</w:t>
      </w:r>
      <w:r w:rsidRPr="007A32C3">
        <w:rPr>
          <w:rFonts w:ascii="Times New Roman" w:hAnsi="Times New Roman" w:cs="Times New Roman"/>
          <w:sz w:val="20"/>
          <w:szCs w:val="20"/>
          <w:lang w:val="en-GB"/>
        </w:rPr>
        <w:t>Eds</w:t>
      </w:r>
      <w:r w:rsidRPr="006E0306">
        <w:rPr>
          <w:rFonts w:ascii="Times New Roman" w:hAnsi="Times New Roman" w:cs="Times New Roman"/>
          <w:sz w:val="20"/>
          <w:szCs w:val="20"/>
          <w:lang w:val="en-GB"/>
        </w:rPr>
        <w:t>.</w:t>
      </w:r>
      <w:r w:rsidRPr="00CD4E3B">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t xml:space="preserve">Company Lawyers: </w:t>
      </w:r>
      <w:r w:rsidRPr="00246F56">
        <w:rPr>
          <w:rFonts w:ascii="Times New Roman" w:hAnsi="Times New Roman" w:cs="Times New Roman"/>
          <w:sz w:val="20"/>
          <w:szCs w:val="20"/>
          <w:lang w:val="en-GB"/>
        </w:rPr>
        <w:t>Independent by Design, ECLA White Paper,</w:t>
      </w:r>
      <w:r w:rsidRPr="007235C7">
        <w:rPr>
          <w:rFonts w:ascii="Times New Roman" w:hAnsi="Times New Roman" w:cs="Times New Roman"/>
          <w:sz w:val="20"/>
          <w:szCs w:val="20"/>
          <w:lang w:val="en-GB"/>
        </w:rPr>
        <w:t xml:space="preserve"> </w:t>
      </w:r>
      <w:r w:rsidRPr="00246F56">
        <w:rPr>
          <w:rFonts w:ascii="Times New Roman" w:hAnsi="Times New Roman" w:cs="Times New Roman"/>
          <w:sz w:val="20"/>
          <w:szCs w:val="20"/>
          <w:lang w:val="en-GB"/>
        </w:rPr>
        <w:t>LexisNexis, 2014.</w:t>
      </w:r>
    </w:p>
  </w:footnote>
  <w:footnote w:id="31">
    <w:p w:rsidR="0081781C" w:rsidRPr="007235C7" w:rsidRDefault="0081781C" w:rsidP="007235C7">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Order of the General Court, T-30/89, Hilti Aktiengesselschaft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II-163.</w:t>
      </w:r>
    </w:p>
  </w:footnote>
  <w:footnote w:id="32">
    <w:p w:rsidR="0081781C" w:rsidRPr="007235C7" w:rsidRDefault="0081781C" w:rsidP="007A32C3">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6E0306">
        <w:rPr>
          <w:rFonts w:ascii="Times New Roman" w:hAnsi="Times New Roman" w:cs="Times New Roman"/>
          <w:sz w:val="20"/>
          <w:szCs w:val="20"/>
          <w:lang w:val="en-GB"/>
        </w:rPr>
        <w:t xml:space="preserve">Joined Cases T-125/03 and 253/03, Akzo Nobel Chemicals Ltd and Akcros Chemicals Ltd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II-3532, §123.</w:t>
      </w:r>
    </w:p>
  </w:footnote>
  <w:footnote w:id="33">
    <w:p w:rsidR="0081781C" w:rsidRPr="007235C7" w:rsidRDefault="0081781C" w:rsidP="007A32C3">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C-136/79, National Panasonic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2033, §19.</w:t>
      </w:r>
    </w:p>
  </w:footnote>
  <w:footnote w:id="34">
    <w:p w:rsidR="0081781C" w:rsidRPr="007A32C3" w:rsidRDefault="0081781C" w:rsidP="006E0306">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7A32C3">
        <w:rPr>
          <w:rFonts w:ascii="Times New Roman" w:hAnsi="Times New Roman" w:cs="Times New Roman"/>
          <w:sz w:val="20"/>
          <w:szCs w:val="20"/>
          <w:lang w:val="en-GB"/>
        </w:rPr>
        <w:t>T-37/91, Imperial Chemical Industries plc. V Com</w:t>
      </w:r>
      <w:r w:rsidRPr="006E0306">
        <w:rPr>
          <w:rFonts w:ascii="Times New Roman" w:hAnsi="Times New Roman" w:cs="Times New Roman"/>
          <w:sz w:val="20"/>
          <w:szCs w:val="20"/>
          <w:lang w:val="en-GB"/>
        </w:rPr>
        <w:t>mission</w:t>
      </w:r>
      <w:r>
        <w:rPr>
          <w:rFonts w:ascii="Times New Roman" w:hAnsi="Times New Roman" w:cs="Times New Roman"/>
          <w:sz w:val="20"/>
          <w:szCs w:val="20"/>
          <w:lang w:val="en-GB"/>
        </w:rPr>
        <w:t>,</w:t>
      </w:r>
      <w:r w:rsidRPr="00CD4E3B">
        <w:rPr>
          <w:rFonts w:ascii="Times New Roman" w:hAnsi="Times New Roman" w:cs="Times New Roman"/>
          <w:sz w:val="20"/>
          <w:szCs w:val="20"/>
          <w:lang w:val="en-GB"/>
        </w:rPr>
        <w:t xml:space="preserve"> [1995]</w:t>
      </w:r>
      <w:r w:rsidRPr="007D6DD4">
        <w:rPr>
          <w:rFonts w:ascii="Times New Roman" w:hAnsi="Times New Roman" w:cs="Times New Roman"/>
          <w:i/>
          <w:iCs/>
          <w:color w:val="000066"/>
          <w:sz w:val="20"/>
          <w:szCs w:val="20"/>
          <w:lang w:val="en-GB"/>
        </w:rPr>
        <w:t xml:space="preserve"> </w:t>
      </w:r>
      <w:r w:rsidRPr="007D6DD4">
        <w:rPr>
          <w:rFonts w:ascii="Times New Roman" w:hAnsi="Times New Roman" w:cs="Times New Roman"/>
          <w:iCs/>
          <w:sz w:val="20"/>
          <w:szCs w:val="20"/>
          <w:lang w:val="en-GB"/>
        </w:rPr>
        <w:t>ECR</w:t>
      </w:r>
      <w:r w:rsidRPr="007D6DD4">
        <w:rPr>
          <w:rFonts w:ascii="Times New Roman" w:hAnsi="Times New Roman" w:cs="Times New Roman"/>
          <w:i/>
          <w:iCs/>
          <w:sz w:val="20"/>
          <w:szCs w:val="20"/>
          <w:lang w:val="en-GB"/>
        </w:rPr>
        <w:t xml:space="preserve">. </w:t>
      </w:r>
      <w:r w:rsidRPr="007D6DD4">
        <w:rPr>
          <w:rFonts w:ascii="Times New Roman" w:hAnsi="Times New Roman" w:cs="Times New Roman"/>
          <w:iCs/>
          <w:sz w:val="20"/>
          <w:szCs w:val="20"/>
          <w:lang w:val="en-GB"/>
        </w:rPr>
        <w:t>II-1901,</w:t>
      </w:r>
      <w:r w:rsidRPr="007D6DD4">
        <w:rPr>
          <w:rFonts w:ascii="Times New Roman" w:hAnsi="Times New Roman" w:cs="Times New Roman"/>
          <w:i/>
          <w:iCs/>
          <w:sz w:val="20"/>
          <w:szCs w:val="20"/>
          <w:lang w:val="en-GB"/>
        </w:rPr>
        <w:t xml:space="preserve"> </w:t>
      </w:r>
      <w:r w:rsidRPr="007A32C3">
        <w:rPr>
          <w:rFonts w:ascii="Times New Roman" w:hAnsi="Times New Roman" w:cs="Times New Roman"/>
          <w:sz w:val="20"/>
          <w:szCs w:val="20"/>
          <w:lang w:val="en-GB"/>
        </w:rPr>
        <w:t>§64.</w:t>
      </w:r>
    </w:p>
  </w:footnote>
  <w:footnote w:id="35">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Article 41 ECHR.</w:t>
      </w:r>
    </w:p>
  </w:footnote>
  <w:footnote w:id="36">
    <w:p w:rsidR="0081781C" w:rsidRPr="00CD4E3B"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Article 27 §1 of Regulation 1/2003 and Article 15 and 16 of </w:t>
      </w:r>
      <w:r w:rsidRPr="007A32C3">
        <w:rPr>
          <w:rFonts w:ascii="Times New Roman" w:hAnsi="Times New Roman" w:cs="Times New Roman"/>
          <w:sz w:val="20"/>
          <w:szCs w:val="20"/>
          <w:lang w:val="en-GB"/>
        </w:rPr>
        <w:t>Commission Regulation 773/2004 relating to the conduct of proceedings by the Commission pursuant to Articles 81 and 82 of the EC Treaty (hereafter “Regulation 773/2004”).</w:t>
      </w:r>
    </w:p>
  </w:footnote>
  <w:footnote w:id="37">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7A32C3">
        <w:rPr>
          <w:rFonts w:ascii="Times New Roman" w:hAnsi="Times New Roman" w:cs="Times New Roman"/>
          <w:sz w:val="20"/>
          <w:szCs w:val="20"/>
          <w:lang w:val="en-GB"/>
        </w:rPr>
        <w:t xml:space="preserve">C-62/86 AKZO Chemie BV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1991</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I-3359; Joined Cases T-25, 26, </w:t>
      </w:r>
      <w:r w:rsidRPr="007A32C3">
        <w:rPr>
          <w:rFonts w:ascii="Times New Roman" w:hAnsi="Times New Roman" w:cs="Times New Roman"/>
          <w:sz w:val="20"/>
          <w:szCs w:val="20"/>
          <w:lang w:val="en-GB"/>
        </w:rPr>
        <w:t>30-32, 34-39, 42-46, 48, 50-56, 68-71, 87, 88, 103 &amp; 104/95 Cimenteries CBR and Others</w:t>
      </w:r>
      <w:r>
        <w:rPr>
          <w:rFonts w:ascii="Times New Roman" w:hAnsi="Times New Roman" w:cs="Times New Roman"/>
          <w:sz w:val="20"/>
          <w:szCs w:val="20"/>
          <w:lang w:val="en-GB"/>
        </w:rPr>
        <w:t>,</w:t>
      </w:r>
      <w:r w:rsidRPr="007A32C3">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II-491.</w:t>
      </w:r>
    </w:p>
  </w:footnote>
  <w:footnote w:id="38">
    <w:p w:rsidR="0081781C" w:rsidRPr="00246F56" w:rsidRDefault="0081781C">
      <w:pPr>
        <w:widowControl w:val="0"/>
        <w:autoSpaceDE w:val="0"/>
        <w:autoSpaceDN w:val="0"/>
        <w:adjustRightInd w:val="0"/>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Notice on Access to file; See also Commission notice on best practices for the conduct of proceedings concerning Articles 101 and 102 TFEU, OJ C</w:t>
      </w:r>
      <w:r w:rsidRPr="006E0306">
        <w:rPr>
          <w:rFonts w:ascii="Times New Roman" w:hAnsi="Times New Roman" w:cs="Times New Roman"/>
          <w:sz w:val="20"/>
          <w:szCs w:val="20"/>
          <w:lang w:val="en-GB"/>
        </w:rPr>
        <w:t xml:space="preserve"> 308</w:t>
      </w:r>
      <w:r w:rsidRPr="00CD4E3B">
        <w:rPr>
          <w:rFonts w:ascii="Times New Roman" w:hAnsi="Times New Roman" w:cs="Times New Roman"/>
          <w:sz w:val="20"/>
          <w:szCs w:val="20"/>
          <w:lang w:val="en-GB"/>
        </w:rPr>
        <w:t>/6-32 (hereafter “Best Practices Guidelines”), §§92 and ff.</w:t>
      </w:r>
    </w:p>
  </w:footnote>
  <w:footnote w:id="39">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Commission Notice on the Rules for Access to the Commission File in Cases pursuant to Articles 101 and 102 TFEU, Articles 53, 54 and 57 of the EAA Agreement and Co</w:t>
      </w:r>
      <w:r w:rsidRPr="007A32C3">
        <w:rPr>
          <w:rFonts w:ascii="Times New Roman" w:hAnsi="Times New Roman" w:cs="Times New Roman"/>
          <w:sz w:val="20"/>
          <w:szCs w:val="20"/>
          <w:lang w:val="en-GB"/>
        </w:rPr>
        <w:t xml:space="preserve">uncil Regulation (EC) No 139/2004,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2005</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OJ C 325/7, (hereafter “Notice on Access to file”), Article 1.</w:t>
      </w:r>
    </w:p>
  </w:footnote>
  <w:footnote w:id="40">
    <w:p w:rsidR="0081781C" w:rsidRPr="007A32C3"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7A32C3">
        <w:rPr>
          <w:rFonts w:ascii="Times New Roman" w:hAnsi="Times New Roman" w:cs="Times New Roman"/>
          <w:sz w:val="20"/>
          <w:szCs w:val="20"/>
          <w:lang w:val="en-GB"/>
        </w:rPr>
        <w:t>T-161/05, Hoechst GmbH v Commission</w:t>
      </w:r>
      <w:r w:rsidRPr="006E0306">
        <w:rPr>
          <w:rFonts w:ascii="Times New Roman" w:hAnsi="Times New Roman" w:cs="Times New Roman"/>
          <w:sz w:val="20"/>
          <w:szCs w:val="20"/>
          <w:lang w:val="en-GB"/>
        </w:rPr>
        <w:t>,</w:t>
      </w:r>
      <w:r w:rsidRPr="00CD4E3B">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II-3555, </w:t>
      </w:r>
      <w:r w:rsidRPr="007A32C3">
        <w:rPr>
          <w:rFonts w:ascii="Times New Roman" w:hAnsi="Times New Roman" w:cs="Times New Roman"/>
          <w:sz w:val="20"/>
          <w:szCs w:val="20"/>
          <w:lang w:val="en-GB"/>
        </w:rPr>
        <w:t xml:space="preserve">§160; </w:t>
      </w:r>
      <w:r w:rsidRPr="00CD4E3B">
        <w:rPr>
          <w:rFonts w:ascii="Times New Roman" w:hAnsi="Times New Roman" w:cs="Times New Roman"/>
          <w:sz w:val="20"/>
          <w:szCs w:val="20"/>
          <w:lang w:val="en-GB"/>
        </w:rPr>
        <w:t xml:space="preserve">C-51/92 P, Hercules Chemicals NV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I-4235, §76</w:t>
      </w:r>
      <w:r>
        <w:rPr>
          <w:rFonts w:ascii="Times New Roman" w:hAnsi="Times New Roman" w:cs="Times New Roman"/>
          <w:sz w:val="20"/>
          <w:szCs w:val="20"/>
          <w:lang w:val="en-GB"/>
        </w:rPr>
        <w:t>;</w:t>
      </w:r>
      <w:r w:rsidRPr="007235C7">
        <w:rPr>
          <w:rFonts w:ascii="Times New Roman" w:hAnsi="Times New Roman" w:cs="Times New Roman"/>
          <w:sz w:val="20"/>
          <w:szCs w:val="20"/>
          <w:lang w:val="en-GB"/>
        </w:rPr>
        <w:t xml:space="preserve"> Joined Cases T-191/98, T-212/98 to 214/98 Atlantic Container Line and Others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2003</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II-3275, §334; T-161/05 Hoechst GmbH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II-3555, §160</w:t>
      </w:r>
      <w:r w:rsidRPr="007A32C3">
        <w:rPr>
          <w:rFonts w:ascii="Times New Roman" w:hAnsi="Times New Roman" w:cs="Times New Roman"/>
          <w:sz w:val="20"/>
          <w:szCs w:val="20"/>
          <w:lang w:val="en-GB"/>
        </w:rPr>
        <w:t>.</w:t>
      </w:r>
    </w:p>
  </w:footnote>
  <w:footnote w:id="41">
    <w:p w:rsidR="0081781C" w:rsidRPr="00246F56" w:rsidRDefault="0081781C">
      <w:pPr>
        <w:pStyle w:val="Notedebasdepage"/>
        <w:jc w:val="both"/>
        <w:rPr>
          <w:rFonts w:ascii="Times New Roman" w:hAnsi="Times New Roman" w:cs="Times New Roman"/>
          <w:i/>
          <w:sz w:val="20"/>
          <w:szCs w:val="20"/>
          <w:lang w:val="en-GB"/>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See</w:t>
      </w:r>
      <w:r w:rsidRPr="006E0306">
        <w:rPr>
          <w:rFonts w:ascii="Times New Roman" w:hAnsi="Times New Roman" w:cs="Times New Roman"/>
          <w:sz w:val="20"/>
          <w:szCs w:val="20"/>
          <w:lang w:val="en-GB"/>
        </w:rPr>
        <w:t xml:space="preserve"> T-10/92, Cimenteries CBR and Others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1992</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II-2667, §38: </w:t>
      </w:r>
      <w:r w:rsidRPr="00246F56">
        <w:rPr>
          <w:rFonts w:ascii="Times New Roman" w:hAnsi="Times New Roman" w:cs="Times New Roman"/>
          <w:sz w:val="20"/>
          <w:szCs w:val="20"/>
          <w:lang w:val="en-GB"/>
        </w:rPr>
        <w:t>“</w:t>
      </w:r>
      <w:r w:rsidRPr="00246F56">
        <w:rPr>
          <w:rFonts w:ascii="Times New Roman" w:hAnsi="Times New Roman" w:cs="Times New Roman"/>
          <w:i/>
          <w:sz w:val="20"/>
          <w:szCs w:val="20"/>
          <w:lang w:val="en-GB"/>
        </w:rPr>
        <w:t>The procedure for access to the file in competition cases is intended to allow the addressees of an SO to examine evidence in the Commission' s files so that they are in a position effectively to express their views on the conclusions reached by the Commission in its SO on the basis of that evidence. Access to the file is thus one of the procedural guarantees intended to protect the rights of the defence and to ensure, in particular, that the right to be heard provided for in Article 19(1) and (2) of Regulation No 17 and Article 2 of Regulation No 99/63 can be exercised effectively. It follows that the right of access to the file compiled by the Commission is justified by the need to ensure that the undertakings in question are able properly to defend themselves against the objections made against them in the SO.”</w:t>
      </w:r>
    </w:p>
  </w:footnote>
  <w:footnote w:id="42">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C-514/07 P, C-528/07 and C-532/07 P, Sweden and API </w:t>
      </w:r>
      <w:r w:rsidRPr="007A32C3">
        <w:rPr>
          <w:rFonts w:ascii="Times New Roman" w:hAnsi="Times New Roman" w:cs="Times New Roman"/>
          <w:sz w:val="20"/>
          <w:szCs w:val="20"/>
          <w:lang w:val="en-GB"/>
        </w:rPr>
        <w:t>v Commission, §88</w:t>
      </w:r>
    </w:p>
  </w:footnote>
  <w:footnote w:id="43">
    <w:p w:rsidR="0081781C" w:rsidRPr="007A32C3"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CJEU, Joined Cases 56 and 58-64, Etablissements Consten S.à.R.L. and Grundig-Verkaufs-GmbH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1966</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299, </w:t>
      </w:r>
      <w:r w:rsidRPr="007A32C3">
        <w:rPr>
          <w:rFonts w:ascii="Times New Roman" w:hAnsi="Times New Roman" w:cs="Times New Roman"/>
          <w:sz w:val="20"/>
          <w:szCs w:val="20"/>
          <w:lang w:val="en-GB"/>
        </w:rPr>
        <w:t>338.</w:t>
      </w:r>
    </w:p>
  </w:footnote>
  <w:footnote w:id="44">
    <w:p w:rsidR="0081781C" w:rsidRPr="007A32C3"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Commission Regulation 773/2004 relating </w:t>
      </w:r>
      <w:r w:rsidRPr="007A32C3">
        <w:rPr>
          <w:rFonts w:ascii="Times New Roman" w:hAnsi="Times New Roman" w:cs="Times New Roman"/>
          <w:sz w:val="20"/>
          <w:szCs w:val="20"/>
          <w:lang w:val="en-GB"/>
        </w:rPr>
        <w:t>to the conduct of proceedings by the Commission pursuant to Articles 81 and 82 of the EC Treaty (hereafter “Regulation 773/2004”).</w:t>
      </w:r>
    </w:p>
  </w:footnote>
  <w:footnote w:id="45">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The SO sent to the parties will meet this requirement, whereas it will include the facts alleged against the undertaking, t</w:t>
      </w:r>
      <w:r w:rsidRPr="006E0306">
        <w:rPr>
          <w:rFonts w:ascii="Times New Roman" w:hAnsi="Times New Roman" w:cs="Times New Roman"/>
          <w:sz w:val="20"/>
          <w:szCs w:val="20"/>
          <w:lang w:val="en-GB"/>
        </w:rPr>
        <w:t>he legal classification of those facts, the legal arguments and evidence the Commission relies upon, and the factors taken into consideration to set the fine:</w:t>
      </w:r>
      <w:r w:rsidRPr="00246F56">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t>See Case C-45/69, Boehringer Mannheim v Commission,</w:t>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1970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w:t>
      </w:r>
      <w:r>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t>769, §</w:t>
      </w:r>
      <w:r w:rsidRPr="007A32C3">
        <w:rPr>
          <w:rFonts w:ascii="Times New Roman" w:hAnsi="Times New Roman" w:cs="Times New Roman"/>
          <w:sz w:val="20"/>
          <w:szCs w:val="20"/>
          <w:lang w:val="en-GB"/>
        </w:rPr>
        <w:t>9</w:t>
      </w:r>
      <w:r>
        <w:rPr>
          <w:rFonts w:ascii="Times New Roman" w:hAnsi="Times New Roman" w:cs="Times New Roman"/>
          <w:sz w:val="20"/>
          <w:szCs w:val="20"/>
          <w:lang w:val="en-GB"/>
        </w:rPr>
        <w:t>;</w:t>
      </w:r>
      <w:r w:rsidRPr="007A32C3">
        <w:rPr>
          <w:rFonts w:ascii="Times New Roman" w:hAnsi="Times New Roman" w:cs="Times New Roman"/>
          <w:sz w:val="20"/>
          <w:szCs w:val="20"/>
          <w:lang w:val="en-GB"/>
        </w:rPr>
        <w:t xml:space="preserve"> CJEU, C-136/79, Atl</w:t>
      </w:r>
      <w:r>
        <w:rPr>
          <w:rFonts w:ascii="Times New Roman" w:hAnsi="Times New Roman" w:cs="Times New Roman"/>
          <w:sz w:val="20"/>
          <w:szCs w:val="20"/>
          <w:lang w:val="en-GB"/>
        </w:rPr>
        <w:t>a</w:t>
      </w:r>
      <w:r w:rsidRPr="007A32C3">
        <w:rPr>
          <w:rFonts w:ascii="Times New Roman" w:hAnsi="Times New Roman" w:cs="Times New Roman"/>
          <w:sz w:val="20"/>
          <w:szCs w:val="20"/>
          <w:lang w:val="en-GB"/>
        </w:rPr>
        <w:t>n</w:t>
      </w:r>
      <w:r w:rsidRPr="006E0306">
        <w:rPr>
          <w:rFonts w:ascii="Times New Roman" w:hAnsi="Times New Roman" w:cs="Times New Roman"/>
          <w:sz w:val="20"/>
          <w:szCs w:val="20"/>
          <w:lang w:val="en-GB"/>
        </w:rPr>
        <w:t xml:space="preserve">tic Container Line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2033, §</w:t>
      </w:r>
      <w:r w:rsidRPr="007A32C3">
        <w:rPr>
          <w:rFonts w:ascii="Times New Roman" w:hAnsi="Times New Roman" w:cs="Times New Roman"/>
          <w:sz w:val="20"/>
          <w:szCs w:val="20"/>
          <w:lang w:val="en-GB"/>
        </w:rPr>
        <w:t>§172-173.</w:t>
      </w:r>
    </w:p>
  </w:footnote>
  <w:footnote w:id="46">
    <w:p w:rsidR="0081781C" w:rsidRPr="007D6DD4" w:rsidRDefault="0081781C" w:rsidP="00246F56">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 xml:space="preserve">See T-36/91, Imperial Chemical Industries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1995</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II-1847, §§ 216 and ff.</w:t>
      </w:r>
    </w:p>
  </w:footnote>
  <w:footnote w:id="47">
    <w:p w:rsidR="0081781C" w:rsidRPr="007235C7" w:rsidRDefault="0081781C" w:rsidP="007235C7">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Opinion of AG Vesterdorf</w:t>
      </w:r>
      <w:r>
        <w:rPr>
          <w:rFonts w:ascii="Times New Roman" w:hAnsi="Times New Roman" w:cs="Times New Roman"/>
          <w:sz w:val="20"/>
          <w:szCs w:val="20"/>
          <w:lang w:val="en-GB"/>
        </w:rPr>
        <w:t>,</w:t>
      </w:r>
      <w:r w:rsidRPr="007235C7">
        <w:rPr>
          <w:rFonts w:ascii="Times New Roman" w:hAnsi="Times New Roman" w:cs="Times New Roman"/>
          <w:sz w:val="20"/>
          <w:szCs w:val="20"/>
          <w:lang w:val="en-GB"/>
        </w:rPr>
        <w:t xml:space="preserve"> T-1/89, Rhone-Poulenc SA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1991</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II-867, II-884.</w:t>
      </w:r>
    </w:p>
  </w:footnote>
  <w:footnote w:id="48">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See Article 15 of Regulation 773/2004.</w:t>
      </w:r>
    </w:p>
  </w:footnote>
  <w:footnote w:id="49">
    <w:p w:rsidR="0081781C" w:rsidRPr="007D6DD4" w:rsidRDefault="0081781C" w:rsidP="00246F56">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lang w:val="en-GB"/>
        </w:rPr>
        <w:footnoteRef/>
      </w:r>
      <w:r w:rsidRPr="007D6DD4">
        <w:rPr>
          <w:rFonts w:ascii="Times New Roman" w:hAnsi="Times New Roman" w:cs="Times New Roman"/>
          <w:sz w:val="20"/>
          <w:szCs w:val="20"/>
          <w:lang w:val="en-GB"/>
        </w:rPr>
        <w:t xml:space="preserve"> See C</w:t>
      </w:r>
      <w:r w:rsidRPr="007D6DD4">
        <w:rPr>
          <w:rFonts w:ascii="MS Mincho" w:eastAsia="MS Mincho" w:hAnsi="MS Mincho" w:cs="MS Mincho"/>
          <w:sz w:val="20"/>
          <w:szCs w:val="20"/>
          <w:lang w:val="en-GB"/>
        </w:rPr>
        <w:t>‑</w:t>
      </w:r>
      <w:r w:rsidRPr="007D6DD4">
        <w:rPr>
          <w:rFonts w:ascii="Times New Roman" w:hAnsi="Times New Roman" w:cs="Times New Roman"/>
          <w:sz w:val="20"/>
          <w:szCs w:val="20"/>
          <w:lang w:val="en-GB"/>
        </w:rPr>
        <w:t xml:space="preserve">506/08 P, Sweden v Commission, [2011] ECR, I-06237, §§9 and ff. </w:t>
      </w:r>
      <w:r w:rsidRPr="007235C7">
        <w:rPr>
          <w:rFonts w:ascii="Times New Roman" w:hAnsi="Times New Roman" w:cs="Times New Roman"/>
          <w:sz w:val="20"/>
          <w:szCs w:val="20"/>
          <w:lang w:val="en-GB"/>
        </w:rPr>
        <w:t>See also Notice on Access to file, §12.</w:t>
      </w:r>
    </w:p>
  </w:footnote>
  <w:footnote w:id="50">
    <w:p w:rsidR="0081781C" w:rsidRPr="00246F56" w:rsidRDefault="0081781C" w:rsidP="00246F56">
      <w:pPr>
        <w:pStyle w:val="Notedebasdepage"/>
        <w:jc w:val="both"/>
        <w:rPr>
          <w:rFonts w:ascii="Times New Roman" w:hAnsi="Times New Roman" w:cs="Times New Roman"/>
          <w:sz w:val="20"/>
          <w:szCs w:val="20"/>
          <w:lang w:val="en-US"/>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t>Disputes between the parties and the Commission over the access to file are under the Authority of the Hea</w:t>
      </w:r>
      <w:r w:rsidRPr="007A32C3">
        <w:rPr>
          <w:rFonts w:ascii="Times New Roman" w:hAnsi="Times New Roman" w:cs="Times New Roman"/>
          <w:sz w:val="20"/>
          <w:szCs w:val="20"/>
          <w:lang w:val="en-GB"/>
        </w:rPr>
        <w:t xml:space="preserve">ring Officer. His main responsibilities in ensuring the effective right to be heard is to ensure that the SO meets the minimum requirements to inform the undertaking of the allegations raised against it and that it is consistent with the grounds relied on </w:t>
      </w:r>
      <w:r w:rsidRPr="006E0306">
        <w:rPr>
          <w:rFonts w:ascii="Times New Roman" w:hAnsi="Times New Roman" w:cs="Times New Roman"/>
          <w:sz w:val="20"/>
          <w:szCs w:val="20"/>
          <w:lang w:val="en-GB"/>
        </w:rPr>
        <w:t>by the Commission in its final decision: See Article 7(1) and 7(2) of the Hearing Officer’s Mandate.</w:t>
      </w:r>
    </w:p>
  </w:footnote>
  <w:footnote w:id="51">
    <w:p w:rsidR="0081781C" w:rsidRPr="00246F56" w:rsidRDefault="0081781C" w:rsidP="00246F56">
      <w:pPr>
        <w:pStyle w:val="Titre2"/>
        <w:shd w:val="clear" w:color="auto" w:fill="FFFFFF"/>
        <w:spacing w:before="0" w:beforeAutospacing="0" w:after="0" w:afterAutospacing="0"/>
        <w:jc w:val="both"/>
        <w:rPr>
          <w:rFonts w:ascii="Times New Roman" w:hAnsi="Times New Roman" w:cs="Times New Roman"/>
          <w:b/>
          <w:bCs/>
          <w:kern w:val="36"/>
          <w:sz w:val="20"/>
          <w:szCs w:val="20"/>
          <w:lang w:val="en-GB"/>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w:t>
      </w:r>
      <w:r w:rsidRPr="00246F56">
        <w:rPr>
          <w:rFonts w:ascii="Times New Roman" w:hAnsi="Times New Roman" w:cs="Times New Roman"/>
          <w:i/>
          <w:sz w:val="20"/>
          <w:szCs w:val="20"/>
          <w:lang w:val="en-GB"/>
        </w:rPr>
        <w:t>infra</w:t>
      </w:r>
      <w:r w:rsidRPr="007235C7">
        <w:rPr>
          <w:rFonts w:ascii="Times New Roman" w:hAnsi="Times New Roman" w:cs="Times New Roman"/>
          <w:sz w:val="20"/>
          <w:szCs w:val="20"/>
          <w:lang w:val="en-GB"/>
        </w:rPr>
        <w:t xml:space="preserve"> Section VIII. </w:t>
      </w:r>
      <w:r w:rsidRPr="004E08B1">
        <w:rPr>
          <w:rFonts w:ascii="Times New Roman" w:hAnsi="Times New Roman" w:cs="Times New Roman"/>
          <w:sz w:val="20"/>
          <w:szCs w:val="20"/>
          <w:lang w:val="en-GB"/>
        </w:rPr>
        <w:t>The right to professional secrecy.</w:t>
      </w:r>
      <w:r w:rsidRPr="007235C7">
        <w:rPr>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 xml:space="preserve">See also </w:t>
      </w:r>
      <w:r w:rsidRPr="00246F56">
        <w:rPr>
          <w:rFonts w:ascii="Times New Roman" w:hAnsi="Times New Roman" w:cs="Times New Roman"/>
          <w:bCs/>
          <w:kern w:val="36"/>
          <w:sz w:val="20"/>
          <w:szCs w:val="20"/>
          <w:lang w:val="en-GB"/>
        </w:rPr>
        <w:t xml:space="preserve">M. Bernatt, </w:t>
      </w:r>
      <w:r w:rsidRPr="00246F56">
        <w:rPr>
          <w:rFonts w:ascii="Times New Roman" w:hAnsi="Times New Roman" w:cs="Times New Roman"/>
          <w:color w:val="000000"/>
          <w:sz w:val="20"/>
          <w:szCs w:val="20"/>
          <w:lang w:val="en-US"/>
        </w:rPr>
        <w:t xml:space="preserve">Right to Be Heard or Protection of the Confidential Information? Competing Guarantees of Procedural Fairness in the Proceedings Before the Competition Authority, (2010) </w:t>
      </w:r>
      <w:r w:rsidRPr="00246F56">
        <w:rPr>
          <w:rFonts w:ascii="Times New Roman" w:hAnsi="Times New Roman" w:cs="Times New Roman"/>
          <w:iCs/>
          <w:color w:val="000000"/>
          <w:sz w:val="20"/>
          <w:szCs w:val="20"/>
          <w:lang w:val="en-US"/>
        </w:rPr>
        <w:t>Yearbook of Antitrust and Regulatory Studies, Vol. 3, No. 3</w:t>
      </w:r>
      <w:r w:rsidRPr="007235C7">
        <w:rPr>
          <w:rFonts w:ascii="Times New Roman" w:hAnsi="Times New Roman" w:cs="Times New Roman"/>
          <w:iCs/>
          <w:color w:val="000000"/>
          <w:sz w:val="20"/>
          <w:szCs w:val="20"/>
          <w:lang w:val="en-US"/>
        </w:rPr>
        <w:t xml:space="preserve">, 53-70 (available at: </w:t>
      </w:r>
      <w:hyperlink r:id="rId2" w:history="1">
        <w:r w:rsidRPr="00246F56">
          <w:rPr>
            <w:rStyle w:val="Lienhypertexte"/>
            <w:rFonts w:ascii="Times New Roman" w:hAnsi="Times New Roman" w:cs="Times New Roman"/>
            <w:iCs/>
            <w:sz w:val="20"/>
            <w:szCs w:val="20"/>
            <w:lang w:val="en-US"/>
          </w:rPr>
          <w:t>www.ssrn.com</w:t>
        </w:r>
      </w:hyperlink>
      <w:r w:rsidRPr="00246F56">
        <w:rPr>
          <w:rFonts w:ascii="Times New Roman" w:hAnsi="Times New Roman" w:cs="Times New Roman"/>
          <w:iCs/>
          <w:color w:val="000000"/>
          <w:sz w:val="20"/>
          <w:szCs w:val="20"/>
          <w:lang w:val="en-US"/>
        </w:rPr>
        <w:t xml:space="preserve">). </w:t>
      </w:r>
    </w:p>
  </w:footnote>
  <w:footnote w:id="52">
    <w:p w:rsidR="0081781C" w:rsidRPr="007A32C3" w:rsidRDefault="0081781C" w:rsidP="007235C7">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w:t>
      </w:r>
      <w:r w:rsidRPr="007A32C3">
        <w:rPr>
          <w:rFonts w:ascii="Times New Roman" w:hAnsi="Times New Roman" w:cs="Times New Roman"/>
          <w:sz w:val="20"/>
          <w:szCs w:val="20"/>
          <w:lang w:val="en-GB"/>
        </w:rPr>
        <w:t>ee Notice on Access to file, §17.</w:t>
      </w:r>
    </w:p>
  </w:footnote>
  <w:footnote w:id="53">
    <w:p w:rsidR="0081781C" w:rsidRPr="00246F56" w:rsidRDefault="0081781C" w:rsidP="007A32C3">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 xml:space="preserve">See </w:t>
      </w:r>
      <w:r w:rsidRPr="007235C7">
        <w:rPr>
          <w:rFonts w:ascii="Times New Roman" w:hAnsi="Times New Roman" w:cs="Times New Roman"/>
          <w:i/>
          <w:sz w:val="20"/>
          <w:szCs w:val="20"/>
          <w:lang w:val="en-GB"/>
        </w:rPr>
        <w:t>Ibid</w:t>
      </w:r>
      <w:r>
        <w:rPr>
          <w:rFonts w:ascii="Times New Roman" w:hAnsi="Times New Roman" w:cs="Times New Roman"/>
          <w:i/>
          <w:sz w:val="20"/>
          <w:szCs w:val="20"/>
          <w:lang w:val="en-GB"/>
        </w:rPr>
        <w:t>em</w:t>
      </w:r>
      <w:r w:rsidRPr="006E0306">
        <w:rPr>
          <w:rFonts w:ascii="Times New Roman" w:hAnsi="Times New Roman" w:cs="Times New Roman"/>
          <w:sz w:val="20"/>
          <w:szCs w:val="20"/>
          <w:lang w:val="en-GB"/>
        </w:rPr>
        <w:t>, §21.</w:t>
      </w:r>
    </w:p>
  </w:footnote>
  <w:footnote w:id="54">
    <w:p w:rsidR="0081781C" w:rsidRPr="00CD4E3B"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7A32C3">
        <w:rPr>
          <w:rFonts w:ascii="Times New Roman" w:hAnsi="Times New Roman" w:cs="Times New Roman"/>
          <w:i/>
          <w:sz w:val="20"/>
          <w:szCs w:val="20"/>
          <w:lang w:val="en-GB"/>
        </w:rPr>
        <w:t>Ibi</w:t>
      </w:r>
      <w:r w:rsidRPr="00CD4E3B">
        <w:rPr>
          <w:rFonts w:ascii="Times New Roman" w:hAnsi="Times New Roman" w:cs="Times New Roman"/>
          <w:i/>
          <w:sz w:val="20"/>
          <w:szCs w:val="20"/>
          <w:lang w:val="en-GB"/>
        </w:rPr>
        <w:t>d</w:t>
      </w:r>
      <w:r>
        <w:rPr>
          <w:rFonts w:ascii="Times New Roman" w:hAnsi="Times New Roman" w:cs="Times New Roman"/>
          <w:i/>
          <w:sz w:val="20"/>
          <w:szCs w:val="20"/>
          <w:lang w:val="en-GB"/>
        </w:rPr>
        <w:t>em</w:t>
      </w:r>
      <w:r w:rsidRPr="00CD4E3B">
        <w:rPr>
          <w:rFonts w:ascii="Times New Roman" w:hAnsi="Times New Roman" w:cs="Times New Roman"/>
          <w:sz w:val="20"/>
          <w:szCs w:val="20"/>
          <w:lang w:val="en-GB"/>
        </w:rPr>
        <w:t>, §22.</w:t>
      </w:r>
    </w:p>
  </w:footnote>
  <w:footnote w:id="55">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See</w:t>
      </w:r>
      <w:r w:rsidRPr="006E0306">
        <w:rPr>
          <w:rFonts w:ascii="Times New Roman" w:hAnsi="Times New Roman" w:cs="Times New Roman"/>
          <w:sz w:val="20"/>
          <w:szCs w:val="20"/>
          <w:lang w:val="en-GB"/>
        </w:rPr>
        <w:t xml:space="preserve"> C-110/10 P, Solvay SA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2011</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I-10439.</w:t>
      </w:r>
    </w:p>
  </w:footnote>
  <w:footnote w:id="56">
    <w:p w:rsidR="0081781C" w:rsidRPr="007D6DD4"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 xml:space="preserve">In </w:t>
      </w:r>
      <w:r w:rsidRPr="007A32C3">
        <w:rPr>
          <w:rFonts w:ascii="Times New Roman" w:hAnsi="Times New Roman" w:cs="Times New Roman"/>
          <w:i/>
          <w:sz w:val="20"/>
          <w:szCs w:val="20"/>
          <w:lang w:val="en-GB"/>
        </w:rPr>
        <w:t>Soda Ash</w:t>
      </w:r>
      <w:r w:rsidRPr="006E0306">
        <w:rPr>
          <w:rFonts w:ascii="Times New Roman" w:hAnsi="Times New Roman" w:cs="Times New Roman"/>
          <w:sz w:val="20"/>
          <w:szCs w:val="20"/>
          <w:lang w:val="en-GB"/>
        </w:rPr>
        <w:t>, the Commission had moreover failed to provide a comprehensive list of documents in its possession, con</w:t>
      </w:r>
      <w:r w:rsidRPr="00CD4E3B">
        <w:rPr>
          <w:rFonts w:ascii="Times New Roman" w:hAnsi="Times New Roman" w:cs="Times New Roman"/>
          <w:sz w:val="20"/>
          <w:szCs w:val="20"/>
          <w:lang w:val="en-GB"/>
        </w:rPr>
        <w:t xml:space="preserve">sidering that it was of no use for the case. The Commission had also considered that a non-confidential summary of the documents was not possible (European Commission decision, </w:t>
      </w:r>
      <w:r w:rsidRPr="00CD4E3B">
        <w:rPr>
          <w:rFonts w:ascii="Times New Roman" w:hAnsi="Times New Roman" w:cs="Times New Roman"/>
          <w:i/>
          <w:sz w:val="20"/>
          <w:szCs w:val="20"/>
          <w:lang w:val="en-GB"/>
        </w:rPr>
        <w:t>Soda-ash – Solvay, CFK</w:t>
      </w:r>
      <w:r w:rsidRPr="00CD4E3B">
        <w:rPr>
          <w:rFonts w:ascii="Times New Roman" w:hAnsi="Times New Roman" w:cs="Times New Roman"/>
          <w:sz w:val="20"/>
          <w:szCs w:val="20"/>
          <w:lang w:val="en-GB"/>
        </w:rPr>
        <w:t>, 13 December 2000, COMP/M 33.133-B). The GC took the view that it is not up to the Commission to decide which evidence should be made available to the concerned parties and could consequently be useful for their defence (T</w:t>
      </w:r>
      <w:r w:rsidRPr="00CD4E3B">
        <w:rPr>
          <w:rFonts w:ascii="MS Mincho" w:eastAsia="MS Mincho" w:hAnsi="MS Mincho" w:cs="MS Mincho"/>
          <w:sz w:val="20"/>
          <w:szCs w:val="20"/>
          <w:lang w:val="en-GB"/>
        </w:rPr>
        <w:t>‑</w:t>
      </w:r>
      <w:r w:rsidRPr="00CD4E3B">
        <w:rPr>
          <w:rFonts w:ascii="Times New Roman" w:hAnsi="Times New Roman" w:cs="Times New Roman"/>
          <w:sz w:val="20"/>
          <w:szCs w:val="20"/>
          <w:lang w:val="en-GB"/>
        </w:rPr>
        <w:t>58/01 Solvay v Commission, [2009] ECR II</w:t>
      </w:r>
      <w:r w:rsidRPr="00CD4E3B">
        <w:rPr>
          <w:rFonts w:ascii="MS Mincho" w:eastAsia="MS Mincho" w:hAnsi="MS Mincho" w:cs="MS Mincho"/>
          <w:sz w:val="20"/>
          <w:szCs w:val="20"/>
          <w:lang w:val="en-GB"/>
        </w:rPr>
        <w:t>‑</w:t>
      </w:r>
      <w:r w:rsidRPr="00CD4E3B">
        <w:rPr>
          <w:rFonts w:ascii="Times New Roman" w:hAnsi="Times New Roman" w:cs="Times New Roman"/>
          <w:sz w:val="20"/>
          <w:szCs w:val="20"/>
          <w:lang w:val="en-GB"/>
        </w:rPr>
        <w:t>4781)</w:t>
      </w:r>
      <w:r w:rsidRPr="00CD4E3B">
        <w:rPr>
          <w:rFonts w:ascii="Times New Roman" w:hAnsi="Times New Roman" w:cs="Times New Roman"/>
          <w:sz w:val="20"/>
          <w:szCs w:val="20"/>
          <w:lang w:val="en-US"/>
        </w:rPr>
        <w:t>.</w:t>
      </w:r>
    </w:p>
  </w:footnote>
  <w:footnote w:id="57">
    <w:p w:rsidR="0081781C" w:rsidRPr="00246F56" w:rsidRDefault="0081781C">
      <w:pPr>
        <w:pStyle w:val="Notedebasdepage"/>
        <w:jc w:val="both"/>
        <w:rPr>
          <w:rFonts w:ascii="Times New Roman" w:hAnsi="Times New Roman" w:cs="Times New Roman"/>
          <w:sz w:val="20"/>
          <w:szCs w:val="20"/>
          <w:lang w:val="fr-BE"/>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fr-BE"/>
        </w:rPr>
        <w:t xml:space="preserve"> See T-7/89, SA Hercules Chemicals NV v Commission, </w:t>
      </w:r>
      <w:r w:rsidRPr="007235C7">
        <w:rPr>
          <w:rFonts w:ascii="Times New Roman" w:hAnsi="Times New Roman" w:cs="Times New Roman"/>
          <w:sz w:val="20"/>
          <w:szCs w:val="20"/>
          <w:lang w:val="en-GB"/>
        </w:rPr>
        <w:sym w:font="Symbol" w:char="F05B"/>
      </w:r>
      <w:r w:rsidRPr="00246F56">
        <w:rPr>
          <w:rFonts w:ascii="Times New Roman" w:hAnsi="Times New Roman" w:cs="Times New Roman"/>
          <w:sz w:val="20"/>
          <w:szCs w:val="20"/>
          <w:lang w:val="fr-BE"/>
        </w:rPr>
        <w:t>1991</w:t>
      </w:r>
      <w:r w:rsidRPr="007235C7">
        <w:rPr>
          <w:rFonts w:ascii="Times New Roman" w:hAnsi="Times New Roman" w:cs="Times New Roman"/>
          <w:sz w:val="20"/>
          <w:szCs w:val="20"/>
          <w:lang w:val="en-GB"/>
        </w:rPr>
        <w:sym w:font="Symbol" w:char="F05D"/>
      </w:r>
      <w:r w:rsidRPr="00246F56">
        <w:rPr>
          <w:rFonts w:ascii="Times New Roman" w:hAnsi="Times New Roman" w:cs="Times New Roman"/>
          <w:sz w:val="20"/>
          <w:szCs w:val="20"/>
          <w:lang w:val="fr-BE"/>
        </w:rPr>
        <w:t xml:space="preserve"> ECR II-1711.</w:t>
      </w:r>
    </w:p>
  </w:footnote>
  <w:footnote w:id="58">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See </w:t>
      </w:r>
      <w:r w:rsidRPr="00246F56">
        <w:rPr>
          <w:rFonts w:ascii="Times New Roman" w:hAnsi="Times New Roman" w:cs="Times New Roman"/>
          <w:i/>
          <w:sz w:val="20"/>
          <w:szCs w:val="20"/>
          <w:lang w:val="en-US"/>
        </w:rPr>
        <w:t>Ibid</w:t>
      </w:r>
      <w:r w:rsidRPr="007235C7">
        <w:rPr>
          <w:rFonts w:ascii="Times New Roman" w:hAnsi="Times New Roman" w:cs="Times New Roman"/>
          <w:sz w:val="20"/>
          <w:szCs w:val="20"/>
          <w:lang w:val="en-US"/>
        </w:rPr>
        <w:t xml:space="preserve"> </w:t>
      </w:r>
    </w:p>
  </w:footnote>
  <w:footnote w:id="59">
    <w:p w:rsidR="0081781C" w:rsidRPr="00CD4E3B" w:rsidRDefault="0081781C">
      <w:pPr>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Join</w:t>
      </w:r>
      <w:r w:rsidRPr="007A32C3">
        <w:rPr>
          <w:rFonts w:ascii="Times New Roman" w:hAnsi="Times New Roman" w:cs="Times New Roman"/>
          <w:sz w:val="20"/>
          <w:szCs w:val="20"/>
          <w:lang w:val="en-GB"/>
        </w:rPr>
        <w:t>ed</w:t>
      </w:r>
      <w:r w:rsidRPr="00CD4E3B">
        <w:rPr>
          <w:rFonts w:ascii="Times New Roman" w:hAnsi="Times New Roman" w:cs="Times New Roman"/>
          <w:sz w:val="20"/>
          <w:szCs w:val="20"/>
          <w:lang w:val="en-GB"/>
        </w:rPr>
        <w:t xml:space="preserve"> Cases T-305-307/94, T-313-316/94, T-318/94, T-325/94, T-328/94, T-329/94 and T-335/94, Limburgse V</w:t>
      </w:r>
      <w:r>
        <w:rPr>
          <w:rFonts w:ascii="Times New Roman" w:hAnsi="Times New Roman" w:cs="Times New Roman"/>
          <w:sz w:val="20"/>
          <w:szCs w:val="20"/>
          <w:lang w:val="en-GB"/>
        </w:rPr>
        <w:t>i</w:t>
      </w:r>
      <w:r w:rsidRPr="00CD4E3B">
        <w:rPr>
          <w:rFonts w:ascii="Times New Roman" w:hAnsi="Times New Roman" w:cs="Times New Roman"/>
          <w:sz w:val="20"/>
          <w:szCs w:val="20"/>
          <w:lang w:val="en-GB"/>
        </w:rPr>
        <w:t>n</w:t>
      </w:r>
      <w:r>
        <w:rPr>
          <w:rFonts w:ascii="Times New Roman" w:hAnsi="Times New Roman" w:cs="Times New Roman"/>
          <w:sz w:val="20"/>
          <w:szCs w:val="20"/>
          <w:lang w:val="en-GB"/>
        </w:rPr>
        <w:t>y</w:t>
      </w:r>
      <w:r w:rsidRPr="00CD4E3B">
        <w:rPr>
          <w:rFonts w:ascii="Times New Roman" w:hAnsi="Times New Roman" w:cs="Times New Roman"/>
          <w:sz w:val="20"/>
          <w:szCs w:val="20"/>
          <w:lang w:val="en-GB"/>
        </w:rPr>
        <w:t xml:space="preserve">l Maatschappij NV and others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II-931. The ECtHR has nevertheless held that compliance with the adversarial principle of access t</w:t>
      </w:r>
      <w:r w:rsidRPr="006E0306">
        <w:rPr>
          <w:rFonts w:ascii="Times New Roman" w:hAnsi="Times New Roman" w:cs="Times New Roman"/>
          <w:sz w:val="20"/>
          <w:szCs w:val="20"/>
          <w:lang w:val="en-GB"/>
        </w:rPr>
        <w:t>o file relates only to judicial proceedings before a tribunal. There is no general, abstract principle that the parties must in all instances have the opportunity to attend the interviews carried out or to receive copies of all the documents taken into acc</w:t>
      </w:r>
      <w:r w:rsidRPr="00CD4E3B">
        <w:rPr>
          <w:rFonts w:ascii="Times New Roman" w:hAnsi="Times New Roman" w:cs="Times New Roman"/>
          <w:sz w:val="20"/>
          <w:szCs w:val="20"/>
          <w:lang w:val="en-GB"/>
        </w:rPr>
        <w:t>ount in the case of other persons.</w:t>
      </w:r>
    </w:p>
  </w:footnote>
  <w:footnote w:id="60">
    <w:p w:rsidR="0081781C" w:rsidRPr="00246F56" w:rsidRDefault="0081781C" w:rsidP="00246F56">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w:t>
      </w:r>
      <w:r w:rsidRPr="00246F56">
        <w:rPr>
          <w:rFonts w:ascii="Times New Roman" w:hAnsi="Times New Roman" w:cs="Times New Roman"/>
          <w:sz w:val="20"/>
          <w:szCs w:val="20"/>
          <w:lang w:val="en-GB"/>
        </w:rPr>
        <w:t>See I</w:t>
      </w:r>
      <w:r w:rsidRPr="007235C7">
        <w:rPr>
          <w:rFonts w:ascii="Times New Roman" w:hAnsi="Times New Roman" w:cs="Times New Roman"/>
          <w:sz w:val="20"/>
          <w:szCs w:val="20"/>
          <w:lang w:val="en-GB"/>
        </w:rPr>
        <w:t>.</w:t>
      </w:r>
      <w:r w:rsidRPr="00246F56">
        <w:rPr>
          <w:rFonts w:ascii="Times New Roman" w:hAnsi="Times New Roman" w:cs="Times New Roman"/>
          <w:sz w:val="20"/>
          <w:szCs w:val="20"/>
          <w:lang w:val="en-GB"/>
        </w:rPr>
        <w:t xml:space="preserve"> Van Bael, “Insufficient Control of EC Competition Law Enforcement”,Fordham</w:t>
      </w:r>
      <w:r w:rsidRPr="00246F56">
        <w:rPr>
          <w:rFonts w:ascii="Times New Roman" w:hAnsi="Times New Roman" w:cs="Times New Roman"/>
          <w:lang w:val="en-GB"/>
        </w:rPr>
        <w:t xml:space="preserve"> </w:t>
      </w:r>
      <w:r w:rsidRPr="004E08B1">
        <w:rPr>
          <w:rFonts w:ascii="Times New Roman" w:hAnsi="Times New Roman" w:cs="Times New Roman"/>
          <w:sz w:val="20"/>
          <w:szCs w:val="20"/>
          <w:lang w:val="en-GB"/>
        </w:rPr>
        <w:t xml:space="preserve">Corporate Law Institute, 1993, </w:t>
      </w:r>
      <w:r w:rsidRPr="00246F56">
        <w:rPr>
          <w:rFonts w:ascii="Times New Roman" w:hAnsi="Times New Roman" w:cs="Times New Roman"/>
          <w:sz w:val="20"/>
          <w:szCs w:val="20"/>
          <w:lang w:val="en-GB"/>
        </w:rPr>
        <w:t>742.</w:t>
      </w:r>
    </w:p>
  </w:footnote>
  <w:footnote w:id="61">
    <w:p w:rsidR="0081781C" w:rsidRPr="00246F56" w:rsidRDefault="0081781C" w:rsidP="007235C7">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When considering the possible discussion or debates concerning the right to be heard and to</w:t>
      </w:r>
      <w:r w:rsidRPr="007A32C3">
        <w:rPr>
          <w:rFonts w:ascii="Times New Roman" w:hAnsi="Times New Roman" w:cs="Times New Roman"/>
          <w:sz w:val="20"/>
          <w:szCs w:val="20"/>
          <w:lang w:val="en-GB"/>
        </w:rPr>
        <w:t xml:space="preserve"> make submissions before a public authority we inevitably relapse to the discussion on the merger of powers in the hands of one single authority. This was excluded from the paper</w:t>
      </w:r>
      <w:r w:rsidRPr="006E0306">
        <w:rPr>
          <w:rFonts w:ascii="Times New Roman" w:hAnsi="Times New Roman" w:cs="Times New Roman"/>
          <w:sz w:val="20"/>
          <w:szCs w:val="20"/>
          <w:lang w:val="en-GB"/>
        </w:rPr>
        <w:t>.</w:t>
      </w:r>
      <w:r w:rsidRPr="00CD4E3B">
        <w:rPr>
          <w:rFonts w:ascii="Times New Roman" w:hAnsi="Times New Roman" w:cs="Times New Roman"/>
          <w:sz w:val="20"/>
          <w:szCs w:val="20"/>
          <w:lang w:val="en-GB"/>
        </w:rPr>
        <w:t xml:space="preserve"> See supra: Introduction. For more information on this issue, See E. Fox, in C.D. Ehlermann and L.L. Laudati (Eds.), </w:t>
      </w:r>
      <w:r w:rsidRPr="00CD4E3B">
        <w:rPr>
          <w:rFonts w:ascii="Times New Roman" w:hAnsi="Times New Roman" w:cs="Times New Roman"/>
          <w:i/>
          <w:sz w:val="20"/>
          <w:szCs w:val="20"/>
          <w:lang w:val="en-GB"/>
        </w:rPr>
        <w:t>Robert Schuman Centre Annual on European Competition Law 1996</w:t>
      </w:r>
      <w:r w:rsidRPr="00CD4E3B">
        <w:rPr>
          <w:rFonts w:ascii="Times New Roman" w:hAnsi="Times New Roman" w:cs="Times New Roman"/>
          <w:sz w:val="20"/>
          <w:szCs w:val="20"/>
          <w:lang w:val="en-GB"/>
        </w:rPr>
        <w:t xml:space="preserve">, Kluwer Law International, 1997, 76, cited by W. Wils, The Combination of the Investigative and Prosecutorial Function and the Adjudicative Function in EC Antitrust Enforcement: A Legal and Economic Analysis, (2004) </w:t>
      </w:r>
      <w:r w:rsidRPr="00CD4E3B">
        <w:rPr>
          <w:rFonts w:ascii="Times New Roman" w:hAnsi="Times New Roman" w:cs="Times New Roman"/>
          <w:i/>
          <w:sz w:val="20"/>
          <w:szCs w:val="20"/>
          <w:lang w:val="en-GB"/>
        </w:rPr>
        <w:t>World Competition</w:t>
      </w:r>
      <w:r w:rsidRPr="00CD4E3B">
        <w:rPr>
          <w:rFonts w:ascii="Times New Roman" w:hAnsi="Times New Roman" w:cs="Times New Roman"/>
          <w:sz w:val="20"/>
          <w:szCs w:val="20"/>
          <w:lang w:val="en-GB"/>
        </w:rPr>
        <w:t>, Vol 27, No 2, 201-224.</w:t>
      </w:r>
    </w:p>
  </w:footnote>
  <w:footnote w:id="62">
    <w:p w:rsidR="0081781C" w:rsidRPr="00246F56" w:rsidRDefault="0081781C" w:rsidP="007A32C3">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See Best Practices Guidelines, §78.</w:t>
      </w:r>
    </w:p>
  </w:footnote>
  <w:footnote w:id="63">
    <w:p w:rsidR="0081781C" w:rsidRPr="00246F56" w:rsidRDefault="0081781C" w:rsidP="007A32C3">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Best Practices Guidelines, </w:t>
      </w:r>
      <w:r w:rsidRPr="007A32C3">
        <w:rPr>
          <w:rFonts w:ascii="Times New Roman" w:hAnsi="Times New Roman" w:cs="Times New Roman"/>
          <w:sz w:val="20"/>
          <w:szCs w:val="20"/>
          <w:lang w:val="en-GB"/>
        </w:rPr>
        <w:t>§§81, 99-103, 106-108.</w:t>
      </w:r>
    </w:p>
  </w:footnote>
  <w:footnote w:id="64">
    <w:p w:rsidR="0081781C" w:rsidRPr="00246F56" w:rsidRDefault="0081781C" w:rsidP="006E0306">
      <w:pPr>
        <w:widowControl w:val="0"/>
        <w:autoSpaceDE w:val="0"/>
        <w:autoSpaceDN w:val="0"/>
        <w:adjustRightInd w:val="0"/>
        <w:ind w:right="-6"/>
        <w:jc w:val="both"/>
        <w:rPr>
          <w:rFonts w:ascii="Times New Roman" w:hAnsi="Times New Roman" w:cs="Times New Roman"/>
          <w:b/>
          <w:bCs/>
          <w:sz w:val="20"/>
          <w:szCs w:val="20"/>
          <w:lang w:val="en-US"/>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See C-17/74,</w:t>
      </w:r>
      <w:r w:rsidRPr="006E0306">
        <w:rPr>
          <w:rFonts w:ascii="Times New Roman" w:hAnsi="Times New Roman" w:cs="Times New Roman"/>
          <w:sz w:val="20"/>
          <w:szCs w:val="20"/>
          <w:lang w:val="en-GB"/>
        </w:rPr>
        <w:t xml:space="preserve"> Transocean Marine Pa</w:t>
      </w:r>
      <w:r w:rsidRPr="00CD4E3B">
        <w:rPr>
          <w:rFonts w:ascii="Times New Roman" w:hAnsi="Times New Roman" w:cs="Times New Roman"/>
          <w:sz w:val="20"/>
          <w:szCs w:val="20"/>
          <w:lang w:val="en-GB"/>
        </w:rPr>
        <w:t xml:space="preserve">int Association v Commission of the European Communities,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US"/>
        </w:rPr>
        <w:t>1974</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US"/>
        </w:rPr>
        <w:t xml:space="preserve"> II-1063, §15.</w:t>
      </w:r>
    </w:p>
  </w:footnote>
  <w:footnote w:id="65">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Article 27(1) of Regulation 1/2003.</w:t>
      </w:r>
    </w:p>
  </w:footnote>
  <w:footnote w:id="66">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Article 12 of Regulation 773/2004.</w:t>
      </w:r>
    </w:p>
  </w:footnote>
  <w:footnote w:id="67">
    <w:p w:rsidR="0081781C" w:rsidRPr="00CD4E3B"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Best Practices Guidelines, §</w:t>
      </w:r>
      <w:r w:rsidRPr="007A32C3">
        <w:rPr>
          <w:rFonts w:ascii="Times New Roman" w:hAnsi="Times New Roman" w:cs="Times New Roman"/>
          <w:sz w:val="20"/>
          <w:szCs w:val="20"/>
          <w:lang w:val="en-GB"/>
        </w:rPr>
        <w:t>§99-103 and §</w:t>
      </w:r>
      <w:r w:rsidRPr="006E0306">
        <w:rPr>
          <w:rFonts w:ascii="Times New Roman" w:hAnsi="Times New Roman" w:cs="Times New Roman"/>
          <w:sz w:val="20"/>
          <w:szCs w:val="20"/>
          <w:lang w:val="en-GB"/>
        </w:rPr>
        <w:t>§</w:t>
      </w:r>
      <w:r w:rsidRPr="00CD4E3B">
        <w:rPr>
          <w:rFonts w:ascii="Times New Roman" w:hAnsi="Times New Roman" w:cs="Times New Roman"/>
          <w:sz w:val="20"/>
          <w:szCs w:val="20"/>
          <w:lang w:val="en-GB"/>
        </w:rPr>
        <w:t>106 and ff.</w:t>
      </w:r>
    </w:p>
  </w:footnote>
  <w:footnote w:id="68">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Article 41 ECHR.</w:t>
      </w:r>
    </w:p>
  </w:footnote>
  <w:footnote w:id="69">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See</w:t>
      </w:r>
      <w:r w:rsidRPr="007A32C3">
        <w:rPr>
          <w:rFonts w:ascii="Times New Roman" w:hAnsi="Times New Roman" w:cs="Times New Roman"/>
          <w:sz w:val="20"/>
          <w:szCs w:val="20"/>
          <w:lang w:val="en-GB"/>
        </w:rPr>
        <w:t xml:space="preserve"> Article 27 of Regulation 1/2003.</w:t>
      </w:r>
    </w:p>
  </w:footnote>
  <w:footnote w:id="70">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This right is normally exercised in writing by way of reply containing observations on the accuracy of the facts and the validity of the arguments. The undertaking may also adduce evidence of its own in support of its defence.</w:t>
      </w:r>
    </w:p>
  </w:footnote>
  <w:footnote w:id="71">
    <w:p w:rsidR="0081781C" w:rsidRPr="006E0306"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Decision 2011/695/EU of the President of the European Commission of 13 October 2011 on the function </w:t>
      </w:r>
      <w:r w:rsidRPr="006E0306">
        <w:rPr>
          <w:rFonts w:ascii="Times New Roman" w:hAnsi="Times New Roman" w:cs="Times New Roman"/>
          <w:sz w:val="20"/>
          <w:szCs w:val="20"/>
          <w:lang w:val="en-GB"/>
        </w:rPr>
        <w:t>and terms of reference of the hearing officer in certain competition proceedings.</w:t>
      </w:r>
    </w:p>
  </w:footnote>
  <w:footnote w:id="72">
    <w:p w:rsidR="0081781C" w:rsidRPr="00CD4E3B"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I</w:t>
      </w:r>
      <w:r w:rsidRPr="007A32C3">
        <w:rPr>
          <w:rFonts w:ascii="Times New Roman" w:hAnsi="Times New Roman" w:cs="Times New Roman"/>
          <w:sz w:val="20"/>
          <w:szCs w:val="20"/>
          <w:lang w:val="en-GB"/>
        </w:rPr>
        <w:t xml:space="preserve">. Forrester, Due process in EC competition cases: A distinguished institution with flawed procedures, </w:t>
      </w:r>
      <w:r w:rsidRPr="007D6DD4">
        <w:rPr>
          <w:rFonts w:ascii="Times New Roman" w:hAnsi="Times New Roman" w:cs="Times New Roman"/>
          <w:iCs/>
          <w:color w:val="000000"/>
          <w:sz w:val="20"/>
          <w:szCs w:val="20"/>
          <w:lang w:val="en-GB"/>
        </w:rPr>
        <w:t>European Law Review</w:t>
      </w:r>
      <w:r w:rsidRPr="007D6DD4">
        <w:rPr>
          <w:rFonts w:ascii="Times New Roman" w:hAnsi="Times New Roman" w:cs="Times New Roman"/>
          <w:color w:val="000000"/>
          <w:sz w:val="20"/>
          <w:szCs w:val="20"/>
          <w:lang w:val="en-GB"/>
        </w:rPr>
        <w:t xml:space="preserve">, December 2009, </w:t>
      </w:r>
      <w:r w:rsidRPr="007235C7">
        <w:rPr>
          <w:rFonts w:ascii="Times New Roman" w:hAnsi="Times New Roman" w:cs="Times New Roman"/>
          <w:sz w:val="20"/>
          <w:szCs w:val="20"/>
          <w:lang w:val="en-GB"/>
        </w:rPr>
        <w:t xml:space="preserve">833. See also J. Killick and </w:t>
      </w:r>
      <w:r w:rsidRPr="007A32C3">
        <w:rPr>
          <w:rFonts w:ascii="Times New Roman" w:hAnsi="Times New Roman" w:cs="Times New Roman"/>
          <w:sz w:val="20"/>
          <w:szCs w:val="20"/>
          <w:lang w:val="en-GB"/>
        </w:rPr>
        <w:t xml:space="preserve">P. Berghe, This is not the time to be tinkering with Regulation 1/2003 – it is time for fundamental reform – Europe should have changed we can believe in, </w:t>
      </w:r>
      <w:r w:rsidRPr="006E0306">
        <w:rPr>
          <w:rFonts w:ascii="Times New Roman" w:hAnsi="Times New Roman" w:cs="Times New Roman"/>
          <w:sz w:val="20"/>
          <w:szCs w:val="20"/>
          <w:lang w:val="en-GB"/>
        </w:rPr>
        <w:t>(</w:t>
      </w:r>
      <w:r w:rsidRPr="00CD4E3B">
        <w:rPr>
          <w:rFonts w:ascii="Times New Roman" w:hAnsi="Times New Roman" w:cs="Times New Roman"/>
          <w:sz w:val="20"/>
          <w:szCs w:val="20"/>
          <w:lang w:val="en-GB"/>
        </w:rPr>
        <w:t>2010) The Competition Law Review, Vol. 6, Issue 2, 273; A. Huyue Zhang, The enforcement of the Anti-Monopoly Law in China: An institutional</w:t>
      </w:r>
      <w:r w:rsidRPr="007235C7">
        <w:rPr>
          <w:rFonts w:ascii="Times New Roman" w:hAnsi="Times New Roman" w:cs="Times New Roman"/>
          <w:sz w:val="20"/>
          <w:szCs w:val="20"/>
          <w:lang w:val="en-GB"/>
        </w:rPr>
        <w:t xml:space="preserve"> design perspective, </w:t>
      </w:r>
      <w:r w:rsidRPr="007A32C3">
        <w:rPr>
          <w:rFonts w:ascii="Times New Roman" w:hAnsi="Times New Roman" w:cs="Times New Roman"/>
          <w:sz w:val="20"/>
          <w:szCs w:val="20"/>
          <w:lang w:val="en-GB"/>
        </w:rPr>
        <w:t xml:space="preserve">(2011) </w:t>
      </w:r>
      <w:r w:rsidRPr="004E08B1">
        <w:rPr>
          <w:rFonts w:ascii="Times New Roman" w:hAnsi="Times New Roman" w:cs="Times New Roman"/>
          <w:sz w:val="20"/>
          <w:szCs w:val="20"/>
          <w:lang w:val="en-GB"/>
        </w:rPr>
        <w:t>The Antitrust Bulletin</w:t>
      </w:r>
      <w:r w:rsidRPr="007D6DD4">
        <w:rPr>
          <w:rFonts w:ascii="Times New Roman" w:hAnsi="Times New Roman" w:cs="Times New Roman"/>
          <w:color w:val="000000"/>
          <w:sz w:val="20"/>
          <w:szCs w:val="20"/>
          <w:lang w:val="en-GB"/>
        </w:rPr>
        <w:t>, Vol. 56, No. 3, 630-663 (</w:t>
      </w:r>
      <w:r w:rsidRPr="00246F56">
        <w:rPr>
          <w:rFonts w:ascii="Times New Roman" w:hAnsi="Times New Roman" w:cs="Times New Roman"/>
          <w:sz w:val="20"/>
          <w:szCs w:val="20"/>
          <w:lang w:val="en-GB"/>
        </w:rPr>
        <w:t xml:space="preserve">available on </w:t>
      </w:r>
      <w:hyperlink r:id="rId3" w:history="1">
        <w:r>
          <w:rPr>
            <w:rStyle w:val="Lienhypertexte"/>
            <w:rFonts w:ascii="Times New Roman" w:hAnsi="Times New Roman" w:cs="Times New Roman"/>
            <w:sz w:val="20"/>
            <w:szCs w:val="20"/>
            <w:lang w:val="en-GB"/>
          </w:rPr>
          <w:t>www.</w:t>
        </w:r>
        <w:r w:rsidRPr="007D6DD4">
          <w:rPr>
            <w:rStyle w:val="Lienhypertexte"/>
            <w:rFonts w:ascii="Times New Roman" w:hAnsi="Times New Roman" w:cs="Times New Roman"/>
            <w:sz w:val="20"/>
            <w:szCs w:val="20"/>
            <w:lang w:val="en-GB"/>
          </w:rPr>
          <w:t>ssrn</w:t>
        </w:r>
        <w:r>
          <w:rPr>
            <w:rStyle w:val="Lienhypertexte"/>
            <w:rFonts w:ascii="Times New Roman" w:hAnsi="Times New Roman" w:cs="Times New Roman"/>
            <w:sz w:val="20"/>
            <w:szCs w:val="20"/>
            <w:lang w:val="en-GB"/>
          </w:rPr>
          <w:t>.com</w:t>
        </w:r>
      </w:hyperlink>
      <w:r w:rsidRPr="009E110D">
        <w:rPr>
          <w:rFonts w:ascii="Times New Roman" w:hAnsi="Times New Roman" w:cs="Times New Roman"/>
          <w:sz w:val="20"/>
          <w:szCs w:val="20"/>
          <w:lang w:val="en-GB"/>
        </w:rPr>
        <w:t>); J. Flatery, Balancing Efficiency and Justice in EU Competition Law: Elements of Procedural</w:t>
      </w:r>
      <w:r w:rsidRPr="006E0306">
        <w:rPr>
          <w:rFonts w:ascii="Times New Roman" w:hAnsi="Times New Roman" w:cs="Times New Roman"/>
          <w:sz w:val="20"/>
          <w:szCs w:val="20"/>
          <w:lang w:val="en-GB"/>
        </w:rPr>
        <w:t xml:space="preserve"> Fairness and their Impact on the Right to a Fair Hearing, (2010) </w:t>
      </w:r>
      <w:r w:rsidRPr="00CD4E3B">
        <w:rPr>
          <w:rFonts w:ascii="Times New Roman" w:hAnsi="Times New Roman" w:cs="Times New Roman"/>
          <w:i/>
          <w:sz w:val="20"/>
          <w:szCs w:val="20"/>
          <w:lang w:val="en-GB"/>
        </w:rPr>
        <w:t>The Competition Law Review</w:t>
      </w:r>
      <w:r w:rsidRPr="00CD4E3B">
        <w:rPr>
          <w:rFonts w:ascii="Times New Roman" w:hAnsi="Times New Roman" w:cs="Times New Roman"/>
          <w:sz w:val="20"/>
          <w:szCs w:val="20"/>
          <w:lang w:val="en-GB"/>
        </w:rPr>
        <w:t xml:space="preserve">, 7(1), 54. </w:t>
      </w:r>
    </w:p>
  </w:footnote>
  <w:footnote w:id="73">
    <w:p w:rsidR="0081781C" w:rsidRPr="007D6DD4" w:rsidRDefault="0081781C" w:rsidP="00246F56">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See Case 17-74, </w:t>
      </w:r>
      <w:r w:rsidRPr="007A32C3">
        <w:rPr>
          <w:rFonts w:ascii="Times New Roman" w:hAnsi="Times New Roman" w:cs="Times New Roman"/>
          <w:sz w:val="20"/>
          <w:szCs w:val="20"/>
          <w:lang w:val="en-GB"/>
        </w:rPr>
        <w:t xml:space="preserve">Transocean Marine Paint Association v Commission of the European Communities,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US"/>
        </w:rPr>
        <w:t>1974</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US"/>
        </w:rPr>
        <w:t xml:space="preserve"> II-1063, §§15 and</w:t>
      </w:r>
      <w:r w:rsidRPr="007A32C3">
        <w:rPr>
          <w:rFonts w:ascii="Times New Roman" w:hAnsi="Times New Roman" w:cs="Times New Roman"/>
          <w:sz w:val="20"/>
          <w:szCs w:val="20"/>
          <w:lang w:val="en-US"/>
        </w:rPr>
        <w:t xml:space="preserve"> 21.</w:t>
      </w:r>
    </w:p>
  </w:footnote>
  <w:footnote w:id="74">
    <w:p w:rsidR="0081781C" w:rsidRPr="007235C7" w:rsidRDefault="0081781C" w:rsidP="007A32C3">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C-185/95 P, Baustahlgewebe GmbH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1998</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I-08417, §21</w:t>
      </w:r>
      <w:r>
        <w:rPr>
          <w:rFonts w:ascii="Times New Roman" w:hAnsi="Times New Roman" w:cs="Times New Roman"/>
          <w:sz w:val="20"/>
          <w:szCs w:val="20"/>
          <w:lang w:val="en-GB"/>
        </w:rPr>
        <w:t>;</w:t>
      </w:r>
      <w:r w:rsidRPr="007235C7">
        <w:rPr>
          <w:rFonts w:ascii="Times New Roman" w:hAnsi="Times New Roman" w:cs="Times New Roman"/>
          <w:sz w:val="20"/>
          <w:szCs w:val="20"/>
          <w:lang w:val="en-GB"/>
        </w:rPr>
        <w:t xml:space="preserve"> Joined </w:t>
      </w:r>
      <w:r w:rsidRPr="007A32C3">
        <w:rPr>
          <w:rFonts w:ascii="Times New Roman" w:hAnsi="Times New Roman" w:cs="Times New Roman"/>
          <w:sz w:val="20"/>
          <w:szCs w:val="20"/>
          <w:lang w:val="en-GB"/>
        </w:rPr>
        <w:t xml:space="preserve">Cases C-341/06 and C-342/06 P Chronopost and La Poste v UFEX and others,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2008</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I-4777, §45.</w:t>
      </w:r>
    </w:p>
  </w:footnote>
  <w:footnote w:id="75">
    <w:p w:rsidR="0081781C" w:rsidRPr="007A32C3" w:rsidRDefault="0081781C" w:rsidP="007A32C3">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US"/>
        </w:rPr>
        <w:t xml:space="preserve"> </w:t>
      </w:r>
      <w:r w:rsidRPr="007A32C3">
        <w:rPr>
          <w:rFonts w:ascii="Times New Roman" w:hAnsi="Times New Roman" w:cs="Times New Roman"/>
          <w:sz w:val="20"/>
          <w:szCs w:val="20"/>
          <w:lang w:val="en-GB"/>
        </w:rPr>
        <w:t xml:space="preserve">See Article 47 of the Charter; C-282/95 P Guérin automobiles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w:t>
      </w:r>
      <w:r w:rsidRPr="007A32C3">
        <w:rPr>
          <w:rFonts w:ascii="Times New Roman" w:hAnsi="Times New Roman" w:cs="Times New Roman"/>
          <w:sz w:val="20"/>
          <w:szCs w:val="20"/>
          <w:lang w:val="en-US"/>
        </w:rPr>
        <w:t>ECR</w:t>
      </w:r>
      <w:r w:rsidRPr="007A32C3">
        <w:rPr>
          <w:rFonts w:ascii="Times New Roman" w:hAnsi="Times New Roman" w:cs="Times New Roman"/>
          <w:sz w:val="20"/>
          <w:szCs w:val="20"/>
          <w:lang w:val="en-GB"/>
        </w:rPr>
        <w:t xml:space="preserve"> I-1503, §38.</w:t>
      </w:r>
    </w:p>
  </w:footnote>
  <w:footnote w:id="76">
    <w:p w:rsidR="0081781C" w:rsidRPr="00246F56" w:rsidRDefault="0081781C" w:rsidP="007A32C3">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Joined Cases 96-102, 104/82, 105/82 and 110/82 IAZ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1983</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3369, §16; Joined Cases T-213/95 and T-18/96, SCK </w:t>
      </w:r>
      <w:r w:rsidRPr="007A32C3">
        <w:rPr>
          <w:rFonts w:ascii="Times New Roman" w:hAnsi="Times New Roman" w:cs="Times New Roman"/>
          <w:sz w:val="20"/>
          <w:szCs w:val="20"/>
          <w:lang w:val="en-GB"/>
        </w:rPr>
        <w:t>and FNK v Commission,</w:t>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2008</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w:t>
      </w:r>
      <w:r w:rsidRPr="00246F56">
        <w:rPr>
          <w:rFonts w:ascii="Times New Roman" w:hAnsi="Times New Roman" w:cs="Times New Roman"/>
          <w:sz w:val="20"/>
          <w:szCs w:val="20"/>
          <w:lang w:val="en-US"/>
        </w:rPr>
        <w:t>II-01739</w:t>
      </w:r>
      <w:r w:rsidRPr="007235C7">
        <w:rPr>
          <w:rFonts w:ascii="Times New Roman" w:hAnsi="Times New Roman" w:cs="Times New Roman"/>
          <w:sz w:val="20"/>
          <w:szCs w:val="20"/>
          <w:lang w:val="en-GB"/>
        </w:rPr>
        <w:t xml:space="preserve"> and</w:t>
      </w:r>
      <w:r w:rsidRPr="007A32C3">
        <w:rPr>
          <w:rFonts w:ascii="Times New Roman" w:hAnsi="Times New Roman" w:cs="Times New Roman"/>
          <w:sz w:val="20"/>
          <w:szCs w:val="20"/>
          <w:lang w:val="en-GB"/>
        </w:rPr>
        <w:t xml:space="preserve"> T-62/98 Volkswagen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II-2707, §281.</w:t>
      </w:r>
    </w:p>
  </w:footnote>
  <w:footnote w:id="77">
    <w:p w:rsidR="0081781C" w:rsidRPr="007235C7" w:rsidRDefault="0081781C" w:rsidP="007A32C3">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Joined Cases T-213/95 and T-18/96, </w:t>
      </w:r>
      <w:r w:rsidRPr="00246F56">
        <w:rPr>
          <w:rFonts w:ascii="Times New Roman" w:hAnsi="Times New Roman" w:cs="Times New Roman"/>
          <w:sz w:val="20"/>
          <w:szCs w:val="20"/>
          <w:lang w:val="en-US"/>
        </w:rPr>
        <w:t xml:space="preserve">SCK and FNK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2008</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w:t>
      </w:r>
      <w:r w:rsidRPr="007A32C3">
        <w:rPr>
          <w:rFonts w:ascii="Times New Roman" w:hAnsi="Times New Roman" w:cs="Times New Roman"/>
          <w:sz w:val="20"/>
          <w:szCs w:val="20"/>
          <w:lang w:val="en-US"/>
        </w:rPr>
        <w:t>ECR</w:t>
      </w:r>
      <w:r w:rsidRPr="007A32C3">
        <w:rPr>
          <w:rFonts w:ascii="Times New Roman" w:hAnsi="Times New Roman" w:cs="Times New Roman"/>
          <w:sz w:val="20"/>
          <w:szCs w:val="20"/>
          <w:lang w:val="en-GB"/>
        </w:rPr>
        <w:t xml:space="preserve"> </w:t>
      </w:r>
      <w:r w:rsidRPr="00246F56">
        <w:rPr>
          <w:rFonts w:ascii="Times New Roman" w:hAnsi="Times New Roman" w:cs="Times New Roman"/>
          <w:sz w:val="20"/>
          <w:szCs w:val="20"/>
          <w:lang w:val="en-US"/>
        </w:rPr>
        <w:t>II-01739</w:t>
      </w:r>
      <w:r w:rsidRPr="007235C7">
        <w:rPr>
          <w:rFonts w:ascii="Times New Roman" w:hAnsi="Times New Roman" w:cs="Times New Roman"/>
          <w:sz w:val="20"/>
          <w:szCs w:val="20"/>
          <w:lang w:val="en-GB"/>
        </w:rPr>
        <w:t>.</w:t>
      </w:r>
    </w:p>
  </w:footnote>
  <w:footnote w:id="78">
    <w:p w:rsidR="0081781C" w:rsidRPr="007235C7" w:rsidRDefault="0081781C" w:rsidP="007A32C3">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7A32C3">
        <w:rPr>
          <w:rFonts w:ascii="Times New Roman" w:hAnsi="Times New Roman" w:cs="Times New Roman"/>
          <w:sz w:val="20"/>
          <w:szCs w:val="20"/>
          <w:lang w:val="en-GB"/>
        </w:rPr>
        <w:t xml:space="preserve">C-432/05 Unibet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ECR I-2271, §</w:t>
      </w:r>
      <w:r w:rsidRPr="007A32C3">
        <w:rPr>
          <w:rFonts w:ascii="Times New Roman" w:hAnsi="Times New Roman" w:cs="Times New Roman"/>
          <w:sz w:val="20"/>
          <w:szCs w:val="20"/>
          <w:lang w:val="en-GB"/>
        </w:rPr>
        <w:t xml:space="preserve">37; Joined Cases C-402/05 P and C-415/05 Kadi and Al Barakaat international Foundation v Council and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2008</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I-0000, §</w:t>
      </w:r>
      <w:r w:rsidRPr="007A32C3">
        <w:rPr>
          <w:rFonts w:ascii="Times New Roman" w:hAnsi="Times New Roman" w:cs="Times New Roman"/>
          <w:sz w:val="20"/>
          <w:szCs w:val="20"/>
          <w:lang w:val="en-GB"/>
        </w:rPr>
        <w:t>355</w:t>
      </w:r>
      <w:r>
        <w:rPr>
          <w:rFonts w:ascii="Times New Roman" w:hAnsi="Times New Roman" w:cs="Times New Roman"/>
          <w:sz w:val="20"/>
          <w:szCs w:val="20"/>
          <w:lang w:val="en-GB"/>
        </w:rPr>
        <w:t>;</w:t>
      </w:r>
      <w:r w:rsidRPr="007A32C3">
        <w:rPr>
          <w:rFonts w:ascii="Times New Roman" w:hAnsi="Times New Roman" w:cs="Times New Roman"/>
          <w:sz w:val="20"/>
          <w:szCs w:val="20"/>
          <w:lang w:val="en-GB"/>
        </w:rPr>
        <w:t xml:space="preserve"> C-47/07 P Masdar (UK)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2008</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I-0000, §50.</w:t>
      </w:r>
    </w:p>
  </w:footnote>
  <w:footnote w:id="79">
    <w:p w:rsidR="0081781C" w:rsidRPr="00246F56" w:rsidRDefault="0081781C" w:rsidP="006E0306">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See Article 6(1) ECHR.</w:t>
      </w:r>
    </w:p>
  </w:footnote>
  <w:footnote w:id="80">
    <w:p w:rsidR="0081781C" w:rsidRPr="004E08B1"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4E08B1">
        <w:rPr>
          <w:rFonts w:ascii="Times New Roman" w:hAnsi="Times New Roman" w:cs="Times New Roman"/>
          <w:sz w:val="20"/>
          <w:szCs w:val="20"/>
          <w:lang w:val="en-US"/>
        </w:rPr>
        <w:t xml:space="preserve"> See T-276/04, Compagnie Maritime Belge v Commission, </w:t>
      </w:r>
      <w:r w:rsidRPr="007235C7">
        <w:rPr>
          <w:rFonts w:ascii="Times New Roman" w:hAnsi="Times New Roman" w:cs="Times New Roman"/>
          <w:sz w:val="20"/>
          <w:szCs w:val="20"/>
          <w:lang w:val="en-GB"/>
        </w:rPr>
        <w:sym w:font="Symbol" w:char="F05B"/>
      </w:r>
      <w:r w:rsidRPr="004E08B1">
        <w:rPr>
          <w:rFonts w:ascii="Times New Roman" w:hAnsi="Times New Roman" w:cs="Times New Roman"/>
          <w:sz w:val="20"/>
          <w:szCs w:val="20"/>
          <w:lang w:val="en-US"/>
        </w:rPr>
        <w:t>2008</w:t>
      </w:r>
      <w:r w:rsidRPr="007235C7">
        <w:rPr>
          <w:rFonts w:ascii="Times New Roman" w:hAnsi="Times New Roman" w:cs="Times New Roman"/>
          <w:sz w:val="20"/>
          <w:szCs w:val="20"/>
          <w:lang w:val="en-GB"/>
        </w:rPr>
        <w:sym w:font="Symbol" w:char="F05D"/>
      </w:r>
      <w:r w:rsidRPr="004E08B1">
        <w:rPr>
          <w:rFonts w:ascii="Times New Roman" w:hAnsi="Times New Roman" w:cs="Times New Roman"/>
          <w:sz w:val="20"/>
          <w:szCs w:val="20"/>
          <w:lang w:val="en-US"/>
        </w:rPr>
        <w:t xml:space="preserve"> ECR</w:t>
      </w:r>
      <w:r w:rsidRPr="004E08B1">
        <w:rPr>
          <w:rFonts w:ascii="Times New Roman" w:hAnsi="Times New Roman" w:cs="Times New Roman"/>
          <w:b/>
          <w:bCs/>
          <w:sz w:val="20"/>
          <w:szCs w:val="20"/>
          <w:lang w:val="en-US"/>
        </w:rPr>
        <w:t xml:space="preserve"> </w:t>
      </w:r>
      <w:r w:rsidRPr="004E08B1">
        <w:rPr>
          <w:rFonts w:ascii="Times New Roman" w:hAnsi="Times New Roman" w:cs="Times New Roman"/>
          <w:sz w:val="20"/>
          <w:szCs w:val="20"/>
          <w:lang w:val="en-US"/>
        </w:rPr>
        <w:t>II-01277, §§41 and ff.</w:t>
      </w:r>
    </w:p>
  </w:footnote>
  <w:footnote w:id="81">
    <w:p w:rsidR="0081781C" w:rsidRPr="007A32C3"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 xml:space="preserve">See C-254/99, LVM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II-00931, §</w:t>
      </w:r>
      <w:r>
        <w:rPr>
          <w:rFonts w:ascii="Times New Roman" w:hAnsi="Times New Roman" w:cs="Times New Roman"/>
          <w:sz w:val="20"/>
          <w:szCs w:val="20"/>
          <w:lang w:val="en-GB"/>
        </w:rPr>
        <w:t>§</w:t>
      </w:r>
      <w:r w:rsidRPr="007235C7">
        <w:rPr>
          <w:rFonts w:ascii="Times New Roman" w:hAnsi="Times New Roman" w:cs="Times New Roman"/>
          <w:sz w:val="20"/>
          <w:szCs w:val="20"/>
          <w:lang w:val="en-GB"/>
        </w:rPr>
        <w:t>192</w:t>
      </w:r>
      <w:r w:rsidRPr="007A32C3">
        <w:rPr>
          <w:rFonts w:ascii="Times New Roman" w:hAnsi="Times New Roman" w:cs="Times New Roman"/>
          <w:sz w:val="20"/>
          <w:szCs w:val="20"/>
          <w:lang w:val="en-GB"/>
        </w:rPr>
        <w:t xml:space="preserve"> and ff.</w:t>
      </w:r>
    </w:p>
  </w:footnote>
  <w:footnote w:id="82">
    <w:p w:rsidR="0081781C" w:rsidRPr="00CD4E3B"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7A32C3">
        <w:rPr>
          <w:rFonts w:ascii="Times New Roman" w:hAnsi="Times New Roman" w:cs="Times New Roman"/>
          <w:sz w:val="20"/>
          <w:szCs w:val="20"/>
          <w:lang w:val="en-GB"/>
        </w:rPr>
        <w:t>C-185/95 P, Baustahlgewebe GmbH v Commission, §29; see, by analogy, the judgments of the European Court of Human Rights in the cases of Erkner and H</w:t>
      </w:r>
      <w:r w:rsidRPr="006E0306">
        <w:rPr>
          <w:rFonts w:ascii="Times New Roman" w:hAnsi="Times New Roman" w:cs="Times New Roman"/>
          <w:sz w:val="20"/>
          <w:szCs w:val="20"/>
          <w:lang w:val="en-GB"/>
        </w:rPr>
        <w:t>ofauer of 23 April 1987, Series A No 117, §</w:t>
      </w:r>
      <w:r w:rsidRPr="00CD4E3B">
        <w:rPr>
          <w:rFonts w:ascii="Times New Roman" w:hAnsi="Times New Roman" w:cs="Times New Roman"/>
          <w:sz w:val="20"/>
          <w:szCs w:val="20"/>
          <w:lang w:val="en-GB"/>
        </w:rPr>
        <w:t>66; Kemmache of 27 November 1991, Series A No 218, §60; Phocas v France of 23 April 1996, Recueil des arrêts et décisions 1996-II, 546, §71, and Garyfallou AEBE v Greece of 27 September 1997, Recueil des arrêts et d</w:t>
      </w:r>
      <w:r>
        <w:rPr>
          <w:rFonts w:ascii="Times New Roman" w:hAnsi="Times New Roman" w:cs="Times New Roman"/>
          <w:sz w:val="20"/>
          <w:szCs w:val="20"/>
          <w:lang w:val="en-GB"/>
        </w:rPr>
        <w:t>é</w:t>
      </w:r>
      <w:r w:rsidRPr="00CD4E3B">
        <w:rPr>
          <w:rFonts w:ascii="Times New Roman" w:hAnsi="Times New Roman" w:cs="Times New Roman"/>
          <w:sz w:val="20"/>
          <w:szCs w:val="20"/>
          <w:lang w:val="en-GB"/>
        </w:rPr>
        <w:t>cisions 1997-V, 1821, §39.</w:t>
      </w:r>
    </w:p>
  </w:footnote>
  <w:footnote w:id="83">
    <w:p w:rsidR="0081781C" w:rsidRPr="00246F56" w:rsidRDefault="0081781C" w:rsidP="00246F56">
      <w:pPr>
        <w:autoSpaceDE w:val="0"/>
        <w:autoSpaceDN w:val="0"/>
        <w:adjustRightInd w:val="0"/>
        <w:jc w:val="both"/>
        <w:rPr>
          <w:rFonts w:ascii="Times New Roman" w:hAnsi="Times New Roman" w:cs="Times New Roman"/>
          <w:sz w:val="20"/>
          <w:szCs w:val="20"/>
          <w:lang w:val="en-US"/>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t xml:space="preserve">See Joined Cases T-305-307/94, T-313-316/94, T-318/94, T-325/94, T-328/94, T329/94 and T-335/94, Limburgse Vinyl Maatschappij NV and others v Commission, </w:t>
      </w:r>
      <w:r w:rsidRPr="007235C7">
        <w:rPr>
          <w:rFonts w:ascii="Times New Roman" w:hAnsi="Times New Roman" w:cs="Times New Roman"/>
          <w:sz w:val="20"/>
          <w:szCs w:val="20"/>
          <w:lang w:val="en-GB"/>
        </w:rPr>
        <w:sym w:font="Symbol" w:char="F05B"/>
      </w:r>
      <w:r w:rsidRPr="007A32C3">
        <w:rPr>
          <w:rFonts w:ascii="Times New Roman" w:hAnsi="Times New Roman" w:cs="Times New Roman"/>
          <w:sz w:val="20"/>
          <w:szCs w:val="20"/>
          <w:lang w:val="en-GB"/>
        </w:rPr>
        <w:t>1999</w:t>
      </w:r>
      <w:r w:rsidRPr="007A32C3">
        <w:rPr>
          <w:rFonts w:ascii="Times New Roman" w:hAnsi="Times New Roman" w:cs="Times New Roman"/>
          <w:sz w:val="20"/>
          <w:szCs w:val="20"/>
          <w:lang w:val="en-GB"/>
        </w:rPr>
        <w:sym w:font="Symbol" w:char="F05D"/>
      </w:r>
      <w:r w:rsidRPr="007A32C3">
        <w:rPr>
          <w:rFonts w:ascii="Times New Roman" w:hAnsi="Times New Roman" w:cs="Times New Roman"/>
          <w:sz w:val="20"/>
          <w:szCs w:val="20"/>
          <w:lang w:val="en-GB"/>
        </w:rPr>
        <w:t xml:space="preserve"> ECR II-931, §188. </w:t>
      </w:r>
    </w:p>
  </w:footnote>
  <w:footnote w:id="84">
    <w:p w:rsidR="0081781C" w:rsidRPr="00246F56" w:rsidRDefault="0081781C" w:rsidP="00246F56">
      <w:pPr>
        <w:autoSpaceDE w:val="0"/>
        <w:autoSpaceDN w:val="0"/>
        <w:adjustRightInd w:val="0"/>
        <w:jc w:val="both"/>
        <w:rPr>
          <w:rFonts w:ascii="Times New Roman" w:hAnsi="Times New Roman" w:cs="Times New Roman"/>
          <w:bCs/>
          <w:sz w:val="20"/>
          <w:szCs w:val="20"/>
          <w:lang w:val="en-US"/>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In contrast, “</w:t>
      </w:r>
      <w:r w:rsidRPr="00246F56">
        <w:rPr>
          <w:rFonts w:ascii="Times New Roman" w:hAnsi="Times New Roman" w:cs="Times New Roman"/>
          <w:i/>
          <w:sz w:val="20"/>
          <w:szCs w:val="20"/>
          <w:lang w:val="en-US"/>
        </w:rPr>
        <w:t>if the authorities have taken prompt and appropriate remedial action to manage the temporary unpredictable overload of the courts, the longer processing time of some cases may be justified</w:t>
      </w:r>
      <w:r w:rsidRPr="007235C7">
        <w:rPr>
          <w:rFonts w:ascii="Times New Roman" w:hAnsi="Times New Roman" w:cs="Times New Roman"/>
          <w:sz w:val="20"/>
          <w:szCs w:val="20"/>
          <w:lang w:val="en-US"/>
        </w:rPr>
        <w:t>”</w:t>
      </w:r>
      <w:r w:rsidRPr="00246F56">
        <w:rPr>
          <w:rFonts w:ascii="Times New Roman" w:hAnsi="Times New Roman" w:cs="Times New Roman"/>
          <w:sz w:val="20"/>
          <w:szCs w:val="20"/>
          <w:lang w:val="en-US"/>
        </w:rPr>
        <w:t>.</w:t>
      </w:r>
      <w:r w:rsidRPr="007235C7">
        <w:rPr>
          <w:rFonts w:ascii="Times New Roman" w:hAnsi="Times New Roman" w:cs="Times New Roman"/>
          <w:sz w:val="20"/>
          <w:szCs w:val="20"/>
          <w:lang w:val="en-US"/>
        </w:rPr>
        <w:t xml:space="preserve"> See P. </w:t>
      </w:r>
      <w:r w:rsidRPr="00246F56">
        <w:rPr>
          <w:rFonts w:ascii="Times New Roman" w:hAnsi="Times New Roman" w:cs="Times New Roman"/>
          <w:sz w:val="20"/>
          <w:szCs w:val="20"/>
          <w:lang w:val="en-US"/>
        </w:rPr>
        <w:t xml:space="preserve">Albers, </w:t>
      </w:r>
      <w:r w:rsidRPr="00246F56">
        <w:rPr>
          <w:rFonts w:ascii="Times New Roman" w:hAnsi="Times New Roman" w:cs="Times New Roman"/>
          <w:bCs/>
          <w:sz w:val="20"/>
          <w:szCs w:val="20"/>
          <w:lang w:val="en-US"/>
        </w:rPr>
        <w:t>The management of judicial time</w:t>
      </w:r>
      <w:r w:rsidRPr="007235C7">
        <w:rPr>
          <w:rFonts w:ascii="Times New Roman" w:hAnsi="Times New Roman" w:cs="Times New Roman"/>
          <w:bCs/>
          <w:sz w:val="20"/>
          <w:szCs w:val="20"/>
          <w:lang w:val="en-US"/>
        </w:rPr>
        <w:t>, Council of Europe, April 2007, 10</w:t>
      </w:r>
      <w:r w:rsidRPr="00246F56">
        <w:rPr>
          <w:rFonts w:ascii="Times New Roman" w:hAnsi="Times New Roman" w:cs="Times New Roman"/>
          <w:bCs/>
          <w:sz w:val="20"/>
          <w:szCs w:val="20"/>
          <w:lang w:val="en-US"/>
        </w:rPr>
        <w:t xml:space="preserve"> (available at: </w:t>
      </w:r>
      <w:hyperlink r:id="rId4" w:history="1">
        <w:r w:rsidRPr="00246F56">
          <w:rPr>
            <w:rStyle w:val="Lienhypertexte"/>
            <w:rFonts w:ascii="Times New Roman" w:hAnsi="Times New Roman" w:cs="Times New Roman"/>
            <w:bCs/>
            <w:sz w:val="20"/>
            <w:szCs w:val="20"/>
            <w:lang w:val="en-US"/>
          </w:rPr>
          <w:t>http://www.eipa.eu/modules/EuroMedJustice/Conferences/Istanbul_16_19Apr07/speeches/1_Speech_PIM_ALBERS_TheManagementJudicialTime.pdf</w:t>
        </w:r>
      </w:hyperlink>
      <w:r w:rsidRPr="00246F56">
        <w:rPr>
          <w:rFonts w:ascii="Times New Roman" w:hAnsi="Times New Roman" w:cs="Times New Roman"/>
          <w:bCs/>
          <w:sz w:val="20"/>
          <w:szCs w:val="20"/>
          <w:lang w:val="en-US"/>
        </w:rPr>
        <w:t xml:space="preserve">). </w:t>
      </w:r>
    </w:p>
  </w:footnote>
  <w:footnote w:id="85">
    <w:p w:rsidR="0081781C" w:rsidRPr="00246F56" w:rsidRDefault="0081781C" w:rsidP="007A32C3">
      <w:pPr>
        <w:pStyle w:val="Notedebasdepage"/>
        <w:jc w:val="both"/>
        <w:rPr>
          <w:rFonts w:ascii="Times New Roman" w:hAnsi="Times New Roman" w:cs="Times New Roman"/>
          <w:sz w:val="20"/>
          <w:szCs w:val="20"/>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rPr>
        <w:t xml:space="preserve"> See Joined </w:t>
      </w:r>
      <w:r w:rsidRPr="007235C7">
        <w:rPr>
          <w:rFonts w:ascii="Times New Roman" w:hAnsi="Times New Roman" w:cs="Times New Roman"/>
          <w:sz w:val="20"/>
          <w:szCs w:val="20"/>
        </w:rPr>
        <w:t>C</w:t>
      </w:r>
      <w:r w:rsidRPr="00246F56">
        <w:rPr>
          <w:rFonts w:ascii="Times New Roman" w:hAnsi="Times New Roman" w:cs="Times New Roman"/>
          <w:sz w:val="20"/>
          <w:szCs w:val="20"/>
        </w:rPr>
        <w:t xml:space="preserve">ases T-5/00 and T-6/00, Nederlandse Federatieve Vereniging voor de Groothandel op Elektrotechnisch Gebied and Technische Unie BV v Commission, </w:t>
      </w:r>
      <w:r w:rsidRPr="007235C7">
        <w:rPr>
          <w:rFonts w:ascii="Times New Roman" w:hAnsi="Times New Roman" w:cs="Times New Roman"/>
          <w:sz w:val="20"/>
          <w:szCs w:val="20"/>
          <w:lang w:val="en-GB"/>
        </w:rPr>
        <w:sym w:font="Symbol" w:char="F05B"/>
      </w:r>
      <w:r w:rsidRPr="00246F56">
        <w:rPr>
          <w:rFonts w:ascii="Times New Roman" w:hAnsi="Times New Roman" w:cs="Times New Roman"/>
          <w:sz w:val="20"/>
          <w:szCs w:val="20"/>
        </w:rPr>
        <w:t>2003</w:t>
      </w:r>
      <w:r w:rsidRPr="007235C7">
        <w:rPr>
          <w:rFonts w:ascii="Times New Roman" w:hAnsi="Times New Roman" w:cs="Times New Roman"/>
          <w:sz w:val="20"/>
          <w:szCs w:val="20"/>
          <w:lang w:val="en-GB"/>
        </w:rPr>
        <w:sym w:font="Symbol" w:char="F05D"/>
      </w:r>
      <w:r w:rsidRPr="00246F56">
        <w:rPr>
          <w:rFonts w:ascii="Times New Roman" w:hAnsi="Times New Roman" w:cs="Times New Roman"/>
          <w:sz w:val="20"/>
          <w:szCs w:val="20"/>
        </w:rPr>
        <w:t xml:space="preserve"> ECR II-05761, </w:t>
      </w:r>
      <w:r>
        <w:rPr>
          <w:rFonts w:ascii="Times New Roman" w:hAnsi="Times New Roman" w:cs="Times New Roman"/>
          <w:sz w:val="20"/>
          <w:szCs w:val="20"/>
        </w:rPr>
        <w:t>§</w:t>
      </w:r>
      <w:r w:rsidRPr="00246F56">
        <w:rPr>
          <w:rFonts w:ascii="Times New Roman" w:hAnsi="Times New Roman" w:cs="Times New Roman"/>
          <w:sz w:val="20"/>
          <w:szCs w:val="20"/>
        </w:rPr>
        <w:t>§77-80.</w:t>
      </w:r>
    </w:p>
  </w:footnote>
  <w:footnote w:id="86">
    <w:p w:rsidR="0081781C" w:rsidRPr="007235C7" w:rsidRDefault="0081781C" w:rsidP="007A32C3">
      <w:pPr>
        <w:pStyle w:val="Notedebasdepage"/>
        <w:jc w:val="both"/>
        <w:rPr>
          <w:rFonts w:ascii="Times New Roman" w:hAnsi="Times New Roman" w:cs="Times New Roman"/>
          <w:sz w:val="20"/>
          <w:szCs w:val="20"/>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rPr>
        <w:t xml:space="preserve"> See C-105/04 P, Nederlandse Federatieve Vereniging voor de Groothandel op Elektrotechnisch Gebied and Technische Unie BV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rPr>
        <w:t>2006</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rPr>
        <w:t xml:space="preserve"> ECR I-8725, §§49-51.</w:t>
      </w:r>
    </w:p>
    <w:p w:rsidR="0081781C" w:rsidRPr="007235C7" w:rsidRDefault="0081781C" w:rsidP="006E0306">
      <w:pPr>
        <w:pStyle w:val="Notedebasdepage"/>
        <w:jc w:val="both"/>
        <w:rPr>
          <w:rFonts w:ascii="Times New Roman" w:hAnsi="Times New Roman" w:cs="Times New Roman"/>
          <w:sz w:val="20"/>
          <w:szCs w:val="20"/>
          <w:lang w:val="en-GB"/>
        </w:rPr>
      </w:pPr>
      <w:r w:rsidRPr="006E0306">
        <w:rPr>
          <w:rFonts w:ascii="Times New Roman" w:hAnsi="Times New Roman" w:cs="Times New Roman"/>
          <w:sz w:val="20"/>
          <w:szCs w:val="20"/>
          <w:lang w:val="en-GB"/>
        </w:rPr>
        <w:t>Furthermore, the ECtHR pointed out that the ECHR places a duty on the Member States to organize their legal systems to allo</w:t>
      </w:r>
      <w:r w:rsidRPr="00CD4E3B">
        <w:rPr>
          <w:rFonts w:ascii="Times New Roman" w:hAnsi="Times New Roman" w:cs="Times New Roman"/>
          <w:sz w:val="20"/>
          <w:szCs w:val="20"/>
          <w:lang w:val="en-GB"/>
        </w:rPr>
        <w:t>w the courts to comply with the requirements of Article 6(1), including that of a trial within a reasonable time: See Joined Cases T-213/95 and T-18/96, SCK and FNK v Commission</w:t>
      </w:r>
      <w:r w:rsidRPr="00CD4E3B">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2008</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w:t>
      </w:r>
      <w:r w:rsidRPr="007235C7">
        <w:rPr>
          <w:rFonts w:ascii="Times New Roman" w:hAnsi="Times New Roman" w:cs="Times New Roman"/>
          <w:sz w:val="20"/>
          <w:szCs w:val="20"/>
          <w:lang w:val="en-US"/>
        </w:rPr>
        <w:t>II-01739, §56; Joined Cases T-305/94, T-307/94, T-313/94 to T-316/9</w:t>
      </w:r>
      <w:r w:rsidRPr="006E0306">
        <w:rPr>
          <w:rFonts w:ascii="Times New Roman" w:hAnsi="Times New Roman" w:cs="Times New Roman"/>
          <w:sz w:val="20"/>
          <w:szCs w:val="20"/>
          <w:lang w:val="en-US"/>
        </w:rPr>
        <w:t>4, T-318/94, T-325/94, T-328/94, T-329/94 and T-335/94</w:t>
      </w:r>
      <w:r w:rsidRPr="00CD4E3B">
        <w:rPr>
          <w:rFonts w:ascii="Times New Roman" w:hAnsi="Times New Roman" w:cs="Times New Roman"/>
          <w:sz w:val="20"/>
          <w:szCs w:val="20"/>
          <w:lang w:val="en-US"/>
        </w:rPr>
        <w:t>, Limburg</w:t>
      </w:r>
      <w:r>
        <w:rPr>
          <w:rFonts w:ascii="Times New Roman" w:hAnsi="Times New Roman" w:cs="Times New Roman"/>
          <w:sz w:val="20"/>
          <w:szCs w:val="20"/>
          <w:lang w:val="en-US"/>
        </w:rPr>
        <w:t>s</w:t>
      </w:r>
      <w:r w:rsidRPr="00CD4E3B">
        <w:rPr>
          <w:rFonts w:ascii="Times New Roman" w:hAnsi="Times New Roman" w:cs="Times New Roman"/>
          <w:sz w:val="20"/>
          <w:szCs w:val="20"/>
          <w:lang w:val="en-US"/>
        </w:rPr>
        <w:t xml:space="preserve">e Vinyl Maatschappij and Others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II-931, §§120 and ff.; T-228/97 Irish Sugar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II-2969, §§276 and ff. and Joined Cases T-5/00 and T-6/00 Nederlandse Federatieve Vereniging voor de Groothandel op Elektronisch Gebied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2003</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II-5761, §§73 and ff.</w:t>
      </w:r>
    </w:p>
  </w:footnote>
  <w:footnote w:id="87">
    <w:p w:rsidR="0081781C" w:rsidRPr="00246F56" w:rsidRDefault="0081781C" w:rsidP="007235C7">
      <w:pPr>
        <w:pStyle w:val="Notedebasdepage"/>
        <w:jc w:val="both"/>
        <w:rPr>
          <w:rFonts w:ascii="Times New Roman" w:hAnsi="Times New Roman" w:cs="Times New Roman"/>
          <w:sz w:val="20"/>
          <w:szCs w:val="20"/>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rPr>
        <w:t xml:space="preserve"> See C-105/04 P, Nederlandse Federatieve Vereniging voor de Groothandel op Elektrotechnisch Gebied and Technische Unie BV v Commission, </w:t>
      </w:r>
      <w:r w:rsidRPr="007235C7">
        <w:rPr>
          <w:rFonts w:ascii="Times New Roman" w:hAnsi="Times New Roman" w:cs="Times New Roman"/>
          <w:sz w:val="20"/>
          <w:szCs w:val="20"/>
          <w:lang w:val="en-GB"/>
        </w:rPr>
        <w:sym w:font="Symbol" w:char="F05B"/>
      </w:r>
      <w:r w:rsidRPr="00246F56">
        <w:rPr>
          <w:rFonts w:ascii="Times New Roman" w:hAnsi="Times New Roman" w:cs="Times New Roman"/>
          <w:sz w:val="20"/>
          <w:szCs w:val="20"/>
        </w:rPr>
        <w:t>2006</w:t>
      </w:r>
      <w:r w:rsidRPr="007235C7">
        <w:rPr>
          <w:rFonts w:ascii="Times New Roman" w:hAnsi="Times New Roman" w:cs="Times New Roman"/>
          <w:sz w:val="20"/>
          <w:szCs w:val="20"/>
          <w:lang w:val="en-GB"/>
        </w:rPr>
        <w:sym w:font="Symbol" w:char="F05D"/>
      </w:r>
      <w:r w:rsidRPr="00246F56">
        <w:rPr>
          <w:rFonts w:ascii="Times New Roman" w:hAnsi="Times New Roman" w:cs="Times New Roman"/>
          <w:sz w:val="20"/>
          <w:szCs w:val="20"/>
        </w:rPr>
        <w:t xml:space="preserve"> ECR I-8725, §</w:t>
      </w:r>
      <w:r>
        <w:rPr>
          <w:rFonts w:ascii="Times New Roman" w:hAnsi="Times New Roman" w:cs="Times New Roman"/>
          <w:sz w:val="20"/>
          <w:szCs w:val="20"/>
        </w:rPr>
        <w:t>§</w:t>
      </w:r>
      <w:r w:rsidRPr="00246F56">
        <w:rPr>
          <w:rFonts w:ascii="Times New Roman" w:hAnsi="Times New Roman" w:cs="Times New Roman"/>
          <w:sz w:val="20"/>
          <w:szCs w:val="20"/>
        </w:rPr>
        <w:t>49-51.</w:t>
      </w:r>
    </w:p>
    <w:p w:rsidR="0081781C" w:rsidRPr="00055FAC" w:rsidRDefault="0081781C" w:rsidP="007235C7">
      <w:pPr>
        <w:pStyle w:val="Notedebasdepage"/>
        <w:jc w:val="both"/>
        <w:rPr>
          <w:rFonts w:ascii="Times New Roman" w:hAnsi="Times New Roman" w:cs="Times New Roman"/>
          <w:sz w:val="20"/>
          <w:szCs w:val="20"/>
          <w:lang w:val="en-GB"/>
        </w:rPr>
      </w:pPr>
      <w:r w:rsidRPr="007235C7">
        <w:rPr>
          <w:rFonts w:ascii="Times New Roman" w:hAnsi="Times New Roman" w:cs="Times New Roman"/>
          <w:sz w:val="20"/>
          <w:szCs w:val="20"/>
          <w:lang w:val="en-GB"/>
        </w:rPr>
        <w:t xml:space="preserve">Furthermore, the ECtHR had pointed out that the ECHR places a duty on the Member States to organize their legal systems so as to allow the courts to comply with the requirements of Article 6(1), including that of a </w:t>
      </w:r>
      <w:r w:rsidRPr="00055FAC">
        <w:rPr>
          <w:rFonts w:ascii="Times New Roman" w:hAnsi="Times New Roman" w:cs="Times New Roman"/>
          <w:sz w:val="20"/>
          <w:szCs w:val="20"/>
          <w:lang w:val="en-GB"/>
        </w:rPr>
        <w:t>trial within a reasonable time: See Joined Cases T-213/95 and T-18/96, SCK and FNK v Commission</w:t>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2008</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w:t>
      </w:r>
      <w:r w:rsidRPr="00246F56">
        <w:rPr>
          <w:rFonts w:ascii="Times New Roman" w:hAnsi="Times New Roman" w:cs="Times New Roman"/>
          <w:sz w:val="20"/>
          <w:szCs w:val="20"/>
          <w:lang w:val="en-US"/>
        </w:rPr>
        <w:t>II-01739, §56; Joined Cases T-305/94, T-307/94, T-313/94 to T-316/94, T-318/94, T-325/94, T-328/94, T-329/94 and T-335/94 Limburg</w:t>
      </w:r>
      <w:r>
        <w:rPr>
          <w:rFonts w:ascii="Times New Roman" w:hAnsi="Times New Roman" w:cs="Times New Roman"/>
          <w:sz w:val="20"/>
          <w:szCs w:val="20"/>
          <w:lang w:val="en-US"/>
        </w:rPr>
        <w:t>s</w:t>
      </w:r>
      <w:r w:rsidRPr="00246F56">
        <w:rPr>
          <w:rFonts w:ascii="Times New Roman" w:hAnsi="Times New Roman" w:cs="Times New Roman"/>
          <w:sz w:val="20"/>
          <w:szCs w:val="20"/>
          <w:lang w:val="en-US"/>
        </w:rPr>
        <w:t xml:space="preserve">e Vinyl Maatschappij and Others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II-931, §§120 and ff.; T-228/97 Irish Sugar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II-2969, §§276 and ff. and Joined Cases T-5/00 and T-6/00 Nederlandse Federatieve Vereniging voor de Groothandel op Elektronisch Gebied v Commissio</w:t>
      </w:r>
      <w:r w:rsidRPr="00055FAC">
        <w:rPr>
          <w:rFonts w:ascii="Times New Roman" w:hAnsi="Times New Roman" w:cs="Times New Roman"/>
          <w:sz w:val="20"/>
          <w:szCs w:val="20"/>
          <w:lang w:val="en-GB"/>
        </w:rPr>
        <w:t xml:space="preserve">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2003</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II-5761, §§</w:t>
      </w:r>
      <w:r w:rsidRPr="00055FAC">
        <w:rPr>
          <w:rFonts w:ascii="Times New Roman" w:hAnsi="Times New Roman" w:cs="Times New Roman"/>
          <w:sz w:val="20"/>
          <w:szCs w:val="20"/>
          <w:lang w:val="en-GB"/>
        </w:rPr>
        <w:t>73 and ff.</w:t>
      </w:r>
      <w:r>
        <w:rPr>
          <w:rFonts w:ascii="Times New Roman" w:hAnsi="Times New Roman" w:cs="Times New Roman"/>
          <w:sz w:val="20"/>
          <w:szCs w:val="20"/>
          <w:lang w:val="en-GB"/>
        </w:rPr>
        <w:t xml:space="preserve"> </w:t>
      </w:r>
    </w:p>
  </w:footnote>
  <w:footnote w:id="88">
    <w:p w:rsidR="0081781C" w:rsidRPr="007235C7" w:rsidRDefault="0081781C" w:rsidP="00055FA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Joined Cases T-305-307/94, T-313-316/94, T-318/94, T-325/94, T-328/94, T329/94 and T-335/94, Limburgse Vinyl Maatschappij NV and others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II-931.</w:t>
      </w:r>
    </w:p>
  </w:footnote>
  <w:footnote w:id="89">
    <w:p w:rsidR="0081781C" w:rsidRPr="00055FAC" w:rsidRDefault="0081781C" w:rsidP="00055FA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 xml:space="preserve"> See T-62/98, Volkswagen v Commission</w:t>
      </w:r>
      <w:r>
        <w:rPr>
          <w:rFonts w:ascii="Times New Roman" w:hAnsi="Times New Roman" w:cs="Times New Roman"/>
          <w:sz w:val="20"/>
          <w:szCs w:val="20"/>
          <w:lang w:val="en-GB"/>
        </w:rPr>
        <w:t>,</w:t>
      </w:r>
      <w:r w:rsidRPr="00055FAC">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II-2707, §270.</w:t>
      </w:r>
    </w:p>
  </w:footnote>
  <w:footnote w:id="90">
    <w:p w:rsidR="0081781C" w:rsidRPr="00055FAC" w:rsidRDefault="0081781C" w:rsidP="00055FA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C-254/99, LVM v Commission, [</w:t>
      </w:r>
      <w:r w:rsidRPr="007D6DD4">
        <w:rPr>
          <w:rFonts w:ascii="Times New Roman" w:hAnsi="Times New Roman" w:cs="Times New Roman"/>
          <w:sz w:val="20"/>
          <w:szCs w:val="20"/>
          <w:lang w:val="en-GB"/>
        </w:rPr>
        <w:t>2002] ECR, I-08375</w:t>
      </w:r>
      <w:r w:rsidRPr="00055FAC">
        <w:rPr>
          <w:rFonts w:ascii="Times New Roman" w:hAnsi="Times New Roman" w:cs="Times New Roman"/>
          <w:sz w:val="20"/>
          <w:szCs w:val="20"/>
          <w:lang w:val="en-GB"/>
        </w:rPr>
        <w:t xml:space="preserve"> §122.</w:t>
      </w:r>
    </w:p>
  </w:footnote>
  <w:footnote w:id="91">
    <w:p w:rsidR="0081781C" w:rsidRPr="00246F56" w:rsidRDefault="0081781C" w:rsidP="00055FAC">
      <w:pPr>
        <w:pStyle w:val="Notedebasdepage"/>
        <w:jc w:val="both"/>
        <w:rPr>
          <w:rFonts w:ascii="Times New Roman" w:hAnsi="Times New Roman" w:cs="Times New Roman"/>
          <w:sz w:val="20"/>
          <w:szCs w:val="20"/>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rPr>
        <w:t xml:space="preserve"> </w:t>
      </w:r>
      <w:r w:rsidRPr="007235C7">
        <w:rPr>
          <w:rFonts w:ascii="Times New Roman" w:hAnsi="Times New Roman" w:cs="Times New Roman"/>
          <w:sz w:val="20"/>
          <w:szCs w:val="20"/>
        </w:rPr>
        <w:t xml:space="preserve">See Joined Cases T-5/00 and T-6/00, Nederlandse Federatieve Vereniging voor de Groothandel op </w:t>
      </w:r>
      <w:r w:rsidRPr="008B4AAA">
        <w:rPr>
          <w:rFonts w:ascii="Times New Roman" w:hAnsi="Times New Roman" w:cs="Times New Roman"/>
          <w:sz w:val="20"/>
          <w:szCs w:val="20"/>
        </w:rPr>
        <w:t xml:space="preserve">Elektronisch Gebied en Technische Unie BV v Commission, </w:t>
      </w:r>
      <w:r w:rsidRPr="008B4AAA">
        <w:rPr>
          <w:rFonts w:ascii="Times New Roman" w:hAnsi="Times New Roman" w:cs="Times New Roman"/>
          <w:sz w:val="20"/>
          <w:szCs w:val="20"/>
          <w:lang w:val="en-GB"/>
        </w:rPr>
        <w:sym w:font="Symbol" w:char="F05B"/>
      </w:r>
      <w:r w:rsidRPr="008B4AAA">
        <w:rPr>
          <w:rFonts w:ascii="Times New Roman" w:hAnsi="Times New Roman" w:cs="Times New Roman"/>
          <w:sz w:val="20"/>
          <w:szCs w:val="20"/>
        </w:rPr>
        <w:t>2003</w:t>
      </w:r>
      <w:r w:rsidRPr="008B4AAA">
        <w:rPr>
          <w:rFonts w:ascii="Times New Roman" w:hAnsi="Times New Roman" w:cs="Times New Roman"/>
          <w:sz w:val="20"/>
          <w:szCs w:val="20"/>
          <w:lang w:val="en-GB"/>
        </w:rPr>
        <w:sym w:font="Symbol" w:char="F05D"/>
      </w:r>
      <w:r w:rsidRPr="008B4AAA">
        <w:rPr>
          <w:rFonts w:ascii="Times New Roman" w:hAnsi="Times New Roman" w:cs="Times New Roman"/>
          <w:sz w:val="20"/>
          <w:szCs w:val="20"/>
        </w:rPr>
        <w:t xml:space="preserve"> ECR II-5761, §§78-79.</w:t>
      </w:r>
    </w:p>
  </w:footnote>
  <w:footnote w:id="92">
    <w:p w:rsidR="0081781C" w:rsidRPr="00246F56" w:rsidRDefault="0081781C" w:rsidP="00246F56">
      <w:pPr>
        <w:pStyle w:val="NormalWeb"/>
        <w:spacing w:before="0" w:beforeAutospacing="0" w:after="0" w:afterAutospacing="0"/>
        <w:rPr>
          <w:sz w:val="20"/>
          <w:szCs w:val="20"/>
          <w:lang w:val="en-US"/>
        </w:rPr>
      </w:pPr>
      <w:r w:rsidRPr="00246F56">
        <w:rPr>
          <w:rStyle w:val="Appelnotedebasdep"/>
          <w:sz w:val="20"/>
          <w:szCs w:val="20"/>
        </w:rPr>
        <w:footnoteRef/>
      </w:r>
      <w:r w:rsidRPr="00246F56">
        <w:rPr>
          <w:sz w:val="20"/>
          <w:szCs w:val="20"/>
          <w:lang w:val="en-US"/>
        </w:rPr>
        <w:t xml:space="preserve"> See C-238/12 P, FLSmidth &amp; Co. A/S v European Commission, §§116-117 </w:t>
      </w:r>
      <w:r w:rsidRPr="004E08B1">
        <w:rPr>
          <w:sz w:val="20"/>
          <w:szCs w:val="20"/>
          <w:lang w:val="en-US"/>
        </w:rPr>
        <w:t>(unpublished).</w:t>
      </w:r>
    </w:p>
  </w:footnote>
  <w:footnote w:id="93">
    <w:p w:rsidR="0081781C" w:rsidRPr="007D6DD4" w:rsidRDefault="0081781C" w:rsidP="00246F56">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This solution was previously applied in </w:t>
      </w:r>
      <w:r w:rsidRPr="007D6DD4">
        <w:rPr>
          <w:rStyle w:val="lev"/>
          <w:rFonts w:ascii="Times New Roman" w:hAnsi="Times New Roman" w:cs="Times New Roman"/>
          <w:b w:val="0"/>
          <w:sz w:val="20"/>
          <w:szCs w:val="20"/>
          <w:lang w:val="en-GB"/>
        </w:rPr>
        <w:t xml:space="preserve">C-185/95 P, Baustahlgewebe GmbH v Commission, </w:t>
      </w:r>
      <w:r w:rsidRPr="007D6DD4">
        <w:rPr>
          <w:rFonts w:ascii="Times New Roman" w:hAnsi="Times New Roman" w:cs="Times New Roman"/>
          <w:i/>
          <w:iCs/>
          <w:sz w:val="20"/>
          <w:szCs w:val="20"/>
          <w:lang w:val="en-GB"/>
        </w:rPr>
        <w:t xml:space="preserve">ECR </w:t>
      </w:r>
      <w:r w:rsidRPr="007D6DD4">
        <w:rPr>
          <w:rFonts w:ascii="Times New Roman" w:hAnsi="Times New Roman" w:cs="Times New Roman"/>
          <w:iCs/>
          <w:sz w:val="20"/>
          <w:szCs w:val="20"/>
          <w:lang w:val="en-GB"/>
        </w:rPr>
        <w:t xml:space="preserve">1998 I-08417, §48 where the CJEU held that </w:t>
      </w:r>
      <w:r w:rsidRPr="007D6DD4">
        <w:rPr>
          <w:rFonts w:ascii="Times New Roman" w:hAnsi="Times New Roman" w:cs="Times New Roman"/>
          <w:sz w:val="20"/>
          <w:szCs w:val="20"/>
          <w:shd w:val="clear" w:color="auto" w:fill="FFFFFF"/>
          <w:lang w:val="en-GB"/>
        </w:rPr>
        <w:t>a fine reduction should apply for “</w:t>
      </w:r>
      <w:r w:rsidRPr="007D6DD4">
        <w:rPr>
          <w:rFonts w:ascii="Times New Roman" w:hAnsi="Times New Roman" w:cs="Times New Roman"/>
          <w:i/>
          <w:sz w:val="20"/>
          <w:szCs w:val="20"/>
          <w:shd w:val="clear" w:color="auto" w:fill="FFFFFF"/>
          <w:lang w:val="en-GB"/>
        </w:rPr>
        <w:t>reasons of economy of procedure and in order to ensure an immediate and effective remedy regarding a procedural irregularity of that kind</w:t>
      </w:r>
      <w:r w:rsidRPr="007D6DD4">
        <w:rPr>
          <w:rFonts w:ascii="Times New Roman" w:hAnsi="Times New Roman" w:cs="Times New Roman"/>
          <w:sz w:val="20"/>
          <w:szCs w:val="20"/>
          <w:shd w:val="clear" w:color="auto" w:fill="FFFFFF"/>
          <w:lang w:val="en-GB"/>
        </w:rPr>
        <w:t>.”</w:t>
      </w:r>
    </w:p>
  </w:footnote>
  <w:footnote w:id="94">
    <w:p w:rsidR="0081781C" w:rsidRPr="007D6DD4" w:rsidRDefault="0081781C" w:rsidP="00246F56">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On the preference for a fine reduction solution, See </w:t>
      </w:r>
      <w:r w:rsidRPr="002E4D9C">
        <w:rPr>
          <w:rStyle w:val="Accentuation"/>
          <w:rFonts w:ascii="Times New Roman" w:hAnsi="Times New Roman" w:cs="Times New Roman"/>
          <w:i w:val="0"/>
          <w:color w:val="000000"/>
          <w:sz w:val="20"/>
          <w:szCs w:val="20"/>
          <w:shd w:val="clear" w:color="auto" w:fill="FFFFFF"/>
          <w:lang w:val="en-US"/>
        </w:rPr>
        <w:t>Opinion of AG Wathelet, C-580/12 P, Guardian Industries Corp. v Commission, §§ 106 and ff.; A</w:t>
      </w:r>
      <w:r w:rsidRPr="007D6DD4">
        <w:rPr>
          <w:lang w:val="en-GB"/>
        </w:rPr>
        <w:t xml:space="preserve">. </w:t>
      </w:r>
      <w:r w:rsidRPr="007D6DD4">
        <w:rPr>
          <w:rFonts w:ascii="Times New Roman" w:hAnsi="Times New Roman" w:cs="Times New Roman"/>
          <w:sz w:val="20"/>
          <w:szCs w:val="20"/>
          <w:lang w:val="en-GB"/>
        </w:rPr>
        <w:t>Scheidtmann</w:t>
      </w:r>
      <w:r w:rsidRPr="00246F56">
        <w:rPr>
          <w:rFonts w:ascii="Times New Roman" w:hAnsi="Times New Roman" w:cs="Times New Roman"/>
          <w:color w:val="000000"/>
          <w:sz w:val="20"/>
          <w:szCs w:val="20"/>
          <w:lang w:val="en-US"/>
        </w:rPr>
        <w:t xml:space="preserve">, Haste Makes Waste (?) - Some Reflections on the European Court of Justice’s Approach to Remedying Infringements of the General Court regarding the Right to be Heard Within a Reasonable Time, (2014) CPI, (available at: </w:t>
      </w:r>
      <w:hyperlink r:id="rId5" w:history="1">
        <w:r w:rsidRPr="00246F56">
          <w:rPr>
            <w:rStyle w:val="Lienhypertexte"/>
            <w:rFonts w:ascii="Times New Roman" w:hAnsi="Times New Roman" w:cs="Times New Roman"/>
            <w:sz w:val="20"/>
            <w:szCs w:val="20"/>
            <w:lang w:val="en-US"/>
          </w:rPr>
          <w:t>https://www.competitionpolicyinternational.com/haste-makes-waste?utm_source=July+24%2C+2014&amp;utm_</w:t>
        </w:r>
        <w:r w:rsidRPr="00EB00C5">
          <w:rPr>
            <w:rStyle w:val="Lienhypertexte"/>
            <w:rFonts w:ascii="Times New Roman" w:hAnsi="Times New Roman" w:cs="Times New Roman"/>
            <w:sz w:val="20"/>
            <w:szCs w:val="20"/>
            <w:lang w:val="en-US"/>
          </w:rPr>
          <w:t xml:space="preserve"> </w:t>
        </w:r>
        <w:r w:rsidRPr="00246F56">
          <w:rPr>
            <w:rStyle w:val="Lienhypertexte"/>
            <w:rFonts w:ascii="Times New Roman" w:hAnsi="Times New Roman" w:cs="Times New Roman"/>
            <w:sz w:val="20"/>
            <w:szCs w:val="20"/>
            <w:lang w:val="en-US"/>
          </w:rPr>
          <w:t>campaign=April+30%2C+2013&amp;utm_medium=email</w:t>
        </w:r>
      </w:hyperlink>
      <w:r w:rsidRPr="00246F56">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Pr="007D6DD4">
        <w:rPr>
          <w:rFonts w:ascii="Times New Roman" w:hAnsi="Times New Roman" w:cs="Times New Roman"/>
          <w:sz w:val="20"/>
          <w:szCs w:val="20"/>
          <w:lang w:val="en-GB"/>
        </w:rPr>
        <w:t xml:space="preserve">E. Beumer, </w:t>
      </w:r>
      <w:r w:rsidRPr="00246F56">
        <w:rPr>
          <w:rFonts w:ascii="Times New Roman" w:hAnsi="Times New Roman" w:cs="Times New Roman"/>
          <w:sz w:val="20"/>
          <w:szCs w:val="20"/>
          <w:lang w:val="en-US"/>
        </w:rPr>
        <w:t>The recent landmark cases on the reasonable time requirement: Is the Court caught between Scylla and Charybdis?</w:t>
      </w:r>
      <w:r w:rsidRPr="00802C9E">
        <w:rPr>
          <w:rFonts w:ascii="Times New Roman" w:hAnsi="Times New Roman" w:cs="Times New Roman"/>
          <w:sz w:val="20"/>
          <w:szCs w:val="20"/>
          <w:lang w:val="en-US"/>
        </w:rPr>
        <w:t>, European Law Blog, 9 October 2013</w:t>
      </w:r>
      <w:r w:rsidRPr="00246F56">
        <w:rPr>
          <w:rFonts w:ascii="Times New Roman" w:hAnsi="Times New Roman" w:cs="Times New Roman"/>
          <w:sz w:val="20"/>
          <w:szCs w:val="20"/>
          <w:lang w:val="en-US"/>
        </w:rPr>
        <w:t xml:space="preserve"> (av</w:t>
      </w:r>
      <w:r w:rsidRPr="00802C9E">
        <w:rPr>
          <w:rFonts w:ascii="Times New Roman" w:hAnsi="Times New Roman" w:cs="Times New Roman"/>
          <w:sz w:val="20"/>
          <w:szCs w:val="20"/>
          <w:lang w:val="en-US"/>
        </w:rPr>
        <w:t>a</w:t>
      </w:r>
      <w:r w:rsidRPr="00246F56">
        <w:rPr>
          <w:rFonts w:ascii="Times New Roman" w:hAnsi="Times New Roman" w:cs="Times New Roman"/>
          <w:sz w:val="20"/>
          <w:szCs w:val="20"/>
          <w:lang w:val="en-US"/>
        </w:rPr>
        <w:t xml:space="preserve">ilable at: </w:t>
      </w:r>
      <w:hyperlink r:id="rId6" w:anchor="sthash.X98P8Okm.dpuf" w:history="1">
        <w:r w:rsidRPr="00246F56">
          <w:rPr>
            <w:rStyle w:val="Lienhypertexte"/>
            <w:rFonts w:ascii="Times New Roman" w:hAnsi="Times New Roman" w:cs="Times New Roman"/>
            <w:sz w:val="20"/>
            <w:szCs w:val="20"/>
            <w:lang w:val="en-US"/>
          </w:rPr>
          <w:t>http://europeanlawblog.eu/?p=2093#sthash.X98P8Okm.dpuf</w:t>
        </w:r>
      </w:hyperlink>
      <w:r w:rsidRPr="00246F56">
        <w:rPr>
          <w:rFonts w:ascii="Times New Roman" w:hAnsi="Times New Roman" w:cs="Times New Roman"/>
          <w:sz w:val="20"/>
          <w:szCs w:val="20"/>
          <w:lang w:val="en-US"/>
        </w:rPr>
        <w:t xml:space="preserve">). </w:t>
      </w:r>
    </w:p>
  </w:footnote>
  <w:footnote w:id="95">
    <w:p w:rsidR="0081781C" w:rsidRPr="007235C7" w:rsidRDefault="0081781C" w:rsidP="00055FAC">
      <w:pPr>
        <w:pStyle w:val="Notedebasdepage"/>
        <w:jc w:val="both"/>
        <w:rPr>
          <w:rFonts w:ascii="Times New Roman" w:hAnsi="Times New Roman" w:cs="Times New Roman"/>
          <w:sz w:val="20"/>
          <w:szCs w:val="20"/>
          <w:lang w:val="en-GB"/>
        </w:rPr>
      </w:pPr>
      <w:r w:rsidRPr="00802C9E">
        <w:rPr>
          <w:rStyle w:val="Appelnotedebasdep"/>
          <w:rFonts w:ascii="Times New Roman" w:hAnsi="Times New Roman" w:cs="Times New Roman"/>
          <w:sz w:val="20"/>
          <w:szCs w:val="20"/>
          <w:lang w:val="en-GB"/>
        </w:rPr>
        <w:footnoteRef/>
      </w:r>
      <w:r w:rsidRPr="00802C9E">
        <w:rPr>
          <w:rFonts w:ascii="Times New Roman" w:hAnsi="Times New Roman" w:cs="Times New Roman"/>
          <w:sz w:val="20"/>
          <w:szCs w:val="20"/>
          <w:lang w:val="en-GB"/>
        </w:rPr>
        <w:t xml:space="preserve"> See </w:t>
      </w:r>
      <w:r w:rsidRPr="00802C9E">
        <w:rPr>
          <w:rFonts w:ascii="Times New Roman" w:hAnsi="Times New Roman" w:cs="Times New Roman"/>
          <w:sz w:val="20"/>
          <w:szCs w:val="20"/>
          <w:lang w:val="en-US"/>
        </w:rPr>
        <w:t>C</w:t>
      </w:r>
      <w:r w:rsidRPr="00802C9E">
        <w:rPr>
          <w:rFonts w:ascii="Times New Roman" w:hAnsi="Times New Roman" w:cs="Times New Roman"/>
          <w:sz w:val="20"/>
          <w:szCs w:val="20"/>
          <w:lang w:val="en-US"/>
        </w:rPr>
        <w:noBreakHyphen/>
        <w:t xml:space="preserve">50/12 P, </w:t>
      </w:r>
      <w:r w:rsidRPr="00802C9E">
        <w:rPr>
          <w:rFonts w:ascii="Times New Roman" w:hAnsi="Times New Roman" w:cs="Times New Roman"/>
          <w:bCs/>
          <w:sz w:val="20"/>
          <w:szCs w:val="20"/>
          <w:lang w:val="en-US"/>
        </w:rPr>
        <w:t>Kendrion NV v. Commission,</w:t>
      </w:r>
      <w:r w:rsidRPr="00802C9E">
        <w:rPr>
          <w:rFonts w:ascii="Times New Roman" w:hAnsi="Times New Roman" w:cs="Times New Roman"/>
          <w:b/>
          <w:bCs/>
          <w:sz w:val="20"/>
          <w:szCs w:val="20"/>
          <w:lang w:val="en-US"/>
        </w:rPr>
        <w:t xml:space="preserve"> </w:t>
      </w:r>
      <w:r w:rsidRPr="00802C9E">
        <w:rPr>
          <w:rFonts w:ascii="Times New Roman" w:hAnsi="Times New Roman" w:cs="Times New Roman"/>
          <w:bCs/>
          <w:sz w:val="20"/>
          <w:szCs w:val="20"/>
          <w:lang w:val="en-US"/>
        </w:rPr>
        <w:t>§ 87 (unpublished</w:t>
      </w:r>
      <w:r w:rsidRPr="00055FAC">
        <w:rPr>
          <w:rFonts w:ascii="Times New Roman" w:hAnsi="Times New Roman" w:cs="Times New Roman"/>
          <w:bCs/>
          <w:sz w:val="20"/>
          <w:szCs w:val="20"/>
          <w:lang w:val="en-US"/>
        </w:rPr>
        <w:t>)</w:t>
      </w:r>
      <w:r w:rsidRPr="00055FAC">
        <w:rPr>
          <w:rFonts w:ascii="Times New Roman" w:hAnsi="Times New Roman" w:cs="Times New Roman"/>
          <w:sz w:val="20"/>
          <w:szCs w:val="20"/>
          <w:lang w:val="en-GB"/>
        </w:rPr>
        <w:t xml:space="preserve"> and </w:t>
      </w:r>
      <w:r w:rsidRPr="007D6DD4">
        <w:rPr>
          <w:rFonts w:ascii="Times New Roman" w:hAnsi="Times New Roman" w:cs="Times New Roman"/>
          <w:sz w:val="20"/>
          <w:szCs w:val="20"/>
          <w:lang w:val="en-GB"/>
        </w:rPr>
        <w:t xml:space="preserve">C-385/07, Der Grüne Punkt – Duales System Deutschland GmbH v Commission, </w:t>
      </w:r>
      <w:r w:rsidRPr="007235C7">
        <w:rPr>
          <w:rFonts w:ascii="Times New Roman" w:hAnsi="Times New Roman" w:cs="Times New Roman"/>
          <w:sz w:val="20"/>
          <w:szCs w:val="20"/>
          <w:lang w:val="en-GB"/>
        </w:rPr>
        <w:sym w:font="Symbol" w:char="F05B"/>
      </w:r>
      <w:r w:rsidRPr="007D6DD4">
        <w:rPr>
          <w:rFonts w:ascii="Times New Roman" w:hAnsi="Times New Roman" w:cs="Times New Roman"/>
          <w:sz w:val="20"/>
          <w:szCs w:val="20"/>
          <w:lang w:val="en-GB"/>
        </w:rPr>
        <w:t>2009</w:t>
      </w:r>
      <w:r w:rsidRPr="007235C7">
        <w:rPr>
          <w:rFonts w:ascii="Times New Roman" w:hAnsi="Times New Roman" w:cs="Times New Roman"/>
          <w:sz w:val="20"/>
          <w:szCs w:val="20"/>
          <w:lang w:val="en-GB"/>
        </w:rPr>
        <w:sym w:font="Symbol" w:char="F05D"/>
      </w:r>
      <w:r w:rsidRPr="007D6DD4">
        <w:rPr>
          <w:rFonts w:ascii="Times New Roman" w:hAnsi="Times New Roman" w:cs="Times New Roman"/>
          <w:sz w:val="20"/>
          <w:szCs w:val="20"/>
          <w:lang w:val="en-GB"/>
        </w:rPr>
        <w:t xml:space="preserve"> ECR I-6155, §§193 and ff.</w:t>
      </w:r>
    </w:p>
  </w:footnote>
  <w:footnote w:id="96">
    <w:p w:rsidR="0081781C" w:rsidRPr="007235C7" w:rsidRDefault="0081781C" w:rsidP="006E0306">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Article 20 of Regulation 1/2003.</w:t>
      </w:r>
    </w:p>
  </w:footnote>
  <w:footnote w:id="97">
    <w:p w:rsidR="0081781C" w:rsidRPr="00CD4E3B" w:rsidRDefault="0081781C">
      <w:pPr>
        <w:widowControl w:val="0"/>
        <w:autoSpaceDE w:val="0"/>
        <w:autoSpaceDN w:val="0"/>
        <w:adjustRightInd w:val="0"/>
        <w:jc w:val="both"/>
        <w:rPr>
          <w:rFonts w:ascii="Times New Roman" w:hAnsi="Times New Roman" w:cs="Times New Roman"/>
          <w:i/>
          <w:sz w:val="20"/>
          <w:szCs w:val="20"/>
          <w:lang w:val="en-US"/>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Article 21(1) of Regulation 1/2003: </w:t>
      </w:r>
      <w:r w:rsidRPr="00055FAC">
        <w:rPr>
          <w:rFonts w:ascii="Times New Roman" w:hAnsi="Times New Roman" w:cs="Times New Roman"/>
          <w:i/>
          <w:sz w:val="20"/>
          <w:szCs w:val="20"/>
          <w:lang w:val="en-US"/>
        </w:rPr>
        <w:t>“If a reasonable suspicion exists that books or other records related to the business an</w:t>
      </w:r>
      <w:r w:rsidRPr="006E0306">
        <w:rPr>
          <w:rFonts w:ascii="Times New Roman" w:hAnsi="Times New Roman" w:cs="Times New Roman"/>
          <w:i/>
          <w:sz w:val="20"/>
          <w:szCs w:val="20"/>
          <w:lang w:val="en-US"/>
        </w:rPr>
        <w:t>d to the subjec</w:t>
      </w:r>
      <w:r w:rsidRPr="00CD4E3B">
        <w:rPr>
          <w:rFonts w:ascii="Times New Roman" w:hAnsi="Times New Roman" w:cs="Times New Roman"/>
          <w:i/>
          <w:sz w:val="20"/>
          <w:szCs w:val="20"/>
          <w:lang w:val="en-US"/>
        </w:rPr>
        <w:t>t-matter of the inspection, which may be relevant to prove a serious violation of Article 81 or Article 82 of the Treaty, are being kept in any other premises, land and means of transport, including the homes of directors, managers and other members of staff of the undertakings and associations of undertakings concerned, the Commission can by decision order an inspection to be conducted in such other premises, land and means of transport.”</w:t>
      </w:r>
    </w:p>
  </w:footnote>
  <w:footnote w:id="98">
    <w:p w:rsidR="0081781C" w:rsidRPr="00055FAC"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D. Chalmers, G. Davies and G. Monti, European U</w:t>
      </w:r>
      <w:r w:rsidRPr="00055FAC">
        <w:rPr>
          <w:rFonts w:ascii="Times New Roman" w:hAnsi="Times New Roman" w:cs="Times New Roman"/>
          <w:sz w:val="20"/>
          <w:szCs w:val="20"/>
          <w:lang w:val="en-GB"/>
        </w:rPr>
        <w:t>nion Law, Cambridge University Press, Cambridge, 2010, 927.</w:t>
      </w:r>
    </w:p>
  </w:footnote>
  <w:footnote w:id="99">
    <w:p w:rsidR="0081781C" w:rsidRPr="006E0306" w:rsidRDefault="0081781C" w:rsidP="007235C7">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 xml:space="preserve">The Reading guide of the Charter (available at </w:t>
      </w:r>
      <w:hyperlink r:id="rId7" w:history="1">
        <w:r w:rsidRPr="00CD4E3B">
          <w:rPr>
            <w:rStyle w:val="Lienhypertexte"/>
            <w:rFonts w:ascii="Times New Roman" w:hAnsi="Times New Roman" w:cs="Times New Roman"/>
            <w:color w:val="auto"/>
            <w:sz w:val="20"/>
            <w:szCs w:val="20"/>
            <w:lang w:val="en-GB"/>
          </w:rPr>
          <w:t>http://www.coe.int/t/ngo/Source/reading_guide_charter_en.pdf</w:t>
        </w:r>
      </w:hyperlink>
      <w:r w:rsidRPr="007235C7">
        <w:rPr>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makes reference to the ECHR. The same interpretation can therefore be used.</w:t>
      </w:r>
    </w:p>
  </w:footnote>
  <w:footnote w:id="100">
    <w:p w:rsidR="0081781C" w:rsidRPr="006E0306" w:rsidRDefault="0081781C" w:rsidP="00055FA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US"/>
        </w:rPr>
        <w:t xml:space="preserve"> </w:t>
      </w:r>
      <w:r w:rsidRPr="00055FAC">
        <w:rPr>
          <w:rFonts w:ascii="Times New Roman" w:hAnsi="Times New Roman" w:cs="Times New Roman"/>
          <w:sz w:val="20"/>
          <w:szCs w:val="20"/>
          <w:lang w:val="en-GB"/>
        </w:rPr>
        <w:t>See</w:t>
      </w:r>
      <w:r w:rsidRPr="00055FAC">
        <w:rPr>
          <w:rFonts w:ascii="Times New Roman" w:hAnsi="Times New Roman" w:cs="Times New Roman"/>
          <w:sz w:val="20"/>
          <w:szCs w:val="20"/>
          <w:lang w:val="en-US"/>
        </w:rPr>
        <w:t xml:space="preserve"> </w:t>
      </w:r>
      <w:r w:rsidRPr="00055FAC">
        <w:rPr>
          <w:rFonts w:ascii="Times New Roman" w:hAnsi="Times New Roman" w:cs="Times New Roman"/>
          <w:sz w:val="20"/>
          <w:szCs w:val="20"/>
          <w:lang w:val="en-GB"/>
        </w:rPr>
        <w:t>L. Ortiz Blanco, EU Competition Procedure, Oxford University Press, Oxford, 2013, 32.</w:t>
      </w:r>
    </w:p>
  </w:footnote>
  <w:footnote w:id="101">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Case Niemetz v Germany (Application no 13710/88) 16 December 1992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1992</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ECHR A-251-B.</w:t>
      </w:r>
    </w:p>
  </w:footnote>
  <w:footnote w:id="102">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Case Société Colas Est and</w:t>
      </w:r>
      <w:r w:rsidRPr="00055FAC">
        <w:rPr>
          <w:rFonts w:ascii="Times New Roman" w:hAnsi="Times New Roman" w:cs="Times New Roman"/>
          <w:sz w:val="20"/>
          <w:szCs w:val="20"/>
          <w:lang w:val="en-GB"/>
        </w:rPr>
        <w:t xml:space="preserve"> Others v France (Application no 37971/97) 16 April 2002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2002</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ECHR 418</w:t>
      </w:r>
      <w:r>
        <w:rPr>
          <w:rFonts w:ascii="Times New Roman" w:hAnsi="Times New Roman" w:cs="Times New Roman"/>
          <w:sz w:val="20"/>
          <w:szCs w:val="20"/>
          <w:lang w:val="en-GB"/>
        </w:rPr>
        <w:t>,</w:t>
      </w:r>
      <w:r w:rsidRPr="007235C7">
        <w:rPr>
          <w:rFonts w:ascii="Times New Roman" w:hAnsi="Times New Roman" w:cs="Times New Roman"/>
          <w:sz w:val="20"/>
          <w:szCs w:val="20"/>
          <w:lang w:val="en-GB"/>
        </w:rPr>
        <w:t xml:space="preserve"> §49.</w:t>
      </w:r>
    </w:p>
  </w:footnote>
  <w:footnote w:id="103">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w:t>
      </w:r>
      <w:r w:rsidRPr="006E0306">
        <w:rPr>
          <w:rFonts w:ascii="Times New Roman" w:hAnsi="Times New Roman" w:cs="Times New Roman"/>
          <w:sz w:val="20"/>
          <w:szCs w:val="20"/>
          <w:lang w:val="en-GB"/>
        </w:rPr>
        <w:t>C-94/00, Roquette Frères,</w:t>
      </w:r>
      <w:r w:rsidRPr="00CD4E3B">
        <w:rPr>
          <w:rFonts w:ascii="Times New Roman" w:hAnsi="Times New Roman" w:cs="Times New Roman"/>
          <w:sz w:val="20"/>
          <w:szCs w:val="20"/>
          <w:lang w:val="en-GB"/>
        </w:rPr>
        <w:t xml:space="preserve"> </w:t>
      </w:r>
      <w:r w:rsidRPr="00246F56">
        <w:rPr>
          <w:rFonts w:ascii="Times New Roman" w:hAnsi="Times New Roman" w:cs="Times New Roman"/>
          <w:sz w:val="20"/>
          <w:szCs w:val="20"/>
          <w:lang w:val="en-GB"/>
        </w:rPr>
        <w:sym w:font="Symbol" w:char="F05B"/>
      </w:r>
      <w:r w:rsidRPr="00246F56">
        <w:rPr>
          <w:rFonts w:ascii="Times New Roman" w:hAnsi="Times New Roman" w:cs="Times New Roman"/>
          <w:sz w:val="20"/>
          <w:szCs w:val="20"/>
          <w:lang w:val="en-GB"/>
        </w:rPr>
        <w:t>2002</w:t>
      </w:r>
      <w:r w:rsidRPr="00246F56">
        <w:rPr>
          <w:rFonts w:ascii="Times New Roman" w:hAnsi="Times New Roman" w:cs="Times New Roman"/>
          <w:sz w:val="20"/>
          <w:szCs w:val="20"/>
          <w:lang w:val="en-GB"/>
        </w:rPr>
        <w:sym w:font="Symbol" w:char="F05D"/>
      </w:r>
      <w:r w:rsidRPr="00246F56">
        <w:rPr>
          <w:rFonts w:ascii="Times New Roman" w:hAnsi="Times New Roman" w:cs="Times New Roman"/>
          <w:sz w:val="20"/>
          <w:szCs w:val="20"/>
          <w:lang w:val="en-GB"/>
        </w:rPr>
        <w:t xml:space="preserve"> ECR I-9011.</w:t>
      </w:r>
    </w:p>
  </w:footnote>
  <w:footnote w:id="104">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See </w:t>
      </w:r>
      <w:r w:rsidRPr="00246F56">
        <w:rPr>
          <w:rFonts w:ascii="Times New Roman" w:hAnsi="Times New Roman" w:cs="Times New Roman"/>
          <w:i/>
          <w:sz w:val="20"/>
          <w:szCs w:val="20"/>
          <w:lang w:val="en-US"/>
        </w:rPr>
        <w:t>Ibid</w:t>
      </w:r>
      <w:r>
        <w:rPr>
          <w:rFonts w:ascii="Times New Roman" w:hAnsi="Times New Roman" w:cs="Times New Roman"/>
          <w:i/>
          <w:sz w:val="20"/>
          <w:szCs w:val="20"/>
          <w:lang w:val="en-US"/>
        </w:rPr>
        <w:t>em</w:t>
      </w:r>
      <w:r w:rsidRPr="00246F56">
        <w:rPr>
          <w:rFonts w:ascii="Times New Roman" w:hAnsi="Times New Roman" w:cs="Times New Roman"/>
          <w:sz w:val="20"/>
          <w:szCs w:val="20"/>
          <w:lang w:val="en-US"/>
        </w:rPr>
        <w:t>, §29.</w:t>
      </w:r>
    </w:p>
  </w:footnote>
  <w:footnote w:id="105">
    <w:p w:rsidR="0081781C" w:rsidRPr="00246F56" w:rsidRDefault="0081781C" w:rsidP="00246F56">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Article 20 §7, 8 and Article 21 of Regulation 1/2003</w:t>
      </w:r>
      <w:r w:rsidRPr="00055FAC">
        <w:rPr>
          <w:rFonts w:ascii="Times New Roman" w:hAnsi="Times New Roman" w:cs="Times New Roman"/>
          <w:sz w:val="20"/>
          <w:szCs w:val="20"/>
          <w:lang w:val="en-GB"/>
        </w:rPr>
        <w:t xml:space="preserve">. See </w:t>
      </w:r>
      <w:r w:rsidRPr="00246F56">
        <w:rPr>
          <w:rFonts w:ascii="Times New Roman" w:hAnsi="Times New Roman" w:cs="Times New Roman"/>
          <w:sz w:val="20"/>
          <w:szCs w:val="20"/>
          <w:lang w:val="en-GB"/>
        </w:rPr>
        <w:t>Article 21(3) of Regulation 1/2003</w:t>
      </w:r>
      <w:r>
        <w:rPr>
          <w:rFonts w:ascii="Times New Roman" w:hAnsi="Times New Roman" w:cs="Times New Roman"/>
          <w:sz w:val="20"/>
          <w:szCs w:val="20"/>
          <w:lang w:val="en-GB"/>
        </w:rPr>
        <w:t>.</w:t>
      </w:r>
      <w:r w:rsidRPr="00246F56">
        <w:rPr>
          <w:rFonts w:ascii="Times New Roman" w:hAnsi="Times New Roman" w:cs="Times New Roman"/>
          <w:sz w:val="20"/>
          <w:szCs w:val="20"/>
          <w:lang w:val="en-GB"/>
        </w:rPr>
        <w:t xml:space="preserve"> This requirement was included for the investigation to be in accordance with the principle of inviolability of the home</w:t>
      </w:r>
      <w:r>
        <w:rPr>
          <w:rFonts w:ascii="Times New Roman" w:hAnsi="Times New Roman" w:cs="Times New Roman"/>
          <w:sz w:val="20"/>
          <w:szCs w:val="20"/>
          <w:lang w:val="en-GB"/>
        </w:rPr>
        <w:t>/</w:t>
      </w:r>
      <w:r w:rsidRPr="00246F56">
        <w:rPr>
          <w:rFonts w:ascii="Times New Roman" w:hAnsi="Times New Roman" w:cs="Times New Roman"/>
          <w:sz w:val="20"/>
          <w:szCs w:val="20"/>
          <w:lang w:val="en-GB"/>
        </w:rPr>
        <w:t xml:space="preserve"> See Joined Cases 46/87 and 227/88, Hoechst AG v. Commission, </w:t>
      </w:r>
      <w:r w:rsidRPr="00246F56">
        <w:rPr>
          <w:rFonts w:ascii="Times New Roman" w:hAnsi="Times New Roman" w:cs="Times New Roman"/>
          <w:sz w:val="20"/>
          <w:szCs w:val="20"/>
          <w:lang w:val="en-GB"/>
        </w:rPr>
        <w:sym w:font="Symbol" w:char="F05B"/>
      </w:r>
      <w:r w:rsidRPr="00246F56">
        <w:rPr>
          <w:rFonts w:ascii="Times New Roman" w:hAnsi="Times New Roman" w:cs="Times New Roman"/>
          <w:sz w:val="20"/>
          <w:szCs w:val="20"/>
          <w:lang w:val="en-GB"/>
        </w:rPr>
        <w:t>1989</w:t>
      </w:r>
      <w:r w:rsidRPr="00246F56">
        <w:rPr>
          <w:rFonts w:ascii="Times New Roman" w:hAnsi="Times New Roman" w:cs="Times New Roman"/>
          <w:sz w:val="20"/>
          <w:szCs w:val="20"/>
          <w:lang w:val="en-GB"/>
        </w:rPr>
        <w:sym w:font="Symbol" w:char="F05D"/>
      </w:r>
      <w:r w:rsidRPr="00246F56">
        <w:rPr>
          <w:rFonts w:ascii="Times New Roman" w:hAnsi="Times New Roman" w:cs="Times New Roman"/>
          <w:sz w:val="20"/>
          <w:szCs w:val="20"/>
          <w:lang w:val="en-GB"/>
        </w:rPr>
        <w:t xml:space="preserve"> ECR 2859.</w:t>
      </w:r>
    </w:p>
  </w:footnote>
  <w:footnote w:id="106">
    <w:p w:rsidR="0081781C" w:rsidRPr="00246F56" w:rsidRDefault="0081781C" w:rsidP="00246F56">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See T</w:t>
      </w:r>
      <w:r w:rsidRPr="00246F56">
        <w:rPr>
          <w:rFonts w:ascii="MS Mincho" w:eastAsia="MS Mincho" w:hAnsi="MS Mincho" w:cs="MS Mincho"/>
          <w:sz w:val="20"/>
          <w:szCs w:val="20"/>
          <w:lang w:val="en-GB"/>
        </w:rPr>
        <w:t>‑</w:t>
      </w:r>
      <w:r w:rsidRPr="007235C7">
        <w:rPr>
          <w:rFonts w:ascii="Times New Roman" w:hAnsi="Times New Roman" w:cs="Times New Roman"/>
          <w:sz w:val="20"/>
          <w:szCs w:val="20"/>
          <w:lang w:val="en-GB"/>
        </w:rPr>
        <w:t xml:space="preserve">135/09, Nexans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2012</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w:t>
      </w:r>
    </w:p>
  </w:footnote>
  <w:footnote w:id="107">
    <w:p w:rsidR="0081781C" w:rsidRPr="00CD4E3B" w:rsidRDefault="0081781C" w:rsidP="007235C7">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T-474/04, Pergan Hilfsstoffe für industrielle Prozesse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w:t>
      </w:r>
      <w:r w:rsidRPr="00055FAC">
        <w:rPr>
          <w:rFonts w:ascii="Times New Roman" w:hAnsi="Times New Roman" w:cs="Times New Roman"/>
          <w:sz w:val="20"/>
          <w:szCs w:val="20"/>
          <w:lang w:val="en-GB"/>
        </w:rPr>
        <w:t>4231</w:t>
      </w:r>
      <w:r w:rsidRPr="00CD4E3B">
        <w:rPr>
          <w:rFonts w:ascii="Times New Roman" w:hAnsi="Times New Roman" w:cs="Times New Roman"/>
          <w:sz w:val="20"/>
          <w:szCs w:val="20"/>
          <w:lang w:val="en-GB"/>
        </w:rPr>
        <w:t xml:space="preserve">, §76. It is prohibited to make formal findings of liability against a natural or legal </w:t>
      </w:r>
      <w:r>
        <w:rPr>
          <w:rFonts w:ascii="Times New Roman" w:hAnsi="Times New Roman" w:cs="Times New Roman"/>
          <w:sz w:val="20"/>
          <w:szCs w:val="20"/>
          <w:lang w:val="en-GB"/>
        </w:rPr>
        <w:t xml:space="preserve">person </w:t>
      </w:r>
      <w:r w:rsidRPr="00CD4E3B">
        <w:rPr>
          <w:rFonts w:ascii="Times New Roman" w:hAnsi="Times New Roman" w:cs="Times New Roman"/>
          <w:sz w:val="20"/>
          <w:szCs w:val="20"/>
          <w:lang w:val="en-GB"/>
        </w:rPr>
        <w:t>without granting that person the benefit of all guarantees inherent to the exercise of the rights of the defence.</w:t>
      </w:r>
      <w:r w:rsidRPr="00CD4E3B">
        <w:rPr>
          <w:rStyle w:val="Appelnotedebasdep"/>
          <w:rFonts w:ascii="Times New Roman" w:hAnsi="Times New Roman" w:cs="Times New Roman"/>
          <w:sz w:val="20"/>
          <w:szCs w:val="20"/>
          <w:lang w:val="en-GB"/>
        </w:rPr>
        <w:t xml:space="preserve"> </w:t>
      </w:r>
      <w:r w:rsidRPr="00CD4E3B">
        <w:rPr>
          <w:rFonts w:ascii="Times New Roman" w:hAnsi="Times New Roman" w:cs="Times New Roman"/>
          <w:sz w:val="20"/>
          <w:szCs w:val="20"/>
          <w:lang w:val="en-GB"/>
        </w:rPr>
        <w:t>See</w:t>
      </w:r>
      <w:r w:rsidRPr="00CD4E3B">
        <w:rPr>
          <w:rFonts w:ascii="Times New Roman" w:hAnsi="Times New Roman" w:cs="Times New Roman"/>
          <w:sz w:val="20"/>
          <w:szCs w:val="20"/>
          <w:lang w:val="en-US"/>
        </w:rPr>
        <w:t xml:space="preserve"> </w:t>
      </w:r>
      <w:r w:rsidRPr="00CD4E3B">
        <w:rPr>
          <w:rFonts w:ascii="Times New Roman" w:hAnsi="Times New Roman" w:cs="Times New Roman"/>
          <w:sz w:val="20"/>
          <w:szCs w:val="20"/>
          <w:lang w:val="en-GB"/>
        </w:rPr>
        <w:t xml:space="preserve">L. Ortiz Blanco, EU Competition Procedure, Oxford University Press, Oxford, 2013, 25; T-474/04 Pergan Hilfsstoffe für industrielle Prozesse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II-42</w:t>
      </w:r>
      <w:r w:rsidRPr="00055FAC">
        <w:rPr>
          <w:rFonts w:ascii="Times New Roman" w:hAnsi="Times New Roman" w:cs="Times New Roman"/>
          <w:sz w:val="20"/>
          <w:szCs w:val="20"/>
          <w:lang w:val="en-GB"/>
        </w:rPr>
        <w:t>31</w:t>
      </w:r>
      <w:r w:rsidRPr="00CD4E3B">
        <w:rPr>
          <w:rFonts w:ascii="Times New Roman" w:hAnsi="Times New Roman" w:cs="Times New Roman"/>
          <w:sz w:val="20"/>
          <w:szCs w:val="20"/>
          <w:lang w:val="en-GB"/>
        </w:rPr>
        <w:t xml:space="preserve">, §§75-77; T-174/05 Elf Aquitaine SA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II-183, §196. In the same vein, the indictment or formal charge against any person is not an evidence of guilt. See</w:t>
      </w:r>
      <w:r w:rsidRPr="006E0306">
        <w:rPr>
          <w:rFonts w:ascii="Times New Roman" w:hAnsi="Times New Roman" w:cs="Times New Roman"/>
          <w:sz w:val="20"/>
          <w:szCs w:val="20"/>
          <w:lang w:val="en-US"/>
        </w:rPr>
        <w:t xml:space="preserve"> </w:t>
      </w:r>
      <w:r w:rsidRPr="00CD4E3B">
        <w:rPr>
          <w:rFonts w:ascii="Times New Roman" w:hAnsi="Times New Roman" w:cs="Times New Roman"/>
          <w:sz w:val="20"/>
          <w:szCs w:val="20"/>
          <w:lang w:val="en-GB"/>
        </w:rPr>
        <w:t>L. Ortiz Blanco, EU Competition Procedure, Oxford University Press, Oxford, 2013, 24.</w:t>
      </w:r>
    </w:p>
  </w:footnote>
  <w:footnote w:id="108">
    <w:p w:rsidR="0081781C" w:rsidRPr="00246F56" w:rsidRDefault="0081781C" w:rsidP="00246F56">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See</w:t>
      </w:r>
      <w:r w:rsidRPr="006E0306">
        <w:rPr>
          <w:rFonts w:ascii="Times New Roman" w:hAnsi="Times New Roman" w:cs="Times New Roman"/>
          <w:sz w:val="20"/>
          <w:szCs w:val="20"/>
          <w:lang w:val="en-GB"/>
        </w:rPr>
        <w:t xml:space="preserve"> C-19</w:t>
      </w:r>
      <w:r w:rsidRPr="00CD4E3B">
        <w:rPr>
          <w:rFonts w:ascii="Times New Roman" w:hAnsi="Times New Roman" w:cs="Times New Roman"/>
          <w:sz w:val="20"/>
          <w:szCs w:val="20"/>
          <w:lang w:val="en-GB"/>
        </w:rPr>
        <w:t>9/92 P, Huls v Commission,</w:t>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w:t>
      </w:r>
      <w:r w:rsidRPr="00055FAC">
        <w:rPr>
          <w:rFonts w:ascii="Times New Roman" w:hAnsi="Times New Roman" w:cs="Times New Roman"/>
          <w:sz w:val="20"/>
          <w:szCs w:val="20"/>
          <w:lang w:val="en-GB"/>
        </w:rPr>
        <w:t xml:space="preserve"> I-4287, §150</w:t>
      </w:r>
      <w:r w:rsidRPr="006E0306">
        <w:rPr>
          <w:rFonts w:ascii="Times New Roman" w:hAnsi="Times New Roman" w:cs="Times New Roman"/>
          <w:sz w:val="20"/>
          <w:szCs w:val="20"/>
          <w:lang w:val="en-GB"/>
        </w:rPr>
        <w:t xml:space="preserve">; T-62/98, Volkswagen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II-2707, §281.</w:t>
      </w:r>
    </w:p>
  </w:footnote>
  <w:footnote w:id="109">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 xml:space="preserve">See </w:t>
      </w:r>
      <w:r w:rsidRPr="00CD4E3B">
        <w:rPr>
          <w:rFonts w:ascii="Times New Roman" w:hAnsi="Times New Roman" w:cs="Times New Roman"/>
          <w:sz w:val="20"/>
          <w:szCs w:val="20"/>
          <w:lang w:val="en-GB"/>
        </w:rPr>
        <w:t xml:space="preserve">T-62/98, Volkswagen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II-2707, §281; </w:t>
      </w:r>
      <w:r w:rsidRPr="00055FAC">
        <w:rPr>
          <w:rFonts w:ascii="Times New Roman" w:hAnsi="Times New Roman" w:cs="Times New Roman"/>
          <w:sz w:val="20"/>
          <w:szCs w:val="20"/>
          <w:lang w:val="en-GB"/>
        </w:rPr>
        <w:t xml:space="preserve">Joined Cases T-67/00, T-68/00, T 71/00 and T-78/00, JFE Engineering Corp.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2004</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II-2501, §177</w:t>
      </w:r>
      <w:r w:rsidRPr="00055FAC">
        <w:rPr>
          <w:rFonts w:ascii="Times New Roman" w:hAnsi="Times New Roman" w:cs="Times New Roman"/>
          <w:sz w:val="20"/>
          <w:szCs w:val="20"/>
          <w:lang w:val="en-GB"/>
        </w:rPr>
        <w:t>; Joined Cases 40/73 to 48/73, 50/73, 54/73 to 56/73, 111/73, 113/73 and 114/73 Suiker Unie and Others v Commission</w:t>
      </w:r>
      <w:r>
        <w:rPr>
          <w:rFonts w:ascii="Times New Roman" w:hAnsi="Times New Roman" w:cs="Times New Roman"/>
          <w:sz w:val="20"/>
          <w:szCs w:val="20"/>
          <w:lang w:val="en-GB"/>
        </w:rPr>
        <w:t>,</w:t>
      </w:r>
      <w:r w:rsidRPr="00055FAC">
        <w:rPr>
          <w:rFonts w:ascii="Times New Roman" w:hAnsi="Times New Roman" w:cs="Times New Roman"/>
          <w:sz w:val="20"/>
          <w:szCs w:val="20"/>
          <w:lang w:val="en-GB"/>
        </w:rPr>
        <w:t xml:space="preserve"> [1975] ECR 1663, §§203, 30</w:t>
      </w:r>
      <w:r w:rsidRPr="006E0306">
        <w:rPr>
          <w:rFonts w:ascii="Times New Roman" w:hAnsi="Times New Roman" w:cs="Times New Roman"/>
          <w:sz w:val="20"/>
          <w:szCs w:val="20"/>
          <w:lang w:val="en-GB"/>
        </w:rPr>
        <w:t>4, 359 and 363 and Case 27/76 United Brands v Commission [1978]</w:t>
      </w:r>
      <w:r w:rsidRPr="00CD4E3B">
        <w:rPr>
          <w:rFonts w:ascii="Times New Roman" w:hAnsi="Times New Roman" w:cs="Times New Roman"/>
          <w:sz w:val="20"/>
          <w:szCs w:val="20"/>
          <w:lang w:val="en-GB"/>
        </w:rPr>
        <w:t xml:space="preserve"> ECR 207, §265, Opinion of Judge Vesterdorf, acting as Advocate General, in Case T-1/89 Rhône-Poulenc v Commission</w:t>
      </w:r>
      <w:r>
        <w:rPr>
          <w:rFonts w:ascii="Times New Roman" w:hAnsi="Times New Roman" w:cs="Times New Roman"/>
          <w:sz w:val="20"/>
          <w:szCs w:val="20"/>
          <w:lang w:val="en-GB"/>
        </w:rPr>
        <w:t>,</w:t>
      </w:r>
      <w:r w:rsidRPr="00CD4E3B">
        <w:rPr>
          <w:rFonts w:ascii="Times New Roman" w:hAnsi="Times New Roman" w:cs="Times New Roman"/>
          <w:sz w:val="20"/>
          <w:szCs w:val="20"/>
          <w:lang w:val="en-GB"/>
        </w:rPr>
        <w:t xml:space="preserve"> [1991] ECR II-867, </w:t>
      </w:r>
      <w:r w:rsidRPr="007235C7">
        <w:rPr>
          <w:rFonts w:ascii="Times New Roman" w:hAnsi="Times New Roman" w:cs="Times New Roman"/>
          <w:sz w:val="20"/>
          <w:szCs w:val="20"/>
          <w:lang w:val="en-GB"/>
        </w:rPr>
        <w:t>II-954.</w:t>
      </w:r>
    </w:p>
  </w:footnote>
  <w:footnote w:id="110">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The first two rights are discussed thereafter. The right not to incriminate oneself is described in a separate title.</w:t>
      </w:r>
      <w:r w:rsidRPr="00CC13CE">
        <w:rPr>
          <w:rFonts w:ascii="Times New Roman" w:hAnsi="Times New Roman" w:cs="Times New Roman"/>
          <w:sz w:val="20"/>
          <w:szCs w:val="20"/>
          <w:lang w:val="en-US"/>
        </w:rPr>
        <w:t xml:space="preserve"> </w:t>
      </w:r>
      <w:r w:rsidRPr="00246F56">
        <w:rPr>
          <w:rFonts w:ascii="Times New Roman" w:hAnsi="Times New Roman" w:cs="Times New Roman"/>
          <w:sz w:val="20"/>
          <w:szCs w:val="20"/>
          <w:lang w:val="en-US"/>
        </w:rPr>
        <w:t>See infra,</w:t>
      </w:r>
      <w:r>
        <w:rPr>
          <w:rFonts w:ascii="Times New Roman" w:hAnsi="Times New Roman" w:cs="Times New Roman"/>
          <w:sz w:val="20"/>
          <w:szCs w:val="20"/>
          <w:lang w:val="en-US"/>
        </w:rPr>
        <w:t xml:space="preserve"> Section VII</w:t>
      </w:r>
      <w:r w:rsidRPr="00246F56">
        <w:rPr>
          <w:rFonts w:ascii="Times New Roman" w:hAnsi="Times New Roman" w:cs="Times New Roman"/>
          <w:sz w:val="20"/>
          <w:szCs w:val="20"/>
          <w:lang w:val="en-US"/>
        </w:rPr>
        <w:t xml:space="preserve"> “Right </w:t>
      </w:r>
      <w:r>
        <w:rPr>
          <w:rFonts w:ascii="Times New Roman" w:hAnsi="Times New Roman" w:cs="Times New Roman"/>
          <w:sz w:val="20"/>
          <w:szCs w:val="20"/>
          <w:lang w:val="en-US"/>
        </w:rPr>
        <w:t>to</w:t>
      </w:r>
      <w:r w:rsidRPr="00246F56">
        <w:rPr>
          <w:rFonts w:ascii="Times New Roman" w:hAnsi="Times New Roman" w:cs="Times New Roman"/>
          <w:sz w:val="20"/>
          <w:szCs w:val="20"/>
          <w:lang w:val="en-US"/>
        </w:rPr>
        <w:t xml:space="preserve"> silence”.</w:t>
      </w:r>
    </w:p>
  </w:footnote>
  <w:footnote w:id="111">
    <w:p w:rsidR="0081781C" w:rsidRPr="006E030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US"/>
        </w:rPr>
        <w:t xml:space="preserve"> </w:t>
      </w:r>
      <w:r w:rsidRPr="00055FAC">
        <w:rPr>
          <w:rFonts w:ascii="Times New Roman" w:hAnsi="Times New Roman" w:cs="Times New Roman"/>
          <w:sz w:val="20"/>
          <w:szCs w:val="20"/>
          <w:lang w:val="en-GB"/>
        </w:rPr>
        <w:t>See Article 6(2) ECHR.</w:t>
      </w:r>
    </w:p>
  </w:footnote>
  <w:footnote w:id="112">
    <w:p w:rsidR="0081781C" w:rsidRPr="00246F56" w:rsidRDefault="0081781C" w:rsidP="00246F56">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T-110/07, Siemens AG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2011</w:t>
      </w:r>
      <w:r w:rsidRPr="007235C7">
        <w:rPr>
          <w:rFonts w:ascii="Times New Roman" w:hAnsi="Times New Roman" w:cs="Times New Roman"/>
          <w:sz w:val="20"/>
          <w:szCs w:val="20"/>
          <w:lang w:val="en-GB"/>
        </w:rPr>
        <w:sym w:font="Symbol" w:char="F05D"/>
      </w:r>
      <w:r w:rsidRPr="00246F56">
        <w:rPr>
          <w:rFonts w:ascii="Times New Roman" w:hAnsi="Times New Roman" w:cs="Times New Roman"/>
          <w:b/>
          <w:bCs/>
          <w:sz w:val="20"/>
          <w:szCs w:val="20"/>
          <w:lang w:val="en-US"/>
        </w:rPr>
        <w:t xml:space="preserve"> </w:t>
      </w:r>
      <w:r w:rsidRPr="00246F56">
        <w:rPr>
          <w:rFonts w:ascii="Times New Roman" w:hAnsi="Times New Roman" w:cs="Times New Roman"/>
          <w:bCs/>
          <w:sz w:val="20"/>
          <w:szCs w:val="20"/>
          <w:lang w:val="en-US"/>
        </w:rPr>
        <w:t xml:space="preserve">ECR </w:t>
      </w:r>
      <w:r w:rsidRPr="007235C7">
        <w:rPr>
          <w:rFonts w:ascii="Times New Roman" w:hAnsi="Times New Roman" w:cs="Times New Roman"/>
          <w:sz w:val="20"/>
          <w:szCs w:val="20"/>
          <w:lang w:val="en-GB"/>
        </w:rPr>
        <w:t>II-00</w:t>
      </w:r>
      <w:r w:rsidRPr="00055FAC">
        <w:rPr>
          <w:rFonts w:ascii="Times New Roman" w:hAnsi="Times New Roman" w:cs="Times New Roman"/>
          <w:sz w:val="20"/>
          <w:szCs w:val="20"/>
          <w:lang w:val="en-GB"/>
        </w:rPr>
        <w:t>477</w:t>
      </w:r>
      <w:r>
        <w:rPr>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 xml:space="preserve">§46; and Minelli v Switzerland (Application no 8660/79) 25 March 1983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1983</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ECHR A62.</w:t>
      </w:r>
      <w:r w:rsidRPr="00055FAC">
        <w:rPr>
          <w:rFonts w:ascii="Times New Roman" w:hAnsi="Times New Roman" w:cs="Times New Roman"/>
          <w:sz w:val="20"/>
          <w:szCs w:val="20"/>
          <w:lang w:val="en-GB"/>
        </w:rPr>
        <w:t xml:space="preserve"> Same goes for the Commission: See Opinion of Advocate General Sir Gordon Slynn in Joined Cases 100/80 to 103/80 Musique diffusion française v Commission [1983] ECR 1</w:t>
      </w:r>
      <w:r w:rsidRPr="006E0306">
        <w:rPr>
          <w:rFonts w:ascii="Times New Roman" w:hAnsi="Times New Roman" w:cs="Times New Roman"/>
          <w:sz w:val="20"/>
          <w:szCs w:val="20"/>
          <w:lang w:val="en-GB"/>
        </w:rPr>
        <w:t>825, 1914; C-185/95 P Baustahlgewebe v Commission [1998] ECR I-8417, §58,</w:t>
      </w:r>
      <w:r>
        <w:rPr>
          <w:rFonts w:ascii="Times New Roman" w:hAnsi="Times New Roman" w:cs="Times New Roman"/>
          <w:sz w:val="20"/>
          <w:szCs w:val="20"/>
          <w:lang w:val="en-GB"/>
        </w:rPr>
        <w:t>;</w:t>
      </w:r>
      <w:r w:rsidRPr="006E0306">
        <w:rPr>
          <w:rFonts w:ascii="Times New Roman" w:hAnsi="Times New Roman" w:cs="Times New Roman"/>
          <w:sz w:val="20"/>
          <w:szCs w:val="20"/>
          <w:lang w:val="en-GB"/>
        </w:rPr>
        <w:t xml:space="preserve"> C-49/92 P Commission v Anic Partecipazioni</w:t>
      </w:r>
      <w:r>
        <w:rPr>
          <w:rFonts w:ascii="Times New Roman" w:hAnsi="Times New Roman" w:cs="Times New Roman"/>
          <w:sz w:val="20"/>
          <w:szCs w:val="20"/>
          <w:lang w:val="en-GB"/>
        </w:rPr>
        <w:t>,</w:t>
      </w:r>
      <w:r w:rsidRPr="00CD4E3B">
        <w:rPr>
          <w:rFonts w:ascii="Times New Roman" w:hAnsi="Times New Roman" w:cs="Times New Roman"/>
          <w:sz w:val="20"/>
          <w:szCs w:val="20"/>
          <w:lang w:val="en-GB"/>
        </w:rPr>
        <w:t xml:space="preserve"> [1999] ECR I-4125, §86.</w:t>
      </w:r>
    </w:p>
  </w:footnote>
  <w:footnote w:id="113">
    <w:p w:rsidR="0081781C" w:rsidRPr="00CD4E3B"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N. Petit and M. Rato, “From hard to soft </w:t>
      </w:r>
      <w:r w:rsidRPr="00055FAC">
        <w:rPr>
          <w:rFonts w:ascii="Times New Roman" w:hAnsi="Times New Roman" w:cs="Times New Roman"/>
          <w:sz w:val="20"/>
          <w:szCs w:val="20"/>
          <w:lang w:val="en-GB"/>
        </w:rPr>
        <w:t>e</w:t>
      </w:r>
      <w:r w:rsidRPr="00CD4E3B">
        <w:rPr>
          <w:rFonts w:ascii="Times New Roman" w:hAnsi="Times New Roman" w:cs="Times New Roman"/>
          <w:sz w:val="20"/>
          <w:szCs w:val="20"/>
          <w:lang w:val="en-GB"/>
        </w:rPr>
        <w:t>nforcement of EC Competition law – a bestiary of “sunshine” enforcement instruments”, in C. Gheur and N. Petit (eds.) Alternative Enforcement Techniques – A New Paradigm of EC Competition Law, Bruylant</w:t>
      </w:r>
      <w:r>
        <w:rPr>
          <w:rFonts w:ascii="Times New Roman" w:hAnsi="Times New Roman" w:cs="Times New Roman"/>
          <w:sz w:val="20"/>
          <w:szCs w:val="20"/>
          <w:lang w:val="en-GB"/>
        </w:rPr>
        <w:t>,</w:t>
      </w:r>
      <w:r w:rsidRPr="00CD4E3B">
        <w:rPr>
          <w:rFonts w:ascii="Times New Roman" w:hAnsi="Times New Roman" w:cs="Times New Roman"/>
          <w:sz w:val="20"/>
          <w:szCs w:val="20"/>
          <w:lang w:val="en-GB"/>
        </w:rPr>
        <w:t xml:space="preserve"> 2008.</w:t>
      </w:r>
      <w:r>
        <w:rPr>
          <w:rFonts w:ascii="Times New Roman" w:hAnsi="Times New Roman" w:cs="Times New Roman"/>
          <w:sz w:val="20"/>
          <w:szCs w:val="20"/>
          <w:lang w:val="en-GB"/>
        </w:rPr>
        <w:t xml:space="preserve"> </w:t>
      </w:r>
    </w:p>
  </w:footnote>
  <w:footnote w:id="114">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w:t>
      </w:r>
      <w:r w:rsidRPr="006E0306">
        <w:rPr>
          <w:rFonts w:ascii="Times New Roman" w:hAnsi="Times New Roman" w:cs="Times New Roman"/>
          <w:sz w:val="20"/>
          <w:szCs w:val="20"/>
          <w:lang w:val="en-GB"/>
        </w:rPr>
        <w:t>C-199/92 P, Huls v Commission,</w:t>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 xml:space="preserve">ECR </w:t>
      </w:r>
      <w:r w:rsidRPr="006E0306">
        <w:rPr>
          <w:rFonts w:ascii="Times New Roman" w:hAnsi="Times New Roman" w:cs="Times New Roman"/>
          <w:sz w:val="20"/>
          <w:szCs w:val="20"/>
          <w:lang w:val="en-GB"/>
        </w:rPr>
        <w:t>I-4287, §</w:t>
      </w:r>
      <w:r w:rsidRPr="00CD4E3B">
        <w:rPr>
          <w:rFonts w:ascii="Times New Roman" w:hAnsi="Times New Roman" w:cs="Times New Roman"/>
          <w:sz w:val="20"/>
          <w:szCs w:val="20"/>
          <w:lang w:val="en-GB"/>
        </w:rPr>
        <w:t>§149-150.</w:t>
      </w:r>
    </w:p>
  </w:footnote>
  <w:footnote w:id="115">
    <w:p w:rsidR="0081781C" w:rsidRPr="004E08B1" w:rsidRDefault="0081781C" w:rsidP="004E08B1">
      <w:pPr>
        <w:autoSpaceDE w:val="0"/>
        <w:autoSpaceDN w:val="0"/>
        <w:adjustRightInd w:val="0"/>
        <w:jc w:val="both"/>
        <w:rPr>
          <w:rFonts w:ascii="TimesNewRomanPS-BoldMT" w:hAnsi="TimesNewRomanPS-BoldMT" w:cs="TimesNewRomanPS-BoldMT"/>
          <w:b/>
          <w:bCs/>
          <w:sz w:val="20"/>
          <w:szCs w:val="20"/>
          <w:lang w:val="en-US"/>
        </w:rPr>
      </w:pPr>
      <w:r w:rsidRPr="004D760D">
        <w:rPr>
          <w:rStyle w:val="Appelnotedebasdep"/>
          <w:rFonts w:ascii="Times New Roman" w:hAnsi="Times New Roman" w:cs="Times New Roman"/>
          <w:sz w:val="20"/>
          <w:szCs w:val="20"/>
          <w:lang w:val="en-GB"/>
        </w:rPr>
        <w:footnoteRef/>
      </w:r>
      <w:r w:rsidRPr="004D760D">
        <w:rPr>
          <w:rFonts w:ascii="Times New Roman" w:hAnsi="Times New Roman" w:cs="Times New Roman"/>
          <w:sz w:val="20"/>
          <w:szCs w:val="20"/>
          <w:lang w:val="en-US"/>
        </w:rPr>
        <w:t xml:space="preserve"> </w:t>
      </w:r>
      <w:r w:rsidRPr="004D760D">
        <w:rPr>
          <w:rFonts w:ascii="Times New Roman" w:hAnsi="Times New Roman" w:cs="Times New Roman"/>
          <w:sz w:val="20"/>
          <w:szCs w:val="20"/>
          <w:lang w:val="en-GB"/>
        </w:rPr>
        <w:t>See Joined Cases C</w:t>
      </w:r>
      <w:r w:rsidRPr="004D760D">
        <w:rPr>
          <w:rFonts w:ascii="MS Mincho" w:eastAsia="MS Mincho" w:hAnsi="MS Mincho" w:cs="MS Mincho" w:hint="eastAsia"/>
          <w:sz w:val="20"/>
          <w:szCs w:val="20"/>
          <w:lang w:val="en-GB"/>
        </w:rPr>
        <w:t>‑</w:t>
      </w:r>
      <w:r w:rsidRPr="004D760D">
        <w:rPr>
          <w:rFonts w:ascii="Times New Roman" w:hAnsi="Times New Roman" w:cs="Times New Roman"/>
          <w:sz w:val="20"/>
          <w:szCs w:val="20"/>
          <w:lang w:val="en-GB"/>
        </w:rPr>
        <w:t>89/85, C</w:t>
      </w:r>
      <w:r w:rsidRPr="004D760D">
        <w:rPr>
          <w:rFonts w:ascii="MS Mincho" w:eastAsia="MS Mincho" w:hAnsi="MS Mincho" w:cs="MS Mincho"/>
          <w:sz w:val="20"/>
          <w:szCs w:val="20"/>
          <w:lang w:val="en-GB"/>
        </w:rPr>
        <w:t>‑</w:t>
      </w:r>
      <w:r w:rsidRPr="004D760D">
        <w:rPr>
          <w:rFonts w:ascii="Times New Roman" w:hAnsi="Times New Roman" w:cs="Times New Roman"/>
          <w:sz w:val="20"/>
          <w:szCs w:val="20"/>
          <w:lang w:val="en-GB"/>
        </w:rPr>
        <w:t>104/85, C</w:t>
      </w:r>
      <w:r w:rsidRPr="004D760D">
        <w:rPr>
          <w:rFonts w:ascii="MS Mincho" w:eastAsia="MS Mincho" w:hAnsi="MS Mincho" w:cs="MS Mincho"/>
          <w:sz w:val="20"/>
          <w:szCs w:val="20"/>
          <w:lang w:val="en-GB"/>
        </w:rPr>
        <w:t>‑</w:t>
      </w:r>
      <w:r w:rsidRPr="004D760D">
        <w:rPr>
          <w:rFonts w:ascii="Times New Roman" w:hAnsi="Times New Roman" w:cs="Times New Roman"/>
          <w:sz w:val="20"/>
          <w:szCs w:val="20"/>
          <w:lang w:val="en-GB"/>
        </w:rPr>
        <w:t>114/85, C</w:t>
      </w:r>
      <w:r w:rsidRPr="004D760D">
        <w:rPr>
          <w:rFonts w:ascii="MS Mincho" w:eastAsia="MS Mincho" w:hAnsi="MS Mincho" w:cs="MS Mincho"/>
          <w:sz w:val="20"/>
          <w:szCs w:val="20"/>
          <w:lang w:val="en-GB"/>
        </w:rPr>
        <w:t>‑</w:t>
      </w:r>
      <w:r w:rsidRPr="004D760D">
        <w:rPr>
          <w:rFonts w:ascii="Times New Roman" w:hAnsi="Times New Roman" w:cs="Times New Roman"/>
          <w:sz w:val="20"/>
          <w:szCs w:val="20"/>
          <w:lang w:val="en-GB"/>
        </w:rPr>
        <w:t>116/85, C</w:t>
      </w:r>
      <w:r w:rsidRPr="004D760D">
        <w:rPr>
          <w:rFonts w:ascii="MS Mincho" w:eastAsia="MS Mincho" w:hAnsi="MS Mincho" w:cs="MS Mincho"/>
          <w:sz w:val="20"/>
          <w:szCs w:val="20"/>
          <w:lang w:val="en-GB"/>
        </w:rPr>
        <w:t>‑</w:t>
      </w:r>
      <w:r w:rsidRPr="004D760D">
        <w:rPr>
          <w:rFonts w:ascii="Times New Roman" w:hAnsi="Times New Roman" w:cs="Times New Roman"/>
          <w:sz w:val="20"/>
          <w:szCs w:val="20"/>
          <w:lang w:val="en-GB"/>
        </w:rPr>
        <w:t>117/85 and C</w:t>
      </w:r>
      <w:r w:rsidRPr="004D760D">
        <w:rPr>
          <w:rFonts w:ascii="MS Mincho" w:eastAsia="MS Mincho" w:hAnsi="MS Mincho" w:cs="MS Mincho"/>
          <w:sz w:val="20"/>
          <w:szCs w:val="20"/>
          <w:lang w:val="en-GB"/>
        </w:rPr>
        <w:t>‑</w:t>
      </w:r>
      <w:r w:rsidRPr="004D760D">
        <w:rPr>
          <w:rFonts w:ascii="Times New Roman" w:hAnsi="Times New Roman" w:cs="Times New Roman"/>
          <w:sz w:val="20"/>
          <w:szCs w:val="20"/>
          <w:lang w:val="en-GB"/>
        </w:rPr>
        <w:t>125/85 to C</w:t>
      </w:r>
      <w:r w:rsidRPr="004D760D">
        <w:rPr>
          <w:rFonts w:ascii="MS Mincho" w:eastAsia="MS Mincho" w:hAnsi="MS Mincho" w:cs="MS Mincho"/>
          <w:sz w:val="20"/>
          <w:szCs w:val="20"/>
          <w:lang w:val="en-GB"/>
        </w:rPr>
        <w:t>‑</w:t>
      </w:r>
      <w:r w:rsidRPr="004D760D">
        <w:rPr>
          <w:rFonts w:ascii="Times New Roman" w:hAnsi="Times New Roman" w:cs="Times New Roman"/>
          <w:sz w:val="20"/>
          <w:szCs w:val="20"/>
          <w:lang w:val="en-GB"/>
        </w:rPr>
        <w:t>129/85 Ahlström Osakeyhtiö and Others v Commission, [1993] ECR I</w:t>
      </w:r>
      <w:r w:rsidRPr="004D760D">
        <w:rPr>
          <w:rFonts w:ascii="MS Mincho" w:eastAsia="MS Mincho" w:hAnsi="MS Mincho" w:cs="MS Mincho"/>
          <w:sz w:val="20"/>
          <w:szCs w:val="20"/>
          <w:lang w:val="en-GB"/>
        </w:rPr>
        <w:t>‑</w:t>
      </w:r>
      <w:r w:rsidRPr="004D760D">
        <w:rPr>
          <w:rFonts w:ascii="Times New Roman" w:hAnsi="Times New Roman" w:cs="Times New Roman"/>
          <w:sz w:val="20"/>
          <w:szCs w:val="20"/>
          <w:lang w:val="en-GB"/>
        </w:rPr>
        <w:t xml:space="preserve">1307, §127; C-407/08 P, Knauf Gips KG v Commission, </w:t>
      </w:r>
      <w:r w:rsidRPr="004D760D">
        <w:rPr>
          <w:rFonts w:ascii="Times New Roman" w:hAnsi="Times New Roman" w:cs="Times New Roman"/>
          <w:sz w:val="20"/>
          <w:szCs w:val="20"/>
          <w:lang w:val="en-GB"/>
        </w:rPr>
        <w:sym w:font="Symbol" w:char="F05B"/>
      </w:r>
      <w:r w:rsidRPr="004D760D">
        <w:rPr>
          <w:rFonts w:ascii="Times New Roman" w:hAnsi="Times New Roman" w:cs="Times New Roman"/>
          <w:sz w:val="20"/>
          <w:szCs w:val="20"/>
          <w:lang w:val="en-GB"/>
        </w:rPr>
        <w:t>2010</w:t>
      </w:r>
      <w:r w:rsidRPr="004D760D">
        <w:rPr>
          <w:rFonts w:ascii="Times New Roman" w:hAnsi="Times New Roman" w:cs="Times New Roman"/>
          <w:sz w:val="20"/>
          <w:szCs w:val="20"/>
          <w:lang w:val="en-GB"/>
        </w:rPr>
        <w:sym w:font="Symbol" w:char="F05D"/>
      </w:r>
      <w:r w:rsidRPr="004D760D">
        <w:rPr>
          <w:rFonts w:ascii="Times New Roman" w:hAnsi="Times New Roman" w:cs="Times New Roman"/>
          <w:sz w:val="20"/>
          <w:szCs w:val="20"/>
          <w:lang w:val="en-GB"/>
        </w:rPr>
        <w:t xml:space="preserve"> ECR I-06375, §47; </w:t>
      </w:r>
      <w:r w:rsidRPr="004E08B1">
        <w:rPr>
          <w:rFonts w:ascii="Times New Roman" w:hAnsi="Times New Roman" w:cs="Times New Roman"/>
          <w:i/>
          <w:sz w:val="20"/>
          <w:szCs w:val="20"/>
          <w:lang w:val="en-GB"/>
        </w:rPr>
        <w:t>“The Commission must produce firm, precise and consistent evidence</w:t>
      </w:r>
      <w:r w:rsidRPr="004D760D">
        <w:rPr>
          <w:rFonts w:ascii="Times New Roman" w:hAnsi="Times New Roman" w:cs="Times New Roman"/>
          <w:i/>
          <w:sz w:val="20"/>
          <w:szCs w:val="20"/>
          <w:lang w:val="en-GB"/>
        </w:rPr>
        <w:t>.</w:t>
      </w:r>
      <w:r w:rsidRPr="004E08B1">
        <w:rPr>
          <w:rFonts w:ascii="Times New Roman" w:hAnsi="Times New Roman" w:cs="Times New Roman"/>
          <w:i/>
          <w:sz w:val="20"/>
          <w:szCs w:val="20"/>
          <w:lang w:val="en-GB"/>
        </w:rPr>
        <w:t xml:space="preserve"> However, it is not necessary for every item of evidence produced by the Commission to satisfy those criteria in relation to every aspect of the infringement. It is sufficient if the body of evidence relied on by that institution, viewed as a whole, meets that requirement</w:t>
      </w:r>
      <w:r w:rsidRPr="004E08B1">
        <w:rPr>
          <w:rFonts w:ascii="Times New Roman" w:hAnsi="Times New Roman" w:cs="Times New Roman"/>
          <w:sz w:val="20"/>
          <w:szCs w:val="20"/>
          <w:lang w:val="en-GB"/>
        </w:rPr>
        <w:t>.</w:t>
      </w:r>
      <w:r w:rsidRPr="004D760D">
        <w:rPr>
          <w:rFonts w:ascii="Times New Roman" w:hAnsi="Times New Roman" w:cs="Times New Roman"/>
          <w:sz w:val="20"/>
          <w:szCs w:val="20"/>
          <w:lang w:val="en-GB"/>
        </w:rPr>
        <w:t xml:space="preserve">” On the use of presumptions and the burden of proof in antitrust cases, see </w:t>
      </w:r>
      <w:r w:rsidRPr="004E08B1">
        <w:rPr>
          <w:rFonts w:ascii="Times New Roman" w:hAnsi="Times New Roman" w:cs="Times New Roman"/>
          <w:sz w:val="20"/>
          <w:szCs w:val="20"/>
          <w:lang w:val="en-US"/>
        </w:rPr>
        <w:t>C.Volpin,</w:t>
      </w:r>
      <w:r w:rsidRPr="004E08B1">
        <w:rPr>
          <w:rFonts w:ascii="Times New Roman" w:hAnsi="Times New Roman" w:cs="Times New Roman"/>
          <w:bCs/>
          <w:i/>
          <w:iCs/>
          <w:sz w:val="20"/>
          <w:szCs w:val="20"/>
          <w:lang w:val="en-US"/>
        </w:rPr>
        <w:t xml:space="preserve"> </w:t>
      </w:r>
      <w:r w:rsidRPr="004E08B1">
        <w:rPr>
          <w:rFonts w:ascii="Times New Roman" w:hAnsi="Times New Roman" w:cs="Times New Roman"/>
          <w:bCs/>
          <w:iCs/>
          <w:sz w:val="20"/>
          <w:szCs w:val="20"/>
          <w:lang w:val="en-US"/>
        </w:rPr>
        <w:t>The Ball is in your Court</w:t>
      </w:r>
      <w:r w:rsidRPr="004E08B1">
        <w:rPr>
          <w:rFonts w:ascii="Times New Roman" w:hAnsi="Times New Roman" w:cs="Times New Roman"/>
          <w:bCs/>
          <w:sz w:val="20"/>
          <w:szCs w:val="20"/>
          <w:lang w:val="en-US"/>
        </w:rPr>
        <w:t>: Evidential Burden of Proof and the Proof-proximity Principle in EU Competition Law</w:t>
      </w:r>
      <w:r w:rsidRPr="004E08B1">
        <w:rPr>
          <w:rFonts w:ascii="Times New Roman" w:hAnsi="Times New Roman" w:cs="Times New Roman"/>
          <w:sz w:val="20"/>
          <w:szCs w:val="20"/>
          <w:lang w:val="en-US"/>
        </w:rPr>
        <w:t xml:space="preserve">, (2014) </w:t>
      </w:r>
      <w:r w:rsidRPr="004E08B1">
        <w:rPr>
          <w:rFonts w:ascii="Times New Roman" w:hAnsi="Times New Roman" w:cs="Times New Roman"/>
          <w:iCs/>
          <w:sz w:val="20"/>
          <w:szCs w:val="20"/>
          <w:lang w:val="en-US"/>
        </w:rPr>
        <w:t>Common Market Law Review,</w:t>
      </w:r>
      <w:r w:rsidRPr="004E08B1">
        <w:rPr>
          <w:rFonts w:ascii="Times New Roman" w:hAnsi="Times New Roman" w:cs="Times New Roman"/>
          <w:i/>
          <w:iCs/>
          <w:sz w:val="20"/>
          <w:szCs w:val="20"/>
          <w:lang w:val="en-US"/>
        </w:rPr>
        <w:t xml:space="preserve"> </w:t>
      </w:r>
      <w:r w:rsidRPr="004E08B1">
        <w:rPr>
          <w:rFonts w:ascii="Times New Roman" w:hAnsi="Times New Roman" w:cs="Times New Roman"/>
          <w:sz w:val="20"/>
          <w:szCs w:val="20"/>
          <w:lang w:val="en-US"/>
        </w:rPr>
        <w:t>1159–1186</w:t>
      </w:r>
      <w:r>
        <w:rPr>
          <w:rFonts w:ascii="Times New Roman" w:hAnsi="Times New Roman" w:cs="Times New Roman"/>
          <w:sz w:val="20"/>
          <w:szCs w:val="20"/>
          <w:lang w:val="en-US"/>
        </w:rPr>
        <w:t>.</w:t>
      </w:r>
    </w:p>
  </w:footnote>
  <w:footnote w:id="116">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w:t>
      </w:r>
      <w:r w:rsidRPr="00246F56">
        <w:rPr>
          <w:rFonts w:ascii="Times New Roman" w:hAnsi="Times New Roman" w:cs="Times New Roman"/>
          <w:sz w:val="20"/>
          <w:szCs w:val="20"/>
          <w:lang w:val="en-US"/>
        </w:rPr>
        <w:t xml:space="preserve">This question is still to be discussed in EU </w:t>
      </w:r>
      <w:r>
        <w:rPr>
          <w:rFonts w:ascii="Times New Roman" w:hAnsi="Times New Roman" w:cs="Times New Roman"/>
          <w:sz w:val="20"/>
          <w:szCs w:val="20"/>
          <w:lang w:val="en-US"/>
        </w:rPr>
        <w:t>case-law</w:t>
      </w:r>
      <w:r w:rsidRPr="00246F56">
        <w:rPr>
          <w:rFonts w:ascii="Times New Roman" w:hAnsi="Times New Roman" w:cs="Times New Roman"/>
          <w:sz w:val="20"/>
          <w:szCs w:val="20"/>
          <w:lang w:val="en-US"/>
        </w:rPr>
        <w:t xml:space="preserve"> since the rules governing the standard of proof are not legally codified. </w:t>
      </w:r>
      <w:r w:rsidRPr="007235C7">
        <w:rPr>
          <w:rFonts w:ascii="Times New Roman" w:hAnsi="Times New Roman" w:cs="Times New Roman"/>
          <w:sz w:val="20"/>
          <w:szCs w:val="20"/>
          <w:lang w:val="en-GB"/>
        </w:rPr>
        <w:t>See Joined Cases C-310/98 and C-406/98, Hauptzollamt Neubrandenbrug v Leszek Labis a</w:t>
      </w:r>
      <w:r w:rsidRPr="00055FAC">
        <w:rPr>
          <w:rFonts w:ascii="Times New Roman" w:hAnsi="Times New Roman" w:cs="Times New Roman"/>
          <w:sz w:val="20"/>
          <w:szCs w:val="20"/>
          <w:lang w:val="en-GB"/>
        </w:rPr>
        <w:t xml:space="preserve">nd Sagpol SC Transport Miedzynarodowy i Spedycja,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2000</w:t>
      </w:r>
      <w:r w:rsidRPr="007235C7">
        <w:rPr>
          <w:rFonts w:ascii="Times New Roman" w:hAnsi="Times New Roman" w:cs="Times New Roman"/>
          <w:sz w:val="20"/>
          <w:szCs w:val="20"/>
          <w:lang w:val="en-GB"/>
        </w:rPr>
        <w:sym w:font="Symbol" w:char="F05D"/>
      </w:r>
      <w:r>
        <w:rPr>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ECR</w:t>
      </w:r>
      <w:r w:rsidRPr="007235C7">
        <w:rPr>
          <w:rFonts w:ascii="Times New Roman" w:hAnsi="Times New Roman" w:cs="Times New Roman"/>
          <w:sz w:val="20"/>
          <w:szCs w:val="20"/>
          <w:lang w:val="en-GB"/>
        </w:rPr>
        <w:t xml:space="preserve"> I-1797, §29.</w:t>
      </w:r>
    </w:p>
  </w:footnote>
  <w:footnote w:id="117">
    <w:p w:rsidR="0081781C" w:rsidRPr="00055FAC"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T-62/98, Volkswagen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w:t>
      </w:r>
      <w:r w:rsidRPr="00055FAC">
        <w:rPr>
          <w:rFonts w:ascii="Times New Roman" w:hAnsi="Times New Roman" w:cs="Times New Roman"/>
          <w:sz w:val="20"/>
          <w:szCs w:val="20"/>
          <w:lang w:val="en-GB"/>
        </w:rPr>
        <w:t xml:space="preserve"> II-2707.</w:t>
      </w:r>
    </w:p>
  </w:footnote>
  <w:footnote w:id="118">
    <w:p w:rsidR="0081781C" w:rsidRPr="00055FAC"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 xml:space="preserve">See </w:t>
      </w:r>
      <w:r w:rsidRPr="00246F56">
        <w:rPr>
          <w:rFonts w:ascii="Times New Roman" w:hAnsi="Times New Roman" w:cs="Times New Roman"/>
          <w:i/>
          <w:sz w:val="20"/>
          <w:szCs w:val="20"/>
          <w:lang w:val="en-GB"/>
        </w:rPr>
        <w:t>Ibidem</w:t>
      </w:r>
      <w:r w:rsidRPr="007235C7">
        <w:rPr>
          <w:rFonts w:ascii="Times New Roman" w:hAnsi="Times New Roman" w:cs="Times New Roman"/>
          <w:sz w:val="20"/>
          <w:szCs w:val="20"/>
          <w:lang w:val="en-GB"/>
        </w:rPr>
        <w:t>,</w:t>
      </w:r>
      <w:r w:rsidRPr="00055FAC">
        <w:rPr>
          <w:rFonts w:ascii="Times New Roman" w:hAnsi="Times New Roman" w:cs="Times New Roman"/>
          <w:sz w:val="20"/>
          <w:szCs w:val="20"/>
          <w:lang w:val="en-GB"/>
        </w:rPr>
        <w:t xml:space="preserve"> §281.</w:t>
      </w:r>
    </w:p>
  </w:footnote>
  <w:footnote w:id="119">
    <w:p w:rsidR="0081781C" w:rsidRPr="007D6DD4" w:rsidRDefault="0081781C" w:rsidP="004E08B1">
      <w:pPr>
        <w:pStyle w:val="Notedebasdepage"/>
        <w:jc w:val="both"/>
        <w:rPr>
          <w:sz w:val="20"/>
          <w:szCs w:val="20"/>
          <w:lang w:val="en-GB"/>
        </w:rPr>
      </w:pPr>
      <w:r w:rsidRPr="004E08B1">
        <w:rPr>
          <w:rStyle w:val="Appelnotedebasdep"/>
          <w:sz w:val="20"/>
          <w:szCs w:val="20"/>
        </w:rPr>
        <w:footnoteRef/>
      </w:r>
      <w:r w:rsidRPr="007D6DD4">
        <w:rPr>
          <w:sz w:val="20"/>
          <w:szCs w:val="20"/>
          <w:lang w:val="en-GB"/>
        </w:rPr>
        <w:t xml:space="preserve"> </w:t>
      </w:r>
      <w:r w:rsidRPr="002374A9">
        <w:rPr>
          <w:rFonts w:ascii="Times New Roman" w:hAnsi="Times New Roman" w:cs="Times New Roman"/>
          <w:sz w:val="20"/>
          <w:szCs w:val="20"/>
          <w:lang w:val="en-GB"/>
        </w:rPr>
        <w:t>See Joined Cases T-305-307/94, T-313-316/94, T-318/94, T-</w:t>
      </w:r>
      <w:r w:rsidRPr="009B494C">
        <w:rPr>
          <w:rFonts w:ascii="Times New Roman" w:hAnsi="Times New Roman" w:cs="Times New Roman"/>
          <w:sz w:val="20"/>
          <w:szCs w:val="20"/>
          <w:lang w:val="en-GB"/>
        </w:rPr>
        <w:t xml:space="preserve">325/94, T-328/94, </w:t>
      </w:r>
      <w:r w:rsidRPr="00E04AA1">
        <w:rPr>
          <w:rFonts w:ascii="Times New Roman" w:hAnsi="Times New Roman" w:cs="Times New Roman"/>
          <w:sz w:val="20"/>
          <w:szCs w:val="20"/>
          <w:lang w:val="en-GB"/>
        </w:rPr>
        <w:t>T-</w:t>
      </w:r>
      <w:r w:rsidRPr="00C9037B">
        <w:rPr>
          <w:rFonts w:ascii="Times New Roman" w:hAnsi="Times New Roman" w:cs="Times New Roman"/>
          <w:sz w:val="20"/>
          <w:szCs w:val="20"/>
          <w:lang w:val="en-GB"/>
        </w:rPr>
        <w:t xml:space="preserve">329/94 and T-335/94, Limburgse Vinyl Maatschappij NV and others v Commission, </w:t>
      </w:r>
      <w:r w:rsidRPr="002374A9">
        <w:rPr>
          <w:rFonts w:ascii="Times New Roman" w:hAnsi="Times New Roman" w:cs="Times New Roman"/>
          <w:sz w:val="20"/>
          <w:szCs w:val="20"/>
          <w:lang w:val="en-GB"/>
        </w:rPr>
        <w:sym w:font="Symbol" w:char="F05B"/>
      </w:r>
      <w:r w:rsidRPr="002374A9">
        <w:rPr>
          <w:rFonts w:ascii="Times New Roman" w:hAnsi="Times New Roman" w:cs="Times New Roman"/>
          <w:sz w:val="20"/>
          <w:szCs w:val="20"/>
          <w:lang w:val="en-GB"/>
        </w:rPr>
        <w:t>1999</w:t>
      </w:r>
      <w:r w:rsidRPr="002374A9">
        <w:rPr>
          <w:rFonts w:ascii="Times New Roman" w:hAnsi="Times New Roman" w:cs="Times New Roman"/>
          <w:sz w:val="20"/>
          <w:szCs w:val="20"/>
          <w:lang w:val="en-GB"/>
        </w:rPr>
        <w:sym w:font="Symbol" w:char="F05D"/>
      </w:r>
      <w:r w:rsidRPr="002374A9">
        <w:rPr>
          <w:rFonts w:ascii="Times New Roman" w:hAnsi="Times New Roman" w:cs="Times New Roman"/>
          <w:sz w:val="20"/>
          <w:szCs w:val="20"/>
          <w:lang w:val="en-GB"/>
        </w:rPr>
        <w:t xml:space="preserve"> ECR II-931, §§</w:t>
      </w:r>
      <w:r w:rsidRPr="009B494C">
        <w:rPr>
          <w:rFonts w:ascii="Times New Roman" w:hAnsi="Times New Roman" w:cs="Times New Roman"/>
          <w:sz w:val="20"/>
          <w:szCs w:val="20"/>
          <w:lang w:val="en-GB"/>
        </w:rPr>
        <w:t>44</w:t>
      </w:r>
      <w:r w:rsidRPr="00E04AA1">
        <w:rPr>
          <w:rFonts w:ascii="Times New Roman" w:hAnsi="Times New Roman" w:cs="Times New Roman"/>
          <w:sz w:val="20"/>
          <w:szCs w:val="20"/>
          <w:lang w:val="en-GB"/>
        </w:rPr>
        <w:t>4</w:t>
      </w:r>
      <w:r w:rsidRPr="00C9037B">
        <w:rPr>
          <w:rFonts w:ascii="Times New Roman" w:hAnsi="Times New Roman" w:cs="Times New Roman"/>
          <w:sz w:val="20"/>
          <w:szCs w:val="20"/>
          <w:lang w:val="en-GB"/>
        </w:rPr>
        <w:t xml:space="preserve"> and ff.</w:t>
      </w:r>
      <w:r w:rsidRPr="00C9037B">
        <w:rPr>
          <w:rFonts w:ascii="Times New Roman" w:hAnsi="Times New Roman" w:cs="Times New Roman"/>
          <w:sz w:val="20"/>
          <w:szCs w:val="20"/>
          <w:lang w:val="en-US"/>
        </w:rPr>
        <w:t xml:space="preserve"> The </w:t>
      </w:r>
      <w:r w:rsidRPr="004E08B1">
        <w:rPr>
          <w:rFonts w:ascii="Times New Roman" w:hAnsi="Times New Roman" w:cs="Times New Roman"/>
          <w:sz w:val="20"/>
          <w:szCs w:val="20"/>
          <w:lang w:val="en-GB"/>
        </w:rPr>
        <w:t xml:space="preserve">undertaking’s right against self-incrimination, is sometimes </w:t>
      </w:r>
      <w:r w:rsidRPr="002757FE">
        <w:rPr>
          <w:rFonts w:ascii="Times New Roman" w:hAnsi="Times New Roman" w:cs="Times New Roman"/>
          <w:sz w:val="20"/>
          <w:szCs w:val="20"/>
          <w:lang w:val="en-GB"/>
        </w:rPr>
        <w:t>also</w:t>
      </w:r>
      <w:r w:rsidRPr="009B494C">
        <w:rPr>
          <w:rFonts w:ascii="Times New Roman" w:hAnsi="Times New Roman" w:cs="Times New Roman"/>
          <w:sz w:val="20"/>
          <w:szCs w:val="20"/>
          <w:lang w:val="en-GB"/>
        </w:rPr>
        <w:t xml:space="preserve"> </w:t>
      </w:r>
      <w:r w:rsidRPr="004E08B1">
        <w:rPr>
          <w:rFonts w:ascii="Times New Roman" w:hAnsi="Times New Roman" w:cs="Times New Roman"/>
          <w:sz w:val="20"/>
          <w:szCs w:val="20"/>
          <w:lang w:val="en-GB"/>
        </w:rPr>
        <w:t>said to be protected under Article 18(2) of Regulation 1/2003.</w:t>
      </w:r>
      <w:r w:rsidRPr="002374A9">
        <w:rPr>
          <w:rFonts w:ascii="Times New Roman" w:hAnsi="Times New Roman" w:cs="Times New Roman"/>
          <w:sz w:val="20"/>
          <w:szCs w:val="20"/>
          <w:lang w:val="en-GB"/>
        </w:rPr>
        <w:t xml:space="preserve"> </w:t>
      </w:r>
      <w:r w:rsidRPr="009B494C">
        <w:rPr>
          <w:rFonts w:ascii="Times New Roman" w:hAnsi="Times New Roman" w:cs="Times New Roman"/>
          <w:sz w:val="20"/>
          <w:szCs w:val="20"/>
          <w:lang w:val="en-GB"/>
        </w:rPr>
        <w:t>See D. Chalmers</w:t>
      </w:r>
      <w:r w:rsidRPr="00E04AA1">
        <w:rPr>
          <w:rFonts w:ascii="Times New Roman" w:hAnsi="Times New Roman" w:cs="Times New Roman"/>
          <w:sz w:val="20"/>
          <w:szCs w:val="20"/>
          <w:lang w:val="en-GB"/>
        </w:rPr>
        <w:t>, G. Davies and G. Monti, European Union Law</w:t>
      </w:r>
      <w:r w:rsidRPr="00C9037B">
        <w:rPr>
          <w:rFonts w:ascii="Times New Roman" w:hAnsi="Times New Roman" w:cs="Times New Roman"/>
          <w:sz w:val="20"/>
          <w:szCs w:val="20"/>
          <w:lang w:val="en-GB"/>
        </w:rPr>
        <w:t>, Cambridge University Press, Cambridge, 2010, 925.</w:t>
      </w:r>
    </w:p>
  </w:footnote>
  <w:footnote w:id="120">
    <w:p w:rsidR="0081781C" w:rsidRPr="00246F56" w:rsidRDefault="0081781C">
      <w:pPr>
        <w:pStyle w:val="Notedebasdepage"/>
        <w:jc w:val="both"/>
        <w:rPr>
          <w:rFonts w:ascii="Times New Roman" w:hAnsi="Times New Roman" w:cs="Times New Roman"/>
          <w:sz w:val="20"/>
          <w:szCs w:val="20"/>
          <w:lang w:val="en-US"/>
        </w:rPr>
      </w:pPr>
      <w:r w:rsidRPr="002374A9">
        <w:rPr>
          <w:rStyle w:val="Appelnotedebasdep"/>
          <w:rFonts w:ascii="Times New Roman" w:hAnsi="Times New Roman" w:cs="Times New Roman"/>
          <w:sz w:val="20"/>
          <w:szCs w:val="20"/>
          <w:lang w:val="en-GB"/>
        </w:rPr>
        <w:footnoteRef/>
      </w:r>
      <w:r w:rsidRPr="002374A9">
        <w:rPr>
          <w:rFonts w:ascii="Times New Roman" w:hAnsi="Times New Roman" w:cs="Times New Roman"/>
          <w:sz w:val="20"/>
          <w:szCs w:val="20"/>
          <w:lang w:val="en-US"/>
        </w:rPr>
        <w:t xml:space="preserve"> See Article 19 of Regulation</w:t>
      </w:r>
      <w:r w:rsidRPr="00246F56">
        <w:rPr>
          <w:rFonts w:ascii="Times New Roman" w:hAnsi="Times New Roman" w:cs="Times New Roman"/>
          <w:sz w:val="20"/>
          <w:szCs w:val="20"/>
          <w:lang w:val="en-US"/>
        </w:rPr>
        <w:t xml:space="preserve"> 1/2003.</w:t>
      </w:r>
    </w:p>
  </w:footnote>
  <w:footnote w:id="121">
    <w:p w:rsidR="0081781C" w:rsidRPr="00055FAC" w:rsidRDefault="0081781C">
      <w:pPr>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T-34/93, Société Générale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w:t>
      </w:r>
      <w:r w:rsidRPr="00055FAC">
        <w:rPr>
          <w:rFonts w:ascii="Times New Roman" w:hAnsi="Times New Roman" w:cs="Times New Roman"/>
          <w:sz w:val="20"/>
          <w:szCs w:val="20"/>
          <w:lang w:val="en-GB"/>
        </w:rPr>
        <w:t>95</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II-545, §72;</w:t>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This means that an undertaking will need to answer factual </w:t>
      </w:r>
      <w:r w:rsidRPr="00055FAC">
        <w:rPr>
          <w:rFonts w:ascii="Times New Roman" w:hAnsi="Times New Roman" w:cs="Times New Roman"/>
          <w:sz w:val="20"/>
          <w:szCs w:val="20"/>
          <w:lang w:val="en-GB"/>
        </w:rPr>
        <w:t>questions and has to provide documents, even if this information could be used to establish the existence of an infringement.</w:t>
      </w:r>
    </w:p>
  </w:footnote>
  <w:footnote w:id="122">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Case 43/1994/490/572, Saunders v United Kingdom</w:t>
      </w:r>
      <w:r>
        <w:rPr>
          <w:rFonts w:ascii="Times New Roman" w:hAnsi="Times New Roman" w:cs="Times New Roman"/>
          <w:sz w:val="20"/>
          <w:szCs w:val="20"/>
          <w:lang w:val="en-GB"/>
        </w:rPr>
        <w:t>,</w:t>
      </w:r>
      <w:r w:rsidRPr="007235C7">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23 EHHR 313, §</w:t>
      </w:r>
      <w:r>
        <w:rPr>
          <w:rFonts w:ascii="Times New Roman" w:hAnsi="Times New Roman" w:cs="Times New Roman"/>
          <w:sz w:val="20"/>
          <w:szCs w:val="20"/>
          <w:lang w:val="en-GB"/>
        </w:rPr>
        <w:t>§</w:t>
      </w:r>
      <w:r w:rsidRPr="007235C7">
        <w:rPr>
          <w:rFonts w:ascii="Times New Roman" w:hAnsi="Times New Roman" w:cs="Times New Roman"/>
          <w:sz w:val="20"/>
          <w:szCs w:val="20"/>
          <w:lang w:val="en-GB"/>
        </w:rPr>
        <w:t>68-69.</w:t>
      </w:r>
    </w:p>
  </w:footnote>
  <w:footnote w:id="123">
    <w:p w:rsidR="0081781C" w:rsidRPr="00CD4E3B"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7A32C3">
        <w:rPr>
          <w:rFonts w:ascii="Times New Roman" w:hAnsi="Times New Roman" w:cs="Times New Roman"/>
          <w:sz w:val="20"/>
          <w:szCs w:val="20"/>
          <w:lang w:val="en-GB"/>
        </w:rPr>
        <w:t>C-179/93</w:t>
      </w:r>
      <w:r w:rsidRPr="006E0306">
        <w:rPr>
          <w:rFonts w:ascii="Times New Roman" w:hAnsi="Times New Roman" w:cs="Times New Roman"/>
          <w:sz w:val="20"/>
          <w:szCs w:val="20"/>
          <w:lang w:val="en-GB"/>
        </w:rPr>
        <w:t>,</w:t>
      </w:r>
      <w:r w:rsidRPr="00CD4E3B">
        <w:rPr>
          <w:rFonts w:ascii="Times New Roman" w:hAnsi="Times New Roman" w:cs="Times New Roman"/>
          <w:sz w:val="20"/>
          <w:szCs w:val="20"/>
          <w:lang w:val="en-GB"/>
        </w:rPr>
        <w:t xml:space="preserve"> O’Halloran v Council and Commission, §</w:t>
      </w:r>
      <w:r>
        <w:rPr>
          <w:rFonts w:ascii="Times New Roman" w:hAnsi="Times New Roman" w:cs="Times New Roman"/>
          <w:sz w:val="20"/>
          <w:szCs w:val="20"/>
          <w:lang w:val="en-GB"/>
        </w:rPr>
        <w:t>§</w:t>
      </w:r>
      <w:r w:rsidRPr="00CD4E3B">
        <w:rPr>
          <w:rFonts w:ascii="Times New Roman" w:hAnsi="Times New Roman" w:cs="Times New Roman"/>
          <w:sz w:val="20"/>
          <w:szCs w:val="20"/>
          <w:lang w:val="en-GB"/>
        </w:rPr>
        <w:t>55-57 (publication information unavailable).</w:t>
      </w:r>
    </w:p>
  </w:footnote>
  <w:footnote w:id="124">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C-347/87, Orkem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3283, §18.</w:t>
      </w:r>
    </w:p>
  </w:footnote>
  <w:footnote w:id="125">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w:t>
      </w:r>
      <w:r w:rsidRPr="00246F56">
        <w:rPr>
          <w:rFonts w:ascii="Times New Roman" w:hAnsi="Times New Roman" w:cs="Times New Roman"/>
          <w:i/>
          <w:sz w:val="20"/>
          <w:szCs w:val="20"/>
          <w:lang w:val="en-GB"/>
        </w:rPr>
        <w:t>Ibid</w:t>
      </w:r>
      <w:r>
        <w:rPr>
          <w:rFonts w:ascii="Times New Roman" w:hAnsi="Times New Roman" w:cs="Times New Roman"/>
          <w:i/>
          <w:sz w:val="20"/>
          <w:szCs w:val="20"/>
          <w:lang w:val="en-GB"/>
        </w:rPr>
        <w:t>em</w:t>
      </w:r>
      <w:r w:rsidRPr="007235C7">
        <w:rPr>
          <w:rFonts w:ascii="Times New Roman" w:hAnsi="Times New Roman" w:cs="Times New Roman"/>
          <w:sz w:val="20"/>
          <w:szCs w:val="20"/>
          <w:lang w:val="en-GB"/>
        </w:rPr>
        <w:t>, §18.</w:t>
      </w:r>
    </w:p>
  </w:footnote>
  <w:footnote w:id="126">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See </w:t>
      </w:r>
      <w:r w:rsidRPr="00246F56">
        <w:rPr>
          <w:rFonts w:ascii="Times New Roman" w:hAnsi="Times New Roman" w:cs="Times New Roman"/>
          <w:i/>
          <w:sz w:val="20"/>
          <w:szCs w:val="20"/>
          <w:lang w:val="en-GB"/>
        </w:rPr>
        <w:t>Ibid</w:t>
      </w:r>
      <w:r>
        <w:rPr>
          <w:rFonts w:ascii="Times New Roman" w:hAnsi="Times New Roman" w:cs="Times New Roman"/>
          <w:i/>
          <w:sz w:val="20"/>
          <w:szCs w:val="20"/>
          <w:lang w:val="en-GB"/>
        </w:rPr>
        <w:t>em</w:t>
      </w:r>
      <w:r w:rsidRPr="007235C7">
        <w:rPr>
          <w:rFonts w:ascii="Times New Roman" w:hAnsi="Times New Roman" w:cs="Times New Roman"/>
          <w:sz w:val="20"/>
          <w:szCs w:val="20"/>
          <w:lang w:val="en-GB"/>
        </w:rPr>
        <w:t>, §33.</w:t>
      </w:r>
    </w:p>
  </w:footnote>
  <w:footnote w:id="127">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w:t>
      </w:r>
      <w:r w:rsidRPr="00055FAC">
        <w:rPr>
          <w:rFonts w:ascii="Times New Roman" w:hAnsi="Times New Roman" w:cs="Times New Roman"/>
          <w:sz w:val="20"/>
          <w:szCs w:val="20"/>
          <w:lang w:val="en-GB"/>
        </w:rPr>
        <w:t xml:space="preserve"> C-347/87, Orkem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3283, §34: </w:t>
      </w:r>
      <w:r w:rsidRPr="00246F56">
        <w:rPr>
          <w:rFonts w:ascii="Times New Roman" w:hAnsi="Times New Roman" w:cs="Times New Roman"/>
          <w:i/>
          <w:sz w:val="20"/>
          <w:szCs w:val="20"/>
          <w:lang w:val="en-US"/>
        </w:rPr>
        <w:t>“Accordingly, whilst the Commission is entitled, in order to preserve the useful effect of Article 11(2) and (5) of Regulation No 17, to compel an undertaking to provide all necessary information concerning such facts as may be known to it and to disclose to it, if necessary, such documents relating thereto as are in its possession, even if the latter may be used to establish, against it or another undertaking, the existence of anti-competitive conduct, it may not, by means of a decision calling for information, undermine the rights of defence of the undertaking concerned”.</w:t>
      </w:r>
    </w:p>
  </w:footnote>
  <w:footnote w:id="128">
    <w:p w:rsidR="0081781C" w:rsidRPr="00246F56" w:rsidRDefault="0081781C" w:rsidP="00246F56">
      <w:pPr>
        <w:pStyle w:val="Notedebasdepage"/>
        <w:jc w:val="both"/>
        <w:rPr>
          <w:rFonts w:ascii="Times New Roman" w:hAnsi="Times New Roman" w:cs="Times New Roman"/>
          <w:sz w:val="20"/>
          <w:szCs w:val="20"/>
          <w:lang w:val="en-US"/>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w:t>
      </w:r>
      <w:r w:rsidRPr="00246F56">
        <w:rPr>
          <w:rFonts w:ascii="Times New Roman" w:hAnsi="Times New Roman" w:cs="Times New Roman"/>
          <w:sz w:val="20"/>
          <w:szCs w:val="20"/>
          <w:lang w:val="en-US"/>
        </w:rPr>
        <w:t xml:space="preserve">See T-112/98, </w:t>
      </w:r>
      <w:r w:rsidRPr="007D6DD4">
        <w:rPr>
          <w:rStyle w:val="Accentuation"/>
          <w:rFonts w:ascii="Times New Roman" w:hAnsi="Times New Roman" w:cs="Times New Roman"/>
          <w:i w:val="0"/>
          <w:sz w:val="20"/>
          <w:szCs w:val="20"/>
          <w:lang w:val="en-GB"/>
        </w:rPr>
        <w:t>Mannesmannröhren-Werke AG v Commission, [2001] ECR II-00729, §§25, 59 and ff.</w:t>
      </w:r>
    </w:p>
  </w:footnote>
  <w:footnote w:id="129">
    <w:p w:rsidR="0081781C" w:rsidRPr="00C9037B" w:rsidRDefault="0081781C" w:rsidP="007235C7">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D. Chalmers, G. Davies and G. Mon</w:t>
      </w:r>
      <w:r w:rsidRPr="00055FAC">
        <w:rPr>
          <w:rFonts w:ascii="Times New Roman" w:hAnsi="Times New Roman" w:cs="Times New Roman"/>
          <w:sz w:val="20"/>
          <w:szCs w:val="20"/>
          <w:lang w:val="en-GB"/>
        </w:rPr>
        <w:t xml:space="preserve">ti, European Union Law, Cambridge University Press, Cambridge, </w:t>
      </w:r>
      <w:r w:rsidRPr="00C9037B">
        <w:rPr>
          <w:rFonts w:ascii="Times New Roman" w:hAnsi="Times New Roman" w:cs="Times New Roman"/>
          <w:sz w:val="20"/>
          <w:szCs w:val="20"/>
          <w:lang w:val="en-GB"/>
        </w:rPr>
        <w:t>2010, 925-926.</w:t>
      </w:r>
    </w:p>
  </w:footnote>
  <w:footnote w:id="130">
    <w:p w:rsidR="0081781C" w:rsidRPr="007D6DD4" w:rsidRDefault="0081781C">
      <w:pPr>
        <w:pStyle w:val="Notedebasdepage"/>
        <w:rPr>
          <w:rFonts w:ascii="Times New Roman" w:hAnsi="Times New Roman" w:cs="Times New Roman"/>
          <w:sz w:val="20"/>
          <w:szCs w:val="20"/>
          <w:lang w:val="en-GB"/>
        </w:rPr>
      </w:pPr>
      <w:r w:rsidRPr="004E08B1">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w:t>
      </w:r>
      <w:r w:rsidRPr="00C9037B">
        <w:rPr>
          <w:rFonts w:ascii="Times New Roman" w:hAnsi="Times New Roman" w:cs="Times New Roman"/>
          <w:sz w:val="20"/>
          <w:szCs w:val="20"/>
          <w:lang w:val="en-GB"/>
        </w:rPr>
        <w:t xml:space="preserve">See Joined Cases T-305-307/94, T-313-316/94, T-318/94, T-325/94, T-328/94, T-329/94 and T-335/94, Limburgse Vinyl Maatschappij NV and others v Commission, </w:t>
      </w:r>
      <w:r w:rsidRPr="00C9037B">
        <w:rPr>
          <w:rFonts w:ascii="Times New Roman" w:hAnsi="Times New Roman" w:cs="Times New Roman"/>
          <w:sz w:val="20"/>
          <w:szCs w:val="20"/>
          <w:lang w:val="en-GB"/>
        </w:rPr>
        <w:sym w:font="Symbol" w:char="F05B"/>
      </w:r>
      <w:r w:rsidRPr="00C9037B">
        <w:rPr>
          <w:rFonts w:ascii="Times New Roman" w:hAnsi="Times New Roman" w:cs="Times New Roman"/>
          <w:sz w:val="20"/>
          <w:szCs w:val="20"/>
          <w:lang w:val="en-GB"/>
        </w:rPr>
        <w:t>1999</w:t>
      </w:r>
      <w:r w:rsidRPr="00C9037B">
        <w:rPr>
          <w:rFonts w:ascii="Times New Roman" w:hAnsi="Times New Roman" w:cs="Times New Roman"/>
          <w:sz w:val="20"/>
          <w:szCs w:val="20"/>
          <w:lang w:val="en-GB"/>
        </w:rPr>
        <w:sym w:font="Symbol" w:char="F05D"/>
      </w:r>
      <w:r w:rsidRPr="00B94512">
        <w:rPr>
          <w:rFonts w:ascii="Times New Roman" w:hAnsi="Times New Roman" w:cs="Times New Roman"/>
          <w:sz w:val="20"/>
          <w:szCs w:val="20"/>
          <w:lang w:val="en-GB"/>
        </w:rPr>
        <w:t xml:space="preserve"> ECR II-931, §§</w:t>
      </w:r>
      <w:r w:rsidRPr="006269D7">
        <w:rPr>
          <w:rFonts w:ascii="Times New Roman" w:hAnsi="Times New Roman" w:cs="Times New Roman"/>
          <w:sz w:val="20"/>
          <w:szCs w:val="20"/>
          <w:lang w:val="en-GB"/>
        </w:rPr>
        <w:t>44</w:t>
      </w:r>
      <w:r w:rsidRPr="00725061">
        <w:rPr>
          <w:rFonts w:ascii="Times New Roman" w:hAnsi="Times New Roman" w:cs="Times New Roman"/>
          <w:sz w:val="20"/>
          <w:szCs w:val="20"/>
          <w:lang w:val="en-GB"/>
        </w:rPr>
        <w:t>4</w:t>
      </w:r>
      <w:r w:rsidRPr="00691E57">
        <w:rPr>
          <w:rFonts w:ascii="Times New Roman" w:hAnsi="Times New Roman" w:cs="Times New Roman"/>
          <w:sz w:val="20"/>
          <w:szCs w:val="20"/>
          <w:lang w:val="en-GB"/>
        </w:rPr>
        <w:t>-</w:t>
      </w:r>
      <w:r w:rsidRPr="007D6DD4">
        <w:rPr>
          <w:rFonts w:ascii="Times New Roman" w:hAnsi="Times New Roman" w:cs="Times New Roman"/>
          <w:sz w:val="20"/>
          <w:szCs w:val="20"/>
          <w:lang w:val="en-GB"/>
        </w:rPr>
        <w:t>445</w:t>
      </w:r>
    </w:p>
  </w:footnote>
  <w:footnote w:id="131">
    <w:p w:rsidR="0081781C" w:rsidRPr="007D6DD4" w:rsidRDefault="0081781C">
      <w:pPr>
        <w:pStyle w:val="Notedebasdepage"/>
        <w:rPr>
          <w:sz w:val="20"/>
          <w:szCs w:val="20"/>
          <w:lang w:val="en-GB"/>
        </w:rPr>
      </w:pPr>
      <w:r w:rsidRPr="004E08B1">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Ibid., §447.</w:t>
      </w:r>
    </w:p>
  </w:footnote>
  <w:footnote w:id="132">
    <w:p w:rsidR="0081781C" w:rsidRPr="007235C7" w:rsidRDefault="0081781C" w:rsidP="007A32C3">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055FAC">
        <w:rPr>
          <w:rFonts w:ascii="Times New Roman" w:hAnsi="Times New Roman" w:cs="Times New Roman"/>
          <w:sz w:val="20"/>
          <w:szCs w:val="20"/>
          <w:lang w:val="en-GB"/>
        </w:rPr>
        <w:t xml:space="preserve">Commission decision COMP/36.571/D-1, </w:t>
      </w:r>
      <w:r w:rsidRPr="007A32C3">
        <w:rPr>
          <w:rFonts w:ascii="Times New Roman" w:hAnsi="Times New Roman" w:cs="Times New Roman"/>
          <w:sz w:val="20"/>
          <w:szCs w:val="20"/>
          <w:lang w:val="en-GB"/>
        </w:rPr>
        <w:t xml:space="preserve">Austrian Banks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2002</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OJ L56/1, §488; D. Chalmers, G.</w:t>
      </w:r>
      <w:r>
        <w:rPr>
          <w:rFonts w:ascii="Times New Roman" w:hAnsi="Times New Roman" w:cs="Times New Roman"/>
          <w:sz w:val="20"/>
          <w:szCs w:val="20"/>
          <w:lang w:val="en-GB"/>
        </w:rPr>
        <w:t> </w:t>
      </w:r>
      <w:r w:rsidRPr="007235C7">
        <w:rPr>
          <w:rFonts w:ascii="Times New Roman" w:hAnsi="Times New Roman" w:cs="Times New Roman"/>
          <w:sz w:val="20"/>
          <w:szCs w:val="20"/>
          <w:lang w:val="en-GB"/>
        </w:rPr>
        <w:t>Davies and G. Monti, European Union Law, Cambridge University Press, Cambridge, 2010, 925-926.</w:t>
      </w:r>
    </w:p>
  </w:footnote>
  <w:footnote w:id="133">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See Article 18(3) of Regulation 1/2003.</w:t>
      </w:r>
    </w:p>
  </w:footnote>
  <w:footnote w:id="134">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w:t>
      </w:r>
      <w:r w:rsidRPr="00246F56">
        <w:rPr>
          <w:rFonts w:ascii="Times New Roman" w:hAnsi="Times New Roman" w:cs="Times New Roman"/>
          <w:sz w:val="20"/>
          <w:szCs w:val="20"/>
          <w:lang w:val="en-GB"/>
        </w:rPr>
        <w:t xml:space="preserve">Hence, the right to remain silent cannot be invoked against decisions taken on the basis of information delivered while the undertaking had no duty to reply. </w:t>
      </w:r>
      <w:r w:rsidRPr="007235C7">
        <w:rPr>
          <w:rFonts w:ascii="Times New Roman" w:hAnsi="Times New Roman" w:cs="Times New Roman"/>
          <w:sz w:val="20"/>
          <w:szCs w:val="20"/>
          <w:lang w:val="en-GB"/>
        </w:rPr>
        <w:t>See C-407/04 P</w:t>
      </w:r>
      <w:r w:rsidRPr="00055FAC">
        <w:rPr>
          <w:rFonts w:ascii="Times New Roman" w:hAnsi="Times New Roman" w:cs="Times New Roman"/>
          <w:sz w:val="20"/>
          <w:szCs w:val="20"/>
          <w:lang w:val="en-GB"/>
        </w:rPr>
        <w:t>,</w:t>
      </w:r>
      <w:r w:rsidRPr="006E0306">
        <w:rPr>
          <w:rFonts w:ascii="Times New Roman" w:hAnsi="Times New Roman" w:cs="Times New Roman"/>
          <w:sz w:val="20"/>
          <w:szCs w:val="20"/>
          <w:lang w:val="en-GB"/>
        </w:rPr>
        <w:t xml:space="preserve"> Dalmine SpA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I-835, §</w:t>
      </w:r>
      <w:r>
        <w:rPr>
          <w:rFonts w:ascii="Times New Roman" w:hAnsi="Times New Roman" w:cs="Times New Roman"/>
          <w:sz w:val="20"/>
          <w:szCs w:val="20"/>
          <w:lang w:val="en-GB"/>
        </w:rPr>
        <w:t>§</w:t>
      </w:r>
      <w:r w:rsidRPr="007235C7">
        <w:rPr>
          <w:rFonts w:ascii="Times New Roman" w:hAnsi="Times New Roman" w:cs="Times New Roman"/>
          <w:sz w:val="20"/>
          <w:szCs w:val="20"/>
          <w:lang w:val="en-GB"/>
        </w:rPr>
        <w:t>33-36. See also Manproc, Module 6, §72.</w:t>
      </w:r>
    </w:p>
  </w:footnote>
  <w:footnote w:id="135">
    <w:p w:rsidR="0081781C" w:rsidRPr="00246F56" w:rsidRDefault="0081781C">
      <w:pPr>
        <w:widowControl w:val="0"/>
        <w:autoSpaceDE w:val="0"/>
        <w:autoSpaceDN w:val="0"/>
        <w:adjustRightInd w:val="0"/>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See Antitrust Manual of Procedures, Internal DG Competition working documents on procedures for the application of Articles 101 and 102 TFEU March 2012, (hereafter “Manproc”) The text is made available on the internet: </w:t>
      </w:r>
      <w:hyperlink r:id="rId8" w:history="1">
        <w:r w:rsidRPr="00246F56">
          <w:rPr>
            <w:rStyle w:val="Lienhypertexte"/>
            <w:rFonts w:ascii="Times New Roman" w:hAnsi="Times New Roman" w:cs="Times New Roman"/>
            <w:color w:val="auto"/>
            <w:sz w:val="20"/>
            <w:szCs w:val="20"/>
            <w:lang w:val="en-US"/>
          </w:rPr>
          <w:t>http://ec.europa.eu/competition/antitrust/information_en.html</w:t>
        </w:r>
      </w:hyperlink>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US"/>
        </w:rPr>
        <w:t xml:space="preserve">In this Manual, </w:t>
      </w:r>
      <w:r w:rsidRPr="00246F56">
        <w:rPr>
          <w:rFonts w:ascii="Times New Roman" w:hAnsi="Times New Roman" w:cs="Times New Roman"/>
          <w:sz w:val="20"/>
          <w:szCs w:val="20"/>
          <w:lang w:val="en-GB"/>
        </w:rPr>
        <w:t>the Commission commits to respect established case-law. The Manuel forbids officials from asking questions that may force undertaking</w:t>
      </w:r>
      <w:r w:rsidR="009F0974">
        <w:rPr>
          <w:rFonts w:ascii="Times New Roman" w:hAnsi="Times New Roman" w:cs="Times New Roman"/>
          <w:sz w:val="20"/>
          <w:szCs w:val="20"/>
          <w:lang w:val="en-GB"/>
        </w:rPr>
        <w:t>s</w:t>
      </w:r>
      <w:r w:rsidRPr="00246F56">
        <w:rPr>
          <w:rFonts w:ascii="Times New Roman" w:hAnsi="Times New Roman" w:cs="Times New Roman"/>
          <w:sz w:val="20"/>
          <w:szCs w:val="20"/>
          <w:lang w:val="en-GB"/>
        </w:rPr>
        <w:t xml:space="preserve"> to admit the existence of an infringement of EU competition law.</w:t>
      </w:r>
      <w:r w:rsidRPr="007235C7">
        <w:rPr>
          <w:rFonts w:ascii="Times New Roman" w:hAnsi="Times New Roman" w:cs="Times New Roman"/>
          <w:sz w:val="20"/>
          <w:szCs w:val="20"/>
          <w:lang w:val="en-GB"/>
        </w:rPr>
        <w:t xml:space="preserve"> See Manproc, Module 6, §71.</w:t>
      </w:r>
      <w:r w:rsidRPr="00055FAC">
        <w:rPr>
          <w:rFonts w:ascii="Times New Roman" w:hAnsi="Times New Roman" w:cs="Times New Roman"/>
          <w:sz w:val="20"/>
          <w:szCs w:val="20"/>
          <w:lang w:val="en-GB"/>
        </w:rPr>
        <w:t xml:space="preserve"> </w:t>
      </w:r>
      <w:r w:rsidRPr="00246F56">
        <w:rPr>
          <w:rFonts w:ascii="Times New Roman" w:hAnsi="Times New Roman" w:cs="Times New Roman"/>
          <w:sz w:val="20"/>
          <w:szCs w:val="20"/>
          <w:lang w:val="en-GB"/>
        </w:rPr>
        <w:t>The Commission expresses that it is only entitled to ask questions intended to secure factual information.</w:t>
      </w:r>
      <w:r w:rsidRPr="007235C7">
        <w:rPr>
          <w:rFonts w:ascii="Times New Roman" w:hAnsi="Times New Roman" w:cs="Times New Roman"/>
          <w:sz w:val="20"/>
          <w:szCs w:val="20"/>
          <w:lang w:val="en-US"/>
        </w:rPr>
        <w:t xml:space="preserve"> See Manproc, Module 6, §71-73: </w:t>
      </w:r>
      <w:r w:rsidRPr="006E0306">
        <w:rPr>
          <w:rFonts w:ascii="Times New Roman" w:hAnsi="Times New Roman" w:cs="Times New Roman"/>
          <w:i/>
          <w:sz w:val="20"/>
          <w:szCs w:val="20"/>
          <w:lang w:val="en-US"/>
        </w:rPr>
        <w:t>“The privilege against self-incrimination protects under</w:t>
      </w:r>
      <w:r w:rsidRPr="00CD4E3B">
        <w:rPr>
          <w:rFonts w:ascii="Times New Roman" w:hAnsi="Times New Roman" w:cs="Times New Roman"/>
          <w:i/>
          <w:sz w:val="20"/>
          <w:szCs w:val="20"/>
          <w:lang w:val="en-US"/>
        </w:rPr>
        <w:t xml:space="preserve">takings against the obligation to reply to self-incriminating questions, i.e. to admit the existence of an infringement of EU competition law (in which they participated). According to the </w:t>
      </w:r>
      <w:r>
        <w:rPr>
          <w:rFonts w:ascii="Times New Roman" w:hAnsi="Times New Roman" w:cs="Times New Roman"/>
          <w:i/>
          <w:sz w:val="20"/>
          <w:szCs w:val="20"/>
          <w:lang w:val="en-US"/>
        </w:rPr>
        <w:t>case-law</w:t>
      </w:r>
      <w:r w:rsidRPr="00CD4E3B">
        <w:rPr>
          <w:rFonts w:ascii="Times New Roman" w:hAnsi="Times New Roman" w:cs="Times New Roman"/>
          <w:i/>
          <w:sz w:val="20"/>
          <w:szCs w:val="20"/>
          <w:lang w:val="en-US"/>
        </w:rPr>
        <w:t xml:space="preserve"> as established in Orkem16 an undertaking can only invoke the privilege against self-incrimination if two conditions are fulfilled: (1) the undertaking was asked to admit the existence of an infringement of EU competition law (in which it participated) and (2) it was compelled to answer the question. However, the Best Practice Guidelines and the Hearing Officer’s Mandate foresee the possibility for undertakings to raise concerns with DG Competition (Case 374/87, Orkem v. Commission [1989] ECR 3283) and the Hearing Officer about self</w:t>
      </w:r>
      <w:r w:rsidR="009F0974">
        <w:rPr>
          <w:rFonts w:ascii="Times New Roman" w:hAnsi="Times New Roman" w:cs="Times New Roman"/>
          <w:i/>
          <w:sz w:val="20"/>
          <w:szCs w:val="20"/>
          <w:lang w:val="en-US"/>
        </w:rPr>
        <w:t>-</w:t>
      </w:r>
      <w:r w:rsidRPr="00CD4E3B">
        <w:rPr>
          <w:rFonts w:ascii="Times New Roman" w:hAnsi="Times New Roman" w:cs="Times New Roman"/>
          <w:i/>
          <w:sz w:val="20"/>
          <w:szCs w:val="20"/>
          <w:lang w:val="en-US"/>
        </w:rPr>
        <w:t>incrimination already when they are the addressees of request for information pursuant to Article 18(2), in order to settle discussions at the earliest stage. The privilege against self-incrimination does not apply when answering questions asked in the context of requests made under Article 18(2) (simple requests for information, interviews, simple inspections). This is due to the fact that the undertaking is not compelled to answer these questions. It replies on a voluntary basis. If an undertaking replies in a self-incriminating manner to questions that it is not compelled to reply to (ie a reply which goes beyond the Commission’s investigatory powers) that reply may be considered as spontaneous cooperation on the undertaking’s part capable of justifying a reduction in a possible fine outside the scope of the Leniency Notice.”</w:t>
      </w:r>
    </w:p>
  </w:footnote>
  <w:footnote w:id="136">
    <w:p w:rsidR="0081781C" w:rsidRPr="007D6DD4" w:rsidRDefault="0081781C" w:rsidP="004E08B1">
      <w:pPr>
        <w:pStyle w:val="Notedebasdepage"/>
        <w:jc w:val="both"/>
        <w:rPr>
          <w:rFonts w:ascii="Times New Roman" w:hAnsi="Times New Roman"/>
          <w:sz w:val="20"/>
          <w:lang w:val="en-GB"/>
        </w:rPr>
      </w:pPr>
      <w:r w:rsidRPr="004E08B1">
        <w:rPr>
          <w:rStyle w:val="Appelnotedebasdep"/>
          <w:rFonts w:ascii="Times New Roman" w:hAnsi="Times New Roman" w:cs="Times New Roman"/>
          <w:sz w:val="20"/>
          <w:szCs w:val="20"/>
          <w:lang w:val="en-GB"/>
        </w:rPr>
        <w:footnoteRef/>
      </w:r>
      <w:r w:rsidRPr="007D6DD4">
        <w:rPr>
          <w:lang w:val="en-GB"/>
        </w:rPr>
        <w:t xml:space="preserve"> </w:t>
      </w:r>
      <w:r w:rsidRPr="007D6DD4">
        <w:rPr>
          <w:rFonts w:ascii="Times New Roman" w:hAnsi="Times New Roman"/>
          <w:sz w:val="20"/>
          <w:lang w:val="en-GB"/>
        </w:rPr>
        <w:t>J. Schwarze and R. Bechtold, Deficiencies in European Community Competition Law, Critical analysis of the current practice and proposals for change, Gleiss Lutz, 2008, (available at: http://ec.europa.eu/competition/consultations/2008_regulation_1_2003/gleiss_lutz_en.pdf).</w:t>
      </w:r>
    </w:p>
  </w:footnote>
  <w:footnote w:id="137">
    <w:p w:rsidR="0081781C" w:rsidRPr="00CD4E3B" w:rsidRDefault="0081781C">
      <w:pPr>
        <w:pStyle w:val="Notedebasdepage"/>
        <w:jc w:val="both"/>
        <w:rPr>
          <w:rFonts w:ascii="Times New Roman" w:hAnsi="Times New Roman" w:cs="Times New Roman"/>
          <w:sz w:val="20"/>
          <w:szCs w:val="20"/>
          <w:lang w:val="fr-BE"/>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fr-BE"/>
        </w:rPr>
        <w:t xml:space="preserve"> See T-322/01, Roquette Frères SA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fr-BE"/>
        </w:rPr>
        <w:t>2006</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fr-BE"/>
        </w:rPr>
        <w:t xml:space="preserve"> </w:t>
      </w:r>
      <w:r w:rsidRPr="00055FAC">
        <w:rPr>
          <w:rFonts w:ascii="Times New Roman" w:hAnsi="Times New Roman" w:cs="Times New Roman"/>
          <w:sz w:val="20"/>
          <w:szCs w:val="20"/>
          <w:lang w:val="fr-BE"/>
        </w:rPr>
        <w:t>ECR</w:t>
      </w:r>
      <w:r w:rsidRPr="00CD4E3B">
        <w:rPr>
          <w:rFonts w:ascii="Times New Roman" w:hAnsi="Times New Roman" w:cs="Times New Roman"/>
          <w:sz w:val="20"/>
          <w:szCs w:val="20"/>
          <w:lang w:val="fr-BE"/>
        </w:rPr>
        <w:t xml:space="preserve"> II-3137, §266.</w:t>
      </w:r>
    </w:p>
  </w:footnote>
  <w:footnote w:id="138">
    <w:p w:rsidR="0081781C" w:rsidRPr="007D6DD4" w:rsidRDefault="0081781C" w:rsidP="00246F56">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w:t>
      </w:r>
      <w:r w:rsidRPr="007235C7">
        <w:rPr>
          <w:rFonts w:ascii="Times New Roman" w:hAnsi="Times New Roman" w:cs="Times New Roman"/>
          <w:sz w:val="20"/>
          <w:szCs w:val="20"/>
          <w:lang w:val="en-US"/>
        </w:rPr>
        <w:t xml:space="preserve">See T-112/98, </w:t>
      </w:r>
      <w:r w:rsidRPr="007D6DD4">
        <w:rPr>
          <w:rStyle w:val="Accentuation"/>
          <w:rFonts w:ascii="Times New Roman" w:hAnsi="Times New Roman" w:cs="Times New Roman"/>
          <w:i w:val="0"/>
          <w:sz w:val="20"/>
          <w:szCs w:val="20"/>
          <w:lang w:val="en-GB"/>
        </w:rPr>
        <w:t>Mannesmannröhren-Werke AG v Commission, [2001] ECR II-00729, §§25, 59 and ff.</w:t>
      </w:r>
    </w:p>
  </w:footnote>
  <w:footnote w:id="139">
    <w:p w:rsidR="0081781C" w:rsidRPr="007D6DD4" w:rsidRDefault="0081781C" w:rsidP="00B94512">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w:t>
      </w:r>
      <w:r w:rsidRPr="007235C7">
        <w:rPr>
          <w:rFonts w:ascii="Times New Roman" w:hAnsi="Times New Roman" w:cs="Times New Roman"/>
          <w:sz w:val="20"/>
          <w:szCs w:val="20"/>
          <w:lang w:val="en-US"/>
        </w:rPr>
        <w:t xml:space="preserve">See Article 339 TFEU: </w:t>
      </w:r>
      <w:r w:rsidRPr="00055FAC">
        <w:rPr>
          <w:rFonts w:ascii="Times New Roman" w:hAnsi="Times New Roman" w:cs="Times New Roman"/>
          <w:i/>
          <w:sz w:val="20"/>
          <w:szCs w:val="20"/>
          <w:lang w:val="en-US"/>
        </w:rPr>
        <w:t>“The members of the institutions of the Union, the members of committees, and the officials and other servants of the Union shall be required, even after their duties have ceased</w:t>
      </w:r>
      <w:r w:rsidRPr="006E0306">
        <w:rPr>
          <w:rFonts w:ascii="Times New Roman" w:hAnsi="Times New Roman" w:cs="Times New Roman"/>
          <w:i/>
          <w:sz w:val="20"/>
          <w:szCs w:val="20"/>
          <w:lang w:val="en-US"/>
        </w:rPr>
        <w:t>, not to disclose information of the kind covered by the obligation of professional secrecy, in particular information about undertakings, their business relations or their cost components. See also Article 28(2) TFEU: The members of the institutions of t</w:t>
      </w:r>
      <w:r w:rsidRPr="00CD4E3B">
        <w:rPr>
          <w:rFonts w:ascii="Times New Roman" w:hAnsi="Times New Roman" w:cs="Times New Roman"/>
          <w:i/>
          <w:sz w:val="20"/>
          <w:szCs w:val="20"/>
          <w:lang w:val="en-US"/>
        </w:rPr>
        <w:t>he Union, the members of committees, and the officials and other servants of the Union shall be required, even after their duties have ceased, not to disclose information of the kind covered by the obligation of professional secrecy, in particular information about undertakings, their business relations or their cost components.”</w:t>
      </w:r>
    </w:p>
  </w:footnote>
  <w:footnote w:id="140">
    <w:p w:rsidR="0081781C" w:rsidRPr="007D6DD4" w:rsidRDefault="0081781C" w:rsidP="00246F56">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See Article 28 of Regulation 1/2003.</w:t>
      </w:r>
    </w:p>
  </w:footnote>
  <w:footnote w:id="141">
    <w:p w:rsidR="0081781C" w:rsidRPr="007D6DD4" w:rsidRDefault="0081781C" w:rsidP="00246F56">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See T-65/89, </w:t>
      </w:r>
      <w:r w:rsidRPr="007D6DD4">
        <w:rPr>
          <w:rFonts w:ascii="Times New Roman" w:hAnsi="Times New Roman" w:cs="Times New Roman"/>
          <w:i/>
          <w:sz w:val="20"/>
          <w:szCs w:val="20"/>
          <w:lang w:val="en-GB"/>
        </w:rPr>
        <w:t>BPB Industries and British Gypsum,</w:t>
      </w:r>
      <w:r w:rsidRPr="007D6DD4">
        <w:rPr>
          <w:rFonts w:ascii="Times New Roman" w:hAnsi="Times New Roman" w:cs="Times New Roman"/>
          <w:sz w:val="20"/>
          <w:szCs w:val="20"/>
          <w:lang w:val="en-GB"/>
        </w:rPr>
        <w:t xml:space="preserve"> [1993] ECR II-389; C-310/93P, </w:t>
      </w:r>
      <w:r w:rsidRPr="007D6DD4">
        <w:rPr>
          <w:rFonts w:ascii="Times New Roman" w:hAnsi="Times New Roman" w:cs="Times New Roman"/>
          <w:i/>
          <w:sz w:val="20"/>
          <w:szCs w:val="20"/>
          <w:lang w:val="en-GB"/>
        </w:rPr>
        <w:t>BPB Industries and British Gypsum,</w:t>
      </w:r>
      <w:r w:rsidRPr="007D6DD4">
        <w:rPr>
          <w:rFonts w:ascii="Times New Roman" w:hAnsi="Times New Roman" w:cs="Times New Roman"/>
          <w:sz w:val="20"/>
          <w:szCs w:val="20"/>
          <w:lang w:val="en-GB"/>
        </w:rPr>
        <w:t xml:space="preserve"> [1995] ECR I-865.</w:t>
      </w:r>
    </w:p>
  </w:footnote>
  <w:footnote w:id="142">
    <w:p w:rsidR="0081781C" w:rsidRPr="007D6DD4" w:rsidRDefault="0081781C" w:rsidP="00246F56">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See Case 145/83, </w:t>
      </w:r>
      <w:r w:rsidRPr="007D6DD4">
        <w:rPr>
          <w:rFonts w:ascii="Times New Roman" w:hAnsi="Times New Roman" w:cs="Times New Roman"/>
          <w:i/>
          <w:sz w:val="20"/>
          <w:szCs w:val="20"/>
          <w:lang w:val="en-GB"/>
        </w:rPr>
        <w:t>Stanley Adams</w:t>
      </w:r>
      <w:r w:rsidRPr="007D6DD4">
        <w:rPr>
          <w:rFonts w:ascii="Times New Roman" w:hAnsi="Times New Roman" w:cs="Times New Roman"/>
          <w:sz w:val="20"/>
          <w:szCs w:val="20"/>
          <w:lang w:val="en-GB"/>
        </w:rPr>
        <w:t xml:space="preserve"> [1985] ECR 3539, §34.</w:t>
      </w:r>
    </w:p>
  </w:footnote>
  <w:footnote w:id="143">
    <w:p w:rsidR="0081781C" w:rsidRPr="007235C7" w:rsidRDefault="0081781C" w:rsidP="007A32C3">
      <w:pPr>
        <w:widowControl w:val="0"/>
        <w:autoSpaceDE w:val="0"/>
        <w:autoSpaceDN w:val="0"/>
        <w:adjustRightInd w:val="0"/>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246F56">
        <w:rPr>
          <w:rFonts w:ascii="Times New Roman" w:hAnsi="Times New Roman" w:cs="Times New Roman"/>
          <w:sz w:val="20"/>
          <w:szCs w:val="20"/>
          <w:lang w:val="en-GB"/>
        </w:rPr>
        <w:t xml:space="preserve">By way of illustration, the Commission has indicated by way of example a series of information, which it does not consider as business secrets. </w:t>
      </w:r>
      <w:r w:rsidRPr="00246F56">
        <w:rPr>
          <w:rFonts w:ascii="Times New Roman" w:hAnsi="Times New Roman" w:cs="Times New Roman"/>
          <w:sz w:val="20"/>
          <w:szCs w:val="20"/>
          <w:lang w:val="en-US"/>
        </w:rPr>
        <w:t>See Notice on Access to file, §23: “</w:t>
      </w:r>
      <w:r w:rsidRPr="00246F56">
        <w:rPr>
          <w:rFonts w:ascii="Times New Roman" w:hAnsi="Times New Roman" w:cs="Times New Roman"/>
          <w:i/>
          <w:sz w:val="20"/>
          <w:szCs w:val="20"/>
          <w:lang w:val="en-US"/>
        </w:rPr>
        <w:t>The members of the institutions of the Union, the members of committees, and the officials and other servants of the Union shall be required, even after their duties have ceased, not to disclose information of the kind covered by the obligation of professional secrecy, in particular information about undertakings, their business relations or their cost components.”</w:t>
      </w:r>
    </w:p>
  </w:footnote>
  <w:footnote w:id="144">
    <w:p w:rsidR="0081781C" w:rsidRPr="007235C7" w:rsidRDefault="0081781C" w:rsidP="006E0306">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Notice on Access to file, §23.</w:t>
      </w:r>
    </w:p>
  </w:footnote>
  <w:footnote w:id="145">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w:t>
      </w:r>
      <w:r w:rsidRPr="007A32C3">
        <w:rPr>
          <w:rFonts w:ascii="Times New Roman" w:hAnsi="Times New Roman" w:cs="Times New Roman"/>
          <w:sz w:val="20"/>
          <w:szCs w:val="20"/>
          <w:lang w:val="en-GB"/>
        </w:rPr>
        <w:t xml:space="preserve">T-36/91, Imperial Chemical Industries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1991</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1995 II-01847, </w:t>
      </w:r>
      <w:r w:rsidRPr="00055FAC">
        <w:rPr>
          <w:rFonts w:ascii="Times New Roman" w:hAnsi="Times New Roman" w:cs="Times New Roman"/>
          <w:sz w:val="20"/>
          <w:szCs w:val="20"/>
          <w:lang w:val="en-GB"/>
        </w:rPr>
        <w:t>§102.</w:t>
      </w:r>
      <w:r w:rsidRPr="00246F56">
        <w:rPr>
          <w:rFonts w:ascii="Times New Roman" w:hAnsi="Times New Roman" w:cs="Times New Roman"/>
          <w:sz w:val="20"/>
          <w:szCs w:val="20"/>
          <w:lang w:val="en-US"/>
        </w:rPr>
        <w:t xml:space="preserve"> </w:t>
      </w:r>
    </w:p>
  </w:footnote>
  <w:footnote w:id="146">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w:t>
      </w:r>
      <w:r w:rsidRPr="00246F56">
        <w:rPr>
          <w:rFonts w:ascii="Times New Roman" w:hAnsi="Times New Roman" w:cs="Times New Roman"/>
          <w:sz w:val="20"/>
          <w:szCs w:val="20"/>
          <w:lang w:val="en-US"/>
        </w:rPr>
        <w:t xml:space="preserve">T-198/03, Bank Austria Creditanstalt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2006</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II-1429, §71;</w:t>
      </w:r>
      <w:r>
        <w:rPr>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 xml:space="preserve">T-474/04 Pergan Hilfstoffe fur industrielle Prozesse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II-4225, §65.</w:t>
      </w:r>
    </w:p>
  </w:footnote>
  <w:footnote w:id="147">
    <w:p w:rsidR="0081781C" w:rsidRPr="00246F56" w:rsidRDefault="0081781C">
      <w:pPr>
        <w:widowControl w:val="0"/>
        <w:autoSpaceDE w:val="0"/>
        <w:autoSpaceDN w:val="0"/>
        <w:adjustRightInd w:val="0"/>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Notice on Acces to file, §25: </w:t>
      </w:r>
      <w:r w:rsidRPr="00246F56">
        <w:rPr>
          <w:rFonts w:ascii="Times New Roman" w:hAnsi="Times New Roman" w:cs="Times New Roman"/>
          <w:i/>
          <w:sz w:val="20"/>
          <w:szCs w:val="20"/>
          <w:lang w:val="en-US"/>
        </w:rPr>
        <w:t>“The members of the institutions of the Union, the members of committees, and the officials and other servants of the Union shall be required, even after their duties have ceased, not to disclose information of the kind covered by the obligation of professional secrecy, in particular information about undertakings, their business relations or their cost components.”</w:t>
      </w:r>
    </w:p>
  </w:footnote>
  <w:footnote w:id="148">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See Manproc, Module 12, §34.</w:t>
      </w:r>
    </w:p>
  </w:footnote>
  <w:footnote w:id="149">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C-110/81, SA Roquette frères v Council,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1982</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I-3159, §24; T-59/99 Ventouris Group Enterprises SA,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2003</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II-5257, §124; T-65</w:t>
      </w:r>
      <w:r w:rsidRPr="00055FAC">
        <w:rPr>
          <w:rFonts w:ascii="Times New Roman" w:hAnsi="Times New Roman" w:cs="Times New Roman"/>
          <w:sz w:val="20"/>
          <w:szCs w:val="20"/>
          <w:lang w:val="en-GB"/>
        </w:rPr>
        <w:t>/99</w:t>
      </w:r>
      <w:r w:rsidRPr="007A32C3">
        <w:rPr>
          <w:rFonts w:ascii="Times New Roman" w:hAnsi="Times New Roman" w:cs="Times New Roman"/>
          <w:sz w:val="20"/>
          <w:szCs w:val="20"/>
          <w:lang w:val="en-GB"/>
        </w:rPr>
        <w:t xml:space="preserve">, Strintzis Lines Shipping SA,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2003</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II-5433, §44.</w:t>
      </w:r>
    </w:p>
  </w:footnote>
  <w:footnote w:id="150">
    <w:p w:rsidR="0081781C" w:rsidRPr="006E0306" w:rsidRDefault="0081781C">
      <w:pPr>
        <w:widowControl w:val="0"/>
        <w:autoSpaceDE w:val="0"/>
        <w:autoSpaceDN w:val="0"/>
        <w:adjustRightInd w:val="0"/>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Article 296 §2 TFEU: </w:t>
      </w:r>
      <w:r w:rsidRPr="00055FAC">
        <w:rPr>
          <w:rFonts w:ascii="Times New Roman" w:hAnsi="Times New Roman" w:cs="Times New Roman"/>
          <w:i/>
          <w:sz w:val="20"/>
          <w:szCs w:val="20"/>
          <w:lang w:val="en-GB"/>
        </w:rPr>
        <w:t>“Legal acts shall state th</w:t>
      </w:r>
      <w:r w:rsidRPr="007A32C3">
        <w:rPr>
          <w:rFonts w:ascii="Times New Roman" w:hAnsi="Times New Roman" w:cs="Times New Roman"/>
          <w:i/>
          <w:sz w:val="20"/>
          <w:szCs w:val="20"/>
          <w:lang w:val="en-GB"/>
        </w:rPr>
        <w:t>e reasons on which they are based and shall refer to any proposals, initiatives, recommendations, requests or opinions required by the Treaties.</w:t>
      </w:r>
      <w:r w:rsidRPr="004E08B1">
        <w:rPr>
          <w:rFonts w:ascii="Times New Roman" w:hAnsi="Times New Roman" w:cs="Times New Roman"/>
          <w:sz w:val="20"/>
          <w:szCs w:val="20"/>
          <w:lang w:val="en-GB"/>
        </w:rPr>
        <w:t>”</w:t>
      </w:r>
    </w:p>
  </w:footnote>
  <w:footnote w:id="151">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See C-350/88</w:t>
      </w:r>
      <w:r w:rsidRPr="007A32C3">
        <w:rPr>
          <w:rFonts w:ascii="Times New Roman" w:hAnsi="Times New Roman" w:cs="Times New Roman"/>
          <w:sz w:val="20"/>
          <w:szCs w:val="20"/>
          <w:lang w:val="en-GB"/>
        </w:rPr>
        <w:t xml:space="preserve">, Delacre and Others v Commission </w:t>
      </w:r>
      <w:r w:rsidRPr="006E0306">
        <w:rPr>
          <w:rFonts w:ascii="Times New Roman" w:hAnsi="Times New Roman" w:cs="Times New Roman"/>
          <w:sz w:val="20"/>
          <w:szCs w:val="20"/>
          <w:lang w:val="en-US"/>
        </w:rPr>
        <w:t>[1990] ECR I-395, §15; T-504/93</w:t>
      </w:r>
      <w:r w:rsidRPr="00CD4E3B">
        <w:rPr>
          <w:rFonts w:ascii="Times New Roman" w:hAnsi="Times New Roman" w:cs="Times New Roman"/>
          <w:sz w:val="20"/>
          <w:szCs w:val="20"/>
          <w:lang w:val="en-US"/>
        </w:rPr>
        <w:t>, Tiercé Ladbroke v Commission [1997] ECR II-923, §149.</w:t>
      </w:r>
    </w:p>
  </w:footnote>
  <w:footnote w:id="152">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See Article 296 TFEU.</w:t>
      </w:r>
    </w:p>
  </w:footnote>
  <w:footnote w:id="153">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See T-150/89, GB Martinelly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1995</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II-1165, §65; </w:t>
      </w:r>
      <w:r w:rsidRPr="007A32C3">
        <w:rPr>
          <w:rFonts w:ascii="Times New Roman" w:hAnsi="Times New Roman" w:cs="Times New Roman"/>
          <w:sz w:val="20"/>
          <w:szCs w:val="20"/>
          <w:lang w:val="en-GB"/>
        </w:rPr>
        <w:t>C-367/95,</w:t>
      </w:r>
      <w:r w:rsidRPr="006E0306">
        <w:rPr>
          <w:rFonts w:ascii="Times New Roman" w:hAnsi="Times New Roman" w:cs="Times New Roman"/>
          <w:sz w:val="20"/>
          <w:szCs w:val="20"/>
          <w:lang w:val="en-GB"/>
        </w:rPr>
        <w:t xml:space="preserve"> P Commission v Sytraval and Brink’s France,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1998</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I-1179, §63.</w:t>
      </w:r>
    </w:p>
  </w:footnote>
  <w:footnote w:id="154">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Joined Cases </w:t>
      </w:r>
      <w:r w:rsidRPr="007A32C3">
        <w:rPr>
          <w:rFonts w:ascii="Times New Roman" w:hAnsi="Times New Roman" w:cs="Times New Roman"/>
          <w:sz w:val="20"/>
          <w:szCs w:val="20"/>
          <w:lang w:val="en-GB"/>
        </w:rPr>
        <w:t xml:space="preserve">8 to </w:t>
      </w:r>
      <w:r w:rsidRPr="00CD4E3B">
        <w:rPr>
          <w:rFonts w:ascii="Times New Roman" w:hAnsi="Times New Roman" w:cs="Times New Roman"/>
          <w:sz w:val="20"/>
          <w:szCs w:val="20"/>
          <w:lang w:val="en-GB"/>
        </w:rPr>
        <w:t xml:space="preserve">11-66, Société anonyme Cimenteries C.B.R. v Commission, [1967] ECR 93; T-62/98, Volkswagen AG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II-2707, §269.</w:t>
      </w:r>
    </w:p>
  </w:footnote>
  <w:footnote w:id="155">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A decision concerning the substance of the case will require more explanation than one based on procedural issues.</w:t>
      </w:r>
    </w:p>
  </w:footnote>
  <w:footnote w:id="156">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See C-46/87 and C-227/88, Hoechst v Commission, </w:t>
      </w:r>
      <w:r w:rsidRPr="007235C7">
        <w:rPr>
          <w:rFonts w:ascii="Times New Roman" w:hAnsi="Times New Roman" w:cs="Times New Roman"/>
          <w:sz w:val="20"/>
          <w:szCs w:val="20"/>
          <w:lang w:val="en-GB"/>
        </w:rPr>
        <w:sym w:font="Symbol" w:char="F05B"/>
      </w:r>
      <w:r w:rsidRPr="00246F56">
        <w:rPr>
          <w:rFonts w:ascii="Times New Roman" w:hAnsi="Times New Roman" w:cs="Times New Roman"/>
          <w:sz w:val="20"/>
          <w:szCs w:val="20"/>
          <w:lang w:val="en-US"/>
        </w:rPr>
        <w:t>1989</w:t>
      </w:r>
      <w:r w:rsidRPr="007235C7">
        <w:rPr>
          <w:rFonts w:ascii="Times New Roman" w:hAnsi="Times New Roman" w:cs="Times New Roman"/>
          <w:sz w:val="20"/>
          <w:szCs w:val="20"/>
          <w:lang w:val="en-GB"/>
        </w:rPr>
        <w:sym w:font="Symbol" w:char="F05D"/>
      </w:r>
      <w:r w:rsidRPr="00246F56">
        <w:rPr>
          <w:rFonts w:ascii="Times New Roman" w:hAnsi="Times New Roman" w:cs="Times New Roman"/>
          <w:sz w:val="20"/>
          <w:szCs w:val="20"/>
          <w:lang w:val="en-US"/>
        </w:rPr>
        <w:t xml:space="preserve"> ECR I-2859, §</w:t>
      </w:r>
      <w:r>
        <w:rPr>
          <w:rFonts w:ascii="Times New Roman" w:hAnsi="Times New Roman" w:cs="Times New Roman"/>
          <w:sz w:val="20"/>
          <w:szCs w:val="20"/>
          <w:lang w:val="en-US"/>
        </w:rPr>
        <w:t>§</w:t>
      </w:r>
      <w:r w:rsidRPr="00246F56">
        <w:rPr>
          <w:rFonts w:ascii="Times New Roman" w:hAnsi="Times New Roman" w:cs="Times New Roman"/>
          <w:sz w:val="20"/>
          <w:szCs w:val="20"/>
          <w:lang w:val="en-US"/>
        </w:rPr>
        <w:t xml:space="preserve">41-42; Case 73-74, Groupement des fabricants de papiers peints v Commission, </w:t>
      </w:r>
      <w:r w:rsidRPr="007235C7">
        <w:rPr>
          <w:rFonts w:ascii="Times New Roman" w:hAnsi="Times New Roman" w:cs="Times New Roman"/>
          <w:sz w:val="20"/>
          <w:szCs w:val="20"/>
          <w:lang w:val="en-GB"/>
        </w:rPr>
        <w:sym w:font="Symbol" w:char="F05B"/>
      </w:r>
      <w:r w:rsidRPr="00246F56">
        <w:rPr>
          <w:rFonts w:ascii="Times New Roman" w:hAnsi="Times New Roman" w:cs="Times New Roman"/>
          <w:sz w:val="20"/>
          <w:szCs w:val="20"/>
          <w:lang w:val="en-US"/>
        </w:rPr>
        <w:t>1975</w:t>
      </w:r>
      <w:r w:rsidRPr="007235C7">
        <w:rPr>
          <w:rFonts w:ascii="Times New Roman" w:hAnsi="Times New Roman" w:cs="Times New Roman"/>
          <w:sz w:val="20"/>
          <w:szCs w:val="20"/>
          <w:lang w:val="en-GB"/>
        </w:rPr>
        <w:sym w:font="Symbol" w:char="F05D"/>
      </w:r>
      <w:r w:rsidRPr="00246F56">
        <w:rPr>
          <w:rFonts w:ascii="Times New Roman" w:hAnsi="Times New Roman" w:cs="Times New Roman"/>
          <w:sz w:val="20"/>
          <w:szCs w:val="20"/>
          <w:lang w:val="en-US"/>
        </w:rPr>
        <w:t xml:space="preserve"> ECR 1491.</w:t>
      </w:r>
    </w:p>
  </w:footnote>
  <w:footnote w:id="157">
    <w:p w:rsidR="0081781C" w:rsidRPr="00055FAC"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w:t>
      </w:r>
      <w:r w:rsidRPr="007A32C3">
        <w:rPr>
          <w:rFonts w:ascii="Times New Roman" w:hAnsi="Times New Roman" w:cs="Times New Roman"/>
          <w:sz w:val="20"/>
          <w:szCs w:val="20"/>
          <w:lang w:val="en-GB"/>
        </w:rPr>
        <w:t>T-24/05 Alliance One International and others v Commission</w:t>
      </w:r>
      <w:r>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2010</w:t>
      </w:r>
      <w:r w:rsidRPr="007235C7">
        <w:rPr>
          <w:rFonts w:ascii="Times New Roman" w:hAnsi="Times New Roman" w:cs="Times New Roman"/>
          <w:sz w:val="20"/>
          <w:szCs w:val="20"/>
          <w:lang w:val="en-GB"/>
        </w:rPr>
        <w:sym w:font="Symbol" w:char="F05D"/>
      </w:r>
      <w:r>
        <w:rPr>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ECR</w:t>
      </w:r>
      <w:r w:rsidRPr="007235C7">
        <w:rPr>
          <w:rFonts w:ascii="Times New Roman" w:hAnsi="Times New Roman" w:cs="Times New Roman"/>
          <w:sz w:val="20"/>
          <w:szCs w:val="20"/>
          <w:lang w:val="en-GB"/>
        </w:rPr>
        <w:t xml:space="preserve"> II-5329, §14</w:t>
      </w:r>
      <w:r w:rsidRPr="00055FAC">
        <w:rPr>
          <w:rFonts w:ascii="Times New Roman" w:hAnsi="Times New Roman" w:cs="Times New Roman"/>
          <w:sz w:val="20"/>
          <w:szCs w:val="20"/>
          <w:lang w:val="en-GB"/>
        </w:rPr>
        <w:t xml:space="preserve">9; </w:t>
      </w:r>
      <w:r w:rsidRPr="00246F56">
        <w:rPr>
          <w:rFonts w:ascii="Times New Roman" w:hAnsi="Times New Roman" w:cs="Times New Roman"/>
          <w:sz w:val="20"/>
          <w:szCs w:val="20"/>
          <w:lang w:val="en-GB"/>
        </w:rPr>
        <w:t>T</w:t>
      </w:r>
      <w:r w:rsidRPr="00055FAC">
        <w:rPr>
          <w:rFonts w:ascii="Times New Roman" w:hAnsi="Times New Roman" w:cs="Times New Roman"/>
          <w:sz w:val="20"/>
          <w:szCs w:val="20"/>
          <w:lang w:val="en-GB"/>
        </w:rPr>
        <w:t>-117/07 and T-121/07</w:t>
      </w:r>
      <w:r w:rsidRPr="007A32C3">
        <w:rPr>
          <w:rFonts w:ascii="Times New Roman" w:hAnsi="Times New Roman" w:cs="Times New Roman"/>
          <w:sz w:val="20"/>
          <w:szCs w:val="20"/>
          <w:lang w:val="en-GB"/>
        </w:rPr>
        <w:t>,</w:t>
      </w:r>
      <w:r w:rsidRPr="006E0306">
        <w:rPr>
          <w:rFonts w:ascii="Times New Roman" w:hAnsi="Times New Roman" w:cs="Times New Roman"/>
          <w:sz w:val="20"/>
          <w:szCs w:val="20"/>
          <w:lang w:val="en-GB"/>
        </w:rPr>
        <w:t xml:space="preserve"> Areva and others v Commission</w:t>
      </w:r>
      <w:r w:rsidRPr="00CD4E3B">
        <w:rPr>
          <w:rFonts w:ascii="Times New Roman" w:hAnsi="Times New Roman" w:cs="Times New Roman"/>
          <w:sz w:val="20"/>
          <w:szCs w:val="20"/>
          <w:lang w:val="en-GB"/>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2011</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ECR II-633, §88.</w:t>
      </w:r>
    </w:p>
  </w:footnote>
  <w:footnote w:id="158">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7235C7">
        <w:rPr>
          <w:rStyle w:val="Appelnotedebasdep"/>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 xml:space="preserve">See </w:t>
      </w:r>
      <w:r w:rsidRPr="006E0306">
        <w:rPr>
          <w:rFonts w:ascii="Times New Roman" w:hAnsi="Times New Roman" w:cs="Times New Roman"/>
          <w:sz w:val="20"/>
          <w:szCs w:val="20"/>
          <w:lang w:val="en-GB"/>
        </w:rPr>
        <w:t>C-279/98 P</w:t>
      </w:r>
      <w:r w:rsidRPr="00CD4E3B">
        <w:rPr>
          <w:rFonts w:ascii="Times New Roman" w:hAnsi="Times New Roman" w:cs="Times New Roman"/>
          <w:sz w:val="20"/>
          <w:szCs w:val="20"/>
          <w:lang w:val="en-GB"/>
        </w:rPr>
        <w:t xml:space="preserve">, Cascades v Commission, ECR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2010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I-9693, §</w:t>
      </w:r>
      <w:r>
        <w:rPr>
          <w:rFonts w:ascii="Times New Roman" w:hAnsi="Times New Roman" w:cs="Times New Roman"/>
          <w:sz w:val="20"/>
          <w:szCs w:val="20"/>
          <w:lang w:val="en-GB"/>
        </w:rPr>
        <w:t>§</w:t>
      </w:r>
      <w:r w:rsidRPr="007235C7">
        <w:rPr>
          <w:rFonts w:ascii="Times New Roman" w:hAnsi="Times New Roman" w:cs="Times New Roman"/>
          <w:sz w:val="20"/>
          <w:szCs w:val="20"/>
          <w:lang w:val="en-GB"/>
        </w:rPr>
        <w:t>38-47</w:t>
      </w:r>
    </w:p>
  </w:footnote>
  <w:footnote w:id="159">
    <w:p w:rsidR="0081781C" w:rsidRPr="00055FAC"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 </w:t>
      </w:r>
      <w:r w:rsidRPr="007A32C3">
        <w:rPr>
          <w:rFonts w:ascii="Times New Roman" w:hAnsi="Times New Roman" w:cs="Times New Roman"/>
          <w:sz w:val="20"/>
          <w:szCs w:val="20"/>
          <w:lang w:val="en-GB"/>
        </w:rPr>
        <w:t>T-</w:t>
      </w:r>
      <w:r w:rsidRPr="006E0306">
        <w:rPr>
          <w:rFonts w:ascii="Times New Roman" w:hAnsi="Times New Roman" w:cs="Times New Roman"/>
          <w:sz w:val="20"/>
          <w:szCs w:val="20"/>
          <w:lang w:val="en-GB"/>
        </w:rPr>
        <w:t xml:space="preserve">220/00, Cheil Jedang Corp. </w:t>
      </w:r>
      <w:r w:rsidRPr="00246F56">
        <w:rPr>
          <w:rFonts w:ascii="Times New Roman" w:hAnsi="Times New Roman" w:cs="Times New Roman"/>
          <w:sz w:val="20"/>
          <w:szCs w:val="20"/>
          <w:lang w:val="en-US"/>
        </w:rPr>
        <w:t xml:space="preserve">V Commission, </w:t>
      </w:r>
      <w:r w:rsidRPr="007235C7">
        <w:rPr>
          <w:rFonts w:ascii="Times New Roman" w:hAnsi="Times New Roman" w:cs="Times New Roman"/>
          <w:sz w:val="20"/>
          <w:szCs w:val="20"/>
          <w:lang w:val="en-GB"/>
        </w:rPr>
        <w:sym w:font="Symbol" w:char="F05B"/>
      </w:r>
      <w:r w:rsidRPr="00246F56">
        <w:rPr>
          <w:rFonts w:ascii="Times New Roman" w:hAnsi="Times New Roman" w:cs="Times New Roman"/>
          <w:sz w:val="20"/>
          <w:szCs w:val="20"/>
          <w:lang w:val="en-US"/>
        </w:rPr>
        <w:t>2003</w:t>
      </w:r>
      <w:r w:rsidRPr="007235C7">
        <w:rPr>
          <w:rFonts w:ascii="Times New Roman" w:hAnsi="Times New Roman" w:cs="Times New Roman"/>
          <w:sz w:val="20"/>
          <w:szCs w:val="20"/>
          <w:lang w:val="en-GB"/>
        </w:rPr>
        <w:sym w:font="Symbol" w:char="F05D"/>
      </w:r>
      <w:r w:rsidRPr="00246F56">
        <w:rPr>
          <w:rFonts w:ascii="Times New Roman" w:hAnsi="Times New Roman" w:cs="Times New Roman"/>
          <w:sz w:val="20"/>
          <w:szCs w:val="20"/>
          <w:lang w:val="en-US"/>
        </w:rPr>
        <w:t xml:space="preserve"> ECR II-2473, §218; Joined cases T-236/01, 239/01, T-244/01- T 246/01, T-251/01 and T-252/01, Tokai Carbon Co. </w:t>
      </w:r>
      <w:r w:rsidRPr="007235C7">
        <w:rPr>
          <w:rFonts w:ascii="Times New Roman" w:hAnsi="Times New Roman" w:cs="Times New Roman"/>
          <w:sz w:val="20"/>
          <w:szCs w:val="20"/>
          <w:lang w:val="en-GB"/>
        </w:rPr>
        <w:t xml:space="preserve">Ltd and others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2004</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ECR</w:t>
      </w:r>
      <w:r w:rsidRPr="006E0306">
        <w:rPr>
          <w:rFonts w:ascii="Times New Roman" w:hAnsi="Times New Roman" w:cs="Times New Roman"/>
          <w:sz w:val="20"/>
          <w:szCs w:val="20"/>
          <w:lang w:val="en-GB"/>
        </w:rPr>
        <w:t xml:space="preserve"> </w:t>
      </w:r>
      <w:r w:rsidRPr="00055FAC">
        <w:rPr>
          <w:rFonts w:ascii="Times New Roman" w:hAnsi="Times New Roman" w:cs="Times New Roman"/>
          <w:sz w:val="20"/>
          <w:szCs w:val="20"/>
          <w:lang w:val="en-GB"/>
        </w:rPr>
        <w:t>II-1181, §252.</w:t>
      </w:r>
    </w:p>
  </w:footnote>
  <w:footnote w:id="160">
    <w:p w:rsidR="0081781C" w:rsidRPr="007D6DD4" w:rsidRDefault="0081781C" w:rsidP="00246F56">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See </w:t>
      </w:r>
      <w:r w:rsidRPr="007D6DD4">
        <w:rPr>
          <w:rStyle w:val="lev"/>
          <w:rFonts w:ascii="Times New Roman" w:hAnsi="Times New Roman" w:cs="Times New Roman"/>
          <w:b w:val="0"/>
          <w:sz w:val="20"/>
          <w:szCs w:val="20"/>
          <w:lang w:val="en-GB"/>
        </w:rPr>
        <w:t>T-24/90, Automec v Commission, [1992]</w:t>
      </w:r>
      <w:r w:rsidRPr="007D6DD4">
        <w:rPr>
          <w:rFonts w:ascii="Times New Roman" w:hAnsi="Times New Roman" w:cs="Times New Roman"/>
          <w:bCs/>
          <w:sz w:val="20"/>
          <w:szCs w:val="20"/>
          <w:lang w:val="en-GB"/>
        </w:rPr>
        <w:t xml:space="preserve"> </w:t>
      </w:r>
      <w:r w:rsidRPr="007D6DD4">
        <w:rPr>
          <w:rFonts w:ascii="Times New Roman" w:hAnsi="Times New Roman" w:cs="Times New Roman"/>
          <w:iCs/>
          <w:sz w:val="20"/>
          <w:szCs w:val="20"/>
          <w:lang w:val="en-GB"/>
        </w:rPr>
        <w:t>ECR II-02223</w:t>
      </w:r>
      <w:r w:rsidRPr="007D6DD4">
        <w:rPr>
          <w:rFonts w:ascii="Times New Roman" w:hAnsi="Times New Roman" w:cs="Times New Roman"/>
          <w:i/>
          <w:iCs/>
          <w:sz w:val="20"/>
          <w:szCs w:val="20"/>
          <w:lang w:val="en-GB"/>
        </w:rPr>
        <w:t>.</w:t>
      </w:r>
    </w:p>
  </w:footnote>
  <w:footnote w:id="161">
    <w:p w:rsidR="0081781C" w:rsidRPr="007D6DD4" w:rsidRDefault="0081781C" w:rsidP="00B94512">
      <w:pPr>
        <w:pStyle w:val="Notedebasdepage"/>
        <w:jc w:val="both"/>
        <w:rPr>
          <w:rFonts w:ascii="Times New Roman" w:hAnsi="Times New Roman" w:cs="Times New Roman"/>
          <w:sz w:val="20"/>
          <w:szCs w:val="20"/>
          <w:lang w:val="en-GB"/>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See </w:t>
      </w:r>
      <w:r w:rsidRPr="007D6DD4">
        <w:rPr>
          <w:rStyle w:val="lev"/>
          <w:rFonts w:ascii="Times New Roman" w:hAnsi="Times New Roman" w:cs="Times New Roman"/>
          <w:b w:val="0"/>
          <w:sz w:val="20"/>
          <w:szCs w:val="20"/>
          <w:lang w:val="en-GB"/>
        </w:rPr>
        <w:t>C-450/98 P, IECC v Commission,</w:t>
      </w:r>
      <w:r w:rsidRPr="007D6DD4">
        <w:rPr>
          <w:rStyle w:val="lev"/>
          <w:rFonts w:ascii="Times New Roman" w:hAnsi="Times New Roman" w:cs="Times New Roman"/>
          <w:sz w:val="20"/>
          <w:szCs w:val="20"/>
          <w:lang w:val="en-GB"/>
        </w:rPr>
        <w:t xml:space="preserve"> </w:t>
      </w:r>
      <w:r w:rsidRPr="007D6DD4">
        <w:rPr>
          <w:rStyle w:val="Accentuation"/>
          <w:rFonts w:ascii="Times New Roman" w:hAnsi="Times New Roman" w:cs="Times New Roman"/>
          <w:i w:val="0"/>
          <w:sz w:val="20"/>
          <w:szCs w:val="20"/>
          <w:lang w:val="en-GB"/>
        </w:rPr>
        <w:t>[2001] ECR, I-03947, §84.</w:t>
      </w:r>
    </w:p>
  </w:footnote>
  <w:footnote w:id="162">
    <w:p w:rsidR="0081781C" w:rsidRPr="007D6DD4" w:rsidRDefault="0081781C" w:rsidP="004E08B1">
      <w:pPr>
        <w:pStyle w:val="Notedebasdepage"/>
        <w:jc w:val="both"/>
        <w:rPr>
          <w:sz w:val="20"/>
          <w:lang w:val="en-GB"/>
        </w:rPr>
      </w:pPr>
      <w:r w:rsidRPr="004E08B1">
        <w:rPr>
          <w:rStyle w:val="Appelnotedebasdep"/>
          <w:sz w:val="20"/>
        </w:rPr>
        <w:footnoteRef/>
      </w:r>
      <w:r w:rsidRPr="007D6DD4">
        <w:rPr>
          <w:sz w:val="20"/>
          <w:lang w:val="en-GB"/>
        </w:rPr>
        <w:t xml:space="preserve"> </w:t>
      </w:r>
      <w:r w:rsidRPr="004E08B1">
        <w:rPr>
          <w:rFonts w:ascii="Times New Roman" w:eastAsia="Times New Roman" w:hAnsi="Times New Roman" w:cs="Times New Roman"/>
          <w:iCs/>
          <w:sz w:val="20"/>
          <w:lang w:val="en-GB" w:eastAsia="fr-BE"/>
        </w:rPr>
        <w:t>An often-heard joke in Brussels is that it is so discretionarily easy for the Commission to reject a complaint, that the drafting of such decisions is delegated to young trainees that have just left the law school.</w:t>
      </w:r>
    </w:p>
  </w:footnote>
  <w:footnote w:id="163">
    <w:p w:rsidR="0081781C" w:rsidRPr="007D6DD4" w:rsidRDefault="0081781C" w:rsidP="004E08B1">
      <w:pPr>
        <w:pStyle w:val="Notedebasdepage"/>
        <w:jc w:val="both"/>
        <w:rPr>
          <w:rFonts w:ascii="Times New Roman" w:hAnsi="Times New Roman" w:cs="Times New Roman"/>
          <w:sz w:val="20"/>
          <w:szCs w:val="20"/>
          <w:lang w:val="fr-BE"/>
        </w:rPr>
      </w:pPr>
      <w:r w:rsidRPr="004E08B1">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fr-BE"/>
        </w:rPr>
        <w:t xml:space="preserve"> Case 73/74 Groupement des fabricants de papiers peints de </w:t>
      </w:r>
      <w:r w:rsidR="009F0974" w:rsidRPr="007D6DD4">
        <w:rPr>
          <w:rFonts w:ascii="Times New Roman" w:hAnsi="Times New Roman" w:cs="Times New Roman"/>
          <w:sz w:val="20"/>
          <w:szCs w:val="20"/>
          <w:lang w:val="fr-BE"/>
        </w:rPr>
        <w:t xml:space="preserve">Belgique </w:t>
      </w:r>
      <w:r w:rsidRPr="007D6DD4">
        <w:rPr>
          <w:rFonts w:ascii="Times New Roman" w:hAnsi="Times New Roman" w:cs="Times New Roman"/>
          <w:sz w:val="20"/>
          <w:szCs w:val="20"/>
          <w:lang w:val="fr-BE"/>
        </w:rPr>
        <w:t>and Others v Commission, [1975] ECR 1491, §31.</w:t>
      </w:r>
    </w:p>
  </w:footnote>
  <w:footnote w:id="164">
    <w:p w:rsidR="0081781C" w:rsidRPr="007D6DD4" w:rsidRDefault="0081781C" w:rsidP="00B94512">
      <w:pPr>
        <w:pStyle w:val="Notedebasdepage"/>
        <w:jc w:val="both"/>
        <w:rPr>
          <w:rFonts w:ascii="Times New Roman" w:hAnsi="Times New Roman" w:cs="Times New Roman"/>
          <w:sz w:val="20"/>
          <w:szCs w:val="20"/>
          <w:lang w:val="fr-BE"/>
        </w:rPr>
      </w:pPr>
      <w:r w:rsidRPr="00B94512">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fr-BE"/>
        </w:rPr>
        <w:t xml:space="preserve"> See </w:t>
      </w:r>
      <w:r w:rsidRPr="007D6DD4">
        <w:rPr>
          <w:rStyle w:val="lev"/>
          <w:rFonts w:ascii="Times New Roman" w:hAnsi="Times New Roman" w:cs="Times New Roman"/>
          <w:b w:val="0"/>
          <w:sz w:val="20"/>
          <w:szCs w:val="20"/>
          <w:lang w:val="fr-BE"/>
        </w:rPr>
        <w:t>Case 73-74, Groupement des fabricants de papiers peints de Belgique and Others v Commission, [</w:t>
      </w:r>
      <w:r w:rsidRPr="007D6DD4">
        <w:rPr>
          <w:rStyle w:val="Accentuation"/>
          <w:rFonts w:ascii="Times New Roman" w:hAnsi="Times New Roman" w:cs="Times New Roman"/>
          <w:i w:val="0"/>
          <w:sz w:val="20"/>
          <w:szCs w:val="20"/>
          <w:lang w:val="fr-BE"/>
        </w:rPr>
        <w:t>1975], ECR, 1491</w:t>
      </w:r>
      <w:r w:rsidRPr="007D6DD4">
        <w:rPr>
          <w:rFonts w:ascii="Times New Roman" w:hAnsi="Times New Roman" w:cs="Times New Roman"/>
          <w:iCs/>
          <w:sz w:val="20"/>
          <w:szCs w:val="20"/>
          <w:lang w:val="fr-BE"/>
        </w:rPr>
        <w:t xml:space="preserve">, §§30 and ff. </w:t>
      </w:r>
    </w:p>
  </w:footnote>
  <w:footnote w:id="165">
    <w:p w:rsidR="0081781C" w:rsidRPr="00246F56" w:rsidRDefault="0081781C" w:rsidP="007235C7">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 xml:space="preserve">See </w:t>
      </w:r>
      <w:r w:rsidRPr="007A32C3">
        <w:rPr>
          <w:rFonts w:ascii="Times New Roman" w:hAnsi="Times New Roman" w:cs="Times New Roman"/>
          <w:sz w:val="20"/>
          <w:szCs w:val="20"/>
          <w:lang w:val="en-GB"/>
        </w:rPr>
        <w:t>T-115/94</w:t>
      </w:r>
      <w:r w:rsidRPr="006E0306">
        <w:rPr>
          <w:rFonts w:ascii="Times New Roman" w:hAnsi="Times New Roman" w:cs="Times New Roman"/>
          <w:sz w:val="20"/>
          <w:szCs w:val="20"/>
          <w:lang w:val="en-GB"/>
        </w:rPr>
        <w:t>,</w:t>
      </w:r>
      <w:r w:rsidRPr="00CD4E3B">
        <w:rPr>
          <w:rFonts w:ascii="Times New Roman" w:hAnsi="Times New Roman" w:cs="Times New Roman"/>
          <w:sz w:val="20"/>
          <w:szCs w:val="20"/>
          <w:lang w:val="en-GB"/>
        </w:rPr>
        <w:t xml:space="preserve"> Opel Austria GmbH v Council,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II-39, §</w:t>
      </w:r>
      <w:r w:rsidRPr="007A32C3">
        <w:rPr>
          <w:rFonts w:ascii="Times New Roman" w:hAnsi="Times New Roman" w:cs="Times New Roman"/>
          <w:sz w:val="20"/>
          <w:szCs w:val="20"/>
          <w:lang w:val="en-GB"/>
        </w:rPr>
        <w:t>93.</w:t>
      </w:r>
    </w:p>
  </w:footnote>
  <w:footnote w:id="166">
    <w:p w:rsidR="0081781C" w:rsidRPr="00246F56" w:rsidRDefault="0081781C" w:rsidP="006E0306">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See</w:t>
      </w:r>
      <w:r w:rsidRPr="007A32C3">
        <w:rPr>
          <w:rFonts w:ascii="Times New Roman" w:hAnsi="Times New Roman" w:cs="Times New Roman"/>
          <w:sz w:val="20"/>
          <w:szCs w:val="20"/>
          <w:lang w:val="en-GB"/>
        </w:rPr>
        <w:t xml:space="preserve"> T-29/05,</w:t>
      </w:r>
      <w:r w:rsidRPr="006E0306">
        <w:rPr>
          <w:rFonts w:ascii="Times New Roman" w:hAnsi="Times New Roman" w:cs="Times New Roman"/>
          <w:sz w:val="20"/>
          <w:szCs w:val="20"/>
          <w:lang w:val="en-GB"/>
        </w:rPr>
        <w:t xml:space="preserve"> Deltafina SpA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2010</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II-4077, §427</w:t>
      </w:r>
      <w:r>
        <w:rPr>
          <w:rFonts w:ascii="Times New Roman" w:hAnsi="Times New Roman" w:cs="Times New Roman"/>
          <w:sz w:val="20"/>
          <w:szCs w:val="20"/>
          <w:lang w:val="en-GB"/>
        </w:rPr>
        <w:t>;</w:t>
      </w:r>
      <w:r w:rsidRPr="006E0306">
        <w:rPr>
          <w:rFonts w:ascii="Times New Roman" w:hAnsi="Times New Roman" w:cs="Times New Roman"/>
          <w:sz w:val="20"/>
          <w:szCs w:val="20"/>
          <w:lang w:val="en-GB"/>
        </w:rPr>
        <w:t xml:space="preserve"> T-13/03 Nintendo Co Ltd, Nintendo Europe GMBH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II-975, §</w:t>
      </w:r>
      <w:r w:rsidRPr="00055FAC">
        <w:rPr>
          <w:rFonts w:ascii="Times New Roman" w:hAnsi="Times New Roman" w:cs="Times New Roman"/>
          <w:sz w:val="20"/>
          <w:szCs w:val="20"/>
          <w:lang w:val="en-GB"/>
        </w:rPr>
        <w:t>§</w:t>
      </w:r>
      <w:r w:rsidRPr="007A32C3">
        <w:rPr>
          <w:rFonts w:ascii="Times New Roman" w:hAnsi="Times New Roman" w:cs="Times New Roman"/>
          <w:sz w:val="20"/>
          <w:szCs w:val="20"/>
          <w:lang w:val="en-GB"/>
        </w:rPr>
        <w:t xml:space="preserve">202 </w:t>
      </w:r>
      <w:r>
        <w:rPr>
          <w:rFonts w:ascii="Times New Roman" w:hAnsi="Times New Roman" w:cs="Times New Roman"/>
          <w:sz w:val="20"/>
          <w:szCs w:val="20"/>
          <w:lang w:val="en-GB"/>
        </w:rPr>
        <w:t>and ff.</w:t>
      </w:r>
      <w:r w:rsidRPr="007A32C3">
        <w:rPr>
          <w:rFonts w:ascii="Times New Roman" w:hAnsi="Times New Roman" w:cs="Times New Roman"/>
          <w:sz w:val="20"/>
          <w:szCs w:val="20"/>
          <w:lang w:val="en-GB"/>
        </w:rPr>
        <w:t>.</w:t>
      </w:r>
    </w:p>
  </w:footnote>
  <w:footnote w:id="167">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See</w:t>
      </w:r>
      <w:r w:rsidRPr="007A32C3">
        <w:rPr>
          <w:rFonts w:ascii="Times New Roman" w:hAnsi="Times New Roman" w:cs="Times New Roman"/>
          <w:sz w:val="20"/>
          <w:szCs w:val="20"/>
          <w:lang w:val="en-GB"/>
        </w:rPr>
        <w:t xml:space="preserve"> T-190/95 and T-45/96 Sodima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II-3617, §25;</w:t>
      </w:r>
      <w:r w:rsidRPr="007A32C3">
        <w:rPr>
          <w:rFonts w:ascii="Times New Roman" w:hAnsi="Times New Roman" w:cs="Times New Roman"/>
          <w:sz w:val="20"/>
          <w:szCs w:val="20"/>
          <w:lang w:val="en-GB"/>
        </w:rPr>
        <w:t xml:space="preserve"> T-195/95 P Guérin Automobiles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1996</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II-679, §20;</w:t>
      </w:r>
      <w:r w:rsidRPr="00055FAC">
        <w:rPr>
          <w:rFonts w:ascii="Times New Roman" w:hAnsi="Times New Roman" w:cs="Times New Roman"/>
          <w:sz w:val="20"/>
          <w:szCs w:val="20"/>
          <w:lang w:val="en-GB"/>
        </w:rPr>
        <w:t xml:space="preserve"> </w:t>
      </w:r>
      <w:r w:rsidRPr="007A32C3">
        <w:rPr>
          <w:rFonts w:ascii="Times New Roman" w:hAnsi="Times New Roman" w:cs="Times New Roman"/>
          <w:sz w:val="20"/>
          <w:szCs w:val="20"/>
          <w:lang w:val="en-GB"/>
        </w:rPr>
        <w:t>T-213/95 and</w:t>
      </w:r>
      <w:r w:rsidRPr="00CD4E3B">
        <w:rPr>
          <w:rFonts w:ascii="Times New Roman" w:hAnsi="Times New Roman" w:cs="Times New Roman"/>
          <w:sz w:val="20"/>
          <w:szCs w:val="20"/>
          <w:lang w:val="en-GB"/>
        </w:rPr>
        <w:t xml:space="preserve"> T-18/96 SCK FNK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1997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II-1739, §83.</w:t>
      </w:r>
    </w:p>
  </w:footnote>
  <w:footnote w:id="168">
    <w:p w:rsidR="0081781C" w:rsidRPr="007235C7" w:rsidRDefault="0081781C">
      <w:pPr>
        <w:pStyle w:val="Notedebasdepage"/>
        <w:jc w:val="both"/>
        <w:rPr>
          <w:rFonts w:ascii="Times New Roman" w:hAnsi="Times New Roman" w:cs="Times New Roman"/>
          <w:sz w:val="20"/>
          <w:szCs w:val="20"/>
          <w:lang w:val="en-GB"/>
        </w:rPr>
      </w:pPr>
      <w:r w:rsidRPr="007235C7">
        <w:rPr>
          <w:rStyle w:val="Appelnotedebasdep"/>
          <w:rFonts w:ascii="Times New Roman" w:hAnsi="Times New Roman" w:cs="Times New Roman"/>
          <w:sz w:val="20"/>
          <w:szCs w:val="20"/>
          <w:lang w:val="en-GB"/>
        </w:rPr>
        <w:footnoteRef/>
      </w:r>
      <w:r w:rsidRPr="007235C7">
        <w:rPr>
          <w:rFonts w:ascii="Times New Roman" w:hAnsi="Times New Roman" w:cs="Times New Roman"/>
          <w:sz w:val="20"/>
          <w:szCs w:val="20"/>
          <w:lang w:val="en-GB"/>
        </w:rPr>
        <w:t xml:space="preserve"> See</w:t>
      </w:r>
      <w:r w:rsidRPr="007A32C3">
        <w:rPr>
          <w:rFonts w:ascii="Times New Roman" w:hAnsi="Times New Roman" w:cs="Times New Roman"/>
          <w:sz w:val="20"/>
          <w:szCs w:val="20"/>
          <w:lang w:val="en-GB"/>
        </w:rPr>
        <w:t xml:space="preserve"> T-65/98, Van den Bergh Foods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2003</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II-4653, §192.</w:t>
      </w:r>
    </w:p>
  </w:footnote>
  <w:footnote w:id="169">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t>See Joined Cases C-181/86 to 184/86, Del Plato and Others v Commission</w:t>
      </w:r>
      <w:r w:rsidRPr="00246F56">
        <w:rPr>
          <w:rFonts w:ascii="Times New Roman" w:hAnsi="Times New Roman" w:cs="Times New Roman"/>
          <w:sz w:val="20"/>
          <w:szCs w:val="20"/>
          <w:lang w:val="en-US"/>
        </w:rPr>
        <w:t xml:space="preserve">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1987</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4991, §10; Joined Cases C-189/02 P, 202/02 P, 205/02 P – 208 /02 P and C-213/02 P,</w:t>
      </w:r>
      <w:r w:rsidRPr="006E0306">
        <w:rPr>
          <w:rFonts w:ascii="Times New Roman" w:hAnsi="Times New Roman" w:cs="Times New Roman"/>
          <w:sz w:val="20"/>
          <w:szCs w:val="20"/>
          <w:lang w:val="en-GB"/>
        </w:rPr>
        <w:t xml:space="preserve"> Dansk Rorindustri A/S v Commission,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2005</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I-5425, §</w:t>
      </w:r>
      <w:r w:rsidRPr="00055FAC">
        <w:rPr>
          <w:rFonts w:ascii="Times New Roman" w:hAnsi="Times New Roman" w:cs="Times New Roman"/>
          <w:sz w:val="20"/>
          <w:szCs w:val="20"/>
          <w:lang w:val="en-GB"/>
        </w:rPr>
        <w:t>§</w:t>
      </w:r>
      <w:r w:rsidRPr="007A32C3">
        <w:rPr>
          <w:rFonts w:ascii="Times New Roman" w:hAnsi="Times New Roman" w:cs="Times New Roman"/>
          <w:sz w:val="20"/>
          <w:szCs w:val="20"/>
          <w:lang w:val="en-GB"/>
        </w:rPr>
        <w:t xml:space="preserve">209-211; C-397/03 P, Archer Daniels Midland and Archer Daniels Midlands Ingredients v Commission, ECR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2006</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I-4429, §91.</w:t>
      </w:r>
    </w:p>
  </w:footnote>
  <w:footnote w:id="170">
    <w:p w:rsidR="0081781C" w:rsidRPr="004E08B1"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4E08B1">
        <w:rPr>
          <w:rFonts w:ascii="Times New Roman" w:hAnsi="Times New Roman" w:cs="Times New Roman"/>
          <w:sz w:val="20"/>
          <w:szCs w:val="20"/>
          <w:lang w:val="en-US"/>
        </w:rPr>
        <w:t xml:space="preserve"> See </w:t>
      </w:r>
      <w:r w:rsidRPr="004E08B1">
        <w:rPr>
          <w:rFonts w:ascii="Times New Roman" w:hAnsi="Times New Roman" w:cs="Times New Roman"/>
          <w:i/>
          <w:sz w:val="20"/>
          <w:szCs w:val="20"/>
          <w:lang w:val="en-US"/>
        </w:rPr>
        <w:t>Ibid</w:t>
      </w:r>
      <w:r w:rsidRPr="004E08B1">
        <w:rPr>
          <w:rFonts w:ascii="Times New Roman" w:hAnsi="Times New Roman" w:cs="Times New Roman"/>
          <w:sz w:val="20"/>
          <w:szCs w:val="20"/>
          <w:lang w:val="en-US"/>
        </w:rPr>
        <w:t>.</w:t>
      </w:r>
    </w:p>
  </w:footnote>
  <w:footnote w:id="171">
    <w:p w:rsidR="0081781C" w:rsidRPr="00246F56" w:rsidRDefault="0081781C">
      <w:pPr>
        <w:pStyle w:val="Notedebasdepage"/>
        <w:jc w:val="both"/>
        <w:rPr>
          <w:rFonts w:ascii="Times New Roman" w:hAnsi="Times New Roman" w:cs="Times New Roman"/>
          <w:sz w:val="20"/>
          <w:szCs w:val="20"/>
          <w:lang w:val="en-US"/>
        </w:rPr>
      </w:pPr>
      <w:r w:rsidRPr="007235C7">
        <w:rPr>
          <w:rStyle w:val="Appelnotedebasdep"/>
          <w:rFonts w:ascii="Times New Roman" w:hAnsi="Times New Roman" w:cs="Times New Roman"/>
          <w:sz w:val="20"/>
          <w:szCs w:val="20"/>
          <w:lang w:val="en-GB"/>
        </w:rPr>
        <w:footnoteRef/>
      </w:r>
      <w:r w:rsidRPr="004E08B1">
        <w:rPr>
          <w:rFonts w:ascii="Times New Roman" w:hAnsi="Times New Roman" w:cs="Times New Roman"/>
          <w:sz w:val="20"/>
          <w:szCs w:val="20"/>
          <w:lang w:val="en-US"/>
        </w:rPr>
        <w:t xml:space="preserve"> See T-7/89, SA Hercules Chemicals NV v Commission, </w:t>
      </w:r>
      <w:r w:rsidRPr="007235C7">
        <w:rPr>
          <w:rFonts w:ascii="Times New Roman" w:hAnsi="Times New Roman" w:cs="Times New Roman"/>
          <w:sz w:val="20"/>
          <w:szCs w:val="20"/>
          <w:lang w:val="en-GB"/>
        </w:rPr>
        <w:sym w:font="Symbol" w:char="F05B"/>
      </w:r>
      <w:r w:rsidRPr="004E08B1">
        <w:rPr>
          <w:rFonts w:ascii="Times New Roman" w:hAnsi="Times New Roman" w:cs="Times New Roman"/>
          <w:sz w:val="20"/>
          <w:szCs w:val="20"/>
          <w:lang w:val="en-US"/>
        </w:rPr>
        <w:t>1991</w:t>
      </w:r>
      <w:r w:rsidRPr="007235C7">
        <w:rPr>
          <w:rFonts w:ascii="Times New Roman" w:hAnsi="Times New Roman" w:cs="Times New Roman"/>
          <w:sz w:val="20"/>
          <w:szCs w:val="20"/>
          <w:lang w:val="en-GB"/>
        </w:rPr>
        <w:sym w:font="Symbol" w:char="F05D"/>
      </w:r>
      <w:r w:rsidRPr="004E08B1">
        <w:rPr>
          <w:rFonts w:ascii="Times New Roman" w:hAnsi="Times New Roman" w:cs="Times New Roman"/>
          <w:sz w:val="20"/>
          <w:szCs w:val="20"/>
          <w:lang w:val="en-US"/>
        </w:rPr>
        <w:t xml:space="preserve"> ECR II-1711. </w:t>
      </w:r>
      <w:r w:rsidRPr="007D6DD4">
        <w:rPr>
          <w:rStyle w:val="Accentuation"/>
          <w:rFonts w:ascii="Times New Roman" w:hAnsi="Times New Roman" w:cs="Times New Roman"/>
          <w:i w:val="0"/>
          <w:sz w:val="20"/>
          <w:szCs w:val="20"/>
          <w:lang w:val="en-GB"/>
        </w:rPr>
        <w:t>The GC however dismissed the application for annulment, because on the facts, access to file had been effectively given.</w:t>
      </w:r>
    </w:p>
  </w:footnote>
  <w:footnote w:id="172">
    <w:p w:rsidR="0081781C" w:rsidRPr="00246F56" w:rsidRDefault="0081781C" w:rsidP="00246F56">
      <w:pPr>
        <w:pStyle w:val="Notedebasdepage"/>
        <w:jc w:val="both"/>
        <w:rPr>
          <w:rFonts w:ascii="Times New Roman" w:hAnsi="Times New Roman" w:cs="Times New Roman"/>
          <w:sz w:val="20"/>
          <w:szCs w:val="20"/>
          <w:lang w:val="en-US"/>
        </w:rPr>
      </w:pPr>
      <w:r w:rsidRPr="00246F56">
        <w:rPr>
          <w:rStyle w:val="Appelnotedebasdep"/>
          <w:rFonts w:ascii="Times New Roman" w:hAnsi="Times New Roman" w:cs="Times New Roman"/>
          <w:sz w:val="20"/>
          <w:szCs w:val="20"/>
        </w:rPr>
        <w:footnoteRef/>
      </w:r>
      <w:r w:rsidRPr="007D6DD4">
        <w:rPr>
          <w:rFonts w:ascii="Times New Roman" w:hAnsi="Times New Roman" w:cs="Times New Roman"/>
          <w:sz w:val="20"/>
          <w:szCs w:val="20"/>
          <w:lang w:val="en-GB"/>
        </w:rPr>
        <w:t xml:space="preserve"> See </w:t>
      </w:r>
      <w:r w:rsidRPr="007D6DD4">
        <w:rPr>
          <w:rStyle w:val="lev"/>
          <w:rFonts w:ascii="Times New Roman" w:hAnsi="Times New Roman" w:cs="Times New Roman"/>
          <w:b w:val="0"/>
          <w:sz w:val="20"/>
          <w:szCs w:val="20"/>
          <w:lang w:val="en-GB"/>
        </w:rPr>
        <w:t xml:space="preserve">Case 148-73, Louwage v Commission, [1974] </w:t>
      </w:r>
      <w:r w:rsidRPr="007D6DD4">
        <w:rPr>
          <w:rStyle w:val="Accentuation"/>
          <w:rFonts w:ascii="Times New Roman" w:hAnsi="Times New Roman" w:cs="Times New Roman"/>
          <w:i w:val="0"/>
          <w:sz w:val="20"/>
          <w:szCs w:val="20"/>
          <w:lang w:val="en-GB"/>
        </w:rPr>
        <w:t>ECR, 00081</w:t>
      </w:r>
      <w:r w:rsidRPr="007D6DD4">
        <w:rPr>
          <w:rFonts w:ascii="Times New Roman" w:hAnsi="Times New Roman" w:cs="Times New Roman"/>
          <w:iCs/>
          <w:sz w:val="20"/>
          <w:szCs w:val="20"/>
          <w:lang w:val="en-GB"/>
        </w:rPr>
        <w:t>, §12</w:t>
      </w:r>
      <w:r w:rsidRPr="007D6DD4">
        <w:rPr>
          <w:rFonts w:ascii="Times New Roman" w:hAnsi="Times New Roman" w:cs="Times New Roman"/>
          <w:i/>
          <w:iCs/>
          <w:sz w:val="20"/>
          <w:szCs w:val="20"/>
          <w:lang w:val="en-GB"/>
        </w:rPr>
        <w:t xml:space="preserve">; </w:t>
      </w:r>
      <w:r>
        <w:rPr>
          <w:rFonts w:ascii="Times New Roman" w:hAnsi="Times New Roman" w:cs="Times New Roman"/>
          <w:sz w:val="20"/>
          <w:szCs w:val="20"/>
          <w:lang w:val="en-GB"/>
        </w:rPr>
        <w:t xml:space="preserve">C-189/02 P, </w:t>
      </w:r>
      <w:r w:rsidRPr="00961F25">
        <w:rPr>
          <w:rFonts w:ascii="Times New Roman" w:hAnsi="Times New Roman" w:cs="Times New Roman"/>
          <w:sz w:val="20"/>
          <w:szCs w:val="20"/>
          <w:lang w:val="en-GB"/>
        </w:rPr>
        <w:t>Dansk Rø</w:t>
      </w:r>
      <w:r>
        <w:rPr>
          <w:rFonts w:ascii="Times New Roman" w:hAnsi="Times New Roman" w:cs="Times New Roman"/>
          <w:sz w:val="20"/>
          <w:szCs w:val="20"/>
          <w:lang w:val="en-GB"/>
        </w:rPr>
        <w:t>rindustri and Others v Commission</w:t>
      </w:r>
      <w:r w:rsidRPr="00961F25">
        <w:rPr>
          <w:rFonts w:ascii="Times New Roman" w:hAnsi="Times New Roman" w:cs="Times New Roman"/>
          <w:sz w:val="20"/>
          <w:szCs w:val="20"/>
          <w:lang w:val="en-GB"/>
        </w:rPr>
        <w:t xml:space="preserve">, </w:t>
      </w:r>
      <w:r>
        <w:rPr>
          <w:rFonts w:ascii="Times New Roman" w:hAnsi="Times New Roman" w:cs="Times New Roman"/>
          <w:sz w:val="20"/>
          <w:szCs w:val="20"/>
          <w:lang w:val="en-GB"/>
        </w:rPr>
        <w:sym w:font="Symbol" w:char="F05B"/>
      </w:r>
      <w:r w:rsidRPr="00961F25">
        <w:rPr>
          <w:rFonts w:ascii="Times New Roman" w:hAnsi="Times New Roman" w:cs="Times New Roman"/>
          <w:sz w:val="20"/>
          <w:szCs w:val="20"/>
          <w:lang w:val="en-GB"/>
        </w:rPr>
        <w:t>2005</w:t>
      </w:r>
      <w:r>
        <w:rPr>
          <w:rFonts w:ascii="Times New Roman" w:hAnsi="Times New Roman" w:cs="Times New Roman"/>
          <w:sz w:val="20"/>
          <w:szCs w:val="20"/>
          <w:lang w:val="en-GB"/>
        </w:rPr>
        <w:sym w:font="Symbol" w:char="F05D"/>
      </w:r>
      <w:r>
        <w:rPr>
          <w:rFonts w:ascii="Times New Roman" w:hAnsi="Times New Roman" w:cs="Times New Roman"/>
          <w:sz w:val="20"/>
          <w:szCs w:val="20"/>
          <w:lang w:val="en-GB"/>
        </w:rPr>
        <w:t xml:space="preserve"> ECR</w:t>
      </w:r>
      <w:r w:rsidRPr="00961F25">
        <w:rPr>
          <w:rFonts w:ascii="Times New Roman" w:hAnsi="Times New Roman" w:cs="Times New Roman"/>
          <w:sz w:val="20"/>
          <w:szCs w:val="20"/>
          <w:lang w:val="en-GB"/>
        </w:rPr>
        <w:t xml:space="preserve"> I-05425</w:t>
      </w:r>
      <w:r>
        <w:rPr>
          <w:rFonts w:ascii="Times New Roman" w:hAnsi="Times New Roman" w:cs="Times New Roman"/>
          <w:sz w:val="20"/>
          <w:szCs w:val="20"/>
          <w:lang w:val="en-GB"/>
        </w:rPr>
        <w:t>,</w:t>
      </w:r>
      <w:r w:rsidRPr="00961F25">
        <w:rPr>
          <w:rFonts w:ascii="Times New Roman" w:hAnsi="Times New Roman" w:cs="Times New Roman"/>
          <w:sz w:val="20"/>
          <w:szCs w:val="20"/>
          <w:lang w:val="en-GB"/>
        </w:rPr>
        <w:t xml:space="preserve"> §</w:t>
      </w:r>
      <w:r>
        <w:rPr>
          <w:rFonts w:ascii="Times New Roman" w:hAnsi="Times New Roman" w:cs="Times New Roman"/>
          <w:sz w:val="20"/>
          <w:szCs w:val="20"/>
          <w:lang w:val="en-GB"/>
        </w:rPr>
        <w:t>§45</w:t>
      </w:r>
      <w:r w:rsidRPr="00961F25">
        <w:rPr>
          <w:rFonts w:ascii="Times New Roman" w:hAnsi="Times New Roman" w:cs="Times New Roman"/>
          <w:sz w:val="20"/>
          <w:szCs w:val="20"/>
          <w:lang w:val="en-GB"/>
        </w:rPr>
        <w:t>3</w:t>
      </w:r>
      <w:r>
        <w:rPr>
          <w:rFonts w:ascii="Times New Roman" w:hAnsi="Times New Roman" w:cs="Times New Roman"/>
          <w:sz w:val="20"/>
          <w:szCs w:val="20"/>
          <w:lang w:val="en-GB"/>
        </w:rPr>
        <w:t xml:space="preserve"> and ff</w:t>
      </w:r>
      <w:r w:rsidRPr="00961F25">
        <w:rPr>
          <w:rFonts w:ascii="Times New Roman" w:hAnsi="Times New Roman" w:cs="Times New Roman"/>
          <w:sz w:val="20"/>
          <w:szCs w:val="20"/>
          <w:lang w:val="en-GB"/>
        </w:rPr>
        <w:t>.</w:t>
      </w:r>
    </w:p>
  </w:footnote>
  <w:footnote w:id="173">
    <w:p w:rsidR="0081781C" w:rsidRPr="00F10BDA" w:rsidRDefault="0081781C" w:rsidP="00BB0157">
      <w:pPr>
        <w:pStyle w:val="Notedebasdepage"/>
        <w:jc w:val="both"/>
        <w:rPr>
          <w:rFonts w:ascii="Times New Roman" w:hAnsi="Times New Roman" w:cs="Times New Roman"/>
          <w:sz w:val="20"/>
          <w:szCs w:val="20"/>
          <w:lang w:val="en-US"/>
        </w:rPr>
      </w:pPr>
      <w:r w:rsidRPr="00F10BDA">
        <w:rPr>
          <w:rStyle w:val="Appelnotedebasdep"/>
          <w:rFonts w:ascii="Times New Roman" w:hAnsi="Times New Roman" w:cs="Times New Roman"/>
          <w:sz w:val="20"/>
          <w:szCs w:val="20"/>
        </w:rPr>
        <w:footnoteRef/>
      </w:r>
      <w:r w:rsidRPr="00F10BDA">
        <w:rPr>
          <w:rFonts w:ascii="Times New Roman" w:hAnsi="Times New Roman" w:cs="Times New Roman"/>
          <w:sz w:val="20"/>
          <w:szCs w:val="20"/>
          <w:lang w:val="en-US"/>
        </w:rPr>
        <w:t xml:space="preserve"> </w:t>
      </w:r>
      <w:r w:rsidRPr="00F10BDA">
        <w:rPr>
          <w:rFonts w:ascii="Times New Roman" w:hAnsi="Times New Roman" w:cs="Times New Roman"/>
          <w:sz w:val="20"/>
          <w:szCs w:val="20"/>
          <w:lang w:val="en-GB"/>
        </w:rPr>
        <w:t>See</w:t>
      </w:r>
      <w:r w:rsidRPr="004E08B1">
        <w:rPr>
          <w:rFonts w:ascii="Times New Roman" w:hAnsi="Times New Roman" w:cs="Times New Roman"/>
          <w:sz w:val="20"/>
          <w:szCs w:val="20"/>
          <w:lang w:val="en-US"/>
        </w:rPr>
        <w:t xml:space="preserve"> </w:t>
      </w:r>
      <w:r w:rsidRPr="004E08B1">
        <w:rPr>
          <w:rFonts w:ascii="Times New Roman" w:hAnsi="Times New Roman" w:cs="Times New Roman"/>
          <w:sz w:val="20"/>
          <w:szCs w:val="20"/>
          <w:lang w:val="en-GB"/>
        </w:rPr>
        <w:t xml:space="preserve">L. Ortiz Blanco, EU Competition Procedure, Oxford University Press, Oxford, 2013, 17; T-44/00 Mannesmanröhren – Werke AG v Commission, </w:t>
      </w:r>
      <w:r w:rsidRPr="004E08B1">
        <w:rPr>
          <w:rFonts w:ascii="Times New Roman" w:hAnsi="Times New Roman" w:cs="Times New Roman"/>
          <w:sz w:val="20"/>
          <w:szCs w:val="20"/>
          <w:lang w:val="en-GB"/>
        </w:rPr>
        <w:sym w:font="Symbol" w:char="F05B"/>
      </w:r>
      <w:r w:rsidRPr="004E08B1">
        <w:rPr>
          <w:rFonts w:ascii="Times New Roman" w:hAnsi="Times New Roman" w:cs="Times New Roman"/>
          <w:sz w:val="20"/>
          <w:szCs w:val="20"/>
          <w:lang w:val="en-GB"/>
        </w:rPr>
        <w:t>2004</w:t>
      </w:r>
      <w:r w:rsidRPr="004E08B1">
        <w:rPr>
          <w:rFonts w:ascii="Times New Roman" w:hAnsi="Times New Roman" w:cs="Times New Roman"/>
          <w:sz w:val="20"/>
          <w:szCs w:val="20"/>
          <w:lang w:val="en-GB"/>
        </w:rPr>
        <w:sym w:font="Symbol" w:char="F05D"/>
      </w:r>
      <w:r w:rsidRPr="004E08B1">
        <w:rPr>
          <w:rFonts w:ascii="Times New Roman" w:hAnsi="Times New Roman" w:cs="Times New Roman"/>
          <w:sz w:val="20"/>
          <w:szCs w:val="20"/>
          <w:lang w:val="en-GB"/>
        </w:rPr>
        <w:t xml:space="preserve"> ECR II-2233, §55; T-62/98 Volkswagen v Commission </w:t>
      </w:r>
      <w:r w:rsidRPr="004E08B1">
        <w:rPr>
          <w:rFonts w:ascii="Times New Roman" w:hAnsi="Times New Roman" w:cs="Times New Roman"/>
          <w:sz w:val="20"/>
          <w:szCs w:val="20"/>
          <w:lang w:val="en-GB"/>
        </w:rPr>
        <w:sym w:font="Symbol" w:char="F05B"/>
      </w:r>
      <w:r w:rsidRPr="004E08B1">
        <w:rPr>
          <w:rFonts w:ascii="Times New Roman" w:hAnsi="Times New Roman" w:cs="Times New Roman"/>
          <w:sz w:val="20"/>
          <w:szCs w:val="20"/>
          <w:lang w:val="en-GB"/>
        </w:rPr>
        <w:t>2000</w:t>
      </w:r>
      <w:r w:rsidRPr="004E08B1">
        <w:rPr>
          <w:rFonts w:ascii="Times New Roman" w:hAnsi="Times New Roman" w:cs="Times New Roman"/>
          <w:sz w:val="20"/>
          <w:szCs w:val="20"/>
          <w:lang w:val="en-GB"/>
        </w:rPr>
        <w:sym w:font="Symbol" w:char="F05D"/>
      </w:r>
      <w:r w:rsidRPr="004E08B1">
        <w:rPr>
          <w:rFonts w:ascii="Times New Roman" w:hAnsi="Times New Roman" w:cs="Times New Roman"/>
          <w:sz w:val="20"/>
          <w:szCs w:val="20"/>
          <w:lang w:val="en-GB"/>
        </w:rPr>
        <w:t xml:space="preserve"> ECR II-2707, §§279-83. </w:t>
      </w:r>
      <w:r w:rsidRPr="004E08B1">
        <w:rPr>
          <w:rFonts w:ascii="Times New Roman" w:hAnsi="Times New Roman" w:cs="Times New Roman"/>
          <w:sz w:val="20"/>
          <w:lang w:val="en-GB"/>
        </w:rPr>
        <w:t>Not all breaches of the rights of defence give rise to annulment. Rather, as explained previously, annulment only happens if the condemned undertaking can show that absent the irregularity, the decision would have been different. Moreover, depending on the scale of the violation, the annulment may be complete or partial.</w:t>
      </w:r>
    </w:p>
  </w:footnote>
  <w:footnote w:id="174">
    <w:p w:rsidR="0081781C" w:rsidRPr="00246F56" w:rsidRDefault="0081781C" w:rsidP="002C5483">
      <w:pPr>
        <w:pStyle w:val="Notedebasdepage"/>
        <w:jc w:val="both"/>
        <w:rPr>
          <w:rFonts w:ascii="Times New Roman" w:hAnsi="Times New Roman" w:cs="Times New Roman"/>
          <w:sz w:val="20"/>
          <w:szCs w:val="20"/>
          <w:lang w:val="en-US"/>
        </w:rPr>
      </w:pPr>
      <w:r w:rsidRPr="00246F56">
        <w:rPr>
          <w:rStyle w:val="Appelnotedebasdep"/>
          <w:rFonts w:ascii="Times New Roman" w:hAnsi="Times New Roman" w:cs="Times New Roman"/>
          <w:sz w:val="20"/>
          <w:szCs w:val="20"/>
        </w:rPr>
        <w:footnoteRef/>
      </w:r>
      <w:r w:rsidRPr="00246F56">
        <w:rPr>
          <w:rFonts w:ascii="Times New Roman" w:hAnsi="Times New Roman" w:cs="Times New Roman"/>
          <w:sz w:val="20"/>
          <w:szCs w:val="20"/>
        </w:rPr>
        <w:t xml:space="preserve"> </w:t>
      </w:r>
      <w:r w:rsidRPr="007235C7">
        <w:rPr>
          <w:rFonts w:ascii="Times New Roman" w:hAnsi="Times New Roman" w:cs="Times New Roman"/>
          <w:sz w:val="20"/>
          <w:szCs w:val="20"/>
          <w:lang w:val="en-GB"/>
        </w:rPr>
        <w:t>See C-385/07, Der Grune Punkte – Duales System Deutschland GmbH v Co</w:t>
      </w:r>
      <w:r w:rsidRPr="00055FAC">
        <w:rPr>
          <w:rFonts w:ascii="Times New Roman" w:hAnsi="Times New Roman" w:cs="Times New Roman"/>
          <w:sz w:val="20"/>
          <w:szCs w:val="20"/>
          <w:lang w:val="en-GB"/>
        </w:rPr>
        <w:t xml:space="preserve">mmission, </w:t>
      </w:r>
      <w:r w:rsidRPr="007235C7">
        <w:rPr>
          <w:rFonts w:ascii="Times New Roman" w:hAnsi="Times New Roman" w:cs="Times New Roman"/>
          <w:sz w:val="20"/>
          <w:szCs w:val="20"/>
          <w:lang w:val="en-GB"/>
        </w:rPr>
        <w:sym w:font="Symbol" w:char="F05B"/>
      </w:r>
      <w:r w:rsidRPr="007235C7">
        <w:rPr>
          <w:rFonts w:ascii="Times New Roman" w:hAnsi="Times New Roman" w:cs="Times New Roman"/>
          <w:sz w:val="20"/>
          <w:szCs w:val="20"/>
          <w:lang w:val="en-GB"/>
        </w:rPr>
        <w:t>2009</w:t>
      </w:r>
      <w:r w:rsidRPr="007235C7">
        <w:rPr>
          <w:rFonts w:ascii="Times New Roman" w:hAnsi="Times New Roman" w:cs="Times New Roman"/>
          <w:sz w:val="20"/>
          <w:szCs w:val="20"/>
          <w:lang w:val="en-GB"/>
        </w:rPr>
        <w:sym w:font="Symbol" w:char="F05D"/>
      </w:r>
      <w:r w:rsidRPr="007235C7">
        <w:rPr>
          <w:rFonts w:ascii="Times New Roman" w:hAnsi="Times New Roman" w:cs="Times New Roman"/>
          <w:sz w:val="20"/>
          <w:szCs w:val="20"/>
          <w:lang w:val="en-GB"/>
        </w:rPr>
        <w:t xml:space="preserve"> ECR I-06155, </w:t>
      </w:r>
      <w:r w:rsidRPr="00DB29C3">
        <w:rPr>
          <w:rFonts w:ascii="Times New Roman" w:hAnsi="Times New Roman" w:cs="Times New Roman"/>
          <w:sz w:val="20"/>
          <w:szCs w:val="20"/>
          <w:lang w:val="en-GB"/>
        </w:rPr>
        <w:t>§195.</w:t>
      </w:r>
    </w:p>
  </w:footnote>
  <w:footnote w:id="175">
    <w:p w:rsidR="0081781C" w:rsidRPr="00246F56" w:rsidRDefault="0081781C" w:rsidP="002C5483">
      <w:pPr>
        <w:autoSpaceDE w:val="0"/>
        <w:autoSpaceDN w:val="0"/>
        <w:adjustRightInd w:val="0"/>
        <w:rPr>
          <w:rFonts w:ascii="Times New Roman" w:hAnsi="Times New Roman" w:cs="Times New Roman"/>
          <w:color w:val="000000"/>
          <w:sz w:val="20"/>
          <w:szCs w:val="20"/>
          <w:lang w:val="fr-BE"/>
        </w:rPr>
      </w:pPr>
      <w:r w:rsidRPr="00246F56">
        <w:rPr>
          <w:rStyle w:val="Appelnotedebasdep"/>
          <w:rFonts w:ascii="Times New Roman" w:hAnsi="Times New Roman" w:cs="Times New Roman"/>
          <w:sz w:val="20"/>
          <w:szCs w:val="20"/>
        </w:rPr>
        <w:footnoteRef/>
      </w:r>
      <w:r w:rsidRPr="00246F56">
        <w:rPr>
          <w:rFonts w:ascii="Times New Roman" w:hAnsi="Times New Roman" w:cs="Times New Roman"/>
          <w:sz w:val="20"/>
          <w:szCs w:val="20"/>
        </w:rPr>
        <w:t xml:space="preserve"> </w:t>
      </w:r>
      <w:r w:rsidRPr="00246F56">
        <w:rPr>
          <w:rFonts w:ascii="Times New Roman" w:hAnsi="Times New Roman" w:cs="Times New Roman"/>
          <w:sz w:val="20"/>
          <w:szCs w:val="20"/>
          <w:lang w:val="fr-BE"/>
        </w:rPr>
        <w:t>European Ombudsman</w:t>
      </w:r>
      <w:r>
        <w:rPr>
          <w:rFonts w:ascii="Times New Roman" w:hAnsi="Times New Roman" w:cs="Times New Roman"/>
          <w:sz w:val="20"/>
          <w:szCs w:val="20"/>
          <w:lang w:val="fr-BE"/>
        </w:rPr>
        <w:t>,</w:t>
      </w:r>
      <w:r w:rsidRPr="00246F56">
        <w:rPr>
          <w:rFonts w:ascii="Times New Roman" w:hAnsi="Times New Roman" w:cs="Times New Roman"/>
          <w:sz w:val="20"/>
          <w:szCs w:val="20"/>
          <w:lang w:val="fr-BE"/>
        </w:rPr>
        <w:t xml:space="preserve"> Overview 2012, 3</w:t>
      </w:r>
      <w:r>
        <w:rPr>
          <w:rFonts w:ascii="Times New Roman" w:hAnsi="Times New Roman" w:cs="Times New Roman"/>
          <w:sz w:val="20"/>
          <w:szCs w:val="20"/>
          <w:lang w:val="fr-B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4C6C164"/>
    <w:lvl w:ilvl="0" w:tplc="00000001">
      <w:start w:val="1"/>
      <w:numFmt w:val="bullet"/>
      <w:lvlText w:val="•"/>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9324010"/>
    <w:multiLevelType w:val="hybridMultilevel"/>
    <w:tmpl w:val="D1589F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3007699"/>
    <w:multiLevelType w:val="hybridMultilevel"/>
    <w:tmpl w:val="7B5278F2"/>
    <w:lvl w:ilvl="0" w:tplc="3854742E">
      <w:start w:val="41"/>
      <w:numFmt w:val="bullet"/>
      <w:lvlText w:val="-"/>
      <w:lvlJc w:val="left"/>
      <w:pPr>
        <w:ind w:left="1420" w:hanging="720"/>
      </w:pPr>
      <w:rPr>
        <w:rFonts w:ascii="Times" w:eastAsiaTheme="minorHAnsi" w:hAnsi="Times" w:cstheme="minorBidi"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nsid w:val="2CB97381"/>
    <w:multiLevelType w:val="hybridMultilevel"/>
    <w:tmpl w:val="C4405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C37C51"/>
    <w:multiLevelType w:val="hybridMultilevel"/>
    <w:tmpl w:val="DA1295AA"/>
    <w:lvl w:ilvl="0" w:tplc="302698C8">
      <w:start w:val="1"/>
      <w:numFmt w:val="upperRoman"/>
      <w:lvlText w:val="%1."/>
      <w:lvlJc w:val="left"/>
      <w:pPr>
        <w:ind w:left="1080" w:hanging="720"/>
      </w:pPr>
      <w:rPr>
        <w:rFonts w:hint="default"/>
        <w:b w:val="0"/>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36173D9C"/>
    <w:multiLevelType w:val="hybridMultilevel"/>
    <w:tmpl w:val="80DC1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0A434C"/>
    <w:multiLevelType w:val="hybridMultilevel"/>
    <w:tmpl w:val="E0C80AE4"/>
    <w:lvl w:ilvl="0" w:tplc="04090013">
      <w:start w:val="1"/>
      <w:numFmt w:val="upperRoman"/>
      <w:lvlText w:val="%1."/>
      <w:lvlJc w:val="right"/>
      <w:pPr>
        <w:ind w:left="540" w:hanging="18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FC1E42"/>
    <w:multiLevelType w:val="hybridMultilevel"/>
    <w:tmpl w:val="81A87D06"/>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3601B4F"/>
    <w:multiLevelType w:val="hybridMultilevel"/>
    <w:tmpl w:val="AA980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795215"/>
    <w:multiLevelType w:val="hybridMultilevel"/>
    <w:tmpl w:val="27B4716A"/>
    <w:lvl w:ilvl="0" w:tplc="3106FABC">
      <w:start w:val="1"/>
      <w:numFmt w:val="bullet"/>
      <w:lvlText w:val=""/>
      <w:lvlJc w:val="left"/>
      <w:pPr>
        <w:tabs>
          <w:tab w:val="num" w:pos="720"/>
        </w:tabs>
        <w:ind w:left="720" w:hanging="360"/>
      </w:pPr>
      <w:rPr>
        <w:rFonts w:ascii="Wingdings 2" w:hAnsi="Wingdings 2" w:hint="default"/>
      </w:rPr>
    </w:lvl>
    <w:lvl w:ilvl="1" w:tplc="702A7D56">
      <w:numFmt w:val="bullet"/>
      <w:lvlText w:val=""/>
      <w:lvlJc w:val="left"/>
      <w:pPr>
        <w:tabs>
          <w:tab w:val="num" w:pos="1440"/>
        </w:tabs>
        <w:ind w:left="1440" w:hanging="360"/>
      </w:pPr>
      <w:rPr>
        <w:rFonts w:ascii="Wingdings" w:hAnsi="Wingdings" w:hint="default"/>
        <w:lang w:val="en-GB"/>
      </w:rPr>
    </w:lvl>
    <w:lvl w:ilvl="2" w:tplc="7AEAD20C" w:tentative="1">
      <w:start w:val="1"/>
      <w:numFmt w:val="bullet"/>
      <w:lvlText w:val=""/>
      <w:lvlJc w:val="left"/>
      <w:pPr>
        <w:tabs>
          <w:tab w:val="num" w:pos="2160"/>
        </w:tabs>
        <w:ind w:left="2160" w:hanging="360"/>
      </w:pPr>
      <w:rPr>
        <w:rFonts w:ascii="Wingdings 2" w:hAnsi="Wingdings 2" w:hint="default"/>
      </w:rPr>
    </w:lvl>
    <w:lvl w:ilvl="3" w:tplc="99D2BBBA" w:tentative="1">
      <w:start w:val="1"/>
      <w:numFmt w:val="bullet"/>
      <w:lvlText w:val=""/>
      <w:lvlJc w:val="left"/>
      <w:pPr>
        <w:tabs>
          <w:tab w:val="num" w:pos="2880"/>
        </w:tabs>
        <w:ind w:left="2880" w:hanging="360"/>
      </w:pPr>
      <w:rPr>
        <w:rFonts w:ascii="Wingdings 2" w:hAnsi="Wingdings 2" w:hint="default"/>
      </w:rPr>
    </w:lvl>
    <w:lvl w:ilvl="4" w:tplc="75D61A42" w:tentative="1">
      <w:start w:val="1"/>
      <w:numFmt w:val="bullet"/>
      <w:lvlText w:val=""/>
      <w:lvlJc w:val="left"/>
      <w:pPr>
        <w:tabs>
          <w:tab w:val="num" w:pos="3600"/>
        </w:tabs>
        <w:ind w:left="3600" w:hanging="360"/>
      </w:pPr>
      <w:rPr>
        <w:rFonts w:ascii="Wingdings 2" w:hAnsi="Wingdings 2" w:hint="default"/>
      </w:rPr>
    </w:lvl>
    <w:lvl w:ilvl="5" w:tplc="CE5EAA5E" w:tentative="1">
      <w:start w:val="1"/>
      <w:numFmt w:val="bullet"/>
      <w:lvlText w:val=""/>
      <w:lvlJc w:val="left"/>
      <w:pPr>
        <w:tabs>
          <w:tab w:val="num" w:pos="4320"/>
        </w:tabs>
        <w:ind w:left="4320" w:hanging="360"/>
      </w:pPr>
      <w:rPr>
        <w:rFonts w:ascii="Wingdings 2" w:hAnsi="Wingdings 2" w:hint="default"/>
      </w:rPr>
    </w:lvl>
    <w:lvl w:ilvl="6" w:tplc="763C7258" w:tentative="1">
      <w:start w:val="1"/>
      <w:numFmt w:val="bullet"/>
      <w:lvlText w:val=""/>
      <w:lvlJc w:val="left"/>
      <w:pPr>
        <w:tabs>
          <w:tab w:val="num" w:pos="5040"/>
        </w:tabs>
        <w:ind w:left="5040" w:hanging="360"/>
      </w:pPr>
      <w:rPr>
        <w:rFonts w:ascii="Wingdings 2" w:hAnsi="Wingdings 2" w:hint="default"/>
      </w:rPr>
    </w:lvl>
    <w:lvl w:ilvl="7" w:tplc="223262E6" w:tentative="1">
      <w:start w:val="1"/>
      <w:numFmt w:val="bullet"/>
      <w:lvlText w:val=""/>
      <w:lvlJc w:val="left"/>
      <w:pPr>
        <w:tabs>
          <w:tab w:val="num" w:pos="5760"/>
        </w:tabs>
        <w:ind w:left="5760" w:hanging="360"/>
      </w:pPr>
      <w:rPr>
        <w:rFonts w:ascii="Wingdings 2" w:hAnsi="Wingdings 2" w:hint="default"/>
      </w:rPr>
    </w:lvl>
    <w:lvl w:ilvl="8" w:tplc="67F8FF40" w:tentative="1">
      <w:start w:val="1"/>
      <w:numFmt w:val="bullet"/>
      <w:lvlText w:val=""/>
      <w:lvlJc w:val="left"/>
      <w:pPr>
        <w:tabs>
          <w:tab w:val="num" w:pos="6480"/>
        </w:tabs>
        <w:ind w:left="6480" w:hanging="360"/>
      </w:pPr>
      <w:rPr>
        <w:rFonts w:ascii="Wingdings 2" w:hAnsi="Wingdings 2" w:hint="default"/>
      </w:rPr>
    </w:lvl>
  </w:abstractNum>
  <w:abstractNum w:abstractNumId="11">
    <w:nsid w:val="65680444"/>
    <w:multiLevelType w:val="multilevel"/>
    <w:tmpl w:val="D1589FB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7779422B"/>
    <w:multiLevelType w:val="hybridMultilevel"/>
    <w:tmpl w:val="4B02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3"/>
  </w:num>
  <w:num w:numId="4">
    <w:abstractNumId w:val="6"/>
  </w:num>
  <w:num w:numId="5">
    <w:abstractNumId w:val="4"/>
  </w:num>
  <w:num w:numId="6">
    <w:abstractNumId w:val="12"/>
  </w:num>
  <w:num w:numId="7">
    <w:abstractNumId w:val="5"/>
  </w:num>
  <w:num w:numId="8">
    <w:abstractNumId w:val="1"/>
  </w:num>
  <w:num w:numId="9">
    <w:abstractNumId w:val="11"/>
  </w:num>
  <w:num w:numId="10">
    <w:abstractNumId w:val="7"/>
  </w:num>
  <w:num w:numId="11">
    <w:abstractNumId w:val="10"/>
  </w:num>
  <w:num w:numId="12">
    <w:abstractNumId w:val="2"/>
  </w:num>
  <w:num w:numId="1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YRINCK Norman">
    <w15:presenceInfo w15:providerId="AD" w15:userId="S-1-5-21-3469504877-175511118-3523390874-33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463"/>
    <w:rsid w:val="000014EF"/>
    <w:rsid w:val="000025CF"/>
    <w:rsid w:val="00006B19"/>
    <w:rsid w:val="00010C9E"/>
    <w:rsid w:val="00011290"/>
    <w:rsid w:val="000126F0"/>
    <w:rsid w:val="00014D55"/>
    <w:rsid w:val="00015404"/>
    <w:rsid w:val="00016F3C"/>
    <w:rsid w:val="00022354"/>
    <w:rsid w:val="00024C04"/>
    <w:rsid w:val="00033668"/>
    <w:rsid w:val="00033CA2"/>
    <w:rsid w:val="00037626"/>
    <w:rsid w:val="00040A43"/>
    <w:rsid w:val="0004711E"/>
    <w:rsid w:val="00047927"/>
    <w:rsid w:val="000516E1"/>
    <w:rsid w:val="00051968"/>
    <w:rsid w:val="00052FF2"/>
    <w:rsid w:val="0005518F"/>
    <w:rsid w:val="00055FAC"/>
    <w:rsid w:val="0006058C"/>
    <w:rsid w:val="00061E50"/>
    <w:rsid w:val="00062D50"/>
    <w:rsid w:val="00062EAE"/>
    <w:rsid w:val="00063DAD"/>
    <w:rsid w:val="000640B7"/>
    <w:rsid w:val="000716CF"/>
    <w:rsid w:val="00077B71"/>
    <w:rsid w:val="0008045D"/>
    <w:rsid w:val="00080AE9"/>
    <w:rsid w:val="00083D25"/>
    <w:rsid w:val="00093FD0"/>
    <w:rsid w:val="00096FA6"/>
    <w:rsid w:val="00097C75"/>
    <w:rsid w:val="000A1733"/>
    <w:rsid w:val="000A1CF7"/>
    <w:rsid w:val="000A2276"/>
    <w:rsid w:val="000A4061"/>
    <w:rsid w:val="000A44FD"/>
    <w:rsid w:val="000A544A"/>
    <w:rsid w:val="000A5F8C"/>
    <w:rsid w:val="000A64A6"/>
    <w:rsid w:val="000A717D"/>
    <w:rsid w:val="000B7040"/>
    <w:rsid w:val="000C2F34"/>
    <w:rsid w:val="000C3EE4"/>
    <w:rsid w:val="000C5190"/>
    <w:rsid w:val="000C5BF3"/>
    <w:rsid w:val="000C6B1B"/>
    <w:rsid w:val="000C7698"/>
    <w:rsid w:val="000D066A"/>
    <w:rsid w:val="000D2586"/>
    <w:rsid w:val="000D60B8"/>
    <w:rsid w:val="000E2953"/>
    <w:rsid w:val="000E3640"/>
    <w:rsid w:val="000E4BC5"/>
    <w:rsid w:val="000E6B0B"/>
    <w:rsid w:val="000E79B6"/>
    <w:rsid w:val="000F4026"/>
    <w:rsid w:val="000F6432"/>
    <w:rsid w:val="000F64E9"/>
    <w:rsid w:val="000F6D18"/>
    <w:rsid w:val="000F7386"/>
    <w:rsid w:val="0010465F"/>
    <w:rsid w:val="001061C9"/>
    <w:rsid w:val="0010675B"/>
    <w:rsid w:val="001068DD"/>
    <w:rsid w:val="00106EDF"/>
    <w:rsid w:val="00107EF1"/>
    <w:rsid w:val="001104E3"/>
    <w:rsid w:val="00112B3B"/>
    <w:rsid w:val="00112E34"/>
    <w:rsid w:val="0011397B"/>
    <w:rsid w:val="0011426F"/>
    <w:rsid w:val="00114D22"/>
    <w:rsid w:val="00116FB4"/>
    <w:rsid w:val="0011755C"/>
    <w:rsid w:val="00123CB3"/>
    <w:rsid w:val="0013265C"/>
    <w:rsid w:val="00132A9F"/>
    <w:rsid w:val="00133517"/>
    <w:rsid w:val="0013459F"/>
    <w:rsid w:val="00135DC2"/>
    <w:rsid w:val="0013752E"/>
    <w:rsid w:val="00150A6A"/>
    <w:rsid w:val="00152865"/>
    <w:rsid w:val="00152B17"/>
    <w:rsid w:val="0015401E"/>
    <w:rsid w:val="00154219"/>
    <w:rsid w:val="00154F6D"/>
    <w:rsid w:val="00155CE4"/>
    <w:rsid w:val="00156EF1"/>
    <w:rsid w:val="00156FF8"/>
    <w:rsid w:val="0017290A"/>
    <w:rsid w:val="00172B9F"/>
    <w:rsid w:val="00175123"/>
    <w:rsid w:val="001765A5"/>
    <w:rsid w:val="00177590"/>
    <w:rsid w:val="001817B2"/>
    <w:rsid w:val="001830D4"/>
    <w:rsid w:val="00184FB8"/>
    <w:rsid w:val="0018607D"/>
    <w:rsid w:val="001861C1"/>
    <w:rsid w:val="0019009D"/>
    <w:rsid w:val="00190BC7"/>
    <w:rsid w:val="00190DDD"/>
    <w:rsid w:val="00192F0E"/>
    <w:rsid w:val="00194296"/>
    <w:rsid w:val="001A133C"/>
    <w:rsid w:val="001A3873"/>
    <w:rsid w:val="001A6B4A"/>
    <w:rsid w:val="001B024F"/>
    <w:rsid w:val="001B0969"/>
    <w:rsid w:val="001B257A"/>
    <w:rsid w:val="001B2A1D"/>
    <w:rsid w:val="001B44D6"/>
    <w:rsid w:val="001B459E"/>
    <w:rsid w:val="001B728E"/>
    <w:rsid w:val="001B73BE"/>
    <w:rsid w:val="001C0D57"/>
    <w:rsid w:val="001C12EC"/>
    <w:rsid w:val="001C300E"/>
    <w:rsid w:val="001C50B7"/>
    <w:rsid w:val="001C63F1"/>
    <w:rsid w:val="001C65D1"/>
    <w:rsid w:val="001D196C"/>
    <w:rsid w:val="001D36FF"/>
    <w:rsid w:val="001E0C33"/>
    <w:rsid w:val="001E11F2"/>
    <w:rsid w:val="001E1C1F"/>
    <w:rsid w:val="001E328C"/>
    <w:rsid w:val="001F05FE"/>
    <w:rsid w:val="001F21FB"/>
    <w:rsid w:val="001F2520"/>
    <w:rsid w:val="001F30B6"/>
    <w:rsid w:val="001F5B30"/>
    <w:rsid w:val="001F611F"/>
    <w:rsid w:val="00201AA8"/>
    <w:rsid w:val="002035C3"/>
    <w:rsid w:val="00203917"/>
    <w:rsid w:val="00212AE4"/>
    <w:rsid w:val="00213F7E"/>
    <w:rsid w:val="002161FC"/>
    <w:rsid w:val="00221906"/>
    <w:rsid w:val="00224AF6"/>
    <w:rsid w:val="0022519A"/>
    <w:rsid w:val="00225F5F"/>
    <w:rsid w:val="00227E6A"/>
    <w:rsid w:val="00232388"/>
    <w:rsid w:val="002374A9"/>
    <w:rsid w:val="002419B9"/>
    <w:rsid w:val="002425C0"/>
    <w:rsid w:val="00246BD0"/>
    <w:rsid w:val="00246F56"/>
    <w:rsid w:val="002517E5"/>
    <w:rsid w:val="00253C47"/>
    <w:rsid w:val="00255B30"/>
    <w:rsid w:val="00256204"/>
    <w:rsid w:val="00261068"/>
    <w:rsid w:val="00261B8D"/>
    <w:rsid w:val="00262C4F"/>
    <w:rsid w:val="00263F5E"/>
    <w:rsid w:val="002656C2"/>
    <w:rsid w:val="002661DB"/>
    <w:rsid w:val="00267263"/>
    <w:rsid w:val="002746F1"/>
    <w:rsid w:val="00274727"/>
    <w:rsid w:val="00277C50"/>
    <w:rsid w:val="00277FD7"/>
    <w:rsid w:val="00282AB2"/>
    <w:rsid w:val="00283952"/>
    <w:rsid w:val="00283BF8"/>
    <w:rsid w:val="002847D0"/>
    <w:rsid w:val="00287325"/>
    <w:rsid w:val="00287457"/>
    <w:rsid w:val="0029121A"/>
    <w:rsid w:val="00291596"/>
    <w:rsid w:val="002920C0"/>
    <w:rsid w:val="0029230D"/>
    <w:rsid w:val="00292BE0"/>
    <w:rsid w:val="00294469"/>
    <w:rsid w:val="00297B74"/>
    <w:rsid w:val="002A08D1"/>
    <w:rsid w:val="002A53F4"/>
    <w:rsid w:val="002B0369"/>
    <w:rsid w:val="002B12C6"/>
    <w:rsid w:val="002B144B"/>
    <w:rsid w:val="002B24A4"/>
    <w:rsid w:val="002B2A4A"/>
    <w:rsid w:val="002B528B"/>
    <w:rsid w:val="002B64B1"/>
    <w:rsid w:val="002B6A80"/>
    <w:rsid w:val="002B6E11"/>
    <w:rsid w:val="002C1ED4"/>
    <w:rsid w:val="002C5483"/>
    <w:rsid w:val="002D625D"/>
    <w:rsid w:val="002E1CD7"/>
    <w:rsid w:val="002E20E5"/>
    <w:rsid w:val="002E3BB7"/>
    <w:rsid w:val="002E4291"/>
    <w:rsid w:val="002E4D9C"/>
    <w:rsid w:val="002E51F7"/>
    <w:rsid w:val="002F43FD"/>
    <w:rsid w:val="002F4D0D"/>
    <w:rsid w:val="003004E1"/>
    <w:rsid w:val="00304562"/>
    <w:rsid w:val="00304C4E"/>
    <w:rsid w:val="003101B8"/>
    <w:rsid w:val="00310806"/>
    <w:rsid w:val="00310E9F"/>
    <w:rsid w:val="00311B33"/>
    <w:rsid w:val="00311E81"/>
    <w:rsid w:val="003131E8"/>
    <w:rsid w:val="00324960"/>
    <w:rsid w:val="00324F3C"/>
    <w:rsid w:val="003257E2"/>
    <w:rsid w:val="0032695E"/>
    <w:rsid w:val="00327CE9"/>
    <w:rsid w:val="003324D2"/>
    <w:rsid w:val="00334412"/>
    <w:rsid w:val="0033448E"/>
    <w:rsid w:val="00341C7F"/>
    <w:rsid w:val="00345BB2"/>
    <w:rsid w:val="00354072"/>
    <w:rsid w:val="003571E8"/>
    <w:rsid w:val="0036293E"/>
    <w:rsid w:val="00362AC6"/>
    <w:rsid w:val="00363021"/>
    <w:rsid w:val="003648D5"/>
    <w:rsid w:val="00370961"/>
    <w:rsid w:val="00372355"/>
    <w:rsid w:val="00372E40"/>
    <w:rsid w:val="00375E83"/>
    <w:rsid w:val="0037609C"/>
    <w:rsid w:val="003805C9"/>
    <w:rsid w:val="00387477"/>
    <w:rsid w:val="003904E3"/>
    <w:rsid w:val="003918E2"/>
    <w:rsid w:val="00394729"/>
    <w:rsid w:val="00394790"/>
    <w:rsid w:val="0039589E"/>
    <w:rsid w:val="003976F3"/>
    <w:rsid w:val="003A2C8B"/>
    <w:rsid w:val="003A4ADD"/>
    <w:rsid w:val="003A525B"/>
    <w:rsid w:val="003A6727"/>
    <w:rsid w:val="003A7247"/>
    <w:rsid w:val="003B6CCB"/>
    <w:rsid w:val="003C0B04"/>
    <w:rsid w:val="003C15F4"/>
    <w:rsid w:val="003C2E72"/>
    <w:rsid w:val="003C30C5"/>
    <w:rsid w:val="003C3176"/>
    <w:rsid w:val="003C44DE"/>
    <w:rsid w:val="003C44E5"/>
    <w:rsid w:val="003C5A14"/>
    <w:rsid w:val="003D0D3E"/>
    <w:rsid w:val="003D1EDF"/>
    <w:rsid w:val="003D25A2"/>
    <w:rsid w:val="003D5E42"/>
    <w:rsid w:val="003D75DA"/>
    <w:rsid w:val="003E06C3"/>
    <w:rsid w:val="003E1784"/>
    <w:rsid w:val="003E1DB7"/>
    <w:rsid w:val="003E25A9"/>
    <w:rsid w:val="003E6ADD"/>
    <w:rsid w:val="003E7D42"/>
    <w:rsid w:val="003F0231"/>
    <w:rsid w:val="003F0B9F"/>
    <w:rsid w:val="003F3BCF"/>
    <w:rsid w:val="003F48C5"/>
    <w:rsid w:val="003F5FA7"/>
    <w:rsid w:val="003F5FB3"/>
    <w:rsid w:val="003F73CD"/>
    <w:rsid w:val="003F7E3C"/>
    <w:rsid w:val="0040095F"/>
    <w:rsid w:val="00402BD1"/>
    <w:rsid w:val="004034D7"/>
    <w:rsid w:val="004037DD"/>
    <w:rsid w:val="0040568D"/>
    <w:rsid w:val="004108A7"/>
    <w:rsid w:val="00411219"/>
    <w:rsid w:val="004126D0"/>
    <w:rsid w:val="00412FC3"/>
    <w:rsid w:val="00414B6E"/>
    <w:rsid w:val="004152CB"/>
    <w:rsid w:val="004161A5"/>
    <w:rsid w:val="004170A1"/>
    <w:rsid w:val="00417354"/>
    <w:rsid w:val="00417DC0"/>
    <w:rsid w:val="00420AFD"/>
    <w:rsid w:val="00422217"/>
    <w:rsid w:val="004244B1"/>
    <w:rsid w:val="00424F9E"/>
    <w:rsid w:val="00425E57"/>
    <w:rsid w:val="004264D5"/>
    <w:rsid w:val="00430713"/>
    <w:rsid w:val="00430AE4"/>
    <w:rsid w:val="00434475"/>
    <w:rsid w:val="00435D48"/>
    <w:rsid w:val="004365AA"/>
    <w:rsid w:val="00436B9C"/>
    <w:rsid w:val="00436D54"/>
    <w:rsid w:val="00440410"/>
    <w:rsid w:val="00443DE0"/>
    <w:rsid w:val="00444CE8"/>
    <w:rsid w:val="004471FF"/>
    <w:rsid w:val="0045059A"/>
    <w:rsid w:val="004570AF"/>
    <w:rsid w:val="00463727"/>
    <w:rsid w:val="00465185"/>
    <w:rsid w:val="00465727"/>
    <w:rsid w:val="00465B02"/>
    <w:rsid w:val="00467DE8"/>
    <w:rsid w:val="004722AD"/>
    <w:rsid w:val="00474B95"/>
    <w:rsid w:val="00475707"/>
    <w:rsid w:val="00480059"/>
    <w:rsid w:val="00482920"/>
    <w:rsid w:val="00482DF2"/>
    <w:rsid w:val="0048562C"/>
    <w:rsid w:val="00485EC1"/>
    <w:rsid w:val="004903F0"/>
    <w:rsid w:val="00490903"/>
    <w:rsid w:val="0049294B"/>
    <w:rsid w:val="00492ADC"/>
    <w:rsid w:val="004944B6"/>
    <w:rsid w:val="004A1AAD"/>
    <w:rsid w:val="004A27C0"/>
    <w:rsid w:val="004A3DF6"/>
    <w:rsid w:val="004A45E1"/>
    <w:rsid w:val="004A4E37"/>
    <w:rsid w:val="004A684A"/>
    <w:rsid w:val="004A68FE"/>
    <w:rsid w:val="004A7FE9"/>
    <w:rsid w:val="004B0D23"/>
    <w:rsid w:val="004B0F03"/>
    <w:rsid w:val="004B14D8"/>
    <w:rsid w:val="004B2731"/>
    <w:rsid w:val="004B34A6"/>
    <w:rsid w:val="004B3F95"/>
    <w:rsid w:val="004B4C2C"/>
    <w:rsid w:val="004B5B19"/>
    <w:rsid w:val="004B7AB7"/>
    <w:rsid w:val="004C0809"/>
    <w:rsid w:val="004C154D"/>
    <w:rsid w:val="004C2082"/>
    <w:rsid w:val="004C393C"/>
    <w:rsid w:val="004C7ADF"/>
    <w:rsid w:val="004D07FD"/>
    <w:rsid w:val="004D1C74"/>
    <w:rsid w:val="004D247D"/>
    <w:rsid w:val="004D57DD"/>
    <w:rsid w:val="004D760D"/>
    <w:rsid w:val="004D77A1"/>
    <w:rsid w:val="004E08B1"/>
    <w:rsid w:val="004E1889"/>
    <w:rsid w:val="004E22DC"/>
    <w:rsid w:val="004E32F6"/>
    <w:rsid w:val="004E3AAA"/>
    <w:rsid w:val="004E5575"/>
    <w:rsid w:val="004E6C21"/>
    <w:rsid w:val="004E6E33"/>
    <w:rsid w:val="004E6FE2"/>
    <w:rsid w:val="004F0434"/>
    <w:rsid w:val="004F1C25"/>
    <w:rsid w:val="004F1F1A"/>
    <w:rsid w:val="004F2D7D"/>
    <w:rsid w:val="004F49C6"/>
    <w:rsid w:val="004F5569"/>
    <w:rsid w:val="004F5AD7"/>
    <w:rsid w:val="004F7A9B"/>
    <w:rsid w:val="0050188B"/>
    <w:rsid w:val="00501BFE"/>
    <w:rsid w:val="00502B1D"/>
    <w:rsid w:val="0050648A"/>
    <w:rsid w:val="0052177C"/>
    <w:rsid w:val="00522374"/>
    <w:rsid w:val="00523381"/>
    <w:rsid w:val="00524D0B"/>
    <w:rsid w:val="00524DE1"/>
    <w:rsid w:val="00526BE7"/>
    <w:rsid w:val="00530EC6"/>
    <w:rsid w:val="00532995"/>
    <w:rsid w:val="005354E0"/>
    <w:rsid w:val="005356E4"/>
    <w:rsid w:val="005378B2"/>
    <w:rsid w:val="00537F63"/>
    <w:rsid w:val="00540E9F"/>
    <w:rsid w:val="00542B72"/>
    <w:rsid w:val="00544BF7"/>
    <w:rsid w:val="0054678A"/>
    <w:rsid w:val="00550B66"/>
    <w:rsid w:val="0055353F"/>
    <w:rsid w:val="0056016D"/>
    <w:rsid w:val="00561C51"/>
    <w:rsid w:val="00562391"/>
    <w:rsid w:val="00562A93"/>
    <w:rsid w:val="0056339A"/>
    <w:rsid w:val="00565DAA"/>
    <w:rsid w:val="00573A63"/>
    <w:rsid w:val="00575813"/>
    <w:rsid w:val="00581456"/>
    <w:rsid w:val="00581CD5"/>
    <w:rsid w:val="005820DC"/>
    <w:rsid w:val="00584263"/>
    <w:rsid w:val="00587362"/>
    <w:rsid w:val="00590CD1"/>
    <w:rsid w:val="0059162F"/>
    <w:rsid w:val="00591888"/>
    <w:rsid w:val="00592908"/>
    <w:rsid w:val="00592CB6"/>
    <w:rsid w:val="00594E5F"/>
    <w:rsid w:val="00596D18"/>
    <w:rsid w:val="005A00E8"/>
    <w:rsid w:val="005A5EF6"/>
    <w:rsid w:val="005B1A60"/>
    <w:rsid w:val="005C0B17"/>
    <w:rsid w:val="005C2A9E"/>
    <w:rsid w:val="005C3A1D"/>
    <w:rsid w:val="005C50FC"/>
    <w:rsid w:val="005C61B1"/>
    <w:rsid w:val="005D00EA"/>
    <w:rsid w:val="005D427B"/>
    <w:rsid w:val="005D6957"/>
    <w:rsid w:val="005E4C30"/>
    <w:rsid w:val="005F097C"/>
    <w:rsid w:val="005F209E"/>
    <w:rsid w:val="005F4668"/>
    <w:rsid w:val="005F55AA"/>
    <w:rsid w:val="005F6F3D"/>
    <w:rsid w:val="00604D9B"/>
    <w:rsid w:val="00606552"/>
    <w:rsid w:val="00606693"/>
    <w:rsid w:val="00611F06"/>
    <w:rsid w:val="00611F6E"/>
    <w:rsid w:val="00612693"/>
    <w:rsid w:val="00612BFD"/>
    <w:rsid w:val="006133F6"/>
    <w:rsid w:val="00617C7C"/>
    <w:rsid w:val="00621C15"/>
    <w:rsid w:val="006269D7"/>
    <w:rsid w:val="00626B53"/>
    <w:rsid w:val="006278DF"/>
    <w:rsid w:val="00630A4D"/>
    <w:rsid w:val="00631623"/>
    <w:rsid w:val="0063165C"/>
    <w:rsid w:val="00633806"/>
    <w:rsid w:val="00636B52"/>
    <w:rsid w:val="006417BE"/>
    <w:rsid w:val="00644453"/>
    <w:rsid w:val="00644887"/>
    <w:rsid w:val="00651CAA"/>
    <w:rsid w:val="006536C5"/>
    <w:rsid w:val="006557C5"/>
    <w:rsid w:val="006566BF"/>
    <w:rsid w:val="00656C96"/>
    <w:rsid w:val="0066058D"/>
    <w:rsid w:val="00662175"/>
    <w:rsid w:val="0066744D"/>
    <w:rsid w:val="006715E5"/>
    <w:rsid w:val="00672E6C"/>
    <w:rsid w:val="00680B3B"/>
    <w:rsid w:val="00681827"/>
    <w:rsid w:val="00681B17"/>
    <w:rsid w:val="006825D3"/>
    <w:rsid w:val="0068459C"/>
    <w:rsid w:val="0068674F"/>
    <w:rsid w:val="00690488"/>
    <w:rsid w:val="00691E57"/>
    <w:rsid w:val="00691F16"/>
    <w:rsid w:val="0069591B"/>
    <w:rsid w:val="0069648B"/>
    <w:rsid w:val="006A034E"/>
    <w:rsid w:val="006A0633"/>
    <w:rsid w:val="006A13E0"/>
    <w:rsid w:val="006A186F"/>
    <w:rsid w:val="006A1A0B"/>
    <w:rsid w:val="006A5E60"/>
    <w:rsid w:val="006A6C36"/>
    <w:rsid w:val="006B09F6"/>
    <w:rsid w:val="006B1EC4"/>
    <w:rsid w:val="006B2695"/>
    <w:rsid w:val="006B3FDD"/>
    <w:rsid w:val="006B4B49"/>
    <w:rsid w:val="006B698B"/>
    <w:rsid w:val="006B75FE"/>
    <w:rsid w:val="006B7E30"/>
    <w:rsid w:val="006C6447"/>
    <w:rsid w:val="006D0E27"/>
    <w:rsid w:val="006D5231"/>
    <w:rsid w:val="006E0306"/>
    <w:rsid w:val="006E2637"/>
    <w:rsid w:val="006E3136"/>
    <w:rsid w:val="006E7FB9"/>
    <w:rsid w:val="006F22C0"/>
    <w:rsid w:val="006F3601"/>
    <w:rsid w:val="006F38D4"/>
    <w:rsid w:val="006F54D3"/>
    <w:rsid w:val="00702423"/>
    <w:rsid w:val="00702C14"/>
    <w:rsid w:val="00703B4E"/>
    <w:rsid w:val="00706BA6"/>
    <w:rsid w:val="0071080C"/>
    <w:rsid w:val="0071256D"/>
    <w:rsid w:val="00713632"/>
    <w:rsid w:val="00714C54"/>
    <w:rsid w:val="00717CEB"/>
    <w:rsid w:val="007223C1"/>
    <w:rsid w:val="00722F93"/>
    <w:rsid w:val="007235C7"/>
    <w:rsid w:val="00724F24"/>
    <w:rsid w:val="00725061"/>
    <w:rsid w:val="00726B30"/>
    <w:rsid w:val="00726C91"/>
    <w:rsid w:val="007271B8"/>
    <w:rsid w:val="00730220"/>
    <w:rsid w:val="0073044D"/>
    <w:rsid w:val="007314DC"/>
    <w:rsid w:val="007319B2"/>
    <w:rsid w:val="00731D97"/>
    <w:rsid w:val="00733234"/>
    <w:rsid w:val="007346A1"/>
    <w:rsid w:val="0073479E"/>
    <w:rsid w:val="007379AC"/>
    <w:rsid w:val="00737FF1"/>
    <w:rsid w:val="007400D2"/>
    <w:rsid w:val="0074051F"/>
    <w:rsid w:val="00741531"/>
    <w:rsid w:val="007438E4"/>
    <w:rsid w:val="007454FE"/>
    <w:rsid w:val="0074596E"/>
    <w:rsid w:val="00746D21"/>
    <w:rsid w:val="00747564"/>
    <w:rsid w:val="00751D46"/>
    <w:rsid w:val="00753874"/>
    <w:rsid w:val="00760973"/>
    <w:rsid w:val="00761CBB"/>
    <w:rsid w:val="00766B55"/>
    <w:rsid w:val="00770C0D"/>
    <w:rsid w:val="00773E37"/>
    <w:rsid w:val="00773E53"/>
    <w:rsid w:val="00776670"/>
    <w:rsid w:val="00776E7B"/>
    <w:rsid w:val="00777044"/>
    <w:rsid w:val="00780DC9"/>
    <w:rsid w:val="0078219A"/>
    <w:rsid w:val="007827E4"/>
    <w:rsid w:val="007841C2"/>
    <w:rsid w:val="00784303"/>
    <w:rsid w:val="007845AE"/>
    <w:rsid w:val="007858B2"/>
    <w:rsid w:val="00787232"/>
    <w:rsid w:val="007978DA"/>
    <w:rsid w:val="007A0162"/>
    <w:rsid w:val="007A0851"/>
    <w:rsid w:val="007A32C3"/>
    <w:rsid w:val="007A4875"/>
    <w:rsid w:val="007B0083"/>
    <w:rsid w:val="007B0905"/>
    <w:rsid w:val="007B225D"/>
    <w:rsid w:val="007B4F33"/>
    <w:rsid w:val="007B6392"/>
    <w:rsid w:val="007B722D"/>
    <w:rsid w:val="007C071A"/>
    <w:rsid w:val="007C0C93"/>
    <w:rsid w:val="007C5B3B"/>
    <w:rsid w:val="007C632D"/>
    <w:rsid w:val="007C698C"/>
    <w:rsid w:val="007D10CD"/>
    <w:rsid w:val="007D2CC6"/>
    <w:rsid w:val="007D2EDC"/>
    <w:rsid w:val="007D5ECF"/>
    <w:rsid w:val="007D6DD4"/>
    <w:rsid w:val="007D712C"/>
    <w:rsid w:val="007D76B1"/>
    <w:rsid w:val="007E02CA"/>
    <w:rsid w:val="007E1267"/>
    <w:rsid w:val="007E2948"/>
    <w:rsid w:val="007E2AC2"/>
    <w:rsid w:val="007E3345"/>
    <w:rsid w:val="007E3597"/>
    <w:rsid w:val="007E3E29"/>
    <w:rsid w:val="007E4D0A"/>
    <w:rsid w:val="007E671B"/>
    <w:rsid w:val="007E6C6B"/>
    <w:rsid w:val="007E7DE1"/>
    <w:rsid w:val="007F042D"/>
    <w:rsid w:val="007F2605"/>
    <w:rsid w:val="007F32F9"/>
    <w:rsid w:val="007F3DB6"/>
    <w:rsid w:val="007F7B0E"/>
    <w:rsid w:val="008008C6"/>
    <w:rsid w:val="00801403"/>
    <w:rsid w:val="00802B21"/>
    <w:rsid w:val="00802C9E"/>
    <w:rsid w:val="00804613"/>
    <w:rsid w:val="0080470B"/>
    <w:rsid w:val="008058F6"/>
    <w:rsid w:val="00805915"/>
    <w:rsid w:val="0080680D"/>
    <w:rsid w:val="00811741"/>
    <w:rsid w:val="00811EDD"/>
    <w:rsid w:val="00812253"/>
    <w:rsid w:val="00813E76"/>
    <w:rsid w:val="00815B7B"/>
    <w:rsid w:val="00816B55"/>
    <w:rsid w:val="0081781C"/>
    <w:rsid w:val="0082376F"/>
    <w:rsid w:val="0082443E"/>
    <w:rsid w:val="008310D9"/>
    <w:rsid w:val="008336A7"/>
    <w:rsid w:val="0083424E"/>
    <w:rsid w:val="00834374"/>
    <w:rsid w:val="00834B40"/>
    <w:rsid w:val="008361E5"/>
    <w:rsid w:val="008443F5"/>
    <w:rsid w:val="008476AB"/>
    <w:rsid w:val="008500BF"/>
    <w:rsid w:val="008505B1"/>
    <w:rsid w:val="0085089D"/>
    <w:rsid w:val="0085487A"/>
    <w:rsid w:val="00857B16"/>
    <w:rsid w:val="008617E4"/>
    <w:rsid w:val="00862E96"/>
    <w:rsid w:val="00863392"/>
    <w:rsid w:val="0086700D"/>
    <w:rsid w:val="00873B8C"/>
    <w:rsid w:val="0087698D"/>
    <w:rsid w:val="0088043B"/>
    <w:rsid w:val="00880F1D"/>
    <w:rsid w:val="00883390"/>
    <w:rsid w:val="00883A50"/>
    <w:rsid w:val="008846E1"/>
    <w:rsid w:val="0089006A"/>
    <w:rsid w:val="00890F43"/>
    <w:rsid w:val="00891941"/>
    <w:rsid w:val="00891D6C"/>
    <w:rsid w:val="00896DF9"/>
    <w:rsid w:val="008973E4"/>
    <w:rsid w:val="008A3387"/>
    <w:rsid w:val="008A3BB7"/>
    <w:rsid w:val="008A5614"/>
    <w:rsid w:val="008A61A0"/>
    <w:rsid w:val="008A6ED4"/>
    <w:rsid w:val="008A7A43"/>
    <w:rsid w:val="008B0D3D"/>
    <w:rsid w:val="008B2AE7"/>
    <w:rsid w:val="008B3DAD"/>
    <w:rsid w:val="008B4AAA"/>
    <w:rsid w:val="008B4E8B"/>
    <w:rsid w:val="008B7CA3"/>
    <w:rsid w:val="008C00C4"/>
    <w:rsid w:val="008C1C49"/>
    <w:rsid w:val="008C1CF8"/>
    <w:rsid w:val="008C2D04"/>
    <w:rsid w:val="008C45FF"/>
    <w:rsid w:val="008C59DE"/>
    <w:rsid w:val="008C5CAC"/>
    <w:rsid w:val="008C64F0"/>
    <w:rsid w:val="008C6ADE"/>
    <w:rsid w:val="008C6CFC"/>
    <w:rsid w:val="008D0BA8"/>
    <w:rsid w:val="008D0F65"/>
    <w:rsid w:val="008D0F67"/>
    <w:rsid w:val="008D1FC8"/>
    <w:rsid w:val="008D2751"/>
    <w:rsid w:val="008D3F67"/>
    <w:rsid w:val="008D5073"/>
    <w:rsid w:val="008D6459"/>
    <w:rsid w:val="008D7EDC"/>
    <w:rsid w:val="008E48F6"/>
    <w:rsid w:val="008E625A"/>
    <w:rsid w:val="008E74A5"/>
    <w:rsid w:val="008E7857"/>
    <w:rsid w:val="008F21DF"/>
    <w:rsid w:val="008F2777"/>
    <w:rsid w:val="009010F4"/>
    <w:rsid w:val="00902825"/>
    <w:rsid w:val="00913863"/>
    <w:rsid w:val="00914792"/>
    <w:rsid w:val="009163E2"/>
    <w:rsid w:val="00916DC0"/>
    <w:rsid w:val="00921C5E"/>
    <w:rsid w:val="00922F1C"/>
    <w:rsid w:val="00923261"/>
    <w:rsid w:val="00924D03"/>
    <w:rsid w:val="0092576F"/>
    <w:rsid w:val="00930CEB"/>
    <w:rsid w:val="00932780"/>
    <w:rsid w:val="00942D5B"/>
    <w:rsid w:val="00943CCC"/>
    <w:rsid w:val="00943D0B"/>
    <w:rsid w:val="00951EEF"/>
    <w:rsid w:val="0095210B"/>
    <w:rsid w:val="00953207"/>
    <w:rsid w:val="0095632E"/>
    <w:rsid w:val="00956DFA"/>
    <w:rsid w:val="009576CF"/>
    <w:rsid w:val="00961F25"/>
    <w:rsid w:val="009620ED"/>
    <w:rsid w:val="00964B07"/>
    <w:rsid w:val="009662E9"/>
    <w:rsid w:val="00967C95"/>
    <w:rsid w:val="00973217"/>
    <w:rsid w:val="00975E75"/>
    <w:rsid w:val="00975EBD"/>
    <w:rsid w:val="009831CF"/>
    <w:rsid w:val="00986222"/>
    <w:rsid w:val="00990303"/>
    <w:rsid w:val="00992E9B"/>
    <w:rsid w:val="00995EDD"/>
    <w:rsid w:val="00997A15"/>
    <w:rsid w:val="009A1EF1"/>
    <w:rsid w:val="009A24F3"/>
    <w:rsid w:val="009A3BD3"/>
    <w:rsid w:val="009A4463"/>
    <w:rsid w:val="009A68F4"/>
    <w:rsid w:val="009B1657"/>
    <w:rsid w:val="009B3019"/>
    <w:rsid w:val="009B3270"/>
    <w:rsid w:val="009B494C"/>
    <w:rsid w:val="009B582F"/>
    <w:rsid w:val="009B6A6D"/>
    <w:rsid w:val="009B72AD"/>
    <w:rsid w:val="009B7B12"/>
    <w:rsid w:val="009C0215"/>
    <w:rsid w:val="009C2071"/>
    <w:rsid w:val="009C268F"/>
    <w:rsid w:val="009C4940"/>
    <w:rsid w:val="009C49F2"/>
    <w:rsid w:val="009C70E6"/>
    <w:rsid w:val="009C745E"/>
    <w:rsid w:val="009D0BDC"/>
    <w:rsid w:val="009D0C92"/>
    <w:rsid w:val="009D2168"/>
    <w:rsid w:val="009D256D"/>
    <w:rsid w:val="009D526D"/>
    <w:rsid w:val="009D731F"/>
    <w:rsid w:val="009E110D"/>
    <w:rsid w:val="009E1CB5"/>
    <w:rsid w:val="009E29CF"/>
    <w:rsid w:val="009E36E5"/>
    <w:rsid w:val="009F0974"/>
    <w:rsid w:val="009F1AE8"/>
    <w:rsid w:val="009F25D3"/>
    <w:rsid w:val="009F2D17"/>
    <w:rsid w:val="009F33CB"/>
    <w:rsid w:val="009F779F"/>
    <w:rsid w:val="00A011DB"/>
    <w:rsid w:val="00A03C3B"/>
    <w:rsid w:val="00A078CE"/>
    <w:rsid w:val="00A13A6D"/>
    <w:rsid w:val="00A14B17"/>
    <w:rsid w:val="00A15120"/>
    <w:rsid w:val="00A1574B"/>
    <w:rsid w:val="00A15D8C"/>
    <w:rsid w:val="00A17571"/>
    <w:rsid w:val="00A20BA0"/>
    <w:rsid w:val="00A2137B"/>
    <w:rsid w:val="00A2307C"/>
    <w:rsid w:val="00A23A8C"/>
    <w:rsid w:val="00A262A7"/>
    <w:rsid w:val="00A27B95"/>
    <w:rsid w:val="00A30840"/>
    <w:rsid w:val="00A350CC"/>
    <w:rsid w:val="00A35EC6"/>
    <w:rsid w:val="00A37446"/>
    <w:rsid w:val="00A37984"/>
    <w:rsid w:val="00A37CDC"/>
    <w:rsid w:val="00A40C11"/>
    <w:rsid w:val="00A4184B"/>
    <w:rsid w:val="00A426D4"/>
    <w:rsid w:val="00A43A8D"/>
    <w:rsid w:val="00A4621E"/>
    <w:rsid w:val="00A50E67"/>
    <w:rsid w:val="00A534B7"/>
    <w:rsid w:val="00A571C7"/>
    <w:rsid w:val="00A61B04"/>
    <w:rsid w:val="00A65B1B"/>
    <w:rsid w:val="00A6659F"/>
    <w:rsid w:val="00A673D4"/>
    <w:rsid w:val="00A67AA7"/>
    <w:rsid w:val="00A73F26"/>
    <w:rsid w:val="00A74C9C"/>
    <w:rsid w:val="00A74DD4"/>
    <w:rsid w:val="00A75816"/>
    <w:rsid w:val="00A76C89"/>
    <w:rsid w:val="00A7716C"/>
    <w:rsid w:val="00A8199D"/>
    <w:rsid w:val="00A8307F"/>
    <w:rsid w:val="00A8459C"/>
    <w:rsid w:val="00A846E8"/>
    <w:rsid w:val="00A86221"/>
    <w:rsid w:val="00A874FE"/>
    <w:rsid w:val="00A906CC"/>
    <w:rsid w:val="00A918A2"/>
    <w:rsid w:val="00A91C98"/>
    <w:rsid w:val="00AA0BB6"/>
    <w:rsid w:val="00AA0BBE"/>
    <w:rsid w:val="00AA2541"/>
    <w:rsid w:val="00AA33EC"/>
    <w:rsid w:val="00AA4A77"/>
    <w:rsid w:val="00AA601F"/>
    <w:rsid w:val="00AB0D61"/>
    <w:rsid w:val="00AB1B3E"/>
    <w:rsid w:val="00AB5090"/>
    <w:rsid w:val="00AB687E"/>
    <w:rsid w:val="00AB7985"/>
    <w:rsid w:val="00AC106C"/>
    <w:rsid w:val="00AC367C"/>
    <w:rsid w:val="00AC7B66"/>
    <w:rsid w:val="00AD10BF"/>
    <w:rsid w:val="00AD2E22"/>
    <w:rsid w:val="00AD6327"/>
    <w:rsid w:val="00AE02E9"/>
    <w:rsid w:val="00AE0E30"/>
    <w:rsid w:val="00AE2B34"/>
    <w:rsid w:val="00AE2F1C"/>
    <w:rsid w:val="00AF236E"/>
    <w:rsid w:val="00AF542E"/>
    <w:rsid w:val="00AF5D8A"/>
    <w:rsid w:val="00AF6CF1"/>
    <w:rsid w:val="00AF7050"/>
    <w:rsid w:val="00B01194"/>
    <w:rsid w:val="00B02A45"/>
    <w:rsid w:val="00B033C1"/>
    <w:rsid w:val="00B047D6"/>
    <w:rsid w:val="00B07ADB"/>
    <w:rsid w:val="00B12C0B"/>
    <w:rsid w:val="00B14908"/>
    <w:rsid w:val="00B15F8A"/>
    <w:rsid w:val="00B16EBD"/>
    <w:rsid w:val="00B20CEB"/>
    <w:rsid w:val="00B2195F"/>
    <w:rsid w:val="00B22D56"/>
    <w:rsid w:val="00B252DD"/>
    <w:rsid w:val="00B2544A"/>
    <w:rsid w:val="00B25ADC"/>
    <w:rsid w:val="00B3291B"/>
    <w:rsid w:val="00B3345B"/>
    <w:rsid w:val="00B33B7B"/>
    <w:rsid w:val="00B416FC"/>
    <w:rsid w:val="00B44A80"/>
    <w:rsid w:val="00B4578E"/>
    <w:rsid w:val="00B45EDC"/>
    <w:rsid w:val="00B4641C"/>
    <w:rsid w:val="00B47037"/>
    <w:rsid w:val="00B47BB5"/>
    <w:rsid w:val="00B47FD3"/>
    <w:rsid w:val="00B515F2"/>
    <w:rsid w:val="00B53594"/>
    <w:rsid w:val="00B5652C"/>
    <w:rsid w:val="00B60858"/>
    <w:rsid w:val="00B63902"/>
    <w:rsid w:val="00B672A6"/>
    <w:rsid w:val="00B71A39"/>
    <w:rsid w:val="00B724A3"/>
    <w:rsid w:val="00B7299A"/>
    <w:rsid w:val="00B74618"/>
    <w:rsid w:val="00B76975"/>
    <w:rsid w:val="00B76ACA"/>
    <w:rsid w:val="00B77929"/>
    <w:rsid w:val="00B77A41"/>
    <w:rsid w:val="00B8341D"/>
    <w:rsid w:val="00B84079"/>
    <w:rsid w:val="00B8419C"/>
    <w:rsid w:val="00B87AEC"/>
    <w:rsid w:val="00B9179D"/>
    <w:rsid w:val="00B92002"/>
    <w:rsid w:val="00B939C6"/>
    <w:rsid w:val="00B93AEB"/>
    <w:rsid w:val="00B94512"/>
    <w:rsid w:val="00B95161"/>
    <w:rsid w:val="00B9628C"/>
    <w:rsid w:val="00B96583"/>
    <w:rsid w:val="00BA6A79"/>
    <w:rsid w:val="00BB0157"/>
    <w:rsid w:val="00BB142D"/>
    <w:rsid w:val="00BB1EDE"/>
    <w:rsid w:val="00BB2130"/>
    <w:rsid w:val="00BB24AF"/>
    <w:rsid w:val="00BB2ADB"/>
    <w:rsid w:val="00BB3B86"/>
    <w:rsid w:val="00BB47D9"/>
    <w:rsid w:val="00BB4DF0"/>
    <w:rsid w:val="00BB5FFF"/>
    <w:rsid w:val="00BC11E2"/>
    <w:rsid w:val="00BC306C"/>
    <w:rsid w:val="00BC39B6"/>
    <w:rsid w:val="00BC6CFA"/>
    <w:rsid w:val="00BC7409"/>
    <w:rsid w:val="00BD0DEB"/>
    <w:rsid w:val="00BD4D90"/>
    <w:rsid w:val="00BD4EEA"/>
    <w:rsid w:val="00BD6F58"/>
    <w:rsid w:val="00BD7478"/>
    <w:rsid w:val="00BE3651"/>
    <w:rsid w:val="00BE3A3D"/>
    <w:rsid w:val="00BE4722"/>
    <w:rsid w:val="00BE481D"/>
    <w:rsid w:val="00BE5CB2"/>
    <w:rsid w:val="00BE6840"/>
    <w:rsid w:val="00BE7312"/>
    <w:rsid w:val="00BF3AC1"/>
    <w:rsid w:val="00BF5D80"/>
    <w:rsid w:val="00BF6ECE"/>
    <w:rsid w:val="00BF7A38"/>
    <w:rsid w:val="00C03FA3"/>
    <w:rsid w:val="00C06C30"/>
    <w:rsid w:val="00C06CD8"/>
    <w:rsid w:val="00C109AE"/>
    <w:rsid w:val="00C12CD8"/>
    <w:rsid w:val="00C169F9"/>
    <w:rsid w:val="00C16C79"/>
    <w:rsid w:val="00C17BC3"/>
    <w:rsid w:val="00C20CF5"/>
    <w:rsid w:val="00C2279C"/>
    <w:rsid w:val="00C245CB"/>
    <w:rsid w:val="00C24EB5"/>
    <w:rsid w:val="00C321BF"/>
    <w:rsid w:val="00C32BE9"/>
    <w:rsid w:val="00C32D34"/>
    <w:rsid w:val="00C34618"/>
    <w:rsid w:val="00C34B1E"/>
    <w:rsid w:val="00C34D92"/>
    <w:rsid w:val="00C354F1"/>
    <w:rsid w:val="00C362E5"/>
    <w:rsid w:val="00C400F4"/>
    <w:rsid w:val="00C40816"/>
    <w:rsid w:val="00C40C55"/>
    <w:rsid w:val="00C43127"/>
    <w:rsid w:val="00C45B53"/>
    <w:rsid w:val="00C46452"/>
    <w:rsid w:val="00C46DB9"/>
    <w:rsid w:val="00C50216"/>
    <w:rsid w:val="00C5134B"/>
    <w:rsid w:val="00C53DDF"/>
    <w:rsid w:val="00C5553B"/>
    <w:rsid w:val="00C577BB"/>
    <w:rsid w:val="00C61430"/>
    <w:rsid w:val="00C6233B"/>
    <w:rsid w:val="00C627F1"/>
    <w:rsid w:val="00C63F32"/>
    <w:rsid w:val="00C642DF"/>
    <w:rsid w:val="00C6615B"/>
    <w:rsid w:val="00C66454"/>
    <w:rsid w:val="00C66D4D"/>
    <w:rsid w:val="00C67253"/>
    <w:rsid w:val="00C67BF2"/>
    <w:rsid w:val="00C70236"/>
    <w:rsid w:val="00C71450"/>
    <w:rsid w:val="00C72C2B"/>
    <w:rsid w:val="00C730A8"/>
    <w:rsid w:val="00C73873"/>
    <w:rsid w:val="00C73D39"/>
    <w:rsid w:val="00C74657"/>
    <w:rsid w:val="00C74BC5"/>
    <w:rsid w:val="00C80361"/>
    <w:rsid w:val="00C81433"/>
    <w:rsid w:val="00C83C0B"/>
    <w:rsid w:val="00C83FEF"/>
    <w:rsid w:val="00C848EB"/>
    <w:rsid w:val="00C8681F"/>
    <w:rsid w:val="00C87611"/>
    <w:rsid w:val="00C87FA4"/>
    <w:rsid w:val="00C9037B"/>
    <w:rsid w:val="00CA0CF6"/>
    <w:rsid w:val="00CA1D65"/>
    <w:rsid w:val="00CA301D"/>
    <w:rsid w:val="00CA4A74"/>
    <w:rsid w:val="00CA5AC8"/>
    <w:rsid w:val="00CA7EA8"/>
    <w:rsid w:val="00CB08FE"/>
    <w:rsid w:val="00CB76BB"/>
    <w:rsid w:val="00CC13CE"/>
    <w:rsid w:val="00CC4444"/>
    <w:rsid w:val="00CC49EB"/>
    <w:rsid w:val="00CC6387"/>
    <w:rsid w:val="00CD026E"/>
    <w:rsid w:val="00CD3562"/>
    <w:rsid w:val="00CD4E3B"/>
    <w:rsid w:val="00CD75AC"/>
    <w:rsid w:val="00CD760A"/>
    <w:rsid w:val="00CE3F7C"/>
    <w:rsid w:val="00CE656C"/>
    <w:rsid w:val="00CE7832"/>
    <w:rsid w:val="00CF03C9"/>
    <w:rsid w:val="00CF441A"/>
    <w:rsid w:val="00CF7477"/>
    <w:rsid w:val="00D00802"/>
    <w:rsid w:val="00D01539"/>
    <w:rsid w:val="00D03835"/>
    <w:rsid w:val="00D040E2"/>
    <w:rsid w:val="00D048B5"/>
    <w:rsid w:val="00D1087A"/>
    <w:rsid w:val="00D10E19"/>
    <w:rsid w:val="00D1194E"/>
    <w:rsid w:val="00D1419D"/>
    <w:rsid w:val="00D17561"/>
    <w:rsid w:val="00D21A30"/>
    <w:rsid w:val="00D25811"/>
    <w:rsid w:val="00D34F1C"/>
    <w:rsid w:val="00D356B1"/>
    <w:rsid w:val="00D405C6"/>
    <w:rsid w:val="00D4134A"/>
    <w:rsid w:val="00D4332C"/>
    <w:rsid w:val="00D45E09"/>
    <w:rsid w:val="00D548DD"/>
    <w:rsid w:val="00D56021"/>
    <w:rsid w:val="00D56A32"/>
    <w:rsid w:val="00D578D2"/>
    <w:rsid w:val="00D63C09"/>
    <w:rsid w:val="00D718B3"/>
    <w:rsid w:val="00D76694"/>
    <w:rsid w:val="00D80949"/>
    <w:rsid w:val="00D814BD"/>
    <w:rsid w:val="00D81673"/>
    <w:rsid w:val="00D81812"/>
    <w:rsid w:val="00D824D4"/>
    <w:rsid w:val="00D826D6"/>
    <w:rsid w:val="00D83BC5"/>
    <w:rsid w:val="00D844A4"/>
    <w:rsid w:val="00D854B6"/>
    <w:rsid w:val="00D86A28"/>
    <w:rsid w:val="00D926EC"/>
    <w:rsid w:val="00D933DD"/>
    <w:rsid w:val="00D934D2"/>
    <w:rsid w:val="00D9510E"/>
    <w:rsid w:val="00D95506"/>
    <w:rsid w:val="00D955F2"/>
    <w:rsid w:val="00D969FE"/>
    <w:rsid w:val="00D97E2B"/>
    <w:rsid w:val="00DA3490"/>
    <w:rsid w:val="00DA3A74"/>
    <w:rsid w:val="00DA5214"/>
    <w:rsid w:val="00DA620C"/>
    <w:rsid w:val="00DB29C3"/>
    <w:rsid w:val="00DB6A39"/>
    <w:rsid w:val="00DB7DE9"/>
    <w:rsid w:val="00DC4D33"/>
    <w:rsid w:val="00DC61F9"/>
    <w:rsid w:val="00DC6883"/>
    <w:rsid w:val="00DD0063"/>
    <w:rsid w:val="00DD28E9"/>
    <w:rsid w:val="00DD2AB7"/>
    <w:rsid w:val="00DE12A0"/>
    <w:rsid w:val="00DE1897"/>
    <w:rsid w:val="00DE2AD7"/>
    <w:rsid w:val="00DE2C1F"/>
    <w:rsid w:val="00DE6472"/>
    <w:rsid w:val="00DF0033"/>
    <w:rsid w:val="00DF0BDD"/>
    <w:rsid w:val="00DF2F82"/>
    <w:rsid w:val="00DF5C10"/>
    <w:rsid w:val="00DF6920"/>
    <w:rsid w:val="00DF7ADA"/>
    <w:rsid w:val="00E0171F"/>
    <w:rsid w:val="00E03809"/>
    <w:rsid w:val="00E04AA1"/>
    <w:rsid w:val="00E05D41"/>
    <w:rsid w:val="00E06F61"/>
    <w:rsid w:val="00E10278"/>
    <w:rsid w:val="00E11E62"/>
    <w:rsid w:val="00E12DC5"/>
    <w:rsid w:val="00E15EEC"/>
    <w:rsid w:val="00E20EA8"/>
    <w:rsid w:val="00E21639"/>
    <w:rsid w:val="00E21CEB"/>
    <w:rsid w:val="00E22A8D"/>
    <w:rsid w:val="00E23A5E"/>
    <w:rsid w:val="00E26C45"/>
    <w:rsid w:val="00E33213"/>
    <w:rsid w:val="00E35166"/>
    <w:rsid w:val="00E440B1"/>
    <w:rsid w:val="00E44179"/>
    <w:rsid w:val="00E4448A"/>
    <w:rsid w:val="00E458A4"/>
    <w:rsid w:val="00E45940"/>
    <w:rsid w:val="00E46616"/>
    <w:rsid w:val="00E5264A"/>
    <w:rsid w:val="00E53940"/>
    <w:rsid w:val="00E54F90"/>
    <w:rsid w:val="00E5506D"/>
    <w:rsid w:val="00E55B65"/>
    <w:rsid w:val="00E56A13"/>
    <w:rsid w:val="00E5701C"/>
    <w:rsid w:val="00E6129A"/>
    <w:rsid w:val="00E63FCC"/>
    <w:rsid w:val="00E648E2"/>
    <w:rsid w:val="00E6544C"/>
    <w:rsid w:val="00E66DF9"/>
    <w:rsid w:val="00E7095A"/>
    <w:rsid w:val="00E71B28"/>
    <w:rsid w:val="00E73609"/>
    <w:rsid w:val="00E7508F"/>
    <w:rsid w:val="00E76BDC"/>
    <w:rsid w:val="00E83163"/>
    <w:rsid w:val="00E833EA"/>
    <w:rsid w:val="00E83C7E"/>
    <w:rsid w:val="00E8426A"/>
    <w:rsid w:val="00E84764"/>
    <w:rsid w:val="00E85605"/>
    <w:rsid w:val="00E90870"/>
    <w:rsid w:val="00E927BB"/>
    <w:rsid w:val="00E93020"/>
    <w:rsid w:val="00E94D1A"/>
    <w:rsid w:val="00EA1619"/>
    <w:rsid w:val="00EA713A"/>
    <w:rsid w:val="00EB1BF8"/>
    <w:rsid w:val="00EB21A5"/>
    <w:rsid w:val="00EB2933"/>
    <w:rsid w:val="00EB4E80"/>
    <w:rsid w:val="00EB5766"/>
    <w:rsid w:val="00EC02AC"/>
    <w:rsid w:val="00EC1FC7"/>
    <w:rsid w:val="00EC3966"/>
    <w:rsid w:val="00EC4250"/>
    <w:rsid w:val="00EC5A8A"/>
    <w:rsid w:val="00EC5B52"/>
    <w:rsid w:val="00EC623B"/>
    <w:rsid w:val="00EC6377"/>
    <w:rsid w:val="00ED151E"/>
    <w:rsid w:val="00ED3EDB"/>
    <w:rsid w:val="00ED5F9B"/>
    <w:rsid w:val="00ED66C6"/>
    <w:rsid w:val="00EE2B21"/>
    <w:rsid w:val="00EE3D09"/>
    <w:rsid w:val="00EE5AEE"/>
    <w:rsid w:val="00EE6A8A"/>
    <w:rsid w:val="00EE7AB9"/>
    <w:rsid w:val="00EF3E67"/>
    <w:rsid w:val="00EF6178"/>
    <w:rsid w:val="00EF6D25"/>
    <w:rsid w:val="00F0345A"/>
    <w:rsid w:val="00F03731"/>
    <w:rsid w:val="00F03C2E"/>
    <w:rsid w:val="00F03CB5"/>
    <w:rsid w:val="00F04665"/>
    <w:rsid w:val="00F0700B"/>
    <w:rsid w:val="00F1031E"/>
    <w:rsid w:val="00F10BDA"/>
    <w:rsid w:val="00F15209"/>
    <w:rsid w:val="00F15AB1"/>
    <w:rsid w:val="00F167DD"/>
    <w:rsid w:val="00F2137E"/>
    <w:rsid w:val="00F2210D"/>
    <w:rsid w:val="00F246CB"/>
    <w:rsid w:val="00F24CB3"/>
    <w:rsid w:val="00F2738A"/>
    <w:rsid w:val="00F27777"/>
    <w:rsid w:val="00F30392"/>
    <w:rsid w:val="00F306A4"/>
    <w:rsid w:val="00F30763"/>
    <w:rsid w:val="00F30BE2"/>
    <w:rsid w:val="00F329FD"/>
    <w:rsid w:val="00F32B3A"/>
    <w:rsid w:val="00F35D08"/>
    <w:rsid w:val="00F401B5"/>
    <w:rsid w:val="00F408E5"/>
    <w:rsid w:val="00F436A3"/>
    <w:rsid w:val="00F45198"/>
    <w:rsid w:val="00F46DE0"/>
    <w:rsid w:val="00F46FA8"/>
    <w:rsid w:val="00F47385"/>
    <w:rsid w:val="00F52602"/>
    <w:rsid w:val="00F61AE0"/>
    <w:rsid w:val="00F62566"/>
    <w:rsid w:val="00F6329A"/>
    <w:rsid w:val="00F66D77"/>
    <w:rsid w:val="00F73263"/>
    <w:rsid w:val="00F736E8"/>
    <w:rsid w:val="00F73BE6"/>
    <w:rsid w:val="00F746B4"/>
    <w:rsid w:val="00F77C5C"/>
    <w:rsid w:val="00F84785"/>
    <w:rsid w:val="00F877B6"/>
    <w:rsid w:val="00F9097C"/>
    <w:rsid w:val="00F909F1"/>
    <w:rsid w:val="00F90CB2"/>
    <w:rsid w:val="00FA3311"/>
    <w:rsid w:val="00FA71DB"/>
    <w:rsid w:val="00FA7F63"/>
    <w:rsid w:val="00FB1752"/>
    <w:rsid w:val="00FB3392"/>
    <w:rsid w:val="00FB653F"/>
    <w:rsid w:val="00FB7308"/>
    <w:rsid w:val="00FC037D"/>
    <w:rsid w:val="00FC22FA"/>
    <w:rsid w:val="00FC2B40"/>
    <w:rsid w:val="00FC5047"/>
    <w:rsid w:val="00FC7C02"/>
    <w:rsid w:val="00FD1935"/>
    <w:rsid w:val="00FD2168"/>
    <w:rsid w:val="00FD2378"/>
    <w:rsid w:val="00FD3049"/>
    <w:rsid w:val="00FD4A7C"/>
    <w:rsid w:val="00FD5620"/>
    <w:rsid w:val="00FD573A"/>
    <w:rsid w:val="00FD57CB"/>
    <w:rsid w:val="00FD6A3D"/>
    <w:rsid w:val="00FD6F16"/>
    <w:rsid w:val="00FD72C4"/>
    <w:rsid w:val="00FD7392"/>
    <w:rsid w:val="00FE0170"/>
    <w:rsid w:val="00FE0475"/>
    <w:rsid w:val="00FE4DB2"/>
    <w:rsid w:val="00FF09A8"/>
    <w:rsid w:val="00FF1FE7"/>
    <w:rsid w:val="00FF37F3"/>
  </w:rsids>
  <m:mathPr>
    <m:mathFont m:val="Cambria Math"/>
    <m:brkBin m:val="before"/>
    <m:brkBinSub m:val="--"/>
    <m:smallFrac/>
    <m:dispDef/>
    <m:lMargin m:val="0"/>
    <m:rMargin m:val="0"/>
    <m:defJc m:val="centerGroup"/>
    <m:wrapRight/>
    <m:intLim m:val="subSup"/>
    <m:naryLim m:val="subSup"/>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0" w:defSemiHidden="0" w:defUnhideWhenUsed="0" w:defQFormat="0" w:count="267">
    <w:lsdException w:name="footnote reference" w:uiPriority="99"/>
    <w:lsdException w:name="Emphasis" w:uiPriority="20" w:qFormat="1"/>
  </w:latentStyles>
  <w:style w:type="paragraph" w:default="1" w:styleId="Normal">
    <w:name w:val="Normal"/>
    <w:qFormat/>
    <w:rsid w:val="009A4463"/>
  </w:style>
  <w:style w:type="paragraph" w:styleId="Titre1">
    <w:name w:val="heading 1"/>
    <w:basedOn w:val="Normal"/>
    <w:link w:val="Titre1Car"/>
    <w:uiPriority w:val="9"/>
    <w:qFormat/>
    <w:rsid w:val="009D526D"/>
    <w:pPr>
      <w:spacing w:before="100" w:beforeAutospacing="1" w:after="100" w:afterAutospacing="1"/>
      <w:jc w:val="center"/>
      <w:outlineLvl w:val="0"/>
    </w:pPr>
    <w:rPr>
      <w:rFonts w:ascii="Arial" w:eastAsia="Times New Roman" w:hAnsi="Arial" w:cs="Arial"/>
      <w:b/>
      <w:bCs/>
      <w:kern w:val="36"/>
      <w:lang w:val="fr-BE" w:eastAsia="fr-BE"/>
    </w:rPr>
  </w:style>
  <w:style w:type="paragraph" w:styleId="Titre2">
    <w:name w:val="heading 2"/>
    <w:basedOn w:val="Normal"/>
    <w:link w:val="Titre2Car"/>
    <w:uiPriority w:val="9"/>
    <w:qFormat/>
    <w:rsid w:val="009D526D"/>
    <w:pPr>
      <w:spacing w:before="100" w:beforeAutospacing="1" w:after="100" w:afterAutospacing="1"/>
      <w:outlineLvl w:val="1"/>
    </w:pPr>
    <w:rPr>
      <w:rFonts w:ascii="Arial" w:eastAsia="Times New Roman" w:hAnsi="Arial" w:cs="Arial"/>
      <w:sz w:val="21"/>
      <w:szCs w:val="21"/>
      <w:lang w:val="fr-BE" w:eastAsia="fr-BE"/>
    </w:rPr>
  </w:style>
  <w:style w:type="paragraph" w:styleId="Titre3">
    <w:name w:val="heading 3"/>
    <w:basedOn w:val="Normal"/>
    <w:next w:val="Normal"/>
    <w:link w:val="Titre3Car"/>
    <w:rsid w:val="00F61AE0"/>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4463"/>
    <w:rPr>
      <w:rFonts w:ascii="Lucida Grande" w:hAnsi="Lucida Grande"/>
      <w:sz w:val="18"/>
      <w:szCs w:val="18"/>
    </w:rPr>
  </w:style>
  <w:style w:type="character" w:customStyle="1" w:styleId="BallontekstTeken">
    <w:name w:val="Ballontekst Teken"/>
    <w:basedOn w:val="Policepardfaut"/>
    <w:uiPriority w:val="99"/>
    <w:semiHidden/>
    <w:rsid w:val="00966B9C"/>
    <w:rPr>
      <w:rFonts w:ascii="Lucida Grande" w:hAnsi="Lucida Grande"/>
      <w:sz w:val="18"/>
      <w:szCs w:val="18"/>
    </w:rPr>
  </w:style>
  <w:style w:type="character" w:customStyle="1" w:styleId="BallontekstTeken0">
    <w:name w:val="Ballontekst Teken"/>
    <w:basedOn w:val="Policepardfaut"/>
    <w:uiPriority w:val="99"/>
    <w:semiHidden/>
    <w:rsid w:val="00966B9C"/>
    <w:rPr>
      <w:rFonts w:ascii="Lucida Grande" w:hAnsi="Lucida Grande"/>
      <w:sz w:val="18"/>
      <w:szCs w:val="18"/>
    </w:rPr>
  </w:style>
  <w:style w:type="character" w:customStyle="1" w:styleId="BallontekstTeken1">
    <w:name w:val="Ballontekst Teken"/>
    <w:basedOn w:val="Policepardfaut"/>
    <w:uiPriority w:val="99"/>
    <w:semiHidden/>
    <w:rsid w:val="00966B9C"/>
    <w:rPr>
      <w:rFonts w:ascii="Lucida Grande" w:hAnsi="Lucida Grande"/>
      <w:sz w:val="18"/>
      <w:szCs w:val="18"/>
    </w:rPr>
  </w:style>
  <w:style w:type="character" w:customStyle="1" w:styleId="BallontekstTeken2">
    <w:name w:val="Ballontekst Teken"/>
    <w:basedOn w:val="Policepardfaut"/>
    <w:uiPriority w:val="99"/>
    <w:semiHidden/>
    <w:rsid w:val="00966B9C"/>
    <w:rPr>
      <w:rFonts w:ascii="Lucida Grande" w:hAnsi="Lucida Grande"/>
      <w:sz w:val="18"/>
      <w:szCs w:val="18"/>
    </w:rPr>
  </w:style>
  <w:style w:type="character" w:customStyle="1" w:styleId="BallontekstTeken3">
    <w:name w:val="Ballontekst Teken"/>
    <w:basedOn w:val="Policepardfaut"/>
    <w:uiPriority w:val="99"/>
    <w:semiHidden/>
    <w:rsid w:val="007C3C3F"/>
    <w:rPr>
      <w:rFonts w:ascii="Lucida Grande" w:hAnsi="Lucida Grande"/>
      <w:sz w:val="18"/>
      <w:szCs w:val="18"/>
    </w:rPr>
  </w:style>
  <w:style w:type="character" w:customStyle="1" w:styleId="BallontekstTeken4">
    <w:name w:val="Ballontekst Teken"/>
    <w:basedOn w:val="Policepardfaut"/>
    <w:uiPriority w:val="99"/>
    <w:semiHidden/>
    <w:rsid w:val="00957FB2"/>
    <w:rPr>
      <w:rFonts w:ascii="Lucida Grande" w:hAnsi="Lucida Grande"/>
      <w:sz w:val="18"/>
      <w:szCs w:val="18"/>
    </w:rPr>
  </w:style>
  <w:style w:type="character" w:customStyle="1" w:styleId="BallontekstTeken5">
    <w:name w:val="Ballontekst Teken"/>
    <w:basedOn w:val="Policepardfaut"/>
    <w:uiPriority w:val="99"/>
    <w:semiHidden/>
    <w:rsid w:val="009A4463"/>
    <w:rPr>
      <w:rFonts w:ascii="Lucida Grande" w:hAnsi="Lucida Grande"/>
      <w:sz w:val="18"/>
      <w:szCs w:val="18"/>
    </w:rPr>
  </w:style>
  <w:style w:type="character" w:customStyle="1" w:styleId="TextedebullesCar">
    <w:name w:val="Texte de bulles Car"/>
    <w:basedOn w:val="Policepardfaut"/>
    <w:link w:val="Textedebulles"/>
    <w:uiPriority w:val="99"/>
    <w:semiHidden/>
    <w:rsid w:val="009A4463"/>
    <w:rPr>
      <w:rFonts w:ascii="Lucida Grande" w:hAnsi="Lucida Grande"/>
      <w:sz w:val="18"/>
      <w:szCs w:val="18"/>
    </w:rPr>
  </w:style>
  <w:style w:type="paragraph" w:styleId="Paragraphedeliste">
    <w:name w:val="List Paragraph"/>
    <w:basedOn w:val="Normal"/>
    <w:uiPriority w:val="34"/>
    <w:qFormat/>
    <w:rsid w:val="009A4463"/>
    <w:pPr>
      <w:ind w:left="720"/>
      <w:contextualSpacing/>
    </w:pPr>
  </w:style>
  <w:style w:type="paragraph" w:styleId="Pieddepage">
    <w:name w:val="footer"/>
    <w:basedOn w:val="Normal"/>
    <w:link w:val="PieddepageCar"/>
    <w:uiPriority w:val="99"/>
    <w:unhideWhenUsed/>
    <w:rsid w:val="009A4463"/>
    <w:pPr>
      <w:tabs>
        <w:tab w:val="center" w:pos="4536"/>
        <w:tab w:val="right" w:pos="9072"/>
      </w:tabs>
    </w:pPr>
  </w:style>
  <w:style w:type="character" w:customStyle="1" w:styleId="PieddepageCar">
    <w:name w:val="Pied de page Car"/>
    <w:basedOn w:val="Policepardfaut"/>
    <w:link w:val="Pieddepage"/>
    <w:uiPriority w:val="99"/>
    <w:rsid w:val="009A4463"/>
  </w:style>
  <w:style w:type="character" w:styleId="Numrodepage">
    <w:name w:val="page number"/>
    <w:basedOn w:val="Policepardfaut"/>
    <w:uiPriority w:val="99"/>
    <w:semiHidden/>
    <w:unhideWhenUsed/>
    <w:rsid w:val="009A4463"/>
  </w:style>
  <w:style w:type="paragraph" w:styleId="Notedebasdepage">
    <w:name w:val="footnote text"/>
    <w:aliases w:val="ALTS FOOTNOTE,fn,GCLC FOOTNOTE,Footnote Text Char,Footnote Text Char2 Char,Footnote Text Char Char Char1,Footnote Text Char1 Char Char Char,Footnote Text Char2 Char Char Char Char,Footnote Text Char1 Char1 Char Char Char Char,ft,Char"/>
    <w:basedOn w:val="Normal"/>
    <w:link w:val="NotedebasdepageCar"/>
    <w:uiPriority w:val="99"/>
    <w:unhideWhenUsed/>
    <w:rsid w:val="009A4463"/>
  </w:style>
  <w:style w:type="character" w:customStyle="1" w:styleId="NotedebasdepageCar">
    <w:name w:val="Note de bas de page Car"/>
    <w:aliases w:val="ALTS FOOTNOTE Car,fn Car,GCLC FOOTNOTE Car,Footnote Text Char Car,Footnote Text Char2 Char Car,Footnote Text Char Char Char1 Car,Footnote Text Char1 Char Char Char Car,Footnote Text Char2 Char Char Char Char Car,ft Car,Char Car"/>
    <w:basedOn w:val="Policepardfaut"/>
    <w:link w:val="Notedebasdepage"/>
    <w:uiPriority w:val="99"/>
    <w:rsid w:val="009A4463"/>
  </w:style>
  <w:style w:type="character" w:styleId="Appelnotedebasdep">
    <w:name w:val="footnote reference"/>
    <w:aliases w:val="Ref,de nota al pie,fr,o,FR,(NECG) Footnote Reference,Style 4,FT Char1,Footnote,Footnote number,SUPERS,Footnote symbol,Nota"/>
    <w:basedOn w:val="Policepardfaut"/>
    <w:uiPriority w:val="99"/>
    <w:semiHidden/>
    <w:unhideWhenUsed/>
    <w:rsid w:val="009A4463"/>
    <w:rPr>
      <w:vertAlign w:val="superscript"/>
    </w:rPr>
  </w:style>
  <w:style w:type="paragraph" w:customStyle="1" w:styleId="voetnoot">
    <w:name w:val="voetnoot"/>
    <w:basedOn w:val="Normal"/>
    <w:rsid w:val="009A4463"/>
    <w:pPr>
      <w:widowControl w:val="0"/>
      <w:autoSpaceDE w:val="0"/>
      <w:autoSpaceDN w:val="0"/>
      <w:adjustRightInd w:val="0"/>
      <w:jc w:val="both"/>
    </w:pPr>
  </w:style>
  <w:style w:type="character" w:styleId="Marquedecommentaire">
    <w:name w:val="annotation reference"/>
    <w:basedOn w:val="Policepardfaut"/>
    <w:uiPriority w:val="99"/>
    <w:semiHidden/>
    <w:unhideWhenUsed/>
    <w:rsid w:val="00EF6D25"/>
    <w:rPr>
      <w:sz w:val="16"/>
      <w:szCs w:val="16"/>
    </w:rPr>
  </w:style>
  <w:style w:type="paragraph" w:styleId="Commentaire">
    <w:name w:val="annotation text"/>
    <w:basedOn w:val="Normal"/>
    <w:link w:val="CommentaireCar"/>
    <w:uiPriority w:val="99"/>
    <w:semiHidden/>
    <w:unhideWhenUsed/>
    <w:rsid w:val="00EF6D25"/>
    <w:rPr>
      <w:sz w:val="20"/>
      <w:szCs w:val="20"/>
    </w:rPr>
  </w:style>
  <w:style w:type="character" w:customStyle="1" w:styleId="CommentaireCar">
    <w:name w:val="Commentaire Car"/>
    <w:basedOn w:val="Policepardfaut"/>
    <w:link w:val="Commentaire"/>
    <w:uiPriority w:val="99"/>
    <w:semiHidden/>
    <w:rsid w:val="00EF6D25"/>
    <w:rPr>
      <w:sz w:val="20"/>
      <w:szCs w:val="20"/>
    </w:rPr>
  </w:style>
  <w:style w:type="paragraph" w:styleId="Objetducommentaire">
    <w:name w:val="annotation subject"/>
    <w:basedOn w:val="Commentaire"/>
    <w:next w:val="Commentaire"/>
    <w:link w:val="ObjetducommentaireCar"/>
    <w:uiPriority w:val="99"/>
    <w:semiHidden/>
    <w:unhideWhenUsed/>
    <w:rsid w:val="00EF6D25"/>
    <w:rPr>
      <w:b/>
      <w:bCs/>
    </w:rPr>
  </w:style>
  <w:style w:type="character" w:customStyle="1" w:styleId="ObjetducommentaireCar">
    <w:name w:val="Objet du commentaire Car"/>
    <w:basedOn w:val="CommentaireCar"/>
    <w:link w:val="Objetducommentaire"/>
    <w:uiPriority w:val="99"/>
    <w:semiHidden/>
    <w:rsid w:val="00EF6D25"/>
    <w:rPr>
      <w:b/>
      <w:bCs/>
      <w:sz w:val="20"/>
      <w:szCs w:val="20"/>
    </w:rPr>
  </w:style>
  <w:style w:type="paragraph" w:styleId="Rvision">
    <w:name w:val="Revision"/>
    <w:hidden/>
    <w:uiPriority w:val="99"/>
    <w:semiHidden/>
    <w:rsid w:val="00EF6D25"/>
  </w:style>
  <w:style w:type="paragraph" w:customStyle="1" w:styleId="Stijl1">
    <w:name w:val="Stijl1"/>
    <w:basedOn w:val="Notedebasdepage"/>
    <w:autoRedefine/>
    <w:qFormat/>
    <w:rsid w:val="00A20BA0"/>
    <w:rPr>
      <w:rFonts w:ascii="Times" w:hAnsi="Times"/>
      <w:sz w:val="20"/>
    </w:rPr>
  </w:style>
  <w:style w:type="paragraph" w:customStyle="1" w:styleId="Stijl2">
    <w:name w:val="Stijl2"/>
    <w:basedOn w:val="Notedebasdepage"/>
    <w:qFormat/>
    <w:rsid w:val="003F73CD"/>
    <w:rPr>
      <w:rFonts w:ascii="Times" w:hAnsi="Times"/>
      <w:sz w:val="20"/>
    </w:rPr>
  </w:style>
  <w:style w:type="character" w:styleId="Lienhypertexte">
    <w:name w:val="Hyperlink"/>
    <w:basedOn w:val="Policepardfaut"/>
    <w:rsid w:val="00194296"/>
    <w:rPr>
      <w:color w:val="0000FF" w:themeColor="hyperlink"/>
      <w:u w:val="single"/>
    </w:rPr>
  </w:style>
  <w:style w:type="paragraph" w:customStyle="1" w:styleId="c02alineaalta">
    <w:name w:val="c02alineaalta"/>
    <w:basedOn w:val="Normal"/>
    <w:rsid w:val="00EF6178"/>
    <w:pPr>
      <w:spacing w:after="240"/>
      <w:ind w:left="567"/>
      <w:jc w:val="both"/>
    </w:pPr>
    <w:rPr>
      <w:rFonts w:ascii="Times New Roman" w:eastAsia="Times New Roman" w:hAnsi="Times New Roman" w:cs="Times New Roman"/>
      <w:lang w:val="fr-BE" w:eastAsia="fr-BE"/>
    </w:rPr>
  </w:style>
  <w:style w:type="paragraph" w:customStyle="1" w:styleId="c19centre">
    <w:name w:val="c19centre"/>
    <w:basedOn w:val="Normal"/>
    <w:rsid w:val="00EF6178"/>
    <w:pPr>
      <w:spacing w:after="240"/>
      <w:ind w:left="567"/>
      <w:jc w:val="center"/>
    </w:pPr>
    <w:rPr>
      <w:rFonts w:ascii="Times New Roman" w:eastAsia="Times New Roman" w:hAnsi="Times New Roman" w:cs="Times New Roman"/>
      <w:lang w:val="fr-BE" w:eastAsia="fr-BE"/>
    </w:rPr>
  </w:style>
  <w:style w:type="paragraph" w:customStyle="1" w:styleId="c72alineadroite">
    <w:name w:val="c72alineadroite"/>
    <w:basedOn w:val="Normal"/>
    <w:rsid w:val="00EF6178"/>
    <w:pPr>
      <w:spacing w:after="240"/>
      <w:ind w:left="567"/>
      <w:jc w:val="right"/>
    </w:pPr>
    <w:rPr>
      <w:rFonts w:ascii="Times New Roman" w:eastAsia="Times New Roman" w:hAnsi="Times New Roman" w:cs="Times New Roman"/>
      <w:lang w:val="fr-BE" w:eastAsia="fr-BE"/>
    </w:rPr>
  </w:style>
  <w:style w:type="paragraph" w:customStyle="1" w:styleId="c71indicateur">
    <w:name w:val="c71indicateur"/>
    <w:basedOn w:val="Normal"/>
    <w:rsid w:val="00EF6178"/>
    <w:pPr>
      <w:spacing w:before="600" w:after="560"/>
      <w:ind w:left="567"/>
      <w:jc w:val="center"/>
    </w:pPr>
    <w:rPr>
      <w:rFonts w:ascii="Times New Roman" w:eastAsia="Times New Roman" w:hAnsi="Times New Roman" w:cs="Times New Roman"/>
      <w:lang w:val="fr-BE" w:eastAsia="fr-BE"/>
    </w:rPr>
  </w:style>
  <w:style w:type="character" w:styleId="Accentuation">
    <w:name w:val="Emphasis"/>
    <w:basedOn w:val="Policepardfaut"/>
    <w:uiPriority w:val="20"/>
    <w:qFormat/>
    <w:rsid w:val="008E625A"/>
    <w:rPr>
      <w:i/>
      <w:iCs/>
    </w:rPr>
  </w:style>
  <w:style w:type="paragraph" w:styleId="En-tte">
    <w:name w:val="header"/>
    <w:basedOn w:val="Normal"/>
    <w:link w:val="En-tteCar"/>
    <w:unhideWhenUsed/>
    <w:rsid w:val="00681B17"/>
    <w:pPr>
      <w:tabs>
        <w:tab w:val="center" w:pos="4536"/>
        <w:tab w:val="right" w:pos="9072"/>
      </w:tabs>
    </w:pPr>
  </w:style>
  <w:style w:type="character" w:customStyle="1" w:styleId="En-tteCar">
    <w:name w:val="En-tête Car"/>
    <w:basedOn w:val="Policepardfaut"/>
    <w:link w:val="En-tte"/>
    <w:rsid w:val="00681B17"/>
  </w:style>
  <w:style w:type="paragraph" w:styleId="Sansinterligne">
    <w:name w:val="No Spacing"/>
    <w:qFormat/>
    <w:rsid w:val="002E51F7"/>
    <w:rPr>
      <w:rFonts w:ascii="Calibri" w:eastAsia="Times New Roman" w:hAnsi="Calibri" w:cs="Times New Roman"/>
      <w:sz w:val="22"/>
      <w:szCs w:val="22"/>
      <w:lang w:val="fr-BE"/>
    </w:rPr>
  </w:style>
  <w:style w:type="paragraph" w:customStyle="1" w:styleId="s01pointaltn">
    <w:name w:val="s01pointaltn"/>
    <w:basedOn w:val="Normal"/>
    <w:rsid w:val="00246BD0"/>
    <w:pPr>
      <w:spacing w:before="100" w:beforeAutospacing="1" w:after="100" w:afterAutospacing="1"/>
    </w:pPr>
    <w:rPr>
      <w:rFonts w:ascii="Arial" w:eastAsia="Times New Roman" w:hAnsi="Arial" w:cs="Arial"/>
      <w:sz w:val="22"/>
      <w:szCs w:val="22"/>
      <w:lang w:val="fr-BE" w:eastAsia="fr-BE"/>
    </w:rPr>
  </w:style>
  <w:style w:type="paragraph" w:customStyle="1" w:styleId="s19marge1">
    <w:name w:val="s19marge1"/>
    <w:basedOn w:val="Normal"/>
    <w:rsid w:val="00246BD0"/>
    <w:pPr>
      <w:spacing w:before="100" w:beforeAutospacing="1" w:after="100" w:afterAutospacing="1"/>
    </w:pPr>
    <w:rPr>
      <w:rFonts w:ascii="Arial" w:eastAsia="Times New Roman" w:hAnsi="Arial" w:cs="Arial"/>
      <w:sz w:val="22"/>
      <w:szCs w:val="22"/>
      <w:lang w:val="fr-BE" w:eastAsia="fr-BE"/>
    </w:rPr>
  </w:style>
  <w:style w:type="paragraph" w:customStyle="1" w:styleId="s36renvoi">
    <w:name w:val="s36renvoi"/>
    <w:basedOn w:val="Normal"/>
    <w:rsid w:val="00246BD0"/>
    <w:pPr>
      <w:spacing w:before="100" w:beforeAutospacing="1" w:after="100" w:afterAutospacing="1"/>
    </w:pPr>
    <w:rPr>
      <w:rFonts w:ascii="Arial" w:eastAsia="Times New Roman" w:hAnsi="Arial" w:cs="Arial"/>
      <w:sz w:val="22"/>
      <w:szCs w:val="22"/>
      <w:lang w:val="fr-BE" w:eastAsia="fr-BE"/>
    </w:rPr>
  </w:style>
  <w:style w:type="character" w:styleId="lev">
    <w:name w:val="Strong"/>
    <w:basedOn w:val="Policepardfaut"/>
    <w:uiPriority w:val="22"/>
    <w:qFormat/>
    <w:rsid w:val="00E7095A"/>
    <w:rPr>
      <w:b/>
      <w:bCs/>
    </w:rPr>
  </w:style>
  <w:style w:type="paragraph" w:styleId="Notedefin">
    <w:name w:val="endnote text"/>
    <w:basedOn w:val="Normal"/>
    <w:link w:val="NotedefinCar"/>
    <w:semiHidden/>
    <w:unhideWhenUsed/>
    <w:rsid w:val="00631623"/>
    <w:rPr>
      <w:sz w:val="20"/>
      <w:szCs w:val="20"/>
    </w:rPr>
  </w:style>
  <w:style w:type="character" w:customStyle="1" w:styleId="NotedefinCar">
    <w:name w:val="Note de fin Car"/>
    <w:basedOn w:val="Policepardfaut"/>
    <w:link w:val="Notedefin"/>
    <w:semiHidden/>
    <w:rsid w:val="00631623"/>
    <w:rPr>
      <w:sz w:val="20"/>
      <w:szCs w:val="20"/>
    </w:rPr>
  </w:style>
  <w:style w:type="character" w:styleId="Appeldenotedefin">
    <w:name w:val="endnote reference"/>
    <w:basedOn w:val="Policepardfaut"/>
    <w:semiHidden/>
    <w:unhideWhenUsed/>
    <w:rsid w:val="00631623"/>
    <w:rPr>
      <w:vertAlign w:val="superscript"/>
    </w:rPr>
  </w:style>
  <w:style w:type="paragraph" w:customStyle="1" w:styleId="NumPar1">
    <w:name w:val="NumPar 1"/>
    <w:basedOn w:val="Normal"/>
    <w:next w:val="Normal"/>
    <w:rsid w:val="00E833EA"/>
    <w:pPr>
      <w:numPr>
        <w:numId w:val="12"/>
      </w:numPr>
      <w:spacing w:before="120" w:after="120"/>
      <w:jc w:val="both"/>
    </w:pPr>
    <w:rPr>
      <w:rFonts w:ascii="Times New Roman" w:eastAsia="Times New Roman" w:hAnsi="Times New Roman" w:cs="Times New Roman"/>
      <w:lang w:val="en-GB" w:eastAsia="en-GB"/>
    </w:rPr>
  </w:style>
  <w:style w:type="paragraph" w:customStyle="1" w:styleId="NumPar2">
    <w:name w:val="NumPar 2"/>
    <w:basedOn w:val="Normal"/>
    <w:next w:val="Normal"/>
    <w:rsid w:val="00E833EA"/>
    <w:pPr>
      <w:numPr>
        <w:ilvl w:val="1"/>
        <w:numId w:val="12"/>
      </w:numPr>
      <w:spacing w:before="120" w:after="120"/>
      <w:jc w:val="both"/>
    </w:pPr>
    <w:rPr>
      <w:rFonts w:ascii="Times New Roman" w:eastAsia="Times New Roman" w:hAnsi="Times New Roman" w:cs="Times New Roman"/>
      <w:lang w:val="en-GB" w:eastAsia="en-GB"/>
    </w:rPr>
  </w:style>
  <w:style w:type="paragraph" w:customStyle="1" w:styleId="NumPar3">
    <w:name w:val="NumPar 3"/>
    <w:basedOn w:val="Normal"/>
    <w:next w:val="Normal"/>
    <w:rsid w:val="00E833EA"/>
    <w:pPr>
      <w:numPr>
        <w:ilvl w:val="2"/>
        <w:numId w:val="12"/>
      </w:numPr>
      <w:spacing w:before="120" w:after="120"/>
      <w:jc w:val="both"/>
    </w:pPr>
    <w:rPr>
      <w:rFonts w:ascii="Times New Roman" w:eastAsia="Times New Roman" w:hAnsi="Times New Roman" w:cs="Times New Roman"/>
      <w:lang w:val="en-GB" w:eastAsia="en-GB"/>
    </w:rPr>
  </w:style>
  <w:style w:type="paragraph" w:customStyle="1" w:styleId="NumPar4">
    <w:name w:val="NumPar 4"/>
    <w:basedOn w:val="Normal"/>
    <w:next w:val="Normal"/>
    <w:rsid w:val="00E833EA"/>
    <w:pPr>
      <w:numPr>
        <w:ilvl w:val="3"/>
        <w:numId w:val="12"/>
      </w:numPr>
      <w:spacing w:before="120" w:after="120"/>
      <w:jc w:val="both"/>
    </w:pPr>
    <w:rPr>
      <w:rFonts w:ascii="Times New Roman" w:eastAsia="Times New Roman" w:hAnsi="Times New Roman" w:cs="Times New Roman"/>
      <w:lang w:val="en-GB" w:eastAsia="en-GB"/>
    </w:rPr>
  </w:style>
  <w:style w:type="character" w:styleId="Lienhypertextesuivivisit">
    <w:name w:val="FollowedHyperlink"/>
    <w:basedOn w:val="Policepardfaut"/>
    <w:semiHidden/>
    <w:unhideWhenUsed/>
    <w:rsid w:val="00412FC3"/>
    <w:rPr>
      <w:color w:val="800080" w:themeColor="followedHyperlink"/>
      <w:u w:val="single"/>
    </w:rPr>
  </w:style>
  <w:style w:type="character" w:customStyle="1" w:styleId="Titre1Car">
    <w:name w:val="Titre 1 Car"/>
    <w:basedOn w:val="Policepardfaut"/>
    <w:link w:val="Titre1"/>
    <w:uiPriority w:val="9"/>
    <w:rsid w:val="009D526D"/>
    <w:rPr>
      <w:rFonts w:ascii="Arial" w:eastAsia="Times New Roman" w:hAnsi="Arial" w:cs="Arial"/>
      <w:b/>
      <w:bCs/>
      <w:kern w:val="36"/>
      <w:lang w:val="fr-BE" w:eastAsia="fr-BE"/>
    </w:rPr>
  </w:style>
  <w:style w:type="character" w:customStyle="1" w:styleId="Titre2Car">
    <w:name w:val="Titre 2 Car"/>
    <w:basedOn w:val="Policepardfaut"/>
    <w:link w:val="Titre2"/>
    <w:uiPriority w:val="9"/>
    <w:rsid w:val="009D526D"/>
    <w:rPr>
      <w:rFonts w:ascii="Arial" w:eastAsia="Times New Roman" w:hAnsi="Arial" w:cs="Arial"/>
      <w:sz w:val="21"/>
      <w:szCs w:val="21"/>
      <w:lang w:val="fr-BE" w:eastAsia="fr-BE"/>
    </w:rPr>
  </w:style>
  <w:style w:type="character" w:customStyle="1" w:styleId="Titre3Car">
    <w:name w:val="Titre 3 Car"/>
    <w:basedOn w:val="Policepardfaut"/>
    <w:link w:val="Titre3"/>
    <w:rsid w:val="00F61AE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61AE0"/>
    <w:pPr>
      <w:spacing w:before="100" w:beforeAutospacing="1" w:after="100" w:afterAutospacing="1"/>
    </w:pPr>
    <w:rPr>
      <w:rFonts w:ascii="Times New Roman" w:eastAsia="Times New Roman" w:hAnsi="Times New Roman" w:cs="Times New Roman"/>
      <w:lang w:val="fr-BE" w:eastAsia="fr-BE"/>
    </w:rPr>
  </w:style>
  <w:style w:type="character" w:customStyle="1" w:styleId="apple-converted-space">
    <w:name w:val="apple-converted-space"/>
    <w:basedOn w:val="Policepardfaut"/>
    <w:rsid w:val="00F61AE0"/>
  </w:style>
  <w:style w:type="paragraph" w:styleId="Textebrut">
    <w:name w:val="Plain Text"/>
    <w:basedOn w:val="Normal"/>
    <w:link w:val="TextebrutCar"/>
    <w:uiPriority w:val="99"/>
    <w:unhideWhenUsed/>
    <w:rsid w:val="00F61AE0"/>
    <w:rPr>
      <w:rFonts w:ascii="Calibri" w:hAnsi="Calibri"/>
      <w:sz w:val="22"/>
      <w:szCs w:val="21"/>
      <w:lang w:val="fr-BE"/>
    </w:rPr>
  </w:style>
  <w:style w:type="character" w:customStyle="1" w:styleId="TextebrutCar">
    <w:name w:val="Texte brut Car"/>
    <w:basedOn w:val="Policepardfaut"/>
    <w:link w:val="Textebrut"/>
    <w:uiPriority w:val="99"/>
    <w:rsid w:val="00F61AE0"/>
    <w:rPr>
      <w:rFonts w:ascii="Calibri" w:hAnsi="Calibri"/>
      <w:sz w:val="22"/>
      <w:szCs w:val="21"/>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0" w:defSemiHidden="0" w:defUnhideWhenUsed="0" w:defQFormat="0" w:count="267">
    <w:lsdException w:name="footnote reference" w:uiPriority="99"/>
    <w:lsdException w:name="Emphasis" w:uiPriority="20" w:qFormat="1"/>
  </w:latentStyles>
  <w:style w:type="paragraph" w:default="1" w:styleId="Normal">
    <w:name w:val="Normal"/>
    <w:qFormat/>
    <w:rsid w:val="009A4463"/>
  </w:style>
  <w:style w:type="paragraph" w:styleId="Titre1">
    <w:name w:val="heading 1"/>
    <w:basedOn w:val="Normal"/>
    <w:link w:val="Titre1Car"/>
    <w:uiPriority w:val="9"/>
    <w:qFormat/>
    <w:rsid w:val="009D526D"/>
    <w:pPr>
      <w:spacing w:before="100" w:beforeAutospacing="1" w:after="100" w:afterAutospacing="1"/>
      <w:jc w:val="center"/>
      <w:outlineLvl w:val="0"/>
    </w:pPr>
    <w:rPr>
      <w:rFonts w:ascii="Arial" w:eastAsia="Times New Roman" w:hAnsi="Arial" w:cs="Arial"/>
      <w:b/>
      <w:bCs/>
      <w:kern w:val="36"/>
      <w:lang w:val="fr-BE" w:eastAsia="fr-BE"/>
    </w:rPr>
  </w:style>
  <w:style w:type="paragraph" w:styleId="Titre2">
    <w:name w:val="heading 2"/>
    <w:basedOn w:val="Normal"/>
    <w:link w:val="Titre2Car"/>
    <w:uiPriority w:val="9"/>
    <w:qFormat/>
    <w:rsid w:val="009D526D"/>
    <w:pPr>
      <w:spacing w:before="100" w:beforeAutospacing="1" w:after="100" w:afterAutospacing="1"/>
      <w:outlineLvl w:val="1"/>
    </w:pPr>
    <w:rPr>
      <w:rFonts w:ascii="Arial" w:eastAsia="Times New Roman" w:hAnsi="Arial" w:cs="Arial"/>
      <w:sz w:val="21"/>
      <w:szCs w:val="21"/>
      <w:lang w:val="fr-BE" w:eastAsia="fr-BE"/>
    </w:rPr>
  </w:style>
  <w:style w:type="paragraph" w:styleId="Titre3">
    <w:name w:val="heading 3"/>
    <w:basedOn w:val="Normal"/>
    <w:next w:val="Normal"/>
    <w:link w:val="Titre3Car"/>
    <w:rsid w:val="00F61AE0"/>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A4463"/>
    <w:rPr>
      <w:rFonts w:ascii="Lucida Grande" w:hAnsi="Lucida Grande"/>
      <w:sz w:val="18"/>
      <w:szCs w:val="18"/>
    </w:rPr>
  </w:style>
  <w:style w:type="character" w:customStyle="1" w:styleId="BallontekstTeken">
    <w:name w:val="Ballontekst Teken"/>
    <w:basedOn w:val="Policepardfaut"/>
    <w:uiPriority w:val="99"/>
    <w:semiHidden/>
    <w:rsid w:val="00966B9C"/>
    <w:rPr>
      <w:rFonts w:ascii="Lucida Grande" w:hAnsi="Lucida Grande"/>
      <w:sz w:val="18"/>
      <w:szCs w:val="18"/>
    </w:rPr>
  </w:style>
  <w:style w:type="character" w:customStyle="1" w:styleId="BallontekstTeken0">
    <w:name w:val="Ballontekst Teken"/>
    <w:basedOn w:val="Policepardfaut"/>
    <w:uiPriority w:val="99"/>
    <w:semiHidden/>
    <w:rsid w:val="00966B9C"/>
    <w:rPr>
      <w:rFonts w:ascii="Lucida Grande" w:hAnsi="Lucida Grande"/>
      <w:sz w:val="18"/>
      <w:szCs w:val="18"/>
    </w:rPr>
  </w:style>
  <w:style w:type="character" w:customStyle="1" w:styleId="BallontekstTeken1">
    <w:name w:val="Ballontekst Teken"/>
    <w:basedOn w:val="Policepardfaut"/>
    <w:uiPriority w:val="99"/>
    <w:semiHidden/>
    <w:rsid w:val="00966B9C"/>
    <w:rPr>
      <w:rFonts w:ascii="Lucida Grande" w:hAnsi="Lucida Grande"/>
      <w:sz w:val="18"/>
      <w:szCs w:val="18"/>
    </w:rPr>
  </w:style>
  <w:style w:type="character" w:customStyle="1" w:styleId="BallontekstTeken2">
    <w:name w:val="Ballontekst Teken"/>
    <w:basedOn w:val="Policepardfaut"/>
    <w:uiPriority w:val="99"/>
    <w:semiHidden/>
    <w:rsid w:val="00966B9C"/>
    <w:rPr>
      <w:rFonts w:ascii="Lucida Grande" w:hAnsi="Lucida Grande"/>
      <w:sz w:val="18"/>
      <w:szCs w:val="18"/>
    </w:rPr>
  </w:style>
  <w:style w:type="character" w:customStyle="1" w:styleId="BallontekstTeken3">
    <w:name w:val="Ballontekst Teken"/>
    <w:basedOn w:val="Policepardfaut"/>
    <w:uiPriority w:val="99"/>
    <w:semiHidden/>
    <w:rsid w:val="007C3C3F"/>
    <w:rPr>
      <w:rFonts w:ascii="Lucida Grande" w:hAnsi="Lucida Grande"/>
      <w:sz w:val="18"/>
      <w:szCs w:val="18"/>
    </w:rPr>
  </w:style>
  <w:style w:type="character" w:customStyle="1" w:styleId="BallontekstTeken4">
    <w:name w:val="Ballontekst Teken"/>
    <w:basedOn w:val="Policepardfaut"/>
    <w:uiPriority w:val="99"/>
    <w:semiHidden/>
    <w:rsid w:val="00957FB2"/>
    <w:rPr>
      <w:rFonts w:ascii="Lucida Grande" w:hAnsi="Lucida Grande"/>
      <w:sz w:val="18"/>
      <w:szCs w:val="18"/>
    </w:rPr>
  </w:style>
  <w:style w:type="character" w:customStyle="1" w:styleId="BallontekstTeken5">
    <w:name w:val="Ballontekst Teken"/>
    <w:basedOn w:val="Policepardfaut"/>
    <w:uiPriority w:val="99"/>
    <w:semiHidden/>
    <w:rsid w:val="009A4463"/>
    <w:rPr>
      <w:rFonts w:ascii="Lucida Grande" w:hAnsi="Lucida Grande"/>
      <w:sz w:val="18"/>
      <w:szCs w:val="18"/>
    </w:rPr>
  </w:style>
  <w:style w:type="character" w:customStyle="1" w:styleId="TextedebullesCar">
    <w:name w:val="Texte de bulles Car"/>
    <w:basedOn w:val="Policepardfaut"/>
    <w:link w:val="Textedebulles"/>
    <w:uiPriority w:val="99"/>
    <w:semiHidden/>
    <w:rsid w:val="009A4463"/>
    <w:rPr>
      <w:rFonts w:ascii="Lucida Grande" w:hAnsi="Lucida Grande"/>
      <w:sz w:val="18"/>
      <w:szCs w:val="18"/>
    </w:rPr>
  </w:style>
  <w:style w:type="paragraph" w:styleId="Paragraphedeliste">
    <w:name w:val="List Paragraph"/>
    <w:basedOn w:val="Normal"/>
    <w:uiPriority w:val="34"/>
    <w:qFormat/>
    <w:rsid w:val="009A4463"/>
    <w:pPr>
      <w:ind w:left="720"/>
      <w:contextualSpacing/>
    </w:pPr>
  </w:style>
  <w:style w:type="paragraph" w:styleId="Pieddepage">
    <w:name w:val="footer"/>
    <w:basedOn w:val="Normal"/>
    <w:link w:val="PieddepageCar"/>
    <w:uiPriority w:val="99"/>
    <w:unhideWhenUsed/>
    <w:rsid w:val="009A4463"/>
    <w:pPr>
      <w:tabs>
        <w:tab w:val="center" w:pos="4536"/>
        <w:tab w:val="right" w:pos="9072"/>
      </w:tabs>
    </w:pPr>
  </w:style>
  <w:style w:type="character" w:customStyle="1" w:styleId="PieddepageCar">
    <w:name w:val="Pied de page Car"/>
    <w:basedOn w:val="Policepardfaut"/>
    <w:link w:val="Pieddepage"/>
    <w:uiPriority w:val="99"/>
    <w:rsid w:val="009A4463"/>
  </w:style>
  <w:style w:type="character" w:styleId="Numrodepage">
    <w:name w:val="page number"/>
    <w:basedOn w:val="Policepardfaut"/>
    <w:uiPriority w:val="99"/>
    <w:semiHidden/>
    <w:unhideWhenUsed/>
    <w:rsid w:val="009A4463"/>
  </w:style>
  <w:style w:type="paragraph" w:styleId="Notedebasdepage">
    <w:name w:val="footnote text"/>
    <w:aliases w:val="ALTS FOOTNOTE,fn,GCLC FOOTNOTE,Footnote Text Char,Footnote Text Char2 Char,Footnote Text Char Char Char1,Footnote Text Char1 Char Char Char,Footnote Text Char2 Char Char Char Char,Footnote Text Char1 Char1 Char Char Char Char,ft,Char"/>
    <w:basedOn w:val="Normal"/>
    <w:link w:val="NotedebasdepageCar"/>
    <w:uiPriority w:val="99"/>
    <w:unhideWhenUsed/>
    <w:rsid w:val="009A4463"/>
  </w:style>
  <w:style w:type="character" w:customStyle="1" w:styleId="NotedebasdepageCar">
    <w:name w:val="Note de bas de page Car"/>
    <w:aliases w:val="ALTS FOOTNOTE Car,fn Car,GCLC FOOTNOTE Car,Footnote Text Char Car,Footnote Text Char2 Char Car,Footnote Text Char Char Char1 Car,Footnote Text Char1 Char Char Char Car,Footnote Text Char2 Char Char Char Char Car,ft Car,Char Car"/>
    <w:basedOn w:val="Policepardfaut"/>
    <w:link w:val="Notedebasdepage"/>
    <w:uiPriority w:val="99"/>
    <w:rsid w:val="009A4463"/>
  </w:style>
  <w:style w:type="character" w:styleId="Appelnotedebasdep">
    <w:name w:val="footnote reference"/>
    <w:aliases w:val="Ref,de nota al pie,fr,o,FR,(NECG) Footnote Reference,Style 4,FT Char1,Footnote,Footnote number,SUPERS,Footnote symbol,Nota"/>
    <w:basedOn w:val="Policepardfaut"/>
    <w:uiPriority w:val="99"/>
    <w:semiHidden/>
    <w:unhideWhenUsed/>
    <w:rsid w:val="009A4463"/>
    <w:rPr>
      <w:vertAlign w:val="superscript"/>
    </w:rPr>
  </w:style>
  <w:style w:type="paragraph" w:customStyle="1" w:styleId="voetnoot">
    <w:name w:val="voetnoot"/>
    <w:basedOn w:val="Normal"/>
    <w:rsid w:val="009A4463"/>
    <w:pPr>
      <w:widowControl w:val="0"/>
      <w:autoSpaceDE w:val="0"/>
      <w:autoSpaceDN w:val="0"/>
      <w:adjustRightInd w:val="0"/>
      <w:jc w:val="both"/>
    </w:pPr>
  </w:style>
  <w:style w:type="character" w:styleId="Marquedecommentaire">
    <w:name w:val="annotation reference"/>
    <w:basedOn w:val="Policepardfaut"/>
    <w:uiPriority w:val="99"/>
    <w:semiHidden/>
    <w:unhideWhenUsed/>
    <w:rsid w:val="00EF6D25"/>
    <w:rPr>
      <w:sz w:val="16"/>
      <w:szCs w:val="16"/>
    </w:rPr>
  </w:style>
  <w:style w:type="paragraph" w:styleId="Commentaire">
    <w:name w:val="annotation text"/>
    <w:basedOn w:val="Normal"/>
    <w:link w:val="CommentaireCar"/>
    <w:uiPriority w:val="99"/>
    <w:semiHidden/>
    <w:unhideWhenUsed/>
    <w:rsid w:val="00EF6D25"/>
    <w:rPr>
      <w:sz w:val="20"/>
      <w:szCs w:val="20"/>
    </w:rPr>
  </w:style>
  <w:style w:type="character" w:customStyle="1" w:styleId="CommentaireCar">
    <w:name w:val="Commentaire Car"/>
    <w:basedOn w:val="Policepardfaut"/>
    <w:link w:val="Commentaire"/>
    <w:uiPriority w:val="99"/>
    <w:semiHidden/>
    <w:rsid w:val="00EF6D25"/>
    <w:rPr>
      <w:sz w:val="20"/>
      <w:szCs w:val="20"/>
    </w:rPr>
  </w:style>
  <w:style w:type="paragraph" w:styleId="Objetducommentaire">
    <w:name w:val="annotation subject"/>
    <w:basedOn w:val="Commentaire"/>
    <w:next w:val="Commentaire"/>
    <w:link w:val="ObjetducommentaireCar"/>
    <w:uiPriority w:val="99"/>
    <w:semiHidden/>
    <w:unhideWhenUsed/>
    <w:rsid w:val="00EF6D25"/>
    <w:rPr>
      <w:b/>
      <w:bCs/>
    </w:rPr>
  </w:style>
  <w:style w:type="character" w:customStyle="1" w:styleId="ObjetducommentaireCar">
    <w:name w:val="Objet du commentaire Car"/>
    <w:basedOn w:val="CommentaireCar"/>
    <w:link w:val="Objetducommentaire"/>
    <w:uiPriority w:val="99"/>
    <w:semiHidden/>
    <w:rsid w:val="00EF6D25"/>
    <w:rPr>
      <w:b/>
      <w:bCs/>
      <w:sz w:val="20"/>
      <w:szCs w:val="20"/>
    </w:rPr>
  </w:style>
  <w:style w:type="paragraph" w:styleId="Rvision">
    <w:name w:val="Revision"/>
    <w:hidden/>
    <w:uiPriority w:val="99"/>
    <w:semiHidden/>
    <w:rsid w:val="00EF6D25"/>
  </w:style>
  <w:style w:type="paragraph" w:customStyle="1" w:styleId="Stijl1">
    <w:name w:val="Stijl1"/>
    <w:basedOn w:val="Notedebasdepage"/>
    <w:autoRedefine/>
    <w:qFormat/>
    <w:rsid w:val="00A20BA0"/>
    <w:rPr>
      <w:rFonts w:ascii="Times" w:hAnsi="Times"/>
      <w:sz w:val="20"/>
    </w:rPr>
  </w:style>
  <w:style w:type="paragraph" w:customStyle="1" w:styleId="Stijl2">
    <w:name w:val="Stijl2"/>
    <w:basedOn w:val="Notedebasdepage"/>
    <w:qFormat/>
    <w:rsid w:val="003F73CD"/>
    <w:rPr>
      <w:rFonts w:ascii="Times" w:hAnsi="Times"/>
      <w:sz w:val="20"/>
    </w:rPr>
  </w:style>
  <w:style w:type="character" w:styleId="Lienhypertexte">
    <w:name w:val="Hyperlink"/>
    <w:basedOn w:val="Policepardfaut"/>
    <w:rsid w:val="00194296"/>
    <w:rPr>
      <w:color w:val="0000FF" w:themeColor="hyperlink"/>
      <w:u w:val="single"/>
    </w:rPr>
  </w:style>
  <w:style w:type="paragraph" w:customStyle="1" w:styleId="c02alineaalta">
    <w:name w:val="c02alineaalta"/>
    <w:basedOn w:val="Normal"/>
    <w:rsid w:val="00EF6178"/>
    <w:pPr>
      <w:spacing w:after="240"/>
      <w:ind w:left="567"/>
      <w:jc w:val="both"/>
    </w:pPr>
    <w:rPr>
      <w:rFonts w:ascii="Times New Roman" w:eastAsia="Times New Roman" w:hAnsi="Times New Roman" w:cs="Times New Roman"/>
      <w:lang w:val="fr-BE" w:eastAsia="fr-BE"/>
    </w:rPr>
  </w:style>
  <w:style w:type="paragraph" w:customStyle="1" w:styleId="c19centre">
    <w:name w:val="c19centre"/>
    <w:basedOn w:val="Normal"/>
    <w:rsid w:val="00EF6178"/>
    <w:pPr>
      <w:spacing w:after="240"/>
      <w:ind w:left="567"/>
      <w:jc w:val="center"/>
    </w:pPr>
    <w:rPr>
      <w:rFonts w:ascii="Times New Roman" w:eastAsia="Times New Roman" w:hAnsi="Times New Roman" w:cs="Times New Roman"/>
      <w:lang w:val="fr-BE" w:eastAsia="fr-BE"/>
    </w:rPr>
  </w:style>
  <w:style w:type="paragraph" w:customStyle="1" w:styleId="c72alineadroite">
    <w:name w:val="c72alineadroite"/>
    <w:basedOn w:val="Normal"/>
    <w:rsid w:val="00EF6178"/>
    <w:pPr>
      <w:spacing w:after="240"/>
      <w:ind w:left="567"/>
      <w:jc w:val="right"/>
    </w:pPr>
    <w:rPr>
      <w:rFonts w:ascii="Times New Roman" w:eastAsia="Times New Roman" w:hAnsi="Times New Roman" w:cs="Times New Roman"/>
      <w:lang w:val="fr-BE" w:eastAsia="fr-BE"/>
    </w:rPr>
  </w:style>
  <w:style w:type="paragraph" w:customStyle="1" w:styleId="c71indicateur">
    <w:name w:val="c71indicateur"/>
    <w:basedOn w:val="Normal"/>
    <w:rsid w:val="00EF6178"/>
    <w:pPr>
      <w:spacing w:before="600" w:after="560"/>
      <w:ind w:left="567"/>
      <w:jc w:val="center"/>
    </w:pPr>
    <w:rPr>
      <w:rFonts w:ascii="Times New Roman" w:eastAsia="Times New Roman" w:hAnsi="Times New Roman" w:cs="Times New Roman"/>
      <w:lang w:val="fr-BE" w:eastAsia="fr-BE"/>
    </w:rPr>
  </w:style>
  <w:style w:type="character" w:styleId="Accentuation">
    <w:name w:val="Emphasis"/>
    <w:basedOn w:val="Policepardfaut"/>
    <w:uiPriority w:val="20"/>
    <w:qFormat/>
    <w:rsid w:val="008E625A"/>
    <w:rPr>
      <w:i/>
      <w:iCs/>
    </w:rPr>
  </w:style>
  <w:style w:type="paragraph" w:styleId="En-tte">
    <w:name w:val="header"/>
    <w:basedOn w:val="Normal"/>
    <w:link w:val="En-tteCar"/>
    <w:unhideWhenUsed/>
    <w:rsid w:val="00681B17"/>
    <w:pPr>
      <w:tabs>
        <w:tab w:val="center" w:pos="4536"/>
        <w:tab w:val="right" w:pos="9072"/>
      </w:tabs>
    </w:pPr>
  </w:style>
  <w:style w:type="character" w:customStyle="1" w:styleId="En-tteCar">
    <w:name w:val="En-tête Car"/>
    <w:basedOn w:val="Policepardfaut"/>
    <w:link w:val="En-tte"/>
    <w:rsid w:val="00681B17"/>
  </w:style>
  <w:style w:type="paragraph" w:styleId="Sansinterligne">
    <w:name w:val="No Spacing"/>
    <w:qFormat/>
    <w:rsid w:val="002E51F7"/>
    <w:rPr>
      <w:rFonts w:ascii="Calibri" w:eastAsia="Times New Roman" w:hAnsi="Calibri" w:cs="Times New Roman"/>
      <w:sz w:val="22"/>
      <w:szCs w:val="22"/>
      <w:lang w:val="fr-BE"/>
    </w:rPr>
  </w:style>
  <w:style w:type="paragraph" w:customStyle="1" w:styleId="s01pointaltn">
    <w:name w:val="s01pointaltn"/>
    <w:basedOn w:val="Normal"/>
    <w:rsid w:val="00246BD0"/>
    <w:pPr>
      <w:spacing w:before="100" w:beforeAutospacing="1" w:after="100" w:afterAutospacing="1"/>
    </w:pPr>
    <w:rPr>
      <w:rFonts w:ascii="Arial" w:eastAsia="Times New Roman" w:hAnsi="Arial" w:cs="Arial"/>
      <w:sz w:val="22"/>
      <w:szCs w:val="22"/>
      <w:lang w:val="fr-BE" w:eastAsia="fr-BE"/>
    </w:rPr>
  </w:style>
  <w:style w:type="paragraph" w:customStyle="1" w:styleId="s19marge1">
    <w:name w:val="s19marge1"/>
    <w:basedOn w:val="Normal"/>
    <w:rsid w:val="00246BD0"/>
    <w:pPr>
      <w:spacing w:before="100" w:beforeAutospacing="1" w:after="100" w:afterAutospacing="1"/>
    </w:pPr>
    <w:rPr>
      <w:rFonts w:ascii="Arial" w:eastAsia="Times New Roman" w:hAnsi="Arial" w:cs="Arial"/>
      <w:sz w:val="22"/>
      <w:szCs w:val="22"/>
      <w:lang w:val="fr-BE" w:eastAsia="fr-BE"/>
    </w:rPr>
  </w:style>
  <w:style w:type="paragraph" w:customStyle="1" w:styleId="s36renvoi">
    <w:name w:val="s36renvoi"/>
    <w:basedOn w:val="Normal"/>
    <w:rsid w:val="00246BD0"/>
    <w:pPr>
      <w:spacing w:before="100" w:beforeAutospacing="1" w:after="100" w:afterAutospacing="1"/>
    </w:pPr>
    <w:rPr>
      <w:rFonts w:ascii="Arial" w:eastAsia="Times New Roman" w:hAnsi="Arial" w:cs="Arial"/>
      <w:sz w:val="22"/>
      <w:szCs w:val="22"/>
      <w:lang w:val="fr-BE" w:eastAsia="fr-BE"/>
    </w:rPr>
  </w:style>
  <w:style w:type="character" w:styleId="lev">
    <w:name w:val="Strong"/>
    <w:basedOn w:val="Policepardfaut"/>
    <w:uiPriority w:val="22"/>
    <w:qFormat/>
    <w:rsid w:val="00E7095A"/>
    <w:rPr>
      <w:b/>
      <w:bCs/>
    </w:rPr>
  </w:style>
  <w:style w:type="paragraph" w:styleId="Notedefin">
    <w:name w:val="endnote text"/>
    <w:basedOn w:val="Normal"/>
    <w:link w:val="NotedefinCar"/>
    <w:semiHidden/>
    <w:unhideWhenUsed/>
    <w:rsid w:val="00631623"/>
    <w:rPr>
      <w:sz w:val="20"/>
      <w:szCs w:val="20"/>
    </w:rPr>
  </w:style>
  <w:style w:type="character" w:customStyle="1" w:styleId="NotedefinCar">
    <w:name w:val="Note de fin Car"/>
    <w:basedOn w:val="Policepardfaut"/>
    <w:link w:val="Notedefin"/>
    <w:semiHidden/>
    <w:rsid w:val="00631623"/>
    <w:rPr>
      <w:sz w:val="20"/>
      <w:szCs w:val="20"/>
    </w:rPr>
  </w:style>
  <w:style w:type="character" w:styleId="Appeldenotedefin">
    <w:name w:val="endnote reference"/>
    <w:basedOn w:val="Policepardfaut"/>
    <w:semiHidden/>
    <w:unhideWhenUsed/>
    <w:rsid w:val="00631623"/>
    <w:rPr>
      <w:vertAlign w:val="superscript"/>
    </w:rPr>
  </w:style>
  <w:style w:type="paragraph" w:customStyle="1" w:styleId="NumPar1">
    <w:name w:val="NumPar 1"/>
    <w:basedOn w:val="Normal"/>
    <w:next w:val="Normal"/>
    <w:rsid w:val="00E833EA"/>
    <w:pPr>
      <w:numPr>
        <w:numId w:val="12"/>
      </w:numPr>
      <w:spacing w:before="120" w:after="120"/>
      <w:jc w:val="both"/>
    </w:pPr>
    <w:rPr>
      <w:rFonts w:ascii="Times New Roman" w:eastAsia="Times New Roman" w:hAnsi="Times New Roman" w:cs="Times New Roman"/>
      <w:lang w:val="en-GB" w:eastAsia="en-GB"/>
    </w:rPr>
  </w:style>
  <w:style w:type="paragraph" w:customStyle="1" w:styleId="NumPar2">
    <w:name w:val="NumPar 2"/>
    <w:basedOn w:val="Normal"/>
    <w:next w:val="Normal"/>
    <w:rsid w:val="00E833EA"/>
    <w:pPr>
      <w:numPr>
        <w:ilvl w:val="1"/>
        <w:numId w:val="12"/>
      </w:numPr>
      <w:spacing w:before="120" w:after="120"/>
      <w:jc w:val="both"/>
    </w:pPr>
    <w:rPr>
      <w:rFonts w:ascii="Times New Roman" w:eastAsia="Times New Roman" w:hAnsi="Times New Roman" w:cs="Times New Roman"/>
      <w:lang w:val="en-GB" w:eastAsia="en-GB"/>
    </w:rPr>
  </w:style>
  <w:style w:type="paragraph" w:customStyle="1" w:styleId="NumPar3">
    <w:name w:val="NumPar 3"/>
    <w:basedOn w:val="Normal"/>
    <w:next w:val="Normal"/>
    <w:rsid w:val="00E833EA"/>
    <w:pPr>
      <w:numPr>
        <w:ilvl w:val="2"/>
        <w:numId w:val="12"/>
      </w:numPr>
      <w:spacing w:before="120" w:after="120"/>
      <w:jc w:val="both"/>
    </w:pPr>
    <w:rPr>
      <w:rFonts w:ascii="Times New Roman" w:eastAsia="Times New Roman" w:hAnsi="Times New Roman" w:cs="Times New Roman"/>
      <w:lang w:val="en-GB" w:eastAsia="en-GB"/>
    </w:rPr>
  </w:style>
  <w:style w:type="paragraph" w:customStyle="1" w:styleId="NumPar4">
    <w:name w:val="NumPar 4"/>
    <w:basedOn w:val="Normal"/>
    <w:next w:val="Normal"/>
    <w:rsid w:val="00E833EA"/>
    <w:pPr>
      <w:numPr>
        <w:ilvl w:val="3"/>
        <w:numId w:val="12"/>
      </w:numPr>
      <w:spacing w:before="120" w:after="120"/>
      <w:jc w:val="both"/>
    </w:pPr>
    <w:rPr>
      <w:rFonts w:ascii="Times New Roman" w:eastAsia="Times New Roman" w:hAnsi="Times New Roman" w:cs="Times New Roman"/>
      <w:lang w:val="en-GB" w:eastAsia="en-GB"/>
    </w:rPr>
  </w:style>
  <w:style w:type="character" w:styleId="Lienhypertextesuivivisit">
    <w:name w:val="FollowedHyperlink"/>
    <w:basedOn w:val="Policepardfaut"/>
    <w:semiHidden/>
    <w:unhideWhenUsed/>
    <w:rsid w:val="00412FC3"/>
    <w:rPr>
      <w:color w:val="800080" w:themeColor="followedHyperlink"/>
      <w:u w:val="single"/>
    </w:rPr>
  </w:style>
  <w:style w:type="character" w:customStyle="1" w:styleId="Titre1Car">
    <w:name w:val="Titre 1 Car"/>
    <w:basedOn w:val="Policepardfaut"/>
    <w:link w:val="Titre1"/>
    <w:uiPriority w:val="9"/>
    <w:rsid w:val="009D526D"/>
    <w:rPr>
      <w:rFonts w:ascii="Arial" w:eastAsia="Times New Roman" w:hAnsi="Arial" w:cs="Arial"/>
      <w:b/>
      <w:bCs/>
      <w:kern w:val="36"/>
      <w:lang w:val="fr-BE" w:eastAsia="fr-BE"/>
    </w:rPr>
  </w:style>
  <w:style w:type="character" w:customStyle="1" w:styleId="Titre2Car">
    <w:name w:val="Titre 2 Car"/>
    <w:basedOn w:val="Policepardfaut"/>
    <w:link w:val="Titre2"/>
    <w:uiPriority w:val="9"/>
    <w:rsid w:val="009D526D"/>
    <w:rPr>
      <w:rFonts w:ascii="Arial" w:eastAsia="Times New Roman" w:hAnsi="Arial" w:cs="Arial"/>
      <w:sz w:val="21"/>
      <w:szCs w:val="21"/>
      <w:lang w:val="fr-BE" w:eastAsia="fr-BE"/>
    </w:rPr>
  </w:style>
  <w:style w:type="character" w:customStyle="1" w:styleId="Titre3Car">
    <w:name w:val="Titre 3 Car"/>
    <w:basedOn w:val="Policepardfaut"/>
    <w:link w:val="Titre3"/>
    <w:rsid w:val="00F61AE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61AE0"/>
    <w:pPr>
      <w:spacing w:before="100" w:beforeAutospacing="1" w:after="100" w:afterAutospacing="1"/>
    </w:pPr>
    <w:rPr>
      <w:rFonts w:ascii="Times New Roman" w:eastAsia="Times New Roman" w:hAnsi="Times New Roman" w:cs="Times New Roman"/>
      <w:lang w:val="fr-BE" w:eastAsia="fr-BE"/>
    </w:rPr>
  </w:style>
  <w:style w:type="character" w:customStyle="1" w:styleId="apple-converted-space">
    <w:name w:val="apple-converted-space"/>
    <w:basedOn w:val="Policepardfaut"/>
    <w:rsid w:val="00F61AE0"/>
  </w:style>
  <w:style w:type="paragraph" w:styleId="Textebrut">
    <w:name w:val="Plain Text"/>
    <w:basedOn w:val="Normal"/>
    <w:link w:val="TextebrutCar"/>
    <w:uiPriority w:val="99"/>
    <w:unhideWhenUsed/>
    <w:rsid w:val="00F61AE0"/>
    <w:rPr>
      <w:rFonts w:ascii="Calibri" w:hAnsi="Calibri"/>
      <w:sz w:val="22"/>
      <w:szCs w:val="21"/>
      <w:lang w:val="fr-BE"/>
    </w:rPr>
  </w:style>
  <w:style w:type="character" w:customStyle="1" w:styleId="TextebrutCar">
    <w:name w:val="Texte brut Car"/>
    <w:basedOn w:val="Policepardfaut"/>
    <w:link w:val="Textebrut"/>
    <w:uiPriority w:val="99"/>
    <w:rsid w:val="00F61AE0"/>
    <w:rPr>
      <w:rFonts w:ascii="Calibri" w:hAnsi="Calibri"/>
      <w:sz w:val="22"/>
      <w:szCs w:val="21"/>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7024">
      <w:bodyDiv w:val="1"/>
      <w:marLeft w:val="0"/>
      <w:marRight w:val="0"/>
      <w:marTop w:val="0"/>
      <w:marBottom w:val="0"/>
      <w:divBdr>
        <w:top w:val="none" w:sz="0" w:space="0" w:color="auto"/>
        <w:left w:val="none" w:sz="0" w:space="0" w:color="auto"/>
        <w:bottom w:val="none" w:sz="0" w:space="0" w:color="auto"/>
        <w:right w:val="none" w:sz="0" w:space="0" w:color="auto"/>
      </w:divBdr>
      <w:divsChild>
        <w:div w:id="124198494">
          <w:marLeft w:val="0"/>
          <w:marRight w:val="0"/>
          <w:marTop w:val="0"/>
          <w:marBottom w:val="0"/>
          <w:divBdr>
            <w:top w:val="none" w:sz="0" w:space="0" w:color="auto"/>
            <w:left w:val="none" w:sz="0" w:space="0" w:color="auto"/>
            <w:bottom w:val="none" w:sz="0" w:space="0" w:color="auto"/>
            <w:right w:val="none" w:sz="0" w:space="0" w:color="auto"/>
          </w:divBdr>
          <w:divsChild>
            <w:div w:id="1846095018">
              <w:marLeft w:val="0"/>
              <w:marRight w:val="0"/>
              <w:marTop w:val="0"/>
              <w:marBottom w:val="0"/>
              <w:divBdr>
                <w:top w:val="none" w:sz="0" w:space="0" w:color="auto"/>
                <w:left w:val="none" w:sz="0" w:space="0" w:color="auto"/>
                <w:bottom w:val="none" w:sz="0" w:space="0" w:color="auto"/>
                <w:right w:val="none" w:sz="0" w:space="0" w:color="auto"/>
              </w:divBdr>
              <w:divsChild>
                <w:div w:id="422840160">
                  <w:marLeft w:val="0"/>
                  <w:marRight w:val="0"/>
                  <w:marTop w:val="0"/>
                  <w:marBottom w:val="0"/>
                  <w:divBdr>
                    <w:top w:val="none" w:sz="0" w:space="0" w:color="auto"/>
                    <w:left w:val="none" w:sz="0" w:space="0" w:color="auto"/>
                    <w:bottom w:val="none" w:sz="0" w:space="0" w:color="auto"/>
                    <w:right w:val="none" w:sz="0" w:space="0" w:color="auto"/>
                  </w:divBdr>
                  <w:divsChild>
                    <w:div w:id="10468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8220">
      <w:bodyDiv w:val="1"/>
      <w:marLeft w:val="0"/>
      <w:marRight w:val="0"/>
      <w:marTop w:val="0"/>
      <w:marBottom w:val="0"/>
      <w:divBdr>
        <w:top w:val="none" w:sz="0" w:space="0" w:color="auto"/>
        <w:left w:val="none" w:sz="0" w:space="0" w:color="auto"/>
        <w:bottom w:val="none" w:sz="0" w:space="0" w:color="auto"/>
        <w:right w:val="none" w:sz="0" w:space="0" w:color="auto"/>
      </w:divBdr>
    </w:div>
    <w:div w:id="130565681">
      <w:bodyDiv w:val="1"/>
      <w:marLeft w:val="0"/>
      <w:marRight w:val="0"/>
      <w:marTop w:val="0"/>
      <w:marBottom w:val="0"/>
      <w:divBdr>
        <w:top w:val="none" w:sz="0" w:space="0" w:color="auto"/>
        <w:left w:val="none" w:sz="0" w:space="0" w:color="auto"/>
        <w:bottom w:val="none" w:sz="0" w:space="0" w:color="auto"/>
        <w:right w:val="none" w:sz="0" w:space="0" w:color="auto"/>
      </w:divBdr>
      <w:divsChild>
        <w:div w:id="1032418598">
          <w:marLeft w:val="0"/>
          <w:marRight w:val="75"/>
          <w:marTop w:val="0"/>
          <w:marBottom w:val="0"/>
          <w:divBdr>
            <w:top w:val="none" w:sz="0" w:space="0" w:color="auto"/>
            <w:left w:val="single" w:sz="6" w:space="2" w:color="DDDDDD"/>
            <w:bottom w:val="single" w:sz="6" w:space="2" w:color="DDDDDD"/>
            <w:right w:val="none" w:sz="0" w:space="0" w:color="auto"/>
          </w:divBdr>
          <w:divsChild>
            <w:div w:id="1683508898">
              <w:marLeft w:val="0"/>
              <w:marRight w:val="0"/>
              <w:marTop w:val="0"/>
              <w:marBottom w:val="0"/>
              <w:divBdr>
                <w:top w:val="single" w:sz="6" w:space="8" w:color="A6B5C7"/>
                <w:left w:val="single" w:sz="6" w:space="8" w:color="A6B5C7"/>
                <w:bottom w:val="single" w:sz="6" w:space="8" w:color="A6B5C7"/>
                <w:right w:val="single" w:sz="6" w:space="8" w:color="A6B5C7"/>
              </w:divBdr>
              <w:divsChild>
                <w:div w:id="1425877675">
                  <w:marLeft w:val="0"/>
                  <w:marRight w:val="0"/>
                  <w:marTop w:val="0"/>
                  <w:marBottom w:val="0"/>
                  <w:divBdr>
                    <w:top w:val="single" w:sz="6" w:space="4" w:color="E4E4E4"/>
                    <w:left w:val="single" w:sz="6" w:space="19" w:color="E4E4E4"/>
                    <w:bottom w:val="single" w:sz="6" w:space="8" w:color="E4E4E4"/>
                    <w:right w:val="single" w:sz="6" w:space="15" w:color="E4E4E4"/>
                  </w:divBdr>
                </w:div>
              </w:divsChild>
            </w:div>
          </w:divsChild>
        </w:div>
      </w:divsChild>
    </w:div>
    <w:div w:id="266305078">
      <w:bodyDiv w:val="1"/>
      <w:marLeft w:val="0"/>
      <w:marRight w:val="0"/>
      <w:marTop w:val="0"/>
      <w:marBottom w:val="0"/>
      <w:divBdr>
        <w:top w:val="none" w:sz="0" w:space="0" w:color="auto"/>
        <w:left w:val="none" w:sz="0" w:space="0" w:color="auto"/>
        <w:bottom w:val="none" w:sz="0" w:space="0" w:color="auto"/>
        <w:right w:val="none" w:sz="0" w:space="0" w:color="auto"/>
      </w:divBdr>
      <w:divsChild>
        <w:div w:id="1691367668">
          <w:marLeft w:val="0"/>
          <w:marRight w:val="0"/>
          <w:marTop w:val="0"/>
          <w:marBottom w:val="0"/>
          <w:divBdr>
            <w:top w:val="none" w:sz="0" w:space="0" w:color="auto"/>
            <w:left w:val="none" w:sz="0" w:space="0" w:color="auto"/>
            <w:bottom w:val="none" w:sz="0" w:space="0" w:color="auto"/>
            <w:right w:val="none" w:sz="0" w:space="0" w:color="auto"/>
          </w:divBdr>
          <w:divsChild>
            <w:div w:id="702630946">
              <w:marLeft w:val="0"/>
              <w:marRight w:val="0"/>
              <w:marTop w:val="0"/>
              <w:marBottom w:val="0"/>
              <w:divBdr>
                <w:top w:val="none" w:sz="0" w:space="0" w:color="auto"/>
                <w:left w:val="none" w:sz="0" w:space="0" w:color="auto"/>
                <w:bottom w:val="none" w:sz="0" w:space="0" w:color="auto"/>
                <w:right w:val="none" w:sz="0" w:space="0" w:color="auto"/>
              </w:divBdr>
              <w:divsChild>
                <w:div w:id="1498886532">
                  <w:marLeft w:val="0"/>
                  <w:marRight w:val="0"/>
                  <w:marTop w:val="0"/>
                  <w:marBottom w:val="0"/>
                  <w:divBdr>
                    <w:top w:val="none" w:sz="0" w:space="0" w:color="auto"/>
                    <w:left w:val="none" w:sz="0" w:space="0" w:color="auto"/>
                    <w:bottom w:val="none" w:sz="0" w:space="0" w:color="auto"/>
                    <w:right w:val="none" w:sz="0" w:space="0" w:color="auto"/>
                  </w:divBdr>
                  <w:divsChild>
                    <w:div w:id="1853253501">
                      <w:marLeft w:val="0"/>
                      <w:marRight w:val="0"/>
                      <w:marTop w:val="0"/>
                      <w:marBottom w:val="0"/>
                      <w:divBdr>
                        <w:top w:val="none" w:sz="0" w:space="0" w:color="auto"/>
                        <w:left w:val="none" w:sz="0" w:space="0" w:color="auto"/>
                        <w:bottom w:val="none" w:sz="0" w:space="0" w:color="auto"/>
                        <w:right w:val="none" w:sz="0" w:space="0" w:color="auto"/>
                      </w:divBdr>
                      <w:divsChild>
                        <w:div w:id="713846558">
                          <w:marLeft w:val="0"/>
                          <w:marRight w:val="0"/>
                          <w:marTop w:val="0"/>
                          <w:marBottom w:val="0"/>
                          <w:divBdr>
                            <w:top w:val="none" w:sz="0" w:space="0" w:color="auto"/>
                            <w:left w:val="none" w:sz="0" w:space="0" w:color="auto"/>
                            <w:bottom w:val="none" w:sz="0" w:space="0" w:color="auto"/>
                            <w:right w:val="none" w:sz="0" w:space="0" w:color="auto"/>
                          </w:divBdr>
                          <w:divsChild>
                            <w:div w:id="2056541948">
                              <w:marLeft w:val="0"/>
                              <w:marRight w:val="0"/>
                              <w:marTop w:val="0"/>
                              <w:marBottom w:val="0"/>
                              <w:divBdr>
                                <w:top w:val="none" w:sz="0" w:space="0" w:color="auto"/>
                                <w:left w:val="none" w:sz="0" w:space="0" w:color="auto"/>
                                <w:bottom w:val="none" w:sz="0" w:space="0" w:color="auto"/>
                                <w:right w:val="none" w:sz="0" w:space="0" w:color="auto"/>
                              </w:divBdr>
                              <w:divsChild>
                                <w:div w:id="985083804">
                                  <w:marLeft w:val="0"/>
                                  <w:marRight w:val="0"/>
                                  <w:marTop w:val="0"/>
                                  <w:marBottom w:val="0"/>
                                  <w:divBdr>
                                    <w:top w:val="none" w:sz="0" w:space="0" w:color="auto"/>
                                    <w:left w:val="none" w:sz="0" w:space="0" w:color="auto"/>
                                    <w:bottom w:val="none" w:sz="0" w:space="0" w:color="auto"/>
                                    <w:right w:val="none" w:sz="0" w:space="0" w:color="auto"/>
                                  </w:divBdr>
                                  <w:divsChild>
                                    <w:div w:id="1657954632">
                                      <w:marLeft w:val="0"/>
                                      <w:marRight w:val="0"/>
                                      <w:marTop w:val="0"/>
                                      <w:marBottom w:val="0"/>
                                      <w:divBdr>
                                        <w:top w:val="none" w:sz="0" w:space="0" w:color="auto"/>
                                        <w:left w:val="none" w:sz="0" w:space="0" w:color="auto"/>
                                        <w:bottom w:val="none" w:sz="0" w:space="0" w:color="auto"/>
                                        <w:right w:val="none" w:sz="0" w:space="0" w:color="auto"/>
                                      </w:divBdr>
                                      <w:divsChild>
                                        <w:div w:id="360588386">
                                          <w:marLeft w:val="0"/>
                                          <w:marRight w:val="0"/>
                                          <w:marTop w:val="0"/>
                                          <w:marBottom w:val="0"/>
                                          <w:divBdr>
                                            <w:top w:val="none" w:sz="0" w:space="0" w:color="auto"/>
                                            <w:left w:val="none" w:sz="0" w:space="0" w:color="auto"/>
                                            <w:bottom w:val="none" w:sz="0" w:space="0" w:color="auto"/>
                                            <w:right w:val="none" w:sz="0" w:space="0" w:color="auto"/>
                                          </w:divBdr>
                                          <w:divsChild>
                                            <w:div w:id="17456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6605218">
      <w:bodyDiv w:val="1"/>
      <w:marLeft w:val="0"/>
      <w:marRight w:val="0"/>
      <w:marTop w:val="0"/>
      <w:marBottom w:val="0"/>
      <w:divBdr>
        <w:top w:val="none" w:sz="0" w:space="0" w:color="auto"/>
        <w:left w:val="none" w:sz="0" w:space="0" w:color="auto"/>
        <w:bottom w:val="none" w:sz="0" w:space="0" w:color="auto"/>
        <w:right w:val="none" w:sz="0" w:space="0" w:color="auto"/>
      </w:divBdr>
    </w:div>
    <w:div w:id="938562934">
      <w:bodyDiv w:val="1"/>
      <w:marLeft w:val="0"/>
      <w:marRight w:val="0"/>
      <w:marTop w:val="0"/>
      <w:marBottom w:val="0"/>
      <w:divBdr>
        <w:top w:val="none" w:sz="0" w:space="0" w:color="auto"/>
        <w:left w:val="none" w:sz="0" w:space="0" w:color="auto"/>
        <w:bottom w:val="none" w:sz="0" w:space="0" w:color="auto"/>
        <w:right w:val="none" w:sz="0" w:space="0" w:color="auto"/>
      </w:divBdr>
    </w:div>
    <w:div w:id="1180661883">
      <w:bodyDiv w:val="1"/>
      <w:marLeft w:val="0"/>
      <w:marRight w:val="0"/>
      <w:marTop w:val="0"/>
      <w:marBottom w:val="0"/>
      <w:divBdr>
        <w:top w:val="none" w:sz="0" w:space="0" w:color="auto"/>
        <w:left w:val="none" w:sz="0" w:space="0" w:color="auto"/>
        <w:bottom w:val="none" w:sz="0" w:space="0" w:color="auto"/>
        <w:right w:val="none" w:sz="0" w:space="0" w:color="auto"/>
      </w:divBdr>
    </w:div>
    <w:div w:id="1566917917">
      <w:bodyDiv w:val="1"/>
      <w:marLeft w:val="0"/>
      <w:marRight w:val="0"/>
      <w:marTop w:val="0"/>
      <w:marBottom w:val="0"/>
      <w:divBdr>
        <w:top w:val="none" w:sz="0" w:space="0" w:color="auto"/>
        <w:left w:val="none" w:sz="0" w:space="0" w:color="auto"/>
        <w:bottom w:val="none" w:sz="0" w:space="0" w:color="auto"/>
        <w:right w:val="none" w:sz="0" w:space="0" w:color="auto"/>
      </w:divBdr>
      <w:divsChild>
        <w:div w:id="287904271">
          <w:marLeft w:val="0"/>
          <w:marRight w:val="0"/>
          <w:marTop w:val="0"/>
          <w:marBottom w:val="0"/>
          <w:divBdr>
            <w:top w:val="none" w:sz="0" w:space="0" w:color="auto"/>
            <w:left w:val="none" w:sz="0" w:space="0" w:color="auto"/>
            <w:bottom w:val="none" w:sz="0" w:space="0" w:color="auto"/>
            <w:right w:val="none" w:sz="0" w:space="0" w:color="auto"/>
          </w:divBdr>
          <w:divsChild>
            <w:div w:id="2144808046">
              <w:marLeft w:val="0"/>
              <w:marRight w:val="0"/>
              <w:marTop w:val="0"/>
              <w:marBottom w:val="0"/>
              <w:divBdr>
                <w:top w:val="none" w:sz="0" w:space="0" w:color="auto"/>
                <w:left w:val="none" w:sz="0" w:space="0" w:color="auto"/>
                <w:bottom w:val="none" w:sz="0" w:space="0" w:color="auto"/>
                <w:right w:val="none" w:sz="0" w:space="0" w:color="auto"/>
              </w:divBdr>
              <w:divsChild>
                <w:div w:id="218975911">
                  <w:marLeft w:val="0"/>
                  <w:marRight w:val="0"/>
                  <w:marTop w:val="0"/>
                  <w:marBottom w:val="0"/>
                  <w:divBdr>
                    <w:top w:val="none" w:sz="0" w:space="0" w:color="auto"/>
                    <w:left w:val="none" w:sz="0" w:space="0" w:color="auto"/>
                    <w:bottom w:val="none" w:sz="0" w:space="0" w:color="auto"/>
                    <w:right w:val="none" w:sz="0" w:space="0" w:color="auto"/>
                  </w:divBdr>
                  <w:divsChild>
                    <w:div w:id="1064989054">
                      <w:marLeft w:val="1"/>
                      <w:marRight w:val="1"/>
                      <w:marTop w:val="0"/>
                      <w:marBottom w:val="0"/>
                      <w:divBdr>
                        <w:top w:val="none" w:sz="0" w:space="0" w:color="auto"/>
                        <w:left w:val="none" w:sz="0" w:space="0" w:color="auto"/>
                        <w:bottom w:val="none" w:sz="0" w:space="0" w:color="auto"/>
                        <w:right w:val="none" w:sz="0" w:space="0" w:color="auto"/>
                      </w:divBdr>
                      <w:divsChild>
                        <w:div w:id="379088111">
                          <w:marLeft w:val="0"/>
                          <w:marRight w:val="0"/>
                          <w:marTop w:val="0"/>
                          <w:marBottom w:val="0"/>
                          <w:divBdr>
                            <w:top w:val="none" w:sz="0" w:space="0" w:color="auto"/>
                            <w:left w:val="none" w:sz="0" w:space="0" w:color="auto"/>
                            <w:bottom w:val="none" w:sz="0" w:space="0" w:color="auto"/>
                            <w:right w:val="none" w:sz="0" w:space="0" w:color="auto"/>
                          </w:divBdr>
                          <w:divsChild>
                            <w:div w:id="1559168795">
                              <w:marLeft w:val="0"/>
                              <w:marRight w:val="0"/>
                              <w:marTop w:val="0"/>
                              <w:marBottom w:val="360"/>
                              <w:divBdr>
                                <w:top w:val="none" w:sz="0" w:space="0" w:color="auto"/>
                                <w:left w:val="none" w:sz="0" w:space="0" w:color="auto"/>
                                <w:bottom w:val="none" w:sz="0" w:space="0" w:color="auto"/>
                                <w:right w:val="none" w:sz="0" w:space="0" w:color="auto"/>
                              </w:divBdr>
                              <w:divsChild>
                                <w:div w:id="1045761938">
                                  <w:marLeft w:val="0"/>
                                  <w:marRight w:val="0"/>
                                  <w:marTop w:val="0"/>
                                  <w:marBottom w:val="0"/>
                                  <w:divBdr>
                                    <w:top w:val="none" w:sz="0" w:space="0" w:color="auto"/>
                                    <w:left w:val="none" w:sz="0" w:space="0" w:color="auto"/>
                                    <w:bottom w:val="none" w:sz="0" w:space="0" w:color="auto"/>
                                    <w:right w:val="none" w:sz="0" w:space="0" w:color="auto"/>
                                  </w:divBdr>
                                  <w:divsChild>
                                    <w:div w:id="1425494330">
                                      <w:marLeft w:val="0"/>
                                      <w:marRight w:val="0"/>
                                      <w:marTop w:val="0"/>
                                      <w:marBottom w:val="0"/>
                                      <w:divBdr>
                                        <w:top w:val="none" w:sz="0" w:space="0" w:color="auto"/>
                                        <w:left w:val="none" w:sz="0" w:space="0" w:color="auto"/>
                                        <w:bottom w:val="none" w:sz="0" w:space="0" w:color="auto"/>
                                        <w:right w:val="none" w:sz="0" w:space="0" w:color="auto"/>
                                      </w:divBdr>
                                      <w:divsChild>
                                        <w:div w:id="7837714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 w:id="1681740741">
      <w:bodyDiv w:val="1"/>
      <w:marLeft w:val="0"/>
      <w:marRight w:val="0"/>
      <w:marTop w:val="0"/>
      <w:marBottom w:val="0"/>
      <w:divBdr>
        <w:top w:val="none" w:sz="0" w:space="0" w:color="auto"/>
        <w:left w:val="none" w:sz="0" w:space="0" w:color="auto"/>
        <w:bottom w:val="none" w:sz="0" w:space="0" w:color="auto"/>
        <w:right w:val="none" w:sz="0" w:space="0" w:color="auto"/>
      </w:divBdr>
      <w:divsChild>
        <w:div w:id="976836577">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684435438">
      <w:bodyDiv w:val="1"/>
      <w:marLeft w:val="0"/>
      <w:marRight w:val="0"/>
      <w:marTop w:val="0"/>
      <w:marBottom w:val="0"/>
      <w:divBdr>
        <w:top w:val="none" w:sz="0" w:space="0" w:color="auto"/>
        <w:left w:val="none" w:sz="0" w:space="0" w:color="auto"/>
        <w:bottom w:val="none" w:sz="0" w:space="0" w:color="auto"/>
        <w:right w:val="none" w:sz="0" w:space="0" w:color="auto"/>
      </w:divBdr>
      <w:divsChild>
        <w:div w:id="411898580">
          <w:marLeft w:val="0"/>
          <w:marRight w:val="0"/>
          <w:marTop w:val="0"/>
          <w:marBottom w:val="0"/>
          <w:divBdr>
            <w:top w:val="none" w:sz="0" w:space="0" w:color="auto"/>
            <w:left w:val="none" w:sz="0" w:space="0" w:color="auto"/>
            <w:bottom w:val="none" w:sz="0" w:space="0" w:color="auto"/>
            <w:right w:val="none" w:sz="0" w:space="0" w:color="auto"/>
          </w:divBdr>
          <w:divsChild>
            <w:div w:id="1130443510">
              <w:marLeft w:val="0"/>
              <w:marRight w:val="0"/>
              <w:marTop w:val="0"/>
              <w:marBottom w:val="0"/>
              <w:divBdr>
                <w:top w:val="none" w:sz="0" w:space="0" w:color="auto"/>
                <w:left w:val="none" w:sz="0" w:space="0" w:color="auto"/>
                <w:bottom w:val="none" w:sz="0" w:space="0" w:color="auto"/>
                <w:right w:val="none" w:sz="0" w:space="0" w:color="auto"/>
              </w:divBdr>
              <w:divsChild>
                <w:div w:id="1478843507">
                  <w:marLeft w:val="0"/>
                  <w:marRight w:val="0"/>
                  <w:marTop w:val="0"/>
                  <w:marBottom w:val="0"/>
                  <w:divBdr>
                    <w:top w:val="none" w:sz="0" w:space="0" w:color="auto"/>
                    <w:left w:val="none" w:sz="0" w:space="0" w:color="auto"/>
                    <w:bottom w:val="none" w:sz="0" w:space="0" w:color="auto"/>
                    <w:right w:val="none" w:sz="0" w:space="0" w:color="auto"/>
                  </w:divBdr>
                  <w:divsChild>
                    <w:div w:id="1152016556">
                      <w:marLeft w:val="1"/>
                      <w:marRight w:val="1"/>
                      <w:marTop w:val="0"/>
                      <w:marBottom w:val="0"/>
                      <w:divBdr>
                        <w:top w:val="none" w:sz="0" w:space="0" w:color="auto"/>
                        <w:left w:val="none" w:sz="0" w:space="0" w:color="auto"/>
                        <w:bottom w:val="none" w:sz="0" w:space="0" w:color="auto"/>
                        <w:right w:val="none" w:sz="0" w:space="0" w:color="auto"/>
                      </w:divBdr>
                      <w:divsChild>
                        <w:div w:id="655571367">
                          <w:marLeft w:val="0"/>
                          <w:marRight w:val="0"/>
                          <w:marTop w:val="0"/>
                          <w:marBottom w:val="0"/>
                          <w:divBdr>
                            <w:top w:val="none" w:sz="0" w:space="0" w:color="auto"/>
                            <w:left w:val="none" w:sz="0" w:space="0" w:color="auto"/>
                            <w:bottom w:val="none" w:sz="0" w:space="0" w:color="auto"/>
                            <w:right w:val="none" w:sz="0" w:space="0" w:color="auto"/>
                          </w:divBdr>
                          <w:divsChild>
                            <w:div w:id="899825829">
                              <w:marLeft w:val="0"/>
                              <w:marRight w:val="0"/>
                              <w:marTop w:val="0"/>
                              <w:marBottom w:val="360"/>
                              <w:divBdr>
                                <w:top w:val="none" w:sz="0" w:space="0" w:color="auto"/>
                                <w:left w:val="none" w:sz="0" w:space="0" w:color="auto"/>
                                <w:bottom w:val="none" w:sz="0" w:space="0" w:color="auto"/>
                                <w:right w:val="none" w:sz="0" w:space="0" w:color="auto"/>
                              </w:divBdr>
                              <w:divsChild>
                                <w:div w:id="536430959">
                                  <w:marLeft w:val="0"/>
                                  <w:marRight w:val="0"/>
                                  <w:marTop w:val="0"/>
                                  <w:marBottom w:val="0"/>
                                  <w:divBdr>
                                    <w:top w:val="none" w:sz="0" w:space="0" w:color="auto"/>
                                    <w:left w:val="none" w:sz="0" w:space="0" w:color="auto"/>
                                    <w:bottom w:val="none" w:sz="0" w:space="0" w:color="auto"/>
                                    <w:right w:val="none" w:sz="0" w:space="0" w:color="auto"/>
                                  </w:divBdr>
                                  <w:divsChild>
                                    <w:div w:id="1063216593">
                                      <w:marLeft w:val="0"/>
                                      <w:marRight w:val="0"/>
                                      <w:marTop w:val="0"/>
                                      <w:marBottom w:val="0"/>
                                      <w:divBdr>
                                        <w:top w:val="none" w:sz="0" w:space="0" w:color="auto"/>
                                        <w:left w:val="none" w:sz="0" w:space="0" w:color="auto"/>
                                        <w:bottom w:val="none" w:sz="0" w:space="0" w:color="auto"/>
                                        <w:right w:val="none" w:sz="0" w:space="0" w:color="auto"/>
                                      </w:divBdr>
                                      <w:divsChild>
                                        <w:div w:id="1976643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 w:id="1975910823">
      <w:bodyDiv w:val="1"/>
      <w:marLeft w:val="0"/>
      <w:marRight w:val="0"/>
      <w:marTop w:val="0"/>
      <w:marBottom w:val="0"/>
      <w:divBdr>
        <w:top w:val="none" w:sz="0" w:space="0" w:color="auto"/>
        <w:left w:val="none" w:sz="0" w:space="0" w:color="auto"/>
        <w:bottom w:val="none" w:sz="0" w:space="0" w:color="auto"/>
        <w:right w:val="none" w:sz="0" w:space="0" w:color="auto"/>
      </w:divBdr>
      <w:divsChild>
        <w:div w:id="1202090902">
          <w:marLeft w:val="432"/>
          <w:marRight w:val="0"/>
          <w:marTop w:val="120"/>
          <w:marBottom w:val="0"/>
          <w:divBdr>
            <w:top w:val="none" w:sz="0" w:space="0" w:color="auto"/>
            <w:left w:val="none" w:sz="0" w:space="0" w:color="auto"/>
            <w:bottom w:val="none" w:sz="0" w:space="0" w:color="auto"/>
            <w:right w:val="none" w:sz="0" w:space="0" w:color="auto"/>
          </w:divBdr>
        </w:div>
        <w:div w:id="1978684630">
          <w:marLeft w:val="864"/>
          <w:marRight w:val="0"/>
          <w:marTop w:val="96"/>
          <w:marBottom w:val="0"/>
          <w:divBdr>
            <w:top w:val="none" w:sz="0" w:space="0" w:color="auto"/>
            <w:left w:val="none" w:sz="0" w:space="0" w:color="auto"/>
            <w:bottom w:val="none" w:sz="0" w:space="0" w:color="auto"/>
            <w:right w:val="none" w:sz="0" w:space="0" w:color="auto"/>
          </w:divBdr>
        </w:div>
        <w:div w:id="1246257749">
          <w:marLeft w:val="864"/>
          <w:marRight w:val="0"/>
          <w:marTop w:val="96"/>
          <w:marBottom w:val="0"/>
          <w:divBdr>
            <w:top w:val="none" w:sz="0" w:space="0" w:color="auto"/>
            <w:left w:val="none" w:sz="0" w:space="0" w:color="auto"/>
            <w:bottom w:val="none" w:sz="0" w:space="0" w:color="auto"/>
            <w:right w:val="none" w:sz="0" w:space="0" w:color="auto"/>
          </w:divBdr>
        </w:div>
      </w:divsChild>
    </w:div>
    <w:div w:id="2099017212">
      <w:bodyDiv w:val="1"/>
      <w:marLeft w:val="0"/>
      <w:marRight w:val="0"/>
      <w:marTop w:val="0"/>
      <w:marBottom w:val="0"/>
      <w:divBdr>
        <w:top w:val="none" w:sz="0" w:space="0" w:color="auto"/>
        <w:left w:val="none" w:sz="0" w:space="0" w:color="auto"/>
        <w:bottom w:val="none" w:sz="0" w:space="0" w:color="auto"/>
        <w:right w:val="none" w:sz="0" w:space="0" w:color="auto"/>
      </w:divBdr>
    </w:div>
    <w:div w:id="2109808697">
      <w:bodyDiv w:val="1"/>
      <w:marLeft w:val="0"/>
      <w:marRight w:val="0"/>
      <w:marTop w:val="0"/>
      <w:marBottom w:val="0"/>
      <w:divBdr>
        <w:top w:val="none" w:sz="0" w:space="0" w:color="auto"/>
        <w:left w:val="none" w:sz="0" w:space="0" w:color="auto"/>
        <w:bottom w:val="none" w:sz="0" w:space="0" w:color="auto"/>
        <w:right w:val="none" w:sz="0" w:space="0" w:color="auto"/>
      </w:divBdr>
      <w:divsChild>
        <w:div w:id="1364597795">
          <w:marLeft w:val="0"/>
          <w:marRight w:val="0"/>
          <w:marTop w:val="0"/>
          <w:marBottom w:val="0"/>
          <w:divBdr>
            <w:top w:val="none" w:sz="0" w:space="0" w:color="auto"/>
            <w:left w:val="none" w:sz="0" w:space="0" w:color="auto"/>
            <w:bottom w:val="none" w:sz="0" w:space="0" w:color="auto"/>
            <w:right w:val="none" w:sz="0" w:space="0" w:color="auto"/>
          </w:divBdr>
          <w:divsChild>
            <w:div w:id="1852328984">
              <w:marLeft w:val="0"/>
              <w:marRight w:val="0"/>
              <w:marTop w:val="0"/>
              <w:marBottom w:val="0"/>
              <w:divBdr>
                <w:top w:val="none" w:sz="0" w:space="0" w:color="auto"/>
                <w:left w:val="none" w:sz="0" w:space="0" w:color="auto"/>
                <w:bottom w:val="none" w:sz="0" w:space="0" w:color="auto"/>
                <w:right w:val="none" w:sz="0" w:space="0" w:color="auto"/>
              </w:divBdr>
              <w:divsChild>
                <w:div w:id="93092972">
                  <w:marLeft w:val="0"/>
                  <w:marRight w:val="0"/>
                  <w:marTop w:val="0"/>
                  <w:marBottom w:val="0"/>
                  <w:divBdr>
                    <w:top w:val="none" w:sz="0" w:space="0" w:color="auto"/>
                    <w:left w:val="none" w:sz="0" w:space="0" w:color="auto"/>
                    <w:bottom w:val="none" w:sz="0" w:space="0" w:color="auto"/>
                    <w:right w:val="none" w:sz="0" w:space="0" w:color="auto"/>
                  </w:divBdr>
                  <w:divsChild>
                    <w:div w:id="904683300">
                      <w:marLeft w:val="1"/>
                      <w:marRight w:val="1"/>
                      <w:marTop w:val="0"/>
                      <w:marBottom w:val="0"/>
                      <w:divBdr>
                        <w:top w:val="none" w:sz="0" w:space="0" w:color="auto"/>
                        <w:left w:val="none" w:sz="0" w:space="0" w:color="auto"/>
                        <w:bottom w:val="none" w:sz="0" w:space="0" w:color="auto"/>
                        <w:right w:val="none" w:sz="0" w:space="0" w:color="auto"/>
                      </w:divBdr>
                      <w:divsChild>
                        <w:div w:id="1349336186">
                          <w:marLeft w:val="0"/>
                          <w:marRight w:val="0"/>
                          <w:marTop w:val="0"/>
                          <w:marBottom w:val="0"/>
                          <w:divBdr>
                            <w:top w:val="none" w:sz="0" w:space="0" w:color="auto"/>
                            <w:left w:val="none" w:sz="0" w:space="0" w:color="auto"/>
                            <w:bottom w:val="none" w:sz="0" w:space="0" w:color="auto"/>
                            <w:right w:val="none" w:sz="0" w:space="0" w:color="auto"/>
                          </w:divBdr>
                          <w:divsChild>
                            <w:div w:id="1378776805">
                              <w:marLeft w:val="0"/>
                              <w:marRight w:val="0"/>
                              <w:marTop w:val="0"/>
                              <w:marBottom w:val="360"/>
                              <w:divBdr>
                                <w:top w:val="none" w:sz="0" w:space="0" w:color="auto"/>
                                <w:left w:val="none" w:sz="0" w:space="0" w:color="auto"/>
                                <w:bottom w:val="none" w:sz="0" w:space="0" w:color="auto"/>
                                <w:right w:val="none" w:sz="0" w:space="0" w:color="auto"/>
                              </w:divBdr>
                              <w:divsChild>
                                <w:div w:id="1909416178">
                                  <w:marLeft w:val="0"/>
                                  <w:marRight w:val="0"/>
                                  <w:marTop w:val="0"/>
                                  <w:marBottom w:val="0"/>
                                  <w:divBdr>
                                    <w:top w:val="none" w:sz="0" w:space="0" w:color="auto"/>
                                    <w:left w:val="none" w:sz="0" w:space="0" w:color="auto"/>
                                    <w:bottom w:val="none" w:sz="0" w:space="0" w:color="auto"/>
                                    <w:right w:val="none" w:sz="0" w:space="0" w:color="auto"/>
                                  </w:divBdr>
                                  <w:divsChild>
                                    <w:div w:id="1067534601">
                                      <w:marLeft w:val="0"/>
                                      <w:marRight w:val="0"/>
                                      <w:marTop w:val="0"/>
                                      <w:marBottom w:val="0"/>
                                      <w:divBdr>
                                        <w:top w:val="none" w:sz="0" w:space="0" w:color="auto"/>
                                        <w:left w:val="none" w:sz="0" w:space="0" w:color="auto"/>
                                        <w:bottom w:val="none" w:sz="0" w:space="0" w:color="auto"/>
                                        <w:right w:val="none" w:sz="0" w:space="0" w:color="auto"/>
                                      </w:divBdr>
                                      <w:divsChild>
                                        <w:div w:id="58985383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competition/antitrust/information_en.html" TargetMode="External"/><Relationship Id="rId3" Type="http://schemas.openxmlformats.org/officeDocument/2006/relationships/hyperlink" Target="http://www.ssrn.com" TargetMode="External"/><Relationship Id="rId7" Type="http://schemas.openxmlformats.org/officeDocument/2006/relationships/hyperlink" Target="http://www.coe.int/t/ngo/Source/reading_guide_charter_en.pdf" TargetMode="External"/><Relationship Id="rId2" Type="http://schemas.openxmlformats.org/officeDocument/2006/relationships/hyperlink" Target="http://www.ssrn.com" TargetMode="External"/><Relationship Id="rId1" Type="http://schemas.openxmlformats.org/officeDocument/2006/relationships/hyperlink" Target="http://www.hugheshubbard.com/ArticleDocuments/Boykin_article%20_2.pdf" TargetMode="External"/><Relationship Id="rId6" Type="http://schemas.openxmlformats.org/officeDocument/2006/relationships/hyperlink" Target="http://europeanlawblog.eu/?p=2093" TargetMode="External"/><Relationship Id="rId5" Type="http://schemas.openxmlformats.org/officeDocument/2006/relationships/hyperlink" Target="https://www.competitionpolicyinternational.com/haste-makes-waste?utm_source=July+24%2C+2014&amp;utm_%20campaign=April+30%2C+2013&amp;utm_medium=email" TargetMode="External"/><Relationship Id="rId4" Type="http://schemas.openxmlformats.org/officeDocument/2006/relationships/hyperlink" Target="http://www.eipa.eu/modules/EuroMedJustice/Conferences/Istanbul_16_19Apr07/speeches/1_Speech_PIM_ALBERS_TheManagementJudicialTime.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A248D-8121-4A48-A7EF-36DE50F65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7558</Words>
  <Characters>41570</Characters>
  <Application>Microsoft Office Word</Application>
  <DocSecurity>0</DocSecurity>
  <Lines>346</Lines>
  <Paragraphs>98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Muheme</dc:creator>
  <cp:lastModifiedBy>user</cp:lastModifiedBy>
  <cp:revision>2</cp:revision>
  <dcterms:created xsi:type="dcterms:W3CDTF">2014-08-25T12:00:00Z</dcterms:created>
  <dcterms:modified xsi:type="dcterms:W3CDTF">2014-08-25T12:00:00Z</dcterms:modified>
</cp:coreProperties>
</file>