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06BD0" w14:textId="77777777" w:rsidR="005810F6" w:rsidRDefault="00F418DC" w:rsidP="008B7171">
      <w:pPr>
        <w:jc w:val="both"/>
      </w:pPr>
      <w:r>
        <w:t xml:space="preserve">Xavier </w:t>
      </w:r>
      <w:proofErr w:type="spellStart"/>
      <w:r>
        <w:t>Hermand</w:t>
      </w:r>
      <w:proofErr w:type="spellEnd"/>
      <w:r>
        <w:t xml:space="preserve">, </w:t>
      </w:r>
      <w:proofErr w:type="spellStart"/>
      <w:r>
        <w:t>Ezio</w:t>
      </w:r>
      <w:proofErr w:type="spellEnd"/>
      <w:r>
        <w:t xml:space="preserve"> </w:t>
      </w:r>
      <w:proofErr w:type="spellStart"/>
      <w:r>
        <w:t>Ornato</w:t>
      </w:r>
      <w:proofErr w:type="spellEnd"/>
      <w:r>
        <w:t xml:space="preserve">, </w:t>
      </w:r>
      <w:proofErr w:type="spellStart"/>
      <w:r>
        <w:t>Chiara</w:t>
      </w:r>
      <w:proofErr w:type="spellEnd"/>
      <w:r>
        <w:t xml:space="preserve"> </w:t>
      </w:r>
      <w:proofErr w:type="spellStart"/>
      <w:r>
        <w:t>Ruzzier</w:t>
      </w:r>
      <w:proofErr w:type="spellEnd"/>
      <w:r>
        <w:t xml:space="preserve">, </w:t>
      </w:r>
      <w:r w:rsidRPr="00F418DC">
        <w:rPr>
          <w:i/>
        </w:rPr>
        <w:t>Les stratégies éditoriales à l’époque de l’incunable : le cas des anciens Pays-Bas</w:t>
      </w:r>
      <w:r>
        <w:t xml:space="preserve">. Turnhout, </w:t>
      </w:r>
      <w:proofErr w:type="spellStart"/>
      <w:r>
        <w:t>Brepols</w:t>
      </w:r>
      <w:proofErr w:type="spellEnd"/>
      <w:r>
        <w:t>, 2012, 240 p. (</w:t>
      </w:r>
      <w:proofErr w:type="spellStart"/>
      <w:r>
        <w:t>Bibliologia</w:t>
      </w:r>
      <w:proofErr w:type="spellEnd"/>
      <w:r>
        <w:t xml:space="preserve">. </w:t>
      </w:r>
      <w:proofErr w:type="spellStart"/>
      <w:r>
        <w:t>Elementa</w:t>
      </w:r>
      <w:proofErr w:type="spellEnd"/>
      <w:r>
        <w:t xml:space="preserve"> ad </w:t>
      </w:r>
      <w:proofErr w:type="spellStart"/>
      <w:r>
        <w:t>librorum</w:t>
      </w:r>
      <w:proofErr w:type="spellEnd"/>
      <w:r>
        <w:t xml:space="preserve"> </w:t>
      </w:r>
      <w:proofErr w:type="spellStart"/>
      <w:r>
        <w:t>studia</w:t>
      </w:r>
      <w:proofErr w:type="spellEnd"/>
      <w:r>
        <w:t xml:space="preserve"> </w:t>
      </w:r>
      <w:proofErr w:type="spellStart"/>
      <w:r>
        <w:t>pertinentia</w:t>
      </w:r>
      <w:proofErr w:type="spellEnd"/>
      <w:r>
        <w:t>, 33).</w:t>
      </w:r>
    </w:p>
    <w:p w14:paraId="7C74B5B8" w14:textId="77777777" w:rsidR="00F418DC" w:rsidRDefault="00F418DC" w:rsidP="008B7171">
      <w:pPr>
        <w:jc w:val="both"/>
      </w:pPr>
    </w:p>
    <w:p w14:paraId="246C45AA" w14:textId="77777777" w:rsidR="00F418DC" w:rsidRDefault="00F418DC" w:rsidP="008B7171">
      <w:pPr>
        <w:jc w:val="both"/>
      </w:pPr>
    </w:p>
    <w:p w14:paraId="68B951DD" w14:textId="5FF35D6D" w:rsidR="009D53BD" w:rsidRPr="008F2361" w:rsidRDefault="00F418DC" w:rsidP="008B7171">
      <w:pPr>
        <w:jc w:val="both"/>
      </w:pPr>
      <w:proofErr w:type="spellStart"/>
      <w:r>
        <w:t>Ezio</w:t>
      </w:r>
      <w:proofErr w:type="spellEnd"/>
      <w:r>
        <w:t xml:space="preserve"> </w:t>
      </w:r>
      <w:proofErr w:type="spellStart"/>
      <w:r>
        <w:t>Ornato</w:t>
      </w:r>
      <w:proofErr w:type="spellEnd"/>
      <w:r w:rsidR="008B7171">
        <w:t xml:space="preserve">, entouré d’une équipe de chercheurs, </w:t>
      </w:r>
      <w:r w:rsidR="0011538B">
        <w:t>travaille</w:t>
      </w:r>
      <w:r w:rsidR="008B7171">
        <w:t xml:space="preserve"> depuis de nombreuses années </w:t>
      </w:r>
      <w:r w:rsidR="005317BE">
        <w:t>sur</w:t>
      </w:r>
      <w:r w:rsidR="008B7171">
        <w:t xml:space="preserve"> la problématique de la diffusion de la culture écrite au bas Moyen Âge</w:t>
      </w:r>
      <w:r w:rsidR="008B7171">
        <w:rPr>
          <w:rStyle w:val="Marquenotebasdepage"/>
        </w:rPr>
        <w:footnoteReference w:id="1"/>
      </w:r>
      <w:r w:rsidR="008B7171">
        <w:t>. Ses recherches ont notamment pour ambition de découvrir les phénomènes généraux et les tendances longues de la production l</w:t>
      </w:r>
      <w:r w:rsidR="003A73E3">
        <w:t>ivresque à cette époque. Sur la base d’</w:t>
      </w:r>
      <w:r w:rsidR="005317BE">
        <w:t>enquêtes statistiques</w:t>
      </w:r>
      <w:r w:rsidR="003A73E3">
        <w:t xml:space="preserve"> </w:t>
      </w:r>
      <w:r w:rsidR="005317BE">
        <w:t>rigoureuse</w:t>
      </w:r>
      <w:r w:rsidR="003A73E3">
        <w:t xml:space="preserve">s, </w:t>
      </w:r>
      <w:proofErr w:type="spellStart"/>
      <w:r w:rsidR="003A73E3">
        <w:t>Ezio</w:t>
      </w:r>
      <w:proofErr w:type="spellEnd"/>
      <w:r w:rsidR="003A73E3">
        <w:t xml:space="preserve"> </w:t>
      </w:r>
      <w:proofErr w:type="spellStart"/>
      <w:r w:rsidR="003A73E3">
        <w:t>Ornato</w:t>
      </w:r>
      <w:proofErr w:type="spellEnd"/>
      <w:r w:rsidR="003A73E3">
        <w:t xml:space="preserve"> et ses collègues ont développé une méthodologie </w:t>
      </w:r>
      <w:r w:rsidR="00A012F2">
        <w:t>érudite</w:t>
      </w:r>
      <w:r w:rsidR="003A73E3">
        <w:t xml:space="preserve"> qui </w:t>
      </w:r>
      <w:r w:rsidR="00635070">
        <w:t>s’est progressivement imposée</w:t>
      </w:r>
      <w:r w:rsidR="003A73E3">
        <w:t xml:space="preserve"> </w:t>
      </w:r>
      <w:r w:rsidR="00A012F2">
        <w:t xml:space="preserve">comme </w:t>
      </w:r>
      <w:r w:rsidR="00635070">
        <w:t>un champ d’investigation</w:t>
      </w:r>
      <w:r w:rsidR="003A73E3">
        <w:t xml:space="preserve"> </w:t>
      </w:r>
      <w:r w:rsidR="00A012F2">
        <w:t xml:space="preserve">propre </w:t>
      </w:r>
      <w:r w:rsidR="00635070">
        <w:t>en</w:t>
      </w:r>
      <w:r w:rsidR="00A012F2">
        <w:t xml:space="preserve"> </w:t>
      </w:r>
      <w:r w:rsidR="003A73E3">
        <w:t xml:space="preserve">histoire du livre, la codicologie quantitative. </w:t>
      </w:r>
      <w:r w:rsidR="00A012F2">
        <w:t>Tout naturellement, ces chercheurs se sont penchés sur la problématique de la production imprimée au XV</w:t>
      </w:r>
      <w:r w:rsidR="00A012F2" w:rsidRPr="00A012F2">
        <w:rPr>
          <w:vertAlign w:val="superscript"/>
        </w:rPr>
        <w:t>e</w:t>
      </w:r>
      <w:r w:rsidR="00CD2BAA">
        <w:t xml:space="preserve"> siècle. Deux articles ont fait</w:t>
      </w:r>
      <w:r w:rsidR="00A012F2">
        <w:t xml:space="preserve"> date, l’un consacré à la production générale, l’autre à l’impression de livres juridiques</w:t>
      </w:r>
      <w:r w:rsidR="00A012F2">
        <w:rPr>
          <w:rStyle w:val="Marquenotebasdepage"/>
        </w:rPr>
        <w:footnoteReference w:id="2"/>
      </w:r>
      <w:r w:rsidR="00A012F2">
        <w:t>.</w:t>
      </w:r>
      <w:r w:rsidR="009D53BD">
        <w:t xml:space="preserve"> </w:t>
      </w:r>
      <w:r w:rsidR="008F2361">
        <w:t xml:space="preserve">Poursuivant cette tradition, </w:t>
      </w:r>
      <w:proofErr w:type="spellStart"/>
      <w:r w:rsidR="009D53BD">
        <w:t>Ezi</w:t>
      </w:r>
      <w:r w:rsidR="008F2361">
        <w:t>o</w:t>
      </w:r>
      <w:proofErr w:type="spellEnd"/>
      <w:r w:rsidR="008F2361">
        <w:t xml:space="preserve"> </w:t>
      </w:r>
      <w:proofErr w:type="spellStart"/>
      <w:r w:rsidR="008F2361">
        <w:t>Ornato</w:t>
      </w:r>
      <w:proofErr w:type="spellEnd"/>
      <w:r w:rsidR="008F2361">
        <w:t>,</w:t>
      </w:r>
      <w:r w:rsidR="009D53BD">
        <w:t xml:space="preserve"> </w:t>
      </w:r>
      <w:r w:rsidR="008F2361">
        <w:t>accompagné</w:t>
      </w:r>
      <w:r w:rsidR="009D53BD">
        <w:t xml:space="preserve"> cette fois-ci </w:t>
      </w:r>
      <w:r w:rsidR="008F2361">
        <w:t>de</w:t>
      </w:r>
      <w:r w:rsidR="009D53BD">
        <w:t xml:space="preserve"> X</w:t>
      </w:r>
      <w:r w:rsidR="008F2361">
        <w:t xml:space="preserve">avier </w:t>
      </w:r>
      <w:proofErr w:type="spellStart"/>
      <w:r w:rsidR="008F2361">
        <w:t>Hermand</w:t>
      </w:r>
      <w:proofErr w:type="spellEnd"/>
      <w:r w:rsidR="008F2361">
        <w:t xml:space="preserve"> et de </w:t>
      </w:r>
      <w:proofErr w:type="spellStart"/>
      <w:r w:rsidR="008F2361">
        <w:t>Chiara</w:t>
      </w:r>
      <w:proofErr w:type="spellEnd"/>
      <w:r w:rsidR="008F2361">
        <w:t xml:space="preserve"> </w:t>
      </w:r>
      <w:proofErr w:type="spellStart"/>
      <w:r w:rsidR="008F2361">
        <w:t>Ruzzier</w:t>
      </w:r>
      <w:proofErr w:type="spellEnd"/>
      <w:r w:rsidR="008F2361">
        <w:t xml:space="preserve">, s’est </w:t>
      </w:r>
      <w:proofErr w:type="gramStart"/>
      <w:r w:rsidR="008F2361">
        <w:t>penché</w:t>
      </w:r>
      <w:proofErr w:type="gramEnd"/>
      <w:r w:rsidR="008F2361">
        <w:t xml:space="preserve"> sur le cas de la production imprimée des anciens Pays-Bas. </w:t>
      </w:r>
      <w:r w:rsidR="00635070">
        <w:t>L</w:t>
      </w:r>
      <w:r w:rsidR="008F2361">
        <w:t>es résultats de leur enquête</w:t>
      </w:r>
      <w:r w:rsidR="00635070">
        <w:t xml:space="preserve"> viennent d’être publiés</w:t>
      </w:r>
      <w:r w:rsidR="008F2361">
        <w:t xml:space="preserve"> dans un passionnant volume de la collection </w:t>
      </w:r>
      <w:proofErr w:type="spellStart"/>
      <w:r w:rsidR="008F2361" w:rsidRPr="008F2361">
        <w:rPr>
          <w:i/>
        </w:rPr>
        <w:t>Bibliologia</w:t>
      </w:r>
      <w:proofErr w:type="spellEnd"/>
      <w:r w:rsidR="008F2361">
        <w:rPr>
          <w:i/>
        </w:rPr>
        <w:t xml:space="preserve"> </w:t>
      </w:r>
      <w:r w:rsidR="008F2361">
        <w:t xml:space="preserve">sous le titre </w:t>
      </w:r>
      <w:r w:rsidR="008F2361" w:rsidRPr="00F418DC">
        <w:rPr>
          <w:i/>
        </w:rPr>
        <w:t>Les stratégies éditoriales à l’époque de l’incunable : le cas des anciens Pays-Bas</w:t>
      </w:r>
      <w:r w:rsidR="008F2361">
        <w:t>.</w:t>
      </w:r>
      <w:r w:rsidR="00635070">
        <w:t xml:space="preserve"> Ce livre se compose de deux parties</w:t>
      </w:r>
      <w:r w:rsidR="00CD2BAA">
        <w:t> :</w:t>
      </w:r>
      <w:r w:rsidR="00635070">
        <w:t xml:space="preserve"> </w:t>
      </w:r>
      <w:r w:rsidR="00CD2BAA">
        <w:t>l</w:t>
      </w:r>
      <w:r w:rsidR="00635070">
        <w:t xml:space="preserve">a première, rédigée conjointement par Xavier </w:t>
      </w:r>
      <w:proofErr w:type="spellStart"/>
      <w:r w:rsidR="00635070">
        <w:t>Hermand</w:t>
      </w:r>
      <w:proofErr w:type="spellEnd"/>
      <w:r w:rsidR="00635070">
        <w:t xml:space="preserve"> et </w:t>
      </w:r>
      <w:proofErr w:type="spellStart"/>
      <w:r w:rsidR="00635070">
        <w:t>Chiara</w:t>
      </w:r>
      <w:proofErr w:type="spellEnd"/>
      <w:r w:rsidR="00635070">
        <w:t xml:space="preserve"> </w:t>
      </w:r>
      <w:proofErr w:type="spellStart"/>
      <w:r w:rsidR="00635070">
        <w:t>Ruzzier</w:t>
      </w:r>
      <w:proofErr w:type="spellEnd"/>
      <w:r w:rsidR="00635070">
        <w:t xml:space="preserve">, présente l’étude des stratégies éditoriales mises en place par les </w:t>
      </w:r>
      <w:r w:rsidR="00CD2BAA">
        <w:t>imprimeurs des anciens Pays-Bas ;</w:t>
      </w:r>
      <w:r w:rsidR="00635070">
        <w:t xml:space="preserve"> </w:t>
      </w:r>
      <w:r w:rsidR="00CD2BAA">
        <w:t xml:space="preserve">la seconde, </w:t>
      </w:r>
      <w:r w:rsidR="00AA7A14">
        <w:t>écrite</w:t>
      </w:r>
      <w:r w:rsidR="00CD2BAA">
        <w:t xml:space="preserve"> par </w:t>
      </w:r>
      <w:proofErr w:type="spellStart"/>
      <w:r w:rsidR="00635070">
        <w:t>Ezio</w:t>
      </w:r>
      <w:proofErr w:type="spellEnd"/>
      <w:r w:rsidR="00635070">
        <w:t xml:space="preserve"> </w:t>
      </w:r>
      <w:proofErr w:type="spellStart"/>
      <w:r w:rsidR="00635070">
        <w:t>Ornato</w:t>
      </w:r>
      <w:proofErr w:type="spellEnd"/>
      <w:r w:rsidR="00635070">
        <w:t xml:space="preserve">, </w:t>
      </w:r>
      <w:r w:rsidR="00CD2BAA">
        <w:t xml:space="preserve">propose </w:t>
      </w:r>
      <w:r w:rsidR="002D078C">
        <w:t>une imposante</w:t>
      </w:r>
      <w:r w:rsidR="00635070">
        <w:t xml:space="preserve"> mise au point sur les méthodes d’évaluation de la production d’incunables.</w:t>
      </w:r>
    </w:p>
    <w:p w14:paraId="28867396" w14:textId="77777777" w:rsidR="009D53BD" w:rsidRDefault="009D53BD" w:rsidP="008B7171">
      <w:pPr>
        <w:jc w:val="both"/>
      </w:pPr>
    </w:p>
    <w:p w14:paraId="01D142FB" w14:textId="2EC688B1" w:rsidR="00EC7E4D" w:rsidRDefault="00724732" w:rsidP="00EC7E4D">
      <w:pPr>
        <w:jc w:val="both"/>
      </w:pPr>
      <w:r>
        <w:t>Par « stratégie éditoriale », les auteurs entendent « l’ensemble des choix de toutes sortes opérés par un imprimeur dans le but d’écouler le plus rapidement possible sur le marché la totalité de sa production » (p. 10).</w:t>
      </w:r>
      <w:r w:rsidR="000D78C6">
        <w:t xml:space="preserve"> Dans le cas des anciens Pays-Bas, la volonté de Xavier </w:t>
      </w:r>
      <w:proofErr w:type="spellStart"/>
      <w:r w:rsidR="000D78C6">
        <w:t>Hermand</w:t>
      </w:r>
      <w:proofErr w:type="spellEnd"/>
      <w:r w:rsidR="000D78C6">
        <w:t xml:space="preserve"> et de </w:t>
      </w:r>
      <w:proofErr w:type="spellStart"/>
      <w:r w:rsidR="000D78C6">
        <w:t>Chiara</w:t>
      </w:r>
      <w:proofErr w:type="spellEnd"/>
      <w:r w:rsidR="000D78C6">
        <w:t xml:space="preserve"> </w:t>
      </w:r>
      <w:proofErr w:type="spellStart"/>
      <w:r w:rsidR="000D78C6">
        <w:t>Ruzzier</w:t>
      </w:r>
      <w:proofErr w:type="spellEnd"/>
      <w:r w:rsidR="000D78C6">
        <w:t xml:space="preserve"> est de faire ressortir, grâce à une analyse comparative menée à l’échelle européenne, les particularités de la production imprimée des anciennes possessions bourguignonnes </w:t>
      </w:r>
      <w:r w:rsidR="000D78C6" w:rsidRPr="000D78C6">
        <w:rPr>
          <w:i/>
        </w:rPr>
        <w:t>de par deç</w:t>
      </w:r>
      <w:r w:rsidR="000D78C6">
        <w:rPr>
          <w:i/>
        </w:rPr>
        <w:t>à</w:t>
      </w:r>
      <w:r w:rsidR="000D78C6">
        <w:t xml:space="preserve">. </w:t>
      </w:r>
      <w:r w:rsidR="00EC7961">
        <w:t xml:space="preserve">Ici, les stratégies éditoriales ont été considérées collectivement et non de manière </w:t>
      </w:r>
      <w:r w:rsidR="002D078C">
        <w:t>isolée</w:t>
      </w:r>
      <w:r w:rsidR="00EC7961">
        <w:t>. L’enquête statistique s’est dès lors imposée comme l’outil indispensable pour mener à bien ce</w:t>
      </w:r>
      <w:r w:rsidR="00CD2BAA">
        <w:t xml:space="preserve"> travail</w:t>
      </w:r>
      <w:r w:rsidR="00EC7961">
        <w:t>. Pour ce faire, les auteurs disposaient d’outil</w:t>
      </w:r>
      <w:r w:rsidR="0011538B">
        <w:t xml:space="preserve">s </w:t>
      </w:r>
      <w:r w:rsidR="00EC7961">
        <w:t xml:space="preserve">de premier ordre : le </w:t>
      </w:r>
      <w:proofErr w:type="spellStart"/>
      <w:r w:rsidR="00EC7961">
        <w:rPr>
          <w:i/>
        </w:rPr>
        <w:t>Gesamtkatalog</w:t>
      </w:r>
      <w:proofErr w:type="spellEnd"/>
      <w:r w:rsidR="00EC7961">
        <w:rPr>
          <w:i/>
        </w:rPr>
        <w:t xml:space="preserve"> der </w:t>
      </w:r>
      <w:proofErr w:type="spellStart"/>
      <w:r w:rsidR="00EC7961">
        <w:rPr>
          <w:i/>
        </w:rPr>
        <w:t>Wiegendrucke</w:t>
      </w:r>
      <w:proofErr w:type="spellEnd"/>
      <w:r w:rsidR="00EC7961">
        <w:rPr>
          <w:i/>
        </w:rPr>
        <w:t xml:space="preserve"> </w:t>
      </w:r>
      <w:r w:rsidR="00EC7961">
        <w:t>(</w:t>
      </w:r>
      <w:proofErr w:type="spellStart"/>
      <w:r w:rsidR="00EC7961">
        <w:t>GW</w:t>
      </w:r>
      <w:proofErr w:type="spellEnd"/>
      <w:r w:rsidR="00EC7961">
        <w:t>) et l’</w:t>
      </w:r>
      <w:proofErr w:type="spellStart"/>
      <w:r w:rsidR="00EC7961">
        <w:rPr>
          <w:i/>
        </w:rPr>
        <w:t>Incunabula</w:t>
      </w:r>
      <w:proofErr w:type="spellEnd"/>
      <w:r w:rsidR="00EC7961">
        <w:rPr>
          <w:i/>
        </w:rPr>
        <w:t xml:space="preserve"> Short-</w:t>
      </w:r>
      <w:proofErr w:type="spellStart"/>
      <w:r w:rsidR="00EC7961">
        <w:rPr>
          <w:i/>
        </w:rPr>
        <w:t>Title</w:t>
      </w:r>
      <w:proofErr w:type="spellEnd"/>
      <w:r w:rsidR="00EC7961">
        <w:rPr>
          <w:i/>
        </w:rPr>
        <w:t xml:space="preserve"> Catalogue </w:t>
      </w:r>
      <w:r w:rsidR="00EC7961">
        <w:t>(</w:t>
      </w:r>
      <w:proofErr w:type="spellStart"/>
      <w:r w:rsidR="00EC7961">
        <w:t>ISTC</w:t>
      </w:r>
      <w:proofErr w:type="spellEnd"/>
      <w:r w:rsidR="00EC7961">
        <w:t>)</w:t>
      </w:r>
      <w:r w:rsidR="00EC7961">
        <w:rPr>
          <w:rStyle w:val="Marquenotebasdepage"/>
        </w:rPr>
        <w:footnoteReference w:id="3"/>
      </w:r>
      <w:r w:rsidR="00EC7961">
        <w:t>. Ces deux répertoires généraux d’incunables sont à la fois concurrents et complémentaires. Le premier, commencé en 1925 et toujours en cours, est d’une grande précision au niveau de la description bibliographique, mais n’est parvenu qu’à la lettre H. Le second couvre l’ensemble de la production imprimée du XV</w:t>
      </w:r>
      <w:r w:rsidR="00EC7961" w:rsidRPr="00EC7961">
        <w:rPr>
          <w:vertAlign w:val="superscript"/>
        </w:rPr>
        <w:t>e</w:t>
      </w:r>
      <w:r w:rsidR="00EC7961">
        <w:t xml:space="preserve"> siècle, certes, mais est tributaire du recensement effectué dans les bibliothèques du monde entier. Sans compter qu’il présente une certaine sécheresse au niveau de la description matérielle de chaque livre, problème inhérent </w:t>
      </w:r>
      <w:proofErr w:type="gramStart"/>
      <w:r w:rsidR="00EC7961">
        <w:t>à</w:t>
      </w:r>
      <w:proofErr w:type="gramEnd"/>
      <w:r w:rsidR="00EC7961">
        <w:t xml:space="preserve"> toute entreprise de type « </w:t>
      </w:r>
      <w:proofErr w:type="spellStart"/>
      <w:r w:rsidR="00EC7961">
        <w:t>census</w:t>
      </w:r>
      <w:proofErr w:type="spellEnd"/>
      <w:r w:rsidR="00EC7961">
        <w:t xml:space="preserve"> ». En outre, les chercheurs désireux de se pencher sur </w:t>
      </w:r>
      <w:r w:rsidR="00EC7961">
        <w:lastRenderedPageBreak/>
        <w:t>l’étude de la production des anciens Pays-Bas bénéficient de deux autres instruments de références : un répertoire de filigranes relevés dans la production de ce</w:t>
      </w:r>
      <w:r w:rsidR="007E34CD">
        <w:t>t espace territorial</w:t>
      </w:r>
      <w:r w:rsidR="00EC7961">
        <w:t xml:space="preserve"> (</w:t>
      </w:r>
      <w:proofErr w:type="spellStart"/>
      <w:r w:rsidR="00EC7961">
        <w:rPr>
          <w:i/>
        </w:rPr>
        <w:t>Watermark</w:t>
      </w:r>
      <w:proofErr w:type="spellEnd"/>
      <w:r w:rsidR="00EC7961">
        <w:rPr>
          <w:i/>
        </w:rPr>
        <w:t xml:space="preserve"> in </w:t>
      </w:r>
      <w:proofErr w:type="spellStart"/>
      <w:r w:rsidR="00EC7961">
        <w:rPr>
          <w:i/>
        </w:rPr>
        <w:t>Incunabula</w:t>
      </w:r>
      <w:proofErr w:type="spellEnd"/>
      <w:r w:rsidR="00EC7961">
        <w:rPr>
          <w:i/>
        </w:rPr>
        <w:t xml:space="preserve"> </w:t>
      </w:r>
      <w:proofErr w:type="spellStart"/>
      <w:r w:rsidR="007E34CD">
        <w:rPr>
          <w:i/>
        </w:rPr>
        <w:t>P</w:t>
      </w:r>
      <w:r w:rsidR="00EC7961">
        <w:rPr>
          <w:i/>
        </w:rPr>
        <w:t>rinted</w:t>
      </w:r>
      <w:proofErr w:type="spellEnd"/>
      <w:r w:rsidR="00EC7961">
        <w:rPr>
          <w:i/>
        </w:rPr>
        <w:t xml:space="preserve"> in the </w:t>
      </w:r>
      <w:proofErr w:type="spellStart"/>
      <w:r w:rsidR="00EC7961">
        <w:rPr>
          <w:i/>
        </w:rPr>
        <w:t>Low</w:t>
      </w:r>
      <w:proofErr w:type="spellEnd"/>
      <w:r w:rsidR="00EC7961">
        <w:rPr>
          <w:i/>
        </w:rPr>
        <w:t xml:space="preserve"> Countries</w:t>
      </w:r>
      <w:r w:rsidR="00CD2BAA">
        <w:rPr>
          <w:i/>
        </w:rPr>
        <w:t> </w:t>
      </w:r>
      <w:r w:rsidR="007E34CD">
        <w:t>=</w:t>
      </w:r>
      <w:r w:rsidR="00CD2BAA">
        <w:t> </w:t>
      </w:r>
      <w:proofErr w:type="spellStart"/>
      <w:r w:rsidR="007E34CD">
        <w:t>WILC</w:t>
      </w:r>
      <w:proofErr w:type="spellEnd"/>
      <w:r w:rsidR="007E34CD">
        <w:rPr>
          <w:rStyle w:val="Marquenotebasdepage"/>
        </w:rPr>
        <w:footnoteReference w:id="4"/>
      </w:r>
      <w:r w:rsidR="00EC7961">
        <w:t>)</w:t>
      </w:r>
      <w:r w:rsidR="007E34CD">
        <w:t xml:space="preserve">, qui donne pour chaque exemplaire le nombre de feuillet de papier utilisé pour son impression, ainsi que le catalogue </w:t>
      </w:r>
      <w:proofErr w:type="spellStart"/>
      <w:r w:rsidR="007E34CD">
        <w:rPr>
          <w:i/>
        </w:rPr>
        <w:t>Incunabula</w:t>
      </w:r>
      <w:proofErr w:type="spellEnd"/>
      <w:r w:rsidR="007E34CD">
        <w:rPr>
          <w:i/>
        </w:rPr>
        <w:t xml:space="preserve"> </w:t>
      </w:r>
      <w:proofErr w:type="spellStart"/>
      <w:r w:rsidR="007E34CD">
        <w:rPr>
          <w:i/>
        </w:rPr>
        <w:t>Printed</w:t>
      </w:r>
      <w:proofErr w:type="spellEnd"/>
      <w:r w:rsidR="007E34CD">
        <w:rPr>
          <w:i/>
        </w:rPr>
        <w:t xml:space="preserve"> in the </w:t>
      </w:r>
      <w:proofErr w:type="spellStart"/>
      <w:r w:rsidR="007E34CD">
        <w:rPr>
          <w:i/>
        </w:rPr>
        <w:t>Low</w:t>
      </w:r>
      <w:proofErr w:type="spellEnd"/>
      <w:r w:rsidR="007E34CD">
        <w:rPr>
          <w:i/>
        </w:rPr>
        <w:t xml:space="preserve"> Countries </w:t>
      </w:r>
      <w:r w:rsidR="007E34CD">
        <w:t xml:space="preserve">de John </w:t>
      </w:r>
      <w:proofErr w:type="spellStart"/>
      <w:r w:rsidR="007E34CD">
        <w:t>Goldfinch</w:t>
      </w:r>
      <w:proofErr w:type="spellEnd"/>
      <w:r w:rsidR="007E34CD">
        <w:t xml:space="preserve"> et </w:t>
      </w:r>
      <w:proofErr w:type="spellStart"/>
      <w:r w:rsidR="007E34CD">
        <w:t>Gerard</w:t>
      </w:r>
      <w:proofErr w:type="spellEnd"/>
      <w:r w:rsidR="007E34CD">
        <w:t xml:space="preserve"> van Thienen, qui est d’une plus grande précision pour la localisation des exe</w:t>
      </w:r>
      <w:r w:rsidR="002D078C">
        <w:t>mplaires survivants que</w:t>
      </w:r>
      <w:r w:rsidR="007E34CD">
        <w:t xml:space="preserve"> </w:t>
      </w:r>
      <w:r w:rsidR="00CD2BAA">
        <w:t xml:space="preserve">ne l’est </w:t>
      </w:r>
      <w:r w:rsidR="007E34CD">
        <w:t>l’</w:t>
      </w:r>
      <w:proofErr w:type="spellStart"/>
      <w:r w:rsidR="007E34CD">
        <w:t>ISTC</w:t>
      </w:r>
      <w:proofErr w:type="spellEnd"/>
      <w:r w:rsidR="007E34CD">
        <w:rPr>
          <w:rStyle w:val="Marquenotebasdepage"/>
        </w:rPr>
        <w:footnoteReference w:id="5"/>
      </w:r>
      <w:r w:rsidR="007E34CD">
        <w:t>.</w:t>
      </w:r>
      <w:r w:rsidR="002D078C">
        <w:t xml:space="preserve"> </w:t>
      </w:r>
      <w:r w:rsidR="0033315A">
        <w:t>C</w:t>
      </w:r>
      <w:r w:rsidR="002D078C">
        <w:t>es outils ont permis aux</w:t>
      </w:r>
      <w:r w:rsidR="00CD2BAA">
        <w:t xml:space="preserve"> deux</w:t>
      </w:r>
      <w:r w:rsidR="002D078C">
        <w:t xml:space="preserve"> auteurs de réunir une base de données décrivant les quelque 2000 </w:t>
      </w:r>
      <w:r w:rsidR="00505E1D">
        <w:t>ouvrages imprimé</w:t>
      </w:r>
      <w:r w:rsidR="002D078C">
        <w:t>s dans les anciens Pays-Bas au cours des trois dernières décennies du XV</w:t>
      </w:r>
      <w:r w:rsidR="002D078C" w:rsidRPr="002D078C">
        <w:rPr>
          <w:vertAlign w:val="superscript"/>
        </w:rPr>
        <w:t>e</w:t>
      </w:r>
      <w:r w:rsidR="002D078C">
        <w:t xml:space="preserve"> siècle</w:t>
      </w:r>
      <w:r w:rsidR="00505E1D">
        <w:t xml:space="preserve">, soit un peu moins de 8 % de la production globale conservée qui est estimée à quelque </w:t>
      </w:r>
      <w:r w:rsidR="0011538B">
        <w:t>28 000</w:t>
      </w:r>
      <w:r w:rsidR="00505E1D">
        <w:t xml:space="preserve"> éditions</w:t>
      </w:r>
      <w:r w:rsidR="002D078C">
        <w:t>.</w:t>
      </w:r>
      <w:r w:rsidR="00505E1D">
        <w:t xml:space="preserve"> Pour affiner l’étude de cet imposant corpus, </w:t>
      </w:r>
      <w:r w:rsidR="0033315A">
        <w:t xml:space="preserve">Xavier </w:t>
      </w:r>
      <w:proofErr w:type="spellStart"/>
      <w:r w:rsidR="0033315A">
        <w:t>Hermand</w:t>
      </w:r>
      <w:proofErr w:type="spellEnd"/>
      <w:r w:rsidR="0033315A">
        <w:t xml:space="preserve"> et </w:t>
      </w:r>
      <w:proofErr w:type="spellStart"/>
      <w:r w:rsidR="0033315A">
        <w:t>Chiara</w:t>
      </w:r>
      <w:proofErr w:type="spellEnd"/>
      <w:r w:rsidR="0033315A">
        <w:t xml:space="preserve"> </w:t>
      </w:r>
      <w:proofErr w:type="spellStart"/>
      <w:r w:rsidR="0033315A">
        <w:t>Ruzzier</w:t>
      </w:r>
      <w:proofErr w:type="spellEnd"/>
      <w:r w:rsidR="00505E1D">
        <w:t xml:space="preserve"> ont </w:t>
      </w:r>
      <w:r w:rsidR="0033315A">
        <w:t>mis</w:t>
      </w:r>
      <w:r w:rsidR="00505E1D">
        <w:t xml:space="preserve"> au point une </w:t>
      </w:r>
      <w:r w:rsidR="00EC7E4D">
        <w:t>grille d’analyse</w:t>
      </w:r>
      <w:r w:rsidR="00505E1D">
        <w:t xml:space="preserve"> inédite et</w:t>
      </w:r>
      <w:r w:rsidR="00EC7E4D">
        <w:t xml:space="preserve"> multidimensionnelle permettant</w:t>
      </w:r>
      <w:r w:rsidR="0033315A">
        <w:t>, d’une part,</w:t>
      </w:r>
      <w:r w:rsidR="00EC7E4D">
        <w:t xml:space="preserve"> d’utiliser une classification très générale</w:t>
      </w:r>
      <w:r w:rsidR="0033315A">
        <w:t xml:space="preserve"> et, d’autre part,</w:t>
      </w:r>
      <w:r w:rsidR="00EC7E4D">
        <w:t xml:space="preserve"> d’isoler avec une grande précision des petits groupes de textes. Cette typologie, certainement l’une des innovations majeures du livre, est subdivisée en cinq grandes thématiques </w:t>
      </w:r>
      <w:r w:rsidR="0033315A">
        <w:t>découpées</w:t>
      </w:r>
      <w:r w:rsidR="00EC7E4D">
        <w:t xml:space="preserve"> </w:t>
      </w:r>
      <w:r w:rsidR="0033315A">
        <w:t xml:space="preserve">chacune </w:t>
      </w:r>
      <w:r w:rsidR="00EC7E4D">
        <w:t xml:space="preserve">en </w:t>
      </w:r>
      <w:r w:rsidR="0033315A">
        <w:t xml:space="preserve">plusieurs </w:t>
      </w:r>
      <w:r w:rsidR="00EC7E4D">
        <w:t xml:space="preserve">sous sections, qui intègrent des champs concernant la personnalité de l’auteur, le titre de l’œuvre, la </w:t>
      </w:r>
      <w:r w:rsidR="0011538B">
        <w:t>classification</w:t>
      </w:r>
      <w:r w:rsidR="00EC7E4D">
        <w:t xml:space="preserve"> textuelle, l’adresse bibliographique, les données matérielles ainsi que la localisation des exemplaires.</w:t>
      </w:r>
      <w:r w:rsidR="0033315A">
        <w:t xml:space="preserve"> Ces données ont permis aux auteurs de multiplier les angles d’approche de la production imprimée par la diversification des indicateurs statistiques : nombre de </w:t>
      </w:r>
      <w:r w:rsidR="0011538B">
        <w:t>villes</w:t>
      </w:r>
      <w:r w:rsidR="0033315A">
        <w:t xml:space="preserve"> d’imprimerie, d’ateliers typographiques ou d’éditions conservées, nombre de feuillets par édition (la </w:t>
      </w:r>
      <w:r w:rsidR="0033315A">
        <w:rPr>
          <w:i/>
        </w:rPr>
        <w:t>consistance</w:t>
      </w:r>
      <w:r w:rsidR="0033315A">
        <w:t>), la quantité de feuilles de papier utilisée au cours d’une période et/ou dans un centre de production donnés (l’</w:t>
      </w:r>
      <w:r w:rsidR="0033315A">
        <w:rPr>
          <w:i/>
        </w:rPr>
        <w:t>investissement unitaire global en papier</w:t>
      </w:r>
      <w:r w:rsidR="0033315A">
        <w:t>) ainsi que le nombre et la localisation des exemplaires survivants de chaque édition.</w:t>
      </w:r>
      <w:r w:rsidR="00CB310E">
        <w:t xml:space="preserve"> Tous ces paramètres, étudiés séparément ou simultanément, ont permis de dresser un panorama des différentes évolutions de la production imprimée des anciens Pays-Bas.</w:t>
      </w:r>
    </w:p>
    <w:p w14:paraId="340930F2" w14:textId="77777777" w:rsidR="00CB310E" w:rsidRDefault="00CB310E" w:rsidP="00EC7E4D">
      <w:pPr>
        <w:jc w:val="both"/>
      </w:pPr>
    </w:p>
    <w:p w14:paraId="5FA77061" w14:textId="14DD5F45" w:rsidR="00CB310E" w:rsidRDefault="00926F8D" w:rsidP="00926F8D">
      <w:pPr>
        <w:jc w:val="both"/>
      </w:pPr>
      <w:r>
        <w:t>L</w:t>
      </w:r>
      <w:r w:rsidR="0099624B">
        <w:t xml:space="preserve">es auteurs se sont </w:t>
      </w:r>
      <w:r>
        <w:t xml:space="preserve">ainsi </w:t>
      </w:r>
      <w:r w:rsidR="0099624B">
        <w:t>donnés pour objectif d’esquisser les grandes lignes de la production imprimée des anciens Pays-Bas au cours des trente dernières années du XV</w:t>
      </w:r>
      <w:r w:rsidR="0099624B" w:rsidRPr="00CD2BAA">
        <w:rPr>
          <w:vertAlign w:val="superscript"/>
        </w:rPr>
        <w:t>e</w:t>
      </w:r>
      <w:r w:rsidR="0099624B">
        <w:t xml:space="preserve"> siècle, soit de l’année 1473 – date de l’apparition simultanée de l’imprimerie à Alost et à Utrecht – à l’année 1500. Il ressort </w:t>
      </w:r>
      <w:r w:rsidR="00CD2BAA">
        <w:t xml:space="preserve">de leur travail </w:t>
      </w:r>
      <w:r w:rsidR="0099624B">
        <w:t xml:space="preserve">que cette production fait figure d’exception par rapport à la situation européenne. On ressent en effet une stagnation à partir de 1485 suivie d’une chute de la courbe de production alors que dans les autres régions d’Europe, la tendance est à la croissance. Les troubles politiques qui </w:t>
      </w:r>
      <w:r w:rsidR="00AF0A14">
        <w:t>ont agité</w:t>
      </w:r>
      <w:r w:rsidR="0099624B">
        <w:t xml:space="preserve"> les anciens Pays-Bas depuis la mort de Charles le Téméraire expliquent en grande partie cette situation. Les conséquences pour les imprimeurs ont été lourdes : beaucoup d’ateliers ont disparu, la production s’est recentrée sur les centres économiques dynamiques que sont Anvers et Deventer</w:t>
      </w:r>
      <w:r w:rsidR="00AF0A14">
        <w:t>, sans compter que les parts de marché ont été progressivement rognées par la forte concurrence exercée par les typographes étrangers</w:t>
      </w:r>
      <w:r w:rsidR="0099624B">
        <w:t xml:space="preserve">. </w:t>
      </w:r>
      <w:r w:rsidR="00AF0A14">
        <w:t>Pour survivre, les imprimeurs des anciens Pays-Bas ont dû s’adapter en déployant diverses stratégies. Ils ont alors été contraints de recentrer leurs catalogues sur le marché intérieur, privilégiant l’impression de textes en langue néerlandaise et à destination des établissements scolaires. Dans ce contexte</w:t>
      </w:r>
      <w:r>
        <w:t xml:space="preserve"> difficile, soucieux de limiter le</w:t>
      </w:r>
      <w:r w:rsidR="00AF0A14">
        <w:t>s frais</w:t>
      </w:r>
      <w:r>
        <w:t xml:space="preserve"> de production</w:t>
      </w:r>
      <w:r w:rsidR="000A6006">
        <w:t>, c</w:t>
      </w:r>
      <w:r w:rsidR="00AF0A14">
        <w:t xml:space="preserve">es </w:t>
      </w:r>
      <w:r>
        <w:t xml:space="preserve">typographes ont privilégié l’impression de livres de plus petits formats, moins volumineux et reproduits à l’aide de caractères aux corps réduits. L’analyse de la localisation actuelle des exemplaires conservés a de surcroît permis de </w:t>
      </w:r>
      <w:r w:rsidR="000A6006">
        <w:t>mesurer l’impact des imprimeurs des anciens Pays-Bas sur le marché international, montrant que les pays germaniques constituaient leur marché extérieur de prédilection. La première partie du volume se termine par un court chapitre consacré aux colophons d’imprimeurs dans lequel les auteurs ont tenté de déceler les facteurs qui pourraient expliquer la variation du taux de présence de souscription dans un imprimé. Des colophons se retrouvent</w:t>
      </w:r>
      <w:r w:rsidR="00CD2BAA">
        <w:t xml:space="preserve"> ainsi</w:t>
      </w:r>
      <w:r w:rsidR="000A6006">
        <w:t xml:space="preserve"> en priorité dans les livres imprimés </w:t>
      </w:r>
      <w:r w:rsidR="00CD2BAA">
        <w:t>au cours de</w:t>
      </w:r>
      <w:r w:rsidR="000A6006">
        <w:t xml:space="preserve"> la </w:t>
      </w:r>
      <w:r w:rsidR="0011538B">
        <w:t>période </w:t>
      </w:r>
      <w:r w:rsidR="000A6006">
        <w:t>1485-1500 dont la consistance est importante et dont le texte est reproduit en langue vernaculaire</w:t>
      </w:r>
      <w:r w:rsidR="0011538B">
        <w:rPr>
          <w:rStyle w:val="Marquenotebasdepage"/>
        </w:rPr>
        <w:footnoteReference w:id="6"/>
      </w:r>
      <w:r w:rsidR="000A6006">
        <w:t xml:space="preserve">. </w:t>
      </w:r>
    </w:p>
    <w:p w14:paraId="69D8358A" w14:textId="77777777" w:rsidR="000A6006" w:rsidRDefault="000A6006" w:rsidP="00926F8D">
      <w:pPr>
        <w:jc w:val="both"/>
      </w:pPr>
    </w:p>
    <w:p w14:paraId="268ADA35" w14:textId="333FDAE1" w:rsidR="000A6006" w:rsidRDefault="0011538B" w:rsidP="00926F8D">
      <w:pPr>
        <w:jc w:val="both"/>
      </w:pPr>
      <w:r>
        <w:t>La</w:t>
      </w:r>
      <w:r w:rsidR="000A6006">
        <w:t xml:space="preserve"> seconde partie du volume, </w:t>
      </w:r>
      <w:r w:rsidR="007A1624">
        <w:t xml:space="preserve">écrite par </w:t>
      </w:r>
      <w:proofErr w:type="spellStart"/>
      <w:r w:rsidR="007A1624">
        <w:t>Ezio</w:t>
      </w:r>
      <w:proofErr w:type="spellEnd"/>
      <w:r w:rsidR="007A1624">
        <w:t xml:space="preserve"> </w:t>
      </w:r>
      <w:proofErr w:type="spellStart"/>
      <w:r w:rsidR="007A1624">
        <w:t>Ornatto</w:t>
      </w:r>
      <w:proofErr w:type="spellEnd"/>
      <w:r w:rsidR="007A1624">
        <w:t xml:space="preserve"> et </w:t>
      </w:r>
      <w:r w:rsidR="000A6006">
        <w:t>intitulée « L’évaluation quantitative des stratégies éditoriales. Problèmes méthodologiques et techniques », peut être assimilée à un</w:t>
      </w:r>
      <w:r w:rsidR="007A1624">
        <w:t xml:space="preserve"> </w:t>
      </w:r>
      <w:r w:rsidR="000A6006">
        <w:t>manuel bibliométrique applicable à l’étude quantitative des incunables.</w:t>
      </w:r>
      <w:r w:rsidR="007A1624">
        <w:t xml:space="preserve"> Très honnêtement, l’auteur reconnaît que sa méthode n’est pas applicable à l’ensemble de la recherche en histoire du livre, car « chaque recherche possède ses propres caractéristiques ; elle requiert donc l’élaboration de protocoles d’observation particuliers, la construction de procédures </w:t>
      </w:r>
      <w:r w:rsidR="007A1624">
        <w:rPr>
          <w:i/>
        </w:rPr>
        <w:t xml:space="preserve">ad hoc </w:t>
      </w:r>
      <w:r w:rsidR="007A1624">
        <w:t xml:space="preserve">d’enquête et de validation, ainsi que la constitution d’outils spécifiques qu’il faut chaque fois littéralement inventer (p. 203) ». Reconnaissons </w:t>
      </w:r>
      <w:r w:rsidR="00CD2BAA">
        <w:t xml:space="preserve">d’emblée </w:t>
      </w:r>
      <w:r w:rsidR="007A1624">
        <w:t xml:space="preserve">à </w:t>
      </w:r>
      <w:proofErr w:type="spellStart"/>
      <w:r w:rsidR="007A1624">
        <w:t>Ezio</w:t>
      </w:r>
      <w:proofErr w:type="spellEnd"/>
      <w:r w:rsidR="007A1624">
        <w:t xml:space="preserve"> </w:t>
      </w:r>
      <w:proofErr w:type="spellStart"/>
      <w:r w:rsidR="007A1624">
        <w:t>Ornato</w:t>
      </w:r>
      <w:proofErr w:type="spellEnd"/>
      <w:r w:rsidR="007A1624">
        <w:t xml:space="preserve"> d’avoir réussi ce challenge pour le cas particulier de l’étude de la production imprimée des premiers </w:t>
      </w:r>
      <w:r w:rsidR="00AA7A14">
        <w:t>typographe</w:t>
      </w:r>
      <w:r w:rsidR="007A1624">
        <w:t xml:space="preserve">. Il a structuré son texte en quatre grands chapitres. Dans le premier, il se penche rapidement sur la problématique de la définition du concept des stratégies éditoriales et de leur classification. Il s’attarde ensuite sur les méthodes </w:t>
      </w:r>
      <w:r w:rsidR="0067700E">
        <w:t>d’analyse quantitative</w:t>
      </w:r>
      <w:r w:rsidR="007A1624">
        <w:t xml:space="preserve"> de la production livresque, tant pour le manuscrit que pour l’imprimé. Une présentation critique </w:t>
      </w:r>
      <w:r w:rsidR="0067700E">
        <w:t xml:space="preserve">des méthodes de recensements des exemplaires survivants </w:t>
      </w:r>
      <w:r w:rsidR="007A1624">
        <w:t>fait l’objet de la troisième partie.</w:t>
      </w:r>
      <w:r w:rsidR="0067700E">
        <w:t xml:space="preserve"> Le livre se clôt par une savante analyse des problèmes inhérents à toute tentative d’estimation de la production </w:t>
      </w:r>
      <w:r w:rsidR="00CD2BAA">
        <w:t>d’incunables</w:t>
      </w:r>
      <w:r w:rsidR="0067700E">
        <w:t>, que ce soit sous l’angle de l’indicateur « nombre d’éditions » ou de celui de l’aspect volumétrique.</w:t>
      </w:r>
    </w:p>
    <w:p w14:paraId="085077A7" w14:textId="77777777" w:rsidR="00CD2BAA" w:rsidRDefault="00CD2BAA" w:rsidP="00926F8D">
      <w:pPr>
        <w:jc w:val="both"/>
      </w:pPr>
    </w:p>
    <w:p w14:paraId="120AE50A" w14:textId="6B1AFCC6" w:rsidR="00CD2BAA" w:rsidRDefault="00B167EA" w:rsidP="00926F8D">
      <w:pPr>
        <w:jc w:val="both"/>
      </w:pPr>
      <w:proofErr w:type="spellStart"/>
      <w:r>
        <w:t>Chiara</w:t>
      </w:r>
      <w:proofErr w:type="spellEnd"/>
      <w:r>
        <w:t xml:space="preserve"> </w:t>
      </w:r>
      <w:proofErr w:type="spellStart"/>
      <w:r>
        <w:t>Ruzzier</w:t>
      </w:r>
      <w:proofErr w:type="spellEnd"/>
      <w:r>
        <w:t xml:space="preserve">, Xavier </w:t>
      </w:r>
      <w:proofErr w:type="spellStart"/>
      <w:r>
        <w:t>Hermand</w:t>
      </w:r>
      <w:proofErr w:type="spellEnd"/>
      <w:r>
        <w:t xml:space="preserve"> et </w:t>
      </w:r>
      <w:proofErr w:type="spellStart"/>
      <w:r>
        <w:t>Ezio</w:t>
      </w:r>
      <w:proofErr w:type="spellEnd"/>
      <w:r>
        <w:t xml:space="preserve"> </w:t>
      </w:r>
      <w:proofErr w:type="spellStart"/>
      <w:r>
        <w:t>Ornato</w:t>
      </w:r>
      <w:proofErr w:type="spellEnd"/>
      <w:r>
        <w:t xml:space="preserve"> ont écrit ensemble un livre d’une grande rigueur scientifique qui présente de nombreuses qualités. On retiendra en premier lieu </w:t>
      </w:r>
      <w:r w:rsidR="00C17BC4">
        <w:t xml:space="preserve">la méthodologie mise au point par ces auteurs pour analyser une production livresque, sorte de vadémécum pour des recherches ultérieures. Les pages les plus intéressantes sont certainement celles consacrées à la présentation de </w:t>
      </w:r>
      <w:r>
        <w:t>l</w:t>
      </w:r>
      <w:r w:rsidR="00C17BC4">
        <w:t>eur</w:t>
      </w:r>
      <w:r>
        <w:t xml:space="preserve"> typologie textuelle proposée aux pages 19-29</w:t>
      </w:r>
      <w:r w:rsidR="00C17BC4">
        <w:t>. La structure multidimensionnelle de leur classification des différents genres littéraires permet de rendre compte au plus près de toutes les subtilités et de toutes les pa</w:t>
      </w:r>
      <w:r w:rsidR="0011538B">
        <w:t>rticularités du</w:t>
      </w:r>
      <w:r w:rsidR="00C17BC4">
        <w:t xml:space="preserve"> catalogue d’un </w:t>
      </w:r>
      <w:r w:rsidR="00471BF4">
        <w:t>typographe</w:t>
      </w:r>
      <w:r w:rsidR="00C17BC4">
        <w:t xml:space="preserve"> ou de la production </w:t>
      </w:r>
      <w:r w:rsidR="00D91B5B">
        <w:t xml:space="preserve">imprimée </w:t>
      </w:r>
      <w:r w:rsidR="00C17BC4">
        <w:t xml:space="preserve">d’un ensemble territorial. </w:t>
      </w:r>
      <w:r w:rsidR="00471BF4">
        <w:t xml:space="preserve">On ne peut aussi que se féliciter du choix de l’espace étudié par </w:t>
      </w:r>
      <w:proofErr w:type="spellStart"/>
      <w:r w:rsidR="00471BF4">
        <w:t>Chiara</w:t>
      </w:r>
      <w:proofErr w:type="spellEnd"/>
      <w:r w:rsidR="00471BF4">
        <w:t xml:space="preserve"> </w:t>
      </w:r>
      <w:proofErr w:type="spellStart"/>
      <w:r w:rsidR="00471BF4">
        <w:t>Ruzzier</w:t>
      </w:r>
      <w:proofErr w:type="spellEnd"/>
      <w:r w:rsidR="00471BF4">
        <w:t xml:space="preserve"> et Xavier </w:t>
      </w:r>
      <w:proofErr w:type="spellStart"/>
      <w:r w:rsidR="00471BF4">
        <w:t>Hermand</w:t>
      </w:r>
      <w:proofErr w:type="spellEnd"/>
      <w:r w:rsidR="00471BF4">
        <w:t xml:space="preserve">, la naissance de l’art typographique dans les anciens Pays-Bas souffrant depuis quelques décennies d’un certain désintérêt de la part de la communauté scientifique. Nous avons </w:t>
      </w:r>
      <w:r w:rsidR="00004E4D">
        <w:t xml:space="preserve">toutefois </w:t>
      </w:r>
      <w:r w:rsidR="00471BF4">
        <w:t xml:space="preserve">été </w:t>
      </w:r>
      <w:r w:rsidR="00004E4D">
        <w:t xml:space="preserve">quelque peu </w:t>
      </w:r>
      <w:r w:rsidR="00471BF4">
        <w:t xml:space="preserve">surpris que Valenciennes n’ait pas été retenue dans le corpus de base de cette enquête. </w:t>
      </w:r>
      <w:r w:rsidR="00004E4D">
        <w:t>Même si la production du XV</w:t>
      </w:r>
      <w:r w:rsidR="00004E4D" w:rsidRPr="00004E4D">
        <w:rPr>
          <w:vertAlign w:val="superscript"/>
        </w:rPr>
        <w:t>e</w:t>
      </w:r>
      <w:r w:rsidR="00004E4D">
        <w:t xml:space="preserve"> siècle </w:t>
      </w:r>
      <w:r w:rsidR="003128C8">
        <w:t xml:space="preserve">dans cette ville </w:t>
      </w:r>
      <w:r w:rsidR="00004E4D">
        <w:t>ne se limite qu’à neuf impressions, rien ne justifie d</w:t>
      </w:r>
      <w:r w:rsidR="003128C8">
        <w:t>e l</w:t>
      </w:r>
      <w:r w:rsidR="00004E4D">
        <w:t>’écarter</w:t>
      </w:r>
      <w:r w:rsidR="003128C8">
        <w:t>. Valenciennes</w:t>
      </w:r>
      <w:r w:rsidR="00004E4D">
        <w:t xml:space="preserve"> faisa</w:t>
      </w:r>
      <w:r w:rsidR="003128C8">
        <w:t>i</w:t>
      </w:r>
      <w:r w:rsidR="00004E4D">
        <w:t xml:space="preserve">t alors partie </w:t>
      </w:r>
      <w:r w:rsidR="003128C8">
        <w:t xml:space="preserve">intégrante </w:t>
      </w:r>
      <w:r w:rsidR="00004E4D">
        <w:t xml:space="preserve">du comté de Hainaut et plus largement des anciens Pays-Bas. Les auteurs ne </w:t>
      </w:r>
      <w:r w:rsidR="00D04E2C">
        <w:t>donnent</w:t>
      </w:r>
      <w:r w:rsidR="00004E4D">
        <w:t xml:space="preserve"> d’ailleurs aucune explication relative à cette éviction. On aurait en outre espéré que les cadres temporels de ce travail aient été élargis au début du XVI</w:t>
      </w:r>
      <w:r w:rsidR="00004E4D" w:rsidRPr="00004E4D">
        <w:rPr>
          <w:vertAlign w:val="superscript"/>
        </w:rPr>
        <w:t>e</w:t>
      </w:r>
      <w:r w:rsidR="00004E4D">
        <w:t xml:space="preserve"> siècle. Cette remarque vaut également pour de nombreux travaux publiés sur le sujet. En effet, les historiens du livre n’ont de cesse de clamer l’inadéquation du concept incunable et du car</w:t>
      </w:r>
      <w:r w:rsidR="006A6712">
        <w:t>actère arbitraire de la césure a</w:t>
      </w:r>
      <w:r w:rsidR="00004E4D">
        <w:t>u 31 décembre 1500, mais continuent, par confort</w:t>
      </w:r>
      <w:r w:rsidR="00FD199A">
        <w:t xml:space="preserve"> et par commodité</w:t>
      </w:r>
      <w:r w:rsidR="00004E4D">
        <w:t xml:space="preserve">, </w:t>
      </w:r>
      <w:r w:rsidR="00FD199A">
        <w:t>de limiter leurs travaux au XV</w:t>
      </w:r>
      <w:r w:rsidR="00FD199A" w:rsidRPr="00FD199A">
        <w:rPr>
          <w:vertAlign w:val="superscript"/>
        </w:rPr>
        <w:t>e</w:t>
      </w:r>
      <w:r w:rsidR="00FD199A">
        <w:t xml:space="preserve"> siècle en totale distorsion avec la réalité du livre imprimé. Si l’absence d’un répertoire </w:t>
      </w:r>
      <w:r w:rsidR="00D04E2C">
        <w:t>général</w:t>
      </w:r>
      <w:r w:rsidR="00FD199A">
        <w:t xml:space="preserve"> des livres imprimés au XVI</w:t>
      </w:r>
      <w:r w:rsidR="00FD199A" w:rsidRPr="00FD199A">
        <w:rPr>
          <w:vertAlign w:val="superscript"/>
        </w:rPr>
        <w:t>e</w:t>
      </w:r>
      <w:r w:rsidR="00FD199A">
        <w:t xml:space="preserve"> siècle est généraleme</w:t>
      </w:r>
      <w:r w:rsidR="006A6712">
        <w:t>nt avancée pour restreindre le</w:t>
      </w:r>
      <w:r w:rsidR="00FD199A">
        <w:t xml:space="preserve">s </w:t>
      </w:r>
      <w:r w:rsidR="006A6712">
        <w:t>recherches</w:t>
      </w:r>
      <w:r w:rsidR="00FD199A">
        <w:t xml:space="preserve"> au XV</w:t>
      </w:r>
      <w:r w:rsidR="00FD199A" w:rsidRPr="00FD199A">
        <w:rPr>
          <w:vertAlign w:val="superscript"/>
        </w:rPr>
        <w:t>e</w:t>
      </w:r>
      <w:r w:rsidR="00FD199A">
        <w:t xml:space="preserve"> siècle</w:t>
      </w:r>
      <w:r w:rsidR="00780E76">
        <w:t xml:space="preserve"> – parfois avec raison –</w:t>
      </w:r>
      <w:r w:rsidR="006A6712">
        <w:t>, il faut néanmoins signaler que dans le cas particulier des anciens Pays-Bas, le chercheur dispose de répertoires de qualité qui auraient pu être couplés avec les données fournies par l’</w:t>
      </w:r>
      <w:proofErr w:type="spellStart"/>
      <w:r w:rsidR="006A6712">
        <w:t>ISTC</w:t>
      </w:r>
      <w:proofErr w:type="spellEnd"/>
      <w:r w:rsidR="006A6712">
        <w:t xml:space="preserve"> et le </w:t>
      </w:r>
      <w:proofErr w:type="spellStart"/>
      <w:r w:rsidR="006A6712">
        <w:t>GW</w:t>
      </w:r>
      <w:proofErr w:type="spellEnd"/>
      <w:r w:rsidR="006A6712">
        <w:t xml:space="preserve">. On pense ainsi à la </w:t>
      </w:r>
      <w:r w:rsidR="006A6712" w:rsidRPr="006A6712">
        <w:rPr>
          <w:i/>
          <w:iCs/>
          <w:lang w:val="nl-BE"/>
        </w:rPr>
        <w:t xml:space="preserve">Nederlandsche bibliographie </w:t>
      </w:r>
      <w:r w:rsidR="006A6712">
        <w:t xml:space="preserve">de Wouter </w:t>
      </w:r>
      <w:proofErr w:type="spellStart"/>
      <w:r w:rsidR="006A6712">
        <w:t>Nijhoff</w:t>
      </w:r>
      <w:proofErr w:type="spellEnd"/>
      <w:r w:rsidR="006A6712">
        <w:t xml:space="preserve"> et Maria Elizabeth </w:t>
      </w:r>
      <w:proofErr w:type="spellStart"/>
      <w:r w:rsidR="006A6712">
        <w:t>Kronenberg</w:t>
      </w:r>
      <w:proofErr w:type="spellEnd"/>
      <w:r w:rsidR="006A6712">
        <w:t xml:space="preserve"> ou encore à la récente entreprise bibliographique de l’Université de Saint-Andrews menée sous l’égide du professeur Andrew </w:t>
      </w:r>
      <w:proofErr w:type="spellStart"/>
      <w:r w:rsidR="006A6712">
        <w:t>Pettegree</w:t>
      </w:r>
      <w:proofErr w:type="spellEnd"/>
      <w:r w:rsidR="006A6712">
        <w:rPr>
          <w:rStyle w:val="Marquenotebasdepage"/>
        </w:rPr>
        <w:footnoteReference w:id="7"/>
      </w:r>
      <w:r w:rsidR="006A6712">
        <w:t xml:space="preserve">. </w:t>
      </w:r>
      <w:r w:rsidR="0011538B">
        <w:t>I</w:t>
      </w:r>
      <w:r w:rsidR="005D3C9D">
        <w:t>l est certain que la comparaison de la production imprimée des territoires sous domination burgondo-</w:t>
      </w:r>
      <w:proofErr w:type="spellStart"/>
      <w:r w:rsidR="005D3C9D">
        <w:t>hasbourgeoise</w:t>
      </w:r>
      <w:proofErr w:type="spellEnd"/>
      <w:r w:rsidR="005D3C9D">
        <w:t xml:space="preserve"> avec celle du reste de l’Europe aurait été </w:t>
      </w:r>
      <w:r w:rsidR="003128C8">
        <w:t>très</w:t>
      </w:r>
      <w:r w:rsidR="005D3C9D">
        <w:t xml:space="preserve"> compliquée en raison justement des lacunes de</w:t>
      </w:r>
      <w:r w:rsidR="0011538B">
        <w:t xml:space="preserve"> certain</w:t>
      </w:r>
      <w:r w:rsidR="005D3C9D">
        <w:t xml:space="preserve">s catalogues </w:t>
      </w:r>
      <w:r w:rsidR="003128C8">
        <w:t>de livres du XVI</w:t>
      </w:r>
      <w:r w:rsidR="003128C8" w:rsidRPr="003128C8">
        <w:rPr>
          <w:vertAlign w:val="superscript"/>
        </w:rPr>
        <w:t>e</w:t>
      </w:r>
      <w:r w:rsidR="003128C8">
        <w:t xml:space="preserve"> siècle</w:t>
      </w:r>
      <w:r w:rsidR="0011538B">
        <w:t>. Cependant,</w:t>
      </w:r>
      <w:r w:rsidR="005D3C9D">
        <w:t xml:space="preserve"> les données récoltées </w:t>
      </w:r>
      <w:r w:rsidR="0011538B">
        <w:t xml:space="preserve">de la sorte </w:t>
      </w:r>
      <w:r w:rsidR="003128C8">
        <w:t xml:space="preserve">auraient pu fournir de précieux détails sur l’évolution de la production des anciens Pays-Bas : suprématie progressive d’Anvers, émergence de Louvain en tant que pôle principal de l’imprimerie humaniste, croissance de la production livresque à partir des années 1510… Cette dernière remarque ne remet nullement en cause les qualités intrinsèques du livre de </w:t>
      </w:r>
      <w:proofErr w:type="spellStart"/>
      <w:r w:rsidR="003128C8">
        <w:t>Chiara</w:t>
      </w:r>
      <w:proofErr w:type="spellEnd"/>
      <w:r w:rsidR="003128C8">
        <w:t xml:space="preserve"> </w:t>
      </w:r>
      <w:proofErr w:type="spellStart"/>
      <w:r w:rsidR="003128C8">
        <w:t>Ruzzier</w:t>
      </w:r>
      <w:proofErr w:type="spellEnd"/>
      <w:r w:rsidR="003128C8">
        <w:t xml:space="preserve">, Xavier </w:t>
      </w:r>
      <w:proofErr w:type="spellStart"/>
      <w:r w:rsidR="003128C8">
        <w:t>Hermand</w:t>
      </w:r>
      <w:proofErr w:type="spellEnd"/>
      <w:r w:rsidR="003128C8">
        <w:t xml:space="preserve"> et </w:t>
      </w:r>
      <w:proofErr w:type="spellStart"/>
      <w:r w:rsidR="003128C8">
        <w:t>Ezio</w:t>
      </w:r>
      <w:proofErr w:type="spellEnd"/>
      <w:r w:rsidR="003128C8">
        <w:t xml:space="preserve"> </w:t>
      </w:r>
      <w:proofErr w:type="spellStart"/>
      <w:r w:rsidR="003128C8">
        <w:t>Ornato</w:t>
      </w:r>
      <w:proofErr w:type="spellEnd"/>
      <w:r w:rsidR="003128C8">
        <w:t xml:space="preserve">. </w:t>
      </w:r>
      <w:r w:rsidR="00AA7A14">
        <w:t>Leur</w:t>
      </w:r>
      <w:r w:rsidR="00A37CC9">
        <w:t xml:space="preserve"> ouvrage</w:t>
      </w:r>
      <w:r w:rsidR="003128C8">
        <w:t xml:space="preserve"> prouve que l’histoire des premiers temps de l’imprimerie contient encore de nombreux domaines à </w:t>
      </w:r>
      <w:r w:rsidR="00A37CC9">
        <w:t>investiguer</w:t>
      </w:r>
      <w:r w:rsidR="003128C8">
        <w:t xml:space="preserve"> et qu</w:t>
      </w:r>
      <w:r w:rsidR="0011538B">
        <w:t xml:space="preserve">e le développement de </w:t>
      </w:r>
      <w:r w:rsidR="003128C8">
        <w:t>nouveaux outils, tel que celui mis au poin</w:t>
      </w:r>
      <w:r w:rsidR="00A37CC9">
        <w:t xml:space="preserve">t par le Prof. </w:t>
      </w:r>
      <w:proofErr w:type="spellStart"/>
      <w:r w:rsidR="00A37CC9">
        <w:t>Pettegree</w:t>
      </w:r>
      <w:proofErr w:type="spellEnd"/>
      <w:r w:rsidR="00A37CC9">
        <w:t xml:space="preserve">, </w:t>
      </w:r>
      <w:r w:rsidR="0011538B">
        <w:t xml:space="preserve">offrira sans conteste la possibilité de réaliser </w:t>
      </w:r>
      <w:r w:rsidR="00A37CC9">
        <w:t xml:space="preserve">des enquêtes sur les stratégies éditoriales des premiers typographes au niveau européen sur les cinquante années qui suivent </w:t>
      </w:r>
      <w:r w:rsidR="0011538B">
        <w:t>l’invention de Gutenberg</w:t>
      </w:r>
      <w:r w:rsidR="00A37CC9">
        <w:t>.</w:t>
      </w:r>
    </w:p>
    <w:p w14:paraId="043909F2" w14:textId="77777777" w:rsidR="006A6712" w:rsidRDefault="006A6712" w:rsidP="00926F8D">
      <w:pPr>
        <w:jc w:val="both"/>
      </w:pPr>
    </w:p>
    <w:p w14:paraId="1B3F4529" w14:textId="760F9C86" w:rsidR="006A6712" w:rsidRPr="007A1624" w:rsidRDefault="006A6712" w:rsidP="00926F8D">
      <w:pPr>
        <w:jc w:val="both"/>
      </w:pPr>
    </w:p>
    <w:sectPr w:rsidR="006A6712" w:rsidRPr="007A1624" w:rsidSect="005E3F9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F970F" w14:textId="77777777" w:rsidR="0011538B" w:rsidRDefault="0011538B" w:rsidP="008B7171">
      <w:r>
        <w:separator/>
      </w:r>
    </w:p>
  </w:endnote>
  <w:endnote w:type="continuationSeparator" w:id="0">
    <w:p w14:paraId="202A2D56" w14:textId="77777777" w:rsidR="0011538B" w:rsidRDefault="0011538B" w:rsidP="008B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6AC5B" w14:textId="77777777" w:rsidR="0011538B" w:rsidRDefault="0011538B" w:rsidP="008B7171">
      <w:r>
        <w:separator/>
      </w:r>
    </w:p>
  </w:footnote>
  <w:footnote w:type="continuationSeparator" w:id="0">
    <w:p w14:paraId="04E38494" w14:textId="77777777" w:rsidR="0011538B" w:rsidRDefault="0011538B" w:rsidP="008B7171">
      <w:r>
        <w:continuationSeparator/>
      </w:r>
    </w:p>
  </w:footnote>
  <w:footnote w:id="1">
    <w:p w14:paraId="0DEF6C9D" w14:textId="53964D45" w:rsidR="0011538B" w:rsidRPr="006A6712" w:rsidRDefault="0011538B" w:rsidP="008B7171">
      <w:pPr>
        <w:pStyle w:val="Notedebasdepage"/>
        <w:rPr>
          <w:rFonts w:ascii="Cambria" w:hAnsi="Cambria"/>
          <w:szCs w:val="20"/>
          <w:lang w:val="nl-NL"/>
        </w:rPr>
      </w:pPr>
      <w:r w:rsidRPr="006A6712">
        <w:rPr>
          <w:rStyle w:val="Marquenotebasdepage"/>
          <w:rFonts w:ascii="Cambria" w:hAnsi="Cambria"/>
          <w:szCs w:val="20"/>
        </w:rPr>
        <w:footnoteRef/>
      </w:r>
      <w:r w:rsidRPr="006A6712">
        <w:rPr>
          <w:rFonts w:ascii="Cambria" w:hAnsi="Cambria"/>
          <w:szCs w:val="20"/>
        </w:rPr>
        <w:t xml:space="preserve"> </w:t>
      </w:r>
      <w:proofErr w:type="spellStart"/>
      <w:r w:rsidRPr="006A6712">
        <w:rPr>
          <w:rFonts w:ascii="Cambria" w:hAnsi="Cambria"/>
          <w:szCs w:val="20"/>
          <w:lang w:val="nl-NL"/>
        </w:rPr>
        <w:t>Ses</w:t>
      </w:r>
      <w:proofErr w:type="spellEnd"/>
      <w:r w:rsidRPr="006A6712">
        <w:rPr>
          <w:rFonts w:ascii="Cambria" w:hAnsi="Cambria"/>
          <w:szCs w:val="20"/>
          <w:lang w:val="nl-NL"/>
        </w:rPr>
        <w:t xml:space="preserve"> </w:t>
      </w:r>
      <w:proofErr w:type="spellStart"/>
      <w:r w:rsidRPr="006A6712">
        <w:rPr>
          <w:rFonts w:ascii="Cambria" w:hAnsi="Cambria"/>
          <w:szCs w:val="20"/>
          <w:lang w:val="nl-NL"/>
        </w:rPr>
        <w:t>travaux</w:t>
      </w:r>
      <w:proofErr w:type="spellEnd"/>
      <w:r w:rsidRPr="006A6712">
        <w:rPr>
          <w:rFonts w:ascii="Cambria" w:hAnsi="Cambria"/>
          <w:szCs w:val="20"/>
          <w:lang w:val="nl-NL"/>
        </w:rPr>
        <w:t xml:space="preserve"> ont </w:t>
      </w:r>
      <w:proofErr w:type="spellStart"/>
      <w:r w:rsidRPr="006A6712">
        <w:rPr>
          <w:rFonts w:ascii="Cambria" w:hAnsi="Cambria"/>
          <w:szCs w:val="20"/>
          <w:lang w:val="nl-NL"/>
        </w:rPr>
        <w:t>été</w:t>
      </w:r>
      <w:proofErr w:type="spellEnd"/>
      <w:r w:rsidRPr="006A6712">
        <w:rPr>
          <w:rFonts w:ascii="Cambria" w:hAnsi="Cambria"/>
          <w:szCs w:val="20"/>
          <w:lang w:val="nl-NL"/>
        </w:rPr>
        <w:t xml:space="preserve"> </w:t>
      </w:r>
      <w:proofErr w:type="spellStart"/>
      <w:r w:rsidRPr="006A6712">
        <w:rPr>
          <w:rFonts w:ascii="Cambria" w:hAnsi="Cambria"/>
          <w:szCs w:val="20"/>
          <w:lang w:val="nl-NL"/>
        </w:rPr>
        <w:t>réunis</w:t>
      </w:r>
      <w:proofErr w:type="spellEnd"/>
      <w:r w:rsidRPr="006A6712">
        <w:rPr>
          <w:rFonts w:ascii="Cambria" w:hAnsi="Cambria"/>
          <w:szCs w:val="20"/>
          <w:lang w:val="nl-NL"/>
        </w:rPr>
        <w:t xml:space="preserve"> au sein </w:t>
      </w:r>
      <w:proofErr w:type="spellStart"/>
      <w:r w:rsidRPr="006A6712">
        <w:rPr>
          <w:rFonts w:ascii="Cambria" w:hAnsi="Cambria"/>
          <w:szCs w:val="20"/>
          <w:lang w:val="nl-NL"/>
        </w:rPr>
        <w:t>d’un</w:t>
      </w:r>
      <w:proofErr w:type="spellEnd"/>
      <w:r w:rsidRPr="006A6712">
        <w:rPr>
          <w:rFonts w:ascii="Cambria" w:hAnsi="Cambria"/>
          <w:szCs w:val="20"/>
          <w:lang w:val="nl-NL"/>
        </w:rPr>
        <w:t xml:space="preserve"> volume </w:t>
      </w:r>
      <w:proofErr w:type="spellStart"/>
      <w:r w:rsidRPr="006A6712">
        <w:rPr>
          <w:rFonts w:ascii="Cambria" w:hAnsi="Cambria"/>
          <w:szCs w:val="20"/>
          <w:lang w:val="nl-NL"/>
        </w:rPr>
        <w:t>paru</w:t>
      </w:r>
      <w:proofErr w:type="spellEnd"/>
      <w:r w:rsidRPr="006A6712">
        <w:rPr>
          <w:rFonts w:ascii="Cambria" w:hAnsi="Cambria"/>
          <w:szCs w:val="20"/>
          <w:lang w:val="nl-NL"/>
        </w:rPr>
        <w:t xml:space="preserve"> en 1997: E. </w:t>
      </w:r>
      <w:proofErr w:type="spellStart"/>
      <w:r w:rsidRPr="006A6712">
        <w:rPr>
          <w:rFonts w:ascii="Cambria" w:hAnsi="Cambria"/>
          <w:szCs w:val="20"/>
          <w:lang w:val="nl-NL"/>
        </w:rPr>
        <w:t>Ornato</w:t>
      </w:r>
      <w:proofErr w:type="spellEnd"/>
      <w:r w:rsidRPr="006A6712">
        <w:rPr>
          <w:rFonts w:ascii="Cambria" w:hAnsi="Cambria"/>
          <w:szCs w:val="20"/>
          <w:lang w:val="nl-NL"/>
        </w:rPr>
        <w:t xml:space="preserve">, </w:t>
      </w:r>
      <w:r w:rsidRPr="006A6712">
        <w:rPr>
          <w:rFonts w:ascii="Cambria" w:hAnsi="Cambria"/>
          <w:i/>
          <w:szCs w:val="20"/>
          <w:lang w:val="nl-NL"/>
        </w:rPr>
        <w:t xml:space="preserve">La face </w:t>
      </w:r>
      <w:proofErr w:type="spellStart"/>
      <w:r w:rsidRPr="006A6712">
        <w:rPr>
          <w:rFonts w:ascii="Cambria" w:hAnsi="Cambria"/>
          <w:i/>
          <w:szCs w:val="20"/>
          <w:lang w:val="nl-NL"/>
        </w:rPr>
        <w:t>cachée</w:t>
      </w:r>
      <w:proofErr w:type="spellEnd"/>
      <w:r w:rsidRPr="006A6712">
        <w:rPr>
          <w:rFonts w:ascii="Cambria" w:hAnsi="Cambria"/>
          <w:i/>
          <w:szCs w:val="20"/>
          <w:lang w:val="nl-NL"/>
        </w:rPr>
        <w:t xml:space="preserve"> du </w:t>
      </w:r>
      <w:proofErr w:type="spellStart"/>
      <w:r w:rsidRPr="006A6712">
        <w:rPr>
          <w:rFonts w:ascii="Cambria" w:hAnsi="Cambria"/>
          <w:i/>
          <w:szCs w:val="20"/>
          <w:lang w:val="nl-NL"/>
        </w:rPr>
        <w:t>livre</w:t>
      </w:r>
      <w:proofErr w:type="spellEnd"/>
      <w:r w:rsidRPr="006A6712">
        <w:rPr>
          <w:rFonts w:ascii="Cambria" w:hAnsi="Cambria"/>
          <w:i/>
          <w:szCs w:val="20"/>
          <w:lang w:val="nl-NL"/>
        </w:rPr>
        <w:t xml:space="preserve"> </w:t>
      </w:r>
      <w:proofErr w:type="spellStart"/>
      <w:r w:rsidRPr="006A6712">
        <w:rPr>
          <w:rFonts w:ascii="Cambria" w:hAnsi="Cambria"/>
          <w:i/>
          <w:szCs w:val="20"/>
          <w:lang w:val="nl-NL"/>
        </w:rPr>
        <w:t>médiéval</w:t>
      </w:r>
      <w:proofErr w:type="spellEnd"/>
      <w:r w:rsidRPr="006A6712">
        <w:rPr>
          <w:rFonts w:ascii="Cambria" w:hAnsi="Cambria"/>
          <w:i/>
          <w:szCs w:val="20"/>
          <w:lang w:val="nl-NL"/>
        </w:rPr>
        <w:t xml:space="preserve">. </w:t>
      </w:r>
      <w:proofErr w:type="spellStart"/>
      <w:r w:rsidRPr="006A6712">
        <w:rPr>
          <w:rFonts w:ascii="Cambria" w:hAnsi="Cambria"/>
          <w:i/>
          <w:szCs w:val="20"/>
          <w:lang w:val="nl-NL"/>
        </w:rPr>
        <w:t>L’histoire</w:t>
      </w:r>
      <w:proofErr w:type="spellEnd"/>
      <w:r w:rsidRPr="006A6712">
        <w:rPr>
          <w:rFonts w:ascii="Cambria" w:hAnsi="Cambria"/>
          <w:i/>
          <w:szCs w:val="20"/>
          <w:lang w:val="nl-NL"/>
        </w:rPr>
        <w:t xml:space="preserve"> du </w:t>
      </w:r>
      <w:proofErr w:type="spellStart"/>
      <w:r w:rsidRPr="006A6712">
        <w:rPr>
          <w:rFonts w:ascii="Cambria" w:hAnsi="Cambria"/>
          <w:i/>
          <w:szCs w:val="20"/>
          <w:lang w:val="nl-NL"/>
        </w:rPr>
        <w:t>livre</w:t>
      </w:r>
      <w:proofErr w:type="spellEnd"/>
      <w:r w:rsidRPr="006A6712">
        <w:rPr>
          <w:rFonts w:ascii="Cambria" w:hAnsi="Cambria"/>
          <w:i/>
          <w:szCs w:val="20"/>
          <w:lang w:val="nl-NL"/>
        </w:rPr>
        <w:t xml:space="preserve"> vue par </w:t>
      </w:r>
      <w:proofErr w:type="spellStart"/>
      <w:r w:rsidRPr="006A6712">
        <w:rPr>
          <w:rFonts w:ascii="Cambria" w:hAnsi="Cambria"/>
          <w:i/>
          <w:szCs w:val="20"/>
          <w:lang w:val="nl-NL"/>
        </w:rPr>
        <w:t>Ezio</w:t>
      </w:r>
      <w:proofErr w:type="spellEnd"/>
      <w:r w:rsidRPr="006A6712">
        <w:rPr>
          <w:rFonts w:ascii="Cambria" w:hAnsi="Cambria"/>
          <w:i/>
          <w:szCs w:val="20"/>
          <w:lang w:val="nl-NL"/>
        </w:rPr>
        <w:t xml:space="preserve"> </w:t>
      </w:r>
      <w:proofErr w:type="spellStart"/>
      <w:r w:rsidRPr="006A6712">
        <w:rPr>
          <w:rFonts w:ascii="Cambria" w:hAnsi="Cambria"/>
          <w:i/>
          <w:szCs w:val="20"/>
          <w:lang w:val="nl-NL"/>
        </w:rPr>
        <w:t>Ornato</w:t>
      </w:r>
      <w:proofErr w:type="spellEnd"/>
      <w:r w:rsidRPr="006A6712">
        <w:rPr>
          <w:rFonts w:ascii="Cambria" w:hAnsi="Cambria"/>
          <w:i/>
          <w:szCs w:val="20"/>
          <w:lang w:val="nl-NL"/>
        </w:rPr>
        <w:t xml:space="preserve">, </w:t>
      </w:r>
      <w:proofErr w:type="spellStart"/>
      <w:r w:rsidRPr="006A6712">
        <w:rPr>
          <w:rFonts w:ascii="Cambria" w:hAnsi="Cambria"/>
          <w:i/>
          <w:szCs w:val="20"/>
          <w:lang w:val="nl-NL"/>
        </w:rPr>
        <w:t>ses</w:t>
      </w:r>
      <w:proofErr w:type="spellEnd"/>
      <w:r w:rsidRPr="006A6712">
        <w:rPr>
          <w:rFonts w:ascii="Cambria" w:hAnsi="Cambria"/>
          <w:i/>
          <w:szCs w:val="20"/>
          <w:lang w:val="nl-NL"/>
        </w:rPr>
        <w:t xml:space="preserve"> </w:t>
      </w:r>
      <w:proofErr w:type="spellStart"/>
      <w:r w:rsidRPr="006A6712">
        <w:rPr>
          <w:rFonts w:ascii="Cambria" w:hAnsi="Cambria"/>
          <w:i/>
          <w:szCs w:val="20"/>
          <w:lang w:val="nl-NL"/>
        </w:rPr>
        <w:t>amis</w:t>
      </w:r>
      <w:proofErr w:type="spellEnd"/>
      <w:r w:rsidRPr="006A6712">
        <w:rPr>
          <w:rFonts w:ascii="Cambria" w:hAnsi="Cambria"/>
          <w:i/>
          <w:szCs w:val="20"/>
          <w:lang w:val="nl-NL"/>
        </w:rPr>
        <w:t xml:space="preserve">, </w:t>
      </w:r>
      <w:proofErr w:type="spellStart"/>
      <w:r w:rsidRPr="006A6712">
        <w:rPr>
          <w:rFonts w:ascii="Cambria" w:hAnsi="Cambria"/>
          <w:i/>
          <w:szCs w:val="20"/>
          <w:lang w:val="nl-NL"/>
        </w:rPr>
        <w:t>ses</w:t>
      </w:r>
      <w:proofErr w:type="spellEnd"/>
      <w:r w:rsidRPr="006A6712">
        <w:rPr>
          <w:rFonts w:ascii="Cambria" w:hAnsi="Cambria"/>
          <w:i/>
          <w:szCs w:val="20"/>
          <w:lang w:val="nl-NL"/>
        </w:rPr>
        <w:t xml:space="preserve"> </w:t>
      </w:r>
      <w:proofErr w:type="spellStart"/>
      <w:r w:rsidRPr="006A6712">
        <w:rPr>
          <w:rFonts w:ascii="Cambria" w:hAnsi="Cambria"/>
          <w:i/>
          <w:szCs w:val="20"/>
          <w:lang w:val="nl-NL"/>
        </w:rPr>
        <w:t>collègues</w:t>
      </w:r>
      <w:proofErr w:type="spellEnd"/>
      <w:r w:rsidRPr="006A6712">
        <w:rPr>
          <w:rFonts w:ascii="Cambria" w:hAnsi="Cambria"/>
          <w:szCs w:val="20"/>
          <w:lang w:val="nl-NL"/>
        </w:rPr>
        <w:t xml:space="preserve">, Rome, 1997. </w:t>
      </w:r>
      <w:proofErr w:type="spellStart"/>
      <w:r w:rsidRPr="006A6712">
        <w:rPr>
          <w:rFonts w:ascii="Cambria" w:hAnsi="Cambria"/>
          <w:szCs w:val="20"/>
          <w:lang w:val="nl-NL"/>
        </w:rPr>
        <w:t>Une</w:t>
      </w:r>
      <w:proofErr w:type="spellEnd"/>
      <w:r w:rsidRPr="006A6712">
        <w:rPr>
          <w:rFonts w:ascii="Cambria" w:hAnsi="Cambria"/>
          <w:szCs w:val="20"/>
          <w:lang w:val="nl-NL"/>
        </w:rPr>
        <w:t xml:space="preserve"> mise à jour de sa </w:t>
      </w:r>
      <w:proofErr w:type="spellStart"/>
      <w:r w:rsidRPr="006A6712">
        <w:rPr>
          <w:rFonts w:ascii="Cambria" w:hAnsi="Cambria"/>
          <w:szCs w:val="20"/>
          <w:lang w:val="nl-NL"/>
        </w:rPr>
        <w:t>production</w:t>
      </w:r>
      <w:proofErr w:type="spellEnd"/>
      <w:r w:rsidRPr="006A6712">
        <w:rPr>
          <w:rFonts w:ascii="Cambria" w:hAnsi="Cambria"/>
          <w:szCs w:val="20"/>
          <w:lang w:val="nl-NL"/>
        </w:rPr>
        <w:t xml:space="preserve"> </w:t>
      </w:r>
      <w:proofErr w:type="spellStart"/>
      <w:r w:rsidRPr="006A6712">
        <w:rPr>
          <w:rFonts w:ascii="Cambria" w:hAnsi="Cambria"/>
          <w:szCs w:val="20"/>
          <w:lang w:val="nl-NL"/>
        </w:rPr>
        <w:t>scientifique</w:t>
      </w:r>
      <w:proofErr w:type="spellEnd"/>
      <w:r w:rsidRPr="006A6712">
        <w:rPr>
          <w:rFonts w:ascii="Cambria" w:hAnsi="Cambria"/>
          <w:szCs w:val="20"/>
          <w:lang w:val="nl-NL"/>
        </w:rPr>
        <w:t xml:space="preserve"> </w:t>
      </w:r>
      <w:proofErr w:type="spellStart"/>
      <w:r w:rsidRPr="006A6712">
        <w:rPr>
          <w:rFonts w:ascii="Cambria" w:hAnsi="Cambria"/>
          <w:szCs w:val="20"/>
          <w:lang w:val="nl-NL"/>
        </w:rPr>
        <w:t>est</w:t>
      </w:r>
      <w:proofErr w:type="spellEnd"/>
      <w:r w:rsidRPr="006A6712">
        <w:rPr>
          <w:rFonts w:ascii="Cambria" w:hAnsi="Cambria"/>
          <w:szCs w:val="20"/>
          <w:lang w:val="nl-NL"/>
        </w:rPr>
        <w:t xml:space="preserve"> </w:t>
      </w:r>
      <w:proofErr w:type="spellStart"/>
      <w:r w:rsidRPr="006A6712">
        <w:rPr>
          <w:rFonts w:ascii="Cambria" w:hAnsi="Cambria"/>
          <w:szCs w:val="20"/>
          <w:lang w:val="nl-NL"/>
        </w:rPr>
        <w:t>disponible</w:t>
      </w:r>
      <w:proofErr w:type="spellEnd"/>
      <w:r w:rsidRPr="006A6712">
        <w:rPr>
          <w:rFonts w:ascii="Cambria" w:hAnsi="Cambria"/>
          <w:szCs w:val="20"/>
          <w:lang w:val="nl-NL"/>
        </w:rPr>
        <w:t xml:space="preserve"> </w:t>
      </w:r>
      <w:proofErr w:type="spellStart"/>
      <w:r w:rsidRPr="006A6712">
        <w:rPr>
          <w:rFonts w:ascii="Cambria" w:hAnsi="Cambria"/>
          <w:szCs w:val="20"/>
          <w:lang w:val="nl-NL"/>
        </w:rPr>
        <w:t>sur</w:t>
      </w:r>
      <w:proofErr w:type="spellEnd"/>
      <w:r w:rsidRPr="006A6712">
        <w:rPr>
          <w:rFonts w:ascii="Cambria" w:hAnsi="Cambria"/>
          <w:szCs w:val="20"/>
          <w:lang w:val="nl-NL"/>
        </w:rPr>
        <w:t xml:space="preserve"> </w:t>
      </w:r>
      <w:proofErr w:type="spellStart"/>
      <w:r w:rsidRPr="006A6712">
        <w:rPr>
          <w:rFonts w:ascii="Cambria" w:hAnsi="Cambria"/>
          <w:szCs w:val="20"/>
          <w:lang w:val="nl-NL"/>
        </w:rPr>
        <w:t>le</w:t>
      </w:r>
      <w:proofErr w:type="spellEnd"/>
      <w:r w:rsidRPr="006A6712">
        <w:rPr>
          <w:rFonts w:ascii="Cambria" w:hAnsi="Cambria"/>
          <w:szCs w:val="20"/>
          <w:lang w:val="nl-NL"/>
        </w:rPr>
        <w:t xml:space="preserve"> site du </w:t>
      </w:r>
      <w:proofErr w:type="spellStart"/>
      <w:r w:rsidRPr="006A6712">
        <w:rPr>
          <w:rFonts w:ascii="Cambria" w:hAnsi="Cambria"/>
          <w:szCs w:val="20"/>
          <w:lang w:val="nl-NL"/>
        </w:rPr>
        <w:t>Laboratoire</w:t>
      </w:r>
      <w:proofErr w:type="spellEnd"/>
      <w:r w:rsidRPr="006A6712">
        <w:rPr>
          <w:rFonts w:ascii="Cambria" w:hAnsi="Cambria"/>
          <w:szCs w:val="20"/>
          <w:lang w:val="nl-NL"/>
        </w:rPr>
        <w:t xml:space="preserve"> de </w:t>
      </w:r>
      <w:proofErr w:type="spellStart"/>
      <w:r w:rsidRPr="006A6712">
        <w:rPr>
          <w:rFonts w:ascii="Cambria" w:hAnsi="Cambria"/>
          <w:szCs w:val="20"/>
          <w:lang w:val="nl-NL"/>
        </w:rPr>
        <w:t>médiévistique</w:t>
      </w:r>
      <w:proofErr w:type="spellEnd"/>
      <w:r w:rsidRPr="006A6712">
        <w:rPr>
          <w:rFonts w:ascii="Cambria" w:hAnsi="Cambria"/>
          <w:szCs w:val="20"/>
          <w:lang w:val="nl-NL"/>
        </w:rPr>
        <w:t xml:space="preserve"> occidentale de Paris (</w:t>
      </w:r>
      <w:hyperlink r:id="rId1" w:history="1">
        <w:r w:rsidRPr="006A6712">
          <w:rPr>
            <w:rStyle w:val="Lienhypertexte"/>
            <w:rFonts w:ascii="Cambria" w:hAnsi="Cambria"/>
            <w:szCs w:val="20"/>
            <w:lang w:val="nl-NL"/>
          </w:rPr>
          <w:t>http://lamop.univ-paris1.fr/Annuaire/previsualiser.php?nom=ORNATOE</w:t>
        </w:r>
      </w:hyperlink>
      <w:r w:rsidRPr="006A6712">
        <w:rPr>
          <w:rFonts w:ascii="Cambria" w:hAnsi="Cambria"/>
          <w:szCs w:val="20"/>
          <w:lang w:val="nl-NL"/>
        </w:rPr>
        <w:t xml:space="preserve">). </w:t>
      </w:r>
    </w:p>
  </w:footnote>
  <w:footnote w:id="2">
    <w:p w14:paraId="35268C3E" w14:textId="77777777" w:rsidR="0011538B" w:rsidRPr="006A6712" w:rsidRDefault="0011538B" w:rsidP="00724732">
      <w:pPr>
        <w:pStyle w:val="Notedebasdepage"/>
        <w:rPr>
          <w:rFonts w:ascii="Cambria" w:hAnsi="Cambria"/>
          <w:lang w:val="nl-NL"/>
        </w:rPr>
      </w:pPr>
      <w:r w:rsidRPr="006A6712">
        <w:rPr>
          <w:rStyle w:val="Marquenotebasdepage"/>
          <w:rFonts w:ascii="Cambria" w:hAnsi="Cambria"/>
          <w:szCs w:val="20"/>
        </w:rPr>
        <w:footnoteRef/>
      </w:r>
      <w:r w:rsidRPr="006A6712">
        <w:rPr>
          <w:rFonts w:ascii="Cambria" w:hAnsi="Cambria"/>
        </w:rPr>
        <w:t xml:space="preserve"> C</w:t>
      </w:r>
      <w:r w:rsidRPr="006A6712">
        <w:rPr>
          <w:rFonts w:ascii="Cambria" w:hAnsi="Cambria"/>
          <w:lang w:val="fr-BE"/>
        </w:rPr>
        <w:t>. Bozzolo, D. Coq, E. Ornato, « La production de livres en quelques pays d’Europe occidentale aux XIV</w:t>
      </w:r>
      <w:r w:rsidRPr="006A6712">
        <w:rPr>
          <w:rFonts w:ascii="Cambria" w:hAnsi="Cambria"/>
          <w:vertAlign w:val="superscript"/>
          <w:lang w:val="fr-BE"/>
        </w:rPr>
        <w:t xml:space="preserve">e </w:t>
      </w:r>
      <w:r w:rsidRPr="006A6712">
        <w:rPr>
          <w:rFonts w:ascii="Cambria" w:hAnsi="Cambria"/>
          <w:lang w:val="fr-BE"/>
        </w:rPr>
        <w:t>et XV</w:t>
      </w:r>
      <w:r w:rsidRPr="006A6712">
        <w:rPr>
          <w:rFonts w:ascii="Cambria" w:hAnsi="Cambria"/>
          <w:vertAlign w:val="superscript"/>
          <w:lang w:val="fr-BE"/>
        </w:rPr>
        <w:t>e</w:t>
      </w:r>
      <w:r w:rsidRPr="006A6712">
        <w:rPr>
          <w:rFonts w:ascii="Cambria" w:hAnsi="Cambria"/>
          <w:lang w:val="fr-BE"/>
        </w:rPr>
        <w:t xml:space="preserve"> siècles », in </w:t>
      </w:r>
      <w:r w:rsidRPr="006A6712">
        <w:rPr>
          <w:rFonts w:ascii="Cambria" w:hAnsi="Cambria"/>
          <w:i/>
          <w:lang w:val="fr-BE"/>
        </w:rPr>
        <w:t>Scrittura e civiltà</w:t>
      </w:r>
      <w:r w:rsidRPr="006A6712">
        <w:rPr>
          <w:rFonts w:ascii="Cambria" w:hAnsi="Cambria"/>
          <w:lang w:val="fr-BE"/>
        </w:rPr>
        <w:t xml:space="preserve">, t. 8, 1984, p. 129-159 ; C. Coq, E. Ornato, « La production et le marché des incunables. Le cas des livres juridiques », in P. Aquilon, H.-J. Martin (dir.), </w:t>
      </w:r>
      <w:r w:rsidRPr="006A6712">
        <w:rPr>
          <w:rFonts w:ascii="Cambria" w:hAnsi="Cambria"/>
          <w:i/>
          <w:lang w:val="fr-BE"/>
        </w:rPr>
        <w:t>Le Livre dans l’Europe de la Renaissance. Actes du XXVIII</w:t>
      </w:r>
      <w:r w:rsidRPr="006A6712">
        <w:rPr>
          <w:rFonts w:ascii="Cambria" w:hAnsi="Cambria"/>
          <w:i/>
          <w:vertAlign w:val="superscript"/>
          <w:lang w:val="fr-BE"/>
        </w:rPr>
        <w:t>e</w:t>
      </w:r>
      <w:r w:rsidRPr="006A6712">
        <w:rPr>
          <w:rFonts w:ascii="Cambria" w:hAnsi="Cambria"/>
          <w:i/>
          <w:lang w:val="fr-BE"/>
        </w:rPr>
        <w:t xml:space="preserve"> colloque international d’Études humanistes de Tours</w:t>
      </w:r>
      <w:r w:rsidRPr="006A6712">
        <w:rPr>
          <w:rFonts w:ascii="Cambria" w:hAnsi="Cambria"/>
          <w:lang w:val="fr-BE"/>
        </w:rPr>
        <w:t>, Paris, 1988, p. 305-322.</w:t>
      </w:r>
    </w:p>
  </w:footnote>
  <w:footnote w:id="3">
    <w:p w14:paraId="215454C6" w14:textId="59970DD6" w:rsidR="0011538B" w:rsidRPr="006A6712" w:rsidRDefault="0011538B">
      <w:pPr>
        <w:pStyle w:val="Notedebasdepage"/>
        <w:rPr>
          <w:rFonts w:ascii="Cambria" w:hAnsi="Cambria"/>
          <w:lang w:val="nl-NL"/>
        </w:rPr>
      </w:pPr>
      <w:r w:rsidRPr="006A6712">
        <w:rPr>
          <w:rStyle w:val="Marquenotebasdepage"/>
          <w:rFonts w:ascii="Cambria" w:hAnsi="Cambria"/>
        </w:rPr>
        <w:footnoteRef/>
      </w:r>
      <w:r w:rsidRPr="006A6712">
        <w:rPr>
          <w:rFonts w:ascii="Cambria" w:hAnsi="Cambria"/>
        </w:rPr>
        <w:t xml:space="preserve"> </w:t>
      </w:r>
      <w:hyperlink r:id="rId2" w:history="1">
        <w:r w:rsidRPr="006A6712">
          <w:rPr>
            <w:rStyle w:val="Lienhypertexte"/>
            <w:rFonts w:ascii="Cambria" w:hAnsi="Cambria"/>
            <w:lang w:val="nl-NL"/>
          </w:rPr>
          <w:t>www.</w:t>
        </w:r>
        <w:r w:rsidRPr="006A6712">
          <w:rPr>
            <w:rStyle w:val="Lienhypertexte"/>
            <w:rFonts w:ascii="Cambria" w:hAnsi="Cambria"/>
          </w:rPr>
          <w:t>g</w:t>
        </w:r>
        <w:r w:rsidRPr="006A6712">
          <w:rPr>
            <w:rStyle w:val="Lienhypertexte"/>
            <w:rFonts w:ascii="Cambria" w:hAnsi="Cambria"/>
            <w:lang w:val="nl-NL"/>
          </w:rPr>
          <w:t>esamtkatalogderwiegendrucke.de</w:t>
        </w:r>
      </w:hyperlink>
      <w:r w:rsidRPr="006A6712">
        <w:rPr>
          <w:rFonts w:ascii="Cambria" w:hAnsi="Cambria"/>
          <w:lang w:val="nl-NL"/>
        </w:rPr>
        <w:t xml:space="preserve"> et </w:t>
      </w:r>
      <w:hyperlink r:id="rId3" w:history="1">
        <w:r w:rsidRPr="006A6712">
          <w:rPr>
            <w:rStyle w:val="Lienhypertexte"/>
            <w:rFonts w:ascii="Cambria" w:hAnsi="Cambria"/>
            <w:lang w:val="nl-NL"/>
          </w:rPr>
          <w:t>www.bl.uk/</w:t>
        </w:r>
        <w:proofErr w:type="spellStart"/>
        <w:r w:rsidRPr="006A6712">
          <w:rPr>
            <w:rStyle w:val="Lienhypertexte"/>
            <w:rFonts w:ascii="Cambria" w:hAnsi="Cambria"/>
            <w:lang w:val="nl-NL"/>
          </w:rPr>
          <w:t>catalogue</w:t>
        </w:r>
        <w:proofErr w:type="spellEnd"/>
        <w:r w:rsidRPr="006A6712">
          <w:rPr>
            <w:rStyle w:val="Lienhypertexte"/>
            <w:rFonts w:ascii="Cambria" w:hAnsi="Cambria"/>
            <w:lang w:val="nl-NL"/>
          </w:rPr>
          <w:t>/</w:t>
        </w:r>
        <w:proofErr w:type="spellStart"/>
        <w:r w:rsidRPr="006A6712">
          <w:rPr>
            <w:rStyle w:val="Lienhypertexte"/>
            <w:rFonts w:ascii="Cambria" w:hAnsi="Cambria"/>
            <w:lang w:val="nl-NL"/>
          </w:rPr>
          <w:t>istc</w:t>
        </w:r>
        <w:proofErr w:type="spellEnd"/>
      </w:hyperlink>
      <w:r w:rsidRPr="006A6712">
        <w:rPr>
          <w:rFonts w:ascii="Cambria" w:hAnsi="Cambria"/>
          <w:lang w:val="nl-NL"/>
        </w:rPr>
        <w:t xml:space="preserve">. </w:t>
      </w:r>
    </w:p>
  </w:footnote>
  <w:footnote w:id="4">
    <w:p w14:paraId="2E2AB91B" w14:textId="69F13B3C" w:rsidR="0011538B" w:rsidRPr="006A6712" w:rsidRDefault="0011538B">
      <w:pPr>
        <w:pStyle w:val="Notedebasdepage"/>
        <w:rPr>
          <w:rFonts w:ascii="Cambria" w:hAnsi="Cambria"/>
          <w:lang w:val="nl-NL"/>
        </w:rPr>
      </w:pPr>
      <w:r w:rsidRPr="006A6712">
        <w:rPr>
          <w:rStyle w:val="Marquenotebasdepage"/>
          <w:rFonts w:ascii="Cambria" w:hAnsi="Cambria"/>
        </w:rPr>
        <w:footnoteRef/>
      </w:r>
      <w:r w:rsidRPr="006A6712">
        <w:rPr>
          <w:rFonts w:ascii="Cambria" w:hAnsi="Cambria"/>
        </w:rPr>
        <w:t xml:space="preserve"> </w:t>
      </w:r>
      <w:r w:rsidRPr="006A6712">
        <w:rPr>
          <w:rFonts w:ascii="Cambria" w:hAnsi="Cambria"/>
          <w:lang w:val="en-GB"/>
        </w:rPr>
        <w:t xml:space="preserve">G. </w:t>
      </w:r>
      <w:proofErr w:type="gramStart"/>
      <w:r w:rsidRPr="006A6712">
        <w:rPr>
          <w:rFonts w:ascii="Cambria" w:hAnsi="Cambria"/>
          <w:lang w:val="en-GB"/>
        </w:rPr>
        <w:t>van</w:t>
      </w:r>
      <w:proofErr w:type="gramEnd"/>
      <w:r w:rsidRPr="006A6712">
        <w:rPr>
          <w:rFonts w:ascii="Cambria" w:hAnsi="Cambria"/>
          <w:lang w:val="en-GB"/>
        </w:rPr>
        <w:t xml:space="preserve"> </w:t>
      </w:r>
      <w:proofErr w:type="spellStart"/>
      <w:r w:rsidRPr="006A6712">
        <w:rPr>
          <w:rFonts w:ascii="Cambria" w:hAnsi="Cambria"/>
          <w:lang w:val="en-GB"/>
        </w:rPr>
        <w:t>Thienen</w:t>
      </w:r>
      <w:proofErr w:type="spellEnd"/>
      <w:r w:rsidRPr="006A6712">
        <w:rPr>
          <w:rFonts w:ascii="Cambria" w:hAnsi="Cambria"/>
          <w:lang w:val="en-GB"/>
        </w:rPr>
        <w:t xml:space="preserve">, </w:t>
      </w:r>
      <w:r w:rsidRPr="006A6712">
        <w:rPr>
          <w:rFonts w:ascii="Cambria" w:hAnsi="Cambria"/>
          <w:i/>
          <w:lang w:val="en-GB"/>
        </w:rPr>
        <w:t>Watermarks in Incunabula printed in the Low Countries</w:t>
      </w:r>
      <w:r w:rsidRPr="006A6712">
        <w:rPr>
          <w:rFonts w:ascii="Cambria" w:hAnsi="Cambria"/>
          <w:lang w:val="en-GB"/>
        </w:rPr>
        <w:t xml:space="preserve"> (</w:t>
      </w:r>
      <w:hyperlink r:id="rId4" w:history="1">
        <w:r w:rsidRPr="006A6712">
          <w:rPr>
            <w:rStyle w:val="Lienhypertexte"/>
            <w:rFonts w:ascii="Cambria" w:hAnsi="Cambria"/>
            <w:lang w:val="en-GB"/>
          </w:rPr>
          <w:t>http://watermark.kb.nl</w:t>
        </w:r>
      </w:hyperlink>
      <w:r w:rsidRPr="006A6712">
        <w:rPr>
          <w:rFonts w:ascii="Cambria" w:hAnsi="Cambria"/>
          <w:lang w:val="en-GB"/>
        </w:rPr>
        <w:t>).</w:t>
      </w:r>
    </w:p>
  </w:footnote>
  <w:footnote w:id="5">
    <w:p w14:paraId="5F7F0AC9" w14:textId="1D8A3923" w:rsidR="0011538B" w:rsidRPr="006A6712" w:rsidRDefault="0011538B">
      <w:pPr>
        <w:pStyle w:val="Notedebasdepage"/>
        <w:rPr>
          <w:rFonts w:ascii="Cambria" w:hAnsi="Cambria"/>
          <w:lang w:val="nl-NL"/>
        </w:rPr>
      </w:pPr>
      <w:r w:rsidRPr="006A6712">
        <w:rPr>
          <w:rStyle w:val="Marquenotebasdepage"/>
          <w:rFonts w:ascii="Cambria" w:hAnsi="Cambria"/>
        </w:rPr>
        <w:footnoteRef/>
      </w:r>
      <w:r w:rsidRPr="006A6712">
        <w:rPr>
          <w:rFonts w:ascii="Cambria" w:hAnsi="Cambria"/>
        </w:rPr>
        <w:t xml:space="preserve"> </w:t>
      </w:r>
      <w:r w:rsidRPr="006A6712">
        <w:rPr>
          <w:rFonts w:ascii="Cambria" w:hAnsi="Cambria"/>
          <w:lang w:val="en-GB"/>
        </w:rPr>
        <w:t xml:space="preserve">J. Goldfinch, </w:t>
      </w:r>
      <w:r w:rsidRPr="006A6712">
        <w:rPr>
          <w:rFonts w:ascii="Cambria" w:hAnsi="Cambria"/>
          <w:lang w:val="en-US"/>
        </w:rPr>
        <w:t xml:space="preserve">G. </w:t>
      </w:r>
      <w:proofErr w:type="gramStart"/>
      <w:r w:rsidRPr="006A6712">
        <w:rPr>
          <w:rFonts w:ascii="Cambria" w:hAnsi="Cambria"/>
          <w:lang w:val="en-US"/>
        </w:rPr>
        <w:t>van</w:t>
      </w:r>
      <w:proofErr w:type="gramEnd"/>
      <w:r w:rsidRPr="006A6712">
        <w:rPr>
          <w:rFonts w:ascii="Cambria" w:hAnsi="Cambria"/>
          <w:lang w:val="en-US"/>
        </w:rPr>
        <w:t xml:space="preserve"> </w:t>
      </w:r>
      <w:proofErr w:type="spellStart"/>
      <w:r w:rsidRPr="006A6712">
        <w:rPr>
          <w:rFonts w:ascii="Cambria" w:hAnsi="Cambria"/>
          <w:lang w:val="en-US"/>
        </w:rPr>
        <w:t>Th</w:t>
      </w:r>
      <w:r w:rsidRPr="006A6712">
        <w:rPr>
          <w:rFonts w:ascii="Cambria" w:hAnsi="Cambria"/>
          <w:lang w:val="en-GB"/>
        </w:rPr>
        <w:t>ienen</w:t>
      </w:r>
      <w:proofErr w:type="spellEnd"/>
      <w:r w:rsidRPr="006A6712">
        <w:rPr>
          <w:rFonts w:ascii="Cambria" w:hAnsi="Cambria"/>
          <w:lang w:val="en-GB"/>
        </w:rPr>
        <w:t xml:space="preserve">, </w:t>
      </w:r>
      <w:r w:rsidRPr="006A6712">
        <w:rPr>
          <w:rFonts w:ascii="Cambria" w:hAnsi="Cambria"/>
          <w:i/>
          <w:lang w:val="en-GB"/>
        </w:rPr>
        <w:t xml:space="preserve">Incunabula printed in Low Countries. </w:t>
      </w:r>
      <w:r w:rsidRPr="006A6712">
        <w:rPr>
          <w:rFonts w:ascii="Cambria" w:hAnsi="Cambria"/>
          <w:i/>
          <w:lang w:val="fr-BE"/>
        </w:rPr>
        <w:t>A Census</w:t>
      </w:r>
      <w:r w:rsidRPr="006A6712">
        <w:rPr>
          <w:rFonts w:ascii="Cambria" w:hAnsi="Cambria"/>
          <w:lang w:val="fr-BE"/>
        </w:rPr>
        <w:t>, La Haye – Londres, 1999.</w:t>
      </w:r>
    </w:p>
  </w:footnote>
  <w:footnote w:id="6">
    <w:p w14:paraId="2B7B007F" w14:textId="778FE748" w:rsidR="0011538B" w:rsidRPr="0011538B" w:rsidRDefault="0011538B">
      <w:pPr>
        <w:pStyle w:val="Notedebasdepage"/>
        <w:rPr>
          <w:lang w:val="nl-NL"/>
        </w:rPr>
      </w:pPr>
      <w:r>
        <w:rPr>
          <w:rStyle w:val="Marquenotebasdepage"/>
        </w:rPr>
        <w:footnoteRef/>
      </w:r>
      <w:r>
        <w:t xml:space="preserve"> </w:t>
      </w:r>
      <w:proofErr w:type="spellStart"/>
      <w:r>
        <w:rPr>
          <w:lang w:val="nl-NL"/>
        </w:rPr>
        <w:t>Il</w:t>
      </w:r>
      <w:proofErr w:type="spellEnd"/>
      <w:r>
        <w:rPr>
          <w:lang w:val="nl-NL"/>
        </w:rPr>
        <w:t xml:space="preserve"> </w:t>
      </w:r>
      <w:proofErr w:type="spellStart"/>
      <w:r>
        <w:rPr>
          <w:lang w:val="nl-NL"/>
        </w:rPr>
        <w:t>a</w:t>
      </w:r>
      <w:r w:rsidR="00D04E2C">
        <w:rPr>
          <w:lang w:val="nl-NL"/>
        </w:rPr>
        <w:t>urait</w:t>
      </w:r>
      <w:proofErr w:type="spellEnd"/>
      <w:r w:rsidR="00D04E2C">
        <w:rPr>
          <w:lang w:val="nl-NL"/>
        </w:rPr>
        <w:t xml:space="preserve"> </w:t>
      </w:r>
      <w:proofErr w:type="spellStart"/>
      <w:r w:rsidR="00D04E2C">
        <w:rPr>
          <w:lang w:val="nl-NL"/>
        </w:rPr>
        <w:t>été</w:t>
      </w:r>
      <w:proofErr w:type="spellEnd"/>
      <w:r w:rsidR="00D04E2C">
        <w:rPr>
          <w:lang w:val="nl-NL"/>
        </w:rPr>
        <w:t xml:space="preserve"> </w:t>
      </w:r>
      <w:proofErr w:type="spellStart"/>
      <w:r w:rsidR="00D04E2C">
        <w:rPr>
          <w:lang w:val="nl-NL"/>
        </w:rPr>
        <w:t>intéressant</w:t>
      </w:r>
      <w:proofErr w:type="spellEnd"/>
      <w:r w:rsidR="00D04E2C">
        <w:rPr>
          <w:lang w:val="nl-NL"/>
        </w:rPr>
        <w:t xml:space="preserve"> </w:t>
      </w:r>
      <w:proofErr w:type="spellStart"/>
      <w:r w:rsidR="00D04E2C">
        <w:rPr>
          <w:lang w:val="nl-NL"/>
        </w:rPr>
        <w:t>d’intégre</w:t>
      </w:r>
      <w:r>
        <w:rPr>
          <w:lang w:val="nl-NL"/>
        </w:rPr>
        <w:t>r</w:t>
      </w:r>
      <w:proofErr w:type="spellEnd"/>
      <w:r>
        <w:rPr>
          <w:lang w:val="nl-NL"/>
        </w:rPr>
        <w:t xml:space="preserve">, dans </w:t>
      </w:r>
      <w:proofErr w:type="spellStart"/>
      <w:r>
        <w:rPr>
          <w:lang w:val="nl-NL"/>
        </w:rPr>
        <w:t>ce</w:t>
      </w:r>
      <w:proofErr w:type="spellEnd"/>
      <w:r>
        <w:rPr>
          <w:lang w:val="nl-NL"/>
        </w:rPr>
        <w:t xml:space="preserve"> </w:t>
      </w:r>
      <w:proofErr w:type="spellStart"/>
      <w:r>
        <w:rPr>
          <w:lang w:val="nl-NL"/>
        </w:rPr>
        <w:t>chapitre</w:t>
      </w:r>
      <w:proofErr w:type="spellEnd"/>
      <w:r>
        <w:rPr>
          <w:lang w:val="nl-NL"/>
        </w:rPr>
        <w:t xml:space="preserve"> </w:t>
      </w:r>
      <w:proofErr w:type="spellStart"/>
      <w:r>
        <w:rPr>
          <w:lang w:val="nl-NL"/>
        </w:rPr>
        <w:t>prometteur</w:t>
      </w:r>
      <w:proofErr w:type="spellEnd"/>
      <w:r>
        <w:rPr>
          <w:lang w:val="nl-NL"/>
        </w:rPr>
        <w:t xml:space="preserve">, </w:t>
      </w:r>
      <w:proofErr w:type="spellStart"/>
      <w:r>
        <w:rPr>
          <w:lang w:val="nl-NL"/>
        </w:rPr>
        <w:t>quelques</w:t>
      </w:r>
      <w:proofErr w:type="spellEnd"/>
      <w:r>
        <w:rPr>
          <w:lang w:val="nl-NL"/>
        </w:rPr>
        <w:t xml:space="preserve"> remarques </w:t>
      </w:r>
      <w:proofErr w:type="spellStart"/>
      <w:r>
        <w:rPr>
          <w:lang w:val="nl-NL"/>
        </w:rPr>
        <w:t>sur</w:t>
      </w:r>
      <w:proofErr w:type="spellEnd"/>
      <w:r>
        <w:rPr>
          <w:lang w:val="nl-NL"/>
        </w:rPr>
        <w:t xml:space="preserve"> les formules </w:t>
      </w:r>
      <w:proofErr w:type="spellStart"/>
      <w:r>
        <w:rPr>
          <w:lang w:val="nl-NL"/>
        </w:rPr>
        <w:t>employées</w:t>
      </w:r>
      <w:proofErr w:type="spellEnd"/>
      <w:r>
        <w:rPr>
          <w:lang w:val="nl-NL"/>
        </w:rPr>
        <w:t xml:space="preserve"> par les </w:t>
      </w:r>
      <w:proofErr w:type="spellStart"/>
      <w:r>
        <w:rPr>
          <w:lang w:val="nl-NL"/>
        </w:rPr>
        <w:t>imprimeurs</w:t>
      </w:r>
      <w:proofErr w:type="spellEnd"/>
      <w:r>
        <w:rPr>
          <w:lang w:val="nl-NL"/>
        </w:rPr>
        <w:t xml:space="preserve"> dans </w:t>
      </w:r>
      <w:proofErr w:type="spellStart"/>
      <w:r>
        <w:rPr>
          <w:lang w:val="nl-NL"/>
        </w:rPr>
        <w:t>leurs</w:t>
      </w:r>
      <w:proofErr w:type="spellEnd"/>
      <w:r>
        <w:rPr>
          <w:lang w:val="nl-NL"/>
        </w:rPr>
        <w:t xml:space="preserve"> </w:t>
      </w:r>
      <w:proofErr w:type="spellStart"/>
      <w:r>
        <w:rPr>
          <w:lang w:val="nl-NL"/>
        </w:rPr>
        <w:t>colophons</w:t>
      </w:r>
      <w:proofErr w:type="spellEnd"/>
      <w:r>
        <w:rPr>
          <w:lang w:val="nl-NL"/>
        </w:rPr>
        <w:t xml:space="preserve"> </w:t>
      </w:r>
      <w:proofErr w:type="spellStart"/>
      <w:r>
        <w:rPr>
          <w:lang w:val="nl-NL"/>
        </w:rPr>
        <w:t>ou</w:t>
      </w:r>
      <w:proofErr w:type="spellEnd"/>
      <w:r>
        <w:rPr>
          <w:lang w:val="nl-NL"/>
        </w:rPr>
        <w:t xml:space="preserve">, </w:t>
      </w:r>
      <w:proofErr w:type="spellStart"/>
      <w:r>
        <w:rPr>
          <w:lang w:val="nl-NL"/>
        </w:rPr>
        <w:t>tout</w:t>
      </w:r>
      <w:proofErr w:type="spellEnd"/>
      <w:r>
        <w:rPr>
          <w:lang w:val="nl-NL"/>
        </w:rPr>
        <w:t xml:space="preserve"> du </w:t>
      </w:r>
      <w:proofErr w:type="spellStart"/>
      <w:r>
        <w:rPr>
          <w:lang w:val="nl-NL"/>
        </w:rPr>
        <w:t>moins</w:t>
      </w:r>
      <w:proofErr w:type="spellEnd"/>
      <w:r>
        <w:rPr>
          <w:lang w:val="nl-NL"/>
        </w:rPr>
        <w:t xml:space="preserve">, </w:t>
      </w:r>
      <w:proofErr w:type="spellStart"/>
      <w:r>
        <w:rPr>
          <w:lang w:val="nl-NL"/>
        </w:rPr>
        <w:t>lancer</w:t>
      </w:r>
      <w:proofErr w:type="spellEnd"/>
      <w:r>
        <w:rPr>
          <w:lang w:val="nl-NL"/>
        </w:rPr>
        <w:t xml:space="preserve"> </w:t>
      </w:r>
      <w:proofErr w:type="spellStart"/>
      <w:r>
        <w:rPr>
          <w:lang w:val="nl-NL"/>
        </w:rPr>
        <w:t>quelques</w:t>
      </w:r>
      <w:proofErr w:type="spellEnd"/>
      <w:r>
        <w:rPr>
          <w:lang w:val="nl-NL"/>
        </w:rPr>
        <w:t xml:space="preserve"> pistes. </w:t>
      </w:r>
      <w:proofErr w:type="spellStart"/>
      <w:r>
        <w:rPr>
          <w:lang w:val="nl-NL"/>
        </w:rPr>
        <w:t>D’autant</w:t>
      </w:r>
      <w:proofErr w:type="spellEnd"/>
      <w:r>
        <w:rPr>
          <w:lang w:val="nl-NL"/>
        </w:rPr>
        <w:t xml:space="preserve"> que la </w:t>
      </w:r>
      <w:proofErr w:type="spellStart"/>
      <w:r>
        <w:rPr>
          <w:lang w:val="nl-NL"/>
        </w:rPr>
        <w:t>collection</w:t>
      </w:r>
      <w:proofErr w:type="spellEnd"/>
      <w:r>
        <w:rPr>
          <w:lang w:val="nl-NL"/>
        </w:rPr>
        <w:t xml:space="preserve"> </w:t>
      </w:r>
      <w:proofErr w:type="spellStart"/>
      <w:r>
        <w:rPr>
          <w:i/>
          <w:lang w:val="nl-NL"/>
        </w:rPr>
        <w:t>Bibliologia</w:t>
      </w:r>
      <w:proofErr w:type="spellEnd"/>
      <w:r>
        <w:rPr>
          <w:lang w:val="nl-NL"/>
        </w:rPr>
        <w:t xml:space="preserve"> a </w:t>
      </w:r>
      <w:proofErr w:type="spellStart"/>
      <w:r>
        <w:rPr>
          <w:lang w:val="nl-NL"/>
        </w:rPr>
        <w:t>accueilli</w:t>
      </w:r>
      <w:proofErr w:type="spellEnd"/>
      <w:r>
        <w:rPr>
          <w:lang w:val="nl-NL"/>
        </w:rPr>
        <w:t xml:space="preserve"> l’ouvrage de Lucien </w:t>
      </w:r>
      <w:proofErr w:type="spellStart"/>
      <w:r>
        <w:rPr>
          <w:lang w:val="nl-NL"/>
        </w:rPr>
        <w:t>Reynhout</w:t>
      </w:r>
      <w:proofErr w:type="spellEnd"/>
      <w:r>
        <w:rPr>
          <w:lang w:val="nl-NL"/>
        </w:rPr>
        <w:t xml:space="preserve"> </w:t>
      </w:r>
      <w:proofErr w:type="spellStart"/>
      <w:r>
        <w:rPr>
          <w:lang w:val="nl-NL"/>
        </w:rPr>
        <w:t>dédié</w:t>
      </w:r>
      <w:proofErr w:type="spellEnd"/>
      <w:r>
        <w:rPr>
          <w:lang w:val="nl-NL"/>
        </w:rPr>
        <w:t xml:space="preserve"> </w:t>
      </w:r>
      <w:proofErr w:type="spellStart"/>
      <w:r>
        <w:rPr>
          <w:lang w:val="nl-NL"/>
        </w:rPr>
        <w:t>aux</w:t>
      </w:r>
      <w:proofErr w:type="spellEnd"/>
      <w:r>
        <w:rPr>
          <w:lang w:val="nl-NL"/>
        </w:rPr>
        <w:t xml:space="preserve"> </w:t>
      </w:r>
      <w:proofErr w:type="spellStart"/>
      <w:r>
        <w:rPr>
          <w:lang w:val="nl-NL"/>
        </w:rPr>
        <w:t>formulaires</w:t>
      </w:r>
      <w:proofErr w:type="spellEnd"/>
      <w:r>
        <w:rPr>
          <w:lang w:val="nl-NL"/>
        </w:rPr>
        <w:t xml:space="preserve"> de </w:t>
      </w:r>
      <w:proofErr w:type="spellStart"/>
      <w:r>
        <w:rPr>
          <w:lang w:val="nl-NL"/>
        </w:rPr>
        <w:t>colophons</w:t>
      </w:r>
      <w:proofErr w:type="spellEnd"/>
      <w:r>
        <w:rPr>
          <w:lang w:val="nl-NL"/>
        </w:rPr>
        <w:t xml:space="preserve"> de </w:t>
      </w:r>
      <w:proofErr w:type="spellStart"/>
      <w:r>
        <w:rPr>
          <w:lang w:val="nl-NL"/>
        </w:rPr>
        <w:t>manuscrits</w:t>
      </w:r>
      <w:proofErr w:type="spellEnd"/>
      <w:r>
        <w:rPr>
          <w:lang w:val="nl-NL"/>
        </w:rPr>
        <w:t xml:space="preserve"> : L. </w:t>
      </w:r>
      <w:proofErr w:type="spellStart"/>
      <w:r>
        <w:rPr>
          <w:lang w:val="nl-NL"/>
        </w:rPr>
        <w:t>Reynhout</w:t>
      </w:r>
      <w:proofErr w:type="spellEnd"/>
      <w:r>
        <w:rPr>
          <w:lang w:val="nl-NL"/>
        </w:rPr>
        <w:t xml:space="preserve">, </w:t>
      </w:r>
      <w:proofErr w:type="spellStart"/>
      <w:r>
        <w:rPr>
          <w:i/>
          <w:lang w:val="nl-NL"/>
        </w:rPr>
        <w:t>Forumules</w:t>
      </w:r>
      <w:proofErr w:type="spellEnd"/>
      <w:r>
        <w:rPr>
          <w:i/>
          <w:lang w:val="nl-NL"/>
        </w:rPr>
        <w:t xml:space="preserve"> </w:t>
      </w:r>
      <w:proofErr w:type="spellStart"/>
      <w:r>
        <w:rPr>
          <w:i/>
          <w:lang w:val="nl-NL"/>
        </w:rPr>
        <w:t>latines</w:t>
      </w:r>
      <w:proofErr w:type="spellEnd"/>
      <w:r>
        <w:rPr>
          <w:i/>
          <w:lang w:val="nl-NL"/>
        </w:rPr>
        <w:t xml:space="preserve"> de </w:t>
      </w:r>
      <w:proofErr w:type="spellStart"/>
      <w:r>
        <w:rPr>
          <w:i/>
          <w:lang w:val="nl-NL"/>
        </w:rPr>
        <w:t>colophons</w:t>
      </w:r>
      <w:proofErr w:type="spellEnd"/>
      <w:r>
        <w:rPr>
          <w:lang w:val="nl-NL"/>
        </w:rPr>
        <w:t>, 2 t., Turnhout, 2006 (</w:t>
      </w:r>
      <w:proofErr w:type="spellStart"/>
      <w:r>
        <w:rPr>
          <w:i/>
          <w:lang w:val="nl-NL"/>
        </w:rPr>
        <w:t>Bibliologia</w:t>
      </w:r>
      <w:proofErr w:type="spellEnd"/>
      <w:r>
        <w:rPr>
          <w:i/>
          <w:lang w:val="nl-NL"/>
        </w:rPr>
        <w:t xml:space="preserve">. </w:t>
      </w:r>
      <w:proofErr w:type="spellStart"/>
      <w:r>
        <w:rPr>
          <w:i/>
          <w:lang w:val="nl-NL"/>
        </w:rPr>
        <w:t>Elementa</w:t>
      </w:r>
      <w:proofErr w:type="spellEnd"/>
      <w:r>
        <w:rPr>
          <w:i/>
          <w:lang w:val="nl-NL"/>
        </w:rPr>
        <w:t xml:space="preserve"> ad </w:t>
      </w:r>
      <w:proofErr w:type="spellStart"/>
      <w:r>
        <w:rPr>
          <w:i/>
          <w:lang w:val="nl-NL"/>
        </w:rPr>
        <w:t>librorum</w:t>
      </w:r>
      <w:proofErr w:type="spellEnd"/>
      <w:r>
        <w:rPr>
          <w:i/>
          <w:lang w:val="nl-NL"/>
        </w:rPr>
        <w:t xml:space="preserve"> </w:t>
      </w:r>
      <w:proofErr w:type="spellStart"/>
      <w:r>
        <w:rPr>
          <w:i/>
          <w:lang w:val="nl-NL"/>
        </w:rPr>
        <w:t>studia</w:t>
      </w:r>
      <w:proofErr w:type="spellEnd"/>
      <w:r>
        <w:rPr>
          <w:i/>
          <w:lang w:val="nl-NL"/>
        </w:rPr>
        <w:t xml:space="preserve"> </w:t>
      </w:r>
      <w:proofErr w:type="spellStart"/>
      <w:r>
        <w:rPr>
          <w:i/>
          <w:lang w:val="nl-NL"/>
        </w:rPr>
        <w:t>pertinentia</w:t>
      </w:r>
      <w:proofErr w:type="spellEnd"/>
      <w:r>
        <w:rPr>
          <w:lang w:val="nl-NL"/>
        </w:rPr>
        <w:t>,</w:t>
      </w:r>
      <w:r>
        <w:rPr>
          <w:i/>
          <w:lang w:val="nl-NL"/>
        </w:rPr>
        <w:t xml:space="preserve"> 25</w:t>
      </w:r>
      <w:r>
        <w:rPr>
          <w:lang w:val="nl-NL"/>
        </w:rPr>
        <w:t>).</w:t>
      </w:r>
    </w:p>
  </w:footnote>
  <w:footnote w:id="7">
    <w:p w14:paraId="6CAFF03F" w14:textId="0FB8E6BF" w:rsidR="0011538B" w:rsidRPr="006A6712" w:rsidRDefault="0011538B">
      <w:pPr>
        <w:pStyle w:val="Notedebasdepage"/>
        <w:rPr>
          <w:rFonts w:ascii="Cambria" w:hAnsi="Cambria"/>
        </w:rPr>
      </w:pPr>
      <w:r w:rsidRPr="006A6712">
        <w:rPr>
          <w:rStyle w:val="Marquenotebasdepage"/>
          <w:rFonts w:ascii="Cambria" w:hAnsi="Cambria"/>
        </w:rPr>
        <w:footnoteRef/>
      </w:r>
      <w:r w:rsidRPr="006A6712">
        <w:rPr>
          <w:rFonts w:ascii="Cambria" w:hAnsi="Cambria"/>
        </w:rPr>
        <w:t xml:space="preserve"> </w:t>
      </w:r>
      <w:r w:rsidRPr="006A6712">
        <w:rPr>
          <w:rFonts w:ascii="Cambria" w:hAnsi="Cambria"/>
          <w:lang w:val="nl-NL"/>
        </w:rPr>
        <w:t xml:space="preserve">W. Nijhoff, M. E. Kronenberg, </w:t>
      </w:r>
      <w:r w:rsidRPr="006A6712">
        <w:rPr>
          <w:rFonts w:ascii="Cambria" w:hAnsi="Cambria"/>
          <w:i/>
          <w:iCs/>
          <w:lang w:val="nl-BE"/>
        </w:rPr>
        <w:t>van 1500 tot 1540</w:t>
      </w:r>
      <w:r w:rsidRPr="006A6712">
        <w:rPr>
          <w:rFonts w:ascii="Cambria" w:hAnsi="Cambria"/>
          <w:lang w:val="nl-NL"/>
        </w:rPr>
        <w:t>, 3 t., La Haye, 1923-1971</w:t>
      </w:r>
      <w:r>
        <w:rPr>
          <w:rFonts w:ascii="Cambria" w:hAnsi="Cambria"/>
          <w:lang w:val="nl-NL"/>
        </w:rPr>
        <w:t> </w:t>
      </w:r>
      <w:r w:rsidRPr="006A6712">
        <w:rPr>
          <w:rFonts w:ascii="Cambria" w:hAnsi="Cambria"/>
          <w:lang w:val="nl-NL"/>
        </w:rPr>
        <w:t xml:space="preserve">; </w:t>
      </w:r>
      <w:r w:rsidRPr="006A6712">
        <w:rPr>
          <w:rFonts w:ascii="Cambria" w:hAnsi="Cambria"/>
          <w:smallCaps/>
          <w:lang w:val="en-US"/>
        </w:rPr>
        <w:t xml:space="preserve">A. </w:t>
      </w:r>
      <w:proofErr w:type="spellStart"/>
      <w:r w:rsidRPr="00E30EE9">
        <w:rPr>
          <w:rFonts w:ascii="Cambria" w:hAnsi="Cambria"/>
          <w:lang w:val="en-US"/>
        </w:rPr>
        <w:t>Petteg</w:t>
      </w:r>
      <w:bookmarkStart w:id="0" w:name="_GoBack"/>
      <w:bookmarkEnd w:id="0"/>
      <w:r w:rsidRPr="00E30EE9">
        <w:rPr>
          <w:rFonts w:ascii="Cambria" w:hAnsi="Cambria"/>
          <w:lang w:val="en-US"/>
        </w:rPr>
        <w:t>ree</w:t>
      </w:r>
      <w:proofErr w:type="spellEnd"/>
      <w:r w:rsidRPr="00E30EE9">
        <w:rPr>
          <w:rFonts w:ascii="Cambria" w:hAnsi="Cambria"/>
          <w:lang w:val="en-US"/>
        </w:rPr>
        <w:t xml:space="preserve">, M. </w:t>
      </w:r>
      <w:proofErr w:type="spellStart"/>
      <w:r w:rsidRPr="00E30EE9">
        <w:rPr>
          <w:rFonts w:ascii="Cambria" w:hAnsi="Cambria"/>
          <w:lang w:val="en-US"/>
        </w:rPr>
        <w:t>Walsby</w:t>
      </w:r>
      <w:proofErr w:type="spellEnd"/>
      <w:r w:rsidRPr="00E30EE9">
        <w:rPr>
          <w:rFonts w:ascii="Cambria" w:hAnsi="Cambria"/>
          <w:lang w:val="en-US"/>
        </w:rPr>
        <w:t xml:space="preserve"> (</w:t>
      </w:r>
      <w:proofErr w:type="spellStart"/>
      <w:r w:rsidRPr="00E30EE9">
        <w:rPr>
          <w:rFonts w:ascii="Cambria" w:hAnsi="Cambria"/>
          <w:lang w:val="en-US"/>
        </w:rPr>
        <w:t>éds</w:t>
      </w:r>
      <w:proofErr w:type="spellEnd"/>
      <w:r w:rsidRPr="00E30EE9">
        <w:rPr>
          <w:rFonts w:ascii="Cambria" w:hAnsi="Cambria"/>
          <w:lang w:val="en-US"/>
        </w:rPr>
        <w:t xml:space="preserve">), </w:t>
      </w:r>
      <w:proofErr w:type="spellStart"/>
      <w:r w:rsidRPr="00E30EE9">
        <w:rPr>
          <w:rFonts w:ascii="Cambria" w:hAnsi="Cambria"/>
          <w:i/>
          <w:lang w:val="en-US"/>
        </w:rPr>
        <w:t>Netherlandish</w:t>
      </w:r>
      <w:proofErr w:type="spellEnd"/>
      <w:r w:rsidRPr="00E30EE9">
        <w:rPr>
          <w:rFonts w:ascii="Cambria" w:hAnsi="Cambria"/>
          <w:i/>
          <w:lang w:val="en-US"/>
        </w:rPr>
        <w:t xml:space="preserve"> Books. </w:t>
      </w:r>
      <w:proofErr w:type="gramStart"/>
      <w:r w:rsidRPr="00E30EE9">
        <w:rPr>
          <w:rFonts w:ascii="Cambria" w:hAnsi="Cambria"/>
          <w:i/>
          <w:lang w:val="en-US"/>
        </w:rPr>
        <w:t>Books Published in the Low Countries and Dutch Books Printed Abroad Before</w:t>
      </w:r>
      <w:r w:rsidRPr="006A6712">
        <w:rPr>
          <w:rFonts w:ascii="Cambria" w:hAnsi="Cambria"/>
          <w:i/>
          <w:lang w:val="en-US"/>
        </w:rPr>
        <w:t xml:space="preserve"> 1601</w:t>
      </w:r>
      <w:r w:rsidRPr="006A6712">
        <w:rPr>
          <w:rFonts w:ascii="Cambria" w:hAnsi="Cambria"/>
          <w:lang w:val="en-US"/>
        </w:rPr>
        <w:t xml:space="preserve">, 2 t., </w:t>
      </w:r>
      <w:proofErr w:type="spellStart"/>
      <w:r w:rsidRPr="006A6712">
        <w:rPr>
          <w:rFonts w:ascii="Cambria" w:hAnsi="Cambria"/>
          <w:lang w:val="en-US"/>
        </w:rPr>
        <w:t>Leyde</w:t>
      </w:r>
      <w:proofErr w:type="spellEnd"/>
      <w:r w:rsidRPr="006A6712">
        <w:rPr>
          <w:rFonts w:ascii="Cambria" w:hAnsi="Cambria"/>
          <w:lang w:val="en-US"/>
        </w:rPr>
        <w:t>, 2011</w:t>
      </w:r>
      <w:r>
        <w:rPr>
          <w:rFonts w:ascii="Cambria" w:hAnsi="Cambria"/>
          <w:lang w:val="en-US"/>
        </w:rPr>
        <w:t>.</w:t>
      </w:r>
      <w:proofErr w:type="gramEnd"/>
      <w:r>
        <w:rPr>
          <w:rFonts w:ascii="Cambria" w:hAnsi="Cambria"/>
          <w:lang w:val="en-US"/>
        </w:rPr>
        <w:t xml:space="preserve"> </w:t>
      </w:r>
      <w:proofErr w:type="spellStart"/>
      <w:r>
        <w:rPr>
          <w:rFonts w:ascii="Cambria" w:hAnsi="Cambria"/>
          <w:lang w:val="en-US"/>
        </w:rPr>
        <w:t>L’ouvrage</w:t>
      </w:r>
      <w:proofErr w:type="spellEnd"/>
      <w:r>
        <w:rPr>
          <w:rFonts w:ascii="Cambria" w:hAnsi="Cambria"/>
          <w:lang w:val="en-US"/>
        </w:rPr>
        <w:t xml:space="preserve"> du Prof. </w:t>
      </w:r>
      <w:proofErr w:type="spellStart"/>
      <w:r>
        <w:rPr>
          <w:rFonts w:ascii="Cambria" w:hAnsi="Cambria"/>
          <w:lang w:val="en-US"/>
        </w:rPr>
        <w:t>Pettegree</w:t>
      </w:r>
      <w:proofErr w:type="spellEnd"/>
      <w:r>
        <w:rPr>
          <w:rFonts w:ascii="Cambria" w:hAnsi="Cambria"/>
          <w:lang w:val="en-US"/>
        </w:rPr>
        <w:t xml:space="preserve"> a certes </w:t>
      </w:r>
      <w:proofErr w:type="spellStart"/>
      <w:r>
        <w:rPr>
          <w:rFonts w:ascii="Cambria" w:hAnsi="Cambria"/>
          <w:lang w:val="en-US"/>
        </w:rPr>
        <w:t>été</w:t>
      </w:r>
      <w:proofErr w:type="spellEnd"/>
      <w:r>
        <w:rPr>
          <w:rFonts w:ascii="Cambria" w:hAnsi="Cambria"/>
          <w:lang w:val="en-US"/>
        </w:rPr>
        <w:t xml:space="preserve"> </w:t>
      </w:r>
      <w:proofErr w:type="spellStart"/>
      <w:r>
        <w:rPr>
          <w:rFonts w:ascii="Cambria" w:hAnsi="Cambria"/>
          <w:lang w:val="en-US"/>
        </w:rPr>
        <w:t>publié</w:t>
      </w:r>
      <w:proofErr w:type="spellEnd"/>
      <w:r>
        <w:rPr>
          <w:rFonts w:ascii="Cambria" w:hAnsi="Cambria"/>
          <w:lang w:val="en-US"/>
        </w:rPr>
        <w:t xml:space="preserve"> en 2011, trop </w:t>
      </w:r>
      <w:proofErr w:type="spellStart"/>
      <w:r>
        <w:rPr>
          <w:rFonts w:ascii="Cambria" w:hAnsi="Cambria"/>
          <w:lang w:val="en-US"/>
        </w:rPr>
        <w:t>tardivement</w:t>
      </w:r>
      <w:proofErr w:type="spellEnd"/>
      <w:r>
        <w:rPr>
          <w:rFonts w:ascii="Cambria" w:hAnsi="Cambria"/>
          <w:lang w:val="en-US"/>
        </w:rPr>
        <w:t xml:space="preserve"> pour </w:t>
      </w:r>
      <w:proofErr w:type="spellStart"/>
      <w:r>
        <w:rPr>
          <w:rFonts w:ascii="Cambria" w:hAnsi="Cambria"/>
          <w:lang w:val="en-US"/>
        </w:rPr>
        <w:t>pouvoir</w:t>
      </w:r>
      <w:proofErr w:type="spellEnd"/>
      <w:r>
        <w:rPr>
          <w:rFonts w:ascii="Cambria" w:hAnsi="Cambria"/>
          <w:lang w:val="en-US"/>
        </w:rPr>
        <w:t xml:space="preserve"> </w:t>
      </w:r>
      <w:proofErr w:type="spellStart"/>
      <w:r>
        <w:rPr>
          <w:rFonts w:ascii="Cambria" w:hAnsi="Cambria"/>
          <w:lang w:val="en-US"/>
        </w:rPr>
        <w:t>être</w:t>
      </w:r>
      <w:proofErr w:type="spellEnd"/>
      <w:r>
        <w:rPr>
          <w:rFonts w:ascii="Cambria" w:hAnsi="Cambria"/>
          <w:lang w:val="en-US"/>
        </w:rPr>
        <w:t xml:space="preserve"> </w:t>
      </w:r>
      <w:proofErr w:type="spellStart"/>
      <w:r>
        <w:rPr>
          <w:rFonts w:ascii="Cambria" w:hAnsi="Cambria"/>
          <w:lang w:val="en-US"/>
        </w:rPr>
        <w:t>utilisé</w:t>
      </w:r>
      <w:proofErr w:type="spellEnd"/>
      <w:r>
        <w:rPr>
          <w:rFonts w:ascii="Cambria" w:hAnsi="Cambria"/>
          <w:lang w:val="en-US"/>
        </w:rPr>
        <w:t xml:space="preserve"> </w:t>
      </w:r>
      <w:proofErr w:type="spellStart"/>
      <w:r>
        <w:rPr>
          <w:rFonts w:ascii="Cambria" w:hAnsi="Cambria"/>
          <w:lang w:val="en-US"/>
        </w:rPr>
        <w:t>lors</w:t>
      </w:r>
      <w:proofErr w:type="spellEnd"/>
      <w:r>
        <w:rPr>
          <w:rFonts w:ascii="Cambria" w:hAnsi="Cambria"/>
          <w:lang w:val="en-US"/>
        </w:rPr>
        <w:t xml:space="preserve"> de la construction de la base de </w:t>
      </w:r>
      <w:proofErr w:type="spellStart"/>
      <w:r>
        <w:rPr>
          <w:rFonts w:ascii="Cambria" w:hAnsi="Cambria"/>
          <w:lang w:val="en-US"/>
        </w:rPr>
        <w:t>données</w:t>
      </w:r>
      <w:proofErr w:type="spellEnd"/>
      <w:r>
        <w:rPr>
          <w:rFonts w:ascii="Cambria" w:hAnsi="Cambria"/>
          <w:lang w:val="en-US"/>
        </w:rPr>
        <w:t xml:space="preserve"> par les auteurs, </w:t>
      </w:r>
      <w:proofErr w:type="spellStart"/>
      <w:r>
        <w:rPr>
          <w:rFonts w:ascii="Cambria" w:hAnsi="Cambria"/>
          <w:lang w:val="en-US"/>
        </w:rPr>
        <w:t>mais</w:t>
      </w:r>
      <w:proofErr w:type="spellEnd"/>
      <w:r>
        <w:rPr>
          <w:rFonts w:ascii="Cambria" w:hAnsi="Cambria"/>
          <w:lang w:val="en-US"/>
        </w:rPr>
        <w:t xml:space="preserve"> les </w:t>
      </w:r>
      <w:proofErr w:type="spellStart"/>
      <w:r>
        <w:rPr>
          <w:rFonts w:ascii="Cambria" w:hAnsi="Cambria"/>
          <w:lang w:val="en-US"/>
        </w:rPr>
        <w:t>données</w:t>
      </w:r>
      <w:proofErr w:type="spellEnd"/>
      <w:r>
        <w:rPr>
          <w:rFonts w:ascii="Cambria" w:hAnsi="Cambria"/>
          <w:lang w:val="en-US"/>
        </w:rPr>
        <w:t xml:space="preserve"> </w:t>
      </w:r>
      <w:proofErr w:type="spellStart"/>
      <w:r>
        <w:rPr>
          <w:rFonts w:ascii="Cambria" w:hAnsi="Cambria"/>
          <w:lang w:val="en-US"/>
        </w:rPr>
        <w:t>étaient</w:t>
      </w:r>
      <w:proofErr w:type="spellEnd"/>
      <w:r>
        <w:rPr>
          <w:rFonts w:ascii="Cambria" w:hAnsi="Cambria"/>
          <w:lang w:val="en-US"/>
        </w:rPr>
        <w:t xml:space="preserve"> déjà </w:t>
      </w:r>
      <w:proofErr w:type="spellStart"/>
      <w:r>
        <w:rPr>
          <w:rFonts w:ascii="Cambria" w:hAnsi="Cambria"/>
          <w:lang w:val="en-US"/>
        </w:rPr>
        <w:t>disponibles</w:t>
      </w:r>
      <w:proofErr w:type="spellEnd"/>
      <w:r>
        <w:rPr>
          <w:rFonts w:ascii="Cambria" w:hAnsi="Cambria"/>
          <w:lang w:val="en-US"/>
        </w:rPr>
        <w:t xml:space="preserve"> en </w:t>
      </w:r>
      <w:proofErr w:type="spellStart"/>
      <w:r>
        <w:rPr>
          <w:rFonts w:ascii="Cambria" w:hAnsi="Cambria"/>
          <w:lang w:val="en-US"/>
        </w:rPr>
        <w:t>ligne</w:t>
      </w:r>
      <w:proofErr w:type="spellEnd"/>
      <w:r>
        <w:rPr>
          <w:rFonts w:ascii="Cambria" w:hAnsi="Cambria"/>
          <w:lang w:val="en-US"/>
        </w:rPr>
        <w:t xml:space="preserve"> </w:t>
      </w:r>
      <w:proofErr w:type="spellStart"/>
      <w:r>
        <w:rPr>
          <w:rFonts w:ascii="Cambria" w:hAnsi="Cambria"/>
          <w:lang w:val="en-US"/>
        </w:rPr>
        <w:t>sur</w:t>
      </w:r>
      <w:proofErr w:type="spellEnd"/>
      <w:r>
        <w:rPr>
          <w:rFonts w:ascii="Cambria" w:hAnsi="Cambria"/>
          <w:lang w:val="en-US"/>
        </w:rPr>
        <w:t xml:space="preserve"> le site de </w:t>
      </w:r>
      <w:proofErr w:type="spellStart"/>
      <w:r>
        <w:rPr>
          <w:rFonts w:ascii="Cambria" w:hAnsi="Cambria"/>
          <w:lang w:val="en-US"/>
        </w:rPr>
        <w:t>l’</w:t>
      </w:r>
      <w:r w:rsidRPr="006A6712">
        <w:rPr>
          <w:rFonts w:ascii="Cambria" w:hAnsi="Cambria"/>
          <w:i/>
          <w:lang w:val="en-US"/>
        </w:rPr>
        <w:t>Universal</w:t>
      </w:r>
      <w:proofErr w:type="spellEnd"/>
      <w:r w:rsidRPr="006A6712">
        <w:rPr>
          <w:rFonts w:ascii="Cambria" w:hAnsi="Cambria"/>
          <w:i/>
          <w:lang w:val="en-US"/>
        </w:rPr>
        <w:t xml:space="preserve"> Short-Title Catalogue </w:t>
      </w:r>
      <w:r>
        <w:rPr>
          <w:rFonts w:ascii="Cambria" w:hAnsi="Cambria"/>
          <w:lang w:val="en-US"/>
        </w:rPr>
        <w:t>(</w:t>
      </w:r>
      <w:r w:rsidRPr="006A6712">
        <w:rPr>
          <w:rFonts w:ascii="Cambria" w:hAnsi="Cambria"/>
          <w:lang w:val="en-US"/>
        </w:rPr>
        <w:t>http://www.ustc.ac.uk</w:t>
      </w:r>
      <w:r>
        <w:rPr>
          <w:rFonts w:ascii="Cambria" w:hAnsi="Cambria"/>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E9"/>
    <w:rsid w:val="00004E4D"/>
    <w:rsid w:val="000A6006"/>
    <w:rsid w:val="000D78C6"/>
    <w:rsid w:val="0011538B"/>
    <w:rsid w:val="002D078C"/>
    <w:rsid w:val="003128C8"/>
    <w:rsid w:val="0033315A"/>
    <w:rsid w:val="003A73E3"/>
    <w:rsid w:val="003B0AE9"/>
    <w:rsid w:val="00471BF4"/>
    <w:rsid w:val="00505E1D"/>
    <w:rsid w:val="005317BE"/>
    <w:rsid w:val="005810F6"/>
    <w:rsid w:val="005D3C9D"/>
    <w:rsid w:val="005E3F95"/>
    <w:rsid w:val="00635070"/>
    <w:rsid w:val="0067700E"/>
    <w:rsid w:val="006A6712"/>
    <w:rsid w:val="00724732"/>
    <w:rsid w:val="00780E76"/>
    <w:rsid w:val="00796E92"/>
    <w:rsid w:val="007A1624"/>
    <w:rsid w:val="007E34CD"/>
    <w:rsid w:val="008B7171"/>
    <w:rsid w:val="008F2361"/>
    <w:rsid w:val="00926F8D"/>
    <w:rsid w:val="0099624B"/>
    <w:rsid w:val="009D53BD"/>
    <w:rsid w:val="00A012F2"/>
    <w:rsid w:val="00A37CC9"/>
    <w:rsid w:val="00AA7A14"/>
    <w:rsid w:val="00AF0A14"/>
    <w:rsid w:val="00B167EA"/>
    <w:rsid w:val="00C17BC4"/>
    <w:rsid w:val="00CB310E"/>
    <w:rsid w:val="00CD2BAA"/>
    <w:rsid w:val="00D04E2C"/>
    <w:rsid w:val="00D91B5B"/>
    <w:rsid w:val="00E30EE9"/>
    <w:rsid w:val="00EC7961"/>
    <w:rsid w:val="00EC7E4D"/>
    <w:rsid w:val="00F418DC"/>
    <w:rsid w:val="00FD199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EFBE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724732"/>
    <w:pPr>
      <w:jc w:val="both"/>
    </w:pPr>
    <w:rPr>
      <w:sz w:val="20"/>
    </w:rPr>
  </w:style>
  <w:style w:type="character" w:customStyle="1" w:styleId="NotedebasdepageCar">
    <w:name w:val="Note de bas de page Car"/>
    <w:basedOn w:val="Policepardfaut"/>
    <w:link w:val="Notedebasdepage"/>
    <w:uiPriority w:val="99"/>
    <w:rsid w:val="00724732"/>
    <w:rPr>
      <w:sz w:val="20"/>
    </w:rPr>
  </w:style>
  <w:style w:type="character" w:styleId="Marquenotebasdepage">
    <w:name w:val="footnote reference"/>
    <w:basedOn w:val="Policepardfaut"/>
    <w:uiPriority w:val="99"/>
    <w:unhideWhenUsed/>
    <w:rsid w:val="008B7171"/>
    <w:rPr>
      <w:vertAlign w:val="superscript"/>
    </w:rPr>
  </w:style>
  <w:style w:type="character" w:styleId="Lienhypertexte">
    <w:name w:val="Hyperlink"/>
    <w:basedOn w:val="Policepardfaut"/>
    <w:uiPriority w:val="99"/>
    <w:unhideWhenUsed/>
    <w:rsid w:val="008B7171"/>
    <w:rPr>
      <w:color w:val="0000FF" w:themeColor="hyperlink"/>
      <w:u w:val="single"/>
    </w:rPr>
  </w:style>
  <w:style w:type="character" w:styleId="Lienhypertextesuivi">
    <w:name w:val="FollowedHyperlink"/>
    <w:basedOn w:val="Policepardfaut"/>
    <w:uiPriority w:val="99"/>
    <w:semiHidden/>
    <w:unhideWhenUsed/>
    <w:rsid w:val="005317B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724732"/>
    <w:pPr>
      <w:jc w:val="both"/>
    </w:pPr>
    <w:rPr>
      <w:sz w:val="20"/>
    </w:rPr>
  </w:style>
  <w:style w:type="character" w:customStyle="1" w:styleId="NotedebasdepageCar">
    <w:name w:val="Note de bas de page Car"/>
    <w:basedOn w:val="Policepardfaut"/>
    <w:link w:val="Notedebasdepage"/>
    <w:uiPriority w:val="99"/>
    <w:rsid w:val="00724732"/>
    <w:rPr>
      <w:sz w:val="20"/>
    </w:rPr>
  </w:style>
  <w:style w:type="character" w:styleId="Marquenotebasdepage">
    <w:name w:val="footnote reference"/>
    <w:basedOn w:val="Policepardfaut"/>
    <w:uiPriority w:val="99"/>
    <w:unhideWhenUsed/>
    <w:rsid w:val="008B7171"/>
    <w:rPr>
      <w:vertAlign w:val="superscript"/>
    </w:rPr>
  </w:style>
  <w:style w:type="character" w:styleId="Lienhypertexte">
    <w:name w:val="Hyperlink"/>
    <w:basedOn w:val="Policepardfaut"/>
    <w:uiPriority w:val="99"/>
    <w:unhideWhenUsed/>
    <w:rsid w:val="008B7171"/>
    <w:rPr>
      <w:color w:val="0000FF" w:themeColor="hyperlink"/>
      <w:u w:val="single"/>
    </w:rPr>
  </w:style>
  <w:style w:type="character" w:styleId="Lienhypertextesuivi">
    <w:name w:val="FollowedHyperlink"/>
    <w:basedOn w:val="Policepardfaut"/>
    <w:uiPriority w:val="99"/>
    <w:semiHidden/>
    <w:unhideWhenUsed/>
    <w:rsid w:val="005317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bl.uk/catalogue/istc" TargetMode="External"/><Relationship Id="rId4" Type="http://schemas.openxmlformats.org/officeDocument/2006/relationships/hyperlink" Target="http://watermark.kb.nl" TargetMode="External"/><Relationship Id="rId1" Type="http://schemas.openxmlformats.org/officeDocument/2006/relationships/hyperlink" Target="http://lamop.univ-paris1.fr/Annuaire/previsualiser.php?nom=ORNATOE" TargetMode="External"/><Relationship Id="rId2" Type="http://schemas.openxmlformats.org/officeDocument/2006/relationships/hyperlink" Target="http://www.gesamtkatalogderwiegendrucke.d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4</Pages>
  <Words>1969</Words>
  <Characters>10830</Characters>
  <Application>Microsoft Macintosh Word</Application>
  <DocSecurity>0</DocSecurity>
  <Lines>90</Lines>
  <Paragraphs>25</Paragraphs>
  <ScaleCrop>false</ScaleCrop>
  <Company>---</Company>
  <LinksUpToDate>false</LinksUpToDate>
  <CharactersWithSpaces>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12</cp:revision>
  <cp:lastPrinted>2013-10-08T13:03:00Z</cp:lastPrinted>
  <dcterms:created xsi:type="dcterms:W3CDTF">2013-10-02T13:51:00Z</dcterms:created>
  <dcterms:modified xsi:type="dcterms:W3CDTF">2013-10-08T13:26:00Z</dcterms:modified>
</cp:coreProperties>
</file>