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A7" w:rsidRPr="00072D8D" w:rsidRDefault="00AB5F07" w:rsidP="009F3886">
      <w:pPr>
        <w:rPr>
          <w:b/>
          <w:sz w:val="28"/>
          <w:szCs w:val="28"/>
        </w:rPr>
      </w:pPr>
      <w:r w:rsidRPr="00072D8D">
        <w:rPr>
          <w:snapToGrid/>
          <w:sz w:val="28"/>
          <w:szCs w:val="28"/>
          <w:lang w:val="fr-FR"/>
        </w:rPr>
        <w:t xml:space="preserve">L'approche intégrée du genre dans </w:t>
      </w:r>
      <w:r w:rsidR="008A62F6" w:rsidRPr="00072D8D">
        <w:rPr>
          <w:snapToGrid/>
          <w:sz w:val="28"/>
          <w:szCs w:val="28"/>
          <w:lang w:val="fr-FR"/>
        </w:rPr>
        <w:t>l'élaboration des politiques socio-économiques</w:t>
      </w:r>
    </w:p>
    <w:p w:rsidR="00E074A7" w:rsidRDefault="00E074A7" w:rsidP="00E074A7">
      <w:pPr>
        <w:rPr>
          <w:b/>
          <w:sz w:val="32"/>
          <w:szCs w:val="32"/>
        </w:rPr>
      </w:pPr>
    </w:p>
    <w:p w:rsidR="00E074A7" w:rsidRPr="00EA71DA" w:rsidRDefault="00E074A7" w:rsidP="00E074A7">
      <w:pPr>
        <w:rPr>
          <w:lang w:val="fr-FR"/>
        </w:rPr>
      </w:pPr>
    </w:p>
    <w:tbl>
      <w:tblPr>
        <w:tblW w:w="2572" w:type="pct"/>
        <w:tblLook w:val="01E0" w:firstRow="1" w:lastRow="1" w:firstColumn="1" w:lastColumn="1" w:noHBand="0" w:noVBand="0"/>
      </w:tblPr>
      <w:tblGrid>
        <w:gridCol w:w="4778"/>
      </w:tblGrid>
      <w:tr w:rsidR="00E074A7" w:rsidRPr="00523855">
        <w:tc>
          <w:tcPr>
            <w:tcW w:w="5000" w:type="pct"/>
          </w:tcPr>
          <w:p w:rsidR="00E074A7" w:rsidRPr="00E074A7" w:rsidRDefault="00E074A7" w:rsidP="00E074A7">
            <w:pPr>
              <w:rPr>
                <w:rFonts w:cs="Tahoma"/>
                <w:b/>
              </w:rPr>
            </w:pPr>
            <w:r w:rsidRPr="00E074A7">
              <w:rPr>
                <w:rFonts w:cs="Tahoma"/>
                <w:b/>
              </w:rPr>
              <w:t>Annie CORNET, professeure</w:t>
            </w:r>
          </w:p>
        </w:tc>
      </w:tr>
      <w:tr w:rsidR="00E074A7" w:rsidRPr="00523855">
        <w:tc>
          <w:tcPr>
            <w:tcW w:w="5000" w:type="pct"/>
          </w:tcPr>
          <w:p w:rsidR="00E074A7" w:rsidRPr="00E074A7" w:rsidRDefault="00E074A7" w:rsidP="00E074A7">
            <w:pPr>
              <w:rPr>
                <w:rFonts w:cs="Tahoma"/>
              </w:rPr>
            </w:pPr>
          </w:p>
          <w:p w:rsidR="00E074A7" w:rsidRPr="00E074A7" w:rsidRDefault="00E074A7" w:rsidP="00E074A7">
            <w:pPr>
              <w:rPr>
                <w:rFonts w:cs="Tahoma"/>
              </w:rPr>
            </w:pPr>
            <w:r w:rsidRPr="00E074A7">
              <w:rPr>
                <w:rFonts w:cs="Tahoma"/>
              </w:rPr>
              <w:t xml:space="preserve">Unité de recherches </w:t>
            </w:r>
            <w:r w:rsidRPr="00E074A7">
              <w:rPr>
                <w:rFonts w:cs="Tahoma"/>
                <w:b/>
              </w:rPr>
              <w:t>EGiD</w:t>
            </w:r>
            <w:r w:rsidRPr="00E074A7">
              <w:rPr>
                <w:rFonts w:cs="Tahoma"/>
              </w:rPr>
              <w:t xml:space="preserve"> - Etudes sur le </w:t>
            </w:r>
            <w:r w:rsidR="00072D8D">
              <w:rPr>
                <w:rFonts w:cs="Tahoma"/>
              </w:rPr>
              <w:t>Genre et la Diversité en Gestio</w:t>
            </w:r>
            <w:r w:rsidR="007351CA">
              <w:rPr>
                <w:rFonts w:cs="Tahoma"/>
              </w:rPr>
              <w:t>n</w:t>
            </w:r>
            <w:r w:rsidRPr="00E074A7">
              <w:rPr>
                <w:rFonts w:cs="Tahoma"/>
              </w:rPr>
              <w:t xml:space="preserve"> </w:t>
            </w:r>
          </w:p>
        </w:tc>
      </w:tr>
      <w:tr w:rsidR="00E074A7" w:rsidRPr="00523855">
        <w:tc>
          <w:tcPr>
            <w:tcW w:w="5000" w:type="pct"/>
          </w:tcPr>
          <w:p w:rsidR="00E074A7" w:rsidRPr="00E074A7" w:rsidRDefault="00E074A7" w:rsidP="00E074A7">
            <w:pPr>
              <w:rPr>
                <w:rFonts w:cs="Tahoma"/>
                <w:b/>
                <w:noProof/>
              </w:rPr>
            </w:pPr>
            <w:r w:rsidRPr="00E074A7">
              <w:rPr>
                <w:rFonts w:cs="Tahoma"/>
                <w:b/>
                <w:noProof/>
              </w:rPr>
              <w:t>H</w:t>
            </w:r>
            <w:r w:rsidR="0081754D">
              <w:rPr>
                <w:rFonts w:cs="Tahoma"/>
                <w:b/>
                <w:noProof/>
              </w:rPr>
              <w:t>EC</w:t>
            </w:r>
            <w:r w:rsidRPr="00E074A7">
              <w:rPr>
                <w:rFonts w:cs="Tahoma"/>
                <w:b/>
                <w:noProof/>
              </w:rPr>
              <w:t>-Ecole de gestion de l'U</w:t>
            </w:r>
            <w:r w:rsidR="0081754D">
              <w:rPr>
                <w:rFonts w:cs="Tahoma"/>
                <w:b/>
                <w:noProof/>
              </w:rPr>
              <w:t>L</w:t>
            </w:r>
          </w:p>
        </w:tc>
      </w:tr>
      <w:tr w:rsidR="00E074A7" w:rsidRPr="00523855">
        <w:tc>
          <w:tcPr>
            <w:tcW w:w="5000" w:type="pct"/>
          </w:tcPr>
          <w:p w:rsidR="00E074A7" w:rsidRPr="00E074A7" w:rsidRDefault="00E074A7" w:rsidP="00E074A7">
            <w:pPr>
              <w:rPr>
                <w:rFonts w:cs="Tahoma"/>
                <w:noProof/>
              </w:rPr>
            </w:pPr>
            <w:r w:rsidRPr="00E074A7">
              <w:rPr>
                <w:rFonts w:cs="Tahoma"/>
                <w:noProof/>
              </w:rPr>
              <w:t>UER Management, service GRH et mangement des organisations</w:t>
            </w:r>
          </w:p>
        </w:tc>
      </w:tr>
      <w:tr w:rsidR="00E074A7" w:rsidRPr="00523855">
        <w:tc>
          <w:tcPr>
            <w:tcW w:w="5000" w:type="pct"/>
          </w:tcPr>
          <w:p w:rsidR="00E074A7" w:rsidRPr="00E074A7" w:rsidRDefault="00E074A7" w:rsidP="00E074A7">
            <w:pPr>
              <w:rPr>
                <w:rFonts w:cs="Tahoma"/>
                <w:noProof/>
              </w:rPr>
            </w:pPr>
            <w:r w:rsidRPr="00E074A7">
              <w:rPr>
                <w:rFonts w:cs="Tahoma"/>
                <w:noProof/>
              </w:rPr>
              <w:t>B31, boîte 48, Sart Tilman</w:t>
            </w:r>
            <w:r w:rsidR="0081754D">
              <w:rPr>
                <w:rFonts w:cs="Tahoma"/>
                <w:noProof/>
              </w:rPr>
              <w:t>,</w:t>
            </w:r>
            <w:r w:rsidRPr="00E074A7">
              <w:rPr>
                <w:rFonts w:cs="Tahoma"/>
                <w:noProof/>
              </w:rPr>
              <w:t xml:space="preserve">  4000 Liège</w:t>
            </w:r>
          </w:p>
        </w:tc>
      </w:tr>
      <w:tr w:rsidR="00E074A7" w:rsidRPr="00523855">
        <w:tc>
          <w:tcPr>
            <w:tcW w:w="5000" w:type="pct"/>
          </w:tcPr>
          <w:p w:rsidR="0081754D" w:rsidRDefault="0081754D" w:rsidP="00E074A7">
            <w:pPr>
              <w:rPr>
                <w:rFonts w:cs="Tahoma"/>
                <w:noProof/>
              </w:rPr>
            </w:pPr>
            <w:r>
              <w:rPr>
                <w:rFonts w:cs="Tahoma"/>
                <w:noProof/>
              </w:rPr>
              <w:t xml:space="preserve">Tel : </w:t>
            </w:r>
            <w:r w:rsidR="00E074A7" w:rsidRPr="00E074A7">
              <w:rPr>
                <w:rFonts w:cs="Tahoma"/>
                <w:noProof/>
              </w:rPr>
              <w:t>+32 4 366 27 95</w:t>
            </w:r>
          </w:p>
          <w:p w:rsidR="00E074A7" w:rsidRPr="00E074A7" w:rsidRDefault="0081754D" w:rsidP="00E074A7">
            <w:pPr>
              <w:rPr>
                <w:rFonts w:cs="Tahoma"/>
                <w:noProof/>
              </w:rPr>
            </w:pPr>
            <w:r>
              <w:rPr>
                <w:rFonts w:cs="Tahoma"/>
                <w:noProof/>
              </w:rPr>
              <w:t>F</w:t>
            </w:r>
            <w:r w:rsidR="00E074A7" w:rsidRPr="00E074A7">
              <w:rPr>
                <w:rFonts w:cs="Tahoma"/>
                <w:noProof/>
              </w:rPr>
              <w:t>ax: +32 4 366 27 67</w:t>
            </w:r>
          </w:p>
        </w:tc>
      </w:tr>
      <w:tr w:rsidR="00E074A7" w:rsidRPr="00523855">
        <w:tc>
          <w:tcPr>
            <w:tcW w:w="5000" w:type="pct"/>
          </w:tcPr>
          <w:p w:rsidR="0081754D" w:rsidRDefault="00E074A7" w:rsidP="00E074A7">
            <w:pPr>
              <w:rPr>
                <w:rFonts w:cs="Tahoma"/>
              </w:rPr>
            </w:pPr>
            <w:r w:rsidRPr="00E074A7">
              <w:rPr>
                <w:rStyle w:val="Lienhypertexte"/>
                <w:rFonts w:cs="Tahoma"/>
              </w:rPr>
              <w:t>annie.cornet@ulg.ac.b</w:t>
            </w:r>
            <w:r w:rsidRPr="00E074A7">
              <w:rPr>
                <w:rFonts w:cs="Tahoma"/>
              </w:rPr>
              <w:t xml:space="preserve"> </w:t>
            </w:r>
          </w:p>
          <w:p w:rsidR="00E074A7" w:rsidRPr="00E074A7" w:rsidRDefault="007351CA" w:rsidP="00E074A7">
            <w:pPr>
              <w:rPr>
                <w:rStyle w:val="Lienhypertexte"/>
                <w:rFonts w:cs="Tahoma"/>
              </w:rPr>
            </w:pPr>
            <w:hyperlink r:id="rId9" w:history="1">
              <w:r w:rsidR="00D66513" w:rsidRPr="007972D3">
                <w:rPr>
                  <w:rStyle w:val="Lienhypertexte"/>
                  <w:rFonts w:cs="Tahoma"/>
                </w:rPr>
                <w:t>egid@ulg.ac.be</w:t>
              </w:r>
            </w:hyperlink>
          </w:p>
        </w:tc>
      </w:tr>
      <w:tr w:rsidR="00E074A7" w:rsidRPr="00523855">
        <w:tc>
          <w:tcPr>
            <w:tcW w:w="5000" w:type="pct"/>
          </w:tcPr>
          <w:p w:rsidR="00E074A7" w:rsidRPr="00E074A7" w:rsidRDefault="007351CA" w:rsidP="00E074A7">
            <w:pPr>
              <w:rPr>
                <w:rFonts w:cs="Tahoma"/>
                <w:i/>
                <w:iCs/>
                <w:noProof/>
                <w:color w:val="993366"/>
              </w:rPr>
            </w:pPr>
            <w:hyperlink r:id="rId10" w:history="1">
              <w:r w:rsidR="00E074A7" w:rsidRPr="00E074A7">
                <w:rPr>
                  <w:rStyle w:val="Lienhypertexte"/>
                  <w:rFonts w:cs="Tahoma"/>
                </w:rPr>
                <w:t>www.egid.hec.ulg.ac.be</w:t>
              </w:r>
            </w:hyperlink>
          </w:p>
        </w:tc>
      </w:tr>
    </w:tbl>
    <w:p w:rsidR="00E074A7" w:rsidRDefault="00E074A7" w:rsidP="00E074A7"/>
    <w:p w:rsidR="00AB5F07" w:rsidRDefault="00AB5F07" w:rsidP="00E074A7"/>
    <w:p w:rsidR="00AB5F07" w:rsidRDefault="00AB5F07" w:rsidP="00AB5F07">
      <w:r>
        <w:t>Cet article de synthèse vise</w:t>
      </w:r>
      <w:r w:rsidRPr="00AB5F07">
        <w:t xml:space="preserve"> à aborder les changement</w:t>
      </w:r>
      <w:r>
        <w:t>s</w:t>
      </w:r>
      <w:r w:rsidRPr="00AB5F07">
        <w:t xml:space="preserve"> que</w:t>
      </w:r>
      <w:r w:rsidR="009328FB">
        <w:t xml:space="preserve"> l’approche intégrée selon</w:t>
      </w:r>
      <w:r w:rsidRPr="00AB5F07">
        <w:t xml:space="preserve"> le genre </w:t>
      </w:r>
      <w:r w:rsidR="00B60172">
        <w:rPr>
          <w:color w:val="FF0000"/>
        </w:rPr>
        <w:t>est susceptible</w:t>
      </w:r>
      <w:r w:rsidR="009328FB">
        <w:t xml:space="preserve"> de produire </w:t>
      </w:r>
      <w:r w:rsidRPr="00AB5F07">
        <w:t>dans les processus d'élaboration des politiques</w:t>
      </w:r>
      <w:r w:rsidR="00072D8D">
        <w:t xml:space="preserve"> socio-éco</w:t>
      </w:r>
      <w:r w:rsidR="00E0747F">
        <w:t>no</w:t>
      </w:r>
      <w:r w:rsidR="00072D8D">
        <w:t>miques</w:t>
      </w:r>
      <w:r w:rsidRPr="00AB5F07">
        <w:t xml:space="preserve"> et dans </w:t>
      </w:r>
      <w:r w:rsidR="009F3886">
        <w:t>l’analyse de leurs impacts</w:t>
      </w:r>
      <w:r w:rsidRPr="00AB5F07">
        <w:t xml:space="preserve">. </w:t>
      </w:r>
      <w:r w:rsidR="009F3886">
        <w:t xml:space="preserve">Nous parlerons des politiques publiques mais aussi des politiques </w:t>
      </w:r>
      <w:r>
        <w:t>de</w:t>
      </w:r>
      <w:r w:rsidR="009F3886">
        <w:t xml:space="preserve"> gestion des entreprises </w:t>
      </w:r>
      <w:r w:rsidR="000237C0">
        <w:t xml:space="preserve">tant </w:t>
      </w:r>
      <w:r w:rsidR="009F3886">
        <w:t>privé</w:t>
      </w:r>
      <w:r w:rsidR="0081754D">
        <w:t>e</w:t>
      </w:r>
      <w:r w:rsidR="009F3886">
        <w:t>s</w:t>
      </w:r>
      <w:r w:rsidR="000237C0">
        <w:t xml:space="preserve"> que</w:t>
      </w:r>
      <w:r w:rsidR="009F3886">
        <w:t xml:space="preserve"> </w:t>
      </w:r>
      <w:r>
        <w:t xml:space="preserve">publiques </w:t>
      </w:r>
      <w:r w:rsidR="000237C0">
        <w:t>ou encore issues</w:t>
      </w:r>
      <w:r>
        <w:t xml:space="preserve"> du secteur non-marchand</w:t>
      </w:r>
      <w:r w:rsidRPr="00AB5F07">
        <w:t>.</w:t>
      </w:r>
    </w:p>
    <w:p w:rsidR="00A11A2B" w:rsidRDefault="00A11A2B" w:rsidP="00AB5F07"/>
    <w:p w:rsidR="00A11A2B" w:rsidRDefault="00A11A2B" w:rsidP="00A11A2B">
      <w:pPr>
        <w:rPr>
          <w:lang w:val="fr-FR"/>
        </w:rPr>
      </w:pPr>
      <w:r w:rsidRPr="00EA71DA">
        <w:rPr>
          <w:lang w:val="fr-FR"/>
        </w:rPr>
        <w:t xml:space="preserve">Certaines et certains </w:t>
      </w:r>
      <w:r w:rsidR="009F3886">
        <w:rPr>
          <w:lang w:val="fr-FR"/>
        </w:rPr>
        <w:t>peuvent avoir l’impression que l</w:t>
      </w:r>
      <w:r w:rsidRPr="00EA71DA">
        <w:rPr>
          <w:lang w:val="fr-FR"/>
        </w:rPr>
        <w:t xml:space="preserve">e débat </w:t>
      </w:r>
      <w:r w:rsidR="0081754D">
        <w:rPr>
          <w:lang w:val="fr-FR"/>
        </w:rPr>
        <w:t>sur</w:t>
      </w:r>
      <w:r w:rsidR="009F3886">
        <w:rPr>
          <w:lang w:val="fr-FR"/>
        </w:rPr>
        <w:t xml:space="preserve"> l’égalité entre les femmes et les hommes </w:t>
      </w:r>
      <w:r w:rsidRPr="00EA71DA">
        <w:rPr>
          <w:lang w:val="fr-FR"/>
        </w:rPr>
        <w:t>est dépassé, que nous sommes dans une société où l’égalité est acquise et que</w:t>
      </w:r>
      <w:r w:rsidR="000237C0">
        <w:rPr>
          <w:lang w:val="fr-FR"/>
        </w:rPr>
        <w:t>,</w:t>
      </w:r>
      <w:r w:rsidRPr="00EA71DA">
        <w:rPr>
          <w:lang w:val="fr-FR"/>
        </w:rPr>
        <w:t xml:space="preserve"> si des différences subsistent, elles relèvent de choix personnels. Des progrès importants ont été réalisés</w:t>
      </w:r>
      <w:r w:rsidR="009328FB">
        <w:rPr>
          <w:lang w:val="fr-FR"/>
        </w:rPr>
        <w:t>, nous sommes dans une société d’égalité des droits,</w:t>
      </w:r>
      <w:r w:rsidRPr="00EA71DA">
        <w:rPr>
          <w:lang w:val="fr-FR"/>
        </w:rPr>
        <w:t xml:space="preserve"> mais de nombreuses études montrent que</w:t>
      </w:r>
      <w:r w:rsidR="009328FB">
        <w:rPr>
          <w:lang w:val="fr-FR"/>
        </w:rPr>
        <w:t>,</w:t>
      </w:r>
      <w:r w:rsidRPr="00EA71DA">
        <w:rPr>
          <w:lang w:val="fr-FR"/>
        </w:rPr>
        <w:t xml:space="preserve"> </w:t>
      </w:r>
      <w:r w:rsidR="009328FB">
        <w:rPr>
          <w:lang w:val="fr-FR"/>
        </w:rPr>
        <w:t>malgré tout</w:t>
      </w:r>
      <w:r w:rsidRPr="00EA71DA">
        <w:rPr>
          <w:lang w:val="fr-FR"/>
        </w:rPr>
        <w:t>, des situations d’inégalit</w:t>
      </w:r>
      <w:r w:rsidR="001140BE">
        <w:rPr>
          <w:lang w:val="fr-FR"/>
        </w:rPr>
        <w:t>és</w:t>
      </w:r>
      <w:r w:rsidRPr="00EA71DA">
        <w:rPr>
          <w:lang w:val="fr-FR"/>
        </w:rPr>
        <w:t xml:space="preserve"> demeurent. Elles sont</w:t>
      </w:r>
      <w:r w:rsidR="009328FB">
        <w:rPr>
          <w:lang w:val="fr-FR"/>
        </w:rPr>
        <w:t xml:space="preserve"> générées</w:t>
      </w:r>
      <w:r w:rsidRPr="00EA71DA">
        <w:rPr>
          <w:lang w:val="fr-FR"/>
        </w:rPr>
        <w:t xml:space="preserve"> le plus souvent </w:t>
      </w:r>
      <w:r w:rsidR="009328FB">
        <w:rPr>
          <w:lang w:val="fr-FR"/>
        </w:rPr>
        <w:t xml:space="preserve">par des discriminations </w:t>
      </w:r>
      <w:r w:rsidRPr="00EA71DA">
        <w:rPr>
          <w:lang w:val="fr-FR"/>
        </w:rPr>
        <w:t xml:space="preserve">systémiques et indirectes, donc « invisibles ». </w:t>
      </w:r>
      <w:r w:rsidR="009328FB">
        <w:rPr>
          <w:lang w:val="fr-FR"/>
        </w:rPr>
        <w:t>Ces inégalités</w:t>
      </w:r>
      <w:r w:rsidR="009F3886">
        <w:rPr>
          <w:lang w:val="fr-FR"/>
        </w:rPr>
        <w:t xml:space="preserve"> sont </w:t>
      </w:r>
      <w:r w:rsidR="00F27966">
        <w:rPr>
          <w:lang w:val="fr-FR"/>
        </w:rPr>
        <w:t xml:space="preserve">notamment </w:t>
      </w:r>
      <w:r w:rsidR="009F3886">
        <w:rPr>
          <w:lang w:val="fr-FR"/>
        </w:rPr>
        <w:t xml:space="preserve">le résultat de politiques qui ont été pensées comme neutres alors qu’elles affectent de manière différenciée et inégalitaire l’un et l’autre sexe. </w:t>
      </w:r>
      <w:r w:rsidR="009328FB">
        <w:rPr>
          <w:lang w:val="fr-FR"/>
        </w:rPr>
        <w:t>C’est au travers de s</w:t>
      </w:r>
      <w:r w:rsidRPr="00EA71DA">
        <w:rPr>
          <w:lang w:val="fr-FR"/>
        </w:rPr>
        <w:t>es</w:t>
      </w:r>
      <w:r w:rsidR="009F3886">
        <w:rPr>
          <w:lang w:val="fr-FR"/>
        </w:rPr>
        <w:t xml:space="preserve"> </w:t>
      </w:r>
      <w:r w:rsidR="009F3886">
        <w:rPr>
          <w:lang w:val="fr-FR"/>
        </w:rPr>
        <w:lastRenderedPageBreak/>
        <w:t>décisions et de ses structures qu</w:t>
      </w:r>
      <w:r w:rsidR="00D66513">
        <w:rPr>
          <w:lang w:val="fr-FR"/>
        </w:rPr>
        <w:t>e</w:t>
      </w:r>
      <w:r w:rsidR="009F3886">
        <w:rPr>
          <w:lang w:val="fr-FR"/>
        </w:rPr>
        <w:t xml:space="preserve"> la société reproduit l</w:t>
      </w:r>
      <w:r w:rsidRPr="00EA71DA">
        <w:rPr>
          <w:lang w:val="fr-FR"/>
        </w:rPr>
        <w:t xml:space="preserve">es inégalités </w:t>
      </w:r>
      <w:r w:rsidR="009328FB">
        <w:rPr>
          <w:lang w:val="fr-FR"/>
        </w:rPr>
        <w:t>entre les sexes</w:t>
      </w:r>
      <w:r w:rsidR="00524EA8">
        <w:rPr>
          <w:lang w:val="fr-FR"/>
        </w:rPr>
        <w:t>, comme celles qui affectent d’autres groupes sociaux</w:t>
      </w:r>
      <w:r w:rsidRPr="00EA71DA">
        <w:rPr>
          <w:lang w:val="fr-FR"/>
        </w:rPr>
        <w:t>.</w:t>
      </w:r>
    </w:p>
    <w:p w:rsidR="00AB5F07" w:rsidRPr="00AB5F07" w:rsidRDefault="00AB5F07" w:rsidP="00AB5F07"/>
    <w:p w:rsidR="00AB5F07" w:rsidRDefault="00AB5F07" w:rsidP="00AB5F07">
      <w:r>
        <w:t>Avant de rentrer dans le cœur du débat, il paraît important de prendre le temps de poser quelques concepts-clés qui seront structurants pour comprendre la suite du propos.</w:t>
      </w:r>
    </w:p>
    <w:p w:rsidR="005F1748" w:rsidRDefault="005F1748" w:rsidP="00AB5F07"/>
    <w:p w:rsidR="005F1748" w:rsidRDefault="005F1748" w:rsidP="005F1748">
      <w:pPr>
        <w:pStyle w:val="Titre1"/>
      </w:pPr>
      <w:r>
        <w:t>Comprendre les termes du débat</w:t>
      </w:r>
    </w:p>
    <w:p w:rsidR="00AB5F07" w:rsidRPr="00523855" w:rsidRDefault="00AB5F07" w:rsidP="00AB5F07"/>
    <w:p w:rsidR="00E074A7" w:rsidRPr="00AB5F07" w:rsidRDefault="00E074A7" w:rsidP="005F1748">
      <w:pPr>
        <w:pStyle w:val="Titre2"/>
      </w:pPr>
      <w:r w:rsidRPr="00AB5F07">
        <w:t>Le genre</w:t>
      </w:r>
      <w:r w:rsidR="00650754">
        <w:t xml:space="preserve"> et le sexe : deux termes à différencier</w:t>
      </w:r>
    </w:p>
    <w:p w:rsidR="00E074A7" w:rsidRDefault="00E074A7" w:rsidP="00E074A7">
      <w:pPr>
        <w:rPr>
          <w:rFonts w:cs="Arial"/>
          <w:b/>
          <w:bCs/>
          <w:i/>
          <w:sz w:val="32"/>
          <w:lang w:val="fr-FR"/>
        </w:rPr>
      </w:pPr>
    </w:p>
    <w:p w:rsidR="009F3886" w:rsidRDefault="00650754" w:rsidP="00650754">
      <w:r>
        <w:t>On a souvent tendance à confondre genre et sexe,</w:t>
      </w:r>
      <w:r w:rsidR="00F27966">
        <w:t xml:space="preserve"> ou plus précisément</w:t>
      </w:r>
      <w:r>
        <w:t xml:space="preserve"> analyse différenciée selon les sexes (analyse qui utilise l</w:t>
      </w:r>
      <w:r w:rsidR="000237C0">
        <w:t xml:space="preserve">e </w:t>
      </w:r>
      <w:r>
        <w:t xml:space="preserve">sexe comme variable indépendante) et analyse </w:t>
      </w:r>
      <w:r w:rsidR="009328FB">
        <w:t xml:space="preserve">intégrée </w:t>
      </w:r>
      <w:r>
        <w:t xml:space="preserve">selon le genre. </w:t>
      </w:r>
    </w:p>
    <w:p w:rsidR="009F3886" w:rsidRDefault="009F3886" w:rsidP="00650754"/>
    <w:p w:rsidR="00E074A7" w:rsidRPr="00EA71DA" w:rsidRDefault="00650754" w:rsidP="00650754">
      <w:r w:rsidRPr="00B60172">
        <w:rPr>
          <w:color w:val="FF0000"/>
        </w:rPr>
        <w:t xml:space="preserve">Le </w:t>
      </w:r>
      <w:r w:rsidR="009F3886" w:rsidRPr="00B60172">
        <w:rPr>
          <w:rFonts w:cs="Arial"/>
          <w:color w:val="FF0000"/>
        </w:rPr>
        <w:t>s</w:t>
      </w:r>
      <w:r w:rsidR="00E074A7" w:rsidRPr="00B60172">
        <w:rPr>
          <w:rFonts w:cs="Arial"/>
          <w:color w:val="FF0000"/>
        </w:rPr>
        <w:t>exe</w:t>
      </w:r>
      <w:r w:rsidR="009F3886" w:rsidRPr="00B60172">
        <w:rPr>
          <w:rFonts w:cs="Arial"/>
          <w:color w:val="FF0000"/>
        </w:rPr>
        <w:t xml:space="preserve"> (H,</w:t>
      </w:r>
      <w:r w:rsidR="00B60172" w:rsidRPr="00B60172">
        <w:rPr>
          <w:rFonts w:cs="Arial"/>
          <w:color w:val="FF0000"/>
        </w:rPr>
        <w:t xml:space="preserve"> </w:t>
      </w:r>
      <w:r w:rsidR="009F3886" w:rsidRPr="00B60172">
        <w:rPr>
          <w:rFonts w:cs="Arial"/>
          <w:color w:val="FF0000"/>
        </w:rPr>
        <w:t>F)</w:t>
      </w:r>
      <w:r w:rsidR="00B60172" w:rsidRPr="00B60172">
        <w:rPr>
          <w:rFonts w:cs="Arial"/>
          <w:color w:val="FF0000"/>
        </w:rPr>
        <w:t xml:space="preserve"> </w:t>
      </w:r>
      <w:r w:rsidR="00B60172" w:rsidRPr="00B60172">
        <w:rPr>
          <w:color w:val="FF0000"/>
        </w:rPr>
        <w:t>renvoie</w:t>
      </w:r>
      <w:r>
        <w:t xml:space="preserve"> aux </w:t>
      </w:r>
      <w:r w:rsidR="00E074A7" w:rsidRPr="00EA71DA">
        <w:t>différences biologiques entre les hommes et les femmes. Ces différences sont universelles et intemporelles. Elles ne changent pas dans l’espace (différents pays) et dans le temps (différentes époques).</w:t>
      </w:r>
      <w:r>
        <w:t xml:space="preserve"> C’est le </w:t>
      </w:r>
      <w:r w:rsidR="009F3886">
        <w:t xml:space="preserve">sexe qui va </w:t>
      </w:r>
      <w:r>
        <w:t xml:space="preserve">expliquer pourquoi un </w:t>
      </w:r>
      <w:r w:rsidR="00AA7B45">
        <w:t xml:space="preserve">employeur </w:t>
      </w:r>
      <w:r>
        <w:t>qui introduit de la mixité dans ses équipes masculines va devoir gérer un nouveau défi de GRH</w:t>
      </w:r>
      <w:r w:rsidR="000237C0">
        <w:t>, à savoir</w:t>
      </w:r>
      <w:r>
        <w:t xml:space="preserve"> le congé de maternité ! </w:t>
      </w:r>
      <w:r w:rsidR="00E074A7" w:rsidRPr="001B580C">
        <w:t>Seules</w:t>
      </w:r>
      <w:r w:rsidR="00E074A7" w:rsidRPr="00EA71DA">
        <w:t xml:space="preserve"> les femmes peuvent être enceintes</w:t>
      </w:r>
      <w:r w:rsidR="00F27966">
        <w:t>, i</w:t>
      </w:r>
      <w:r w:rsidR="00E074A7" w:rsidRPr="00EA71DA">
        <w:t xml:space="preserve">l est donc </w:t>
      </w:r>
      <w:r>
        <w:t>inévitable</w:t>
      </w:r>
      <w:r w:rsidR="00E074A7" w:rsidRPr="00EA71DA">
        <w:t xml:space="preserve"> que ce soit elles qui bénéficient </w:t>
      </w:r>
      <w:r>
        <w:t xml:space="preserve">du congé de maternité et du repos d’accouchement. </w:t>
      </w:r>
      <w:r w:rsidR="004307A3">
        <w:t>Partant de ce principe, l</w:t>
      </w:r>
      <w:r w:rsidR="008F2A1D">
        <w:t xml:space="preserve">e </w:t>
      </w:r>
      <w:r w:rsidR="00B60172">
        <w:t xml:space="preserve">mamentrepreneuriat </w:t>
      </w:r>
      <w:r w:rsidR="009328FB">
        <w:t>est un</w:t>
      </w:r>
      <w:r w:rsidR="006400FC">
        <w:t xml:space="preserve"> </w:t>
      </w:r>
      <w:r w:rsidR="008F2A1D">
        <w:t xml:space="preserve">sujet </w:t>
      </w:r>
      <w:r w:rsidR="009328FB">
        <w:t xml:space="preserve">exclusivement </w:t>
      </w:r>
      <w:r w:rsidR="008F2A1D">
        <w:t xml:space="preserve">féminin </w:t>
      </w:r>
      <w:r w:rsidR="00514CD2">
        <w:fldChar w:fldCharType="begin"/>
      </w:r>
      <w:r w:rsidR="008F2A1D">
        <w:instrText xml:space="preserve"> </w:instrText>
      </w:r>
      <w:r w:rsidR="001E22EF">
        <w:instrText>ADDIN</w:instrText>
      </w:r>
      <w:r w:rsidR="008F2A1D">
        <w:instrText xml:space="preserve"> EN.CITE &lt;EndNote&gt;&lt;Cite&gt;&lt;Author&gt;Andria&lt;/Author&gt;&lt;Year&gt;2012&lt;/Year&gt;&lt;RecNum&gt;5992&lt;/RecNum&gt;&lt;DisplayText&gt;(Andria &amp;amp; Richomme-Huet, 2012)&lt;/DisplayText&gt;&lt;record&gt;&lt;rec-number&gt;5992&lt;/rec-number&gt;&lt;foreign-keys&gt;&lt;key app="EN" db-id="5p0x9e0pvxevvwefdv1p9wvt2vdre50z2sxx"&gt;5992&lt;/key&gt;&lt;/foreign-keys&gt;&lt;ref-type name="Conference Paper"&gt;47&lt;/ref-type&gt;&lt;contributors&gt;&lt;authors&gt;&lt;author&gt;Andria, A.&lt;/author&gt;&lt;author&gt;Richomme-Huet, K.&lt;/author&gt;&lt;/authors&gt;&lt;/contributors&gt;&lt;titles&gt;&lt;title&gt;Le mampreneuriat : étude de l’impact de la maternité en entrepreneuriat &lt;/title&gt;&lt;secondary-title&gt;Brest&lt;/secondary-title&gt;&lt;/titles&gt;&lt;dates&gt;&lt;year&gt;2012&lt;/year&gt;&lt;/dates&gt;&lt;pub-location&gt;11ème CIFPME&lt;/pub-location&gt;&lt;urls&gt;&lt;/urls&gt;&lt;/record&gt;&lt;/Cite&gt;&lt;/EndNote&gt;</w:instrText>
      </w:r>
      <w:r w:rsidR="00514CD2">
        <w:fldChar w:fldCharType="separate"/>
      </w:r>
      <w:r w:rsidR="008F2A1D">
        <w:rPr>
          <w:noProof/>
        </w:rPr>
        <w:t>(</w:t>
      </w:r>
      <w:hyperlink w:anchor="_ENREF_1" w:tooltip="Andria, 2012 #5992" w:history="1">
        <w:r w:rsidR="0028313C">
          <w:rPr>
            <w:noProof/>
          </w:rPr>
          <w:t>Andria &amp; Richomme-Huet, 2012</w:t>
        </w:r>
      </w:hyperlink>
      <w:r w:rsidR="008F2A1D">
        <w:rPr>
          <w:noProof/>
        </w:rPr>
        <w:t>)</w:t>
      </w:r>
      <w:r w:rsidR="00514CD2">
        <w:fldChar w:fldCharType="end"/>
      </w:r>
      <w:r w:rsidR="009328FB">
        <w:t xml:space="preserve"> qui vise à étudier le lien entre la maternité et le processus de création de son entreprise</w:t>
      </w:r>
      <w:r w:rsidR="008F2A1D">
        <w:t xml:space="preserve">. </w:t>
      </w:r>
      <w:r w:rsidR="00524EA8">
        <w:t xml:space="preserve">L’analyse différenciée selon les sexes </w:t>
      </w:r>
      <w:r w:rsidR="00AA7B45">
        <w:t>consiste ainsi à utiliser</w:t>
      </w:r>
      <w:r>
        <w:t xml:space="preserve"> la variable sexe (Homme/ </w:t>
      </w:r>
      <w:r w:rsidR="00DC1C94">
        <w:t>F</w:t>
      </w:r>
      <w:r>
        <w:t>emme) comme variable indépendante</w:t>
      </w:r>
      <w:r w:rsidR="00524EA8">
        <w:t xml:space="preserve"> pour mettre en évidence des différences entre les hommes et les femmes.</w:t>
      </w:r>
      <w:r>
        <w:t xml:space="preserve"> </w:t>
      </w:r>
      <w:r w:rsidR="00524EA8">
        <w:t>On met</w:t>
      </w:r>
      <w:r>
        <w:t xml:space="preserve"> en évidence, </w:t>
      </w:r>
      <w:r w:rsidR="00D66513">
        <w:t xml:space="preserve">par exemple, </w:t>
      </w:r>
      <w:r>
        <w:t>que les femmes constituent 30% des entrepreneurs, que 80% d</w:t>
      </w:r>
      <w:r w:rsidR="00D66513">
        <w:t>es travailleurs à temps partiel</w:t>
      </w:r>
      <w:r>
        <w:t xml:space="preserve"> </w:t>
      </w:r>
      <w:r w:rsidR="00D66513">
        <w:t xml:space="preserve">sont des femmes </w:t>
      </w:r>
      <w:r>
        <w:t xml:space="preserve">ou que le taux de décrochage scolaire des garçons est plus élevé que celui des filles. </w:t>
      </w:r>
      <w:r w:rsidR="009328FB">
        <w:t>On va tenter de cerner l’entrepreneuriat féminin, en le différenciant de l’entrepreneuriat masculin</w:t>
      </w:r>
      <w:r w:rsidR="00DC1C94">
        <w:t xml:space="preserve"> et en s’intéressant au</w:t>
      </w:r>
      <w:r w:rsidR="009328FB">
        <w:t xml:space="preserve"> profil des </w:t>
      </w:r>
      <w:r w:rsidR="00E0747F">
        <w:t xml:space="preserve">femmes </w:t>
      </w:r>
      <w:r w:rsidR="009328FB">
        <w:t xml:space="preserve">entrepreneurs, </w:t>
      </w:r>
      <w:r w:rsidR="00DC1C94">
        <w:t>au</w:t>
      </w:r>
      <w:r w:rsidR="00E0747F">
        <w:t xml:space="preserve"> profil de leurs</w:t>
      </w:r>
      <w:r w:rsidR="009328FB">
        <w:t xml:space="preserve"> entreprises, </w:t>
      </w:r>
      <w:r w:rsidR="00DC1C94">
        <w:t xml:space="preserve">à </w:t>
      </w:r>
      <w:r w:rsidR="00E0747F">
        <w:t xml:space="preserve">leur </w:t>
      </w:r>
      <w:r w:rsidR="009328FB">
        <w:t xml:space="preserve">accès au financement, etc. </w:t>
      </w:r>
      <w:r w:rsidR="009F3886">
        <w:t xml:space="preserve">On pointe </w:t>
      </w:r>
      <w:r w:rsidR="00524EA8">
        <w:t xml:space="preserve">donc </w:t>
      </w:r>
      <w:r w:rsidR="00D66513">
        <w:t xml:space="preserve">ici </w:t>
      </w:r>
      <w:r w:rsidR="009F3886">
        <w:t xml:space="preserve">des différences </w:t>
      </w:r>
      <w:r w:rsidR="00D66513">
        <w:t xml:space="preserve">liées </w:t>
      </w:r>
      <w:r w:rsidR="009328FB">
        <w:t>à la variable</w:t>
      </w:r>
      <w:r w:rsidR="00D66513">
        <w:t xml:space="preserve"> sexe</w:t>
      </w:r>
      <w:r w:rsidR="009328FB">
        <w:t xml:space="preserve"> (positionnée comme variable indépendante)</w:t>
      </w:r>
      <w:r w:rsidR="00DC1C94">
        <w:t xml:space="preserve"> et</w:t>
      </w:r>
      <w:r w:rsidR="00D66513">
        <w:t xml:space="preserve"> on </w:t>
      </w:r>
      <w:r w:rsidR="00DC1C94">
        <w:t>réalise</w:t>
      </w:r>
      <w:r w:rsidR="00D66513">
        <w:t xml:space="preserve"> une analyse comparative selon les sexes</w:t>
      </w:r>
      <w:r w:rsidR="009F3886">
        <w:t>.</w:t>
      </w:r>
      <w:r w:rsidR="009328FB">
        <w:t xml:space="preserve"> </w:t>
      </w:r>
    </w:p>
    <w:p w:rsidR="00E074A7" w:rsidRPr="00EA71DA" w:rsidRDefault="00E074A7" w:rsidP="00E074A7"/>
    <w:p w:rsidR="00E074A7" w:rsidRPr="00EA71DA" w:rsidRDefault="00650754" w:rsidP="00B321EA">
      <w:r w:rsidRPr="00650754">
        <w:lastRenderedPageBreak/>
        <w:t xml:space="preserve">Le </w:t>
      </w:r>
      <w:r>
        <w:t>g</w:t>
      </w:r>
      <w:r w:rsidR="00E074A7" w:rsidRPr="00650754">
        <w:t>enre</w:t>
      </w:r>
      <w:r>
        <w:t xml:space="preserve">, par contre, </w:t>
      </w:r>
      <w:r w:rsidR="00B321EA" w:rsidRPr="00547D8F">
        <w:rPr>
          <w:color w:val="FF0000"/>
        </w:rPr>
        <w:t>renvoi</w:t>
      </w:r>
      <w:r w:rsidR="00547D8F" w:rsidRPr="00547D8F">
        <w:rPr>
          <w:color w:val="FF0000"/>
        </w:rPr>
        <w:t>e</w:t>
      </w:r>
      <w:r w:rsidR="00B321EA">
        <w:t xml:space="preserve"> à des</w:t>
      </w:r>
      <w:r w:rsidR="00E074A7" w:rsidRPr="00650754">
        <w:t xml:space="preserve"> constructions sociales et culturelles</w:t>
      </w:r>
      <w:r w:rsidR="00B321EA">
        <w:t xml:space="preserve"> du féminin et du masculin. Ces constructions sociales </w:t>
      </w:r>
      <w:r w:rsidR="009F3886">
        <w:t xml:space="preserve">se </w:t>
      </w:r>
      <w:r w:rsidR="00B321EA">
        <w:t>sont construites</w:t>
      </w:r>
      <w:r w:rsidR="00E074A7" w:rsidRPr="00650754">
        <w:t xml:space="preserve"> autour des différences biologiques </w:t>
      </w:r>
      <w:r w:rsidR="00547D8F" w:rsidRPr="00547D8F">
        <w:rPr>
          <w:color w:val="00B0F0"/>
        </w:rPr>
        <w:t>entre les femmes et l</w:t>
      </w:r>
      <w:r w:rsidR="00E074A7" w:rsidRPr="00547D8F">
        <w:rPr>
          <w:color w:val="00B0F0"/>
        </w:rPr>
        <w:t>es hommes</w:t>
      </w:r>
      <w:r w:rsidR="009F3886">
        <w:t xml:space="preserve"> (le sexe biologique)</w:t>
      </w:r>
      <w:r w:rsidR="00E074A7" w:rsidRPr="00650754">
        <w:t>.</w:t>
      </w:r>
      <w:r w:rsidR="00B321EA">
        <w:t xml:space="preserve"> Ainsi, la maternité va influencer la construction </w:t>
      </w:r>
      <w:r w:rsidR="009F3886">
        <w:t xml:space="preserve">de la place </w:t>
      </w:r>
      <w:r w:rsidR="00547D8F" w:rsidRPr="00547D8F">
        <w:rPr>
          <w:color w:val="00B0F0"/>
        </w:rPr>
        <w:t>des</w:t>
      </w:r>
      <w:r w:rsidR="009F3886" w:rsidRPr="00547D8F">
        <w:rPr>
          <w:color w:val="00B0F0"/>
        </w:rPr>
        <w:t xml:space="preserve"> femme</w:t>
      </w:r>
      <w:r w:rsidR="00547D8F" w:rsidRPr="00547D8F">
        <w:rPr>
          <w:color w:val="00B0F0"/>
        </w:rPr>
        <w:t>s</w:t>
      </w:r>
      <w:r w:rsidR="009F3886">
        <w:t xml:space="preserve"> dans la société</w:t>
      </w:r>
      <w:r w:rsidR="00B321EA">
        <w:t xml:space="preserve"> </w:t>
      </w:r>
      <w:r w:rsidR="009F3886">
        <w:t>avec des attentes sur le temps qu’elle</w:t>
      </w:r>
      <w:r w:rsidR="009328FB">
        <w:t>s</w:t>
      </w:r>
      <w:r w:rsidR="009F3886">
        <w:t xml:space="preserve"> consacre</w:t>
      </w:r>
      <w:r w:rsidR="009328FB">
        <w:t>nt</w:t>
      </w:r>
      <w:r w:rsidR="00B321EA">
        <w:t xml:space="preserve"> </w:t>
      </w:r>
      <w:r w:rsidR="009F3886">
        <w:t>à la</w:t>
      </w:r>
      <w:r w:rsidR="00B321EA">
        <w:t xml:space="preserve"> prise en charge des enfants. L</w:t>
      </w:r>
      <w:r w:rsidR="00E074A7" w:rsidRPr="00EA71DA">
        <w:t xml:space="preserve">es différences </w:t>
      </w:r>
      <w:r w:rsidR="00B321EA">
        <w:t xml:space="preserve">de genre </w:t>
      </w:r>
      <w:r w:rsidR="00E074A7" w:rsidRPr="00EA71DA">
        <w:t>sont</w:t>
      </w:r>
      <w:r w:rsidR="00B321EA">
        <w:t xml:space="preserve">, à l’inverse du sexe, </w:t>
      </w:r>
      <w:r w:rsidR="00E074A7">
        <w:t>c</w:t>
      </w:r>
      <w:r w:rsidR="00E074A7" w:rsidRPr="00EA71DA">
        <w:t>ontextue</w:t>
      </w:r>
      <w:r w:rsidR="00E074A7">
        <w:t>lles : e</w:t>
      </w:r>
      <w:r w:rsidR="00E074A7" w:rsidRPr="00EA71DA">
        <w:t xml:space="preserve">lles changent </w:t>
      </w:r>
      <w:r w:rsidR="00E074A7">
        <w:t>selon les pays, les</w:t>
      </w:r>
      <w:r w:rsidR="00B321EA">
        <w:t xml:space="preserve"> cultures</w:t>
      </w:r>
      <w:r w:rsidR="00DC1C94">
        <w:t xml:space="preserve"> et</w:t>
      </w:r>
      <w:r w:rsidR="00B321EA">
        <w:t xml:space="preserve"> les groupes sociaux</w:t>
      </w:r>
      <w:r w:rsidR="00E0747F">
        <w:t xml:space="preserve">. Elles sont aussi </w:t>
      </w:r>
      <w:r w:rsidR="00E074A7">
        <w:t>temporelles : elles varient selon les époques</w:t>
      </w:r>
      <w:r w:rsidR="00E074A7" w:rsidRPr="00EA71DA">
        <w:t>.</w:t>
      </w:r>
      <w:r w:rsidR="00B321EA">
        <w:t xml:space="preserve"> Ainsi, </w:t>
      </w:r>
      <w:r w:rsidR="00524EA8">
        <w:t xml:space="preserve">dans certains pays, et à certaines époques plus que d’autres, on va </w:t>
      </w:r>
      <w:r w:rsidR="00B321EA">
        <w:t>c</w:t>
      </w:r>
      <w:r w:rsidR="00E074A7" w:rsidRPr="00EA71DA">
        <w:t>oncevoir qu’il est « naturel » que ce soit les femmes qui prennent en charge la majorité des soins aux enfant</w:t>
      </w:r>
      <w:r w:rsidR="00524EA8">
        <w:t xml:space="preserve">s en bas âge, en lien avec une </w:t>
      </w:r>
      <w:r w:rsidR="00E074A7">
        <w:t>vision traditionnelle des rôles familiaux.</w:t>
      </w:r>
      <w:r w:rsidR="00B321EA">
        <w:t xml:space="preserve"> Dans le même ordre d’idée, la plupart des sociétés acceptent</w:t>
      </w:r>
      <w:r w:rsidR="000237C0">
        <w:t>,</w:t>
      </w:r>
      <w:r w:rsidR="00B321EA">
        <w:t xml:space="preserve"> de plus en plus</w:t>
      </w:r>
      <w:r w:rsidR="000237C0">
        <w:t>,</w:t>
      </w:r>
      <w:r w:rsidR="00B321EA">
        <w:t xml:space="preserve"> que les femmes prennent une place dans la sp</w:t>
      </w:r>
      <w:r w:rsidR="00571012">
        <w:t>h</w:t>
      </w:r>
      <w:r w:rsidR="00B321EA">
        <w:t>ère économique et politique</w:t>
      </w:r>
      <w:r w:rsidR="008F2A1D">
        <w:t xml:space="preserve"> </w:t>
      </w:r>
      <w:r w:rsidR="00514CD2">
        <w:fldChar w:fldCharType="begin"/>
      </w:r>
      <w:r w:rsidR="008F2A1D">
        <w:instrText xml:space="preserve"> </w:instrText>
      </w:r>
      <w:r w:rsidR="001E22EF">
        <w:instrText>ADDIN</w:instrText>
      </w:r>
      <w:r w:rsidR="008F2A1D">
        <w:instrText xml:space="preserve"> EN.CITE &lt;EndNote&gt;&lt;Cite&gt;&lt;Author&gt;St-Onge&lt;/Author&gt;&lt;Year&gt;2013&lt;/Year&gt;&lt;RecNum&gt;6011&lt;/RecNum&gt;&lt;DisplayText&gt;(St-Onge &amp;amp; Magnan, 2013)&lt;/DisplayText&gt;&lt;record&gt;&lt;rec-number&gt;6011&lt;/rec-number&gt;&lt;foreign-keys&gt;&lt;key app="EN" db-id="5p0x9e0pvxevvwefdv1p9wvt2vdre50z2sxx"&gt;6011&lt;/key&gt;&lt;/foreign-keys&gt;&lt;ref-type name="Journal Article"&gt;17&lt;/ref-type&gt;&lt;contributors&gt;&lt;authors&gt;&lt;author&gt;St-Onge, S.&lt;/author&gt;&lt;author&gt;Magnan, M.&lt;/author&gt;&lt;/authors&gt;&lt;/contributors&gt;&lt;titles&gt;&lt;title&gt;Les femmes au sein des conseils d’administration : bilan des connaissances et voies de recherche futures&lt;/title&gt;&lt;secondary-title&gt;Finance, contrôle et stratégie&lt;/secondary-title&gt;&lt;/titles&gt;&lt;periodical&gt;&lt;full-title&gt;Finance, contrôle et stratégie&lt;/full-title&gt;&lt;/periodical&gt;&lt;volume&gt;16&lt;/volume&gt;&lt;number&gt;1&lt;/number&gt;&lt;dates&gt;&lt;year&gt;2013&lt;/year&gt;&lt;/dates&gt;&lt;urls&gt;&lt;related-urls&gt;&lt;url&gt;http://fcs.revues.org/1292#text&lt;/url&gt;&lt;/related-urls&gt;&lt;/urls&gt;&lt;/record&gt;&lt;/Cite&gt;&lt;/EndNote&gt;</w:instrText>
      </w:r>
      <w:r w:rsidR="00514CD2">
        <w:fldChar w:fldCharType="separate"/>
      </w:r>
      <w:r w:rsidR="008F2A1D">
        <w:rPr>
          <w:noProof/>
        </w:rPr>
        <w:t>(</w:t>
      </w:r>
      <w:hyperlink w:anchor="_ENREF_27" w:tooltip="St-Onge, 2013 #6011" w:history="1">
        <w:r w:rsidR="0028313C">
          <w:rPr>
            <w:noProof/>
          </w:rPr>
          <w:t>St-Onge &amp; Magnan, 2013</w:t>
        </w:r>
      </w:hyperlink>
      <w:r w:rsidR="008F2A1D">
        <w:rPr>
          <w:noProof/>
        </w:rPr>
        <w:t>)</w:t>
      </w:r>
      <w:r w:rsidR="00514CD2">
        <w:fldChar w:fldCharType="end"/>
      </w:r>
      <w:r w:rsidR="00E0747F">
        <w:t xml:space="preserve">. </w:t>
      </w:r>
      <w:r w:rsidR="00F27966">
        <w:t xml:space="preserve">On encourage de plus en plus les hommes à investir plus de temps dans la vie domestique et parentale </w:t>
      </w:r>
      <w:r w:rsidR="00514CD2">
        <w:fldChar w:fldCharType="begin"/>
      </w:r>
      <w:r w:rsidR="00F27966">
        <w:instrText xml:space="preserve"> ADDIN EN.CITE &lt;EndNote&gt;&lt;Cite&gt;&lt;Author&gt;Orse&lt;/Author&gt;&lt;Year&gt;2013&lt;/Year&gt;&lt;RecNum&gt;3170&lt;/RecNum&gt;&lt;DisplayText&gt;(Orse, 2013)&lt;/DisplayText&gt;&lt;record&gt;&lt;rec-number&gt;3170&lt;/rec-number&gt;&lt;foreign-keys&gt;&lt;key app="EN" db-id="5p0x9e0pvxevvwefdv1p9wvt2vdre50z2sxx"&gt;3170&lt;/key&gt;&lt;/foreign-keys&gt;&lt;ref-type name="Book"&gt;6&lt;/ref-type&gt;&lt;contributors&gt;&lt;authors&gt;&lt;author&gt;Orse,&lt;/author&gt;&lt;/authors&gt;&lt;/contributors&gt;&lt;titles&gt;&lt;title&gt;Hommes, sujets et acteurs de l&amp;apos;égalité&lt;/title&gt;&lt;short-title&gt;Promouvoir la parentalité auprès des salariés masculins : un enjeu d&amp;apos;égalité professionnelle- GUIDE D’APPUI POUR LES ENTREPRISES&lt;/short-title&gt;&lt;/titles&gt;&lt;dates&gt;&lt;year&gt;2013&lt;/year&gt;&lt;/dates&gt;&lt;pub-location&gt;Paris&lt;/pub-location&gt;&lt;publisher&gt;ORSE&lt;/publisher&gt;&lt;urls&gt;&lt;/urls&gt;&lt;/record&gt;&lt;/Cite&gt;&lt;/EndNote&gt;</w:instrText>
      </w:r>
      <w:r w:rsidR="00514CD2">
        <w:fldChar w:fldCharType="separate"/>
      </w:r>
      <w:r w:rsidR="00F27966">
        <w:rPr>
          <w:noProof/>
        </w:rPr>
        <w:t>(</w:t>
      </w:r>
      <w:hyperlink w:anchor="_ENREF_24" w:tooltip="Orse, 2013 #3170" w:history="1">
        <w:r w:rsidR="00F27966">
          <w:rPr>
            <w:noProof/>
          </w:rPr>
          <w:t>Orse, 2013</w:t>
        </w:r>
      </w:hyperlink>
      <w:r w:rsidR="00F27966">
        <w:rPr>
          <w:noProof/>
        </w:rPr>
        <w:t>)</w:t>
      </w:r>
      <w:r w:rsidR="00514CD2">
        <w:fldChar w:fldCharType="end"/>
      </w:r>
      <w:r w:rsidR="00F27966">
        <w:t xml:space="preserve">, il y a une évolution dans les rôles assignés à l’un et l’autre sexe. </w:t>
      </w:r>
      <w:r w:rsidR="00E0747F">
        <w:t>Toutefois, il existe encore des pays et des groupes sociaux dans lesquels les femmes ne peuvent prendre certaines places</w:t>
      </w:r>
      <w:r w:rsidR="00332EA3">
        <w:rPr>
          <w:color w:val="00B0F0"/>
        </w:rPr>
        <w:t xml:space="preserve"> dans la sphère sociale et </w:t>
      </w:r>
      <w:r w:rsidR="00AA7B45">
        <w:rPr>
          <w:color w:val="00B0F0"/>
        </w:rPr>
        <w:t>économique</w:t>
      </w:r>
      <w:r w:rsidR="00E0747F">
        <w:t xml:space="preserve"> et sont cantonnées à des rôles familiaux et domestiques. </w:t>
      </w:r>
    </w:p>
    <w:p w:rsidR="008C0C27" w:rsidRDefault="008C0C27" w:rsidP="00E074A7"/>
    <w:p w:rsidR="00E074A7" w:rsidRPr="00EA71DA" w:rsidRDefault="008C0C27" w:rsidP="00E074A7">
      <w:r>
        <w:t xml:space="preserve">Si une analyse différenciée selon les sexes se contente de pointer les différences entre le groupe des femmes et celui des hommes, l’analyse selon le genre veut aller plus loin </w:t>
      </w:r>
      <w:r w:rsidR="00B321EA">
        <w:t>pour interroger</w:t>
      </w:r>
      <w:r w:rsidR="00571012">
        <w:t xml:space="preserve"> </w:t>
      </w:r>
      <w:r w:rsidR="00E074A7" w:rsidRPr="00EA71DA">
        <w:t xml:space="preserve">: </w:t>
      </w:r>
    </w:p>
    <w:p w:rsidR="00E074A7" w:rsidRPr="00EA71DA" w:rsidRDefault="00E074A7" w:rsidP="00E074A7">
      <w:pPr>
        <w:numPr>
          <w:ilvl w:val="0"/>
          <w:numId w:val="6"/>
        </w:numPr>
      </w:pPr>
      <w:r w:rsidRPr="00EA71DA">
        <w:t>les stéréotypes féminins et masculins ;</w:t>
      </w:r>
    </w:p>
    <w:p w:rsidR="00E074A7" w:rsidRPr="00EA71DA" w:rsidRDefault="00E074A7" w:rsidP="00E074A7">
      <w:pPr>
        <w:numPr>
          <w:ilvl w:val="0"/>
          <w:numId w:val="6"/>
        </w:numPr>
      </w:pPr>
      <w:r w:rsidRPr="00EA71DA">
        <w:t>les rôles sexués ;</w:t>
      </w:r>
    </w:p>
    <w:p w:rsidR="00E074A7" w:rsidRPr="00EA71DA" w:rsidRDefault="00E074A7" w:rsidP="00E074A7">
      <w:pPr>
        <w:numPr>
          <w:ilvl w:val="0"/>
          <w:numId w:val="6"/>
        </w:numPr>
      </w:pPr>
      <w:r w:rsidRPr="00EA71DA">
        <w:t>l’inégalité des femmes et des hommes ;</w:t>
      </w:r>
    </w:p>
    <w:p w:rsidR="00E074A7" w:rsidRPr="00EA71DA" w:rsidRDefault="00E074A7" w:rsidP="00E074A7">
      <w:pPr>
        <w:numPr>
          <w:ilvl w:val="0"/>
          <w:numId w:val="6"/>
        </w:numPr>
      </w:pPr>
      <w:r w:rsidRPr="00EA71DA">
        <w:t>la hiérarchisation du féminin et du masculin.</w:t>
      </w:r>
    </w:p>
    <w:p w:rsidR="00E074A7" w:rsidRDefault="00E074A7" w:rsidP="00E074A7"/>
    <w:p w:rsidR="00891977" w:rsidRDefault="00891977" w:rsidP="005F1748">
      <w:pPr>
        <w:pStyle w:val="Titre2"/>
      </w:pPr>
      <w:r>
        <w:t>Les stéréotypes</w:t>
      </w:r>
    </w:p>
    <w:p w:rsidR="00891977" w:rsidRPr="00EA71DA" w:rsidRDefault="00891977" w:rsidP="00E074A7"/>
    <w:p w:rsidR="00A11A2B" w:rsidRPr="00EA71DA" w:rsidRDefault="008C0C27" w:rsidP="00A11A2B">
      <w:r>
        <w:t>Il s’agit</w:t>
      </w:r>
      <w:r w:rsidR="000237C0">
        <w:t>,</w:t>
      </w:r>
      <w:r>
        <w:t xml:space="preserve"> premièrement</w:t>
      </w:r>
      <w:r w:rsidR="000237C0">
        <w:t>,</w:t>
      </w:r>
      <w:r>
        <w:t xml:space="preserve"> de voir en quoi des politiques sont susceptibles de renforcer des stéréotypes associés à l’un et l’autre sexe</w:t>
      </w:r>
      <w:r w:rsidR="00B257A4">
        <w:t xml:space="preserve"> </w:t>
      </w:r>
      <w:r w:rsidR="00514CD2">
        <w:fldChar w:fldCharType="begin"/>
      </w:r>
      <w:r w:rsidR="00B257A4">
        <w:instrText xml:space="preserve"> </w:instrText>
      </w:r>
      <w:r w:rsidR="001E22EF">
        <w:instrText>ADDIN</w:instrText>
      </w:r>
      <w:r w:rsidR="00B257A4">
        <w:instrText xml:space="preserve"> EN.CITE &lt;EndNote&gt;&lt;Cite&gt;&lt;Author&gt;Scharnitzky&lt;/Author&gt;&lt;Year&gt;2012&lt;/Year&gt;&lt;RecNum&gt;5774&lt;/RecNum&gt;&lt;DisplayText&gt;(Scharnitzky, 2012)&lt;/DisplayText&gt;&lt;record&gt;&lt;rec-number&gt;5774&lt;/rec-number&gt;&lt;foreign-keys&gt;&lt;key app="EN" db-id="5p0x9e0pvxevvwefdv1p9wvt2vdre50z2sxx"&gt;5774&lt;/key&gt;&lt;/foreign-keys&gt;&lt;ref-type name="Report"&gt;27&lt;/ref-type&gt;&lt;contributors&gt;&lt;authors&gt;&lt;author&gt;Scharnitzky, P.&lt;/author&gt;&lt;/authors&gt;&lt;/contributors&gt;&lt;titles&gt;&lt;title&gt;Les stéréotypes selon le genre. Comprendre et agir dans l&amp;apos;entreprise. Guide pratique&lt;/title&gt;&lt;/titles&gt;&lt;dates&gt;&lt;year&gt;2012&lt;/year&gt;&lt;/dates&gt;&lt;pub-location&gt;Paris&lt;/pub-location&gt;&lt;publisher&gt;IMS- Entreprendre pour la Cité.&lt;/publisher&gt;&lt;urls&gt;&lt;/urls&gt;&lt;/record&gt;&lt;/Cite&gt;&lt;/EndNote&gt;</w:instrText>
      </w:r>
      <w:r w:rsidR="00514CD2">
        <w:fldChar w:fldCharType="separate"/>
      </w:r>
      <w:r w:rsidR="00B257A4">
        <w:rPr>
          <w:noProof/>
        </w:rPr>
        <w:t>(</w:t>
      </w:r>
      <w:hyperlink w:anchor="_ENREF_26" w:tooltip="Scharnitzky, 2012 #5774" w:history="1">
        <w:r w:rsidR="0028313C">
          <w:rPr>
            <w:noProof/>
          </w:rPr>
          <w:t>Scharnitzky, 2012</w:t>
        </w:r>
      </w:hyperlink>
      <w:r w:rsidR="00B257A4">
        <w:rPr>
          <w:noProof/>
        </w:rPr>
        <w:t>)</w:t>
      </w:r>
      <w:r w:rsidR="00514CD2">
        <w:fldChar w:fldCharType="end"/>
      </w:r>
      <w:r>
        <w:t>. Ainsi, i</w:t>
      </w:r>
      <w:r w:rsidR="00E074A7" w:rsidRPr="00B321EA">
        <w:t xml:space="preserve">l est perçu comme « naturel » que les femmes et les filles </w:t>
      </w:r>
      <w:r w:rsidR="00B321EA">
        <w:t>crééent leur entreprise dans le secteur du commerce, de la restauration et des soins aux personnes, par contre, beaucoup moins</w:t>
      </w:r>
      <w:r>
        <w:t>, qu’</w:t>
      </w:r>
      <w:r w:rsidR="00B321EA">
        <w:t>elles se lancent dans les</w:t>
      </w:r>
      <w:r w:rsidR="00E074A7" w:rsidRPr="00B321EA">
        <w:t xml:space="preserve"> </w:t>
      </w:r>
      <w:r w:rsidR="00B321EA">
        <w:t xml:space="preserve">nouvelles </w:t>
      </w:r>
      <w:r w:rsidR="00E074A7" w:rsidRPr="00B321EA">
        <w:t>technologies</w:t>
      </w:r>
      <w:r w:rsidR="000237C0">
        <w:t xml:space="preserve"> (NTIC)</w:t>
      </w:r>
      <w:r w:rsidR="00B321EA">
        <w:t>, le secteur de la construction ou du développement durable</w:t>
      </w:r>
      <w:r w:rsidR="008F2A1D">
        <w:t xml:space="preserve"> </w:t>
      </w:r>
      <w:r w:rsidR="00514CD2">
        <w:fldChar w:fldCharType="begin"/>
      </w:r>
      <w:r w:rsidR="008F2A1D">
        <w:instrText xml:space="preserve"> </w:instrText>
      </w:r>
      <w:r w:rsidR="001E22EF">
        <w:instrText>ADDIN</w:instrText>
      </w:r>
      <w:r w:rsidR="008F2A1D">
        <w:instrText xml:space="preserve"> EN.CITE &lt;EndNote&gt;&lt;Cite&gt;&lt;Author&gt;Dufour&lt;/Author&gt;&lt;Year&gt;2014&lt;/Year&gt;&lt;RecNum&gt;6026&lt;/RecNum&gt;&lt;DisplayText&gt;(Dufour, 2014)&lt;/DisplayText&gt;&lt;record&gt;&lt;rec-number&gt;6026&lt;/rec-number&gt;&lt;foreign-keys&gt;&lt;key app="EN" db-id="5p0x9e0pvxevvwefdv1p9wvt2vdre50z2sxx"&gt;6026&lt;/key&gt;&lt;/foreign-keys&gt;&lt;ref-type name="Book"&gt;6&lt;/ref-type&gt;&lt;contributors&gt;&lt;authors&gt;&lt;author&gt;Dufour, C.&lt;/author&gt;&lt;/authors&gt;&lt;/contributors&gt;&lt;titles&gt;&lt;title&gt;Guide des métiers pour les petites filles qui ne veulent pas finir princesses&lt;/title&gt;&lt;/titles&gt;&lt;dates&gt;&lt;year&gt;2014&lt;/year&gt;&lt;/dates&gt;&lt;pub-location&gt;Paris&lt;/pub-location&gt;&lt;publisher&gt;Fayard&lt;/publisher&gt;&lt;urls&gt;&lt;/urls&gt;&lt;/record&gt;&lt;/Cite&gt;&lt;/EndNote&gt;</w:instrText>
      </w:r>
      <w:r w:rsidR="00514CD2">
        <w:fldChar w:fldCharType="separate"/>
      </w:r>
      <w:r w:rsidR="008F2A1D">
        <w:rPr>
          <w:noProof/>
        </w:rPr>
        <w:t>(</w:t>
      </w:r>
      <w:hyperlink w:anchor="_ENREF_10" w:tooltip="Dufour, 2014 #6026" w:history="1">
        <w:r w:rsidR="0028313C">
          <w:rPr>
            <w:noProof/>
          </w:rPr>
          <w:t>Dufour, 2014</w:t>
        </w:r>
      </w:hyperlink>
      <w:r w:rsidR="008F2A1D">
        <w:rPr>
          <w:noProof/>
        </w:rPr>
        <w:t>)</w:t>
      </w:r>
      <w:r w:rsidR="00514CD2">
        <w:fldChar w:fldCharType="end"/>
      </w:r>
      <w:r w:rsidR="008F2A1D">
        <w:t>.</w:t>
      </w:r>
      <w:r>
        <w:t xml:space="preserve"> </w:t>
      </w:r>
      <w:r w:rsidR="00B321EA">
        <w:t>Il est perçu comme « normal »</w:t>
      </w:r>
      <w:r>
        <w:t>, car en lien avec leurs compétences</w:t>
      </w:r>
      <w:r w:rsidR="009328FB">
        <w:t xml:space="preserve"> </w:t>
      </w:r>
      <w:r w:rsidR="009328FB">
        <w:lastRenderedPageBreak/>
        <w:t xml:space="preserve">dites </w:t>
      </w:r>
      <w:r>
        <w:t xml:space="preserve"> </w:t>
      </w:r>
      <w:r w:rsidR="009328FB">
        <w:t>« </w:t>
      </w:r>
      <w:r>
        <w:t>naturelles</w:t>
      </w:r>
      <w:r w:rsidR="009328FB">
        <w:t> »</w:t>
      </w:r>
      <w:r>
        <w:t>,</w:t>
      </w:r>
      <w:r w:rsidR="00B321EA">
        <w:t xml:space="preserve"> que les garçons s’intéressent aux filères d’étude de</w:t>
      </w:r>
      <w:r w:rsidR="00571012">
        <w:t>s</w:t>
      </w:r>
      <w:r w:rsidR="00B321EA">
        <w:t xml:space="preserve"> sciences appliquées et peu aux métiers </w:t>
      </w:r>
      <w:r>
        <w:t>centrés sur les relations avec les autres</w:t>
      </w:r>
      <w:r w:rsidR="00C6388E">
        <w:t xml:space="preserve"> tels que la communication et les ressources humaines</w:t>
      </w:r>
      <w:r>
        <w:t xml:space="preserve"> </w:t>
      </w:r>
      <w:r w:rsidR="00514CD2">
        <w:fldChar w:fldCharType="begin"/>
      </w:r>
      <w:r w:rsidR="007706D8">
        <w:instrText xml:space="preserve"> </w:instrText>
      </w:r>
      <w:r w:rsidR="001E22EF">
        <w:instrText>ADDIN</w:instrText>
      </w:r>
      <w:r w:rsidR="007706D8">
        <w:instrText xml:space="preserve"> EN.CITE &lt;EndNote&gt;&lt;Cite&gt;&lt;Author&gt;Mosconi&lt;/Author&gt;&lt;Year&gt;2007&lt;/Year&gt;&lt;RecNum&gt;4475&lt;/RecNum&gt;&lt;DisplayText&gt;(Legault &amp;amp; Ross, 2008; Mosconi &amp;amp; Stevanovic, 2007)&lt;/DisplayText&gt;&lt;record&gt;&lt;rec-number&gt;4475&lt;/rec-number&gt;&lt;foreign-keys&gt;&lt;key app="EN" db-id="5p0x9e0pvxevvwefdv1p9wvt2vdre50z2sxx"&gt;4475&lt;/key&gt;&lt;/foreign-keys&gt;&lt;ref-type name="Book"&gt;6&lt;/ref-type&gt;&lt;contributors&gt;&lt;authors&gt;&lt;author&gt;Mosconi, N.&lt;/author&gt;&lt;author&gt;Stevanovic, B.&lt;/author&gt;&lt;/authors&gt;&lt;/contributors&gt;&lt;titles&gt;&lt;title&gt;Genre et avenir, les représentations des métiers chez les adolescentes et les adolescents&lt;/title&gt;&lt;/titles&gt;&lt;dates&gt;&lt;year&gt;2007&lt;/year&gt;&lt;/dates&gt;&lt;pub-location&gt;Paris&lt;/pub-location&gt;&lt;publisher&gt;L’Harmattan&lt;/publisher&gt;&lt;urls&gt;&lt;/urls&gt;&lt;/record&gt;&lt;/Cite&gt;&lt;Cite&gt;&lt;Author&gt;Legault&lt;/Author&gt;&lt;Year&gt;2008&lt;/Year&gt;&lt;RecNum&gt;4700&lt;/RecNum&gt;&lt;record&gt;&lt;rec-number&gt;4700&lt;/rec-number&gt;&lt;foreign-keys&gt;&lt;key app="EN" db-id="5p0x9e0pvxevvwefdv1p9wvt2vdre50z2sxx"&gt;4700&lt;/key&gt;&lt;key app="ENWeb" db-id=""&gt;0&lt;/key&gt;&lt;/foreign-keys&gt;&lt;ref-type name="Book Section"&gt;5&lt;/ref-type&gt;&lt;contributors&gt;&lt;authors&gt;&lt;author&gt;Legault, G. &lt;/author&gt;&lt;author&gt;Ross, C.&lt;/author&gt;&lt;/authors&gt;&lt;secondary-authors&gt;&lt;author&gt;Cornet, A.&lt;/author&gt;&lt;author&gt;Laufer, J.&lt;/author&gt;&lt;author&gt;Belghiti, S.&lt;/author&gt;&lt;/secondary-authors&gt;&lt;/contributors&gt;&lt;titles&gt;&lt;title&gt;La contribution de l&amp;apos;analyse différenciée selon les sexes au débat sur la négociationcollective comme moteur de l&amp;apos;équité en emploi&lt;/title&gt;&lt;secondary-title&gt;Genre et GRH&lt;/secondary-title&gt;&lt;/titles&gt;&lt;dates&gt;&lt;year&gt;2008&lt;/year&gt;&lt;/dates&gt;&lt;pub-location&gt;Paris&lt;/pub-location&gt;&lt;publisher&gt;Vuibert&lt;/publisher&gt;&lt;urls&gt;&lt;/urls&gt;&lt;/record&gt;&lt;/Cite&gt;&lt;/EndNote&gt;</w:instrText>
      </w:r>
      <w:r w:rsidR="00514CD2">
        <w:fldChar w:fldCharType="separate"/>
      </w:r>
      <w:r w:rsidR="007706D8">
        <w:rPr>
          <w:noProof/>
        </w:rPr>
        <w:t>(</w:t>
      </w:r>
      <w:hyperlink w:anchor="_ENREF_17" w:tooltip="Legault, 2008 #4700" w:history="1">
        <w:r w:rsidR="0028313C">
          <w:rPr>
            <w:noProof/>
          </w:rPr>
          <w:t>Legault &amp; Ross, 2008</w:t>
        </w:r>
      </w:hyperlink>
      <w:r w:rsidR="007706D8">
        <w:rPr>
          <w:noProof/>
        </w:rPr>
        <w:t xml:space="preserve">; </w:t>
      </w:r>
      <w:hyperlink w:anchor="_ENREF_21" w:tooltip="Mosconi, 2007 #4475" w:history="1">
        <w:r w:rsidR="0028313C">
          <w:rPr>
            <w:noProof/>
          </w:rPr>
          <w:t>Mosconi &amp; Stevanovic, 2007</w:t>
        </w:r>
      </w:hyperlink>
      <w:r w:rsidR="007706D8">
        <w:rPr>
          <w:noProof/>
        </w:rPr>
        <w:t>)</w:t>
      </w:r>
      <w:r w:rsidR="00514CD2">
        <w:fldChar w:fldCharType="end"/>
      </w:r>
      <w:r w:rsidR="00571012">
        <w:t xml:space="preserve"> et</w:t>
      </w:r>
      <w:r>
        <w:t xml:space="preserve"> que les hommes occupent les fonctions </w:t>
      </w:r>
      <w:r w:rsidR="00C6388E">
        <w:t>à</w:t>
      </w:r>
      <w:r>
        <w:t xml:space="preserve"> responsabilité</w:t>
      </w:r>
      <w:r w:rsidR="00571012">
        <w:t>s</w:t>
      </w:r>
      <w:r>
        <w:t xml:space="preserve"> dans les entreprises </w:t>
      </w:r>
      <w:r w:rsidR="00514CD2">
        <w:fldChar w:fldCharType="begin"/>
      </w:r>
      <w:r>
        <w:instrText xml:space="preserve"> </w:instrText>
      </w:r>
      <w:r w:rsidR="001E22EF">
        <w:instrText>ADDIN</w:instrText>
      </w:r>
      <w:r>
        <w:instrText xml:space="preserve"> EN.CITE &lt;EndNote&gt;&lt;Cite&gt;&lt;Author&gt;Laufer&lt;/Author&gt;&lt;Year&gt;2004&lt;/Year&gt;&lt;RecNum&gt;5201&lt;/RecNum&gt;&lt;DisplayText&gt;(Laufer &amp;amp; Pochic, 2004)&lt;/DisplayText&gt;&lt;record&gt;&lt;rec-number&gt;5201&lt;/rec-number&gt;&lt;foreign-keys&gt;&lt;key app="EN" db-id="5p0x9e0pvxevvwefdv1p9wvt2vdre50z2sxx"&gt;5201&lt;/key&gt;&lt;key app="ENWeb" db-id=""&gt;0&lt;/key&gt;&lt;/foreign-keys&gt;&lt;ref-type name="Book Section"&gt;5&lt;/ref-type&gt;&lt;contributors&gt;&lt;authors&gt;&lt;author&gt;Laufer, J.&lt;/author&gt;&lt;author&gt;Pochic, S. &lt;/author&gt;&lt;/authors&gt;&lt;secondary-authors&gt;&lt;author&gt;Karvar, A. &lt;/author&gt;&lt;author&gt;Rouban, L. &lt;/author&gt;&lt;/secondary-authors&gt;&lt;/contributors&gt;&lt;titles&gt;&lt;title&gt;Carrières au féminin et au masculin&lt;/title&gt;&lt;secondary-title&gt;Les cadres au travail. Les nouvelles règles du jeu&lt;/secondary-title&gt;&lt;/titles&gt;&lt;pages&gt;147-168&lt;/pages&gt;&lt;dates&gt;&lt;year&gt;2004&lt;/year&gt;&lt;/dates&gt;&lt;pub-location&gt;Paris&lt;/pub-location&gt;&lt;publisher&gt;La découverte&lt;/publisher&gt;&lt;urls&gt;&lt;/urls&gt;&lt;/record&gt;&lt;/Cite&gt;&lt;/EndNote&gt;</w:instrText>
      </w:r>
      <w:r w:rsidR="00514CD2">
        <w:fldChar w:fldCharType="separate"/>
      </w:r>
      <w:r>
        <w:rPr>
          <w:noProof/>
        </w:rPr>
        <w:t>(</w:t>
      </w:r>
      <w:hyperlink w:anchor="_ENREF_16" w:tooltip="Laufer, 2004 #5201" w:history="1">
        <w:r w:rsidR="0028313C">
          <w:rPr>
            <w:noProof/>
          </w:rPr>
          <w:t>Laufer &amp; Pochic, 2004</w:t>
        </w:r>
      </w:hyperlink>
      <w:r>
        <w:rPr>
          <w:noProof/>
        </w:rPr>
        <w:t>)</w:t>
      </w:r>
      <w:r w:rsidR="00514CD2">
        <w:fldChar w:fldCharType="end"/>
      </w:r>
      <w:r w:rsidR="009328FB">
        <w:t>.</w:t>
      </w:r>
      <w:r w:rsidR="00B321EA">
        <w:t xml:space="preserve"> </w:t>
      </w:r>
      <w:r w:rsidR="009328FB">
        <w:t xml:space="preserve">Penser une politique selon </w:t>
      </w:r>
      <w:r w:rsidR="00571012">
        <w:t>l’</w:t>
      </w:r>
      <w:r w:rsidR="009328FB">
        <w:t xml:space="preserve">impact </w:t>
      </w:r>
      <w:r w:rsidR="001C19AD">
        <w:rPr>
          <w:color w:val="00B0F0"/>
        </w:rPr>
        <w:t>genré</w:t>
      </w:r>
      <w:r w:rsidR="00571012">
        <w:t>,</w:t>
      </w:r>
      <w:r w:rsidR="009328FB">
        <w:t xml:space="preserve"> c’est</w:t>
      </w:r>
      <w:r w:rsidR="00693DBA">
        <w:t xml:space="preserve"> donc réfléchir à la façon dont cette politique va renforce</w:t>
      </w:r>
      <w:r w:rsidR="00F2679A">
        <w:t xml:space="preserve">r ou non des stéréotypes sexués. </w:t>
      </w:r>
      <w:r w:rsidR="00F27966">
        <w:t xml:space="preserve">Un tel renforcement </w:t>
      </w:r>
      <w:r w:rsidR="00693DBA">
        <w:t xml:space="preserve">peut se jouer </w:t>
      </w:r>
      <w:r w:rsidR="009328FB">
        <w:t>dans</w:t>
      </w:r>
      <w:r w:rsidR="00693DBA">
        <w:t xml:space="preserve"> les campagnes d’affichage et les photos choisies pour illustrer </w:t>
      </w:r>
      <w:r w:rsidR="00571012">
        <w:t>cette dernière</w:t>
      </w:r>
      <w:r w:rsidR="00F2679A">
        <w:t xml:space="preserve"> </w:t>
      </w:r>
      <w:r w:rsidR="00514CD2">
        <w:fldChar w:fldCharType="begin"/>
      </w:r>
      <w:r w:rsidR="00F2679A">
        <w:instrText xml:space="preserve"> </w:instrText>
      </w:r>
      <w:r w:rsidR="001E22EF">
        <w:instrText>ADDIN</w:instrText>
      </w:r>
      <w:r w:rsidR="00F2679A">
        <w:instrText xml:space="preserve"> EN.CITE &lt;EndNote&gt;&lt;Cite&gt;&lt;Author&gt;Institut pour l&amp;apos;égalité des femmes et des hommes&lt;/Author&gt;&lt;Year&gt;2013&lt;/Year&gt;&lt;RecNum&gt;6023&lt;/RecNum&gt;&lt;DisplayText&gt;(Institut pour l&amp;apos;égalité des femmes et des hommes, 2013)&lt;/DisplayText&gt;&lt;record&gt;&lt;rec-number&gt;6023&lt;/rec-number&gt;&lt;foreign-keys&gt;&lt;key app="EN" db-id="5p0x9e0pvxevvwefdv1p9wvt2vdre50z2sxx"&gt;6023&lt;/key&gt;&lt;/foreign-keys&gt;&lt;ref-type name="Report"&gt;27&lt;/ref-type&gt;&lt;contributors&gt;&lt;authors&gt;&lt;author&gt;Institut pour l&amp;apos;égalité des femmes et des hommes,&lt;/author&gt;&lt;/authors&gt;&lt;/contributors&gt;&lt;titles&gt;&lt;title&gt;Intégrer la dimension de genre dans la communication fédérale&lt;/title&gt;&lt;/titles&gt;&lt;dates&gt;&lt;year&gt;2013&lt;/year&gt;&lt;/dates&gt;&lt;pub-location&gt;Bruxelles&lt;/pub-location&gt;&lt;publisher&gt;IEFH - http://igvm-iefh.belgium.be&lt;/publisher&gt;&lt;urls&gt;&lt;/urls&gt;&lt;/record&gt;&lt;/Cite&gt;&lt;/EndNote&gt;</w:instrText>
      </w:r>
      <w:r w:rsidR="00514CD2">
        <w:fldChar w:fldCharType="separate"/>
      </w:r>
      <w:r w:rsidR="00F2679A">
        <w:rPr>
          <w:noProof/>
        </w:rPr>
        <w:t>(</w:t>
      </w:r>
      <w:hyperlink w:anchor="_ENREF_12" w:tooltip="Institut pour l'égalité des femmes et des hommes, 2013 #6023" w:history="1">
        <w:r w:rsidR="0028313C">
          <w:rPr>
            <w:noProof/>
          </w:rPr>
          <w:t>Institut pour l'égalité des femmes et des hommes, 2013</w:t>
        </w:r>
      </w:hyperlink>
      <w:r w:rsidR="00F2679A">
        <w:rPr>
          <w:noProof/>
        </w:rPr>
        <w:t>)</w:t>
      </w:r>
      <w:r w:rsidR="00514CD2">
        <w:fldChar w:fldCharType="end"/>
      </w:r>
      <w:r w:rsidR="00F2679A">
        <w:t xml:space="preserve">. </w:t>
      </w:r>
      <w:r w:rsidR="00F27966">
        <w:t xml:space="preserve">Par </w:t>
      </w:r>
      <w:r w:rsidR="00F2679A">
        <w:t>exemple</w:t>
      </w:r>
      <w:r w:rsidR="00F27966">
        <w:t>,</w:t>
      </w:r>
      <w:r w:rsidR="00F2679A">
        <w:t xml:space="preserve">  une campagne </w:t>
      </w:r>
      <w:r w:rsidR="007E497A">
        <w:t>destinée à</w:t>
      </w:r>
      <w:r w:rsidR="00F2679A">
        <w:t xml:space="preserve"> annoncer des politiques pour favoriser la conciliation </w:t>
      </w:r>
      <w:r w:rsidR="007E497A">
        <w:t xml:space="preserve">entre </w:t>
      </w:r>
      <w:r w:rsidR="00F2679A">
        <w:t xml:space="preserve">vie professionnelle </w:t>
      </w:r>
      <w:r w:rsidR="007E497A">
        <w:t>et</w:t>
      </w:r>
      <w:r w:rsidR="00F2679A">
        <w:t xml:space="preserve"> vie familiale où il n’y a</w:t>
      </w:r>
      <w:r w:rsidR="00F27966">
        <w:t>urait</w:t>
      </w:r>
      <w:r w:rsidR="00F2679A">
        <w:t xml:space="preserve"> que des images de femmes avec des enfants. </w:t>
      </w:r>
      <w:r w:rsidR="009328FB">
        <w:t xml:space="preserve">La reproduction des stéréotypes se fait aussi </w:t>
      </w:r>
      <w:r w:rsidR="007E497A">
        <w:t>à travers</w:t>
      </w:r>
      <w:r w:rsidR="009328FB">
        <w:t xml:space="preserve"> les images qui sont véhiculées</w:t>
      </w:r>
      <w:r w:rsidR="00F2679A">
        <w:t xml:space="preserve"> dans les médias</w:t>
      </w:r>
      <w:r w:rsidR="00891977">
        <w:t xml:space="preserve">. Nous avons mis en évidence </w:t>
      </w:r>
      <w:r w:rsidR="009328FB">
        <w:t>la prévalence</w:t>
      </w:r>
      <w:r w:rsidR="00F2679A">
        <w:t xml:space="preserve"> des hommes comme personnes de références et comme experts </w:t>
      </w:r>
      <w:r w:rsidR="009328FB">
        <w:t xml:space="preserve">dans la presse </w:t>
      </w:r>
      <w:r w:rsidR="007E497A">
        <w:t xml:space="preserve">économique et </w:t>
      </w:r>
      <w:r w:rsidR="009328FB">
        <w:t xml:space="preserve">d’affaires </w:t>
      </w:r>
      <w:r w:rsidR="00514CD2">
        <w:fldChar w:fldCharType="begin"/>
      </w:r>
      <w:r w:rsidR="0028313C">
        <w:instrText xml:space="preserve"> </w:instrText>
      </w:r>
      <w:r w:rsidR="001E22EF">
        <w:instrText>ADDIN</w:instrText>
      </w:r>
      <w:r w:rsidR="0028313C">
        <w:instrText xml:space="preserve"> EN.CITE &lt;EndNote&gt;&lt;Cite&gt;&lt;Author&gt;Cornet&lt;/Author&gt;&lt;Year&gt;2014&lt;/Year&gt;&lt;RecNum&gt;6024&lt;/RecNum&gt;&lt;DisplayText&gt;(Cornet &amp;amp; Dubois, 2014)&lt;/DisplayText&gt;&lt;record&gt;&lt;rec-number&gt;6024&lt;/rec-number&gt;&lt;foreign-keys&gt;&lt;key app="EN" db-id="5p0x9e0pvxevvwefdv1p9wvt2vdre50z2sxx"&gt;6024&lt;/key&gt;&lt;/foreign-keys&gt;&lt;ref-type name="Report"&gt;27&lt;/ref-type&gt;&lt;contributors&gt;&lt;authors&gt;&lt;author&gt;Cornet, A.&lt;/author&gt;&lt;author&gt;Dubois, V.&lt;/author&gt;&lt;/authors&gt;&lt;/contributors&gt;&lt;titles&gt;&lt;title&gt;Les femmes d’affaires : quelle visibilité et invisibilité dans la presse écrite francophone ?&lt;/title&gt;&lt;secondary-title&gt;Projet Diane, financé par FSE- Equal&lt;/secondary-title&gt;&lt;/titles&gt;&lt;dates&gt;&lt;year&gt;2014&lt;/year&gt;&lt;/dates&gt;&lt;pub-location&gt;Liège&lt;/pub-location&gt;&lt;publisher&gt;Hec-Ulg (Egid)&lt;/publisher&gt;&lt;urls&gt;&lt;/urls&gt;&lt;/record&gt;&lt;/Cite&gt;&lt;/EndNote&gt;</w:instrText>
      </w:r>
      <w:r w:rsidR="00514CD2">
        <w:fldChar w:fldCharType="separate"/>
      </w:r>
      <w:r w:rsidR="0028313C">
        <w:rPr>
          <w:noProof/>
        </w:rPr>
        <w:t>(</w:t>
      </w:r>
      <w:hyperlink w:anchor="_ENREF_7" w:tooltip="Cornet, 2014 #6024" w:history="1">
        <w:r w:rsidR="0028313C">
          <w:rPr>
            <w:noProof/>
          </w:rPr>
          <w:t>Cornet &amp; Dubois, 2014</w:t>
        </w:r>
      </w:hyperlink>
      <w:r w:rsidR="0028313C">
        <w:rPr>
          <w:noProof/>
        </w:rPr>
        <w:t>)</w:t>
      </w:r>
      <w:r w:rsidR="00514CD2">
        <w:fldChar w:fldCharType="end"/>
      </w:r>
      <w:r w:rsidR="00F2679A">
        <w:t xml:space="preserve">. </w:t>
      </w:r>
      <w:r w:rsidR="00891977">
        <w:t xml:space="preserve">Si on s’intéresse au secteur social, on peut </w:t>
      </w:r>
      <w:r w:rsidR="00F27966">
        <w:t>remarquer</w:t>
      </w:r>
      <w:r w:rsidR="00891977">
        <w:t xml:space="preserve"> que l</w:t>
      </w:r>
      <w:r w:rsidR="00A11A2B" w:rsidRPr="00EA71DA">
        <w:t xml:space="preserve">es personnes victimes de </w:t>
      </w:r>
      <w:r w:rsidR="00A11A2B" w:rsidRPr="00A11A2B">
        <w:t>violence</w:t>
      </w:r>
      <w:r w:rsidR="00A11A2B" w:rsidRPr="00EA71DA">
        <w:t xml:space="preserve"> sexuelle sont traditionnellement perçues comme étant des femmes. Ceci a pour effet</w:t>
      </w:r>
      <w:r w:rsidR="007E497A">
        <w:t>, d’une part,</w:t>
      </w:r>
      <w:r w:rsidR="00A11A2B" w:rsidRPr="00EA71DA">
        <w:t xml:space="preserve"> que les hommes</w:t>
      </w:r>
      <w:r w:rsidR="007E497A">
        <w:t xml:space="preserve"> </w:t>
      </w:r>
      <w:r w:rsidR="00A11A2B">
        <w:t xml:space="preserve">hésitent </w:t>
      </w:r>
      <w:r w:rsidR="00C6388E">
        <w:t xml:space="preserve">davantage </w:t>
      </w:r>
      <w:r w:rsidR="00A11A2B">
        <w:t>à déposer plainte s’</w:t>
      </w:r>
      <w:r w:rsidR="00A11A2B" w:rsidRPr="00EA71DA">
        <w:t xml:space="preserve">ils sont victimes </w:t>
      </w:r>
      <w:r w:rsidR="00A11A2B">
        <w:t>de violence et</w:t>
      </w:r>
      <w:r w:rsidR="007E497A">
        <w:t>, d’autre part,</w:t>
      </w:r>
      <w:r w:rsidR="00A11A2B">
        <w:t xml:space="preserve"> que s’</w:t>
      </w:r>
      <w:r w:rsidR="00A11A2B" w:rsidRPr="00EA71DA">
        <w:t>ils déposent plainte</w:t>
      </w:r>
      <w:r w:rsidR="007E497A">
        <w:t>,</w:t>
      </w:r>
      <w:r w:rsidR="00A11A2B" w:rsidRPr="00EA71DA">
        <w:t xml:space="preserve"> leur témoignage est moins pris au sérieux</w:t>
      </w:r>
      <w:r w:rsidR="00A11A2B">
        <w:t>.</w:t>
      </w:r>
      <w:r w:rsidR="00A11A2B" w:rsidRPr="00EA71DA">
        <w:t xml:space="preserve"> </w:t>
      </w:r>
    </w:p>
    <w:p w:rsidR="00E074A7" w:rsidRDefault="00E074A7" w:rsidP="00E074A7"/>
    <w:p w:rsidR="00891977" w:rsidRDefault="00891977" w:rsidP="005F1748">
      <w:pPr>
        <w:pStyle w:val="Titre2"/>
      </w:pPr>
      <w:r>
        <w:t>Les rôles sexués</w:t>
      </w:r>
    </w:p>
    <w:p w:rsidR="00891977" w:rsidRPr="00EA71DA" w:rsidRDefault="00891977" w:rsidP="00E074A7"/>
    <w:p w:rsidR="00891977" w:rsidRDefault="00693DBA" w:rsidP="00693DBA">
      <w:pPr>
        <w:rPr>
          <w:rFonts w:cs="Arial"/>
          <w:i/>
          <w:sz w:val="20"/>
        </w:rPr>
      </w:pPr>
      <w:r>
        <w:t>De plus, c</w:t>
      </w:r>
      <w:r w:rsidR="00E074A7" w:rsidRPr="00EA71DA">
        <w:t xml:space="preserve">haque culture et </w:t>
      </w:r>
      <w:r w:rsidR="007E497A">
        <w:t xml:space="preserve">chaque </w:t>
      </w:r>
      <w:r w:rsidR="00E074A7" w:rsidRPr="00EA71DA">
        <w:t>société définit des rôles féminins et masculins</w:t>
      </w:r>
      <w:r>
        <w:t>,</w:t>
      </w:r>
      <w:r w:rsidR="00E074A7" w:rsidRPr="00EA71DA">
        <w:t xml:space="preserve"> associés</w:t>
      </w:r>
      <w:r>
        <w:t xml:space="preserve"> souvent</w:t>
      </w:r>
      <w:r w:rsidR="00E074A7" w:rsidRPr="00EA71DA">
        <w:t xml:space="preserve"> aux différences biologiques entre les hommes et les femmes</w:t>
      </w:r>
      <w:r>
        <w:t>,</w:t>
      </w:r>
      <w:r w:rsidR="00E074A7">
        <w:t xml:space="preserve"> mais aussi </w:t>
      </w:r>
      <w:r>
        <w:t>aux rapports sociaux et de pouvoir entre les sexes</w:t>
      </w:r>
      <w:r w:rsidR="00E074A7" w:rsidRPr="00EA71DA">
        <w:t xml:space="preserve">. Autour </w:t>
      </w:r>
      <w:r>
        <w:t>de ces rôles</w:t>
      </w:r>
      <w:r w:rsidR="007E497A">
        <w:t>,</w:t>
      </w:r>
      <w:r w:rsidR="00E074A7" w:rsidRPr="00EA71DA">
        <w:t xml:space="preserve"> se construisent des images et des représentations de</w:t>
      </w:r>
      <w:r>
        <w:t>s comportements attendus de</w:t>
      </w:r>
      <w:r w:rsidR="00E074A7" w:rsidRPr="00EA71DA">
        <w:t xml:space="preserve"> l’un et l’autre sexe, de ses </w:t>
      </w:r>
      <w:r w:rsidR="007E497A">
        <w:t>(in)</w:t>
      </w:r>
      <w:r w:rsidR="00E074A7" w:rsidRPr="00EA71DA">
        <w:t xml:space="preserve">compétences, de ses rôles et </w:t>
      </w:r>
      <w:r w:rsidR="00C6388E">
        <w:t xml:space="preserve">de </w:t>
      </w:r>
      <w:r w:rsidR="007E497A">
        <w:t xml:space="preserve">ses </w:t>
      </w:r>
      <w:r w:rsidR="00E074A7" w:rsidRPr="00EA71DA">
        <w:t xml:space="preserve">sphères d’activité. Ceci déterminera </w:t>
      </w:r>
      <w:r w:rsidR="007E497A">
        <w:t xml:space="preserve">notamment </w:t>
      </w:r>
      <w:r w:rsidR="00E074A7" w:rsidRPr="00EA71DA">
        <w:t xml:space="preserve">les comportements et </w:t>
      </w:r>
      <w:r w:rsidR="007E497A">
        <w:t xml:space="preserve">les </w:t>
      </w:r>
      <w:r w:rsidR="00E074A7" w:rsidRPr="00EA71DA">
        <w:t xml:space="preserve">attitudes perçus comme « normaux » et « naturels » pour les hommes et </w:t>
      </w:r>
      <w:r w:rsidR="007E497A">
        <w:t xml:space="preserve">pour </w:t>
      </w:r>
      <w:r w:rsidR="00E074A7" w:rsidRPr="00EA71DA">
        <w:t>les femmes</w:t>
      </w:r>
      <w:r w:rsidR="008F2A1D">
        <w:t xml:space="preserve"> </w:t>
      </w:r>
      <w:r w:rsidR="00514CD2">
        <w:fldChar w:fldCharType="begin"/>
      </w:r>
      <w:r w:rsidR="008F2A1D">
        <w:instrText xml:space="preserve"> </w:instrText>
      </w:r>
      <w:r w:rsidR="001E22EF">
        <w:instrText>ADDIN</w:instrText>
      </w:r>
      <w:r w:rsidR="008F2A1D">
        <w:instrText xml:space="preserve"> EN.CITE &lt;EndNote&gt;&lt;Cite&gt;&lt;Author&gt;Olivier&lt;/Author&gt;&lt;Year&gt;2010&lt;/Year&gt;&lt;RecNum&gt;6009&lt;/RecNum&gt;&lt;DisplayText&gt;(Olivier, 2010)&lt;/DisplayText&gt;&lt;record&gt;&lt;rec-number&gt;6009&lt;/rec-number&gt;&lt;foreign-keys&gt;&lt;key app="EN" db-id="5p0x9e0pvxevvwefdv1p9wvt2vdre50z2sxx"&gt;6009&lt;/key&gt;&lt;/foreign-keys&gt;&lt;ref-type name="Book"&gt;6&lt;/ref-type&gt;&lt;contributors&gt;&lt;authors&gt;&lt;author&gt;Olivier, A. (dir.)&lt;/author&gt;&lt;/authors&gt;&lt;/contributors&gt;&lt;titles&gt;&lt;title&gt;SEXE, GENRE ET TRAVAIL&lt;/title&gt;&lt;/titles&gt;&lt;dates&gt;&lt;year&gt;2010&lt;/year&gt;&lt;/dates&gt;&lt;publisher&gt;Réseau Tessitures&lt;/publisher&gt;&lt;urls&gt;&lt;/urls&gt;&lt;/record&gt;&lt;/Cite&gt;&lt;/EndNote&gt;</w:instrText>
      </w:r>
      <w:r w:rsidR="00514CD2">
        <w:fldChar w:fldCharType="separate"/>
      </w:r>
      <w:r w:rsidR="008F2A1D">
        <w:rPr>
          <w:noProof/>
        </w:rPr>
        <w:t>(</w:t>
      </w:r>
      <w:hyperlink w:anchor="_ENREF_22" w:tooltip="Olivier, 2010 #6009" w:history="1">
        <w:r w:rsidR="0028313C">
          <w:rPr>
            <w:noProof/>
          </w:rPr>
          <w:t>Olivier, 2010</w:t>
        </w:r>
      </w:hyperlink>
      <w:r w:rsidR="008F2A1D">
        <w:rPr>
          <w:noProof/>
        </w:rPr>
        <w:t>)</w:t>
      </w:r>
      <w:r w:rsidR="00514CD2">
        <w:fldChar w:fldCharType="end"/>
      </w:r>
      <w:r w:rsidR="00E074A7" w:rsidRPr="00EA71DA">
        <w:t>.</w:t>
      </w:r>
      <w:bookmarkStart w:id="0" w:name="OLE_LINK3"/>
      <w:bookmarkStart w:id="1" w:name="OLE_LINK4"/>
      <w:r>
        <w:rPr>
          <w:rFonts w:cs="Arial"/>
          <w:i/>
          <w:sz w:val="20"/>
        </w:rPr>
        <w:t xml:space="preserve"> </w:t>
      </w:r>
    </w:p>
    <w:p w:rsidR="00891977" w:rsidRDefault="00891977" w:rsidP="00693DBA">
      <w:pPr>
        <w:rPr>
          <w:rFonts w:cs="Arial"/>
          <w:i/>
          <w:sz w:val="20"/>
        </w:rPr>
      </w:pPr>
    </w:p>
    <w:p w:rsidR="00ED3539" w:rsidRDefault="00ED3539" w:rsidP="00693DBA">
      <w:r>
        <w:t>Ainsi, i</w:t>
      </w:r>
      <w:r w:rsidRPr="00EA71DA">
        <w:t xml:space="preserve">l est perçu </w:t>
      </w:r>
      <w:r>
        <w:t xml:space="preserve">comme « </w:t>
      </w:r>
      <w:r w:rsidRPr="00EA71DA">
        <w:t>naturel » que ce soit les femmes qui prennent des co</w:t>
      </w:r>
      <w:r>
        <w:t xml:space="preserve">ngés pour s’occuper des enfants et donc qui demandent des aménagements d’horaire pour avoir leur mercredi après-midi libre ou pour pouvoir aller conduire et rechercher les enfants à l’école. </w:t>
      </w:r>
    </w:p>
    <w:bookmarkEnd w:id="0"/>
    <w:bookmarkEnd w:id="1"/>
    <w:p w:rsidR="00E074A7" w:rsidRPr="00693DBA" w:rsidRDefault="00693DBA" w:rsidP="00693DBA">
      <w:pPr>
        <w:rPr>
          <w:rFonts w:cs="Arial"/>
          <w:i/>
          <w:sz w:val="20"/>
        </w:rPr>
      </w:pPr>
      <w:r>
        <w:t>Par contre, bon nombre de patrons et de responsables hiérarchiques ont encore du mal à entendre et à accepter q</w:t>
      </w:r>
      <w:r w:rsidR="00A67426">
        <w:t>u’un homme doive composer avec c</w:t>
      </w:r>
      <w:r>
        <w:t xml:space="preserve">es contraintes, par nécessité mais </w:t>
      </w:r>
      <w:r>
        <w:lastRenderedPageBreak/>
        <w:t>aussi par choix, pour pouvoir</w:t>
      </w:r>
      <w:r w:rsidR="00E0747F">
        <w:t xml:space="preserve"> être acteur à part entière de sa</w:t>
      </w:r>
      <w:r>
        <w:t xml:space="preserve"> vie familiale et parentale</w:t>
      </w:r>
      <w:r w:rsidR="00891977">
        <w:t xml:space="preserve"> </w:t>
      </w:r>
      <w:r w:rsidR="00514CD2">
        <w:fldChar w:fldCharType="begin"/>
      </w:r>
      <w:r w:rsidR="00891977">
        <w:instrText xml:space="preserve"> </w:instrText>
      </w:r>
      <w:r w:rsidR="001E22EF">
        <w:instrText>ADDIN</w:instrText>
      </w:r>
      <w:r w:rsidR="00891977">
        <w:instrText xml:space="preserve"> EN.CITE &lt;EndNote&gt;&lt;Cite&gt;&lt;Author&gt;ORSE&lt;/Author&gt;&lt;Year&gt;2008&lt;/Year&gt;&lt;RecNum&gt;4435&lt;/RecNum&gt;&lt;DisplayText&gt;(ORSE, 2008)&lt;/DisplayText&gt;&lt;record&gt;&lt;rec-number&gt;4435&lt;/rec-number&gt;&lt;foreign-keys&gt;&lt;key app="EN" db-id="5p0x9e0pvxevvwefdv1p9wvt2vdre50z2sxx"&gt;4435&lt;/key&gt;&lt;/foreign-keys&gt;&lt;ref-type name="Book"&gt;6&lt;/ref-type&gt;&lt;contributors&gt;&lt;authors&gt;&lt;author&gt;ORSE&lt;/author&gt;&lt;/authors&gt;&lt;/contributors&gt;&lt;titles&gt;&lt;title&gt;Promouvoir la parentalité auprès des salariés masculins : un enjeu d&amp;apos;égalité professionnelle- GUIDE D’APPUI POUR LES ENTREPRISES&lt;/title&gt;&lt;/titles&gt;&lt;section&gt;85&lt;/section&gt;&lt;dates&gt;&lt;year&gt;2008&lt;/year&gt;&lt;/dates&gt;&lt;pub-location&gt;Paris&lt;/pub-location&gt;&lt;publisher&gt;ORSE&lt;/publisher&gt;&lt;urls&gt;&lt;/urls&gt;&lt;/record&gt;&lt;/Cite&gt;&lt;/EndNote&gt;</w:instrText>
      </w:r>
      <w:r w:rsidR="00514CD2">
        <w:fldChar w:fldCharType="separate"/>
      </w:r>
      <w:r w:rsidR="00891977">
        <w:rPr>
          <w:noProof/>
        </w:rPr>
        <w:t>(</w:t>
      </w:r>
      <w:hyperlink w:anchor="_ENREF_23" w:tooltip="ORSE, 2008 #4435" w:history="1">
        <w:r w:rsidR="0028313C">
          <w:rPr>
            <w:noProof/>
          </w:rPr>
          <w:t>ORSE, 2008</w:t>
        </w:r>
      </w:hyperlink>
      <w:r w:rsidR="00891977">
        <w:rPr>
          <w:noProof/>
        </w:rPr>
        <w:t>)</w:t>
      </w:r>
      <w:r w:rsidR="00514CD2">
        <w:fldChar w:fldCharType="end"/>
      </w:r>
      <w:r>
        <w:t>. Des rôles et des tâc</w:t>
      </w:r>
      <w:r w:rsidR="00891977">
        <w:t>h</w:t>
      </w:r>
      <w:r>
        <w:t>es restent perçus comme naturellement masculin</w:t>
      </w:r>
      <w:r w:rsidR="00A67426">
        <w:t>s</w:t>
      </w:r>
      <w:r>
        <w:t xml:space="preserve"> ou féminin</w:t>
      </w:r>
      <w:r w:rsidR="00A67426">
        <w:t xml:space="preserve">s, cela se marque notamment dans les titres et </w:t>
      </w:r>
      <w:r w:rsidR="007E497A">
        <w:t xml:space="preserve">les </w:t>
      </w:r>
      <w:r w:rsidR="00A67426">
        <w:t>fonctions</w:t>
      </w:r>
      <w:r w:rsidR="00E0747F">
        <w:t>. On parlera d’un</w:t>
      </w:r>
      <w:r w:rsidRPr="00EA71DA">
        <w:t xml:space="preserve"> patron, </w:t>
      </w:r>
      <w:r w:rsidR="00E0747F">
        <w:t>d’une</w:t>
      </w:r>
      <w:r w:rsidRPr="00EA71DA">
        <w:t xml:space="preserve"> assistante</w:t>
      </w:r>
      <w:r>
        <w:t>/secrétaire</w:t>
      </w:r>
      <w:r w:rsidR="00A67426">
        <w:t xml:space="preserve">, </w:t>
      </w:r>
      <w:r w:rsidR="00E0747F">
        <w:t>d’une</w:t>
      </w:r>
      <w:r w:rsidR="00A67426">
        <w:t xml:space="preserve"> sage-f</w:t>
      </w:r>
      <w:r w:rsidR="007E497A">
        <w:t>e</w:t>
      </w:r>
      <w:r w:rsidR="00A67426">
        <w:t xml:space="preserve">mme, </w:t>
      </w:r>
      <w:r w:rsidR="00E0747F">
        <w:t>d’un</w:t>
      </w:r>
      <w:r w:rsidR="00A67426">
        <w:t xml:space="preserve"> professeur</w:t>
      </w:r>
      <w:r w:rsidR="00E0747F">
        <w:t>, de Madame le Ministre</w:t>
      </w:r>
      <w:r w:rsidR="00891977">
        <w:t xml:space="preserve"> </w:t>
      </w:r>
      <w:r w:rsidR="00514CD2">
        <w:fldChar w:fldCharType="begin"/>
      </w:r>
      <w:r w:rsidR="00891977">
        <w:instrText xml:space="preserve"> </w:instrText>
      </w:r>
      <w:r w:rsidR="001E22EF">
        <w:instrText>ADDIN</w:instrText>
      </w:r>
      <w:r w:rsidR="00891977">
        <w:instrText xml:space="preserve"> EN.CITE &lt;EndNote&gt;&lt;Cite&gt;&lt;Author&gt;Laufer&lt;/Author&gt;&lt;Year&gt;1982&lt;/Year&gt;&lt;RecNum&gt;5904&lt;/RecNum&gt;&lt;DisplayText&gt;(Belghiti-Mahut &amp;amp; Lafont, 2009; Laufer, 1982)&lt;/DisplayText&gt;&lt;record&gt;&lt;rec-number&gt;5904&lt;/rec-number&gt;&lt;foreign-keys&gt;&lt;key app="EN" db-id="5p0x9e0pvxevvwefdv1p9wvt2vdre50z2sxx"&gt;5904&lt;/key&gt;&lt;key app="ENWeb" db-id=""&gt;0&lt;/key&gt;&lt;/foreign-keys&gt;&lt;ref-type name="Book"&gt;6&lt;/ref-type&gt;&lt;contributors&gt;&lt;authors&gt;&lt;author&gt;Laufer, J.&lt;/author&gt;&lt;/authors&gt;&lt;/contributors&gt;&lt;titles&gt;&lt;title&gt;La féminité neutralisée?: les femmes cadres dans l&amp;apos;entreprise&lt;/title&gt;&lt;short-title&gt;La féminité neutralisée?: les femmes cadres dans l&amp;apos;entreprise&lt;/short-title&gt;&lt;/titles&gt;&lt;dates&gt;&lt;year&gt;1982&lt;/year&gt;&lt;/dates&gt;&lt;pub-location&gt;Paris&lt;/pub-location&gt;&lt;publisher&gt;Flamarion&lt;/publisher&gt;&lt;urls&gt;&lt;/urls&gt;&lt;/record&gt;&lt;/Cite&gt;&lt;Cite&gt;&lt;Author&gt;Belghiti-Mahut&lt;/Author&gt;&lt;Year&gt;2009&lt;/Year&gt;&lt;RecNum&gt;5440&lt;/RecNum&gt;&lt;record&gt;&lt;rec-number&gt;5440&lt;/rec-number&gt;&lt;foreign-keys&gt;&lt;key app="EN" db-id="5p0x9e0pvxevvwefdv1p9wvt2vdre50z2sxx"&gt;5440&lt;/key&gt;&lt;key app="ENWeb" db-id=""&gt;0&lt;/key&gt;&lt;/foreign-keys&gt;&lt;ref-type name="Conference Paper"&gt;47&lt;/ref-type&gt;&lt;contributors&gt;&lt;authors&gt;&lt;author&gt;Belghiti-Mahut, M.&lt;/author&gt;&lt;author&gt;Lafont, A. L.&lt;/author&gt;&lt;/authors&gt;&lt;/contributors&gt;&lt;titles&gt;&lt;title&gt;Présence des femmes dans le top management et performance financière des entreprises: une étude exploratoire&lt;/title&gt;&lt;secondary-title&gt;20e congrès de l&amp;apos;AGRH&lt;/secondary-title&gt;&lt;/titles&gt;&lt;dates&gt;&lt;year&gt;2009&lt;/year&gt;&lt;/dates&gt;&lt;pub-location&gt;Toulouse&lt;/pub-location&gt;&lt;urls&gt;&lt;/urls&gt;&lt;/record&gt;&lt;/Cite&gt;&lt;/EndNote&gt;</w:instrText>
      </w:r>
      <w:r w:rsidR="00514CD2">
        <w:fldChar w:fldCharType="separate"/>
      </w:r>
      <w:r w:rsidR="00891977">
        <w:rPr>
          <w:noProof/>
        </w:rPr>
        <w:t>(</w:t>
      </w:r>
      <w:hyperlink w:anchor="_ENREF_2" w:tooltip="Belghiti-Mahut, 2009 #5440" w:history="1">
        <w:r w:rsidR="0028313C">
          <w:rPr>
            <w:noProof/>
          </w:rPr>
          <w:t>Belghiti-Mahut &amp; Lafont, 2009</w:t>
        </w:r>
      </w:hyperlink>
      <w:r w:rsidR="00891977">
        <w:rPr>
          <w:noProof/>
        </w:rPr>
        <w:t xml:space="preserve">; </w:t>
      </w:r>
      <w:hyperlink w:anchor="_ENREF_15" w:tooltip="Laufer, 1982 #5904" w:history="1">
        <w:r w:rsidR="0028313C">
          <w:rPr>
            <w:noProof/>
          </w:rPr>
          <w:t>Laufer, 1982</w:t>
        </w:r>
      </w:hyperlink>
      <w:r w:rsidR="00891977">
        <w:rPr>
          <w:noProof/>
        </w:rPr>
        <w:t>)</w:t>
      </w:r>
      <w:r w:rsidR="00514CD2">
        <w:fldChar w:fldCharType="end"/>
      </w:r>
      <w:r w:rsidRPr="00EA71DA">
        <w:t>.</w:t>
      </w:r>
    </w:p>
    <w:p w:rsidR="00891977" w:rsidRDefault="00891977" w:rsidP="00E074A7"/>
    <w:p w:rsidR="00E074A7" w:rsidRDefault="00E074A7" w:rsidP="00E074A7">
      <w:r w:rsidRPr="00EA71DA">
        <w:t xml:space="preserve">Cette répartition des rôles sexués est une construction sociale qui évolue dans le temps (les pères investissent de plus en plus les rôles parentaux) et qui varie </w:t>
      </w:r>
      <w:r w:rsidR="007E497A">
        <w:t xml:space="preserve">aussi </w:t>
      </w:r>
      <w:r w:rsidRPr="00EA71DA">
        <w:t>d’un groupe social à l’autre. Il est perçu</w:t>
      </w:r>
      <w:r w:rsidR="00693DBA">
        <w:t>, dans nos sociétés,</w:t>
      </w:r>
      <w:r w:rsidRPr="00EA71DA">
        <w:t xml:space="preserve"> de plus en plus comme « normal » qu’un homme demande des aménagements de son temps de travail pour </w:t>
      </w:r>
      <w:r w:rsidR="007E497A">
        <w:t xml:space="preserve">des </w:t>
      </w:r>
      <w:r w:rsidRPr="00EA71DA">
        <w:t>raisons fa</w:t>
      </w:r>
      <w:r w:rsidR="00693DBA">
        <w:t xml:space="preserve">miliales (garde partagée, etc.) mais cela est loin d’être vrai dans tous les pays du monde. </w:t>
      </w:r>
    </w:p>
    <w:p w:rsidR="00A67426" w:rsidRDefault="00A67426" w:rsidP="00E074A7"/>
    <w:p w:rsidR="00E0747F" w:rsidRDefault="00E0747F" w:rsidP="00E074A7"/>
    <w:p w:rsidR="00052EDA" w:rsidRDefault="00052EDA" w:rsidP="005F1748">
      <w:pPr>
        <w:pStyle w:val="Titre2"/>
      </w:pPr>
      <w:r>
        <w:t xml:space="preserve">Les inégalités </w:t>
      </w:r>
    </w:p>
    <w:p w:rsidR="005F1748" w:rsidRPr="005F1748" w:rsidRDefault="005F1748" w:rsidP="005F1748"/>
    <w:p w:rsidR="008F2A1D" w:rsidRDefault="008F2A1D" w:rsidP="00A11A2B"/>
    <w:p w:rsidR="0059468C" w:rsidRDefault="00A11A2B" w:rsidP="00A11A2B">
      <w:r>
        <w:t xml:space="preserve">L’analyse de genre vise aussi à débusquer les inégalités qui sont le résultat de ces constructions sociales. </w:t>
      </w:r>
      <w:r w:rsidR="00E0747F">
        <w:t>C</w:t>
      </w:r>
      <w:r w:rsidR="00E0747F" w:rsidRPr="00EA71DA">
        <w:t>e ne sont pas les différences qui sont un problème (au contraire, la différence peut être une source de valeur ajoutée et de créativité)</w:t>
      </w:r>
      <w:r w:rsidR="00E0747F">
        <w:t xml:space="preserve"> mais bien </w:t>
      </w:r>
      <w:r w:rsidR="00E0747F" w:rsidRPr="00EA71DA">
        <w:t>les situations d’inégalités et de dépendance qui sont construi</w:t>
      </w:r>
      <w:r w:rsidR="00E0747F">
        <w:t xml:space="preserve">tes autour de ces différences. </w:t>
      </w:r>
      <w:r w:rsidR="00E074A7" w:rsidRPr="00EA71DA">
        <w:t>Les femmes et les hommes, de par la répartition des rôles et en raison des stéréotypes sur leurs compétences et incompétences, subissent des inégalités en terme</w:t>
      </w:r>
      <w:r w:rsidR="007E497A">
        <w:t>s</w:t>
      </w:r>
      <w:r w:rsidR="00E074A7" w:rsidRPr="00EA71DA">
        <w:t xml:space="preserve"> de représentations, de répartition et d’accès aux ressources, </w:t>
      </w:r>
      <w:r w:rsidR="007E497A">
        <w:t xml:space="preserve">et </w:t>
      </w:r>
      <w:r w:rsidR="00E074A7" w:rsidRPr="00EA71DA">
        <w:t>d’exercice du pouvoir</w:t>
      </w:r>
      <w:r w:rsidR="005F1748">
        <w:t xml:space="preserve"> </w:t>
      </w:r>
      <w:r w:rsidR="008F2A1D">
        <w:t>(3R</w:t>
      </w:r>
      <w:r w:rsidR="008F2A1D">
        <w:rPr>
          <w:rStyle w:val="Marquenotebasdepage"/>
        </w:rPr>
        <w:footnoteReference w:id="1"/>
      </w:r>
      <w:r w:rsidR="008F2A1D">
        <w:t xml:space="preserve">). </w:t>
      </w:r>
    </w:p>
    <w:p w:rsidR="0059468C" w:rsidRDefault="0059468C" w:rsidP="00A11A2B"/>
    <w:p w:rsidR="006B4599" w:rsidRDefault="00E074A7" w:rsidP="00A11A2B">
      <w:r w:rsidRPr="00EA71DA">
        <w:t xml:space="preserve">L’investissement des femmes dans la sphère familiale les pénalise </w:t>
      </w:r>
      <w:r w:rsidR="005F1748">
        <w:t>au niveau</w:t>
      </w:r>
      <w:r w:rsidRPr="00EA71DA">
        <w:t xml:space="preserve"> de</w:t>
      </w:r>
      <w:r w:rsidR="005F1748">
        <w:t xml:space="preserve"> leurs</w:t>
      </w:r>
      <w:r w:rsidRPr="00EA71DA">
        <w:t xml:space="preserve"> droits à la sécurité sociale (droits dérivés) et </w:t>
      </w:r>
      <w:r w:rsidR="005F1748">
        <w:t>du montant de l</w:t>
      </w:r>
      <w:r w:rsidR="007E497A">
        <w:t>eur</w:t>
      </w:r>
      <w:r w:rsidR="005F1748">
        <w:t xml:space="preserve"> pension</w:t>
      </w:r>
      <w:r w:rsidRPr="00EA71DA">
        <w:t>.</w:t>
      </w:r>
      <w:r w:rsidR="00A11A2B">
        <w:t xml:space="preserve"> </w:t>
      </w:r>
      <w:r w:rsidR="005F1748" w:rsidRPr="00A11A2B">
        <w:t>Plusieurs</w:t>
      </w:r>
      <w:r w:rsidR="005F1748" w:rsidRPr="00EA71DA">
        <w:t xml:space="preserve"> femmes étrangères b</w:t>
      </w:r>
      <w:r w:rsidR="005F1748">
        <w:t>énéficient du statut de réfugié</w:t>
      </w:r>
      <w:r w:rsidR="005F1748" w:rsidRPr="00EA71DA">
        <w:t xml:space="preserve"> en regard de leur situation de dépendance par rapport à leur conjoint</w:t>
      </w:r>
      <w:r w:rsidR="006B4599">
        <w:t>, une séparation risque</w:t>
      </w:r>
      <w:r w:rsidR="007E497A">
        <w:t xml:space="preserve">rait donc </w:t>
      </w:r>
      <w:r w:rsidR="006B4599">
        <w:t xml:space="preserve">d’entraîner </w:t>
      </w:r>
      <w:r w:rsidR="00C6388E">
        <w:t>leur</w:t>
      </w:r>
      <w:r w:rsidR="006B4599">
        <w:t xml:space="preserve"> renvoi dans le pays d’origine </w:t>
      </w:r>
      <w:r w:rsidR="00514CD2">
        <w:fldChar w:fldCharType="begin"/>
      </w:r>
      <w:r w:rsidR="006B4599">
        <w:instrText xml:space="preserve"> </w:instrText>
      </w:r>
      <w:r w:rsidR="001E22EF">
        <w:instrText>ADDIN</w:instrText>
      </w:r>
      <w:r w:rsidR="006B4599">
        <w:instrText xml:space="preserve"> EN.CITE &lt;EndNote&gt;&lt;Cite&gt;&lt;Author&gt;Ouali&lt;/Author&gt;&lt;Year&gt;2007&lt;/Year&gt;&lt;RecNum&gt;4301&lt;/RecNum&gt;&lt;DisplayText&gt;(Ouali, 2007)&lt;/DisplayText&gt;&lt;record&gt;&lt;rec-number&gt;4301&lt;/rec-number&gt;&lt;foreign-keys&gt;&lt;key app="EN" db-id="5p0x9e0pvxevvwefdv1p9wvt2vdre50z2sxx"&gt;4301&lt;/key&gt;&lt;key app="ENWeb" db-id=""&gt;0&lt;/key&gt;&lt;/foreign-keys&gt;&lt;ref-type name="Book Section"&gt;5&lt;/ref-type&gt;&lt;contributors&gt;&lt;authors&gt;&lt;author&gt;Ouali, N.&lt;/author&gt;&lt;/authors&gt;&lt;secondary-authors&gt;&lt;author&gt;Martiniello, Marco&lt;/author&gt;&lt;author&gt;Dassetto, Felice&lt;/author&gt;&lt;author&gt;Rea, Andrea&lt;/author&gt;&lt;/secondary-authors&gt;&lt;/contributors&gt;&lt;titles&gt;&lt;title&gt;Les femmes immigrées sur le marché du travail. Etat des savoirs&lt;/title&gt;&lt;secondary-title&gt;Immigration et intégration en Belgique francophone M.. Etat des savoirs&lt;/secondary-title&gt;&lt;/titles&gt;&lt;pages&gt;269-285&lt;/pages&gt;&lt;dates&gt;&lt;year&gt;2007&lt;/year&gt;&lt;/dates&gt;&lt;pub-location&gt;Bruxelles&lt;/pub-location&gt;&lt;publisher&gt;Academia Bruylant&lt;/publisher&gt;&lt;urls&gt;&lt;/urls&gt;&lt;/record&gt;&lt;/Cite&gt;&lt;/EndNote&gt;</w:instrText>
      </w:r>
      <w:r w:rsidR="00514CD2">
        <w:fldChar w:fldCharType="separate"/>
      </w:r>
      <w:r w:rsidR="006B4599">
        <w:rPr>
          <w:noProof/>
        </w:rPr>
        <w:t>(</w:t>
      </w:r>
      <w:hyperlink w:anchor="_ENREF_25" w:tooltip="Ouali, 2007 #4301" w:history="1">
        <w:r w:rsidR="0028313C">
          <w:rPr>
            <w:noProof/>
          </w:rPr>
          <w:t>Ouali, 2007</w:t>
        </w:r>
      </w:hyperlink>
      <w:r w:rsidR="006B4599">
        <w:rPr>
          <w:noProof/>
        </w:rPr>
        <w:t>)</w:t>
      </w:r>
      <w:r w:rsidR="00514CD2">
        <w:fldChar w:fldCharType="end"/>
      </w:r>
      <w:r w:rsidR="005F1748" w:rsidRPr="00EA71DA">
        <w:t xml:space="preserve">. </w:t>
      </w:r>
      <w:r w:rsidR="00E0747F">
        <w:t>Elles n’ont, en Belgique, par ailleurs, pas le droit de travailler dans leur pays d’accueil et n’ont pas droit à un permis de travail, ce qui renforce leur dépendance économique à l’égard de leur conjoint.</w:t>
      </w:r>
    </w:p>
    <w:p w:rsidR="006B4599" w:rsidRDefault="006B4599" w:rsidP="00A11A2B"/>
    <w:p w:rsidR="005F1748" w:rsidRDefault="005F1748" w:rsidP="00A11A2B">
      <w:r>
        <w:t xml:space="preserve">Les inégalités concernent </w:t>
      </w:r>
      <w:r w:rsidR="006B4599">
        <w:t>également</w:t>
      </w:r>
      <w:r>
        <w:t xml:space="preserve"> les hommes, pris dans ce système de stéréotypes et de rôles sociaux assignés à l’un ou l’autre sexe. Ainsi, l</w:t>
      </w:r>
      <w:r w:rsidR="00E074A7" w:rsidRPr="00EA71DA">
        <w:t xml:space="preserve">es hommes </w:t>
      </w:r>
      <w:r w:rsidR="007E497A">
        <w:t>éprouvent</w:t>
      </w:r>
      <w:r w:rsidR="00E074A7" w:rsidRPr="00EA71DA">
        <w:t xml:space="preserve"> encore parfois des difficultés à</w:t>
      </w:r>
      <w:r w:rsidR="00524EA8">
        <w:t xml:space="preserve"> obtenir et demander un congé parental, à</w:t>
      </w:r>
      <w:r w:rsidR="00E074A7" w:rsidRPr="00EA71DA">
        <w:t xml:space="preserve"> être situés sur un pied d’égalité en terme</w:t>
      </w:r>
      <w:r w:rsidR="007E3F63">
        <w:t>s</w:t>
      </w:r>
      <w:r w:rsidR="00E074A7" w:rsidRPr="00EA71DA">
        <w:t xml:space="preserve"> de </w:t>
      </w:r>
      <w:r>
        <w:t>garde des</w:t>
      </w:r>
      <w:r w:rsidR="00E074A7" w:rsidRPr="00EA71DA">
        <w:t xml:space="preserve"> enfants.</w:t>
      </w:r>
      <w:r w:rsidR="00A11A2B">
        <w:t xml:space="preserve"> </w:t>
      </w:r>
      <w:r w:rsidR="00E0747F">
        <w:t>Certains s’estiment pénalisés par le calcul des pensions alimentaires qui ne prend pas en compte leurs jours de garde. Le taux de décrochage scolaire des garçons est trois fois plus élevé que celui des filles, les garçons seraient plus vite sanctionnés en cas de comportements déviants que les filles.</w:t>
      </w:r>
    </w:p>
    <w:p w:rsidR="005F1748" w:rsidRDefault="005F1748" w:rsidP="00A11A2B"/>
    <w:p w:rsidR="005F1748" w:rsidRDefault="005F1748" w:rsidP="005F1748">
      <w:pPr>
        <w:pStyle w:val="Titre2"/>
      </w:pPr>
      <w:r>
        <w:t>Dévalorisation du féminin</w:t>
      </w:r>
    </w:p>
    <w:p w:rsidR="00E074A7" w:rsidRPr="00EA71DA" w:rsidRDefault="00E074A7" w:rsidP="00E074A7"/>
    <w:p w:rsidR="008F2A1D" w:rsidRDefault="007E497A" w:rsidP="00E074A7">
      <w:r>
        <w:t>Globalement, l</w:t>
      </w:r>
      <w:r w:rsidR="00E074A7" w:rsidRPr="00EA71DA">
        <w:t>a société s’est construite autour d’une dévalorisation des caractéristiques dites féminines et d’une survalorisation des caractéristiques perçues comme masculines.</w:t>
      </w:r>
      <w:r w:rsidR="00A11A2B">
        <w:t xml:space="preserve"> </w:t>
      </w:r>
      <w:r w:rsidR="00E074A7" w:rsidRPr="00EA71DA">
        <w:t>On remarque une survalorisation des secteurs d’activité et des métiers où les hommes sont majoritaires (informatique, finances</w:t>
      </w:r>
      <w:r>
        <w:t>, etc.</w:t>
      </w:r>
      <w:r w:rsidR="00E074A7" w:rsidRPr="00EA71DA">
        <w:t xml:space="preserve">). </w:t>
      </w:r>
    </w:p>
    <w:p w:rsidR="008F2A1D" w:rsidRDefault="008F2A1D" w:rsidP="00E074A7"/>
    <w:p w:rsidR="000312D2" w:rsidRDefault="00E074A7" w:rsidP="006B4599">
      <w:r w:rsidRPr="00EA71DA">
        <w:t xml:space="preserve">Ceci a un impact sur les salaires. </w:t>
      </w:r>
      <w:r w:rsidR="006B4599">
        <w:t>L</w:t>
      </w:r>
      <w:r w:rsidRPr="00EA71DA">
        <w:t>a démarche d’équité salariale vise justement à réévaluer les critères qui ont été utilisés pour classer l’importance et la valeur des métiers majoritairement féminins (secrétaire, puéricultrice, enseignante maternelle, infirmières, etc.)</w:t>
      </w:r>
      <w:r w:rsidR="005F1748">
        <w:t xml:space="preserve"> </w:t>
      </w:r>
      <w:r w:rsidR="00514CD2">
        <w:fldChar w:fldCharType="begin"/>
      </w:r>
      <w:r w:rsidR="00192905">
        <w:instrText xml:space="preserve"> </w:instrText>
      </w:r>
      <w:r w:rsidR="001E22EF">
        <w:instrText>ADDIN</w:instrText>
      </w:r>
      <w:r w:rsidR="00192905">
        <w:instrText xml:space="preserve"> EN.CITE &lt;EndNote&gt;&lt;Cite&gt;&lt;Author&gt;Meulders&lt;/Author&gt;&lt;Year&gt;2006&lt;/Year&gt;&lt;RecNum&gt;4344&lt;/RecNum&gt;&lt;DisplayText&gt;(Chicha, 2000; Meulders &amp;amp; O’Dorchai, 2006)&lt;/DisplayText&gt;&lt;record&gt;&lt;rec-number&gt;4344&lt;/rec-number&gt;&lt;foreign-keys&gt;&lt;key app="EN" db-id="5p0x9e0pvxevvwefdv1p9wvt2vdre50z2sxx"&gt;4344&lt;/key&gt;&lt;/foreign-keys&gt;&lt;ref-type name="Report"&gt;27&lt;/ref-type&gt;&lt;contributors&gt;&lt;authors&gt;&lt;author&gt;Meulders, D.&lt;/author&gt;&lt;author&gt;O’Dorchai, S.&lt;/author&gt;&lt;/authors&gt;&lt;secondary-authors&gt;&lt;author&gt;Group of experts on Gender, Social Inclusion and Employment&lt;/author&gt;&lt;/secondary-authors&gt;&lt;/contributors&gt;&lt;titles&gt;&lt;title&gt;The gender pay gap in Belgium, in The gender pay gap — Origins and policy responses: A comparative review of 30 European countries&lt;/title&gt;&lt;/titles&gt;&lt;dates&gt;&lt;year&gt;2006&lt;/year&gt;&lt;/dates&gt;&lt;publisher&gt;European Commission Directorate-General for Employment, Social Affairs and Equal Opportunities, Unit G.1.&lt;/publisher&gt;&lt;urls&gt;&lt;/urls&gt;&lt;/record&gt;&lt;/Cite&gt;&lt;Cite&gt;&lt;Author&gt;Chicha&lt;/Author&gt;&lt;Year&gt;2000&lt;/Year&gt;&lt;RecNum&gt;4229&lt;/RecNum&gt;&lt;record&gt;&lt;rec-number&gt;4229&lt;/rec-number&gt;&lt;foreign-keys&gt;&lt;key app="EN" db-id="5p0x9e0pvxevvwefdv1p9wvt2vdre50z2sxx"&gt;4229&lt;/key&gt;&lt;key app="ENWeb" db-id=""&gt;0&lt;/key&gt;&lt;/foreign-keys&gt;&lt;ref-type name="Book"&gt;6&lt;/ref-type&gt;&lt;contributors&gt;&lt;authors&gt;&lt;author&gt;Chicha, M.T.&lt;/author&gt;&lt;/authors&gt;&lt;/contributors&gt;&lt;titles&gt;&lt;title&gt;L&amp;apos;équité salariale, Mise en oeuvre et enjeux&lt;/title&gt;&lt;/titles&gt;&lt;volume&gt;2ième édition&lt;/volume&gt;&lt;dates&gt;&lt;year&gt;2000&lt;/year&gt;&lt;/dates&gt;&lt;pub-location&gt;Montréal&lt;/pub-location&gt;&lt;publisher&gt;Les Éditions Yvon Blais&lt;/publisher&gt;&lt;urls&gt;&lt;/urls&gt;&lt;/record&gt;&lt;/Cite&gt;&lt;/EndNote&gt;</w:instrText>
      </w:r>
      <w:r w:rsidR="00514CD2">
        <w:fldChar w:fldCharType="separate"/>
      </w:r>
      <w:r w:rsidR="000312D2">
        <w:rPr>
          <w:noProof/>
        </w:rPr>
        <w:t>(</w:t>
      </w:r>
      <w:hyperlink w:anchor="_ENREF_5" w:tooltip="Chicha, 2000 #4229" w:history="1">
        <w:r w:rsidR="0028313C">
          <w:rPr>
            <w:noProof/>
          </w:rPr>
          <w:t>Chicha, 2000</w:t>
        </w:r>
      </w:hyperlink>
      <w:r w:rsidR="000312D2">
        <w:rPr>
          <w:noProof/>
        </w:rPr>
        <w:t xml:space="preserve">; </w:t>
      </w:r>
      <w:hyperlink w:anchor="_ENREF_19" w:tooltip="Meulders, 2006 #4344" w:history="1">
        <w:r w:rsidR="0028313C">
          <w:rPr>
            <w:noProof/>
          </w:rPr>
          <w:t>Meulders &amp; O’Dorchai, 2006</w:t>
        </w:r>
      </w:hyperlink>
      <w:r w:rsidR="000312D2">
        <w:rPr>
          <w:noProof/>
        </w:rPr>
        <w:t>)</w:t>
      </w:r>
      <w:r w:rsidR="00514CD2">
        <w:fldChar w:fldCharType="end"/>
      </w:r>
      <w:r w:rsidRPr="00EA71DA">
        <w:t>.</w:t>
      </w:r>
      <w:r w:rsidR="00A11A2B">
        <w:t xml:space="preserve"> </w:t>
      </w:r>
      <w:r w:rsidR="000312D2" w:rsidRPr="000312D2">
        <w:t>L’équité salariale suppose de rémunérer de la même manière les emplois de valeur égale, que ceux-ci soient occupés majoritairement par des hommes ou par des femmes.</w:t>
      </w:r>
      <w:r w:rsidR="000312D2">
        <w:t xml:space="preserve"> </w:t>
      </w:r>
      <w:r w:rsidR="000312D2" w:rsidRPr="000312D2">
        <w:t xml:space="preserve">La notion d'équité salariale dépasse donc celle d'égalité salariale </w:t>
      </w:r>
      <w:r w:rsidR="00AA6105">
        <w:t xml:space="preserve">en ce sens </w:t>
      </w:r>
      <w:r w:rsidR="007E3F63">
        <w:t>qu’</w:t>
      </w:r>
      <w:r w:rsidR="000312D2" w:rsidRPr="000312D2">
        <w:t xml:space="preserve">elle suppose de reconsidérer la manière dont sont évaluées les fonctions d'une entreprise ou </w:t>
      </w:r>
      <w:r w:rsidR="00AA6105">
        <w:t xml:space="preserve">d’une </w:t>
      </w:r>
      <w:r w:rsidR="000312D2" w:rsidRPr="000312D2">
        <w:t>organisation. L’équité salariale va au-delà d’un salaire égal pour les mêmes emplois et requiert que le salaire soit attribué de manière é</w:t>
      </w:r>
      <w:r w:rsidR="00524EA8">
        <w:t xml:space="preserve">gale aux emplois de même valeur </w:t>
      </w:r>
      <w:r w:rsidR="00514CD2">
        <w:fldChar w:fldCharType="begin"/>
      </w:r>
      <w:r w:rsidR="00192905">
        <w:instrText xml:space="preserve"> </w:instrText>
      </w:r>
      <w:r w:rsidR="001E22EF">
        <w:instrText>ADDIN</w:instrText>
      </w:r>
      <w:r w:rsidR="00192905">
        <w:instrText xml:space="preserve"> EN.CITE &lt;EndNote&gt;&lt;Cite&gt;&lt;Author&gt;Chicha&lt;/Author&gt;&lt;Year&gt;2000&lt;/Year&gt;&lt;RecNum&gt;4229&lt;/RecNum&gt;&lt;DisplayText&gt;(Chicha, 2000)&lt;/DisplayText&gt;&lt;record&gt;&lt;rec-number&gt;4229&lt;/rec-number&gt;&lt;foreign-keys&gt;&lt;key app="EN" db-id="5p0x9e0pvxevvwefdv1p9wvt2vdre50z2sxx"&gt;4229&lt;/key&gt;&lt;key app="ENWeb" db-id=""&gt;0&lt;/key&gt;&lt;/foreign-keys&gt;&lt;ref-type name="Book"&gt;6&lt;/ref-type&gt;&lt;contributors&gt;&lt;authors&gt;&lt;author&gt;Chicha, M.T.&lt;/author&gt;&lt;/authors&gt;&lt;/contributors&gt;&lt;titles&gt;&lt;title&gt;L&amp;apos;équité salariale, Mise en oeuvre et enjeux&lt;/title&gt;&lt;/titles&gt;&lt;volume&gt;2ième édition&lt;/volume&gt;&lt;dates&gt;&lt;year&gt;2000&lt;/year&gt;&lt;/dates&gt;&lt;pub-location&gt;Montréal&lt;/pub-location&gt;&lt;publisher&gt;Les Éditions Yvon Blais&lt;/publisher&gt;&lt;urls&gt;&lt;/urls&gt;&lt;/record&gt;&lt;/Cite&gt;&lt;/EndNote&gt;</w:instrText>
      </w:r>
      <w:r w:rsidR="00514CD2">
        <w:fldChar w:fldCharType="separate"/>
      </w:r>
      <w:r w:rsidR="000312D2">
        <w:rPr>
          <w:noProof/>
        </w:rPr>
        <w:t>(</w:t>
      </w:r>
      <w:hyperlink w:anchor="_ENREF_5" w:tooltip="Chicha, 2000 #4229" w:history="1">
        <w:r w:rsidR="0028313C">
          <w:rPr>
            <w:noProof/>
          </w:rPr>
          <w:t>Chicha, 2000</w:t>
        </w:r>
      </w:hyperlink>
      <w:r w:rsidR="000312D2">
        <w:rPr>
          <w:noProof/>
        </w:rPr>
        <w:t>)</w:t>
      </w:r>
      <w:r w:rsidR="00514CD2">
        <w:fldChar w:fldCharType="end"/>
      </w:r>
      <w:r w:rsidR="008F2A1D">
        <w:t xml:space="preserve">. </w:t>
      </w:r>
    </w:p>
    <w:p w:rsidR="000312D2" w:rsidRDefault="000312D2" w:rsidP="000312D2"/>
    <w:p w:rsidR="00E074A7" w:rsidRPr="008F2A1D" w:rsidRDefault="006B4599" w:rsidP="00E074A7">
      <w:pPr>
        <w:rPr>
          <w:lang w:val="fr-FR"/>
        </w:rPr>
      </w:pPr>
      <w:r>
        <w:rPr>
          <w:lang w:val="fr-FR"/>
        </w:rPr>
        <w:t xml:space="preserve">Ce processus de dévalorisation peut être aussi observé dans la reconnaissance de </w:t>
      </w:r>
      <w:r w:rsidR="000312D2" w:rsidRPr="00EA71DA">
        <w:rPr>
          <w:lang w:val="fr-FR"/>
        </w:rPr>
        <w:t>l’impact des conditions de travail sur la santé des travailleurs</w:t>
      </w:r>
      <w:r>
        <w:rPr>
          <w:lang w:val="fr-FR"/>
        </w:rPr>
        <w:t>. On constate</w:t>
      </w:r>
      <w:r w:rsidR="000312D2" w:rsidRPr="00EA71DA">
        <w:rPr>
          <w:lang w:val="fr-FR"/>
        </w:rPr>
        <w:t xml:space="preserve"> </w:t>
      </w:r>
      <w:r>
        <w:rPr>
          <w:lang w:val="fr-FR"/>
        </w:rPr>
        <w:t>que l</w:t>
      </w:r>
      <w:r w:rsidR="000312D2" w:rsidRPr="00EA71DA">
        <w:rPr>
          <w:lang w:val="fr-FR"/>
        </w:rPr>
        <w:t>es maladies professionnelles dues à des métiers occupés majoritairement par des femmes (ex : stress lié au travail avec de jeunes enfants ou avec des malades et des personnes âgées, tendinites et maladies articulaires liées au travail régulier sur ordinateur)</w:t>
      </w:r>
      <w:r>
        <w:rPr>
          <w:lang w:val="fr-FR"/>
        </w:rPr>
        <w:t xml:space="preserve"> restent sous-évaluées et peu reconnues</w:t>
      </w:r>
      <w:r w:rsidR="000312D2" w:rsidRPr="00EA71DA">
        <w:rPr>
          <w:lang w:val="fr-FR"/>
        </w:rPr>
        <w:t xml:space="preserve">. Ceci est renforcé par </w:t>
      </w:r>
      <w:r w:rsidR="000312D2">
        <w:rPr>
          <w:lang w:val="fr-FR"/>
        </w:rPr>
        <w:t xml:space="preserve">la fait que </w:t>
      </w:r>
      <w:r w:rsidR="000312D2" w:rsidRPr="00EA71DA">
        <w:rPr>
          <w:lang w:val="fr-FR"/>
        </w:rPr>
        <w:t xml:space="preserve">l’identification des maladies professionnelles a été </w:t>
      </w:r>
      <w:r w:rsidR="000312D2" w:rsidRPr="00EA71DA">
        <w:rPr>
          <w:lang w:val="fr-FR"/>
        </w:rPr>
        <w:lastRenderedPageBreak/>
        <w:t xml:space="preserve">réalisée </w:t>
      </w:r>
      <w:r w:rsidR="000312D2" w:rsidRPr="000312D2">
        <w:t>initialement</w:t>
      </w:r>
      <w:r w:rsidR="000312D2" w:rsidRPr="00EA71DA">
        <w:rPr>
          <w:lang w:val="fr-FR"/>
        </w:rPr>
        <w:t xml:space="preserve"> à partir de secteurs d’activité et de</w:t>
      </w:r>
      <w:r w:rsidR="00AA6105">
        <w:rPr>
          <w:lang w:val="fr-FR"/>
        </w:rPr>
        <w:t>s</w:t>
      </w:r>
      <w:r w:rsidR="000312D2" w:rsidRPr="00EA71DA">
        <w:rPr>
          <w:lang w:val="fr-FR"/>
        </w:rPr>
        <w:t xml:space="preserve"> mé</w:t>
      </w:r>
      <w:r w:rsidR="000312D2">
        <w:rPr>
          <w:lang w:val="fr-FR"/>
        </w:rPr>
        <w:t>tiers où les hommes étaient majo</w:t>
      </w:r>
      <w:r w:rsidR="000312D2" w:rsidRPr="00EA71DA">
        <w:rPr>
          <w:lang w:val="fr-FR"/>
        </w:rPr>
        <w:t>ritaires</w:t>
      </w:r>
      <w:r>
        <w:rPr>
          <w:lang w:val="fr-FR"/>
        </w:rPr>
        <w:t xml:space="preserve"> </w:t>
      </w:r>
      <w:r w:rsidR="00514CD2">
        <w:rPr>
          <w:lang w:val="fr-FR"/>
        </w:rPr>
        <w:fldChar w:fldCharType="begin"/>
      </w:r>
      <w:r w:rsidR="000312D2">
        <w:rPr>
          <w:lang w:val="fr-FR"/>
        </w:rPr>
        <w:instrText xml:space="preserve"> </w:instrText>
      </w:r>
      <w:r w:rsidR="001E22EF">
        <w:rPr>
          <w:lang w:val="fr-FR"/>
        </w:rPr>
        <w:instrText>ADDIN</w:instrText>
      </w:r>
      <w:r w:rsidR="000312D2">
        <w:rPr>
          <w:lang w:val="fr-FR"/>
        </w:rPr>
        <w:instrText xml:space="preserve"> EN.CITE &lt;EndNote&gt;&lt;Cite&gt;&lt;Author&gt;Chappert&lt;/Author&gt;&lt;Year&gt;2009&lt;/Year&gt;&lt;RecNum&gt;374&lt;/RecNum&gt;&lt;DisplayText&gt;(Chappert &amp;amp; alII., 2009)&lt;/DisplayText&gt;&lt;record&gt;&lt;rec-number&gt;374&lt;/rec-number&gt;&lt;foreign-keys&gt;&lt;key app="EN" db-id="5p0x9e0pvxevvwefdv1p9wvt2vdre50z2sxx"&gt;374&lt;/key&gt;&lt;key app="ENWeb" db-id=""&gt;0&lt;/key&gt;&lt;/foreign-keys&gt;&lt;ref-type name="Book"&gt;6&lt;/ref-type&gt;&lt;contributors&gt;&lt;authors&gt;&lt;author&gt;Chappert, F.&lt;/author&gt;&lt;author&gt;et alII.&lt;/author&gt;&lt;/authors&gt;&lt;/contributors&gt;&lt;titles&gt;&lt;title&gt;Genre et conditions de travail. Mixité, organisation du travail, santé et gestion des âges&lt;/title&gt;&lt;/titles&gt;&lt;dates&gt;&lt;year&gt;2009&lt;/year&gt;&lt;/dates&gt;&lt;pub-location&gt;Paris&lt;/pub-location&gt;&lt;publisher&gt;Anact&lt;/publisher&gt;&lt;urls&gt;&lt;/urls&gt;&lt;/record&gt;&lt;/Cite&gt;&lt;/EndNote&gt;</w:instrText>
      </w:r>
      <w:r w:rsidR="00514CD2">
        <w:rPr>
          <w:lang w:val="fr-FR"/>
        </w:rPr>
        <w:fldChar w:fldCharType="separate"/>
      </w:r>
      <w:r w:rsidR="000312D2">
        <w:rPr>
          <w:noProof/>
          <w:lang w:val="fr-FR"/>
        </w:rPr>
        <w:t>(</w:t>
      </w:r>
      <w:hyperlink w:anchor="_ENREF_3" w:tooltip="Chappert, 2009 #374" w:history="1">
        <w:r w:rsidR="0028313C">
          <w:rPr>
            <w:noProof/>
            <w:lang w:val="fr-FR"/>
          </w:rPr>
          <w:t>Chappert &amp;</w:t>
        </w:r>
        <w:r w:rsidR="0028313C" w:rsidRPr="001C19AD">
          <w:rPr>
            <w:i/>
            <w:noProof/>
            <w:lang w:val="fr-FR"/>
          </w:rPr>
          <w:t xml:space="preserve"> </w:t>
        </w:r>
        <w:r w:rsidR="0028313C" w:rsidRPr="001C19AD">
          <w:rPr>
            <w:i/>
            <w:noProof/>
            <w:color w:val="00B0F0"/>
            <w:lang w:val="fr-FR"/>
          </w:rPr>
          <w:t>a</w:t>
        </w:r>
        <w:r w:rsidR="002230B3" w:rsidRPr="001C19AD">
          <w:rPr>
            <w:i/>
            <w:noProof/>
            <w:color w:val="00B0F0"/>
            <w:lang w:val="fr-FR"/>
          </w:rPr>
          <w:t>l.</w:t>
        </w:r>
        <w:r w:rsidR="0028313C">
          <w:rPr>
            <w:noProof/>
            <w:lang w:val="fr-FR"/>
          </w:rPr>
          <w:t>., 2009</w:t>
        </w:r>
      </w:hyperlink>
      <w:r w:rsidR="000312D2">
        <w:rPr>
          <w:noProof/>
          <w:lang w:val="fr-FR"/>
        </w:rPr>
        <w:t>)</w:t>
      </w:r>
      <w:r w:rsidR="00514CD2">
        <w:rPr>
          <w:lang w:val="fr-FR"/>
        </w:rPr>
        <w:fldChar w:fldCharType="end"/>
      </w:r>
      <w:r w:rsidR="000312D2" w:rsidRPr="00EA71DA">
        <w:rPr>
          <w:lang w:val="fr-FR"/>
        </w:rPr>
        <w:t>.</w:t>
      </w:r>
    </w:p>
    <w:p w:rsidR="00E074A7" w:rsidRPr="00EA71DA" w:rsidRDefault="00E074A7" w:rsidP="00E074A7"/>
    <w:p w:rsidR="00E074A7" w:rsidRPr="00EA71DA" w:rsidRDefault="00E074A7" w:rsidP="000312D2">
      <w:pPr>
        <w:pStyle w:val="Titre1"/>
      </w:pPr>
      <w:bookmarkStart w:id="2" w:name="_Toc151430845"/>
      <w:proofErr w:type="spellStart"/>
      <w:r w:rsidRPr="0077468C">
        <w:t>Mainstreaming</w:t>
      </w:r>
      <w:proofErr w:type="spellEnd"/>
      <w:r w:rsidRPr="00EA71DA">
        <w:t xml:space="preserve"> de genre – </w:t>
      </w:r>
      <w:bookmarkEnd w:id="2"/>
      <w:r w:rsidR="000312D2">
        <w:t>un autre paradigme ?</w:t>
      </w:r>
    </w:p>
    <w:p w:rsidR="00E074A7" w:rsidRPr="00EA71DA" w:rsidRDefault="00E074A7" w:rsidP="00E074A7"/>
    <w:p w:rsidR="00746E86" w:rsidRDefault="00E074A7" w:rsidP="00E074A7">
      <w:r w:rsidRPr="000312D2">
        <w:t xml:space="preserve">Plusieurs politiques ont été menées pour réduire les inégalités </w:t>
      </w:r>
      <w:r w:rsidR="00AA6105">
        <w:t>entre les</w:t>
      </w:r>
      <w:r w:rsidRPr="000312D2">
        <w:t xml:space="preserve"> femmes et </w:t>
      </w:r>
      <w:r w:rsidR="00AA6105">
        <w:t>l</w:t>
      </w:r>
      <w:r w:rsidRPr="000312D2">
        <w:t>es hommes : affirmation de l’égalité de droit, actions en faveur de l’égalité des chances</w:t>
      </w:r>
      <w:r w:rsidR="00AA6105">
        <w:t xml:space="preserve"> et</w:t>
      </w:r>
      <w:r w:rsidRPr="000312D2">
        <w:t xml:space="preserve"> actions et discriminations positives</w:t>
      </w:r>
      <w:r w:rsidR="000312D2">
        <w:t xml:space="preserve"> </w:t>
      </w:r>
      <w:r w:rsidR="00514CD2">
        <w:fldChar w:fldCharType="begin"/>
      </w:r>
      <w:r w:rsidR="00192905">
        <w:instrText xml:space="preserve"> </w:instrText>
      </w:r>
      <w:r w:rsidR="001E22EF">
        <w:instrText>ADDIN</w:instrText>
      </w:r>
      <w:r w:rsidR="00192905">
        <w:instrText xml:space="preserve"> EN.CITE &lt;EndNote&gt;&lt;Cite&gt;&lt;Author&gt;Martiniello&lt;/Author&gt;&lt;Year&gt;2004&lt;/Year&gt;&lt;RecNum&gt;4287&lt;/RecNum&gt;&lt;DisplayText&gt;(Martiniello &amp;amp; Rea, 2004)&lt;/DisplayText&gt;&lt;record&gt;&lt;rec-number&gt;4287&lt;/rec-number&gt;&lt;foreign-keys&gt;&lt;key app="EN" db-id="5p0x9e0pvxevvwefdv1p9wvt2vdre50z2sxx"&gt;4287&lt;/key&gt;&lt;key app="ENWeb" db-id=""&gt;0&lt;/key&gt;&lt;/foreign-keys&gt;&lt;ref-type name="Book"&gt;6&lt;/ref-type&gt;&lt;contributors&gt;&lt;authors&gt;&lt;author&gt;Martiniello, M.&lt;/author&gt;&lt;author&gt;Rea, A.&lt;/author&gt;&lt;/authors&gt;&lt;/contributors&gt;&lt;titles&gt;&lt;title&gt;Affirmative Action. Des discours, des politiques et des pratiques en débat&lt;/title&gt;&lt;/titles&gt;&lt;dates&gt;&lt;year&gt;2004&lt;/year&gt;&lt;/dates&gt;&lt;pub-location&gt;Bruxelles&lt;/pub-location&gt;&lt;publisher&gt;Academia Bruylant&lt;/publisher&gt;&lt;urls&gt;&lt;/urls&gt;&lt;/record&gt;&lt;/Cite&gt;&lt;/EndNote&gt;</w:instrText>
      </w:r>
      <w:r w:rsidR="00514CD2">
        <w:fldChar w:fldCharType="separate"/>
      </w:r>
      <w:r w:rsidR="000312D2">
        <w:rPr>
          <w:noProof/>
        </w:rPr>
        <w:t>(</w:t>
      </w:r>
      <w:hyperlink w:anchor="_ENREF_18" w:tooltip="Martiniello, 2004 #4287" w:history="1">
        <w:r w:rsidR="0028313C">
          <w:rPr>
            <w:noProof/>
          </w:rPr>
          <w:t>Martiniello &amp; Rea, 2004</w:t>
        </w:r>
      </w:hyperlink>
      <w:r w:rsidR="000312D2">
        <w:rPr>
          <w:noProof/>
        </w:rPr>
        <w:t>)</w:t>
      </w:r>
      <w:r w:rsidR="00514CD2">
        <w:fldChar w:fldCharType="end"/>
      </w:r>
      <w:r w:rsidR="00D12A8B">
        <w:t xml:space="preserve">. </w:t>
      </w:r>
      <w:r w:rsidR="000312D2" w:rsidRPr="000312D2">
        <w:t>Ces politiques</w:t>
      </w:r>
      <w:r w:rsidR="006B4599">
        <w:t>, même si elles</w:t>
      </w:r>
      <w:r w:rsidRPr="000312D2">
        <w:t xml:space="preserve"> ont eu des effets</w:t>
      </w:r>
      <w:r w:rsidR="00693351">
        <w:t xml:space="preserve"> positifs</w:t>
      </w:r>
      <w:r w:rsidR="006B4599">
        <w:t>,</w:t>
      </w:r>
      <w:r w:rsidRPr="000312D2">
        <w:t xml:space="preserve"> </w:t>
      </w:r>
      <w:r w:rsidR="006B4599">
        <w:t>s’avèrent i</w:t>
      </w:r>
      <w:r w:rsidRPr="000312D2">
        <w:t>nsuffisantes</w:t>
      </w:r>
      <w:r w:rsidR="006B4599">
        <w:t xml:space="preserve"> pour supprimer les inégalités</w:t>
      </w:r>
      <w:r w:rsidRPr="000312D2">
        <w:t xml:space="preserve"> car elles s’inscrivent dans une logique réparatrice</w:t>
      </w:r>
      <w:r w:rsidR="00AA6105">
        <w:t>,</w:t>
      </w:r>
      <w:r w:rsidRPr="000312D2">
        <w:t xml:space="preserve"> sans </w:t>
      </w:r>
      <w:r w:rsidR="00AA6105">
        <w:t xml:space="preserve">pour autant </w:t>
      </w:r>
      <w:r w:rsidRPr="000312D2">
        <w:t xml:space="preserve">introduire des changements majeurs dans les structures et </w:t>
      </w:r>
      <w:r w:rsidR="00AA6105">
        <w:t xml:space="preserve">les </w:t>
      </w:r>
      <w:r w:rsidRPr="000312D2">
        <w:t xml:space="preserve">représentations qui produisent les inégalités. </w:t>
      </w:r>
      <w:r w:rsidR="006B4599">
        <w:t>Le « gendermainstreaming » ou approche intégrée selon le genre</w:t>
      </w:r>
      <w:r w:rsidR="00192905">
        <w:t>, élaboré par les experts de l’Union Européenne</w:t>
      </w:r>
      <w:r w:rsidR="00F91766">
        <w:t xml:space="preserve"> </w:t>
      </w:r>
      <w:r w:rsidR="00514CD2">
        <w:fldChar w:fldCharType="begin"/>
      </w:r>
      <w:r w:rsidR="00F91766">
        <w:instrText xml:space="preserve"> </w:instrText>
      </w:r>
      <w:r w:rsidR="001E22EF">
        <w:instrText>ADDIN</w:instrText>
      </w:r>
      <w:r w:rsidR="00F91766">
        <w:instrText xml:space="preserve"> EN.CITE &lt;EndNote&gt;&lt;Cite&gt;&lt;Author&gt;Directorate-General for Employment&lt;/Author&gt;&lt;Year&gt;2008&lt;/Year&gt;&lt;RecNum&gt;6031&lt;/RecNum&gt;&lt;DisplayText&gt;(Directorate-General for Employment, 2008)&lt;/DisplayText&gt;&lt;record&gt;&lt;rec-number&gt;6031&lt;/rec-number&gt;&lt;foreign-keys&gt;&lt;key app="EN" db-id="5p0x9e0pvxevvwefdv1p9wvt2vdre50z2sxx"&gt;6031&lt;/key&gt;&lt;/foreign-keys&gt;&lt;ref-type name="Report"&gt;27&lt;/ref-type&gt;&lt;contributors&gt;&lt;authors&gt;&lt;author&gt;Directorate-General for Employment, Social Affairs and Equal Opportunities, Unit G1.&lt;/author&gt;&lt;/authors&gt;&lt;/contributors&gt;&lt;titles&gt;&lt;title&gt;Manuel for gender mainstreaming: employment, social inclusion and social protection policies&lt;/title&gt;&lt;/titles&gt;&lt;dates&gt;&lt;year&gt;2008&lt;/year&gt;&lt;/dates&gt;&lt;pub-location&gt;Bruxelles&lt;/pub-location&gt;&lt;publisher&gt;European Communities&lt;/publisher&gt;&lt;urls&gt;&lt;/urls&gt;&lt;/record&gt;&lt;/Cite&gt;&lt;/EndNote&gt;</w:instrText>
      </w:r>
      <w:r w:rsidR="00514CD2">
        <w:fldChar w:fldCharType="separate"/>
      </w:r>
      <w:r w:rsidR="00F91766">
        <w:rPr>
          <w:noProof/>
        </w:rPr>
        <w:t>(</w:t>
      </w:r>
      <w:hyperlink w:anchor="_ENREF_9" w:tooltip="Directorate-General for Employment, 2008 #6031" w:history="1">
        <w:r w:rsidR="0028313C">
          <w:rPr>
            <w:noProof/>
          </w:rPr>
          <w:t>Directorate-General for Employment, 2008</w:t>
        </w:r>
      </w:hyperlink>
      <w:r w:rsidR="00F91766">
        <w:rPr>
          <w:noProof/>
        </w:rPr>
        <w:t>)</w:t>
      </w:r>
      <w:r w:rsidR="00514CD2">
        <w:fldChar w:fldCharType="end"/>
      </w:r>
      <w:r w:rsidR="00192905">
        <w:t xml:space="preserve"> et de l’aide au développement,</w:t>
      </w:r>
      <w:r w:rsidR="006B4599">
        <w:t xml:space="preserve"> vise à</w:t>
      </w:r>
      <w:r w:rsidR="000312D2" w:rsidRPr="000312D2">
        <w:t xml:space="preserve"> dépass</w:t>
      </w:r>
      <w:r w:rsidR="006B4599">
        <w:t xml:space="preserve">er cet ajustement aux systèmes existants </w:t>
      </w:r>
      <w:r w:rsidR="000312D2" w:rsidRPr="000312D2">
        <w:t xml:space="preserve">pour revoir les règles du jeu et changer les systèmes de reproduction induits par les structures et </w:t>
      </w:r>
      <w:r w:rsidR="00AA6105">
        <w:t xml:space="preserve">les </w:t>
      </w:r>
      <w:r w:rsidR="000312D2" w:rsidRPr="000312D2">
        <w:t xml:space="preserve">outils mis en place. </w:t>
      </w:r>
      <w:r w:rsidR="005F2E4B">
        <w:t xml:space="preserve">Il s’agit aussi de </w:t>
      </w:r>
      <w:r w:rsidR="000312D2" w:rsidRPr="000312D2">
        <w:t>réduire les inégal</w:t>
      </w:r>
      <w:r w:rsidR="00693351">
        <w:t>ités en analysant, au moment de</w:t>
      </w:r>
      <w:r w:rsidR="00192905">
        <w:t xml:space="preserve"> la formulation d’une politique</w:t>
      </w:r>
      <w:r w:rsidR="00693351">
        <w:t xml:space="preserve"> son </w:t>
      </w:r>
      <w:r w:rsidR="005F2E4B">
        <w:t>impact sur l’un et l’autre sexe</w:t>
      </w:r>
      <w:r w:rsidR="00192905">
        <w:t xml:space="preserve"> (approche préventive et plus curative)</w:t>
      </w:r>
      <w:r w:rsidR="00F91766">
        <w:t xml:space="preserve"> </w:t>
      </w:r>
      <w:r w:rsidR="00514CD2">
        <w:fldChar w:fldCharType="begin"/>
      </w:r>
      <w:r w:rsidR="00F91766">
        <w:instrText xml:space="preserve"> </w:instrText>
      </w:r>
      <w:r w:rsidR="001E22EF">
        <w:instrText>ADDIN</w:instrText>
      </w:r>
      <w:r w:rsidR="00F91766">
        <w:instrText xml:space="preserve"> EN.CITE &lt;EndNote&gt;&lt;Cite&gt;&lt;Author&gt;Jacquot&lt;/Author&gt;&lt;Year&gt;2013&lt;/Year&gt;&lt;RecNum&gt;6029&lt;/RecNum&gt;&lt;DisplayText&gt;(Jacquot, 2013)&lt;/DisplayText&gt;&lt;record&gt;&lt;rec-number&gt;6029&lt;/rec-number&gt;&lt;foreign-keys&gt;&lt;key app="EN" db-id="5p0x9e0pvxevvwefdv1p9wvt2vdre50z2sxx"&gt;6029&lt;/key&gt;&lt;/foreign-keys&gt;&lt;ref-type name="Journal Article"&gt;17&lt;/ref-type&gt;&lt;contributors&gt;&lt;authors&gt;&lt;author&gt;Jacquot, S.&lt;/author&gt;&lt;/authors&gt;&lt;/contributors&gt;&lt;titles&gt;&lt;title&gt;Le gender mainstreaming et l’Union européenne : quels effets ?&lt;/title&gt;&lt;secondary-title&gt;Lien social et Politiques&lt;/secondary-title&gt;&lt;/titles&gt;&lt;periodical&gt;&lt;full-title&gt;Lien social et Politiques&lt;/full-title&gt;&lt;/periodical&gt;&lt;pages&gt;17-34&lt;/pages&gt;&lt;number&gt;69, printemps,&lt;/number&gt;&lt;dates&gt;&lt;year&gt;2013&lt;/year&gt;&lt;/dates&gt;&lt;urls&gt;&lt;/urls&gt;&lt;/record&gt;&lt;/Cite&gt;&lt;/EndNote&gt;</w:instrText>
      </w:r>
      <w:r w:rsidR="00514CD2">
        <w:fldChar w:fldCharType="separate"/>
      </w:r>
      <w:r w:rsidR="00F91766">
        <w:rPr>
          <w:noProof/>
        </w:rPr>
        <w:t>(</w:t>
      </w:r>
      <w:hyperlink w:anchor="_ENREF_14" w:tooltip="Jacquot, 2013 #6029" w:history="1">
        <w:r w:rsidR="0028313C">
          <w:rPr>
            <w:noProof/>
          </w:rPr>
          <w:t>Jacquot, 2013</w:t>
        </w:r>
      </w:hyperlink>
      <w:r w:rsidR="00F91766">
        <w:rPr>
          <w:noProof/>
        </w:rPr>
        <w:t>)</w:t>
      </w:r>
      <w:r w:rsidR="00514CD2">
        <w:fldChar w:fldCharType="end"/>
      </w:r>
      <w:r w:rsidR="000312D2" w:rsidRPr="000312D2">
        <w:t>.</w:t>
      </w:r>
      <w:r w:rsidR="007706D8">
        <w:t xml:space="preserve"> </w:t>
      </w:r>
      <w:r w:rsidR="005F2E4B">
        <w:t xml:space="preserve">L’ambition est </w:t>
      </w:r>
      <w:r w:rsidR="007706D8" w:rsidRPr="007706D8">
        <w:t xml:space="preserve">de lutter contre les discriminations indirectes ou systémiques </w:t>
      </w:r>
      <w:r w:rsidR="005F2E4B">
        <w:t xml:space="preserve">qui </w:t>
      </w:r>
      <w:r w:rsidR="007706D8" w:rsidRPr="007706D8">
        <w:t>ne sont ni explicites, ni volontaires, ni même</w:t>
      </w:r>
      <w:r w:rsidR="00192905">
        <w:t xml:space="preserve"> conscientes ou intentionnelles </w:t>
      </w:r>
      <w:r w:rsidR="00514CD2">
        <w:fldChar w:fldCharType="begin"/>
      </w:r>
      <w:r w:rsidR="007706D8">
        <w:instrText xml:space="preserve"> </w:instrText>
      </w:r>
      <w:r w:rsidR="001E22EF">
        <w:instrText>ADDIN</w:instrText>
      </w:r>
      <w:r w:rsidR="007706D8">
        <w:instrText xml:space="preserve"> EN.CITE &lt;EndNote&gt;&lt;Cite&gt;&lt;Author&gt;Legault&lt;/Author&gt;&lt;Year&gt;2008&lt;/Year&gt;&lt;RecNum&gt;4700&lt;/RecNum&gt;&lt;Pages&gt;34&lt;/Pages&gt;&lt;DisplayText&gt;(Legault &amp;amp; Ross, 2008, p. 34)&lt;/DisplayText&gt;&lt;record&gt;&lt;rec-number&gt;4700&lt;/rec-number&gt;&lt;foreign-keys&gt;&lt;key app="EN" db-id="5p0x9e0pvxevvwefdv1p9wvt2vdre50z2sxx"&gt;4700&lt;/key&gt;&lt;key app="ENWeb" db-id=""&gt;0&lt;/key&gt;&lt;/foreign-keys&gt;&lt;ref-type name="Book Section"&gt;5&lt;/ref-type&gt;&lt;contributors&gt;&lt;authors&gt;&lt;author&gt;Legault, G. &lt;/author&gt;&lt;author&gt;Ross, C.&lt;/author&gt;&lt;/authors&gt;&lt;secondary-authors&gt;&lt;author&gt;Cornet, A.&lt;/author&gt;&lt;author&gt;Laufer, J.&lt;/author&gt;&lt;author&gt;Belghiti, S.&lt;/author&gt;&lt;/secondary-authors&gt;&lt;/contributors&gt;&lt;titles&gt;&lt;title&gt;La contribution de l&amp;apos;analyse différenciée selon les sexes au débat sur la négociationcollective comme moteur de l&amp;apos;équité en emploi&lt;/title&gt;&lt;secondary-title&gt;Genre et GRH&lt;/secondary-title&gt;&lt;/titles&gt;&lt;dates&gt;&lt;year&gt;2008&lt;/year&gt;&lt;/dates&gt;&lt;pub-location&gt;Paris&lt;/pub-location&gt;&lt;publisher&gt;Vuibert&lt;/publisher&gt;&lt;urls&gt;&lt;/urls&gt;&lt;/record&gt;&lt;/Cite&gt;&lt;/EndNote&gt;</w:instrText>
      </w:r>
      <w:r w:rsidR="00514CD2">
        <w:fldChar w:fldCharType="separate"/>
      </w:r>
      <w:r w:rsidR="007706D8">
        <w:rPr>
          <w:noProof/>
        </w:rPr>
        <w:t>(</w:t>
      </w:r>
      <w:hyperlink w:anchor="_ENREF_17" w:tooltip="Legault, 2008 #4700" w:history="1">
        <w:r w:rsidR="0028313C">
          <w:rPr>
            <w:noProof/>
          </w:rPr>
          <w:t>Legault &amp; Ross, 2008, p. 34</w:t>
        </w:r>
      </w:hyperlink>
      <w:r w:rsidR="007706D8">
        <w:rPr>
          <w:noProof/>
        </w:rPr>
        <w:t>)</w:t>
      </w:r>
      <w:r w:rsidR="00514CD2">
        <w:fldChar w:fldCharType="end"/>
      </w:r>
      <w:r w:rsidR="007706D8">
        <w:t>.</w:t>
      </w:r>
      <w:r w:rsidR="00746E86">
        <w:t xml:space="preserve"> </w:t>
      </w:r>
    </w:p>
    <w:p w:rsidR="00192905" w:rsidRDefault="00192905" w:rsidP="00E074A7"/>
    <w:p w:rsidR="00E074A7" w:rsidRPr="00EA71DA" w:rsidRDefault="00E074A7" w:rsidP="00746E86">
      <w:r w:rsidRPr="000312D2">
        <w:t>Le mainstreaming de genre vise tous les d</w:t>
      </w:r>
      <w:r w:rsidR="005F2E4B">
        <w:t xml:space="preserve">omaines de l’action politique et </w:t>
      </w:r>
      <w:r w:rsidRPr="000312D2">
        <w:t>toutes les étapes</w:t>
      </w:r>
      <w:r w:rsidR="00F91766">
        <w:t xml:space="preserve"> </w:t>
      </w:r>
      <w:r w:rsidR="00F91766" w:rsidRPr="000312D2">
        <w:t>du processus de décision et d’action politique</w:t>
      </w:r>
      <w:r w:rsidR="00F91766">
        <w:t xml:space="preserve"> : </w:t>
      </w:r>
      <w:r w:rsidRPr="000312D2">
        <w:t xml:space="preserve">du diagnostic à l’évaluation, en passant par l’élaboration de plans stratégiques et </w:t>
      </w:r>
      <w:r w:rsidR="00720F53">
        <w:t xml:space="preserve">par </w:t>
      </w:r>
      <w:r w:rsidR="00F91766">
        <w:t>la mise en œuvre</w:t>
      </w:r>
      <w:r w:rsidR="00373BA5">
        <w:t xml:space="preserve"> </w:t>
      </w:r>
      <w:r w:rsidR="00514CD2">
        <w:fldChar w:fldCharType="begin"/>
      </w:r>
      <w:r w:rsidR="0028313C">
        <w:instrText xml:space="preserve"> </w:instrText>
      </w:r>
      <w:r w:rsidR="001E22EF">
        <w:instrText>ADDIN</w:instrText>
      </w:r>
      <w:r w:rsidR="0028313C">
        <w:instrText xml:space="preserve"> EN.CITE &lt;EndNote&gt;&lt;Cite&gt;&lt;Author&gt;Cornet&lt;/Author&gt;&lt;Year&gt;2002&lt;/Year&gt;&lt;RecNum&gt;4236&lt;/RecNum&gt;&lt;DisplayText&gt;(Cornet, 2002)&lt;/DisplayText&gt;&lt;record&gt;&lt;rec-number&gt;4236&lt;/rec-number&gt;&lt;foreign-keys&gt;&lt;key app="EN" db-id="5p0x9e0pvxevvwefdv1p9wvt2vdre50z2sxx"&gt;4236&lt;/key&gt;&lt;key app="ENWeb" db-id=""&gt;0&lt;/key&gt;&lt;/foreign-keys&gt;&lt;ref-type name="Journal Article"&gt;17&lt;/ref-type&gt;&lt;contributors&gt;&lt;authors&gt;&lt;author&gt;Cornet, A.&lt;/author&gt;&lt;/authors&gt;&lt;/contributors&gt;&lt;titles&gt;&lt;title&gt;Gender mainstreaming et approche différenciée selon les sexes: quels impacts pour la gestion ?&lt;/title&gt;&lt;secondary-title&gt;Management international&lt;/secondary-title&gt;&lt;/titles&gt;&lt;periodical&gt;&lt;full-title&gt;Management international&lt;/full-title&gt;&lt;/periodical&gt;&lt;pages&gt;1-10&lt;/pages&gt;&lt;volume&gt;7&lt;/volume&gt;&lt;number&gt;1&lt;/number&gt;&lt;dates&gt;&lt;year&gt;2002&lt;/year&gt;&lt;/dates&gt;&lt;urls&gt;&lt;/urls&gt;&lt;/record&gt;&lt;/Cite&gt;&lt;/EndNote&gt;</w:instrText>
      </w:r>
      <w:r w:rsidR="00514CD2">
        <w:fldChar w:fldCharType="separate"/>
      </w:r>
      <w:r w:rsidR="0028313C">
        <w:rPr>
          <w:noProof/>
        </w:rPr>
        <w:t>(</w:t>
      </w:r>
      <w:hyperlink w:anchor="_ENREF_6" w:tooltip="Cornet, 2002 #4236" w:history="1">
        <w:r w:rsidR="0028313C">
          <w:rPr>
            <w:noProof/>
          </w:rPr>
          <w:t>Cornet, 2002</w:t>
        </w:r>
      </w:hyperlink>
      <w:r w:rsidR="0028313C">
        <w:rPr>
          <w:noProof/>
        </w:rPr>
        <w:t>)</w:t>
      </w:r>
      <w:r w:rsidR="00514CD2">
        <w:fldChar w:fldCharType="end"/>
      </w:r>
      <w:r w:rsidRPr="000312D2">
        <w:t xml:space="preserve">. </w:t>
      </w:r>
      <w:r w:rsidR="00746E86">
        <w:t>L’enjeu est l</w:t>
      </w:r>
      <w:r w:rsidR="005F2E4B">
        <w:t xml:space="preserve">’implication </w:t>
      </w:r>
      <w:r w:rsidR="00720F53">
        <w:t xml:space="preserve">de </w:t>
      </w:r>
      <w:r w:rsidR="005F2E4B">
        <w:t>toutes les parties prenantes des politiques </w:t>
      </w:r>
      <w:r w:rsidR="00373BA5">
        <w:t>(</w:t>
      </w:r>
      <w:r w:rsidR="005F2E4B">
        <w:t>les fonctionnaires, les mandataires politiques, la société civile</w:t>
      </w:r>
      <w:r w:rsidR="0071128F">
        <w:t xml:space="preserve"> et</w:t>
      </w:r>
      <w:r w:rsidR="005F2E4B">
        <w:t xml:space="preserve"> le monde économique</w:t>
      </w:r>
      <w:r w:rsidR="00373BA5">
        <w:t>)</w:t>
      </w:r>
      <w:r w:rsidRPr="007706D8">
        <w:t xml:space="preserve"> </w:t>
      </w:r>
      <w:r w:rsidR="005F2E4B">
        <w:t>dans une</w:t>
      </w:r>
      <w:r w:rsidRPr="007706D8">
        <w:t xml:space="preserve"> action collecti</w:t>
      </w:r>
      <w:r w:rsidR="005F2E4B">
        <w:t xml:space="preserve">ve, transversale et préventive sur </w:t>
      </w:r>
      <w:r w:rsidRPr="007706D8">
        <w:t>l’ensemble du processus.</w:t>
      </w:r>
      <w:r w:rsidR="005F2E4B">
        <w:t xml:space="preserve"> </w:t>
      </w:r>
      <w:r w:rsidRPr="00EA71DA">
        <w:t>Son but est d’atteindre l’égalité entre les deux s</w:t>
      </w:r>
      <w:r w:rsidR="000902BF">
        <w:t>exes </w:t>
      </w:r>
      <w:r w:rsidRPr="00EA71DA">
        <w:t>au niveau des conditions d’accès (égalité de droit)</w:t>
      </w:r>
      <w:r w:rsidR="000902BF">
        <w:t xml:space="preserve"> mais aussi </w:t>
      </w:r>
      <w:r w:rsidRPr="00EA71DA">
        <w:t xml:space="preserve">au niveau </w:t>
      </w:r>
      <w:r w:rsidR="000902BF">
        <w:t>de</w:t>
      </w:r>
      <w:r w:rsidR="005F2E4B">
        <w:t>s résultats (égalité de fait)</w:t>
      </w:r>
      <w:r w:rsidR="00746E86">
        <w:t>.</w:t>
      </w:r>
    </w:p>
    <w:p w:rsidR="00E074A7" w:rsidRPr="00EA71DA" w:rsidRDefault="00E074A7" w:rsidP="00E074A7"/>
    <w:p w:rsidR="00B5671D" w:rsidRDefault="005B64A6">
      <w:r>
        <w:t>Quelques exemples permett</w:t>
      </w:r>
      <w:r w:rsidR="00B5671D">
        <w:t>ent de mettre en lumière le processus et ses implications :</w:t>
      </w:r>
    </w:p>
    <w:p w:rsidR="00B5671D" w:rsidRDefault="00B5671D" w:rsidP="00B5671D">
      <w:pPr>
        <w:numPr>
          <w:ilvl w:val="0"/>
          <w:numId w:val="10"/>
        </w:numPr>
      </w:pPr>
      <w:r>
        <w:t xml:space="preserve">Penser une politique de soutien à l’entrepreneuriat </w:t>
      </w:r>
      <w:r w:rsidR="005F2E4B">
        <w:t xml:space="preserve">en mettant </w:t>
      </w:r>
      <w:r>
        <w:t>en avant des entrepreneurs hommes mais aussi des femmes impliquées dan</w:t>
      </w:r>
      <w:r w:rsidR="005B64A6">
        <w:t xml:space="preserve">s tous les secteurs </w:t>
      </w:r>
      <w:r w:rsidR="005B64A6">
        <w:lastRenderedPageBreak/>
        <w:t>d’activité, y compris ceux et celles qui sont dans des secteurs fortement féminins ou masculins</w:t>
      </w:r>
      <w:r>
        <w:t>.</w:t>
      </w:r>
    </w:p>
    <w:p w:rsidR="00B5671D" w:rsidRDefault="00B5671D" w:rsidP="00B5671D">
      <w:pPr>
        <w:numPr>
          <w:ilvl w:val="0"/>
          <w:numId w:val="10"/>
        </w:numPr>
      </w:pPr>
      <w:r>
        <w:t xml:space="preserve">Penser une politique de </w:t>
      </w:r>
      <w:r w:rsidR="00746E86">
        <w:t xml:space="preserve">conciliation </w:t>
      </w:r>
      <w:r w:rsidR="0071128F">
        <w:t xml:space="preserve">entre </w:t>
      </w:r>
      <w:r w:rsidR="008F5E0D">
        <w:t xml:space="preserve">la </w:t>
      </w:r>
      <w:r w:rsidR="00746E86">
        <w:t>vie privée</w:t>
      </w:r>
      <w:r w:rsidR="0071128F">
        <w:t xml:space="preserve"> et </w:t>
      </w:r>
      <w:r w:rsidR="008F5E0D">
        <w:t xml:space="preserve">la </w:t>
      </w:r>
      <w:r w:rsidR="0071128F">
        <w:t>vie</w:t>
      </w:r>
      <w:r w:rsidR="00746E86">
        <w:t xml:space="preserve"> professionnelle</w:t>
      </w:r>
      <w:r>
        <w:t xml:space="preserve"> </w:t>
      </w:r>
      <w:r w:rsidR="00746E86">
        <w:t xml:space="preserve">en </w:t>
      </w:r>
      <w:r w:rsidR="0071128F">
        <w:t>considérant</w:t>
      </w:r>
      <w:r w:rsidR="00746E86">
        <w:t xml:space="preserve"> </w:t>
      </w:r>
      <w:r w:rsidR="0071128F">
        <w:t>les</w:t>
      </w:r>
      <w:r w:rsidR="00746E86">
        <w:t xml:space="preserve"> réalités des </w:t>
      </w:r>
      <w:r>
        <w:t xml:space="preserve">femmes mais aussi </w:t>
      </w:r>
      <w:r w:rsidR="00746E86">
        <w:t>d</w:t>
      </w:r>
      <w:r>
        <w:t>es hommes</w:t>
      </w:r>
      <w:r w:rsidR="008F5E0D">
        <w:t> :</w:t>
      </w:r>
      <w:r w:rsidR="00746E86">
        <w:t xml:space="preserve"> pères de famille et/ou en charge de personnes dépendantes</w:t>
      </w:r>
      <w:r>
        <w:t>.</w:t>
      </w:r>
    </w:p>
    <w:p w:rsidR="00B5671D" w:rsidRDefault="00B5671D" w:rsidP="00B5671D">
      <w:pPr>
        <w:numPr>
          <w:ilvl w:val="0"/>
          <w:numId w:val="10"/>
        </w:numPr>
      </w:pPr>
      <w:r>
        <w:t xml:space="preserve">Mettre en place une politique de réduction des allocations de chômage </w:t>
      </w:r>
      <w:r w:rsidR="00746E86">
        <w:t>qui ne pénalise pas les</w:t>
      </w:r>
      <w:r w:rsidR="008F5E0D">
        <w:t xml:space="preserve"> personnes</w:t>
      </w:r>
      <w:r w:rsidR="00746E86">
        <w:t xml:space="preserve"> </w:t>
      </w:r>
      <w:r w:rsidR="008F5E0D">
        <w:t xml:space="preserve">(majoritairement des femmes) </w:t>
      </w:r>
      <w:r>
        <w:t xml:space="preserve">qui ont fait le choix d’être au foyer </w:t>
      </w:r>
      <w:r w:rsidR="00746E86">
        <w:t>pendant</w:t>
      </w:r>
      <w:r>
        <w:t xml:space="preserve"> quelques années de leur vie</w:t>
      </w:r>
      <w:r w:rsidR="0071128F">
        <w:t xml:space="preserve"> </w:t>
      </w:r>
      <w:r w:rsidR="008F5E0D">
        <w:t>et/</w:t>
      </w:r>
      <w:r w:rsidR="0071128F">
        <w:t>ou de prester un temps partiel</w:t>
      </w:r>
      <w:r w:rsidR="008F5E0D">
        <w:t xml:space="preserve"> pour prendre en charge les personnes dépendantes</w:t>
      </w:r>
      <w:r w:rsidR="00373BA5">
        <w:t>.</w:t>
      </w:r>
    </w:p>
    <w:p w:rsidR="00B5671D" w:rsidRDefault="00B5671D" w:rsidP="00B5671D">
      <w:pPr>
        <w:numPr>
          <w:ilvl w:val="0"/>
          <w:numId w:val="10"/>
        </w:numPr>
      </w:pPr>
      <w:r>
        <w:t xml:space="preserve">Mettre en place une politique de maintien à domicile </w:t>
      </w:r>
      <w:r w:rsidR="00746E86">
        <w:t xml:space="preserve">qui </w:t>
      </w:r>
      <w:r w:rsidR="00D12A8B">
        <w:rPr>
          <w:color w:val="00B0F0"/>
        </w:rPr>
        <w:t>tienne</w:t>
      </w:r>
      <w:r w:rsidR="00746E86">
        <w:t xml:space="preserve"> compte des difficultés que rencontrent les hommes</w:t>
      </w:r>
      <w:r w:rsidR="008F5E0D">
        <w:t xml:space="preserve"> âgés</w:t>
      </w:r>
      <w:r w:rsidR="00746E86">
        <w:t xml:space="preserve"> mais aussi les</w:t>
      </w:r>
      <w:r>
        <w:t xml:space="preserve"> femmes </w:t>
      </w:r>
      <w:r w:rsidR="00746E86">
        <w:t>âgées : le problème de</w:t>
      </w:r>
      <w:r w:rsidR="00373BA5">
        <w:t xml:space="preserve"> ces dernières </w:t>
      </w:r>
      <w:r>
        <w:t xml:space="preserve">n’est pas </w:t>
      </w:r>
      <w:r w:rsidR="005F2E4B">
        <w:t xml:space="preserve">de </w:t>
      </w:r>
      <w:r>
        <w:t xml:space="preserve">se préparer un repas mais </w:t>
      </w:r>
      <w:r w:rsidR="0071128F">
        <w:t xml:space="preserve">bien de se </w:t>
      </w:r>
      <w:r w:rsidR="008F5E0D">
        <w:t>déplacer</w:t>
      </w:r>
      <w:r>
        <w:t xml:space="preserve">, car </w:t>
      </w:r>
      <w:r w:rsidR="0071128F">
        <w:t xml:space="preserve">ce sont </w:t>
      </w:r>
      <w:r>
        <w:t xml:space="preserve">souvent leurs conjoints qui conduisaient la voiture et </w:t>
      </w:r>
      <w:r w:rsidR="00746E86">
        <w:t>qu’</w:t>
      </w:r>
      <w:r>
        <w:t>elles n’ont pas de permis.</w:t>
      </w:r>
    </w:p>
    <w:p w:rsidR="00B5671D" w:rsidRDefault="00C63754" w:rsidP="00B5671D">
      <w:pPr>
        <w:numPr>
          <w:ilvl w:val="0"/>
          <w:numId w:val="10"/>
        </w:numPr>
      </w:pPr>
      <w:r>
        <w:t xml:space="preserve">Mettre en place une gestion des carrières qui </w:t>
      </w:r>
      <w:r w:rsidR="00746E86">
        <w:t>intègre</w:t>
      </w:r>
      <w:r w:rsidR="008F5E0D">
        <w:t xml:space="preserve"> la période de retrait d’activités liée à la maternité et à des congés parentaux</w:t>
      </w:r>
      <w:r>
        <w:t>.</w:t>
      </w:r>
    </w:p>
    <w:p w:rsidR="00D66513" w:rsidRDefault="00D66513" w:rsidP="00B5671D">
      <w:pPr>
        <w:numPr>
          <w:ilvl w:val="0"/>
          <w:numId w:val="10"/>
        </w:numPr>
      </w:pPr>
      <w:r>
        <w:t>Penser</w:t>
      </w:r>
      <w:r w:rsidR="0071128F">
        <w:t xml:space="preserve"> </w:t>
      </w:r>
      <w:r w:rsidR="00746E86">
        <w:t xml:space="preserve">un programme de </w:t>
      </w:r>
      <w:r>
        <w:t xml:space="preserve">formation en </w:t>
      </w:r>
      <w:r w:rsidR="00746E86">
        <w:t xml:space="preserve">étant attentif au contenu </w:t>
      </w:r>
      <w:r w:rsidR="0071128F">
        <w:t xml:space="preserve">global </w:t>
      </w:r>
      <w:r w:rsidR="00746E86">
        <w:t>mais aussi au</w:t>
      </w:r>
      <w:r>
        <w:t xml:space="preserve"> sexe des formateurs, </w:t>
      </w:r>
      <w:r w:rsidR="00746E86">
        <w:t>a</w:t>
      </w:r>
      <w:r>
        <w:t xml:space="preserve">u contenu des études de cas, </w:t>
      </w:r>
      <w:r w:rsidR="00746E86">
        <w:t>au sexe des experts et des</w:t>
      </w:r>
      <w:r>
        <w:t xml:space="preserve"> invités.</w:t>
      </w:r>
    </w:p>
    <w:p w:rsidR="00147786" w:rsidRDefault="00147786" w:rsidP="00C63754"/>
    <w:p w:rsidR="00147786" w:rsidRDefault="00746E86" w:rsidP="00147786">
      <w:r>
        <w:t xml:space="preserve">Cela concerne </w:t>
      </w:r>
      <w:r w:rsidR="0071128F">
        <w:t xml:space="preserve">tant </w:t>
      </w:r>
      <w:r>
        <w:t xml:space="preserve">l’étape de formulation d’une politique </w:t>
      </w:r>
      <w:r w:rsidR="0071128F">
        <w:t>que</w:t>
      </w:r>
      <w:r>
        <w:t xml:space="preserve"> sa mise en œuvre</w:t>
      </w:r>
      <w:r w:rsidR="00101D92">
        <w:t xml:space="preserve">. </w:t>
      </w:r>
      <w:r w:rsidR="00147786">
        <w:t xml:space="preserve">La question des moyens </w:t>
      </w:r>
      <w:r w:rsidR="008F5E0D">
        <w:t>est centrale pour cette étape</w:t>
      </w:r>
      <w:r w:rsidR="00147786">
        <w:t xml:space="preserve">. </w:t>
      </w:r>
      <w:r w:rsidR="00FA517D">
        <w:t xml:space="preserve">Cette question des moyens mobilisés a été </w:t>
      </w:r>
      <w:r w:rsidR="00FA517D" w:rsidRPr="00D12A8B">
        <w:rPr>
          <w:color w:val="FF0000"/>
        </w:rPr>
        <w:t>décliné</w:t>
      </w:r>
      <w:r w:rsidR="00D12A8B" w:rsidRPr="00D12A8B">
        <w:rPr>
          <w:color w:val="FF0000"/>
        </w:rPr>
        <w:t>e</w:t>
      </w:r>
      <w:r w:rsidR="00FA517D" w:rsidRPr="00D12A8B">
        <w:rPr>
          <w:color w:val="FF0000"/>
        </w:rPr>
        <w:t xml:space="preserve"> </w:t>
      </w:r>
      <w:r w:rsidR="00FA517D">
        <w:t>sous le concept de « </w:t>
      </w:r>
      <w:r w:rsidR="00147786">
        <w:t>gender budgeting</w:t>
      </w:r>
      <w:r w:rsidR="00FA517D">
        <w:t> »</w:t>
      </w:r>
      <w:r w:rsidR="00FA517D">
        <w:rPr>
          <w:rStyle w:val="Marquenotebasdepage"/>
        </w:rPr>
        <w:footnoteReference w:id="2"/>
      </w:r>
      <w:r w:rsidR="00147786">
        <w:t xml:space="preserve"> </w:t>
      </w:r>
      <w:r w:rsidR="00FA517D">
        <w:t xml:space="preserve">qui </w:t>
      </w:r>
      <w:r w:rsidR="00147786">
        <w:t xml:space="preserve">s’intéresse </w:t>
      </w:r>
      <w:r w:rsidR="00FA517D">
        <w:t>à l’analyse</w:t>
      </w:r>
      <w:r w:rsidR="00147786">
        <w:t xml:space="preserve"> des moyens financiers mobilisés pour les actions en faveur de l’égalité</w:t>
      </w:r>
      <w:r w:rsidR="008F5E0D">
        <w:rPr>
          <w:color w:val="FF0000"/>
        </w:rPr>
        <w:t xml:space="preserve">. </w:t>
      </w:r>
    </w:p>
    <w:p w:rsidR="00101D92" w:rsidRDefault="00101D92" w:rsidP="00147786"/>
    <w:p w:rsidR="00147786" w:rsidRDefault="0071128F" w:rsidP="00147786">
      <w:r>
        <w:t>E</w:t>
      </w:r>
      <w:r w:rsidR="00101D92">
        <w:t>nfin</w:t>
      </w:r>
      <w:r>
        <w:t>, vient</w:t>
      </w:r>
      <w:r w:rsidR="00101D92">
        <w:t xml:space="preserve"> l’analyse d’impact</w:t>
      </w:r>
      <w:r>
        <w:t>s</w:t>
      </w:r>
      <w:r w:rsidR="00101D92">
        <w:t xml:space="preserve"> ou l’évaluation des résultats d’une politique. Il existe de nombreuses grilles pour réaliser l’évaluation sous l’angle du genre d’une politique, de plans d’actions et/ou de programmes, diffusé</w:t>
      </w:r>
      <w:r>
        <w:t>e</w:t>
      </w:r>
      <w:r w:rsidR="00101D92">
        <w:t>s par l’Union Européenne</w:t>
      </w:r>
      <w:r w:rsidR="00F91766">
        <w:t xml:space="preserve"> </w:t>
      </w:r>
      <w:r w:rsidR="00514CD2">
        <w:fldChar w:fldCharType="begin"/>
      </w:r>
      <w:r w:rsidR="00F91766">
        <w:instrText xml:space="preserve"> </w:instrText>
      </w:r>
      <w:r w:rsidR="001E22EF">
        <w:instrText>ADDIN</w:instrText>
      </w:r>
      <w:r w:rsidR="00F91766">
        <w:instrText xml:space="preserve"> EN.CITE &lt;EndNote&gt;&lt;Cite&gt;&lt;Author&gt;Jacquot&lt;/Author&gt;&lt;Year&gt;2006&lt;/Year&gt;&lt;RecNum&gt;6030&lt;/RecNum&gt;&lt;DisplayText&gt;(Jacquot, 2006)&lt;/DisplayText&gt;&lt;record&gt;&lt;rec-number&gt;6030&lt;/rec-number&gt;&lt;foreign-keys&gt;&lt;key app="EN" db-id="5p0x9e0pvxevvwefdv1p9wvt2vdre50z2sxx"&gt;6030&lt;/key&gt;&lt;/foreign-keys&gt;&lt;ref-type name="Journal Article"&gt;17&lt;/ref-type&gt;&lt;contributors&gt;&lt;authors&gt;&lt;author&gt;Jacquot, S.&lt;/author&gt;&lt;/authors&gt;&lt;/contributors&gt;&lt;titles&gt;&lt;title&gt;L&amp;apos;instrumentation du gender mainstreaming à la commission européenne : entre ‘ ingénierie sociale &amp;apos; et ‘ ingénierie instrumentale &lt;/title&gt;&lt;secondary-title&gt;Politique européenne&lt;/secondary-title&gt;&lt;/titles&gt;&lt;periodical&gt;&lt;full-title&gt;Politique européenne&lt;/full-title&gt;&lt;/periodical&gt;&lt;pages&gt;33-54&lt;/pages&gt;&lt;volume&gt;3&lt;/volume&gt;&lt;number&gt;20&lt;/number&gt;&lt;dates&gt;&lt;year&gt;2006&lt;/year&gt;&lt;/dates&gt;&lt;urls&gt;&lt;/urls&gt;&lt;/record&gt;&lt;/Cite&gt;&lt;/EndNote&gt;</w:instrText>
      </w:r>
      <w:r w:rsidR="00514CD2">
        <w:fldChar w:fldCharType="separate"/>
      </w:r>
      <w:r w:rsidR="00F91766">
        <w:rPr>
          <w:noProof/>
        </w:rPr>
        <w:t>(</w:t>
      </w:r>
      <w:hyperlink w:anchor="_ENREF_13" w:tooltip="Jacquot, 2006 #6030" w:history="1">
        <w:r w:rsidR="0028313C">
          <w:rPr>
            <w:noProof/>
          </w:rPr>
          <w:t>Jacquot, 2006</w:t>
        </w:r>
      </w:hyperlink>
      <w:r w:rsidR="00F91766">
        <w:rPr>
          <w:noProof/>
        </w:rPr>
        <w:t>)</w:t>
      </w:r>
      <w:r w:rsidR="00514CD2">
        <w:fldChar w:fldCharType="end"/>
      </w:r>
      <w:r w:rsidR="00101D92">
        <w:t xml:space="preserve">, le Commonwealth et l’Unifem. On les retrouve généralement sous le nom de « gender impact assessment ». </w:t>
      </w:r>
    </w:p>
    <w:p w:rsidR="00C7095F" w:rsidRDefault="00C7095F" w:rsidP="00147786"/>
    <w:p w:rsidR="00C7095F" w:rsidRPr="00EA71DA" w:rsidRDefault="00C7095F" w:rsidP="00147786">
      <w:r>
        <w:lastRenderedPageBreak/>
        <w:t xml:space="preserve">Nous avons réalisé </w:t>
      </w:r>
      <w:r w:rsidRPr="00264767">
        <w:rPr>
          <w:color w:val="FF0000"/>
        </w:rPr>
        <w:t>un</w:t>
      </w:r>
      <w:r w:rsidR="00264767" w:rsidRPr="00264767">
        <w:rPr>
          <w:color w:val="FF0000"/>
        </w:rPr>
        <w:t>e</w:t>
      </w:r>
      <w:r w:rsidRPr="00264767">
        <w:rPr>
          <w:color w:val="FF0000"/>
        </w:rPr>
        <w:t xml:space="preserve"> check-li</w:t>
      </w:r>
      <w:r w:rsidR="00264767" w:rsidRPr="00264767">
        <w:rPr>
          <w:color w:val="FF0000"/>
        </w:rPr>
        <w:t>s</w:t>
      </w:r>
      <w:r w:rsidRPr="00264767">
        <w:rPr>
          <w:color w:val="FF0000"/>
        </w:rPr>
        <w:t>t</w:t>
      </w:r>
      <w:r>
        <w:t xml:space="preserve"> des questions à se poser pour réaliser une analyse d’impact des politiques selon le genre</w:t>
      </w:r>
    </w:p>
    <w:p w:rsidR="00C7095F" w:rsidRDefault="00C7095F" w:rsidP="00C7095F"/>
    <w:p w:rsidR="0028313C" w:rsidRPr="00187354" w:rsidRDefault="00C7095F" w:rsidP="0028313C">
      <w:pPr>
        <w:pStyle w:val="Lgende"/>
      </w:pPr>
      <w:bookmarkStart w:id="3" w:name="_Toc147475136"/>
      <w:bookmarkStart w:id="4" w:name="_Toc151430954"/>
      <w:r w:rsidRPr="00187354">
        <w:t xml:space="preserve">Check-list </w:t>
      </w:r>
      <w:r w:rsidR="00514CD2" w:rsidRPr="00187354">
        <w:fldChar w:fldCharType="begin"/>
      </w:r>
      <w:r w:rsidRPr="00187354">
        <w:instrText xml:space="preserve"> </w:instrText>
      </w:r>
      <w:r w:rsidR="001E22EF" w:rsidRPr="00187354">
        <w:instrText>SEQ</w:instrText>
      </w:r>
      <w:r w:rsidRPr="00187354">
        <w:instrText xml:space="preserve"> Check-list \* ARABIC </w:instrText>
      </w:r>
      <w:r w:rsidR="00514CD2" w:rsidRPr="00187354">
        <w:fldChar w:fldCharType="separate"/>
      </w:r>
      <w:r w:rsidRPr="00187354">
        <w:rPr>
          <w:noProof/>
        </w:rPr>
        <w:t>1</w:t>
      </w:r>
      <w:r w:rsidR="00514CD2" w:rsidRPr="00187354">
        <w:fldChar w:fldCharType="end"/>
      </w:r>
      <w:r w:rsidRPr="00187354">
        <w:t>: Evaluation et analyse d’impacts selon le genre</w:t>
      </w:r>
      <w:bookmarkEnd w:id="3"/>
      <w:bookmarkEnd w:id="4"/>
    </w:p>
    <w:p w:rsidR="0028313C" w:rsidRPr="00187354"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87354">
        <w:rPr>
          <w:rFonts w:ascii="Times New Roman" w:hAnsi="Times New Roman"/>
          <w:szCs w:val="20"/>
        </w:rPr>
        <w:t xml:space="preserve">Dispose-t-on de données sur les bénéficiaires </w:t>
      </w:r>
      <w:r w:rsidRPr="00187354">
        <w:rPr>
          <w:rFonts w:ascii="Times New Roman" w:hAnsi="Times New Roman"/>
          <w:b/>
          <w:szCs w:val="20"/>
          <w:u w:val="single"/>
        </w:rPr>
        <w:t>réels,</w:t>
      </w:r>
      <w:r w:rsidRPr="00187354">
        <w:rPr>
          <w:rFonts w:ascii="Times New Roman" w:hAnsi="Times New Roman"/>
          <w:szCs w:val="20"/>
        </w:rPr>
        <w:t xml:space="preserve"> différenciées selon les sexes ?</w:t>
      </w:r>
    </w:p>
    <w:p w:rsidR="0028313C" w:rsidRPr="00187354"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87354">
        <w:rPr>
          <w:rFonts w:ascii="Times New Roman" w:hAnsi="Times New Roman"/>
          <w:szCs w:val="20"/>
        </w:rPr>
        <w:t>La variable sexe est-elle mobilisée comme variable indépendante en vue de dégager les résultats selon les sexes?</w:t>
      </w:r>
    </w:p>
    <w:p w:rsidR="0028313C" w:rsidRPr="00187354"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87354">
        <w:rPr>
          <w:rFonts w:ascii="Times New Roman" w:hAnsi="Times New Roman"/>
          <w:szCs w:val="20"/>
        </w:rPr>
        <w:t>Ces données sur la répartition sexuée des bénéficiaires sont-elles mises en lien avec les objectifs généraux et spécifiques de la politique, du programme ou du plan d’action pour les femmes et pour les hommes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87354">
        <w:rPr>
          <w:rFonts w:ascii="Times New Roman" w:hAnsi="Times New Roman"/>
          <w:szCs w:val="20"/>
        </w:rPr>
        <w:t>Des données qualitatives relatives aux objectifs</w:t>
      </w:r>
      <w:r w:rsidRPr="00147786">
        <w:rPr>
          <w:rFonts w:ascii="Times New Roman" w:hAnsi="Times New Roman"/>
          <w:szCs w:val="20"/>
        </w:rPr>
        <w:t xml:space="preserve"> d’égalité ont-elles été collectées ?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Les actions décrites ont-elles permis de réduire des inégalités entre les femmes et les hommes ? si oui ? lesquelles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Les actions décrites ont-elles permis de réduire les stéréotypes sur l’un et l’autre sexe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 xml:space="preserve">Les actions menées ont-elles pris en compte les contraintes mais aussi </w:t>
      </w:r>
      <w:r>
        <w:rPr>
          <w:rFonts w:ascii="Times New Roman" w:hAnsi="Times New Roman"/>
          <w:szCs w:val="20"/>
        </w:rPr>
        <w:t xml:space="preserve">les </w:t>
      </w:r>
      <w:r w:rsidRPr="00147786">
        <w:rPr>
          <w:rFonts w:ascii="Times New Roman" w:hAnsi="Times New Roman"/>
          <w:szCs w:val="20"/>
        </w:rPr>
        <w:t xml:space="preserve">ressources et </w:t>
      </w:r>
      <w:r>
        <w:rPr>
          <w:rFonts w:ascii="Times New Roman" w:hAnsi="Times New Roman"/>
          <w:szCs w:val="20"/>
        </w:rPr>
        <w:t xml:space="preserve">les </w:t>
      </w:r>
      <w:r w:rsidRPr="00147786">
        <w:rPr>
          <w:rFonts w:ascii="Times New Roman" w:hAnsi="Times New Roman"/>
          <w:szCs w:val="20"/>
        </w:rPr>
        <w:t>opportunités spécifiques à l’un ou l’autre sexe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Les ressources mobilisées (budgets, ressources humaines, matériel,</w:t>
      </w:r>
      <w:r>
        <w:rPr>
          <w:rFonts w:ascii="Times New Roman" w:hAnsi="Times New Roman"/>
          <w:szCs w:val="20"/>
        </w:rPr>
        <w:t xml:space="preserve"> </w:t>
      </w:r>
      <w:r w:rsidRPr="00147786">
        <w:rPr>
          <w:rFonts w:ascii="Times New Roman" w:hAnsi="Times New Roman"/>
          <w:szCs w:val="20"/>
        </w:rPr>
        <w:t>ressources techniques….) étaient-elles suffisantes pour réduire les inégalités des femmes et des hommes</w:t>
      </w:r>
      <w:r>
        <w:rPr>
          <w:rFonts w:ascii="Times New Roman" w:hAnsi="Times New Roman"/>
          <w:szCs w:val="20"/>
        </w:rPr>
        <w:t>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Chacun des sexes a-t-il été consulté pendant le processus d’évaluation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Dispose-t-on d’études de satisfaction des bénéficiaires différencié</w:t>
      </w:r>
      <w:r>
        <w:rPr>
          <w:rFonts w:ascii="Times New Roman" w:hAnsi="Times New Roman"/>
          <w:szCs w:val="20"/>
        </w:rPr>
        <w:t>e</w:t>
      </w:r>
      <w:r w:rsidRPr="00147786">
        <w:rPr>
          <w:rFonts w:ascii="Times New Roman" w:hAnsi="Times New Roman"/>
          <w:szCs w:val="20"/>
        </w:rPr>
        <w:t xml:space="preserve">s selon les sexes ?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 xml:space="preserve">L’évaluation met-elle en évidence les impacts indirects positifs et négatifs sur les conditions de vie des femmes et des hommes ?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sidRPr="00147786">
        <w:rPr>
          <w:rFonts w:ascii="Times New Roman" w:hAnsi="Times New Roman"/>
          <w:szCs w:val="20"/>
        </w:rPr>
        <w:t>L’évaluation permet-elle d’identifier de nouvelles priorités et pistes d’action en regard de l’égalité des femmes et des hommes ?</w:t>
      </w:r>
    </w:p>
    <w:p w:rsidR="0028313C" w:rsidRPr="00147786" w:rsidRDefault="0028313C" w:rsidP="00C7095F">
      <w:pPr>
        <w:pStyle w:val="tableau"/>
        <w:numPr>
          <w:ilvl w:val="0"/>
          <w:numId w:val="11"/>
        </w:numPr>
        <w:spacing w:before="100" w:beforeAutospacing="1" w:after="100" w:afterAutospacing="1" w:line="240" w:lineRule="auto"/>
        <w:rPr>
          <w:rFonts w:ascii="Times New Roman" w:hAnsi="Times New Roman"/>
          <w:szCs w:val="20"/>
        </w:rPr>
      </w:pPr>
      <w:r>
        <w:rPr>
          <w:rFonts w:ascii="Times New Roman" w:hAnsi="Times New Roman"/>
          <w:szCs w:val="20"/>
        </w:rPr>
        <w:t>Les instances gouvernementales en charge de l’égalité ont-elles</w:t>
      </w:r>
      <w:r w:rsidRPr="00147786">
        <w:rPr>
          <w:rFonts w:ascii="Times New Roman" w:hAnsi="Times New Roman"/>
          <w:szCs w:val="20"/>
        </w:rPr>
        <w:t xml:space="preserve"> été associé</w:t>
      </w:r>
      <w:r>
        <w:rPr>
          <w:rFonts w:ascii="Times New Roman" w:hAnsi="Times New Roman"/>
          <w:szCs w:val="20"/>
        </w:rPr>
        <w:t>e</w:t>
      </w:r>
      <w:r w:rsidRPr="00147786">
        <w:rPr>
          <w:rFonts w:ascii="Times New Roman" w:hAnsi="Times New Roman"/>
          <w:szCs w:val="20"/>
        </w:rPr>
        <w:t>s à l’évaluation ?</w:t>
      </w:r>
    </w:p>
    <w:p w:rsidR="00147786" w:rsidRDefault="0028313C" w:rsidP="007351CA">
      <w:pPr>
        <w:pStyle w:val="tableau"/>
        <w:numPr>
          <w:ilvl w:val="0"/>
          <w:numId w:val="11"/>
        </w:numPr>
        <w:spacing w:before="100" w:beforeAutospacing="1" w:after="100" w:afterAutospacing="1" w:line="240" w:lineRule="auto"/>
      </w:pPr>
      <w:r w:rsidRPr="00ED3539">
        <w:rPr>
          <w:rFonts w:ascii="Times New Roman" w:hAnsi="Times New Roman"/>
          <w:szCs w:val="20"/>
        </w:rPr>
        <w:t>Des bénéficiaires des deux sexes et la société civile, via les associations, ont-ils été associés à l’évaluation ?</w:t>
      </w:r>
    </w:p>
    <w:p w:rsidR="00C7095F" w:rsidRPr="00EA71DA" w:rsidRDefault="00C7095F" w:rsidP="00C7095F">
      <w:r>
        <w:t>Cette analyse d’impact suppose qu’on dispose d’indicateurs et de données statistiques différenciées selon les sexes qui permettent d’identifier la situation et les écarts avant et après l’action menée. Ces données chiffrées sont utilement complétées par des données qualitatives qui permettent de donner du sens aux chiffres et de cerner les cas particuliers, souvent très riches pour affiner l’analyse. Certains pays produisent des baromètres de l’égalité qui intègrent des données longitudinales (comparaison dans le temps), ce qui permet de mesurer les progrès et les reculs. L’évaluation devrait pour être complète analyser l’impact des réductions budgétaires (ex : analyse des plans de réduction des coûts du chômage sur les femmes et les hommes), des changements de partenaires ou de majorité.</w:t>
      </w:r>
    </w:p>
    <w:p w:rsidR="00373BA5" w:rsidRDefault="00373BA5" w:rsidP="00C63754"/>
    <w:p w:rsidR="00B257A4" w:rsidRDefault="00B257A4" w:rsidP="00B257A4">
      <w:pPr>
        <w:pStyle w:val="Titre1"/>
      </w:pPr>
      <w:r>
        <w:t>Conclusions</w:t>
      </w:r>
    </w:p>
    <w:p w:rsidR="00B257A4" w:rsidRDefault="00B257A4" w:rsidP="00B257A4"/>
    <w:p w:rsidR="00101D92" w:rsidRDefault="00B257A4" w:rsidP="00B257A4">
      <w:r>
        <w:t>L’approche intégrée selon le genre</w:t>
      </w:r>
      <w:r w:rsidR="0071128F">
        <w:t xml:space="preserve">, si elle </w:t>
      </w:r>
      <w:r w:rsidR="0028313C">
        <w:t>e</w:t>
      </w:r>
      <w:r w:rsidR="0071128F">
        <w:t>st bien comprise et intégrée,</w:t>
      </w:r>
      <w:r>
        <w:t xml:space="preserve"> comprend les germes d’une révolution structurelle et d’un changement de paradigme</w:t>
      </w:r>
      <w:r w:rsidR="0028313C">
        <w:t xml:space="preserve"> </w:t>
      </w:r>
      <w:r w:rsidR="00514CD2">
        <w:fldChar w:fldCharType="begin"/>
      </w:r>
      <w:r w:rsidR="0028313C">
        <w:instrText xml:space="preserve"> </w:instrText>
      </w:r>
      <w:r w:rsidR="001E22EF">
        <w:instrText>ADDIN</w:instrText>
      </w:r>
      <w:r w:rsidR="0028313C">
        <w:instrText xml:space="preserve"> EN.CITE &lt;EndNote&gt;&lt;Cite&gt;&lt;Author&gt;Jacquot&lt;/Author&gt;&lt;Year&gt;2013&lt;/Year&gt;&lt;RecNum&gt;6029&lt;/RecNum&gt;&lt;DisplayText&gt;(Jacquot, 2013)&lt;/DisplayText&gt;&lt;record&gt;&lt;rec-number&gt;6029&lt;/rec-number&gt;&lt;foreign-keys&gt;&lt;key app="EN" db-id="5p0x9e0pvxevvwefdv1p9wvt2vdre50z2sxx"&gt;6029&lt;/key&gt;&lt;/foreign-keys&gt;&lt;ref-type name="Journal Article"&gt;17&lt;/ref-type&gt;&lt;contributors&gt;&lt;authors&gt;&lt;author&gt;Jacquot, S.&lt;/author&gt;&lt;/authors&gt;&lt;/contributors&gt;&lt;titles&gt;&lt;title&gt;Le gender mainstreaming et l’Union européenne : quels effets ?&lt;/title&gt;&lt;secondary-title&gt;Lien social et Politiques&lt;/secondary-title&gt;&lt;/titles&gt;&lt;periodical&gt;&lt;full-title&gt;Lien social et Politiques&lt;/full-title&gt;&lt;/periodical&gt;&lt;pages&gt;17-34&lt;/pages&gt;&lt;number&gt;69, printemps,&lt;/number&gt;&lt;dates&gt;&lt;year&gt;2013&lt;/year&gt;&lt;/dates&gt;&lt;urls&gt;&lt;/urls&gt;&lt;/record&gt;&lt;/Cite&gt;&lt;/EndNote&gt;</w:instrText>
      </w:r>
      <w:r w:rsidR="00514CD2">
        <w:fldChar w:fldCharType="separate"/>
      </w:r>
      <w:r w:rsidR="0028313C">
        <w:rPr>
          <w:noProof/>
        </w:rPr>
        <w:t>(</w:t>
      </w:r>
      <w:hyperlink w:anchor="_ENREF_14" w:tooltip="Jacquot, 2013 #6029" w:history="1">
        <w:r w:rsidR="0028313C">
          <w:rPr>
            <w:noProof/>
          </w:rPr>
          <w:t>Jacquot, 2013</w:t>
        </w:r>
      </w:hyperlink>
      <w:r w:rsidR="0028313C">
        <w:rPr>
          <w:noProof/>
        </w:rPr>
        <w:t>)</w:t>
      </w:r>
      <w:r w:rsidR="00514CD2">
        <w:fldChar w:fldCharType="end"/>
      </w:r>
      <w:r w:rsidR="0071128F">
        <w:t>.</w:t>
      </w:r>
      <w:r>
        <w:t xml:space="preserve"> Le problème </w:t>
      </w:r>
      <w:r>
        <w:lastRenderedPageBreak/>
        <w:t>est que souvent cet outil est confondu avec les actions</w:t>
      </w:r>
      <w:r w:rsidR="003369DC">
        <w:t xml:space="preserve"> </w:t>
      </w:r>
      <w:r>
        <w:t>positives</w:t>
      </w:r>
      <w:r w:rsidR="003369DC">
        <w:t xml:space="preserve">, ciblant spécifiquement les femmes </w:t>
      </w:r>
      <w:r w:rsidR="00514CD2">
        <w:fldChar w:fldCharType="begin"/>
      </w:r>
      <w:r w:rsidR="00D66513">
        <w:instrText xml:space="preserve"> </w:instrText>
      </w:r>
      <w:r w:rsidR="001E22EF">
        <w:instrText>ADDIN</w:instrText>
      </w:r>
      <w:r w:rsidR="00D66513">
        <w:instrText xml:space="preserve"> EN.CITE &lt;EndNote&gt;&lt;Cite&gt;&lt;Author&gt;Ministère de l&amp;apos;emploi et du travail&lt;/Author&gt;&lt;Year&gt;2003&lt;/Year&gt;&lt;RecNum&gt;4379&lt;/RecNum&gt;&lt;DisplayText&gt;(Ministère de l&amp;apos;emploi et du travail, 2003)&lt;/DisplayText&gt;&lt;record&gt;&lt;rec-number&gt;4379&lt;/rec-number&gt;&lt;foreign-keys&gt;&lt;key app="EN" db-id="5p0x9e0pvxevvwefdv1p9wvt2vdre50z2sxx"&gt;4379&lt;/key&gt;&lt;/foreign-keys&gt;&lt;ref-type name="Report"&gt;27&lt;/ref-type&gt;&lt;contributors&gt;&lt;authors&gt;&lt;author&gt;Ministère de l&amp;apos;emploi et du travail, Direction de l&amp;apos;égalité des chances&lt;/author&gt;&lt;/authors&gt;&lt;/contributors&gt;&lt;titles&gt;&lt;title&gt;Rapport final d&amp;apos;évaluation de la cellule &amp;quot;gender mainstreaming&amp;quot; mise en place au sein du gouvernement fédéral - Réalisation des objectifs stratégiques dans le cadre du suivi de la mise en oeuvre de la plate-forme d&amp;apos;action de la conférence mondiale des femmes de Pékin&lt;/title&gt;&lt;/titles&gt;&lt;dates&gt;&lt;year&gt;2003&lt;/year&gt;&lt;/dates&gt;&lt;pub-location&gt;Bruxelles&lt;/pub-location&gt;&lt;publisher&gt;Ministère fédéral de l&amp;apos;Emploi et du Travail, Direction de l&amp;apos;égalité des chances&lt;/publisher&gt;&lt;urls&gt;&lt;/urls&gt;&lt;/record&gt;&lt;/Cite&gt;&lt;/EndNote&gt;</w:instrText>
      </w:r>
      <w:r w:rsidR="00514CD2">
        <w:fldChar w:fldCharType="separate"/>
      </w:r>
      <w:r w:rsidR="00D66513">
        <w:rPr>
          <w:noProof/>
        </w:rPr>
        <w:t>(</w:t>
      </w:r>
      <w:hyperlink w:anchor="_ENREF_20" w:tooltip="Ministère de l'emploi et du travail, 2003 #4379" w:history="1">
        <w:r w:rsidR="0028313C">
          <w:rPr>
            <w:noProof/>
          </w:rPr>
          <w:t>Ministère de l'emploi et du travail, 2003</w:t>
        </w:r>
      </w:hyperlink>
      <w:r w:rsidR="00D66513">
        <w:rPr>
          <w:noProof/>
        </w:rPr>
        <w:t>)</w:t>
      </w:r>
      <w:r w:rsidR="00514CD2">
        <w:fldChar w:fldCharType="end"/>
      </w:r>
      <w:r>
        <w:t xml:space="preserve">. </w:t>
      </w:r>
    </w:p>
    <w:p w:rsidR="0028313C" w:rsidRDefault="0028313C" w:rsidP="00B257A4"/>
    <w:p w:rsidR="0028313C" w:rsidRDefault="0028313C" w:rsidP="00B257A4">
      <w:r>
        <w:t xml:space="preserve">Trop souvent encore des objectifs d’égalité sont annoncés, des bonnes intentions se mobilisent et tentent d’agir mais les résultats escomptés ne peuvent être atteints à cause du manque de moyens financiers, humains et logistiques. L’analyse des différents rapports nationaux réalisés pour les </w:t>
      </w:r>
      <w:r w:rsidRPr="00FA517D">
        <w:t xml:space="preserve">Nations Unies </w:t>
      </w:r>
      <w:r>
        <w:t xml:space="preserve">dans le cadre du suivi </w:t>
      </w:r>
      <w:r w:rsidRPr="00FA517D">
        <w:t xml:space="preserve">du Programme d'action de Beijing </w:t>
      </w:r>
      <w:r>
        <w:t>témoignent des écarts entre déclaration d’intention et actions réelles.</w:t>
      </w:r>
    </w:p>
    <w:p w:rsidR="00101D92" w:rsidRDefault="00101D92" w:rsidP="00B257A4"/>
    <w:p w:rsidR="00101D92" w:rsidRDefault="00B257A4" w:rsidP="00B257A4">
      <w:r>
        <w:t>Réaliser une analyse d’impact</w:t>
      </w:r>
      <w:r w:rsidR="003369DC">
        <w:t>,</w:t>
      </w:r>
      <w:r>
        <w:t xml:space="preserve"> différencié</w:t>
      </w:r>
      <w:r w:rsidR="0071128F">
        <w:t>e</w:t>
      </w:r>
      <w:r>
        <w:t xml:space="preserve"> selon le sexe</w:t>
      </w:r>
      <w:r w:rsidR="003369DC">
        <w:t>,</w:t>
      </w:r>
      <w:r>
        <w:t xml:space="preserve"> est une opération très complexe</w:t>
      </w:r>
      <w:r w:rsidR="00192905">
        <w:t xml:space="preserve"> </w:t>
      </w:r>
      <w:r w:rsidR="00514CD2">
        <w:fldChar w:fldCharType="begin"/>
      </w:r>
      <w:r w:rsidR="00192905">
        <w:instrText xml:space="preserve"> </w:instrText>
      </w:r>
      <w:r w:rsidR="001E22EF">
        <w:instrText>ADDIN</w:instrText>
      </w:r>
      <w:r w:rsidR="00192905">
        <w:instrText xml:space="preserve"> EN.CITE &lt;EndNote&gt;&lt;Cite&gt;&lt;Author&gt;Fraisse&lt;/Author&gt;&lt;Year&gt;2008&lt;/Year&gt;&lt;RecNum&gt;6028&lt;/RecNum&gt;&lt;DisplayText&gt;(Fraisse, 2008)&lt;/DisplayText&gt;&lt;record&gt;&lt;rec-number&gt;6028&lt;/rec-number&gt;&lt;foreign-keys&gt;&lt;key app="EN" db-id="5p0x9e0pvxevvwefdv1p9wvt2vdre50z2sxx"&gt;6028&lt;/key&gt;&lt;/foreign-keys&gt;&lt;ref-type name="Journal Article"&gt;17&lt;/ref-type&gt;&lt;contributors&gt;&lt;authors&gt;&lt;author&gt;Fraisse, G.&lt;/author&gt;&lt;/authors&gt;&lt;/contributors&gt;&lt;titles&gt;&lt;title&gt;Le gender mainstreaming, vrai en théorie, faux en pratique ?  Interview par Sandrine Dauphin et Réjane Sénac-Slawinski&lt;/title&gt;&lt;secondary-title&gt;Cahiers du genre&lt;/secondary-title&gt;&lt;/titles&gt;&lt;periodical&gt;&lt;full-title&gt;Cahiers du genre&lt;/full-title&gt;&lt;/periodical&gt;&lt;pages&gt;17-26&lt;/pages&gt;&lt;number&gt;44&lt;/number&gt;&lt;dates&gt;&lt;year&gt;2008&lt;/year&gt;&lt;/dates&gt;&lt;urls&gt;&lt;/urls&gt;&lt;/record&gt;&lt;/Cite&gt;&lt;/EndNote&gt;</w:instrText>
      </w:r>
      <w:r w:rsidR="00514CD2">
        <w:fldChar w:fldCharType="separate"/>
      </w:r>
      <w:r w:rsidR="00192905">
        <w:rPr>
          <w:noProof/>
        </w:rPr>
        <w:t>(</w:t>
      </w:r>
      <w:hyperlink w:anchor="_ENREF_11" w:tooltip="Fraisse, 2008 #6028" w:history="1">
        <w:r w:rsidR="0028313C">
          <w:rPr>
            <w:noProof/>
          </w:rPr>
          <w:t>Fraisse, 2008</w:t>
        </w:r>
      </w:hyperlink>
      <w:r w:rsidR="00192905">
        <w:rPr>
          <w:noProof/>
        </w:rPr>
        <w:t>)</w:t>
      </w:r>
      <w:r w:rsidR="00514CD2">
        <w:fldChar w:fldCharType="end"/>
      </w:r>
      <w:r>
        <w:t xml:space="preserve">, qui nécessite des compétences en genre mais aussi </w:t>
      </w:r>
      <w:r w:rsidR="0071128F">
        <w:t>relatives aux</w:t>
      </w:r>
      <w:r>
        <w:t xml:space="preserve"> différentes thématiques qui sont traitées</w:t>
      </w:r>
      <w:r w:rsidR="0071128F">
        <w:t xml:space="preserve"> (conciliation vie privée/vie professionnelle, entrepreneuriat, etc.)</w:t>
      </w:r>
      <w:r>
        <w:t>, ce qui augmemte grandement la complexité de l’exercice. Il est évident qu’on trouvera peut-être quelques spécialistes du calcul des rémunérations et du genre, des politiques fiscales et du genre mais le plus souvent, pour r</w:t>
      </w:r>
      <w:r w:rsidR="00D66513">
        <w:t>éaliser l’exercice</w:t>
      </w:r>
      <w:r w:rsidR="0071128F">
        <w:t>,</w:t>
      </w:r>
      <w:r w:rsidR="00D66513">
        <w:t xml:space="preserve"> il faudra mettre en place des équipes pluridisciplinaires capable</w:t>
      </w:r>
      <w:r w:rsidR="0071128F">
        <w:t>s</w:t>
      </w:r>
      <w:r w:rsidR="00D66513">
        <w:t xml:space="preserve"> d’échanger et de se comprendre. </w:t>
      </w:r>
    </w:p>
    <w:p w:rsidR="00101D92" w:rsidRDefault="00101D92" w:rsidP="00B257A4"/>
    <w:p w:rsidR="00101D92" w:rsidRPr="00147786" w:rsidRDefault="00101D92" w:rsidP="00101D92">
      <w:r w:rsidRPr="00147786">
        <w:t>L’implémentation du mainstreaming de genre dans les projets d’un service ou d’une organisation peut être favorisée par une série de facteurs</w:t>
      </w:r>
      <w:r w:rsidR="007E3F63">
        <w:t xml:space="preserve">. Les principaux sont </w:t>
      </w:r>
      <w:r>
        <w:t>un e</w:t>
      </w:r>
      <w:r w:rsidRPr="00147786">
        <w:t xml:space="preserve">ngagement fort de la part </w:t>
      </w:r>
      <w:r>
        <w:t>des responsables politiques et des équipes de direction, des actions de s</w:t>
      </w:r>
      <w:r w:rsidRPr="00147786">
        <w:t>ensibilisat</w:t>
      </w:r>
      <w:r>
        <w:t>ion et d’</w:t>
      </w:r>
      <w:r w:rsidRPr="00147786">
        <w:t xml:space="preserve">informations et </w:t>
      </w:r>
      <w:r w:rsidR="0071128F">
        <w:t xml:space="preserve">des </w:t>
      </w:r>
      <w:r w:rsidRPr="00147786">
        <w:t>formations sur l’importance d’int</w:t>
      </w:r>
      <w:r>
        <w:t>égrer le genre dans ses actions, la m</w:t>
      </w:r>
      <w:r w:rsidRPr="00147786">
        <w:t xml:space="preserve">ise à disposition d’outils et </w:t>
      </w:r>
      <w:r w:rsidR="0071128F">
        <w:t xml:space="preserve">de </w:t>
      </w:r>
      <w:r w:rsidRPr="00147786">
        <w:t>ressources disponibles pour travaille</w:t>
      </w:r>
      <w:r>
        <w:t xml:space="preserve">r dans une perspective de genre, une </w:t>
      </w:r>
      <w:r w:rsidRPr="00147786">
        <w:t xml:space="preserve">culture organisationnelle qui évite de reproduire les stéréotypes sexués </w:t>
      </w:r>
      <w:r>
        <w:t>et l’i</w:t>
      </w:r>
      <w:r w:rsidRPr="00147786">
        <w:t>ntégration de la prise en compte du genre dans les politiques de gestion des</w:t>
      </w:r>
      <w:r>
        <w:t xml:space="preserve"> ressources humaines, notamment dans les objectifs à atteindre, la description des tâches, l</w:t>
      </w:r>
      <w:r w:rsidRPr="00147786">
        <w:t>’évaluatio</w:t>
      </w:r>
      <w:r>
        <w:t>n du personnel (accountability) et</w:t>
      </w:r>
      <w:r w:rsidR="0071128F">
        <w:t>,</w:t>
      </w:r>
      <w:r>
        <w:t xml:space="preserve"> enfin, la m</w:t>
      </w:r>
      <w:r w:rsidRPr="00147786">
        <w:t xml:space="preserve">ise en réseau des expertises et </w:t>
      </w:r>
      <w:r w:rsidR="0071128F">
        <w:t xml:space="preserve">le </w:t>
      </w:r>
      <w:r w:rsidRPr="00147786">
        <w:t xml:space="preserve">partage des connaissances et </w:t>
      </w:r>
      <w:r w:rsidR="0071128F">
        <w:t xml:space="preserve">des </w:t>
      </w:r>
      <w:r w:rsidRPr="00147786">
        <w:t>compétences.</w:t>
      </w:r>
    </w:p>
    <w:p w:rsidR="00101D92" w:rsidRDefault="00101D92" w:rsidP="00B257A4"/>
    <w:p w:rsidR="003369DC" w:rsidRDefault="00D66513" w:rsidP="00B257A4">
      <w:r>
        <w:t>Il ne faut pas oublier que derrière tout ceci se cachent des rapports de pouvoir, des gagnan</w:t>
      </w:r>
      <w:r w:rsidR="00101D92">
        <w:t>t</w:t>
      </w:r>
      <w:r>
        <w:t xml:space="preserve">s et des perdants, des hommes et des femmes qui </w:t>
      </w:r>
      <w:r w:rsidRPr="00B1465B">
        <w:rPr>
          <w:color w:val="00B0F0"/>
        </w:rPr>
        <w:t xml:space="preserve">ont </w:t>
      </w:r>
      <w:r>
        <w:t>des choses à gagner si les règles du jeu changent, mais aussi parfois</w:t>
      </w:r>
      <w:r w:rsidR="003F77CA">
        <w:t xml:space="preserve"> </w:t>
      </w:r>
      <w:r w:rsidR="00101D92">
        <w:t>des choses</w:t>
      </w:r>
      <w:r>
        <w:t xml:space="preserve"> à perdre</w:t>
      </w:r>
      <w:r w:rsidR="00101D92">
        <w:t xml:space="preserve"> (intérêts financiers, politiques</w:t>
      </w:r>
      <w:r w:rsidR="003F77CA">
        <w:t xml:space="preserve"> et</w:t>
      </w:r>
      <w:r w:rsidR="00101D92">
        <w:t xml:space="preserve"> symboliques)</w:t>
      </w:r>
      <w:r>
        <w:t xml:space="preserve">. Cela </w:t>
      </w:r>
      <w:r w:rsidR="003F77CA">
        <w:t xml:space="preserve">pourrait </w:t>
      </w:r>
      <w:r>
        <w:t>explique</w:t>
      </w:r>
      <w:r w:rsidR="003F77CA">
        <w:t>r</w:t>
      </w:r>
      <w:r>
        <w:t xml:space="preserve"> les résistances et </w:t>
      </w:r>
      <w:r w:rsidR="003F77CA">
        <w:t xml:space="preserve">les </w:t>
      </w:r>
      <w:r>
        <w:t>blocages</w:t>
      </w:r>
      <w:r w:rsidR="0028313C">
        <w:t xml:space="preserve"> </w:t>
      </w:r>
      <w:r w:rsidR="00514CD2">
        <w:fldChar w:fldCharType="begin"/>
      </w:r>
      <w:r w:rsidR="0028313C">
        <w:instrText xml:space="preserve"> </w:instrText>
      </w:r>
      <w:r w:rsidR="001E22EF">
        <w:instrText>ADDIN</w:instrText>
      </w:r>
      <w:r w:rsidR="0028313C">
        <w:instrText xml:space="preserve"> EN.CITE &lt;EndNote&gt;&lt;Cite&gt;&lt;Author&gt;Charbonneau&lt;/Author&gt;&lt;Year&gt;2013&lt;/Year&gt;&lt;RecNum&gt;6032&lt;/RecNum&gt;&lt;DisplayText&gt;(Charbonneau, Martin, Mallon, &amp;amp; Quéniart, 2013)&lt;/DisplayText&gt;&lt;record&gt;&lt;rec-number&gt;6032&lt;/rec-number&gt;&lt;foreign-keys&gt;&lt;key app="EN" db-id="5p0x9e0pvxevvwefdv1p9wvt2vdre50z2sxx"&gt;6032&lt;/key&gt;&lt;/foreign-keys&gt;&lt;ref-type name="Journal Article"&gt;17&lt;/ref-type&gt;&lt;contributors&gt;&lt;authors&gt;&lt;author&gt;Charbonneau, J. &lt;/author&gt;&lt;author&gt;Martin, C.&lt;/author&gt;&lt;author&gt;Mallon, I &lt;/author&gt;&lt;author&gt;Quéniart, A.&lt;/author&gt;&lt;/authors&gt;&lt;/contributors&gt;&lt;titles&gt;&lt;title&gt;Les politiques de genre : quel genre de politiques ?&lt;/title&gt;&lt;secondary-title&gt;Lien social et Politiques&lt;/secondary-title&gt;&lt;/titles&gt;&lt;periodical&gt;&lt;full-title&gt;Lien social et Politiques&lt;/full-title&gt;&lt;/periodical&gt;&lt;pages&gt;17-34&lt;/pages&gt;&lt;number&gt;69&lt;/number&gt;&lt;dates&gt;&lt;year&gt;2013&lt;/year&gt;&lt;/dates&gt;&lt;urls&gt;&lt;/urls&gt;&lt;/record&gt;&lt;/Cite&gt;&lt;/EndNote&gt;</w:instrText>
      </w:r>
      <w:r w:rsidR="00514CD2">
        <w:fldChar w:fldCharType="separate"/>
      </w:r>
      <w:r w:rsidR="0028313C">
        <w:rPr>
          <w:noProof/>
        </w:rPr>
        <w:t>(</w:t>
      </w:r>
      <w:hyperlink w:anchor="_ENREF_4" w:tooltip="Charbonneau, 2013 #6032" w:history="1">
        <w:r w:rsidR="0028313C">
          <w:rPr>
            <w:noProof/>
          </w:rPr>
          <w:t>Charbonneau, Martin, Mallon, &amp; Quéniart, 2013</w:t>
        </w:r>
      </w:hyperlink>
      <w:r w:rsidR="0028313C">
        <w:rPr>
          <w:noProof/>
        </w:rPr>
        <w:t>)</w:t>
      </w:r>
      <w:r w:rsidR="00514CD2">
        <w:fldChar w:fldCharType="end"/>
      </w:r>
      <w:r>
        <w:t xml:space="preserve">. </w:t>
      </w:r>
    </w:p>
    <w:p w:rsidR="00192905" w:rsidRDefault="00192905" w:rsidP="00B257A4"/>
    <w:p w:rsidR="00192905" w:rsidRDefault="00192905" w:rsidP="00B257A4">
      <w:r>
        <w:t xml:space="preserve">Un des débats actuels est le risque que le gendermainstreaming ne participe d’une dilution du genre dans la diversité </w:t>
      </w:r>
      <w:r w:rsidR="00514CD2">
        <w:fldChar w:fldCharType="begin"/>
      </w:r>
      <w:r>
        <w:instrText xml:space="preserve"> </w:instrText>
      </w:r>
      <w:r w:rsidR="001E22EF">
        <w:instrText>ADDIN</w:instrText>
      </w:r>
      <w:r>
        <w:instrText xml:space="preserve"> EN.CITE &lt;EndNote&gt;&lt;Cite&gt;&lt;Author&gt;Dauphin&lt;/Author&gt;&lt;Year&gt;2008&lt;/Year&gt;&lt;RecNum&gt;6027&lt;/RecNum&gt;&lt;DisplayText&gt;(Dauphin &amp;amp; Sénac-Slawinski, 2008)&lt;/DisplayText&gt;&lt;record&gt;&lt;rec-number&gt;6027&lt;/rec-number&gt;&lt;foreign-keys&gt;&lt;key app="EN" db-id="5p0x9e0pvxevvwefdv1p9wvt2vdre50z2sxx"&gt;6027&lt;/key&gt;&lt;/foreign-keys&gt;&lt;ref-type name="Journal Article"&gt;17&lt;/ref-type&gt;&lt;contributors&gt;&lt;authors&gt;&lt;author&gt;Dauphin, S. &lt;/author&gt;&lt;author&gt;Sénac-Slawinski, R. (coord).&lt;/author&gt;&lt;/authors&gt;&lt;/contributors&gt;&lt;titles&gt;&lt;title&gt;Gender mainstreaming : de l&amp;apos;égalité des sexes à la diversité ?&lt;/title&gt;&lt;secondary-title&gt;Cahiers du genre&lt;/secondary-title&gt;&lt;/titles&gt;&lt;periodical&gt;&lt;full-title&gt;Cahiers du genre&lt;/full-title&gt;&lt;/periodical&gt;&lt;number&gt;44&lt;/number&gt;&lt;dates&gt;&lt;year&gt;2008&lt;/year&gt;&lt;/dates&gt;&lt;urls&gt;&lt;/urls&gt;&lt;/record&gt;&lt;/Cite&gt;&lt;/EndNote&gt;</w:instrText>
      </w:r>
      <w:r w:rsidR="00514CD2">
        <w:fldChar w:fldCharType="separate"/>
      </w:r>
      <w:r>
        <w:rPr>
          <w:noProof/>
        </w:rPr>
        <w:t>(</w:t>
      </w:r>
      <w:hyperlink w:anchor="_ENREF_8" w:tooltip="Dauphin, 2008 #6027" w:history="1">
        <w:r w:rsidR="0028313C">
          <w:rPr>
            <w:noProof/>
          </w:rPr>
          <w:t>Dauphin &amp; Sénac-Slawinski, 2008</w:t>
        </w:r>
      </w:hyperlink>
      <w:r>
        <w:rPr>
          <w:noProof/>
        </w:rPr>
        <w:t>)</w:t>
      </w:r>
      <w:r w:rsidR="00514CD2">
        <w:fldChar w:fldCharType="end"/>
      </w:r>
      <w:r>
        <w:t>, avec l’égalité des hommes et des femmes perçue comme un enjeu de société du même niveau que l’intégration de groupes minoritaires dans les politiques publiques.</w:t>
      </w:r>
    </w:p>
    <w:p w:rsidR="003369DC" w:rsidRDefault="003369DC" w:rsidP="00B257A4"/>
    <w:p w:rsidR="00D66513" w:rsidRDefault="003369DC" w:rsidP="00B257A4">
      <w:r>
        <w:t>Enfin, n</w:t>
      </w:r>
      <w:r w:rsidR="00D66513">
        <w:t>’oublions pas non plus que le gen</w:t>
      </w:r>
      <w:r w:rsidR="003A3427">
        <w:t xml:space="preserve">re est contextuel et temporel. Il faut </w:t>
      </w:r>
      <w:r w:rsidR="003F77CA">
        <w:t xml:space="preserve">donc </w:t>
      </w:r>
      <w:r w:rsidR="003A3427">
        <w:t xml:space="preserve">pouvoir donner </w:t>
      </w:r>
      <w:r w:rsidR="003F77CA">
        <w:t xml:space="preserve">du </w:t>
      </w:r>
      <w:r w:rsidR="003A3427">
        <w:t>sens aux actions menées en regard des contextes, des cultures</w:t>
      </w:r>
      <w:r w:rsidR="00FA7553">
        <w:t xml:space="preserve"> et</w:t>
      </w:r>
      <w:r w:rsidR="003A3427">
        <w:t xml:space="preserve"> de l’histoire d’un pays ou d’une région. </w:t>
      </w:r>
    </w:p>
    <w:p w:rsidR="003A3427" w:rsidRDefault="003A3427" w:rsidP="00B257A4"/>
    <w:p w:rsidR="00B257A4" w:rsidRPr="00B257A4" w:rsidRDefault="00D66513" w:rsidP="002C7BFC">
      <w:pPr>
        <w:pStyle w:val="Titre1"/>
        <w:numPr>
          <w:ilvl w:val="0"/>
          <w:numId w:val="0"/>
        </w:numPr>
        <w:ind w:left="432"/>
      </w:pPr>
      <w:r>
        <w:t>Références</w:t>
      </w:r>
    </w:p>
    <w:p w:rsidR="008C0C27" w:rsidRDefault="008C0C27"/>
    <w:p w:rsidR="0028313C" w:rsidRDefault="00514CD2" w:rsidP="0028313C">
      <w:pPr>
        <w:spacing w:line="240" w:lineRule="auto"/>
        <w:ind w:left="720" w:hanging="720"/>
        <w:rPr>
          <w:noProof/>
        </w:rPr>
      </w:pPr>
      <w:r>
        <w:fldChar w:fldCharType="begin"/>
      </w:r>
      <w:r w:rsidR="008C0C27">
        <w:instrText xml:space="preserve"> </w:instrText>
      </w:r>
      <w:r w:rsidR="001E22EF">
        <w:instrText>ADDIN</w:instrText>
      </w:r>
      <w:r w:rsidR="008C0C27">
        <w:instrText xml:space="preserve"> EN.REFLIST </w:instrText>
      </w:r>
      <w:r>
        <w:fldChar w:fldCharType="separate"/>
      </w:r>
      <w:bookmarkStart w:id="5" w:name="_ENREF_1"/>
      <w:r w:rsidR="0028313C" w:rsidRPr="002C7BFC">
        <w:rPr>
          <w:smallCaps/>
          <w:noProof/>
        </w:rPr>
        <w:t xml:space="preserve">Andria, A., </w:t>
      </w:r>
      <w:r w:rsidR="002C7BFC" w:rsidRPr="007E3F63">
        <w:rPr>
          <w:smallCaps/>
          <w:noProof/>
        </w:rPr>
        <w:t>&amp;</w:t>
      </w:r>
      <w:r w:rsidR="0028313C" w:rsidRPr="002C7BFC">
        <w:rPr>
          <w:smallCaps/>
          <w:noProof/>
        </w:rPr>
        <w:t xml:space="preserve"> Richomme-Huet, K.</w:t>
      </w:r>
      <w:r w:rsidR="0028313C">
        <w:rPr>
          <w:noProof/>
        </w:rPr>
        <w:t xml:space="preserve"> (2012). </w:t>
      </w:r>
      <w:r w:rsidR="0028313C" w:rsidRPr="002C7BFC">
        <w:rPr>
          <w:noProof/>
        </w:rPr>
        <w:t>Le mampreneuriat : étude de l’impact de la maternité en entrepreneuriat</w:t>
      </w:r>
      <w:r w:rsidR="0028313C" w:rsidRPr="0028313C">
        <w:rPr>
          <w:i/>
          <w:noProof/>
        </w:rPr>
        <w:t xml:space="preserve"> </w:t>
      </w:r>
      <w:r w:rsidR="0028313C">
        <w:rPr>
          <w:noProof/>
        </w:rPr>
        <w:t xml:space="preserve">Paper presented at the Brest, 11ème CIFPME. </w:t>
      </w:r>
      <w:bookmarkEnd w:id="5"/>
    </w:p>
    <w:p w:rsidR="0028313C" w:rsidRDefault="0028313C" w:rsidP="0028313C">
      <w:pPr>
        <w:spacing w:line="240" w:lineRule="auto"/>
        <w:ind w:left="720" w:hanging="720"/>
        <w:rPr>
          <w:noProof/>
        </w:rPr>
      </w:pPr>
      <w:bookmarkStart w:id="6" w:name="_ENREF_2"/>
      <w:bookmarkStart w:id="7" w:name="_GoBack"/>
      <w:bookmarkEnd w:id="7"/>
      <w:r w:rsidRPr="002C7BFC">
        <w:rPr>
          <w:smallCaps/>
          <w:noProof/>
        </w:rPr>
        <w:t xml:space="preserve">Belghiti-Mahut, M., &amp; Lafont, A. L. </w:t>
      </w:r>
      <w:r>
        <w:rPr>
          <w:noProof/>
        </w:rPr>
        <w:t xml:space="preserve">(2009). </w:t>
      </w:r>
      <w:r w:rsidRPr="002C7BFC">
        <w:rPr>
          <w:noProof/>
        </w:rPr>
        <w:t>Présence des femmes dans le top management et performance financière des entreprises: une étude exploratoire.</w:t>
      </w:r>
      <w:r>
        <w:rPr>
          <w:noProof/>
        </w:rPr>
        <w:t xml:space="preserve"> Paper presented at the 20e congrès de l'AGRH, Toulouse. </w:t>
      </w:r>
      <w:bookmarkEnd w:id="6"/>
    </w:p>
    <w:p w:rsidR="0028313C" w:rsidRDefault="0028313C" w:rsidP="0028313C">
      <w:pPr>
        <w:spacing w:line="240" w:lineRule="auto"/>
        <w:ind w:left="720" w:hanging="720"/>
        <w:rPr>
          <w:noProof/>
        </w:rPr>
      </w:pPr>
      <w:bookmarkStart w:id="8" w:name="_ENREF_3"/>
      <w:r w:rsidRPr="002C7BFC">
        <w:rPr>
          <w:smallCaps/>
          <w:noProof/>
        </w:rPr>
        <w:t xml:space="preserve">Chappert, F., </w:t>
      </w:r>
      <w:r w:rsidR="007E3F63" w:rsidRPr="002C7BFC">
        <w:rPr>
          <w:smallCaps/>
          <w:noProof/>
        </w:rPr>
        <w:t>et</w:t>
      </w:r>
      <w:r w:rsidRPr="002C7BFC">
        <w:rPr>
          <w:smallCaps/>
          <w:noProof/>
        </w:rPr>
        <w:t xml:space="preserve"> al.</w:t>
      </w:r>
      <w:r w:rsidRPr="007E3F63">
        <w:rPr>
          <w:rFonts w:ascii="Helvetica" w:hAnsi="Helvetica"/>
          <w:smallCaps/>
          <w:snapToGrid/>
          <w:color w:val="00000A"/>
          <w:sz w:val="26"/>
          <w:szCs w:val="18"/>
          <w:lang w:val="fr-FR" w:eastAsia="ar-SA"/>
        </w:rPr>
        <w:t xml:space="preserve"> </w:t>
      </w:r>
      <w:r>
        <w:rPr>
          <w:noProof/>
        </w:rPr>
        <w:t xml:space="preserve">(2009). </w:t>
      </w:r>
      <w:r w:rsidRPr="0028313C">
        <w:rPr>
          <w:i/>
          <w:noProof/>
        </w:rPr>
        <w:t>Genre et conditions de travail. Mixité, organisation du travail, santé et gestion des âges</w:t>
      </w:r>
      <w:r>
        <w:rPr>
          <w:noProof/>
        </w:rPr>
        <w:t>. Paris: Anact.</w:t>
      </w:r>
      <w:bookmarkEnd w:id="8"/>
    </w:p>
    <w:p w:rsidR="0028313C" w:rsidRDefault="0028313C" w:rsidP="0028313C">
      <w:pPr>
        <w:spacing w:line="240" w:lineRule="auto"/>
        <w:ind w:left="720" w:hanging="720"/>
        <w:rPr>
          <w:noProof/>
        </w:rPr>
      </w:pPr>
      <w:bookmarkStart w:id="9" w:name="_ENREF_4"/>
      <w:r w:rsidRPr="002C7BFC">
        <w:rPr>
          <w:smallCaps/>
          <w:noProof/>
        </w:rPr>
        <w:t xml:space="preserve">Charbonneau, J. , Martin, C., Mallon, I , &amp; Quéniart, A. </w:t>
      </w:r>
      <w:r>
        <w:rPr>
          <w:noProof/>
        </w:rPr>
        <w:t xml:space="preserve">(2013). Les politiques de genre : quel genre de politiques ? </w:t>
      </w:r>
      <w:r w:rsidRPr="0028313C">
        <w:rPr>
          <w:i/>
          <w:noProof/>
        </w:rPr>
        <w:t>Lien social et Politiques</w:t>
      </w:r>
      <w:r>
        <w:rPr>
          <w:noProof/>
        </w:rPr>
        <w:t xml:space="preserve">(69), 17-34. </w:t>
      </w:r>
      <w:bookmarkEnd w:id="9"/>
    </w:p>
    <w:p w:rsidR="0028313C" w:rsidRDefault="0028313C" w:rsidP="0028313C">
      <w:pPr>
        <w:spacing w:line="240" w:lineRule="auto"/>
        <w:ind w:left="720" w:hanging="720"/>
        <w:rPr>
          <w:noProof/>
        </w:rPr>
      </w:pPr>
      <w:bookmarkStart w:id="10" w:name="_ENREF_5"/>
      <w:r w:rsidRPr="007E3F63">
        <w:rPr>
          <w:smallCaps/>
          <w:noProof/>
        </w:rPr>
        <w:t xml:space="preserve">Chicha, M.T. </w:t>
      </w:r>
      <w:r>
        <w:rPr>
          <w:noProof/>
        </w:rPr>
        <w:t xml:space="preserve">(2000). </w:t>
      </w:r>
      <w:r w:rsidRPr="0028313C">
        <w:rPr>
          <w:i/>
          <w:noProof/>
        </w:rPr>
        <w:t>L'équité salariale, Mise en oeuvre et enjeux</w:t>
      </w:r>
      <w:r>
        <w:rPr>
          <w:noProof/>
        </w:rPr>
        <w:t xml:space="preserve"> (Vol. 2ième édition). Montréal: Les Éditions Yvon Blais.</w:t>
      </w:r>
      <w:bookmarkEnd w:id="10"/>
    </w:p>
    <w:p w:rsidR="0028313C" w:rsidRDefault="0028313C" w:rsidP="0028313C">
      <w:pPr>
        <w:spacing w:line="240" w:lineRule="auto"/>
        <w:ind w:left="720" w:hanging="720"/>
        <w:rPr>
          <w:noProof/>
        </w:rPr>
      </w:pPr>
      <w:bookmarkStart w:id="11" w:name="_ENREF_6"/>
      <w:r w:rsidRPr="007E3F63">
        <w:rPr>
          <w:smallCaps/>
          <w:noProof/>
        </w:rPr>
        <w:t xml:space="preserve">Cornet, A. </w:t>
      </w:r>
      <w:r>
        <w:rPr>
          <w:noProof/>
        </w:rPr>
        <w:t xml:space="preserve">(2002). Gender mainstreaming et approche différenciée selon les sexes: quels impacts pour la gestion ? </w:t>
      </w:r>
      <w:r w:rsidRPr="0028313C">
        <w:rPr>
          <w:i/>
          <w:noProof/>
        </w:rPr>
        <w:t>Management international, 7</w:t>
      </w:r>
      <w:r>
        <w:rPr>
          <w:noProof/>
        </w:rPr>
        <w:t xml:space="preserve">(1), 1-10. </w:t>
      </w:r>
      <w:bookmarkEnd w:id="11"/>
    </w:p>
    <w:p w:rsidR="0028313C" w:rsidRDefault="0028313C" w:rsidP="0028313C">
      <w:pPr>
        <w:spacing w:line="240" w:lineRule="auto"/>
        <w:ind w:left="720" w:hanging="720"/>
        <w:rPr>
          <w:noProof/>
        </w:rPr>
      </w:pPr>
      <w:bookmarkStart w:id="12" w:name="_ENREF_7"/>
      <w:r w:rsidRPr="007E3F63">
        <w:rPr>
          <w:smallCaps/>
          <w:noProof/>
        </w:rPr>
        <w:t xml:space="preserve">Cornet, A., &amp; Dubois, V. </w:t>
      </w:r>
      <w:r>
        <w:rPr>
          <w:noProof/>
        </w:rPr>
        <w:t xml:space="preserve">(2014). Les femmes d’affaires : quelle visibilité et invisibilité dans la presse écrite francophone ? </w:t>
      </w:r>
      <w:r w:rsidRPr="0028313C">
        <w:rPr>
          <w:i/>
          <w:noProof/>
        </w:rPr>
        <w:t>Projet Diane, financé par FSE- Equal</w:t>
      </w:r>
      <w:r>
        <w:rPr>
          <w:noProof/>
        </w:rPr>
        <w:t>. Liège: Hec-Ulg (Egid).</w:t>
      </w:r>
      <w:bookmarkEnd w:id="12"/>
    </w:p>
    <w:p w:rsidR="0028313C" w:rsidRPr="00B60172" w:rsidRDefault="0028313C" w:rsidP="0028313C">
      <w:pPr>
        <w:spacing w:line="240" w:lineRule="auto"/>
        <w:ind w:left="720" w:hanging="720"/>
        <w:rPr>
          <w:noProof/>
          <w:lang w:val="en-US"/>
        </w:rPr>
      </w:pPr>
      <w:bookmarkStart w:id="13" w:name="_ENREF_8"/>
      <w:r w:rsidRPr="007E3F63">
        <w:rPr>
          <w:smallCaps/>
          <w:noProof/>
          <w:lang w:val="en-US"/>
        </w:rPr>
        <w:t>Dauphin, S. , &amp; Sénac-Slawinski, R.</w:t>
      </w:r>
      <w:r w:rsidRPr="00F27966">
        <w:rPr>
          <w:noProof/>
          <w:lang w:val="en-US"/>
        </w:rPr>
        <w:t xml:space="preserve"> (coord). </w:t>
      </w:r>
      <w:r>
        <w:rPr>
          <w:noProof/>
        </w:rPr>
        <w:t xml:space="preserve">(2008). Gender mainstreaming : de l'égalité des sexes à la diversité ? </w:t>
      </w:r>
      <w:r w:rsidRPr="00B60172">
        <w:rPr>
          <w:i/>
          <w:noProof/>
          <w:lang w:val="en-US"/>
        </w:rPr>
        <w:t>Cahiers du genre</w:t>
      </w:r>
      <w:r w:rsidRPr="00B60172">
        <w:rPr>
          <w:noProof/>
          <w:lang w:val="en-US"/>
        </w:rPr>
        <w:t xml:space="preserve">(44). </w:t>
      </w:r>
      <w:bookmarkEnd w:id="13"/>
    </w:p>
    <w:p w:rsidR="0028313C" w:rsidRDefault="0028313C" w:rsidP="0028313C">
      <w:pPr>
        <w:spacing w:line="240" w:lineRule="auto"/>
        <w:ind w:left="720" w:hanging="720"/>
        <w:rPr>
          <w:noProof/>
        </w:rPr>
      </w:pPr>
      <w:bookmarkStart w:id="14" w:name="_ENREF_9"/>
      <w:r w:rsidRPr="00B60172">
        <w:rPr>
          <w:smallCaps/>
          <w:noProof/>
          <w:lang w:val="en-US"/>
        </w:rPr>
        <w:t>Directorate-General for Employment, Social Affairs and Equal Opportunities, Unit G1.</w:t>
      </w:r>
      <w:r w:rsidRPr="00B60172">
        <w:rPr>
          <w:noProof/>
          <w:lang w:val="en-US"/>
        </w:rPr>
        <w:t xml:space="preserve"> (2008). </w:t>
      </w:r>
      <w:r w:rsidRPr="00F27966">
        <w:rPr>
          <w:noProof/>
          <w:lang w:val="en-US"/>
        </w:rPr>
        <w:t xml:space="preserve">Manuel for gender mainstreaming: employment, social inclusion and social protection policies. </w:t>
      </w:r>
      <w:r>
        <w:rPr>
          <w:noProof/>
        </w:rPr>
        <w:t>Bruxelles: European Communities.</w:t>
      </w:r>
      <w:bookmarkEnd w:id="14"/>
    </w:p>
    <w:p w:rsidR="0028313C" w:rsidRDefault="0028313C" w:rsidP="0028313C">
      <w:pPr>
        <w:spacing w:line="240" w:lineRule="auto"/>
        <w:ind w:left="720" w:hanging="720"/>
        <w:rPr>
          <w:noProof/>
        </w:rPr>
      </w:pPr>
      <w:bookmarkStart w:id="15" w:name="_ENREF_10"/>
      <w:r w:rsidRPr="007E3F63">
        <w:rPr>
          <w:smallCaps/>
          <w:noProof/>
        </w:rPr>
        <w:t>Dufour, C.</w:t>
      </w:r>
      <w:r>
        <w:rPr>
          <w:noProof/>
        </w:rPr>
        <w:t xml:space="preserve"> (2014). </w:t>
      </w:r>
      <w:r w:rsidRPr="0028313C">
        <w:rPr>
          <w:i/>
          <w:noProof/>
        </w:rPr>
        <w:t>Guide des métiers pour les petites filles qui ne veulent pas finir princesses</w:t>
      </w:r>
      <w:r>
        <w:rPr>
          <w:noProof/>
        </w:rPr>
        <w:t>. Paris: Fayard.</w:t>
      </w:r>
      <w:bookmarkEnd w:id="15"/>
    </w:p>
    <w:p w:rsidR="0028313C" w:rsidRDefault="0028313C" w:rsidP="0028313C">
      <w:pPr>
        <w:spacing w:line="240" w:lineRule="auto"/>
        <w:ind w:left="720" w:hanging="720"/>
        <w:rPr>
          <w:noProof/>
        </w:rPr>
      </w:pPr>
      <w:bookmarkStart w:id="16" w:name="_ENREF_11"/>
      <w:r w:rsidRPr="007E3F63">
        <w:rPr>
          <w:smallCaps/>
          <w:noProof/>
        </w:rPr>
        <w:t xml:space="preserve">Fraisse, G. </w:t>
      </w:r>
      <w:r>
        <w:rPr>
          <w:noProof/>
        </w:rPr>
        <w:t xml:space="preserve">(2008). Le gender mainstreaming, vrai en théorie, faux en pratique ?  Interview par Sandrine Dauphin et Réjane Sénac-Slawinski. </w:t>
      </w:r>
      <w:r w:rsidRPr="0028313C">
        <w:rPr>
          <w:i/>
          <w:noProof/>
        </w:rPr>
        <w:t>Cahiers du genre</w:t>
      </w:r>
      <w:r>
        <w:rPr>
          <w:noProof/>
        </w:rPr>
        <w:t xml:space="preserve">(44), 17-26. </w:t>
      </w:r>
      <w:bookmarkEnd w:id="16"/>
    </w:p>
    <w:p w:rsidR="0028313C" w:rsidRDefault="0028313C" w:rsidP="0028313C">
      <w:pPr>
        <w:spacing w:line="240" w:lineRule="auto"/>
        <w:ind w:left="720" w:hanging="720"/>
        <w:rPr>
          <w:noProof/>
        </w:rPr>
      </w:pPr>
      <w:bookmarkStart w:id="17" w:name="_ENREF_12"/>
      <w:r w:rsidRPr="007E3F63">
        <w:rPr>
          <w:smallCaps/>
          <w:noProof/>
        </w:rPr>
        <w:t>Institut pour l'égalité des femmes et des hommes.</w:t>
      </w:r>
      <w:r>
        <w:rPr>
          <w:noProof/>
        </w:rPr>
        <w:t xml:space="preserve"> (2013). Intégrer la dimension de genre dans la communication fédérale. Bruxelles: IEFH - </w:t>
      </w:r>
      <w:hyperlink r:id="rId11" w:history="1">
        <w:r w:rsidRPr="0028313C">
          <w:rPr>
            <w:rStyle w:val="Lienhypertexte"/>
            <w:rFonts w:ascii="Times New Roman" w:hAnsi="Times New Roman"/>
            <w:noProof/>
            <w:sz w:val="24"/>
          </w:rPr>
          <w:t>http://igvm-iefh.belgium.be</w:t>
        </w:r>
      </w:hyperlink>
      <w:r>
        <w:rPr>
          <w:noProof/>
        </w:rPr>
        <w:t>.</w:t>
      </w:r>
      <w:bookmarkEnd w:id="17"/>
    </w:p>
    <w:p w:rsidR="0028313C" w:rsidRDefault="0028313C" w:rsidP="0028313C">
      <w:pPr>
        <w:spacing w:line="240" w:lineRule="auto"/>
        <w:ind w:left="720" w:hanging="720"/>
        <w:rPr>
          <w:noProof/>
        </w:rPr>
      </w:pPr>
      <w:bookmarkStart w:id="18" w:name="_ENREF_13"/>
      <w:r w:rsidRPr="007E3F63">
        <w:rPr>
          <w:smallCaps/>
          <w:noProof/>
        </w:rPr>
        <w:t>Jacquot, S.</w:t>
      </w:r>
      <w:r>
        <w:rPr>
          <w:noProof/>
        </w:rPr>
        <w:t xml:space="preserve"> (2006). L'instrumentation du gender mainstreaming à la commission européenne : entre ‘ ingénierie sociale ' et ‘ ingénierie instrumentale </w:t>
      </w:r>
      <w:r w:rsidRPr="0028313C">
        <w:rPr>
          <w:i/>
          <w:noProof/>
        </w:rPr>
        <w:t>Politique européenne, 3</w:t>
      </w:r>
      <w:r>
        <w:rPr>
          <w:noProof/>
        </w:rPr>
        <w:t xml:space="preserve">(20), 33-54. </w:t>
      </w:r>
      <w:bookmarkEnd w:id="18"/>
    </w:p>
    <w:p w:rsidR="0028313C" w:rsidRDefault="0028313C" w:rsidP="0028313C">
      <w:pPr>
        <w:spacing w:line="240" w:lineRule="auto"/>
        <w:ind w:left="720" w:hanging="720"/>
        <w:rPr>
          <w:noProof/>
        </w:rPr>
      </w:pPr>
      <w:bookmarkStart w:id="19" w:name="_ENREF_14"/>
      <w:r w:rsidRPr="007E3F63">
        <w:rPr>
          <w:smallCaps/>
          <w:noProof/>
        </w:rPr>
        <w:t xml:space="preserve">Jacquot, S. </w:t>
      </w:r>
      <w:r>
        <w:rPr>
          <w:noProof/>
        </w:rPr>
        <w:t xml:space="preserve">(2013). Le gender mainstreaming et l’Union européenne : quels effets ? </w:t>
      </w:r>
      <w:r w:rsidRPr="0028313C">
        <w:rPr>
          <w:i/>
          <w:noProof/>
        </w:rPr>
        <w:t>Lien social et Politiques</w:t>
      </w:r>
      <w:r>
        <w:rPr>
          <w:noProof/>
        </w:rPr>
        <w:t xml:space="preserve">(69, printemps,), 17-34. </w:t>
      </w:r>
      <w:bookmarkEnd w:id="19"/>
    </w:p>
    <w:p w:rsidR="0028313C" w:rsidRDefault="0028313C" w:rsidP="0028313C">
      <w:pPr>
        <w:spacing w:line="240" w:lineRule="auto"/>
        <w:ind w:left="720" w:hanging="720"/>
        <w:rPr>
          <w:noProof/>
        </w:rPr>
      </w:pPr>
      <w:bookmarkStart w:id="20" w:name="_ENREF_15"/>
      <w:r w:rsidRPr="007E3F63">
        <w:rPr>
          <w:smallCaps/>
          <w:noProof/>
        </w:rPr>
        <w:lastRenderedPageBreak/>
        <w:t xml:space="preserve">Laufer, J. </w:t>
      </w:r>
      <w:r>
        <w:rPr>
          <w:noProof/>
        </w:rPr>
        <w:t xml:space="preserve">(1982). </w:t>
      </w:r>
      <w:r w:rsidRPr="0028313C">
        <w:rPr>
          <w:i/>
          <w:noProof/>
        </w:rPr>
        <w:t>La féminité neutralisée?: les femmes cadres dans l'entreprise</w:t>
      </w:r>
      <w:r>
        <w:rPr>
          <w:noProof/>
        </w:rPr>
        <w:t>. Paris: Flamarion.</w:t>
      </w:r>
      <w:bookmarkEnd w:id="20"/>
    </w:p>
    <w:p w:rsidR="0028313C" w:rsidRDefault="007E3F63" w:rsidP="0028313C">
      <w:pPr>
        <w:spacing w:line="240" w:lineRule="auto"/>
        <w:ind w:left="720" w:hanging="720"/>
        <w:rPr>
          <w:noProof/>
        </w:rPr>
      </w:pPr>
      <w:bookmarkStart w:id="21" w:name="_ENREF_16"/>
      <w:r w:rsidRPr="007E3F63">
        <w:rPr>
          <w:smallCaps/>
          <w:noProof/>
        </w:rPr>
        <w:t>Laufer, J., &amp; Pochic, S.</w:t>
      </w:r>
      <w:r w:rsidR="0028313C" w:rsidRPr="007E3F63">
        <w:rPr>
          <w:smallCaps/>
          <w:noProof/>
        </w:rPr>
        <w:t xml:space="preserve"> </w:t>
      </w:r>
      <w:r w:rsidR="0028313C">
        <w:rPr>
          <w:noProof/>
        </w:rPr>
        <w:t xml:space="preserve">(2004). Carrières au féminin et au masculin. In A. Karvar &amp; L. Rouban (Eds.), </w:t>
      </w:r>
      <w:r w:rsidR="0028313C" w:rsidRPr="0028313C">
        <w:rPr>
          <w:i/>
          <w:noProof/>
        </w:rPr>
        <w:t>Les cadres au travail. Les nouvelles règles du jeu</w:t>
      </w:r>
      <w:r w:rsidR="0028313C">
        <w:rPr>
          <w:noProof/>
        </w:rPr>
        <w:t xml:space="preserve"> (pp. 147-168). Paris: La découverte.</w:t>
      </w:r>
      <w:bookmarkEnd w:id="21"/>
    </w:p>
    <w:p w:rsidR="0028313C" w:rsidRDefault="0028313C" w:rsidP="0028313C">
      <w:pPr>
        <w:spacing w:line="240" w:lineRule="auto"/>
        <w:ind w:left="720" w:hanging="720"/>
        <w:rPr>
          <w:noProof/>
        </w:rPr>
      </w:pPr>
      <w:bookmarkStart w:id="22" w:name="_ENREF_17"/>
      <w:r w:rsidRPr="007E3F63">
        <w:rPr>
          <w:smallCaps/>
          <w:noProof/>
        </w:rPr>
        <w:t>Legault, G. , &amp; Ross, C.</w:t>
      </w:r>
      <w:r>
        <w:rPr>
          <w:noProof/>
        </w:rPr>
        <w:t xml:space="preserve"> (2008). La contribution de l'analyse différenciée selon les sexes au débat sur la négociationcollective comme moteur de l'équité en emploi. In A. Cornet, J. Laufer &amp; S. Belghiti (Eds.), </w:t>
      </w:r>
      <w:r w:rsidRPr="0028313C">
        <w:rPr>
          <w:i/>
          <w:noProof/>
        </w:rPr>
        <w:t>Genre et GRH</w:t>
      </w:r>
      <w:r>
        <w:rPr>
          <w:noProof/>
        </w:rPr>
        <w:t>. Paris: Vuibert.</w:t>
      </w:r>
      <w:bookmarkEnd w:id="22"/>
    </w:p>
    <w:p w:rsidR="0028313C" w:rsidRPr="00F27966" w:rsidRDefault="0028313C" w:rsidP="0028313C">
      <w:pPr>
        <w:spacing w:line="240" w:lineRule="auto"/>
        <w:ind w:left="720" w:hanging="720"/>
        <w:rPr>
          <w:noProof/>
          <w:lang w:val="en-US"/>
        </w:rPr>
      </w:pPr>
      <w:bookmarkStart w:id="23" w:name="_ENREF_18"/>
      <w:r w:rsidRPr="007E3F63">
        <w:rPr>
          <w:smallCaps/>
          <w:noProof/>
        </w:rPr>
        <w:t>Martiniello, M., &amp; Rea, A.</w:t>
      </w:r>
      <w:r>
        <w:rPr>
          <w:noProof/>
        </w:rPr>
        <w:t xml:space="preserve"> (2004). </w:t>
      </w:r>
      <w:r w:rsidRPr="0028313C">
        <w:rPr>
          <w:i/>
          <w:noProof/>
        </w:rPr>
        <w:t>Affirmative Action. Des discours, des politiques et des pratiques en débat</w:t>
      </w:r>
      <w:r>
        <w:rPr>
          <w:noProof/>
        </w:rPr>
        <w:t xml:space="preserve">. </w:t>
      </w:r>
      <w:r w:rsidRPr="00F27966">
        <w:rPr>
          <w:noProof/>
          <w:lang w:val="en-US"/>
        </w:rPr>
        <w:t>Bruxelles: Academia Bruylant.</w:t>
      </w:r>
      <w:bookmarkEnd w:id="23"/>
    </w:p>
    <w:p w:rsidR="0028313C" w:rsidRPr="00F27966" w:rsidRDefault="0028313C" w:rsidP="0028313C">
      <w:pPr>
        <w:spacing w:line="240" w:lineRule="auto"/>
        <w:ind w:left="720" w:hanging="720"/>
        <w:rPr>
          <w:noProof/>
          <w:lang w:val="en-US"/>
        </w:rPr>
      </w:pPr>
      <w:bookmarkStart w:id="24" w:name="_ENREF_19"/>
      <w:r w:rsidRPr="007E3F63">
        <w:rPr>
          <w:smallCaps/>
          <w:noProof/>
          <w:lang w:val="en-US"/>
        </w:rPr>
        <w:t>Meulders, D., &amp; O’Dorchai, S.</w:t>
      </w:r>
      <w:r w:rsidRPr="00F27966">
        <w:rPr>
          <w:noProof/>
          <w:lang w:val="en-US"/>
        </w:rPr>
        <w:t xml:space="preserve"> (2006). The gender pay gap in Belgium, in The gender pay gap — Origins and policy responses: A comparative review of 30 European countries. In S. I. a. E. Group of experts on Gender (Ed.): European Commission Directorate-General for Employment, Social Affairs and Equal Opportunities, Unit G.1.</w:t>
      </w:r>
      <w:bookmarkEnd w:id="24"/>
    </w:p>
    <w:p w:rsidR="0028313C" w:rsidRDefault="0028313C" w:rsidP="0028313C">
      <w:pPr>
        <w:spacing w:line="240" w:lineRule="auto"/>
        <w:ind w:left="720" w:hanging="720"/>
        <w:rPr>
          <w:noProof/>
        </w:rPr>
      </w:pPr>
      <w:bookmarkStart w:id="25" w:name="_ENREF_20"/>
      <w:r w:rsidRPr="007E3F63">
        <w:rPr>
          <w:smallCaps/>
          <w:noProof/>
        </w:rPr>
        <w:t>Ministère de l'emploi et du travail, Direction de l'égalité des chances.</w:t>
      </w:r>
      <w:r>
        <w:rPr>
          <w:noProof/>
        </w:rPr>
        <w:t xml:space="preserve"> (2003). Rapport final d'évaluation de la cellule "gender mainstreaming" mise en place au sein du gouvernement fédéral - Réalisation des objectifs stratégiques dans le cadre du suivi de la mise en oeuvre de la plate-forme d'action de la conférence mondiale des femmes de Pékin. Bruxelles: Ministère fédéral de l'Emploi et du Travail, Direction de l'égalité des chances.</w:t>
      </w:r>
      <w:bookmarkEnd w:id="25"/>
    </w:p>
    <w:p w:rsidR="0028313C" w:rsidRDefault="0028313C" w:rsidP="0028313C">
      <w:pPr>
        <w:spacing w:line="240" w:lineRule="auto"/>
        <w:ind w:left="720" w:hanging="720"/>
        <w:rPr>
          <w:noProof/>
        </w:rPr>
      </w:pPr>
      <w:bookmarkStart w:id="26" w:name="_ENREF_21"/>
      <w:r w:rsidRPr="007E3F63">
        <w:rPr>
          <w:smallCaps/>
          <w:noProof/>
        </w:rPr>
        <w:t>Mosconi, N., &amp; Stevanovic, B.</w:t>
      </w:r>
      <w:r>
        <w:rPr>
          <w:noProof/>
        </w:rPr>
        <w:t xml:space="preserve"> (2007). </w:t>
      </w:r>
      <w:r w:rsidRPr="0028313C">
        <w:rPr>
          <w:i/>
          <w:noProof/>
        </w:rPr>
        <w:t>Genre et avenir, les représentations des métiers chez les adolescentes et les adolescents</w:t>
      </w:r>
      <w:r>
        <w:rPr>
          <w:noProof/>
        </w:rPr>
        <w:t>. Paris: L’Harmattan.</w:t>
      </w:r>
      <w:bookmarkEnd w:id="26"/>
    </w:p>
    <w:p w:rsidR="0028313C" w:rsidRDefault="0028313C" w:rsidP="0028313C">
      <w:pPr>
        <w:spacing w:line="240" w:lineRule="auto"/>
        <w:ind w:left="720" w:hanging="720"/>
        <w:rPr>
          <w:noProof/>
        </w:rPr>
      </w:pPr>
      <w:bookmarkStart w:id="27" w:name="_ENREF_22"/>
      <w:r w:rsidRPr="007E3F63">
        <w:rPr>
          <w:smallCaps/>
          <w:noProof/>
        </w:rPr>
        <w:t>Olivier, A. (dir.).</w:t>
      </w:r>
      <w:r>
        <w:rPr>
          <w:noProof/>
        </w:rPr>
        <w:t xml:space="preserve"> (2010). </w:t>
      </w:r>
      <w:r w:rsidRPr="0028313C">
        <w:rPr>
          <w:i/>
          <w:noProof/>
        </w:rPr>
        <w:t>SEXE, GENRE ET TRAVAIL</w:t>
      </w:r>
      <w:r>
        <w:rPr>
          <w:noProof/>
        </w:rPr>
        <w:t>: Réseau Tessitures.</w:t>
      </w:r>
      <w:bookmarkEnd w:id="27"/>
    </w:p>
    <w:p w:rsidR="0028313C" w:rsidRDefault="0028313C" w:rsidP="0028313C">
      <w:pPr>
        <w:spacing w:line="240" w:lineRule="auto"/>
        <w:ind w:left="720" w:hanging="720"/>
        <w:rPr>
          <w:noProof/>
        </w:rPr>
      </w:pPr>
      <w:bookmarkStart w:id="28" w:name="_ENREF_23"/>
      <w:r w:rsidRPr="007E3F63">
        <w:rPr>
          <w:smallCaps/>
          <w:noProof/>
        </w:rPr>
        <w:t>ORSE.</w:t>
      </w:r>
      <w:r>
        <w:rPr>
          <w:noProof/>
        </w:rPr>
        <w:t xml:space="preserve"> (2008). </w:t>
      </w:r>
      <w:r w:rsidRPr="0028313C">
        <w:rPr>
          <w:i/>
          <w:noProof/>
        </w:rPr>
        <w:t>Promouvoir la parentalité auprès des salariés masculins : un enjeu d'égalité professionnelle- GUIDE D’APPUI POUR LES ENTREPRISES</w:t>
      </w:r>
      <w:r>
        <w:rPr>
          <w:noProof/>
        </w:rPr>
        <w:t>. Paris: ORSE.</w:t>
      </w:r>
      <w:bookmarkEnd w:id="28"/>
    </w:p>
    <w:p w:rsidR="0028313C" w:rsidRDefault="0028313C" w:rsidP="0028313C">
      <w:pPr>
        <w:spacing w:line="240" w:lineRule="auto"/>
        <w:ind w:left="720" w:hanging="720"/>
        <w:rPr>
          <w:noProof/>
        </w:rPr>
      </w:pPr>
      <w:bookmarkStart w:id="29" w:name="_ENREF_24"/>
      <w:r w:rsidRPr="007E3F63">
        <w:rPr>
          <w:smallCaps/>
          <w:noProof/>
        </w:rPr>
        <w:t>Orse.</w:t>
      </w:r>
      <w:r>
        <w:rPr>
          <w:noProof/>
        </w:rPr>
        <w:t xml:space="preserve"> (2013). </w:t>
      </w:r>
      <w:r w:rsidRPr="0028313C">
        <w:rPr>
          <w:i/>
          <w:noProof/>
        </w:rPr>
        <w:t>Hommes, sujets et acteurs de l'égalité</w:t>
      </w:r>
      <w:r>
        <w:rPr>
          <w:noProof/>
        </w:rPr>
        <w:t>. Paris: ORSE.</w:t>
      </w:r>
      <w:bookmarkEnd w:id="29"/>
    </w:p>
    <w:p w:rsidR="0028313C" w:rsidRDefault="0028313C" w:rsidP="0028313C">
      <w:pPr>
        <w:spacing w:line="240" w:lineRule="auto"/>
        <w:ind w:left="720" w:hanging="720"/>
        <w:rPr>
          <w:noProof/>
        </w:rPr>
      </w:pPr>
      <w:bookmarkStart w:id="30" w:name="_ENREF_25"/>
      <w:r w:rsidRPr="007E3F63">
        <w:rPr>
          <w:smallCaps/>
          <w:noProof/>
        </w:rPr>
        <w:t>Ouali, N.</w:t>
      </w:r>
      <w:r>
        <w:rPr>
          <w:noProof/>
        </w:rPr>
        <w:t xml:space="preserve"> (2007). Les femmes immigrées sur le marché du travail. Etat des savoirs. In M. Martiniello, F. Dassetto &amp; A. Rea (Eds.), </w:t>
      </w:r>
      <w:r w:rsidRPr="0028313C">
        <w:rPr>
          <w:i/>
          <w:noProof/>
        </w:rPr>
        <w:t>Immigration et intégration en Belgique francophone M.. Etat des savoirs</w:t>
      </w:r>
      <w:r>
        <w:rPr>
          <w:noProof/>
        </w:rPr>
        <w:t xml:space="preserve"> (pp. 269-285). Bruxelles: Academia Bruylant.</w:t>
      </w:r>
      <w:bookmarkEnd w:id="30"/>
    </w:p>
    <w:p w:rsidR="0028313C" w:rsidRDefault="0028313C" w:rsidP="0028313C">
      <w:pPr>
        <w:spacing w:line="240" w:lineRule="auto"/>
        <w:ind w:left="720" w:hanging="720"/>
        <w:rPr>
          <w:noProof/>
        </w:rPr>
      </w:pPr>
      <w:bookmarkStart w:id="31" w:name="_ENREF_26"/>
      <w:r w:rsidRPr="007E3F63">
        <w:rPr>
          <w:smallCaps/>
          <w:noProof/>
        </w:rPr>
        <w:t>Scharnitzky, P.</w:t>
      </w:r>
      <w:r>
        <w:rPr>
          <w:noProof/>
        </w:rPr>
        <w:t xml:space="preserve"> (2012). Les stéréotypes selon le genre. Comprendre et agir dans l'entreprise. Guide pratique. Paris: IMS- Entreprendre pour la Cité.</w:t>
      </w:r>
      <w:bookmarkEnd w:id="31"/>
    </w:p>
    <w:p w:rsidR="0028313C" w:rsidRDefault="0028313C" w:rsidP="0028313C">
      <w:pPr>
        <w:spacing w:line="240" w:lineRule="auto"/>
        <w:ind w:left="720" w:hanging="720"/>
        <w:rPr>
          <w:noProof/>
        </w:rPr>
      </w:pPr>
      <w:bookmarkStart w:id="32" w:name="_ENREF_27"/>
      <w:r w:rsidRPr="007E3F63">
        <w:rPr>
          <w:smallCaps/>
          <w:noProof/>
        </w:rPr>
        <w:t>St-Onge, S., &amp; Magnan, M.</w:t>
      </w:r>
      <w:r>
        <w:rPr>
          <w:noProof/>
        </w:rPr>
        <w:t xml:space="preserve"> (2013). Les femmes au sein des conseils d’administration : bilan des connaissances et voies de recherche futures. </w:t>
      </w:r>
      <w:r w:rsidRPr="0028313C">
        <w:rPr>
          <w:i/>
          <w:noProof/>
        </w:rPr>
        <w:t>Finance, contrôle et stratégie, 16</w:t>
      </w:r>
      <w:r>
        <w:rPr>
          <w:noProof/>
        </w:rPr>
        <w:t xml:space="preserve">(1). </w:t>
      </w:r>
      <w:bookmarkEnd w:id="32"/>
    </w:p>
    <w:p w:rsidR="0028313C" w:rsidRDefault="0028313C" w:rsidP="0028313C">
      <w:pPr>
        <w:spacing w:line="240" w:lineRule="auto"/>
        <w:rPr>
          <w:noProof/>
        </w:rPr>
      </w:pPr>
    </w:p>
    <w:p w:rsidR="00E074A7" w:rsidRDefault="00514CD2">
      <w:r>
        <w:fldChar w:fldCharType="end"/>
      </w:r>
    </w:p>
    <w:sectPr w:rsidR="00E074A7" w:rsidSect="00514CD2">
      <w:footerReference w:type="even" r:id="rId12"/>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3122B" w15:done="0"/>
  <w15:commentEx w15:paraId="354545F4" w15:done="0"/>
  <w15:commentEx w15:paraId="3D99745D" w15:done="0"/>
  <w15:commentEx w15:paraId="4311DBA4" w15:done="0"/>
  <w15:commentEx w15:paraId="1F2403D6" w15:done="0"/>
  <w15:commentEx w15:paraId="2BE0F2B4" w15:done="0"/>
  <w15:commentEx w15:paraId="2C24BC92" w15:done="0"/>
  <w15:commentEx w15:paraId="0F0E8E50" w15:done="0"/>
  <w15:commentEx w15:paraId="73B116E8" w15:done="0"/>
  <w15:commentEx w15:paraId="5D1F6B41" w15:done="0"/>
  <w15:commentEx w15:paraId="1D6CA5D6" w15:done="0"/>
  <w15:commentEx w15:paraId="4E8B46C5" w15:done="0"/>
  <w15:commentEx w15:paraId="67D310A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CA" w:rsidRDefault="007351CA">
      <w:r>
        <w:separator/>
      </w:r>
    </w:p>
  </w:endnote>
  <w:endnote w:type="continuationSeparator" w:id="0">
    <w:p w:rsidR="007351CA" w:rsidRDefault="0073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1CA" w:rsidRDefault="007351CA" w:rsidP="00650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351CA" w:rsidRDefault="007351C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1CA" w:rsidRDefault="007351CA" w:rsidP="00650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A7B45">
      <w:rPr>
        <w:rStyle w:val="Numrodepage"/>
        <w:noProof/>
      </w:rPr>
      <w:t>11</w:t>
    </w:r>
    <w:r>
      <w:rPr>
        <w:rStyle w:val="Numrodepage"/>
      </w:rPr>
      <w:fldChar w:fldCharType="end"/>
    </w:r>
  </w:p>
  <w:p w:rsidR="007351CA" w:rsidRDefault="007351CA">
    <w:pPr>
      <w:pStyle w:val="Pieddepage"/>
      <w:pBdr>
        <w:bottom w:val="single" w:sz="12" w:space="1" w:color="auto"/>
      </w:pBdr>
    </w:pPr>
  </w:p>
  <w:p w:rsidR="007351CA" w:rsidRDefault="007351C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CA" w:rsidRDefault="007351CA">
      <w:r>
        <w:separator/>
      </w:r>
    </w:p>
  </w:footnote>
  <w:footnote w:type="continuationSeparator" w:id="0">
    <w:p w:rsidR="007351CA" w:rsidRDefault="007351CA">
      <w:r>
        <w:continuationSeparator/>
      </w:r>
    </w:p>
  </w:footnote>
  <w:footnote w:id="1">
    <w:p w:rsidR="007351CA" w:rsidRPr="008F2A1D" w:rsidRDefault="007351CA">
      <w:pPr>
        <w:pStyle w:val="Notedebasdepage"/>
        <w:rPr>
          <w:lang w:val="fr-FR"/>
        </w:rPr>
      </w:pPr>
      <w:r>
        <w:rPr>
          <w:rStyle w:val="Marquenotebasdepage"/>
        </w:rPr>
        <w:footnoteRef/>
      </w:r>
      <w:r>
        <w:t xml:space="preserve"> </w:t>
      </w:r>
      <w:r w:rsidRPr="008F2A1D">
        <w:t>http://www.un.org/womenwatch/</w:t>
      </w:r>
    </w:p>
  </w:footnote>
  <w:footnote w:id="2">
    <w:p w:rsidR="007351CA" w:rsidRPr="00FA517D" w:rsidRDefault="007351CA">
      <w:pPr>
        <w:pStyle w:val="Notedebasdepage"/>
        <w:rPr>
          <w:lang w:val="fr-FR"/>
        </w:rPr>
      </w:pPr>
      <w:r>
        <w:rPr>
          <w:rStyle w:val="Marquenotebasdepage"/>
        </w:rPr>
        <w:footnoteRef/>
      </w:r>
      <w:r>
        <w:t xml:space="preserve"> </w:t>
      </w:r>
      <w:hyperlink r:id="rId1" w:history="1">
        <w:r w:rsidRPr="00230962">
          <w:rPr>
            <w:rStyle w:val="Lienhypertexte"/>
          </w:rPr>
          <w:t>http://www.unwomen.org/~/media/Headquarters/Media/Publications/UNIFEM/UNIFEMWorkgrboverview.pdf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739D"/>
    <w:multiLevelType w:val="hybridMultilevel"/>
    <w:tmpl w:val="3C1429B4"/>
    <w:lvl w:ilvl="0" w:tplc="080C0003">
      <w:start w:val="1"/>
      <w:numFmt w:val="bullet"/>
      <w:lvlText w:val="o"/>
      <w:lvlJc w:val="left"/>
      <w:pPr>
        <w:tabs>
          <w:tab w:val="num" w:pos="720"/>
        </w:tabs>
        <w:ind w:left="720" w:hanging="360"/>
      </w:pPr>
      <w:rPr>
        <w:rFonts w:ascii="Courier New" w:hAnsi="Courier New"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8261A92"/>
    <w:multiLevelType w:val="hybridMultilevel"/>
    <w:tmpl w:val="3162E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7D104B"/>
    <w:multiLevelType w:val="multilevel"/>
    <w:tmpl w:val="AB1CE0D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upperLetter"/>
      <w:pStyle w:val="Titre4"/>
      <w:lvlText w:val="%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
    <w:nsid w:val="21C426D9"/>
    <w:multiLevelType w:val="hybridMultilevel"/>
    <w:tmpl w:val="1F2E7650"/>
    <w:lvl w:ilvl="0" w:tplc="080C0003">
      <w:start w:val="1"/>
      <w:numFmt w:val="bullet"/>
      <w:lvlText w:val="o"/>
      <w:lvlJc w:val="left"/>
      <w:pPr>
        <w:tabs>
          <w:tab w:val="num" w:pos="720"/>
        </w:tabs>
        <w:ind w:left="720" w:hanging="360"/>
      </w:pPr>
      <w:rPr>
        <w:rFonts w:ascii="Courier New" w:hAnsi="Courier New"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49A7262"/>
    <w:multiLevelType w:val="hybridMultilevel"/>
    <w:tmpl w:val="E9BED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F73436"/>
    <w:multiLevelType w:val="hybridMultilevel"/>
    <w:tmpl w:val="E9560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1B5248"/>
    <w:multiLevelType w:val="hybridMultilevel"/>
    <w:tmpl w:val="B122D8F0"/>
    <w:lvl w:ilvl="0" w:tplc="F60E1A4A">
      <w:start w:val="1"/>
      <w:numFmt w:val="upp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8272078"/>
    <w:multiLevelType w:val="hybridMultilevel"/>
    <w:tmpl w:val="98D8094E"/>
    <w:lvl w:ilvl="0" w:tplc="080C0003">
      <w:start w:val="1"/>
      <w:numFmt w:val="bullet"/>
      <w:lvlText w:val="o"/>
      <w:lvlJc w:val="left"/>
      <w:pPr>
        <w:tabs>
          <w:tab w:val="num" w:pos="720"/>
        </w:tabs>
        <w:ind w:left="720" w:hanging="360"/>
      </w:pPr>
      <w:rPr>
        <w:rFonts w:ascii="Courier New" w:hAnsi="Courier New"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F3025D5"/>
    <w:multiLevelType w:val="hybridMultilevel"/>
    <w:tmpl w:val="93A812BE"/>
    <w:lvl w:ilvl="0" w:tplc="28280F60">
      <w:start w:val="1"/>
      <w:numFmt w:val="decimal"/>
      <w:lvlText w:val="%1."/>
      <w:lvlJc w:val="left"/>
      <w:pPr>
        <w:tabs>
          <w:tab w:val="num" w:pos="360"/>
        </w:tabs>
        <w:ind w:left="360" w:hanging="360"/>
      </w:pPr>
      <w:rPr>
        <w:rFonts w:hint="default"/>
      </w:rPr>
    </w:lvl>
    <w:lvl w:ilvl="1" w:tplc="080C0003">
      <w:start w:val="1"/>
      <w:numFmt w:val="bullet"/>
      <w:lvlText w:val="o"/>
      <w:lvlJc w:val="left"/>
      <w:pPr>
        <w:tabs>
          <w:tab w:val="num" w:pos="1440"/>
        </w:tabs>
        <w:ind w:left="1440" w:hanging="360"/>
      </w:pPr>
      <w:rPr>
        <w:rFonts w:ascii="Courier New" w:hAnsi="Courier New" w:cs="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94F7D1F"/>
    <w:multiLevelType w:val="hybridMultilevel"/>
    <w:tmpl w:val="E15C315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6ACB3C06"/>
    <w:multiLevelType w:val="hybridMultilevel"/>
    <w:tmpl w:val="FC90AA06"/>
    <w:lvl w:ilvl="0" w:tplc="BEAE8E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85B0EB4"/>
    <w:multiLevelType w:val="hybridMultilevel"/>
    <w:tmpl w:val="721C277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7"/>
  </w:num>
  <w:num w:numId="5">
    <w:abstractNumId w:val="8"/>
  </w:num>
  <w:num w:numId="6">
    <w:abstractNumId w:val="6"/>
  </w:num>
  <w:num w:numId="7">
    <w:abstractNumId w:val="10"/>
  </w:num>
  <w:num w:numId="8">
    <w:abstractNumId w:val="1"/>
  </w:num>
  <w:num w:numId="9">
    <w:abstractNumId w:val="5"/>
  </w:num>
  <w:num w:numId="10">
    <w:abstractNumId w:val="4"/>
  </w:num>
  <w:num w:numId="11">
    <w:abstractNumId w:val="9"/>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Giuseppina Bruna">
    <w15:presenceInfo w15:providerId="Windows Live" w15:userId="3028b1505878a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p0x9e0pvxevvwefdv1p9wvt2vdre50z2sxx&quot;&gt;biblio-ac&lt;record-ids&gt;&lt;item&gt;374&lt;/item&gt;&lt;item&gt;3170&lt;/item&gt;&lt;item&gt;4229&lt;/item&gt;&lt;item&gt;4236&lt;/item&gt;&lt;item&gt;4287&lt;/item&gt;&lt;item&gt;4301&lt;/item&gt;&lt;item&gt;4344&lt;/item&gt;&lt;item&gt;4379&lt;/item&gt;&lt;item&gt;4435&lt;/item&gt;&lt;item&gt;4475&lt;/item&gt;&lt;item&gt;4700&lt;/item&gt;&lt;item&gt;5201&lt;/item&gt;&lt;item&gt;5440&lt;/item&gt;&lt;item&gt;5774&lt;/item&gt;&lt;item&gt;5904&lt;/item&gt;&lt;item&gt;5992&lt;/item&gt;&lt;item&gt;6009&lt;/item&gt;&lt;item&gt;6011&lt;/item&gt;&lt;item&gt;6023&lt;/item&gt;&lt;item&gt;6024&lt;/item&gt;&lt;item&gt;6026&lt;/item&gt;&lt;item&gt;6027&lt;/item&gt;&lt;item&gt;6028&lt;/item&gt;&lt;item&gt;6029&lt;/item&gt;&lt;item&gt;6030&lt;/item&gt;&lt;item&gt;6031&lt;/item&gt;&lt;item&gt;6032&lt;/item&gt;&lt;/record-ids&gt;&lt;/item&gt;&lt;/Libraries&gt;"/>
  </w:docVars>
  <w:rsids>
    <w:rsidRoot w:val="006E00A7"/>
    <w:rsid w:val="00004A8D"/>
    <w:rsid w:val="000237C0"/>
    <w:rsid w:val="000312D2"/>
    <w:rsid w:val="00052EDA"/>
    <w:rsid w:val="00072D8D"/>
    <w:rsid w:val="000902BF"/>
    <w:rsid w:val="000955C5"/>
    <w:rsid w:val="000E5388"/>
    <w:rsid w:val="00101D92"/>
    <w:rsid w:val="001140BE"/>
    <w:rsid w:val="00147786"/>
    <w:rsid w:val="00187354"/>
    <w:rsid w:val="00192905"/>
    <w:rsid w:val="001C19AD"/>
    <w:rsid w:val="001E22EF"/>
    <w:rsid w:val="002230B3"/>
    <w:rsid w:val="00223309"/>
    <w:rsid w:val="00233104"/>
    <w:rsid w:val="00264767"/>
    <w:rsid w:val="0028313C"/>
    <w:rsid w:val="002C7BFC"/>
    <w:rsid w:val="00332EA3"/>
    <w:rsid w:val="003369DC"/>
    <w:rsid w:val="00373BA5"/>
    <w:rsid w:val="003A064C"/>
    <w:rsid w:val="003A3427"/>
    <w:rsid w:val="003F77CA"/>
    <w:rsid w:val="004307A3"/>
    <w:rsid w:val="00437B33"/>
    <w:rsid w:val="004F73F0"/>
    <w:rsid w:val="00514CD2"/>
    <w:rsid w:val="00524EA8"/>
    <w:rsid w:val="00547D8F"/>
    <w:rsid w:val="00571012"/>
    <w:rsid w:val="0059468C"/>
    <w:rsid w:val="005B64A6"/>
    <w:rsid w:val="005C5717"/>
    <w:rsid w:val="005F1748"/>
    <w:rsid w:val="005F21E3"/>
    <w:rsid w:val="005F2E4B"/>
    <w:rsid w:val="006400FC"/>
    <w:rsid w:val="00650754"/>
    <w:rsid w:val="00681817"/>
    <w:rsid w:val="00693351"/>
    <w:rsid w:val="00693DBA"/>
    <w:rsid w:val="006B4599"/>
    <w:rsid w:val="006E00A7"/>
    <w:rsid w:val="006F498D"/>
    <w:rsid w:val="0070293D"/>
    <w:rsid w:val="0071128F"/>
    <w:rsid w:val="00720F53"/>
    <w:rsid w:val="007351CA"/>
    <w:rsid w:val="00746E86"/>
    <w:rsid w:val="00751917"/>
    <w:rsid w:val="007706D8"/>
    <w:rsid w:val="007E3F63"/>
    <w:rsid w:val="007E497A"/>
    <w:rsid w:val="0081754D"/>
    <w:rsid w:val="00817A29"/>
    <w:rsid w:val="00891977"/>
    <w:rsid w:val="008A62F6"/>
    <w:rsid w:val="008C0C27"/>
    <w:rsid w:val="008D0AA2"/>
    <w:rsid w:val="008F2A1D"/>
    <w:rsid w:val="008F5E0D"/>
    <w:rsid w:val="009241E1"/>
    <w:rsid w:val="009328FB"/>
    <w:rsid w:val="009D32C0"/>
    <w:rsid w:val="009F089A"/>
    <w:rsid w:val="009F3886"/>
    <w:rsid w:val="00A11A2B"/>
    <w:rsid w:val="00A67426"/>
    <w:rsid w:val="00A74EE5"/>
    <w:rsid w:val="00AA6105"/>
    <w:rsid w:val="00AA7668"/>
    <w:rsid w:val="00AA7B45"/>
    <w:rsid w:val="00AB5F07"/>
    <w:rsid w:val="00B125B5"/>
    <w:rsid w:val="00B1465B"/>
    <w:rsid w:val="00B257A4"/>
    <w:rsid w:val="00B321EA"/>
    <w:rsid w:val="00B5671D"/>
    <w:rsid w:val="00B60172"/>
    <w:rsid w:val="00B6481A"/>
    <w:rsid w:val="00C63754"/>
    <w:rsid w:val="00C6388E"/>
    <w:rsid w:val="00C7095F"/>
    <w:rsid w:val="00D12A8B"/>
    <w:rsid w:val="00D66513"/>
    <w:rsid w:val="00D72BAE"/>
    <w:rsid w:val="00D74237"/>
    <w:rsid w:val="00DC1C94"/>
    <w:rsid w:val="00E0747F"/>
    <w:rsid w:val="00E074A7"/>
    <w:rsid w:val="00E36A42"/>
    <w:rsid w:val="00E92081"/>
    <w:rsid w:val="00ED3539"/>
    <w:rsid w:val="00ED7208"/>
    <w:rsid w:val="00EF1D2A"/>
    <w:rsid w:val="00F2679A"/>
    <w:rsid w:val="00F27966"/>
    <w:rsid w:val="00F61C17"/>
    <w:rsid w:val="00F91766"/>
    <w:rsid w:val="00FA517D"/>
    <w:rsid w:val="00FA755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5F07"/>
    <w:pPr>
      <w:spacing w:line="360" w:lineRule="auto"/>
      <w:jc w:val="both"/>
    </w:pPr>
    <w:rPr>
      <w:snapToGrid w:val="0"/>
      <w:sz w:val="24"/>
      <w:szCs w:val="22"/>
      <w:lang w:val="fr-BE"/>
    </w:rPr>
  </w:style>
  <w:style w:type="paragraph" w:styleId="Titre1">
    <w:name w:val="heading 1"/>
    <w:basedOn w:val="Normal"/>
    <w:next w:val="Normal"/>
    <w:qFormat/>
    <w:rsid w:val="00AB5F07"/>
    <w:pPr>
      <w:keepNext/>
      <w:numPr>
        <w:numId w:val="1"/>
      </w:numPr>
      <w:shd w:val="pct25" w:color="FFFFFF" w:fill="auto"/>
      <w:jc w:val="left"/>
      <w:outlineLvl w:val="0"/>
    </w:pPr>
    <w:rPr>
      <w:rFonts w:cs="Arial"/>
      <w:b/>
      <w:bCs/>
      <w:lang w:val="fr-FR"/>
    </w:rPr>
  </w:style>
  <w:style w:type="paragraph" w:styleId="Titre2">
    <w:name w:val="heading 2"/>
    <w:basedOn w:val="Normal"/>
    <w:next w:val="Normal"/>
    <w:qFormat/>
    <w:rsid w:val="00AB5F07"/>
    <w:pPr>
      <w:keepNext/>
      <w:widowControl w:val="0"/>
      <w:numPr>
        <w:ilvl w:val="1"/>
        <w:numId w:val="1"/>
      </w:numPr>
      <w:shd w:val="pct20" w:color="FFFF00" w:fill="auto"/>
      <w:outlineLvl w:val="1"/>
    </w:pPr>
    <w:rPr>
      <w:rFonts w:cs="Arial"/>
      <w:bCs/>
      <w:i/>
    </w:rPr>
  </w:style>
  <w:style w:type="paragraph" w:styleId="Titre3">
    <w:name w:val="heading 3"/>
    <w:basedOn w:val="Normal"/>
    <w:next w:val="Normal"/>
    <w:qFormat/>
    <w:rsid w:val="006E00A7"/>
    <w:pPr>
      <w:keepNext/>
      <w:numPr>
        <w:ilvl w:val="2"/>
        <w:numId w:val="1"/>
      </w:numPr>
      <w:shd w:val="pct15" w:color="FFFF00" w:fill="auto"/>
      <w:outlineLvl w:val="2"/>
    </w:pPr>
    <w:rPr>
      <w:b/>
      <w:bCs/>
      <w:i/>
    </w:rPr>
  </w:style>
  <w:style w:type="paragraph" w:styleId="Titre4">
    <w:name w:val="heading 4"/>
    <w:basedOn w:val="Normal"/>
    <w:next w:val="Normal"/>
    <w:qFormat/>
    <w:rsid w:val="006E00A7"/>
    <w:pPr>
      <w:keepNext/>
      <w:numPr>
        <w:ilvl w:val="3"/>
        <w:numId w:val="1"/>
      </w:numPr>
      <w:tabs>
        <w:tab w:val="left" w:pos="4962"/>
      </w:tabs>
      <w:outlineLvl w:val="3"/>
    </w:pPr>
    <w:rPr>
      <w:rFonts w:cs="Arial"/>
      <w:i/>
      <w:iCs/>
      <w:u w:val="single"/>
    </w:rPr>
  </w:style>
  <w:style w:type="paragraph" w:styleId="Titre7">
    <w:name w:val="heading 7"/>
    <w:basedOn w:val="Normal"/>
    <w:next w:val="Normal"/>
    <w:qFormat/>
    <w:rsid w:val="006E00A7"/>
    <w:pPr>
      <w:keepNext/>
      <w:numPr>
        <w:ilvl w:val="6"/>
        <w:numId w:val="1"/>
      </w:numPr>
      <w:suppressAutoHyphens/>
      <w:ind w:right="850"/>
      <w:jc w:val="center"/>
      <w:outlineLvl w:val="6"/>
    </w:pPr>
    <w:rPr>
      <w:b/>
      <w:snapToGrid/>
    </w:rPr>
  </w:style>
  <w:style w:type="paragraph" w:styleId="Titre8">
    <w:name w:val="heading 8"/>
    <w:basedOn w:val="Normal"/>
    <w:next w:val="Normal"/>
    <w:qFormat/>
    <w:rsid w:val="006E00A7"/>
    <w:pPr>
      <w:numPr>
        <w:ilvl w:val="7"/>
        <w:numId w:val="1"/>
      </w:numPr>
      <w:spacing w:before="240" w:after="60"/>
      <w:outlineLvl w:val="7"/>
    </w:pPr>
    <w:rPr>
      <w:i/>
      <w:iCs/>
      <w:szCs w:val="24"/>
    </w:rPr>
  </w:style>
  <w:style w:type="paragraph" w:styleId="Titre9">
    <w:name w:val="heading 9"/>
    <w:basedOn w:val="Normal"/>
    <w:next w:val="Normal"/>
    <w:qFormat/>
    <w:rsid w:val="006E00A7"/>
    <w:pPr>
      <w:numPr>
        <w:ilvl w:val="8"/>
        <w:numId w:val="1"/>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au">
    <w:name w:val="tableau"/>
    <w:basedOn w:val="Normal"/>
    <w:link w:val="tableauCar"/>
    <w:rsid w:val="00FC5BCD"/>
    <w:rPr>
      <w:rFonts w:ascii="Arial" w:hAnsi="Arial"/>
      <w:sz w:val="20"/>
    </w:rPr>
  </w:style>
  <w:style w:type="paragraph" w:customStyle="1" w:styleId="notebasdepage">
    <w:name w:val="note bas de page"/>
    <w:basedOn w:val="Pieddepage"/>
    <w:rsid w:val="00CE410F"/>
    <w:rPr>
      <w:sz w:val="20"/>
      <w:szCs w:val="20"/>
    </w:rPr>
  </w:style>
  <w:style w:type="paragraph" w:styleId="Pieddepage">
    <w:name w:val="footer"/>
    <w:basedOn w:val="Normal"/>
    <w:rsid w:val="00CE410F"/>
    <w:pPr>
      <w:tabs>
        <w:tab w:val="center" w:pos="4536"/>
        <w:tab w:val="right" w:pos="9072"/>
      </w:tabs>
    </w:pPr>
  </w:style>
  <w:style w:type="character" w:styleId="Marquenotebasdepage">
    <w:name w:val="footnote reference"/>
    <w:semiHidden/>
    <w:rsid w:val="006E00A7"/>
    <w:rPr>
      <w:vertAlign w:val="superscript"/>
    </w:rPr>
  </w:style>
  <w:style w:type="character" w:styleId="Marquedannotation">
    <w:name w:val="annotation reference"/>
    <w:semiHidden/>
    <w:rsid w:val="006E00A7"/>
    <w:rPr>
      <w:sz w:val="16"/>
      <w:szCs w:val="16"/>
    </w:rPr>
  </w:style>
  <w:style w:type="paragraph" w:styleId="Commentaire">
    <w:name w:val="annotation text"/>
    <w:basedOn w:val="Normal"/>
    <w:link w:val="CommentaireCar"/>
    <w:semiHidden/>
    <w:rsid w:val="006E00A7"/>
    <w:rPr>
      <w:sz w:val="20"/>
    </w:rPr>
  </w:style>
  <w:style w:type="paragraph" w:customStyle="1" w:styleId="exemple">
    <w:name w:val="exemple"/>
    <w:basedOn w:val="Normal"/>
    <w:link w:val="exempleCar"/>
    <w:rsid w:val="006E00A7"/>
    <w:pPr>
      <w:keepNext/>
      <w:pBdr>
        <w:top w:val="single" w:sz="4" w:space="1" w:color="FFFF99"/>
        <w:left w:val="single" w:sz="4" w:space="4" w:color="FFFF99"/>
        <w:bottom w:val="single" w:sz="4" w:space="1" w:color="FFFF99"/>
        <w:right w:val="single" w:sz="4" w:space="4" w:color="FFFF99"/>
      </w:pBdr>
      <w:shd w:val="clear" w:color="auto" w:fill="FFFF99"/>
      <w:ind w:left="851" w:right="851"/>
    </w:pPr>
    <w:rPr>
      <w:rFonts w:ascii="Arial" w:hAnsi="Arial"/>
      <w:i/>
      <w:sz w:val="22"/>
    </w:rPr>
  </w:style>
  <w:style w:type="paragraph" w:customStyle="1" w:styleId="recom">
    <w:name w:val="recom"/>
    <w:basedOn w:val="Normal"/>
    <w:link w:val="recomCar"/>
    <w:rsid w:val="006E00A7"/>
    <w:pPr>
      <w:keepNext/>
      <w:shd w:val="clear" w:color="auto" w:fill="CCFFCC"/>
      <w:ind w:left="567" w:right="567"/>
    </w:pPr>
    <w:rPr>
      <w:rFonts w:ascii="Arial" w:hAnsi="Arial"/>
      <w:sz w:val="22"/>
    </w:rPr>
  </w:style>
  <w:style w:type="character" w:customStyle="1" w:styleId="exempleCar">
    <w:name w:val="exemple Car"/>
    <w:link w:val="exemple"/>
    <w:rsid w:val="006E00A7"/>
    <w:rPr>
      <w:rFonts w:ascii="Arial" w:hAnsi="Arial"/>
      <w:i/>
      <w:snapToGrid w:val="0"/>
      <w:sz w:val="22"/>
      <w:szCs w:val="22"/>
      <w:lang w:val="fr-BE" w:eastAsia="fr-FR" w:bidi="ar-SA"/>
    </w:rPr>
  </w:style>
  <w:style w:type="character" w:customStyle="1" w:styleId="recomCar">
    <w:name w:val="recom Car"/>
    <w:link w:val="recom"/>
    <w:rsid w:val="006E00A7"/>
    <w:rPr>
      <w:rFonts w:ascii="Arial" w:hAnsi="Arial"/>
      <w:snapToGrid w:val="0"/>
      <w:sz w:val="22"/>
      <w:szCs w:val="22"/>
      <w:lang w:val="fr-BE" w:eastAsia="fr-FR" w:bidi="ar-SA"/>
    </w:rPr>
  </w:style>
  <w:style w:type="paragraph" w:styleId="Textedebulles">
    <w:name w:val="Balloon Text"/>
    <w:basedOn w:val="Normal"/>
    <w:semiHidden/>
    <w:rsid w:val="006E00A7"/>
    <w:rPr>
      <w:rFonts w:ascii="Tahoma" w:hAnsi="Tahoma" w:cs="Tahoma"/>
      <w:sz w:val="16"/>
      <w:szCs w:val="16"/>
    </w:rPr>
  </w:style>
  <w:style w:type="character" w:styleId="Lienhypertexte">
    <w:name w:val="Hyperlink"/>
    <w:rsid w:val="006E00A7"/>
    <w:rPr>
      <w:rFonts w:ascii="Arial" w:hAnsi="Arial"/>
      <w:color w:val="0000FF"/>
      <w:sz w:val="20"/>
      <w:u w:val="none"/>
    </w:rPr>
  </w:style>
  <w:style w:type="character" w:customStyle="1" w:styleId="AnnieCornet">
    <w:name w:val="Annie Cornet"/>
    <w:semiHidden/>
    <w:rsid w:val="006E00A7"/>
    <w:rPr>
      <w:color w:val="000000"/>
    </w:rPr>
  </w:style>
  <w:style w:type="paragraph" w:styleId="En-tte">
    <w:name w:val="header"/>
    <w:basedOn w:val="Normal"/>
    <w:rsid w:val="006E00A7"/>
    <w:pPr>
      <w:tabs>
        <w:tab w:val="center" w:pos="4536"/>
        <w:tab w:val="right" w:pos="9072"/>
      </w:tabs>
    </w:pPr>
  </w:style>
  <w:style w:type="character" w:styleId="Numrodepage">
    <w:name w:val="page number"/>
    <w:basedOn w:val="Policepardfaut"/>
    <w:rsid w:val="006E00A7"/>
  </w:style>
  <w:style w:type="paragraph" w:styleId="Corpsdetexte">
    <w:name w:val="Body Text"/>
    <w:basedOn w:val="Normal"/>
    <w:link w:val="CorpsdetexteCar"/>
    <w:rsid w:val="000312D2"/>
    <w:pPr>
      <w:spacing w:line="240" w:lineRule="auto"/>
    </w:pPr>
    <w:rPr>
      <w:snapToGrid/>
      <w:szCs w:val="24"/>
    </w:rPr>
  </w:style>
  <w:style w:type="character" w:customStyle="1" w:styleId="CorpsdetexteCar">
    <w:name w:val="Corps de texte Car"/>
    <w:link w:val="Corpsdetexte"/>
    <w:rsid w:val="000312D2"/>
    <w:rPr>
      <w:sz w:val="24"/>
      <w:szCs w:val="24"/>
    </w:rPr>
  </w:style>
  <w:style w:type="paragraph" w:styleId="Notedebasdepage">
    <w:name w:val="footnote text"/>
    <w:basedOn w:val="Normal"/>
    <w:link w:val="NotedebasdepageCar"/>
    <w:semiHidden/>
    <w:rsid w:val="000312D2"/>
    <w:pPr>
      <w:spacing w:line="240" w:lineRule="auto"/>
    </w:pPr>
    <w:rPr>
      <w:rFonts w:ascii="Arial" w:hAnsi="Arial"/>
      <w:snapToGrid/>
      <w:sz w:val="20"/>
      <w:szCs w:val="20"/>
      <w:lang w:eastAsia="fr-BE"/>
    </w:rPr>
  </w:style>
  <w:style w:type="character" w:customStyle="1" w:styleId="NotedebasdepageCar">
    <w:name w:val="Note de bas de page Car"/>
    <w:link w:val="Notedebasdepage"/>
    <w:semiHidden/>
    <w:rsid w:val="000312D2"/>
    <w:rPr>
      <w:rFonts w:ascii="Arial" w:hAnsi="Arial" w:cs="Arial"/>
      <w:lang w:val="fr-BE" w:eastAsia="fr-BE"/>
    </w:rPr>
  </w:style>
  <w:style w:type="paragraph" w:styleId="Lgende">
    <w:name w:val="caption"/>
    <w:basedOn w:val="Normal"/>
    <w:next w:val="Normal"/>
    <w:qFormat/>
    <w:rsid w:val="00147786"/>
    <w:pPr>
      <w:tabs>
        <w:tab w:val="left" w:pos="4962"/>
      </w:tabs>
      <w:spacing w:line="240" w:lineRule="auto"/>
      <w:jc w:val="center"/>
    </w:pPr>
    <w:rPr>
      <w:rFonts w:ascii="Arial" w:hAnsi="Arial"/>
      <w:b/>
      <w:bCs/>
      <w:i/>
      <w:iCs/>
      <w:szCs w:val="24"/>
      <w:lang w:val="nl-BE"/>
    </w:rPr>
  </w:style>
  <w:style w:type="paragraph" w:styleId="NormalWeb">
    <w:name w:val="Normal (Web)"/>
    <w:basedOn w:val="Normal"/>
    <w:rsid w:val="00147786"/>
    <w:pPr>
      <w:spacing w:before="100" w:beforeAutospacing="1" w:after="100" w:afterAutospacing="1" w:line="240" w:lineRule="auto"/>
      <w:jc w:val="left"/>
    </w:pPr>
    <w:rPr>
      <w:snapToGrid/>
      <w:szCs w:val="24"/>
      <w:lang w:val="fr-FR"/>
    </w:rPr>
  </w:style>
  <w:style w:type="character" w:customStyle="1" w:styleId="tableauCar">
    <w:name w:val="tableau Car"/>
    <w:link w:val="tableau"/>
    <w:rsid w:val="00147786"/>
    <w:rPr>
      <w:rFonts w:ascii="Arial" w:hAnsi="Arial"/>
      <w:snapToGrid w:val="0"/>
      <w:szCs w:val="22"/>
      <w:lang w:val="fr-BE"/>
    </w:rPr>
  </w:style>
  <w:style w:type="paragraph" w:styleId="Objetducommentaire">
    <w:name w:val="annotation subject"/>
    <w:basedOn w:val="Commentaire"/>
    <w:next w:val="Commentaire"/>
    <w:link w:val="ObjetducommentaireCar"/>
    <w:uiPriority w:val="99"/>
    <w:semiHidden/>
    <w:unhideWhenUsed/>
    <w:rsid w:val="00720F53"/>
    <w:rPr>
      <w:b/>
      <w:bCs/>
    </w:rPr>
  </w:style>
  <w:style w:type="character" w:customStyle="1" w:styleId="CommentaireCar">
    <w:name w:val="Commentaire Car"/>
    <w:link w:val="Commentaire"/>
    <w:semiHidden/>
    <w:rsid w:val="00720F53"/>
    <w:rPr>
      <w:snapToGrid w:val="0"/>
      <w:szCs w:val="22"/>
      <w:lang w:val="fr-BE"/>
    </w:rPr>
  </w:style>
  <w:style w:type="character" w:customStyle="1" w:styleId="ObjetducommentaireCar">
    <w:name w:val="Objet du commentaire Car"/>
    <w:link w:val="Objetducommentaire"/>
    <w:uiPriority w:val="99"/>
    <w:semiHidden/>
    <w:rsid w:val="00720F53"/>
    <w:rPr>
      <w:b/>
      <w:bCs/>
      <w:snapToGrid w:val="0"/>
      <w:szCs w:val="22"/>
      <w:lang w:val="fr-BE"/>
    </w:rPr>
  </w:style>
  <w:style w:type="character" w:styleId="Lienhypertextesuivi">
    <w:name w:val="FollowedHyperlink"/>
    <w:uiPriority w:val="99"/>
    <w:semiHidden/>
    <w:unhideWhenUsed/>
    <w:rsid w:val="00FA517D"/>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5F07"/>
    <w:pPr>
      <w:spacing w:line="360" w:lineRule="auto"/>
      <w:jc w:val="both"/>
    </w:pPr>
    <w:rPr>
      <w:snapToGrid w:val="0"/>
      <w:sz w:val="24"/>
      <w:szCs w:val="22"/>
      <w:lang w:val="fr-BE"/>
    </w:rPr>
  </w:style>
  <w:style w:type="paragraph" w:styleId="Titre1">
    <w:name w:val="heading 1"/>
    <w:basedOn w:val="Normal"/>
    <w:next w:val="Normal"/>
    <w:qFormat/>
    <w:rsid w:val="00AB5F07"/>
    <w:pPr>
      <w:keepNext/>
      <w:numPr>
        <w:numId w:val="1"/>
      </w:numPr>
      <w:shd w:val="pct25" w:color="FFFFFF" w:fill="auto"/>
      <w:jc w:val="left"/>
      <w:outlineLvl w:val="0"/>
    </w:pPr>
    <w:rPr>
      <w:rFonts w:cs="Arial"/>
      <w:b/>
      <w:bCs/>
      <w:lang w:val="fr-FR"/>
    </w:rPr>
  </w:style>
  <w:style w:type="paragraph" w:styleId="Titre2">
    <w:name w:val="heading 2"/>
    <w:basedOn w:val="Normal"/>
    <w:next w:val="Normal"/>
    <w:qFormat/>
    <w:rsid w:val="00AB5F07"/>
    <w:pPr>
      <w:keepNext/>
      <w:widowControl w:val="0"/>
      <w:numPr>
        <w:ilvl w:val="1"/>
        <w:numId w:val="1"/>
      </w:numPr>
      <w:shd w:val="pct20" w:color="FFFF00" w:fill="auto"/>
      <w:outlineLvl w:val="1"/>
    </w:pPr>
    <w:rPr>
      <w:rFonts w:cs="Arial"/>
      <w:bCs/>
      <w:i/>
    </w:rPr>
  </w:style>
  <w:style w:type="paragraph" w:styleId="Titre3">
    <w:name w:val="heading 3"/>
    <w:basedOn w:val="Normal"/>
    <w:next w:val="Normal"/>
    <w:qFormat/>
    <w:rsid w:val="006E00A7"/>
    <w:pPr>
      <w:keepNext/>
      <w:numPr>
        <w:ilvl w:val="2"/>
        <w:numId w:val="1"/>
      </w:numPr>
      <w:shd w:val="pct15" w:color="FFFF00" w:fill="auto"/>
      <w:outlineLvl w:val="2"/>
    </w:pPr>
    <w:rPr>
      <w:b/>
      <w:bCs/>
      <w:i/>
    </w:rPr>
  </w:style>
  <w:style w:type="paragraph" w:styleId="Titre4">
    <w:name w:val="heading 4"/>
    <w:basedOn w:val="Normal"/>
    <w:next w:val="Normal"/>
    <w:qFormat/>
    <w:rsid w:val="006E00A7"/>
    <w:pPr>
      <w:keepNext/>
      <w:numPr>
        <w:ilvl w:val="3"/>
        <w:numId w:val="1"/>
      </w:numPr>
      <w:tabs>
        <w:tab w:val="left" w:pos="4962"/>
      </w:tabs>
      <w:outlineLvl w:val="3"/>
    </w:pPr>
    <w:rPr>
      <w:rFonts w:cs="Arial"/>
      <w:i/>
      <w:iCs/>
      <w:u w:val="single"/>
    </w:rPr>
  </w:style>
  <w:style w:type="paragraph" w:styleId="Titre7">
    <w:name w:val="heading 7"/>
    <w:basedOn w:val="Normal"/>
    <w:next w:val="Normal"/>
    <w:qFormat/>
    <w:rsid w:val="006E00A7"/>
    <w:pPr>
      <w:keepNext/>
      <w:numPr>
        <w:ilvl w:val="6"/>
        <w:numId w:val="1"/>
      </w:numPr>
      <w:suppressAutoHyphens/>
      <w:ind w:right="850"/>
      <w:jc w:val="center"/>
      <w:outlineLvl w:val="6"/>
    </w:pPr>
    <w:rPr>
      <w:b/>
      <w:snapToGrid/>
    </w:rPr>
  </w:style>
  <w:style w:type="paragraph" w:styleId="Titre8">
    <w:name w:val="heading 8"/>
    <w:basedOn w:val="Normal"/>
    <w:next w:val="Normal"/>
    <w:qFormat/>
    <w:rsid w:val="006E00A7"/>
    <w:pPr>
      <w:numPr>
        <w:ilvl w:val="7"/>
        <w:numId w:val="1"/>
      </w:numPr>
      <w:spacing w:before="240" w:after="60"/>
      <w:outlineLvl w:val="7"/>
    </w:pPr>
    <w:rPr>
      <w:i/>
      <w:iCs/>
      <w:szCs w:val="24"/>
    </w:rPr>
  </w:style>
  <w:style w:type="paragraph" w:styleId="Titre9">
    <w:name w:val="heading 9"/>
    <w:basedOn w:val="Normal"/>
    <w:next w:val="Normal"/>
    <w:qFormat/>
    <w:rsid w:val="006E00A7"/>
    <w:pPr>
      <w:numPr>
        <w:ilvl w:val="8"/>
        <w:numId w:val="1"/>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au">
    <w:name w:val="tableau"/>
    <w:basedOn w:val="Normal"/>
    <w:link w:val="tableauCar"/>
    <w:rsid w:val="00FC5BCD"/>
    <w:rPr>
      <w:rFonts w:ascii="Arial" w:hAnsi="Arial"/>
      <w:sz w:val="20"/>
    </w:rPr>
  </w:style>
  <w:style w:type="paragraph" w:customStyle="1" w:styleId="notebasdepage">
    <w:name w:val="note bas de page"/>
    <w:basedOn w:val="Pieddepage"/>
    <w:rsid w:val="00CE410F"/>
    <w:rPr>
      <w:sz w:val="20"/>
      <w:szCs w:val="20"/>
    </w:rPr>
  </w:style>
  <w:style w:type="paragraph" w:styleId="Pieddepage">
    <w:name w:val="footer"/>
    <w:basedOn w:val="Normal"/>
    <w:rsid w:val="00CE410F"/>
    <w:pPr>
      <w:tabs>
        <w:tab w:val="center" w:pos="4536"/>
        <w:tab w:val="right" w:pos="9072"/>
      </w:tabs>
    </w:pPr>
  </w:style>
  <w:style w:type="character" w:styleId="Marquenotebasdepage">
    <w:name w:val="footnote reference"/>
    <w:semiHidden/>
    <w:rsid w:val="006E00A7"/>
    <w:rPr>
      <w:vertAlign w:val="superscript"/>
    </w:rPr>
  </w:style>
  <w:style w:type="character" w:styleId="Marquedannotation">
    <w:name w:val="annotation reference"/>
    <w:semiHidden/>
    <w:rsid w:val="006E00A7"/>
    <w:rPr>
      <w:sz w:val="16"/>
      <w:szCs w:val="16"/>
    </w:rPr>
  </w:style>
  <w:style w:type="paragraph" w:styleId="Commentaire">
    <w:name w:val="annotation text"/>
    <w:basedOn w:val="Normal"/>
    <w:link w:val="CommentaireCar"/>
    <w:semiHidden/>
    <w:rsid w:val="006E00A7"/>
    <w:rPr>
      <w:sz w:val="20"/>
    </w:rPr>
  </w:style>
  <w:style w:type="paragraph" w:customStyle="1" w:styleId="exemple">
    <w:name w:val="exemple"/>
    <w:basedOn w:val="Normal"/>
    <w:link w:val="exempleCar"/>
    <w:rsid w:val="006E00A7"/>
    <w:pPr>
      <w:keepNext/>
      <w:pBdr>
        <w:top w:val="single" w:sz="4" w:space="1" w:color="FFFF99"/>
        <w:left w:val="single" w:sz="4" w:space="4" w:color="FFFF99"/>
        <w:bottom w:val="single" w:sz="4" w:space="1" w:color="FFFF99"/>
        <w:right w:val="single" w:sz="4" w:space="4" w:color="FFFF99"/>
      </w:pBdr>
      <w:shd w:val="clear" w:color="auto" w:fill="FFFF99"/>
      <w:ind w:left="851" w:right="851"/>
    </w:pPr>
    <w:rPr>
      <w:rFonts w:ascii="Arial" w:hAnsi="Arial"/>
      <w:i/>
      <w:sz w:val="22"/>
    </w:rPr>
  </w:style>
  <w:style w:type="paragraph" w:customStyle="1" w:styleId="recom">
    <w:name w:val="recom"/>
    <w:basedOn w:val="Normal"/>
    <w:link w:val="recomCar"/>
    <w:rsid w:val="006E00A7"/>
    <w:pPr>
      <w:keepNext/>
      <w:shd w:val="clear" w:color="auto" w:fill="CCFFCC"/>
      <w:ind w:left="567" w:right="567"/>
    </w:pPr>
    <w:rPr>
      <w:rFonts w:ascii="Arial" w:hAnsi="Arial"/>
      <w:sz w:val="22"/>
    </w:rPr>
  </w:style>
  <w:style w:type="character" w:customStyle="1" w:styleId="exempleCar">
    <w:name w:val="exemple Car"/>
    <w:link w:val="exemple"/>
    <w:rsid w:val="006E00A7"/>
    <w:rPr>
      <w:rFonts w:ascii="Arial" w:hAnsi="Arial"/>
      <w:i/>
      <w:snapToGrid w:val="0"/>
      <w:sz w:val="22"/>
      <w:szCs w:val="22"/>
      <w:lang w:val="fr-BE" w:eastAsia="fr-FR" w:bidi="ar-SA"/>
    </w:rPr>
  </w:style>
  <w:style w:type="character" w:customStyle="1" w:styleId="recomCar">
    <w:name w:val="recom Car"/>
    <w:link w:val="recom"/>
    <w:rsid w:val="006E00A7"/>
    <w:rPr>
      <w:rFonts w:ascii="Arial" w:hAnsi="Arial"/>
      <w:snapToGrid w:val="0"/>
      <w:sz w:val="22"/>
      <w:szCs w:val="22"/>
      <w:lang w:val="fr-BE" w:eastAsia="fr-FR" w:bidi="ar-SA"/>
    </w:rPr>
  </w:style>
  <w:style w:type="paragraph" w:styleId="Textedebulles">
    <w:name w:val="Balloon Text"/>
    <w:basedOn w:val="Normal"/>
    <w:semiHidden/>
    <w:rsid w:val="006E00A7"/>
    <w:rPr>
      <w:rFonts w:ascii="Tahoma" w:hAnsi="Tahoma" w:cs="Tahoma"/>
      <w:sz w:val="16"/>
      <w:szCs w:val="16"/>
    </w:rPr>
  </w:style>
  <w:style w:type="character" w:styleId="Lienhypertexte">
    <w:name w:val="Hyperlink"/>
    <w:rsid w:val="006E00A7"/>
    <w:rPr>
      <w:rFonts w:ascii="Arial" w:hAnsi="Arial"/>
      <w:color w:val="0000FF"/>
      <w:sz w:val="20"/>
      <w:u w:val="none"/>
    </w:rPr>
  </w:style>
  <w:style w:type="character" w:customStyle="1" w:styleId="AnnieCornet">
    <w:name w:val="Annie Cornet"/>
    <w:semiHidden/>
    <w:rsid w:val="006E00A7"/>
    <w:rPr>
      <w:color w:val="000000"/>
    </w:rPr>
  </w:style>
  <w:style w:type="paragraph" w:styleId="En-tte">
    <w:name w:val="header"/>
    <w:basedOn w:val="Normal"/>
    <w:rsid w:val="006E00A7"/>
    <w:pPr>
      <w:tabs>
        <w:tab w:val="center" w:pos="4536"/>
        <w:tab w:val="right" w:pos="9072"/>
      </w:tabs>
    </w:pPr>
  </w:style>
  <w:style w:type="character" w:styleId="Numrodepage">
    <w:name w:val="page number"/>
    <w:basedOn w:val="Policepardfaut"/>
    <w:rsid w:val="006E00A7"/>
  </w:style>
  <w:style w:type="paragraph" w:styleId="Corpsdetexte">
    <w:name w:val="Body Text"/>
    <w:basedOn w:val="Normal"/>
    <w:link w:val="CorpsdetexteCar"/>
    <w:rsid w:val="000312D2"/>
    <w:pPr>
      <w:spacing w:line="240" w:lineRule="auto"/>
    </w:pPr>
    <w:rPr>
      <w:snapToGrid/>
      <w:szCs w:val="24"/>
    </w:rPr>
  </w:style>
  <w:style w:type="character" w:customStyle="1" w:styleId="CorpsdetexteCar">
    <w:name w:val="Corps de texte Car"/>
    <w:link w:val="Corpsdetexte"/>
    <w:rsid w:val="000312D2"/>
    <w:rPr>
      <w:sz w:val="24"/>
      <w:szCs w:val="24"/>
    </w:rPr>
  </w:style>
  <w:style w:type="paragraph" w:styleId="Notedebasdepage">
    <w:name w:val="footnote text"/>
    <w:basedOn w:val="Normal"/>
    <w:link w:val="NotedebasdepageCar"/>
    <w:semiHidden/>
    <w:rsid w:val="000312D2"/>
    <w:pPr>
      <w:spacing w:line="240" w:lineRule="auto"/>
    </w:pPr>
    <w:rPr>
      <w:rFonts w:ascii="Arial" w:hAnsi="Arial"/>
      <w:snapToGrid/>
      <w:sz w:val="20"/>
      <w:szCs w:val="20"/>
      <w:lang w:eastAsia="fr-BE"/>
    </w:rPr>
  </w:style>
  <w:style w:type="character" w:customStyle="1" w:styleId="NotedebasdepageCar">
    <w:name w:val="Note de bas de page Car"/>
    <w:link w:val="Notedebasdepage"/>
    <w:semiHidden/>
    <w:rsid w:val="000312D2"/>
    <w:rPr>
      <w:rFonts w:ascii="Arial" w:hAnsi="Arial" w:cs="Arial"/>
      <w:lang w:val="fr-BE" w:eastAsia="fr-BE"/>
    </w:rPr>
  </w:style>
  <w:style w:type="paragraph" w:styleId="Lgende">
    <w:name w:val="caption"/>
    <w:basedOn w:val="Normal"/>
    <w:next w:val="Normal"/>
    <w:qFormat/>
    <w:rsid w:val="00147786"/>
    <w:pPr>
      <w:tabs>
        <w:tab w:val="left" w:pos="4962"/>
      </w:tabs>
      <w:spacing w:line="240" w:lineRule="auto"/>
      <w:jc w:val="center"/>
    </w:pPr>
    <w:rPr>
      <w:rFonts w:ascii="Arial" w:hAnsi="Arial"/>
      <w:b/>
      <w:bCs/>
      <w:i/>
      <w:iCs/>
      <w:szCs w:val="24"/>
      <w:lang w:val="nl-BE"/>
    </w:rPr>
  </w:style>
  <w:style w:type="paragraph" w:styleId="NormalWeb">
    <w:name w:val="Normal (Web)"/>
    <w:basedOn w:val="Normal"/>
    <w:rsid w:val="00147786"/>
    <w:pPr>
      <w:spacing w:before="100" w:beforeAutospacing="1" w:after="100" w:afterAutospacing="1" w:line="240" w:lineRule="auto"/>
      <w:jc w:val="left"/>
    </w:pPr>
    <w:rPr>
      <w:snapToGrid/>
      <w:szCs w:val="24"/>
      <w:lang w:val="fr-FR"/>
    </w:rPr>
  </w:style>
  <w:style w:type="character" w:customStyle="1" w:styleId="tableauCar">
    <w:name w:val="tableau Car"/>
    <w:link w:val="tableau"/>
    <w:rsid w:val="00147786"/>
    <w:rPr>
      <w:rFonts w:ascii="Arial" w:hAnsi="Arial"/>
      <w:snapToGrid w:val="0"/>
      <w:szCs w:val="22"/>
      <w:lang w:val="fr-BE"/>
    </w:rPr>
  </w:style>
  <w:style w:type="paragraph" w:styleId="Objetducommentaire">
    <w:name w:val="annotation subject"/>
    <w:basedOn w:val="Commentaire"/>
    <w:next w:val="Commentaire"/>
    <w:link w:val="ObjetducommentaireCar"/>
    <w:uiPriority w:val="99"/>
    <w:semiHidden/>
    <w:unhideWhenUsed/>
    <w:rsid w:val="00720F53"/>
    <w:rPr>
      <w:b/>
      <w:bCs/>
    </w:rPr>
  </w:style>
  <w:style w:type="character" w:customStyle="1" w:styleId="CommentaireCar">
    <w:name w:val="Commentaire Car"/>
    <w:link w:val="Commentaire"/>
    <w:semiHidden/>
    <w:rsid w:val="00720F53"/>
    <w:rPr>
      <w:snapToGrid w:val="0"/>
      <w:szCs w:val="22"/>
      <w:lang w:val="fr-BE"/>
    </w:rPr>
  </w:style>
  <w:style w:type="character" w:customStyle="1" w:styleId="ObjetducommentaireCar">
    <w:name w:val="Objet du commentaire Car"/>
    <w:link w:val="Objetducommentaire"/>
    <w:uiPriority w:val="99"/>
    <w:semiHidden/>
    <w:rsid w:val="00720F53"/>
    <w:rPr>
      <w:b/>
      <w:bCs/>
      <w:snapToGrid w:val="0"/>
      <w:szCs w:val="22"/>
      <w:lang w:val="fr-BE"/>
    </w:rPr>
  </w:style>
  <w:style w:type="character" w:styleId="Lienhypertextesuivi">
    <w:name w:val="FollowedHyperlink"/>
    <w:uiPriority w:val="99"/>
    <w:semiHidden/>
    <w:unhideWhenUsed/>
    <w:rsid w:val="00FA51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gvm-iefh.belgium.b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gid@ulg.ac.be" TargetMode="External"/><Relationship Id="rId10" Type="http://schemas.openxmlformats.org/officeDocument/2006/relationships/hyperlink" Target="http://www.egid.hec.ulg.ac.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women.org/~/media/Headquarters/Media/Publications/UNIFEM/UNIFEMWorkgrboverview.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A6CB-986B-2D49-B815-9CAC7834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8154</Words>
  <Characters>44852</Characters>
  <Application>Microsoft Macintosh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lpstr>
    </vt:vector>
  </TitlesOfParts>
  <Company> ulg-gestion</Company>
  <LinksUpToDate>false</LinksUpToDate>
  <CharactersWithSpaces>52901</CharactersWithSpaces>
  <SharedDoc>false</SharedDoc>
  <HLinks>
    <vt:vector size="210" baseType="variant">
      <vt:variant>
        <vt:i4>5439518</vt:i4>
      </vt:variant>
      <vt:variant>
        <vt:i4>188</vt:i4>
      </vt:variant>
      <vt:variant>
        <vt:i4>0</vt:i4>
      </vt:variant>
      <vt:variant>
        <vt:i4>5</vt:i4>
      </vt:variant>
      <vt:variant>
        <vt:lpwstr>http://igvm-iefh.belgium.be/</vt:lpwstr>
      </vt:variant>
      <vt:variant>
        <vt:lpwstr/>
      </vt:variant>
      <vt:variant>
        <vt:i4>4784139</vt:i4>
      </vt:variant>
      <vt:variant>
        <vt:i4>182</vt:i4>
      </vt:variant>
      <vt:variant>
        <vt:i4>0</vt:i4>
      </vt:variant>
      <vt:variant>
        <vt:i4>5</vt:i4>
      </vt:variant>
      <vt:variant>
        <vt:lpwstr/>
      </vt:variant>
      <vt:variant>
        <vt:lpwstr>_ENREF_8</vt:lpwstr>
      </vt:variant>
      <vt:variant>
        <vt:i4>4521995</vt:i4>
      </vt:variant>
      <vt:variant>
        <vt:i4>176</vt:i4>
      </vt:variant>
      <vt:variant>
        <vt:i4>0</vt:i4>
      </vt:variant>
      <vt:variant>
        <vt:i4>5</vt:i4>
      </vt:variant>
      <vt:variant>
        <vt:lpwstr/>
      </vt:variant>
      <vt:variant>
        <vt:lpwstr>_ENREF_4</vt:lpwstr>
      </vt:variant>
      <vt:variant>
        <vt:i4>4194315</vt:i4>
      </vt:variant>
      <vt:variant>
        <vt:i4>170</vt:i4>
      </vt:variant>
      <vt:variant>
        <vt:i4>0</vt:i4>
      </vt:variant>
      <vt:variant>
        <vt:i4>5</vt:i4>
      </vt:variant>
      <vt:variant>
        <vt:lpwstr/>
      </vt:variant>
      <vt:variant>
        <vt:lpwstr>_ENREF_11</vt:lpwstr>
      </vt:variant>
      <vt:variant>
        <vt:i4>4390923</vt:i4>
      </vt:variant>
      <vt:variant>
        <vt:i4>164</vt:i4>
      </vt:variant>
      <vt:variant>
        <vt:i4>0</vt:i4>
      </vt:variant>
      <vt:variant>
        <vt:i4>5</vt:i4>
      </vt:variant>
      <vt:variant>
        <vt:lpwstr/>
      </vt:variant>
      <vt:variant>
        <vt:lpwstr>_ENREF_20</vt:lpwstr>
      </vt:variant>
      <vt:variant>
        <vt:i4>4194315</vt:i4>
      </vt:variant>
      <vt:variant>
        <vt:i4>158</vt:i4>
      </vt:variant>
      <vt:variant>
        <vt:i4>0</vt:i4>
      </vt:variant>
      <vt:variant>
        <vt:i4>5</vt:i4>
      </vt:variant>
      <vt:variant>
        <vt:lpwstr/>
      </vt:variant>
      <vt:variant>
        <vt:lpwstr>_ENREF_14</vt:lpwstr>
      </vt:variant>
      <vt:variant>
        <vt:i4>4194315</vt:i4>
      </vt:variant>
      <vt:variant>
        <vt:i4>149</vt:i4>
      </vt:variant>
      <vt:variant>
        <vt:i4>0</vt:i4>
      </vt:variant>
      <vt:variant>
        <vt:i4>5</vt:i4>
      </vt:variant>
      <vt:variant>
        <vt:lpwstr/>
      </vt:variant>
      <vt:variant>
        <vt:lpwstr>_ENREF_13</vt:lpwstr>
      </vt:variant>
      <vt:variant>
        <vt:i4>4653067</vt:i4>
      </vt:variant>
      <vt:variant>
        <vt:i4>143</vt:i4>
      </vt:variant>
      <vt:variant>
        <vt:i4>0</vt:i4>
      </vt:variant>
      <vt:variant>
        <vt:i4>5</vt:i4>
      </vt:variant>
      <vt:variant>
        <vt:lpwstr/>
      </vt:variant>
      <vt:variant>
        <vt:lpwstr>_ENREF_6</vt:lpwstr>
      </vt:variant>
      <vt:variant>
        <vt:i4>4194315</vt:i4>
      </vt:variant>
      <vt:variant>
        <vt:i4>137</vt:i4>
      </vt:variant>
      <vt:variant>
        <vt:i4>0</vt:i4>
      </vt:variant>
      <vt:variant>
        <vt:i4>5</vt:i4>
      </vt:variant>
      <vt:variant>
        <vt:lpwstr/>
      </vt:variant>
      <vt:variant>
        <vt:lpwstr>_ENREF_17</vt:lpwstr>
      </vt:variant>
      <vt:variant>
        <vt:i4>4194315</vt:i4>
      </vt:variant>
      <vt:variant>
        <vt:i4>131</vt:i4>
      </vt:variant>
      <vt:variant>
        <vt:i4>0</vt:i4>
      </vt:variant>
      <vt:variant>
        <vt:i4>5</vt:i4>
      </vt:variant>
      <vt:variant>
        <vt:lpwstr/>
      </vt:variant>
      <vt:variant>
        <vt:lpwstr>_ENREF_14</vt:lpwstr>
      </vt:variant>
      <vt:variant>
        <vt:i4>4718603</vt:i4>
      </vt:variant>
      <vt:variant>
        <vt:i4>125</vt:i4>
      </vt:variant>
      <vt:variant>
        <vt:i4>0</vt:i4>
      </vt:variant>
      <vt:variant>
        <vt:i4>5</vt:i4>
      </vt:variant>
      <vt:variant>
        <vt:lpwstr/>
      </vt:variant>
      <vt:variant>
        <vt:lpwstr>_ENREF_9</vt:lpwstr>
      </vt:variant>
      <vt:variant>
        <vt:i4>4194315</vt:i4>
      </vt:variant>
      <vt:variant>
        <vt:i4>119</vt:i4>
      </vt:variant>
      <vt:variant>
        <vt:i4>0</vt:i4>
      </vt:variant>
      <vt:variant>
        <vt:i4>5</vt:i4>
      </vt:variant>
      <vt:variant>
        <vt:lpwstr/>
      </vt:variant>
      <vt:variant>
        <vt:lpwstr>_ENREF_18</vt:lpwstr>
      </vt:variant>
      <vt:variant>
        <vt:i4>4325387</vt:i4>
      </vt:variant>
      <vt:variant>
        <vt:i4>113</vt:i4>
      </vt:variant>
      <vt:variant>
        <vt:i4>0</vt:i4>
      </vt:variant>
      <vt:variant>
        <vt:i4>5</vt:i4>
      </vt:variant>
      <vt:variant>
        <vt:lpwstr/>
      </vt:variant>
      <vt:variant>
        <vt:lpwstr>_ENREF_3</vt:lpwstr>
      </vt:variant>
      <vt:variant>
        <vt:i4>4456459</vt:i4>
      </vt:variant>
      <vt:variant>
        <vt:i4>107</vt:i4>
      </vt:variant>
      <vt:variant>
        <vt:i4>0</vt:i4>
      </vt:variant>
      <vt:variant>
        <vt:i4>5</vt:i4>
      </vt:variant>
      <vt:variant>
        <vt:lpwstr/>
      </vt:variant>
      <vt:variant>
        <vt:lpwstr>_ENREF_5</vt:lpwstr>
      </vt:variant>
      <vt:variant>
        <vt:i4>4194315</vt:i4>
      </vt:variant>
      <vt:variant>
        <vt:i4>101</vt:i4>
      </vt:variant>
      <vt:variant>
        <vt:i4>0</vt:i4>
      </vt:variant>
      <vt:variant>
        <vt:i4>5</vt:i4>
      </vt:variant>
      <vt:variant>
        <vt:lpwstr/>
      </vt:variant>
      <vt:variant>
        <vt:lpwstr>_ENREF_19</vt:lpwstr>
      </vt:variant>
      <vt:variant>
        <vt:i4>4456459</vt:i4>
      </vt:variant>
      <vt:variant>
        <vt:i4>98</vt:i4>
      </vt:variant>
      <vt:variant>
        <vt:i4>0</vt:i4>
      </vt:variant>
      <vt:variant>
        <vt:i4>5</vt:i4>
      </vt:variant>
      <vt:variant>
        <vt:lpwstr/>
      </vt:variant>
      <vt:variant>
        <vt:lpwstr>_ENREF_5</vt:lpwstr>
      </vt:variant>
      <vt:variant>
        <vt:i4>4390923</vt:i4>
      </vt:variant>
      <vt:variant>
        <vt:i4>92</vt:i4>
      </vt:variant>
      <vt:variant>
        <vt:i4>0</vt:i4>
      </vt:variant>
      <vt:variant>
        <vt:i4>5</vt:i4>
      </vt:variant>
      <vt:variant>
        <vt:lpwstr/>
      </vt:variant>
      <vt:variant>
        <vt:lpwstr>_ENREF_25</vt:lpwstr>
      </vt:variant>
      <vt:variant>
        <vt:i4>4194315</vt:i4>
      </vt:variant>
      <vt:variant>
        <vt:i4>86</vt:i4>
      </vt:variant>
      <vt:variant>
        <vt:i4>0</vt:i4>
      </vt:variant>
      <vt:variant>
        <vt:i4>5</vt:i4>
      </vt:variant>
      <vt:variant>
        <vt:lpwstr/>
      </vt:variant>
      <vt:variant>
        <vt:lpwstr>_ENREF_15</vt:lpwstr>
      </vt:variant>
      <vt:variant>
        <vt:i4>4390923</vt:i4>
      </vt:variant>
      <vt:variant>
        <vt:i4>83</vt:i4>
      </vt:variant>
      <vt:variant>
        <vt:i4>0</vt:i4>
      </vt:variant>
      <vt:variant>
        <vt:i4>5</vt:i4>
      </vt:variant>
      <vt:variant>
        <vt:lpwstr/>
      </vt:variant>
      <vt:variant>
        <vt:lpwstr>_ENREF_2</vt:lpwstr>
      </vt:variant>
      <vt:variant>
        <vt:i4>4390923</vt:i4>
      </vt:variant>
      <vt:variant>
        <vt:i4>77</vt:i4>
      </vt:variant>
      <vt:variant>
        <vt:i4>0</vt:i4>
      </vt:variant>
      <vt:variant>
        <vt:i4>5</vt:i4>
      </vt:variant>
      <vt:variant>
        <vt:lpwstr/>
      </vt:variant>
      <vt:variant>
        <vt:lpwstr>_ENREF_23</vt:lpwstr>
      </vt:variant>
      <vt:variant>
        <vt:i4>4390923</vt:i4>
      </vt:variant>
      <vt:variant>
        <vt:i4>71</vt:i4>
      </vt:variant>
      <vt:variant>
        <vt:i4>0</vt:i4>
      </vt:variant>
      <vt:variant>
        <vt:i4>5</vt:i4>
      </vt:variant>
      <vt:variant>
        <vt:lpwstr/>
      </vt:variant>
      <vt:variant>
        <vt:lpwstr>_ENREF_22</vt:lpwstr>
      </vt:variant>
      <vt:variant>
        <vt:i4>4587531</vt:i4>
      </vt:variant>
      <vt:variant>
        <vt:i4>65</vt:i4>
      </vt:variant>
      <vt:variant>
        <vt:i4>0</vt:i4>
      </vt:variant>
      <vt:variant>
        <vt:i4>5</vt:i4>
      </vt:variant>
      <vt:variant>
        <vt:lpwstr/>
      </vt:variant>
      <vt:variant>
        <vt:lpwstr>_ENREF_7</vt:lpwstr>
      </vt:variant>
      <vt:variant>
        <vt:i4>4194315</vt:i4>
      </vt:variant>
      <vt:variant>
        <vt:i4>59</vt:i4>
      </vt:variant>
      <vt:variant>
        <vt:i4>0</vt:i4>
      </vt:variant>
      <vt:variant>
        <vt:i4>5</vt:i4>
      </vt:variant>
      <vt:variant>
        <vt:lpwstr/>
      </vt:variant>
      <vt:variant>
        <vt:lpwstr>_ENREF_12</vt:lpwstr>
      </vt:variant>
      <vt:variant>
        <vt:i4>4194315</vt:i4>
      </vt:variant>
      <vt:variant>
        <vt:i4>53</vt:i4>
      </vt:variant>
      <vt:variant>
        <vt:i4>0</vt:i4>
      </vt:variant>
      <vt:variant>
        <vt:i4>5</vt:i4>
      </vt:variant>
      <vt:variant>
        <vt:lpwstr/>
      </vt:variant>
      <vt:variant>
        <vt:lpwstr>_ENREF_16</vt:lpwstr>
      </vt:variant>
      <vt:variant>
        <vt:i4>4390923</vt:i4>
      </vt:variant>
      <vt:variant>
        <vt:i4>47</vt:i4>
      </vt:variant>
      <vt:variant>
        <vt:i4>0</vt:i4>
      </vt:variant>
      <vt:variant>
        <vt:i4>5</vt:i4>
      </vt:variant>
      <vt:variant>
        <vt:lpwstr/>
      </vt:variant>
      <vt:variant>
        <vt:lpwstr>_ENREF_21</vt:lpwstr>
      </vt:variant>
      <vt:variant>
        <vt:i4>4194315</vt:i4>
      </vt:variant>
      <vt:variant>
        <vt:i4>44</vt:i4>
      </vt:variant>
      <vt:variant>
        <vt:i4>0</vt:i4>
      </vt:variant>
      <vt:variant>
        <vt:i4>5</vt:i4>
      </vt:variant>
      <vt:variant>
        <vt:lpwstr/>
      </vt:variant>
      <vt:variant>
        <vt:lpwstr>_ENREF_17</vt:lpwstr>
      </vt:variant>
      <vt:variant>
        <vt:i4>4194315</vt:i4>
      </vt:variant>
      <vt:variant>
        <vt:i4>38</vt:i4>
      </vt:variant>
      <vt:variant>
        <vt:i4>0</vt:i4>
      </vt:variant>
      <vt:variant>
        <vt:i4>5</vt:i4>
      </vt:variant>
      <vt:variant>
        <vt:lpwstr/>
      </vt:variant>
      <vt:variant>
        <vt:lpwstr>_ENREF_10</vt:lpwstr>
      </vt:variant>
      <vt:variant>
        <vt:i4>4390923</vt:i4>
      </vt:variant>
      <vt:variant>
        <vt:i4>32</vt:i4>
      </vt:variant>
      <vt:variant>
        <vt:i4>0</vt:i4>
      </vt:variant>
      <vt:variant>
        <vt:i4>5</vt:i4>
      </vt:variant>
      <vt:variant>
        <vt:lpwstr/>
      </vt:variant>
      <vt:variant>
        <vt:lpwstr>_ENREF_26</vt:lpwstr>
      </vt:variant>
      <vt:variant>
        <vt:i4>4390923</vt:i4>
      </vt:variant>
      <vt:variant>
        <vt:i4>26</vt:i4>
      </vt:variant>
      <vt:variant>
        <vt:i4>0</vt:i4>
      </vt:variant>
      <vt:variant>
        <vt:i4>5</vt:i4>
      </vt:variant>
      <vt:variant>
        <vt:lpwstr/>
      </vt:variant>
      <vt:variant>
        <vt:lpwstr>_ENREF_24</vt:lpwstr>
      </vt:variant>
      <vt:variant>
        <vt:i4>4390923</vt:i4>
      </vt:variant>
      <vt:variant>
        <vt:i4>20</vt:i4>
      </vt:variant>
      <vt:variant>
        <vt:i4>0</vt:i4>
      </vt:variant>
      <vt:variant>
        <vt:i4>5</vt:i4>
      </vt:variant>
      <vt:variant>
        <vt:lpwstr/>
      </vt:variant>
      <vt:variant>
        <vt:lpwstr>_ENREF_24</vt:lpwstr>
      </vt:variant>
      <vt:variant>
        <vt:i4>4390923</vt:i4>
      </vt:variant>
      <vt:variant>
        <vt:i4>14</vt:i4>
      </vt:variant>
      <vt:variant>
        <vt:i4>0</vt:i4>
      </vt:variant>
      <vt:variant>
        <vt:i4>5</vt:i4>
      </vt:variant>
      <vt:variant>
        <vt:lpwstr/>
      </vt:variant>
      <vt:variant>
        <vt:lpwstr>_ENREF_27</vt:lpwstr>
      </vt:variant>
      <vt:variant>
        <vt:i4>4194315</vt:i4>
      </vt:variant>
      <vt:variant>
        <vt:i4>8</vt:i4>
      </vt:variant>
      <vt:variant>
        <vt:i4>0</vt:i4>
      </vt:variant>
      <vt:variant>
        <vt:i4>5</vt:i4>
      </vt:variant>
      <vt:variant>
        <vt:lpwstr/>
      </vt:variant>
      <vt:variant>
        <vt:lpwstr>_ENREF_1</vt:lpwstr>
      </vt:variant>
      <vt:variant>
        <vt:i4>3014752</vt:i4>
      </vt:variant>
      <vt:variant>
        <vt:i4>3</vt:i4>
      </vt:variant>
      <vt:variant>
        <vt:i4>0</vt:i4>
      </vt:variant>
      <vt:variant>
        <vt:i4>5</vt:i4>
      </vt:variant>
      <vt:variant>
        <vt:lpwstr>http://www.egid.hec.ulg.ac.be/</vt:lpwstr>
      </vt:variant>
      <vt:variant>
        <vt:lpwstr/>
      </vt:variant>
      <vt:variant>
        <vt:i4>7143444</vt:i4>
      </vt:variant>
      <vt:variant>
        <vt:i4>0</vt:i4>
      </vt:variant>
      <vt:variant>
        <vt:i4>0</vt:i4>
      </vt:variant>
      <vt:variant>
        <vt:i4>5</vt:i4>
      </vt:variant>
      <vt:variant>
        <vt:lpwstr>mailto:egid@ulg.ac.be</vt:lpwstr>
      </vt:variant>
      <vt:variant>
        <vt:lpwstr/>
      </vt:variant>
      <vt:variant>
        <vt:i4>2293879</vt:i4>
      </vt:variant>
      <vt:variant>
        <vt:i4>0</vt:i4>
      </vt:variant>
      <vt:variant>
        <vt:i4>0</vt:i4>
      </vt:variant>
      <vt:variant>
        <vt:i4>5</vt:i4>
      </vt:variant>
      <vt:variant>
        <vt:lpwstr>http://www.unwomen.org/~/media/Headquarters/Media/Publications/UNIFEM/UNIFEMWorkgrboverview.pdf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cornet</dc:creator>
  <cp:keywords/>
  <dc:description/>
  <cp:lastModifiedBy>Annie Cornet</cp:lastModifiedBy>
  <cp:revision>2</cp:revision>
  <cp:lastPrinted>2008-01-13T15:06:00Z</cp:lastPrinted>
  <dcterms:created xsi:type="dcterms:W3CDTF">2014-06-05T10:25:00Z</dcterms:created>
  <dcterms:modified xsi:type="dcterms:W3CDTF">2014-06-05T10:25:00Z</dcterms:modified>
</cp:coreProperties>
</file>