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81" w:rsidRPr="00506D25" w:rsidRDefault="006A1E81" w:rsidP="006A1E81">
      <w:pPr>
        <w:jc w:val="center"/>
        <w:rPr>
          <w:b/>
          <w:szCs w:val="24"/>
          <w:lang w:val="fr-FR"/>
        </w:rPr>
      </w:pPr>
      <w:r w:rsidRPr="00506D25">
        <w:rPr>
          <w:b/>
          <w:lang w:val="fr-FR"/>
        </w:rPr>
        <w:t>TABLE DES MATIERES</w:t>
      </w:r>
    </w:p>
    <w:p w:rsidR="006A1E81" w:rsidRDefault="006A1E81" w:rsidP="006A1E81">
      <w:pPr>
        <w:pStyle w:val="Corpsdetexte2"/>
        <w:rPr>
          <w:szCs w:val="24"/>
          <w:lang w:val="fr-FR"/>
        </w:rPr>
      </w:pPr>
    </w:p>
    <w:p w:rsidR="006A1E81" w:rsidRDefault="006A1E81" w:rsidP="006A1E81">
      <w:pPr>
        <w:pStyle w:val="Corpsdetexte2"/>
        <w:rPr>
          <w:szCs w:val="24"/>
          <w:lang w:val="fr-FR"/>
        </w:rPr>
      </w:pPr>
    </w:p>
    <w:p w:rsidR="006A1E81" w:rsidRDefault="006A1E81" w:rsidP="006A1E81">
      <w:pPr>
        <w:pStyle w:val="Corpsdetexte2"/>
        <w:rPr>
          <w:szCs w:val="24"/>
          <w:lang w:val="fr-FR"/>
        </w:rPr>
      </w:pPr>
    </w:p>
    <w:p w:rsidR="006A1E81" w:rsidRPr="00587D1B" w:rsidRDefault="006A1E81" w:rsidP="006A1E81">
      <w:pPr>
        <w:pStyle w:val="TM1"/>
        <w:tabs>
          <w:tab w:val="right" w:leader="dot" w:pos="9401"/>
        </w:tabs>
        <w:spacing w:line="360" w:lineRule="auto"/>
        <w:rPr>
          <w:rFonts w:eastAsiaTheme="minorEastAsia" w:cstheme="minorBidi"/>
          <w:b w:val="0"/>
          <w:noProof/>
          <w:lang w:val="fr-BE" w:eastAsia="ja-JP"/>
        </w:rPr>
      </w:pPr>
      <w:r w:rsidRPr="00587D1B">
        <w:rPr>
          <w:b w:val="0"/>
          <w:szCs w:val="20"/>
          <w:lang w:val="fr-FR"/>
        </w:rPr>
        <w:fldChar w:fldCharType="begin"/>
      </w:r>
      <w:r w:rsidRPr="00587D1B">
        <w:rPr>
          <w:b w:val="0"/>
          <w:szCs w:val="20"/>
          <w:lang w:val="fr-FR"/>
        </w:rPr>
        <w:instrText xml:space="preserve"> TOC \o "1-8" \t "A.1-Titre Titre;1;A.2. - Titre Chapitre;2;A.3 titre 1;4;A.4 Titre 1.1;5;A.2. Titre I;3;A.6. titre A;7;A.5. Titre 1.1.1;6;A.6. titre A.1;8" </w:instrText>
      </w:r>
      <w:r w:rsidRPr="00587D1B">
        <w:rPr>
          <w:b w:val="0"/>
          <w:szCs w:val="20"/>
          <w:lang w:val="fr-FR"/>
        </w:rPr>
        <w:fldChar w:fldCharType="separate"/>
      </w:r>
      <w:r w:rsidRPr="00145FF2">
        <w:rPr>
          <w:noProof/>
          <w:lang w:val="fr-BE"/>
        </w:rPr>
        <w:t>Introduction générale</w:t>
      </w:r>
      <w:r w:rsidRPr="00145FF2">
        <w:rPr>
          <w:noProof/>
          <w:lang w:val="fr-BE"/>
        </w:rPr>
        <w:tab/>
      </w:r>
      <w:r w:rsidRPr="00587D1B">
        <w:rPr>
          <w:noProof/>
        </w:rPr>
        <w:fldChar w:fldCharType="begin"/>
      </w:r>
      <w:r w:rsidRPr="00145FF2">
        <w:rPr>
          <w:noProof/>
          <w:lang w:val="fr-BE"/>
        </w:rPr>
        <w:instrText xml:space="preserve"> PAGEREF _Toc286911014 \h </w:instrText>
      </w:r>
      <w:r w:rsidRPr="00587D1B">
        <w:rPr>
          <w:noProof/>
        </w:rPr>
      </w:r>
      <w:r w:rsidRPr="00587D1B">
        <w:rPr>
          <w:noProof/>
        </w:rPr>
        <w:fldChar w:fldCharType="separate"/>
      </w:r>
      <w:r w:rsidRPr="00145FF2">
        <w:rPr>
          <w:noProof/>
          <w:lang w:val="fr-BE"/>
        </w:rPr>
        <w:t>1</w:t>
      </w:r>
      <w:r w:rsidRPr="00587D1B">
        <w:rPr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hAnsi="Calibri"/>
          <w:noProof/>
          <w:lang w:val="fr-BE"/>
        </w:rPr>
        <w:t>1.   Le Code d’instruction criminelle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_Toc286911015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hAnsi="Calibri"/>
          <w:noProof/>
          <w:lang w:val="fr-BE"/>
        </w:rPr>
        <w:t>2.   La jurisprudence de la Cour constitutionnelle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_Toc286911016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4</w:t>
      </w:r>
      <w:r w:rsidRPr="00587D1B">
        <w:rPr>
          <w:rFonts w:ascii="Calibri" w:hAnsi="Calibri"/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587D1B">
        <w:rPr>
          <w:rFonts w:ascii="Calibri" w:hAnsi="Calibri"/>
          <w:noProof/>
          <w:lang w:val="fr-BE"/>
        </w:rPr>
        <w:t xml:space="preserve">3.   La jurisprudence de la Cour européenne des droits de l’homme :  une source d’inspiration </w:t>
      </w: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hAnsi="Calibri"/>
          <w:noProof/>
          <w:lang w:val="fr-BE"/>
        </w:rPr>
        <w:t>pour la Cour constitutionnelle ?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_Toc286911017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hAnsi="Calibri"/>
          <w:noProof/>
          <w:lang w:val="fr-BE"/>
        </w:rPr>
        <w:t>4.   L’effectivité des droits accordés aux justiciables et  l’efficacité des règles de procédure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_Toc286911018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hAnsi="Calibri"/>
          <w:noProof/>
          <w:lang w:val="fr-FR"/>
        </w:rPr>
        <w:t>5.   L’influence de la jurisprudence  de la Cour constitutionnelle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_Toc286911019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14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1"/>
        <w:tabs>
          <w:tab w:val="right" w:leader="dot" w:pos="9401"/>
        </w:tabs>
        <w:spacing w:line="360" w:lineRule="auto"/>
        <w:rPr>
          <w:noProof/>
          <w:lang w:val="fr-BE"/>
        </w:rPr>
      </w:pPr>
    </w:p>
    <w:p w:rsidR="006A1E81" w:rsidRPr="00587D1B" w:rsidRDefault="006A1E81" w:rsidP="006A1E81">
      <w:pPr>
        <w:pStyle w:val="TM1"/>
        <w:tabs>
          <w:tab w:val="right" w:leader="dot" w:pos="9401"/>
        </w:tabs>
        <w:spacing w:line="360" w:lineRule="auto"/>
        <w:rPr>
          <w:rFonts w:eastAsiaTheme="minorEastAsia" w:cstheme="minorBidi"/>
          <w:b w:val="0"/>
          <w:noProof/>
          <w:lang w:val="fr-BE" w:eastAsia="ja-JP"/>
        </w:rPr>
      </w:pPr>
      <w:r w:rsidRPr="00145FF2">
        <w:rPr>
          <w:noProof/>
          <w:lang w:val="fr-BE"/>
        </w:rPr>
        <w:t>TITRE I.   De la Cour d’arbitrage à la Cour constitutionnelle</w:t>
      </w:r>
      <w:r w:rsidRPr="00145FF2">
        <w:rPr>
          <w:noProof/>
          <w:lang w:val="fr-BE"/>
        </w:rPr>
        <w:tab/>
      </w:r>
      <w:r w:rsidRPr="00587D1B">
        <w:rPr>
          <w:noProof/>
        </w:rPr>
        <w:fldChar w:fldCharType="begin"/>
      </w:r>
      <w:r w:rsidRPr="00145FF2">
        <w:rPr>
          <w:noProof/>
          <w:lang w:val="fr-BE"/>
        </w:rPr>
        <w:instrText xml:space="preserve"> PAGEREF _Toc286911020 \h </w:instrText>
      </w:r>
      <w:r w:rsidRPr="00587D1B">
        <w:rPr>
          <w:noProof/>
        </w:rPr>
      </w:r>
      <w:r w:rsidRPr="00587D1B">
        <w:rPr>
          <w:noProof/>
        </w:rPr>
        <w:fldChar w:fldCharType="separate"/>
      </w:r>
      <w:r w:rsidRPr="00145FF2">
        <w:rPr>
          <w:noProof/>
          <w:lang w:val="fr-BE"/>
        </w:rPr>
        <w:t>17</w:t>
      </w:r>
      <w:r w:rsidRPr="00587D1B">
        <w:rPr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hAnsi="Calibri"/>
          <w:noProof/>
          <w:lang w:val="fr-BE"/>
        </w:rPr>
        <w:t>CHAPITRE 1.    Les étapes de la création d’une nouvelle juridiction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_Toc286911021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17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 xml:space="preserve">1.   Le monopole du contrôle de constitutionnalité et sa priorité sur le contrôle diffus de </w:t>
      </w:r>
    </w:p>
    <w:p w:rsidR="006A1E81" w:rsidRPr="00145FF2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>conventionnalité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_Toc286911022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   Le contrôle de conventionnalité et le droit processuel européen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_Toc286911023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26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 xml:space="preserve">3.   L’autorité des arrêts de la Cour constitutionnelle après un contrôle portant </w:t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sur un concours de droits fondamentaux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_Toc286911024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27</w:t>
      </w:r>
      <w:r w:rsidRPr="00587D1B">
        <w:rPr>
          <w:rFonts w:ascii="Calibri" w:hAnsi="Calibri"/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snapToGrid w:val="0"/>
          <w:lang w:val="fr-BE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hAnsi="Calibri"/>
          <w:noProof/>
          <w:snapToGrid w:val="0"/>
          <w:lang w:val="fr-BE"/>
        </w:rPr>
        <w:t>CHAPITRE 2.   La saisine de la Cour Constitutionnelle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_Toc286911025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   Les recours en annulation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_Toc286911026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   La demande en suspension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_Toc286911027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2.1.   L’intérêt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_Toc286911028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2.2.   Les autres conditions à respecter pour l’introduction d’une demande en suspension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_Toc286911029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   La question préjudicielle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_Toc286911030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3.1.   L’obligation de poser une question préjudicielle et ses exceptions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_Toc286911031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3.2.   L’exclusion des questions préjudicielles prévue par l’article 26 § 1</w:t>
      </w:r>
      <w:r w:rsidRPr="00145FF2">
        <w:rPr>
          <w:rFonts w:ascii="Calibri" w:hAnsi="Calibri"/>
          <w:noProof/>
          <w:vertAlign w:val="superscript"/>
          <w:lang w:val="fr-BE"/>
        </w:rPr>
        <w:t>er</w:t>
      </w:r>
      <w:r w:rsidRPr="00145FF2">
        <w:rPr>
          <w:rFonts w:ascii="Calibri" w:hAnsi="Calibri"/>
          <w:noProof/>
          <w:lang w:val="fr-BE"/>
        </w:rPr>
        <w:t xml:space="preserve"> </w:t>
      </w:r>
      <w:r w:rsidRPr="00145FF2">
        <w:rPr>
          <w:rFonts w:ascii="Calibri" w:hAnsi="Calibri"/>
          <w:i/>
          <w:noProof/>
          <w:lang w:val="fr-BE"/>
        </w:rPr>
        <w:t>bis</w:t>
      </w:r>
      <w:r w:rsidRPr="00145FF2">
        <w:rPr>
          <w:rFonts w:ascii="Calibri" w:hAnsi="Calibri"/>
          <w:noProof/>
          <w:lang w:val="fr-BE"/>
        </w:rPr>
        <w:t xml:space="preserve"> de la loi spéciale du 6 janvier 1989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_Toc286911032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39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 xml:space="preserve">3.3.   Le refus de poser une question préjudicielle au regard des exigences de la </w:t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Cour européenne des droits de l’homme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_Toc286911033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40</w:t>
      </w:r>
      <w:r w:rsidRPr="00587D1B">
        <w:rPr>
          <w:rFonts w:ascii="Calibri" w:hAnsi="Calibri"/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hAnsi="Calibri"/>
          <w:noProof/>
          <w:lang w:val="fr-BE"/>
        </w:rPr>
        <w:lastRenderedPageBreak/>
        <w:t>CHAPITRE 3.   La portée des arrêts de la Cour constitutionnelle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_Toc286911034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40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   Les arrêts rendus sur une demande de suspension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_Toc286911035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41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   Les arrêts rendus sur une demande en annulation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_Toc286911036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41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2.1.   Les arrêts de rejet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_Toc286911037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41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2.2.   Les arrêts d’annulation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_Toc286911038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42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2.2.1.   Le principe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_Toc286911039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42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2.2.2.   Le maintien des effets de la norme annulée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_Toc286911040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44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   Les arrêts sur question préjudicielle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_Toc286911041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47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3.1.   Le principe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_Toc286911042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47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3.2.   La variabilité des dispositifs prononcés par la Cour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_Toc286911043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48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3.3.   Les doubles dispositifs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_Toc286911044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49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3.4.   La limitation dans le temps des effets des arrêts rendus sur question préjudicielle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_Toc286911045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50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3.5.   Les lacunes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_Toc286911046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51</w:t>
      </w:r>
      <w:r w:rsidRPr="00587D1B">
        <w:rPr>
          <w:rFonts w:ascii="Calibri" w:hAnsi="Calibri"/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>
        <w:rPr>
          <w:rFonts w:ascii="Calibri" w:hAnsi="Calibri"/>
          <w:noProof/>
          <w:lang w:val="fr-BE"/>
        </w:rPr>
        <w:t>SYNTHESE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_Toc286911047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53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1"/>
        <w:tabs>
          <w:tab w:val="right" w:leader="dot" w:pos="9401"/>
        </w:tabs>
        <w:spacing w:line="360" w:lineRule="auto"/>
        <w:rPr>
          <w:noProof/>
          <w:lang w:val="fr-BE"/>
        </w:rPr>
      </w:pPr>
    </w:p>
    <w:p w:rsidR="006A1E81" w:rsidRPr="00587D1B" w:rsidRDefault="006A1E81" w:rsidP="006A1E81">
      <w:pPr>
        <w:pStyle w:val="TM1"/>
        <w:tabs>
          <w:tab w:val="right" w:leader="dot" w:pos="9401"/>
        </w:tabs>
        <w:spacing w:line="360" w:lineRule="auto"/>
        <w:rPr>
          <w:rFonts w:eastAsiaTheme="minorEastAsia" w:cstheme="minorBidi"/>
          <w:b w:val="0"/>
          <w:noProof/>
          <w:lang w:val="fr-BE" w:eastAsia="ja-JP"/>
        </w:rPr>
      </w:pPr>
      <w:r w:rsidRPr="00145FF2">
        <w:rPr>
          <w:noProof/>
          <w:lang w:val="fr-BE"/>
        </w:rPr>
        <w:t>TITRE II.   Les arrêts de la Cour constitutionnelle en procédure pénale</w:t>
      </w:r>
      <w:r w:rsidRPr="00145FF2">
        <w:rPr>
          <w:noProof/>
          <w:lang w:val="fr-BE"/>
        </w:rPr>
        <w:tab/>
      </w:r>
      <w:r w:rsidRPr="00587D1B">
        <w:rPr>
          <w:noProof/>
        </w:rPr>
        <w:fldChar w:fldCharType="begin"/>
      </w:r>
      <w:r w:rsidRPr="00145FF2">
        <w:rPr>
          <w:noProof/>
          <w:lang w:val="fr-BE"/>
        </w:rPr>
        <w:instrText xml:space="preserve"> PAGEREF _Toc286911049 \h </w:instrText>
      </w:r>
      <w:r w:rsidRPr="00587D1B">
        <w:rPr>
          <w:noProof/>
        </w:rPr>
      </w:r>
      <w:r w:rsidRPr="00587D1B">
        <w:rPr>
          <w:noProof/>
        </w:rPr>
        <w:fldChar w:fldCharType="separate"/>
      </w:r>
      <w:r w:rsidRPr="00145FF2">
        <w:rPr>
          <w:noProof/>
          <w:lang w:val="fr-BE"/>
        </w:rPr>
        <w:t>56</w:t>
      </w:r>
      <w:r w:rsidRPr="00587D1B">
        <w:rPr>
          <w:noProof/>
        </w:rPr>
        <w:fldChar w:fldCharType="end"/>
      </w:r>
    </w:p>
    <w:p w:rsidR="006A1E81" w:rsidRPr="00145FF2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INTRODUCTION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_Toc286911050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56</w:t>
      </w:r>
      <w:r w:rsidRPr="00587D1B">
        <w:rPr>
          <w:rFonts w:ascii="Calibri" w:hAnsi="Calibri"/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hAnsi="Calibri"/>
          <w:noProof/>
          <w:lang w:val="fr-BE"/>
        </w:rPr>
        <w:t>CHAPITRE I.   L’information préliminaire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_Toc286911051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57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I.   Notions générales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_Toc286911052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57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   Les directives de politique criminelle prises en application de l’article 143</w:t>
      </w:r>
      <w:r w:rsidRPr="00145FF2">
        <w:rPr>
          <w:rFonts w:ascii="Calibri" w:hAnsi="Calibri"/>
          <w:i/>
          <w:noProof/>
          <w:lang w:val="fr-BE"/>
        </w:rPr>
        <w:t>ter</w:t>
      </w:r>
      <w:r w:rsidRPr="00145FF2">
        <w:rPr>
          <w:rFonts w:ascii="Calibri" w:hAnsi="Calibri"/>
          <w:noProof/>
          <w:lang w:val="fr-BE"/>
        </w:rPr>
        <w:t xml:space="preserve"> du Code judiciaire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_Toc286911053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59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   Le classement sans suite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_Toc286911054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61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   L’enquête proactive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_Toc286911055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62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    La Cour constitutionnelle et le caractère inquisitoire de l’information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_Toc286911056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63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4.1.   Le caractère secret de l’information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_Toc286911057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63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4.2.   Le caractère écrit de l’information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_Toc286911058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67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4.2.1.   Les procès-verbaux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_Toc286911059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67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4.2.2.   Le validité d’un procès-verbal rédigé par une personne concernée par l’infraction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_Toc286911060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68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4.3.   Le caractère non contradictoire de l’information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_Toc286911061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69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5.   La Cour constitutionnelle et l’égalité entre les parties au stade de l’information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_Toc286911062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72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Synthèse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_Toc286911063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75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145FF2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145FF2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II.   Les modalités de l’information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_Toc286911064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76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   Les actes de police judiciaire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_Toc286911065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77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1.1.   Les saisies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_Toc286911066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77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1.1.1.   Généralités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_Toc286911067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77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1.1.2.   La saisie du permis de conduire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_Toc286911068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77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1.1.3.   La mise à la disposition de la police fédérale d’un véhicule saisi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_Toc286911069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79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1.2.   Les méthodes particulières de recherche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_Toc286911070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81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1.2.1.   Généralités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_Toc286911071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81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1.2.2.   L’arrêt n° 202/2004 du 21 décembre 2004 relatif à la loi du 6 janvier 2003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_Toc286911072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85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A.   La finalité judiciaire des méthodes particulières de recherche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_Toc286911073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85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B.   La provocation policière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_Toc286911074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85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C.   La méthode de l’observation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_Toc286911075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86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8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C.1.   Notion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_Toc286911076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86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8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C.2.   Les principes de subsidiarité et de proportionnalité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_Toc286911077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86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8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C.3.   La Cour constitutionnelle et l’observation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_Toc286911078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87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D.   La méthode de l’infiltration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_Toc286911079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88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8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D.1.   Notion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_Toc286911080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88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8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D.2.   Les conditions de forme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_Toc286911081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90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8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D.3.   La Cour constitutionnelle et l’infiltration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_Toc286911082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91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E.   Le recours aux indicateurs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_Toc286911083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92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8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E.1.   Notion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_Toc286911084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92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8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E.2.   La Cour constitutionnelle et le recours aux indicateurs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_Toc286911085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92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 xml:space="preserve">F.   La Cour constitutionnelle et les critiques « diffuses » des méthodes particulières </w:t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de recherche. Nécessité d’un contrôle juridictionnel des méthodes particulières de recherche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_Toc286911086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93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 xml:space="preserve">1.2.3.   L’arrêt de la Cour constitutionnelle n° 105/2007 du 19 juillet 2007 prononcé </w:t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à la suite du recours en annulation dirigé contre la loi du 27 décembre 2005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_Toc286911087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95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A.   La loi du 27 décembre 2005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_Toc286911088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95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B.   La provocation policière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_Toc286911089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96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C.   Le recours aux indicateurs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_Toc286911090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97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D.   Nécessité d’un contrôle juridictionnel des méthodes particulières de recherche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_Toc286911091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99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8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D.1.   L’impossibilité de consulter le dossier confidentiel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_Toc286911092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101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8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D.2.   L’impartialité de la chambre des mises en accusation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_Toc286911093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103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8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D.3.   L’audition séparée des parties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_Toc286911094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104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8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D.4.   L’absence de recours contre la décision de la chambre des mises en accusation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_Toc286911095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106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8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D.5.   L’inexistence, dans certaines hypothèses, d’un contrôle juridictionnel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_Toc286911096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111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8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D.6.   L’interdiction de recourir à des conseillers suppléants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_Toc286911097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114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8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D.7.   L’application dans le temps du contrôle confié à la chambre des mises en accusation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_Toc286911098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114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145FF2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1.3.   Le contrôle visuel discret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_Toc286911099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115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1.3.1.   Notion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_Toc286911100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115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1.3.2.   La Cour constitutionnelle et le contrôle visuel discret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_Toc286911101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116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1.4.   Les recherches bancaires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_Toc286911102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117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1.4.1.   Notion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_Toc286911103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117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1.4.2.   La Cour constitutionnelle et les recherches bancaires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_Toc286911104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118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A.   La légalité de l’article 46quater du Code d’instruction criminelle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_Toc286911105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118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B.   L’absence d’intervention d’un juge d’instruction et le respect de la vie privée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_Toc286911106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119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1.5.   Les actes d’information relatifs aux sources journalistiques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_Toc286911107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120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Synthèse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_Toc286911108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122</w:t>
      </w:r>
      <w:r w:rsidRPr="00587D1B">
        <w:rPr>
          <w:rFonts w:ascii="Calibri" w:hAnsi="Calibri"/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hAnsi="Calibri"/>
          <w:noProof/>
          <w:lang w:val="fr-BE"/>
        </w:rPr>
        <w:t>CHAPITRE 2.   L’instruction préparatoire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_Toc286911109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122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I.   Notions fondamentales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_Toc286911110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122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   Le caractère secret de l’instruction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_Toc286911111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125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1.1.   Le secret interne de l’instruction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_Toc286911112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125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1.1.1.   La remise de la copie de l’audition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_Toc286911113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126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1.1.2.   L’accès au dossier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_Toc286911114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126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A.   L’inculpé détenu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_Toc286911115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126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B.   L’inculpé non détenu, celui qui est y assimilé, et la partie civile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_Toc286911116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127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C.   Le règlement de la procédure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_Toc286911117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128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1.1.3.   Autres exceptions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_Toc286911118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128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1.2.   Le secret externe de l’instruction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_Toc286911119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129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1.2.1.   Les communications à la presse par le ministère public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_Toc286911120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130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1.2.2.   Les communications à la presse par l’avocat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_Toc286911121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130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1.2.3.   L’article 21</w:t>
      </w:r>
      <w:r w:rsidRPr="00145FF2">
        <w:rPr>
          <w:rFonts w:ascii="Calibri" w:hAnsi="Calibri"/>
          <w:i/>
          <w:noProof/>
          <w:lang w:val="fr-BE"/>
        </w:rPr>
        <w:t>bis</w:t>
      </w:r>
      <w:r w:rsidRPr="00145FF2">
        <w:rPr>
          <w:rFonts w:ascii="Calibri" w:hAnsi="Calibri"/>
          <w:noProof/>
          <w:lang w:val="fr-BE"/>
        </w:rPr>
        <w:t xml:space="preserve"> du Code d’instruction criminelle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_Toc286911122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131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   La Cour constitutionnelle et le caractère inquisitoire de l’instruction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_Toc286911123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131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2.1.   L’accès au dossier répressif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_Toc286911124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133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2.1.1.   L’inculpé détenu préventivement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_Toc286911125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133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2.1.2.   L’accès aux pièces du dossier répressif et le respect des droits de la défense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_Toc286911126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134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2.2.   L’expertise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_Toc286911127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136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2.3.   L’assistance d’un avocat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_Toc286911128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138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2.3.1.   L’avant Salduz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_Toc286911129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138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2.3.2.   L’après Salduz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_Toc286911130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139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2.3.3.   La loi Salduz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_Toc286911131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144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2.3.4.   L’assistance d’un avocat pour le mineur déféré devant le juge d’instruction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_Toc286911132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146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lastRenderedPageBreak/>
        <w:t>2.3.5.   L’assistance d’un avocat lors de la descente sur les lieux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_Toc286911133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147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Synthèse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_Toc286911134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149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II.   Les pouvoirs du juge d’instruction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_Toc286911135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150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   L’inculpation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_Toc286911136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150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   La perquisition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_Toc286911137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152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2.1.   Principe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_Toc286911138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152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2.2.   Exceptions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_Toc286911139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153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   Les saisies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_Toc286911140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160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3.1.   Notion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_Toc286911141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160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3.2.   La saisie visée par l’article 89, alinéa 3 du Code d’instruction criminelle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_Toc286911142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161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   Les méthodes particulières de recherche ordonnees par le juge d’instruction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_Toc286911143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162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4.1.   Principe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_Toc286911144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162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4.2.   L’observation avec vue dans une habitation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_Toc286911145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163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5.   L’écoute et la prise de connaissance de communications et de télécommunications privées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_Toc286911146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165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6.   L’instruction à charge d’un mineur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_Toc286911147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166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Synthèse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_Toc286911148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167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III.   Les juridictions d’instruction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_Toc286911149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168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   Principes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_Toc286911150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168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   La cour constitutionnelle et les ordonnances de la chambre du conseil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_Toc286911151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169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2.1.   L’ordonnance de non-lieu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_Toc286911152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169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2.1.1.   Principe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_Toc286911153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169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2.1.2.   Le dépassement du délai raisonnable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_Toc286911154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170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2.1.3.   L’ordonnance de non-lieu et la réouverture de l’instruction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_Toc286911155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173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2.2.   L’ordonnance prise sur la base de l’article 131 du Code d’instruction criminelle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_Toc286911156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175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2.3.   L’ordonnance d’internement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_Toc286911157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177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   La Cour constitutionnelle et les voies de recours contre les ordonnances de la chambre du conseil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_Toc286911158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178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3.1.   Le droit d’appel illimité du ministère public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_Toc286911159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178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3.2.   L’appel contre une ordonnance de non-lieu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_Toc286911160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179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3.3.   L’appel de l’inculpé contre une ordonnance de renvoi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_Toc286911161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180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3.3.1.   L’ancienne version de l’article 135 du Code d’instruction criminelle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_Toc286911162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180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3.3.2.   La nouvelle version de l’article 135 du Code d’instruction criminelle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_Toc286911163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182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A.   Principe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_Toc286911164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182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B.   Le dépôt de conclusions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_Toc286911165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183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C.   Le délai d’appel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_Toc286911166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184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3.4.   L’appel contre une ordonnance de la chambre du conseil prononçant la suspension de la condamnation.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_Toc286911167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186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3.4.1.   Le délai d’appel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_Toc286911168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186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lastRenderedPageBreak/>
        <w:t>3.4.2.   L’absence d’appel de l’inculpé contre l’ordonnance de refus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_Toc286911169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189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3.5.   L’appel jugé téméraire et vexatoire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_Toc286911170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189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   La Cour constitutionnelle et les arrêts de la chambre des mises en accusation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_Toc286911171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190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4.1.   La chambre des mises en accusation et son rôle de contrôle de l’instruction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_Toc286911172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191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4.1.1.   L’article 235</w:t>
      </w:r>
      <w:r w:rsidRPr="00145FF2">
        <w:rPr>
          <w:rFonts w:ascii="Calibri" w:hAnsi="Calibri"/>
          <w:i/>
          <w:noProof/>
          <w:lang w:val="fr-BE"/>
        </w:rPr>
        <w:t>bis</w:t>
      </w:r>
      <w:r w:rsidRPr="00145FF2">
        <w:rPr>
          <w:rFonts w:ascii="Calibri" w:hAnsi="Calibri"/>
          <w:noProof/>
          <w:lang w:val="fr-BE"/>
        </w:rPr>
        <w:t xml:space="preserve"> du Code d’instruction criminelle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_Toc286911173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191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4.1.2.   L’article 136 du Code d’instruction criminelle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_Toc286911174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192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4.1.3.   L’article 235 du Code d’instruction criminelle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_Toc286911175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193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4.1.4.   L’article 235</w:t>
      </w:r>
      <w:r w:rsidRPr="00145FF2">
        <w:rPr>
          <w:rFonts w:ascii="Calibri" w:hAnsi="Calibri"/>
          <w:i/>
          <w:noProof/>
          <w:lang w:val="fr-BE"/>
        </w:rPr>
        <w:t>ter</w:t>
      </w:r>
      <w:r w:rsidRPr="00145FF2">
        <w:rPr>
          <w:rFonts w:ascii="Calibri" w:hAnsi="Calibri"/>
          <w:noProof/>
          <w:lang w:val="fr-BE"/>
        </w:rPr>
        <w:t xml:space="preserve"> du Code d’instruction criminelle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_Toc286911176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194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A.   La compétence de la chambre des mises en accusation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_Toc286911177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194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 xml:space="preserve">B.   L’absence de recours contre la décision de la chambre des mises en accusation </w:t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portant sur la mise en œuvre des méthodes particulières de recherche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_Toc286911178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196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C.   L’article 189ter du Code d’instruction criminelle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_Toc286911179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197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D.   L’application rétroactive des articles 189</w:t>
      </w:r>
      <w:r w:rsidRPr="00145FF2">
        <w:rPr>
          <w:rFonts w:ascii="Calibri" w:hAnsi="Calibri"/>
          <w:i/>
          <w:noProof/>
          <w:lang w:val="fr-BE"/>
        </w:rPr>
        <w:t xml:space="preserve">ter </w:t>
      </w:r>
      <w:r w:rsidRPr="00145FF2">
        <w:rPr>
          <w:rFonts w:ascii="Calibri" w:hAnsi="Calibri"/>
          <w:noProof/>
          <w:lang w:val="fr-BE"/>
        </w:rPr>
        <w:t>et 235</w:t>
      </w:r>
      <w:r w:rsidRPr="00145FF2">
        <w:rPr>
          <w:rFonts w:ascii="Calibri" w:hAnsi="Calibri"/>
          <w:i/>
          <w:noProof/>
          <w:lang w:val="fr-BE"/>
        </w:rPr>
        <w:t>ter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_Toc286911180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197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 xml:space="preserve">5.   La Cour constitutionnelle et les voies de recours contre les arrêts de la chambre </w:t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des mises en accusation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_Toc286911181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198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5.1.   Le pourvoi dirigé contre un arrêt de non-lieu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_Toc286911182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198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5.2.   Le pourvoi en cassation contre les arrêts contrôlant les méthodes particulières de recherche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_Toc286911183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200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Synthèse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_Toc286911184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200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IV. La détention préventive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_Toc286911185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201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 Principes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_Toc286911186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201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   L’accès au dossier répressif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_Toc286911187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203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   Le droit à l’assistance d’un avocat lors du premier interrogatoire par le juge d’instruction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_Toc286911188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204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3.1.   Avant la loi Salduz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_Toc286911189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204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3.2.   Après la loi Salduz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_Toc286911190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209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 L’ordonnance de prolongation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_Toc286911191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211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4.1.   La constitutionnalité de l’ordonnance de prolongation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_Toc286911192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212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 xml:space="preserve">4.2.   L’ordonnance de prolongation et l’article 5 § 3 de la Convention européenne </w:t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des droits de l’homme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_Toc286911193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213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4.3.   L’ordonnance de prolongation et la mini-instruction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_Toc286911194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213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5.   La libération sous caution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_Toc286911195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214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5.1.   Principes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_Toc286911196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214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5.2.   La nature du cautionnement et les modalités de payement du cautionnement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_Toc286911197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216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5.3.    Le sort du cautionnement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_Toc286911198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216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5.3.1.   Le défaut de se présenter à un acte quelconque de procédure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_Toc286911199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217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5.3.2.   La soustraction à l’exécution du jugement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_Toc286911200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217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5.3.3.    Le renvoi des poursuites, la condamnation conditionnelle et la prescription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_Toc286911201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218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5.4.   L’arrêt de la Cour constitutionnelle du 22 avril 2010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_Toc286911202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219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lastRenderedPageBreak/>
        <w:t>6.   La libération sous conditions et ses implications sur les extraits du casier judiciaire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_Toc286911203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6.1.   Principes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_Toc286911204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6.2.   La durée de la mesure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_Toc286911205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6.3.   L’inscription au casier judiciaire en cas d’activités en présence de mineurs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_Toc286911206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6.4.   La Cour constitutionnelle et l’article 596, alinéa 2 du Code d’instruction criminelle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_Toc286911207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7.   La détention préventive inopérante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_Toc286911208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223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 xml:space="preserve">7.1.   La détention incompatible avec les dispositions de l’article 5 de la </w:t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Convention européenne des droits de l’homme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_Toc286911209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7.2.   L’indemnisation en cas de détention préventive inopérante ou injustifiée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_Toc286911210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7.2.1.   Les conditions de la demande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_Toc286911211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7.2.2.   Les cas d’application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_Toc286911212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225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 xml:space="preserve">A.   La mise en cause directe ou indirecte de l’inculpé par une décision judiciaire coulée </w:t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en force de chose jugée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_Toc286911213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B.   Eléments de fait ou de droit démontrant l’innocence de l’inculpé bénéficiant d’un non-lieu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_Toc286911214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C.   Arrestation ou maintien en détention après la prescription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_Toc286911215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D.   Non-lieu constatant que les faits ne sont pas constitutifs d’infractions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_Toc286911216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7.2.3.   La nature juridique du droit à l’indemnisation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_Toc286911217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7.2.4.   La procédure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_Toc286911218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228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 xml:space="preserve">7.2.5.   La Cour constitutionnelle et le point de départ du délai de recours contre </w:t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la décision prise par le ministre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_Toc286911219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229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8.   Le mandat d’arrêt européen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_Toc286911220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230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8.1.   Principes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_Toc286911221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230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8.2.   Les motifs exceptionnels de refus d’exécution du mandat d’arrêt européen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_Toc286911222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231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8.2.1.   Les motifs obligatoires de refus d’exécution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_Toc286911223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231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 xml:space="preserve">A.   La Cour constitutionnelle et la dérogation à l’exigence de la double incrimination -  </w:t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Un détour par la Cour de justice de l’Union européenne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_Toc286911224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233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B.   L’arrêt de la Cour de justice de l’Union européenne du 3 mai 2007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_Toc286911225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234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7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C.   La réception par la Cour constitutionnelle de l’arrêt de la Cour de justice de l’Union européenne du 3 mai 2007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_Toc286911226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235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8.2.2.   Les motifs facultatifs de refus d’exécution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_Toc286911227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236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8.3.   L’exécution du mandat d’arrêt européen sous condition de garantie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_Toc286911228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237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8.4.   La condition de renvoi vers la Belgique pour l’exécution de la peine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_Toc286911229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238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8.4.1.   L’arrêt de la Cour constitutionnelle n° 128/2009 du 24 juillet 2009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_Toc286911230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238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8.4.2.   Les questions préjudicielles posées par la Cour constitutionnelle à la Cour de Justice de l’Union européenne du 21 octobre 2010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_Toc286911231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240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8.4.3.   L’arrêt de la Cour de justice de l’Union européenne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_Toc286911232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241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8.4.4.   La réception par la Cour constitutionnelle de l’arrêt prononcé par la Cour de justice de l’Union européenne le 21 octobre 2010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_Toc286911233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243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lastRenderedPageBreak/>
        <w:t>Synthèse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_Toc286911234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244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145FF2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145FF2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CHAPITRE 3.   Le jugement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_Toc286911235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245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I.   Notions fondamentales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_Toc286911236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245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 xml:space="preserve">1.   </w:t>
      </w:r>
      <w:r w:rsidRPr="00145FF2">
        <w:rPr>
          <w:rFonts w:ascii="Calibri" w:hAnsi="Calibri"/>
          <w:i/>
          <w:noProof/>
          <w:lang w:val="fr-BE"/>
        </w:rPr>
        <w:t>Nulla poena sine lege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_Toc286911237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245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1.1.   Principe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_Toc286911238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245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1.2.   La position de la Cour européenne des droits de l’homme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_Toc286911239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247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 w:eastAsia="fr-FR"/>
        </w:rPr>
        <w:t>1.3.   La position de la cour constitutionnelle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_Toc286911240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248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   La combinaison des principes de légalité et de prévisibilité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_Toc286911241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251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 xml:space="preserve">3.   </w:t>
      </w:r>
      <w:r w:rsidRPr="00145FF2">
        <w:rPr>
          <w:rFonts w:ascii="Calibri" w:hAnsi="Calibri"/>
          <w:i/>
          <w:noProof/>
          <w:lang w:val="fr-BE"/>
        </w:rPr>
        <w:t>Non bis in idem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_Toc286911242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255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3.1.   Principe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_Toc286911243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255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3.2.   La position de la Cour européenne des droit de l’homme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_Toc286911244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255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3.3.   La position de la Cour constitutionnelle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_Toc286911245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257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3.4.   Les décisions prononcées par des juridictions étrangères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_Toc286911246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259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4.   Le principe du contradictoire et le respect des droits de la défense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_Toc286911247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260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5.   La motivation des décisions et le prononcé en audience publique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_Toc286911248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264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5.1.   L’appréciation de ces exigences par la Cour constitutionnelle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_Toc286911249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264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5.2.   La  Cour européenne des droits de l’homme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_Toc286911250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266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6.   L’impartialité de la juridiction saisie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_Toc286911251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267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6.1.   Principe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_Toc286911252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267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6.2.   L’incidence des apparences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_Toc286911253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271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6.3.   La position de la Cour de cassation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_Toc286911254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272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7.   La charge de la preuve et la présomption d’innocence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_Toc286911255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273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7.1.   Principe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_Toc286911256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273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7.2.   Les présomptions légales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_Toc286911257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273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7.3.   La renonciation à la présomption d’innocence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_Toc286911258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275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7.4.   La preuve obtenue de manière irrégulière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_Toc286911259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275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8.   L’individualisation de la peine et le contrôle du choix des sanctions opéré par le legislateur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_Toc286911260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279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9.   Le monopole de plaidoirie de l’avocat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_Toc286911261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284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9.1.   Principe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_Toc286911262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284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 xml:space="preserve">9.2.   Le mandataire </w:t>
      </w:r>
      <w:r w:rsidRPr="00145FF2">
        <w:rPr>
          <w:rFonts w:ascii="Calibri" w:hAnsi="Calibri"/>
          <w:i/>
          <w:noProof/>
          <w:lang w:val="fr-BE"/>
        </w:rPr>
        <w:t>ad hoc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_Toc286911263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285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9.3.   Le secret professionnel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_Toc286911264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287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10.   La rétroactivité des lois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_Toc286911265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289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10.1.   Principe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_Toc286911266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289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lastRenderedPageBreak/>
        <w:t>10.2.   L’appréciation de la loi la plus douce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_Toc286911267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290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Synthèse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_Toc286911268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292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145FF2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145FF2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II.   La compétence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_Toc286911269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293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 xml:space="preserve">1.   La compétence </w:t>
      </w:r>
      <w:r w:rsidRPr="00145FF2">
        <w:rPr>
          <w:rFonts w:ascii="Calibri" w:hAnsi="Calibri"/>
          <w:i/>
          <w:noProof/>
          <w:lang w:val="fr-BE"/>
        </w:rPr>
        <w:t>ratione loci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_Toc286911270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294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1.1.   La loi du 5 août 2003 relative aux violations graves du droit international humanitaire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_Toc286911271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294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1.1.1.   Principe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_Toc286911272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294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1.1.2.   Le recours contre la décision de ne pas poursuivre prise par le procureur fédéral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_Toc286911273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297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1.1.3.   Le régime transitoire de la loi du 5 août 2003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_Toc286911274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298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1.1.4.   Le recours en annulation contre le régime transitoire de la loi du 5 août 2003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_Toc286911275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300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 xml:space="preserve">1.2.   L’extension de la compétence </w:t>
      </w:r>
      <w:r w:rsidRPr="00145FF2">
        <w:rPr>
          <w:rFonts w:ascii="Calibri" w:hAnsi="Calibri"/>
          <w:i/>
          <w:noProof/>
          <w:lang w:val="fr-BE"/>
        </w:rPr>
        <w:t>ratione loci</w:t>
      </w:r>
      <w:r w:rsidRPr="00145FF2">
        <w:rPr>
          <w:rFonts w:ascii="Calibri" w:hAnsi="Calibri"/>
          <w:noProof/>
          <w:lang w:val="fr-BE"/>
        </w:rPr>
        <w:t xml:space="preserve"> des juridictions belges pour les infractions </w:t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de terrorisme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_Toc286911276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302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>1.3.   L’article 10</w:t>
      </w:r>
      <w:r w:rsidRPr="00145FF2">
        <w:rPr>
          <w:rFonts w:ascii="Calibri" w:hAnsi="Calibri"/>
          <w:i/>
          <w:noProof/>
          <w:lang w:val="fr-BE"/>
        </w:rPr>
        <w:t>bis</w:t>
      </w:r>
      <w:r w:rsidRPr="00145FF2">
        <w:rPr>
          <w:rFonts w:ascii="Calibri" w:hAnsi="Calibri"/>
          <w:noProof/>
          <w:lang w:val="fr-BE"/>
        </w:rPr>
        <w:t xml:space="preserve"> du titre préliminaire du Code de procédure pénale relatif aux infractions </w:t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commises par les militaires et les personnes attachées ou autorisées à suivre un corps d’armée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_Toc286911277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304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 xml:space="preserve">2.   La compétence </w:t>
      </w:r>
      <w:r w:rsidRPr="00145FF2">
        <w:rPr>
          <w:rFonts w:ascii="Calibri" w:hAnsi="Calibri"/>
          <w:i/>
          <w:noProof/>
          <w:lang w:val="fr-BE"/>
        </w:rPr>
        <w:t>ratione personae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_Toc286911278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305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2.1.   Le statut de mineur au regard de la loi football du 21 décembre 1998 et du Code de roulage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_Toc286911279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305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2.1.1.   La loi football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_Toc286911280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305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2.1.2.   Le Code de roulage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_Toc286911281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307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2.2.   Les privilèges de juridiction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_Toc286911282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307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2.2.1.   L’article 479 du Code d’instruction criminelle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_Toc286911283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307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2.2.2.   Le champ d’application du privilège de juridiction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_Toc286911284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308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2.2.3.   L’absence de double degré de juridiction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_Toc286911285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308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2.2.4.   La connexité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_Toc286911286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309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 xml:space="preserve">2.2.5.   L’impossibilité de se constituer partie civile et l’absence de recours contre </w:t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la décision du procureur général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_Toc286911287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310</w:t>
      </w:r>
      <w:r w:rsidRPr="00587D1B">
        <w:rPr>
          <w:rFonts w:ascii="Calibri" w:hAnsi="Calibri"/>
          <w:noProof/>
        </w:rPr>
        <w:fldChar w:fldCharType="end"/>
      </w:r>
    </w:p>
    <w:p w:rsidR="006A1E81" w:rsidRPr="00145FF2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145FF2">
        <w:rPr>
          <w:rFonts w:ascii="Calibri" w:hAnsi="Calibri"/>
          <w:noProof/>
          <w:lang w:val="fr-BE"/>
        </w:rPr>
        <w:t xml:space="preserve">2.2.6.   L’article 29 des lois relatives à la police de la circulation routière et le privilège </w:t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de juridiction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_Toc286911288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311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2.2.7.   La compatibilité de l’article 479 avec le Pacte international relatif aux droits civils et politiques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_Toc286911289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312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2.2.8.   La compatibilité de l’article 479 avec la Convention européenne des droits de l’homme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_Toc286911290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312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 xml:space="preserve">3.   La compétence </w:t>
      </w:r>
      <w:r w:rsidRPr="00145FF2">
        <w:rPr>
          <w:rFonts w:ascii="Calibri" w:hAnsi="Calibri"/>
          <w:i/>
          <w:noProof/>
          <w:lang w:val="fr-BE"/>
        </w:rPr>
        <w:t>rationae materiae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_Toc286911291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313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3.1.   La correctionnalisation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_Toc286911292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316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3.1.1.   La correctionnalisation opérée par les juridictions d’instruction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_Toc286911293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316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3.1.2.   La correctionnalisation proposée par le ministère public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_Toc286911294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317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3.1.3.   La loi du 8 juin 2008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_Toc286911295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317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145FF2">
        <w:rPr>
          <w:rFonts w:ascii="Calibri" w:hAnsi="Calibri"/>
          <w:noProof/>
          <w:lang w:val="fr-BE"/>
        </w:rPr>
        <w:t>3.1.4.   La citation directe par la partie préjudiciée du chef d’un crime</w:t>
      </w:r>
      <w:r w:rsidRPr="00145FF2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145FF2">
        <w:rPr>
          <w:rFonts w:ascii="Calibri" w:hAnsi="Calibri"/>
          <w:noProof/>
          <w:lang w:val="fr-BE"/>
        </w:rPr>
        <w:instrText xml:space="preserve"> PAGEREF _Toc286911296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145FF2">
        <w:rPr>
          <w:rFonts w:ascii="Calibri" w:hAnsi="Calibri"/>
          <w:noProof/>
          <w:lang w:val="fr-BE"/>
        </w:rPr>
        <w:t>318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lastRenderedPageBreak/>
        <w:t>3.1.5.   La correctionnalisation d’une tentative d’assassinat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_Toc286911297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319</w:t>
      </w:r>
      <w:r w:rsidRPr="00587D1B">
        <w:rPr>
          <w:rFonts w:ascii="Calibri" w:hAnsi="Calibri"/>
          <w:noProof/>
        </w:rPr>
        <w:fldChar w:fldCharType="end"/>
      </w:r>
    </w:p>
    <w:p w:rsidR="006A1E81" w:rsidRPr="003D1887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3D1887">
        <w:rPr>
          <w:rFonts w:ascii="Calibri" w:hAnsi="Calibri"/>
          <w:noProof/>
          <w:lang w:val="fr-BE"/>
        </w:rPr>
        <w:t xml:space="preserve">3.2.   La citation directe de la partie préjudiciée contre un mineur de plus de 16 ans et </w:t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de moins de 18 ans du chef d’infraction au Code de roulage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_Toc286911298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321</w:t>
      </w:r>
      <w:r w:rsidRPr="00587D1B">
        <w:rPr>
          <w:rFonts w:ascii="Calibri" w:hAnsi="Calibri"/>
          <w:noProof/>
        </w:rPr>
        <w:fldChar w:fldCharType="end"/>
      </w:r>
    </w:p>
    <w:p w:rsidR="006A1E81" w:rsidRPr="003D1887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3D1887">
        <w:rPr>
          <w:rFonts w:ascii="Calibri" w:hAnsi="Calibri"/>
          <w:noProof/>
          <w:lang w:val="fr-BE"/>
        </w:rPr>
        <w:t xml:space="preserve">3.3.   La citation directe de la partie publique à la suite d’une visite domiciliaire autorisée </w:t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par la loi sans l’intervention d’un juge d’instruction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_Toc286911299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322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/>
        </w:rPr>
        <w:t>3.4.   La portée de la saisine du juge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_Toc286911300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323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III.   Le déroulement de l’audience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_Toc286911301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325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1.   Les règles relatives à la comparution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_Toc286911302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326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1.1.   Principe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_Toc286911303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326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1.2.   Le réputé contradictoire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_Toc286911304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327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2.   L’audition des témoins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_Toc286911305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331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3.   L’intervention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_Toc286911306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332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4.   La mise à la cause du civilement responsable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_Toc286911307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334</w:t>
      </w:r>
      <w:r w:rsidRPr="00587D1B">
        <w:rPr>
          <w:rFonts w:ascii="Calibri" w:hAnsi="Calibri"/>
          <w:noProof/>
        </w:rPr>
        <w:fldChar w:fldCharType="end"/>
      </w:r>
    </w:p>
    <w:p w:rsidR="006A1E81" w:rsidRPr="003D1887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="Cambria" w:hAnsi="Calibri"/>
          <w:noProof/>
          <w:lang w:val="fr-BE" w:eastAsia="en-US"/>
        </w:rPr>
      </w:pP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IV.   Le jugement proprement dit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_Toc286911308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336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1.   Le prononcé du jugement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_Toc286911309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337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2.   La motivation du jugement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_Toc286911310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338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3.   La condamnation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_Toc286911311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339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4.   Les frais de justice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_Toc286911312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340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4.1.   Généralités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_Toc286911313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340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4.2.   L’article 162, alinéa 2 du Code d’instruction criminelle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_Toc286911314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341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 xml:space="preserve">4.3.   L’article </w:t>
      </w:r>
      <w:r w:rsidRPr="003D1887">
        <w:rPr>
          <w:rFonts w:ascii="Calibri" w:hAnsi="Calibri"/>
          <w:noProof/>
          <w:lang w:val="fr-BE"/>
        </w:rPr>
        <w:t>63, § 4, de la loi du 16 mars 1968 relative à la police de la circulation routière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_Toc286911315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343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4.4.   La répétibilité des frais et honoraires d’avocat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_Toc286911316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343</w:t>
      </w:r>
      <w:r w:rsidRPr="00587D1B">
        <w:rPr>
          <w:rFonts w:ascii="Calibri" w:hAnsi="Calibri"/>
          <w:noProof/>
        </w:rPr>
        <w:fldChar w:fldCharType="end"/>
      </w:r>
    </w:p>
    <w:p w:rsidR="006A1E81" w:rsidRPr="003D1887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3D1887">
        <w:rPr>
          <w:rFonts w:ascii="Calibri" w:hAnsi="Calibri"/>
          <w:noProof/>
          <w:lang w:val="fr-BE"/>
        </w:rPr>
        <w:t xml:space="preserve">4.4.1.   L’action publique mise en mouvement par une constitution de partie civile </w:t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entre les mains du juge d’instruction se soldant par une ordonnance de non-lieu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_Toc286911317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347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4.4.2.   L’action publique mise en mouvement par une citation directe de la victime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_Toc286911318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350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4.4.3.   La répétibilité dans les relations entre le prévenu et l’Etat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_Toc286911319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351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4.4.3.   La répétibilité dans les relations entre le prévenu et l’Etat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_Toc286911320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351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4.4.4.   Le civilement responsable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_Toc286911321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354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4.4.5.   La situation de l’intervenant volontaire ou forcé dans le procès pénal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_Toc286911322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355</w:t>
      </w:r>
      <w:r w:rsidRPr="00587D1B">
        <w:rPr>
          <w:rFonts w:ascii="Calibri" w:hAnsi="Calibri"/>
          <w:noProof/>
        </w:rPr>
        <w:fldChar w:fldCharType="end"/>
      </w:r>
    </w:p>
    <w:p w:rsidR="006A1E81" w:rsidRPr="003D1887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  <w:r w:rsidRPr="003D1887">
        <w:rPr>
          <w:rFonts w:ascii="Calibri" w:hAnsi="Calibri"/>
          <w:noProof/>
          <w:lang w:val="fr-BE"/>
        </w:rPr>
        <w:t xml:space="preserve">4.4.6.   L’intervention du fonctionnaire délégué en matière d’urbanisme et d’aménagement </w:t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du territoire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_Toc286911323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356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4.4.7.   L’article 56 de la loi sur la protection de la jeunesse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_Toc286911324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357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4.4.8.   Le droit transitoire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_Toc286911325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358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5.   L’assistance judiciaire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_Toc286911326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359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6.   Le casier judiciaire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_Toc286911327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359</w:t>
      </w:r>
      <w:r w:rsidRPr="00587D1B">
        <w:rPr>
          <w:rFonts w:ascii="Calibri" w:hAnsi="Calibri"/>
          <w:noProof/>
        </w:rPr>
        <w:fldChar w:fldCharType="end"/>
      </w:r>
    </w:p>
    <w:p w:rsidR="006A1E81" w:rsidRPr="003D1887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V.   Les juridictions de jugement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_Toc286911328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365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lastRenderedPageBreak/>
        <w:t>1.   Le tribunal de police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_Toc286911329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365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1.1.   La compétence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_Toc286911330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365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1.2.   L’indemnisation des usagers faibles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_Toc286911331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368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2.   La cour d’assises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_Toc286911332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370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3.   Le tribunal de l’application des peines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_Toc286911333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372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4.  Le tribunal de la jeunesse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_Toc286911334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376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4.1.   L’organisation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_Toc286911335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376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4.2.   Le dessaisissement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_Toc286911336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377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4.3.   Les autres mesures, à l’exclusion du dessaisissement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_Toc286911337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379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4.3.1.   Les critères déterminant les</w:t>
      </w:r>
      <w:r w:rsidRPr="003D1887">
        <w:rPr>
          <w:rFonts w:ascii="Calibri" w:hAnsi="Calibri"/>
          <w:noProof/>
          <w:lang w:val="fr-BE"/>
        </w:rPr>
        <w:t xml:space="preserve"> mesures de garde, de préservation et d’éducation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_Toc286911338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379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4.3.2.   L’amende en cas de non-comparution devant le juge ou le tribunal de la jeunesse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_Toc286911339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380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4.3.3.   La violation du principe d’impartialité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_Toc286911340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381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4.3.4.   L’offre restauratrice de médiation et de concertation restauratrice en groupe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_Toc286911341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382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4.3.5.   La communication des jugements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_Toc286911342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385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6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4.3.6.   Le placement provisoire de mineurs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_Toc286911343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386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4.4.   L’accès au dossier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_Toc286911344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387</w:t>
      </w:r>
      <w:r w:rsidRPr="00587D1B">
        <w:rPr>
          <w:rFonts w:ascii="Calibri" w:hAnsi="Calibri"/>
          <w:noProof/>
        </w:rPr>
        <w:fldChar w:fldCharType="end"/>
      </w:r>
    </w:p>
    <w:p w:rsidR="006A1E81" w:rsidRPr="003D1887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="Cambria" w:hAnsi="Calibri"/>
          <w:noProof/>
          <w:lang w:val="fr-BE" w:eastAsia="en-US"/>
        </w:rPr>
      </w:pP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VI.   Les voies de recours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_Toc286911345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390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1.   L’opposition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_Toc286911346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390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/>
        </w:rPr>
        <w:t>1.1.   Les délais d’opposition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_Toc286911347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392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1.2.   L’opposition et le délai de prescription de la peine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_Toc286911348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393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1.3.   L’opposition et la peine de travail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_Toc286911349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394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2.   L’appel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_Toc286911350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395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2.1.   Les délais d’appel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_Toc286911351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396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2. 2.   Le taux de ressort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_Toc286911352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397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2. 3.   L’unanimité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_Toc286911353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398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2. 4.   La composition de la chambre d’appel du tribunal de la jeunesse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_Toc286911354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400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3.   Le pourvoi en cassation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_Toc286911355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400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/>
        </w:rPr>
        <w:t>3.1.   La déclaration et la notification du pourvoi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_Toc286911356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401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3.2.   L’intervention d’un avocat près la Cour de cassation pour le dépôt d’un mémoire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_Toc286911357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403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3.3.   Le pourvoi en cassation contre une décision de la chambre des mises en accusation prise sur la base de l’article 23</w:t>
      </w:r>
      <w:r w:rsidRPr="003D1887">
        <w:rPr>
          <w:rFonts w:ascii="Calibri" w:eastAsia="Cambria" w:hAnsi="Calibri"/>
          <w:i/>
          <w:noProof/>
          <w:lang w:val="fr-BE" w:eastAsia="en-US"/>
        </w:rPr>
        <w:t>5ter</w:t>
      </w:r>
      <w:r w:rsidRPr="003D1887">
        <w:rPr>
          <w:rFonts w:ascii="Calibri" w:eastAsia="Cambria" w:hAnsi="Calibri"/>
          <w:noProof/>
          <w:lang w:val="fr-BE" w:eastAsia="en-US"/>
        </w:rPr>
        <w:t xml:space="preserve"> du Code d’instruction criminelle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_Toc286911358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404</w:t>
      </w:r>
      <w:r w:rsidRPr="00587D1B">
        <w:rPr>
          <w:rFonts w:ascii="Calibri" w:hAnsi="Calibri"/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hAnsi="Calibri"/>
          <w:noProof/>
          <w:lang w:val="fr-BE"/>
        </w:rPr>
        <w:t>CHAPITRE 4.   Les règles fondamentales de la procédure pénale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_Toc286911359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405</w:t>
      </w:r>
      <w:r w:rsidRPr="00587D1B">
        <w:rPr>
          <w:rFonts w:ascii="Calibri" w:hAnsi="Calibri"/>
          <w:noProof/>
        </w:rPr>
        <w:fldChar w:fldCharType="end"/>
      </w:r>
    </w:p>
    <w:p w:rsidR="006A1E81" w:rsidRPr="003D1887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I.   L’autorité de la chose jugée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_Toc286911360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405</w:t>
      </w:r>
      <w:r w:rsidRPr="00587D1B">
        <w:rPr>
          <w:rFonts w:ascii="Calibri" w:hAnsi="Calibri"/>
          <w:noProof/>
        </w:rPr>
        <w:fldChar w:fldCharType="end"/>
      </w:r>
    </w:p>
    <w:p w:rsidR="006A1E81" w:rsidRPr="003D1887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="Cambria" w:hAnsi="Calibri"/>
          <w:noProof/>
          <w:lang w:val="fr-BE" w:eastAsia="en-US"/>
        </w:rPr>
      </w:pP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lastRenderedPageBreak/>
        <w:t>II.   L’appréciation des preuves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_Toc286911361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410</w:t>
      </w:r>
      <w:r w:rsidRPr="00587D1B">
        <w:rPr>
          <w:rFonts w:ascii="Calibri" w:hAnsi="Calibri"/>
          <w:noProof/>
        </w:rPr>
        <w:fldChar w:fldCharType="end"/>
      </w:r>
    </w:p>
    <w:p w:rsidR="006A1E81" w:rsidRPr="003D1887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III.   L’emploi des langues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_Toc286911362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416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1.   La traduction des pièces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_Toc286911363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416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2.   Le changement de langue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_Toc286911364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418</w:t>
      </w:r>
      <w:r w:rsidRPr="00587D1B">
        <w:rPr>
          <w:rFonts w:ascii="Calibri" w:hAnsi="Calibri"/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="Cambria" w:hAnsi="Calibri"/>
          <w:noProof/>
          <w:lang w:val="fr-BE" w:eastAsia="en-US"/>
        </w:rPr>
      </w:pP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="Cambria" w:hAnsi="Calibri"/>
          <w:noProof/>
          <w:lang w:val="fr-BE" w:eastAsia="en-US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eastAsia="Cambria" w:hAnsi="Calibri"/>
          <w:noProof/>
          <w:lang w:val="fr-BE" w:eastAsia="en-US"/>
        </w:rPr>
        <w:t>CHAPITRE 5.   De quelques procédures particulières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_Toc286911365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419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1.   La récusation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_Toc286911366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419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2.   La réhabilitation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_Toc286911367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421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Palatino-Roman-Identity-H" w:hAnsi="Calibri"/>
          <w:noProof/>
          <w:lang w:val="fr-BE" w:eastAsia="en-US"/>
        </w:rPr>
        <w:t>3.   L’internement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_Toc286911368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423</w:t>
      </w:r>
      <w:r w:rsidRPr="00587D1B">
        <w:rPr>
          <w:rFonts w:ascii="Calibri" w:hAnsi="Calibri"/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hAnsi="Calibri"/>
          <w:noProof/>
          <w:lang w:val="fr-BE"/>
        </w:rPr>
        <w:t>CHAPITRE 6.   L’extinction de l’action publique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_Toc286911369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427</w:t>
      </w:r>
      <w:r w:rsidRPr="00587D1B">
        <w:rPr>
          <w:rFonts w:ascii="Calibri" w:hAnsi="Calibri"/>
          <w:noProof/>
        </w:rPr>
        <w:fldChar w:fldCharType="end"/>
      </w:r>
    </w:p>
    <w:p w:rsidR="006A1E81" w:rsidRPr="003D1887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I.   La prescription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_Toc286911370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427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1.   L’application immédiate des règles de prescription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_Toc286911371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428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2.   Le point de départ du délai de prescription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_Toc286911372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429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3.   Les causes de suspension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_Toc286911373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430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3.1.   L’ancien article 24, 1° du titre préliminaire du Code de procédure pénale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_Toc286911374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431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3.2.   L’instance en cassation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_Toc286911375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433</w:t>
      </w:r>
      <w:r w:rsidRPr="00587D1B">
        <w:rPr>
          <w:rFonts w:ascii="Calibri" w:hAnsi="Calibri"/>
          <w:noProof/>
        </w:rPr>
        <w:fldChar w:fldCharType="end"/>
      </w:r>
    </w:p>
    <w:p w:rsidR="006A1E81" w:rsidRPr="003D1887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="Cambria" w:hAnsi="Calibri"/>
          <w:noProof/>
          <w:lang w:val="fr-BE" w:eastAsia="en-US"/>
        </w:rPr>
      </w:pPr>
    </w:p>
    <w:p w:rsidR="006A1E81" w:rsidRPr="00587D1B" w:rsidRDefault="006A1E81" w:rsidP="006A1E81">
      <w:pPr>
        <w:pStyle w:val="TM3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II.   La transaction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_Toc286911376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434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1.   Notion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_Toc286911377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434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2.   La transaction pénale relative aux infraction aux lois fiscales et sociales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_Toc286911378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436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3.   L’atteinte grave à l’intégrité physique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_Toc286911379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437</w:t>
      </w:r>
      <w:r w:rsidRPr="00587D1B">
        <w:rPr>
          <w:rFonts w:ascii="Calibri" w:hAnsi="Calibri"/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="Cambria" w:hAnsi="Calibri"/>
          <w:noProof/>
          <w:lang w:val="fr-BE" w:eastAsia="en-US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eastAsia="Cambria" w:hAnsi="Calibri"/>
          <w:noProof/>
          <w:lang w:val="fr-BE" w:eastAsia="en-US"/>
        </w:rPr>
        <w:t>CHAPITRE 7.   Les règles particulières relatives à l’indemnisation de la victime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_Toc286911380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439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1.   L’indemnisation du dommage par le Fonds spécial d’aide aux victimes d’actes intentionnels de violence et aux sauveteurs occasionnels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_Toc286911381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439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1.1.   Notion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_Toc286911382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439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 xml:space="preserve">1.2.   Le champ d’application </w:t>
      </w:r>
      <w:r w:rsidRPr="003D1887">
        <w:rPr>
          <w:rFonts w:ascii="Calibri" w:eastAsia="Cambria" w:hAnsi="Calibri"/>
          <w:i/>
          <w:noProof/>
          <w:lang w:val="fr-BE" w:eastAsia="en-US"/>
        </w:rPr>
        <w:t>ratione personae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_Toc286911383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440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1.3.   L’incidence de l’exercice de l’action publique sur la saisine de la Commission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_Toc286911384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441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1.4.   La forclusion de la demande introduite devant le Fonds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_Toc286911385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442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2.   L’intervention du Fonds commun de garantie automobile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_Toc286911386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443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2.1.   Le véhicule non identifié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_Toc286911387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443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2.2.   Le cas fortuit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_Toc286911388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444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eastAsia="Cambria" w:hAnsi="Calibri"/>
          <w:noProof/>
          <w:lang w:val="fr-BE" w:eastAsia="en-US"/>
        </w:rPr>
        <w:t>3.   La spécificité de la réparation en matière d’urbanisme et d’aménagement du territoire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_Toc286911389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444</w:t>
      </w:r>
      <w:r w:rsidRPr="00587D1B">
        <w:rPr>
          <w:rFonts w:ascii="Calibri" w:hAnsi="Calibri"/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="Cambria" w:hAnsi="Calibri"/>
          <w:noProof/>
          <w:lang w:val="fr-BE" w:eastAsia="en-US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eastAsia="Cambria" w:hAnsi="Calibri"/>
          <w:noProof/>
          <w:lang w:val="fr-BE" w:eastAsia="en-US"/>
        </w:rPr>
        <w:t>CHAPITRE 8.   La prescription de l’action civile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_Toc286911390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446</w:t>
      </w:r>
      <w:r w:rsidRPr="00587D1B">
        <w:rPr>
          <w:rFonts w:ascii="Calibri" w:hAnsi="Calibri"/>
          <w:noProof/>
        </w:rPr>
        <w:fldChar w:fldCharType="end"/>
      </w:r>
    </w:p>
    <w:p w:rsidR="006A1E81" w:rsidRPr="003D1887" w:rsidRDefault="006A1E81" w:rsidP="006A1E81">
      <w:pPr>
        <w:pStyle w:val="TM1"/>
        <w:tabs>
          <w:tab w:val="right" w:leader="dot" w:pos="9401"/>
        </w:tabs>
        <w:spacing w:line="360" w:lineRule="auto"/>
        <w:rPr>
          <w:noProof/>
          <w:lang w:val="fr-BE"/>
        </w:rPr>
      </w:pPr>
    </w:p>
    <w:p w:rsidR="006A1E81" w:rsidRPr="003D1887" w:rsidRDefault="006A1E81" w:rsidP="006A1E81">
      <w:pPr>
        <w:pStyle w:val="TM1"/>
        <w:tabs>
          <w:tab w:val="right" w:leader="dot" w:pos="9401"/>
        </w:tabs>
        <w:spacing w:line="360" w:lineRule="auto"/>
        <w:rPr>
          <w:noProof/>
          <w:lang w:val="fr-BE"/>
        </w:rPr>
      </w:pPr>
    </w:p>
    <w:p w:rsidR="006A1E81" w:rsidRPr="003D1887" w:rsidRDefault="006A1E81" w:rsidP="006A1E81">
      <w:pPr>
        <w:pStyle w:val="TM1"/>
        <w:tabs>
          <w:tab w:val="right" w:leader="dot" w:pos="9401"/>
        </w:tabs>
        <w:spacing w:line="360" w:lineRule="auto"/>
        <w:rPr>
          <w:noProof/>
          <w:lang w:val="fr-BE"/>
        </w:rPr>
      </w:pPr>
    </w:p>
    <w:p w:rsidR="006A1E81" w:rsidRPr="003D1887" w:rsidRDefault="006A1E81" w:rsidP="006A1E81">
      <w:pPr>
        <w:pStyle w:val="TM1"/>
        <w:tabs>
          <w:tab w:val="right" w:leader="dot" w:pos="9401"/>
        </w:tabs>
        <w:spacing w:line="360" w:lineRule="auto"/>
        <w:rPr>
          <w:noProof/>
          <w:lang w:val="fr-BE"/>
        </w:rPr>
      </w:pPr>
    </w:p>
    <w:p w:rsidR="006A1E81" w:rsidRPr="003D1887" w:rsidRDefault="006A1E81" w:rsidP="006A1E81">
      <w:pPr>
        <w:pStyle w:val="TM1"/>
        <w:tabs>
          <w:tab w:val="right" w:leader="dot" w:pos="9401"/>
        </w:tabs>
        <w:spacing w:line="360" w:lineRule="auto"/>
        <w:rPr>
          <w:noProof/>
          <w:lang w:val="fr-BE"/>
        </w:rPr>
      </w:pPr>
      <w:r w:rsidRPr="003D1887">
        <w:rPr>
          <w:noProof/>
          <w:lang w:val="fr-BE"/>
        </w:rPr>
        <w:t xml:space="preserve">TITRE III.   Les enseignements à tirer des arrêts de la Cour constitutionnelle </w:t>
      </w:r>
    </w:p>
    <w:p w:rsidR="006A1E81" w:rsidRPr="00587D1B" w:rsidRDefault="006A1E81" w:rsidP="006A1E81">
      <w:pPr>
        <w:pStyle w:val="TM1"/>
        <w:tabs>
          <w:tab w:val="right" w:leader="dot" w:pos="9401"/>
        </w:tabs>
        <w:spacing w:line="360" w:lineRule="auto"/>
        <w:rPr>
          <w:rFonts w:eastAsiaTheme="minorEastAsia" w:cstheme="minorBidi"/>
          <w:b w:val="0"/>
          <w:noProof/>
          <w:lang w:val="fr-BE" w:eastAsia="ja-JP"/>
        </w:rPr>
      </w:pPr>
      <w:r w:rsidRPr="003D1887">
        <w:rPr>
          <w:noProof/>
          <w:lang w:val="fr-BE"/>
        </w:rPr>
        <w:t>en procédure pénale</w:t>
      </w:r>
      <w:r w:rsidRPr="003D1887">
        <w:rPr>
          <w:noProof/>
          <w:lang w:val="fr-BE"/>
        </w:rPr>
        <w:tab/>
      </w:r>
      <w:r w:rsidRPr="00587D1B">
        <w:rPr>
          <w:noProof/>
        </w:rPr>
        <w:fldChar w:fldCharType="begin"/>
      </w:r>
      <w:r w:rsidRPr="003D1887">
        <w:rPr>
          <w:noProof/>
          <w:lang w:val="fr-BE"/>
        </w:rPr>
        <w:instrText xml:space="preserve"> PAGEREF _Toc286911391 \h </w:instrText>
      </w:r>
      <w:r w:rsidRPr="00587D1B">
        <w:rPr>
          <w:noProof/>
        </w:rPr>
      </w:r>
      <w:r w:rsidRPr="00587D1B">
        <w:rPr>
          <w:noProof/>
        </w:rPr>
        <w:fldChar w:fldCharType="separate"/>
      </w:r>
      <w:r w:rsidRPr="003D1887">
        <w:rPr>
          <w:noProof/>
          <w:lang w:val="fr-BE"/>
        </w:rPr>
        <w:t>452</w:t>
      </w:r>
      <w:r w:rsidRPr="00587D1B">
        <w:rPr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FR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hAnsi="Calibri"/>
          <w:noProof/>
          <w:lang w:val="fr-FR"/>
        </w:rPr>
        <w:t>CHAPITRE 1.   La délimitation du périmètre d’action de la Cour constitutionnelle : un frein à l’intervention de la Cour ?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_Toc286911392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452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Introduction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_Toc286911393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452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1.   L’intérêt à agir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_Toc286911394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454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2.   La réserve d’interprétation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_Toc286911395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457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3.   La variabilité des dispositifs des arrêts prononcés sur question préjudicielle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_Toc286911396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458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4.   La limitation dans le temps des effets des arrêts rendus sur question préjudicielle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_Toc286911397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459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5.   Les lacunes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_Toc286911398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460</w:t>
      </w:r>
      <w:r w:rsidRPr="00587D1B">
        <w:rPr>
          <w:rFonts w:ascii="Calibri" w:hAnsi="Calibri"/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FR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hAnsi="Calibri"/>
          <w:noProof/>
          <w:lang w:val="fr-FR"/>
        </w:rPr>
        <w:t>CHAPITRE 2.   Les fondamentaux de la Cour constitutionnelle en procédure pénale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_Toc286911399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461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1.   La distinction entre les parties au procès pénal et les phases procédurales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_Toc286911400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461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2.   Le droit d’accès au juge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_Toc286911401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464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3.   Le formalisme procédural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_Toc286911402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466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4.   La non-interférence dans les choix d’opportunité du législateur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_Toc286911403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472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5.   Le respect des droits de la défense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_Toc286911404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477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6.   La différenciation entre les procédures judiciaires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_Toc286911405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483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7.   La prévisibilité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_Toc286911406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485</w:t>
      </w:r>
      <w:r w:rsidRPr="00587D1B">
        <w:rPr>
          <w:rFonts w:ascii="Calibri" w:hAnsi="Calibri"/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FR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hAnsi="Calibri"/>
          <w:noProof/>
          <w:lang w:val="fr-FR"/>
        </w:rPr>
        <w:t>CHAPITRE 3.   Vers la recomposition de la procédure pénale ?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_Toc286911407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487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 w:eastAsia="fr-BE"/>
        </w:rPr>
        <w:t>1.   Le dialogue des jurisprudences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_Toc286911408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488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 w:eastAsia="fr-BE"/>
        </w:rPr>
        <w:t>2.   L’ « oligarchie » des juges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_Toc286911409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492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3.   La composition de la Cour constitutionnelle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_Toc286911410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504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3.1.   La sécurité juridique au regard du socle de compétence de la Cour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_Toc286911411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508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3.2.   La sécurité juridique au regard des effets des arrêts sur question préjudicielle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_Toc286911412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509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5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t>3.3.   La sécurité juridique au regard des effets des arrêts sur recours en annulation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_Toc286911413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509</w:t>
      </w:r>
      <w:r w:rsidRPr="00587D1B">
        <w:rPr>
          <w:rFonts w:ascii="Calibri" w:hAnsi="Calibri"/>
          <w:noProof/>
        </w:rPr>
        <w:fldChar w:fldCharType="end"/>
      </w:r>
    </w:p>
    <w:p w:rsidR="006A1E81" w:rsidRPr="00587D1B" w:rsidRDefault="006A1E81" w:rsidP="006A1E81">
      <w:pPr>
        <w:pStyle w:val="TM4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noProof/>
          <w:sz w:val="24"/>
          <w:szCs w:val="24"/>
          <w:lang w:val="fr-BE" w:eastAsia="ja-JP"/>
        </w:rPr>
      </w:pPr>
      <w:r w:rsidRPr="003D1887">
        <w:rPr>
          <w:rFonts w:ascii="Calibri" w:hAnsi="Calibri"/>
          <w:noProof/>
          <w:lang w:val="fr-BE"/>
        </w:rPr>
        <w:lastRenderedPageBreak/>
        <w:t>4.   Les  tensions entre la Cour constitutionnelle et la Cour de cassation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_Toc286911414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510</w:t>
      </w:r>
      <w:r w:rsidRPr="00587D1B">
        <w:rPr>
          <w:rFonts w:ascii="Calibri" w:hAnsi="Calibri"/>
          <w:noProof/>
        </w:rPr>
        <w:fldChar w:fldCharType="end"/>
      </w:r>
    </w:p>
    <w:p w:rsidR="006A1E81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FR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 w:rsidRPr="00587D1B">
        <w:rPr>
          <w:rFonts w:ascii="Calibri" w:hAnsi="Calibri"/>
          <w:noProof/>
          <w:lang w:val="fr-FR"/>
        </w:rPr>
        <w:t>CHAPITRE 4.   Pragmatisme et conséquentialisme de la Cour constitutionnelle</w:t>
      </w:r>
      <w:r w:rsidRPr="003D1887">
        <w:rPr>
          <w:rFonts w:ascii="Calibri" w:hAnsi="Calibri"/>
          <w:noProof/>
          <w:lang w:val="fr-BE"/>
        </w:rPr>
        <w:tab/>
      </w:r>
      <w:r w:rsidRPr="00587D1B">
        <w:rPr>
          <w:rFonts w:ascii="Calibri" w:hAnsi="Calibri"/>
          <w:noProof/>
        </w:rPr>
        <w:fldChar w:fldCharType="begin"/>
      </w:r>
      <w:r w:rsidRPr="003D1887">
        <w:rPr>
          <w:rFonts w:ascii="Calibri" w:hAnsi="Calibri"/>
          <w:noProof/>
          <w:lang w:val="fr-BE"/>
        </w:rPr>
        <w:instrText xml:space="preserve"> PAGEREF _Toc286911415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 w:rsidRPr="003D1887">
        <w:rPr>
          <w:rFonts w:ascii="Calibri" w:hAnsi="Calibri"/>
          <w:noProof/>
          <w:lang w:val="fr-BE"/>
        </w:rPr>
        <w:t>517</w:t>
      </w:r>
      <w:r w:rsidRPr="00587D1B">
        <w:rPr>
          <w:rFonts w:ascii="Calibri" w:hAnsi="Calibri"/>
          <w:noProof/>
        </w:rPr>
        <w:fldChar w:fldCharType="end"/>
      </w:r>
    </w:p>
    <w:p w:rsidR="006A1E81" w:rsidRPr="003D1887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hAnsi="Calibri"/>
          <w:noProof/>
          <w:lang w:val="fr-BE"/>
        </w:rPr>
      </w:pPr>
    </w:p>
    <w:p w:rsidR="006A1E81" w:rsidRPr="00587D1B" w:rsidRDefault="006A1E81" w:rsidP="006A1E81">
      <w:pPr>
        <w:pStyle w:val="TM2"/>
        <w:tabs>
          <w:tab w:val="right" w:leader="dot" w:pos="9401"/>
        </w:tabs>
        <w:spacing w:line="360" w:lineRule="auto"/>
        <w:rPr>
          <w:rFonts w:ascii="Calibri" w:eastAsiaTheme="minorEastAsia" w:hAnsi="Calibri" w:cstheme="minorBidi"/>
          <w:b w:val="0"/>
          <w:noProof/>
          <w:sz w:val="24"/>
          <w:szCs w:val="24"/>
          <w:lang w:val="fr-BE" w:eastAsia="ja-JP"/>
        </w:rPr>
      </w:pPr>
      <w:r>
        <w:rPr>
          <w:rFonts w:ascii="Calibri" w:hAnsi="Calibri"/>
          <w:noProof/>
        </w:rPr>
        <w:t>SYNTHESE</w:t>
      </w:r>
      <w:r w:rsidRPr="00587D1B">
        <w:rPr>
          <w:rFonts w:ascii="Calibri" w:hAnsi="Calibri"/>
          <w:noProof/>
        </w:rPr>
        <w:tab/>
      </w:r>
      <w:r w:rsidRPr="00587D1B">
        <w:rPr>
          <w:rFonts w:ascii="Calibri" w:hAnsi="Calibri"/>
          <w:noProof/>
        </w:rPr>
        <w:fldChar w:fldCharType="begin"/>
      </w:r>
      <w:r w:rsidRPr="00587D1B">
        <w:rPr>
          <w:rFonts w:ascii="Calibri" w:hAnsi="Calibri"/>
          <w:noProof/>
        </w:rPr>
        <w:instrText xml:space="preserve"> PAGEREF _Toc286911416 \h </w:instrText>
      </w:r>
      <w:r w:rsidRPr="00587D1B">
        <w:rPr>
          <w:rFonts w:ascii="Calibri" w:hAnsi="Calibri"/>
          <w:noProof/>
        </w:rPr>
      </w:r>
      <w:r w:rsidRPr="00587D1B">
        <w:rPr>
          <w:rFonts w:ascii="Calibri" w:hAnsi="Calibri"/>
          <w:noProof/>
        </w:rPr>
        <w:fldChar w:fldCharType="separate"/>
      </w:r>
      <w:r>
        <w:rPr>
          <w:rFonts w:ascii="Calibri" w:hAnsi="Calibri"/>
          <w:noProof/>
        </w:rPr>
        <w:t>523</w:t>
      </w:r>
      <w:r w:rsidRPr="00587D1B">
        <w:rPr>
          <w:rFonts w:ascii="Calibri" w:hAnsi="Calibri"/>
          <w:noProof/>
        </w:rPr>
        <w:fldChar w:fldCharType="end"/>
      </w:r>
    </w:p>
    <w:p w:rsidR="006A1E81" w:rsidRDefault="006A1E81" w:rsidP="006A1E81">
      <w:pPr>
        <w:pStyle w:val="TM1"/>
        <w:tabs>
          <w:tab w:val="right" w:leader="dot" w:pos="9401"/>
        </w:tabs>
        <w:spacing w:line="360" w:lineRule="auto"/>
        <w:rPr>
          <w:noProof/>
        </w:rPr>
      </w:pPr>
    </w:p>
    <w:p w:rsidR="006A1E81" w:rsidRPr="00587D1B" w:rsidRDefault="006A1E81" w:rsidP="006A1E81">
      <w:pPr>
        <w:pStyle w:val="TM1"/>
        <w:tabs>
          <w:tab w:val="right" w:leader="dot" w:pos="9401"/>
        </w:tabs>
        <w:spacing w:line="360" w:lineRule="auto"/>
        <w:rPr>
          <w:rFonts w:eastAsiaTheme="minorEastAsia" w:cstheme="minorBidi"/>
          <w:b w:val="0"/>
          <w:noProof/>
          <w:lang w:val="fr-BE" w:eastAsia="ja-JP"/>
        </w:rPr>
      </w:pPr>
      <w:r>
        <w:rPr>
          <w:noProof/>
        </w:rPr>
        <w:t>CONCLUSIONS</w:t>
      </w:r>
      <w:r w:rsidRPr="00587D1B">
        <w:rPr>
          <w:noProof/>
        </w:rPr>
        <w:tab/>
      </w:r>
      <w:r w:rsidRPr="00587D1B">
        <w:rPr>
          <w:noProof/>
        </w:rPr>
        <w:fldChar w:fldCharType="begin"/>
      </w:r>
      <w:r w:rsidRPr="00587D1B">
        <w:rPr>
          <w:noProof/>
        </w:rPr>
        <w:instrText xml:space="preserve"> PAGEREF _Toc286911417 \h </w:instrText>
      </w:r>
      <w:r w:rsidRPr="00587D1B">
        <w:rPr>
          <w:noProof/>
        </w:rPr>
      </w:r>
      <w:r w:rsidRPr="00587D1B">
        <w:rPr>
          <w:noProof/>
        </w:rPr>
        <w:fldChar w:fldCharType="separate"/>
      </w:r>
      <w:r>
        <w:rPr>
          <w:noProof/>
        </w:rPr>
        <w:t>526</w:t>
      </w:r>
      <w:r w:rsidRPr="00587D1B">
        <w:rPr>
          <w:noProof/>
        </w:rPr>
        <w:fldChar w:fldCharType="end"/>
      </w:r>
    </w:p>
    <w:p w:rsidR="00926D8B" w:rsidRPr="006A1E81" w:rsidRDefault="006A1E81" w:rsidP="006A1E81">
      <w:pPr>
        <w:rPr>
          <w:lang w:val="fr-FR"/>
        </w:rPr>
      </w:pPr>
      <w:r w:rsidRPr="00587D1B">
        <w:rPr>
          <w:b/>
          <w:lang w:val="fr-FR"/>
        </w:rPr>
        <w:fldChar w:fldCharType="end"/>
      </w:r>
    </w:p>
    <w:sectPr w:rsidR="00926D8B" w:rsidRPr="006A1E81" w:rsidSect="00926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-Roman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F0558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15542"/>
    <w:multiLevelType w:val="hybridMultilevel"/>
    <w:tmpl w:val="3DF67E22"/>
    <w:lvl w:ilvl="0" w:tplc="429E2BFA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72989"/>
    <w:multiLevelType w:val="hybridMultilevel"/>
    <w:tmpl w:val="39B0854C"/>
    <w:lvl w:ilvl="0" w:tplc="BCBAC112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D3631"/>
    <w:multiLevelType w:val="hybridMultilevel"/>
    <w:tmpl w:val="8330393A"/>
    <w:lvl w:ilvl="0" w:tplc="F5044C4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E3E43"/>
    <w:multiLevelType w:val="hybridMultilevel"/>
    <w:tmpl w:val="AC8879E2"/>
    <w:lvl w:ilvl="0" w:tplc="B606A000">
      <w:start w:val="2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AC471F"/>
    <w:multiLevelType w:val="hybridMultilevel"/>
    <w:tmpl w:val="8990F12A"/>
    <w:lvl w:ilvl="0" w:tplc="97A4F8CE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336692"/>
    <w:multiLevelType w:val="hybridMultilevel"/>
    <w:tmpl w:val="7C72C662"/>
    <w:lvl w:ilvl="0" w:tplc="11D21094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color w:val="auto"/>
        <w:u w:val="none" w:color="FFFFFF" w:themeColor="background1"/>
      </w:rPr>
    </w:lvl>
    <w:lvl w:ilvl="1" w:tplc="BCBAC112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60F5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0757998"/>
    <w:multiLevelType w:val="hybridMultilevel"/>
    <w:tmpl w:val="13BC9218"/>
    <w:lvl w:ilvl="0" w:tplc="ECDAF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0961A0"/>
    <w:multiLevelType w:val="singleLevel"/>
    <w:tmpl w:val="E95878B8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0">
    <w:nsid w:val="131073AA"/>
    <w:multiLevelType w:val="singleLevel"/>
    <w:tmpl w:val="0F3E00D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3ED0D01"/>
    <w:multiLevelType w:val="hybridMultilevel"/>
    <w:tmpl w:val="6A7EE9FC"/>
    <w:lvl w:ilvl="0" w:tplc="231E96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A0055D"/>
    <w:multiLevelType w:val="singleLevel"/>
    <w:tmpl w:val="0F3E0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ADD3A10"/>
    <w:multiLevelType w:val="hybridMultilevel"/>
    <w:tmpl w:val="624C59E8"/>
    <w:lvl w:ilvl="0" w:tplc="0CB6E406">
      <w:start w:val="2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35757E"/>
    <w:multiLevelType w:val="singleLevel"/>
    <w:tmpl w:val="0F3E00DA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CE2412B"/>
    <w:multiLevelType w:val="multilevel"/>
    <w:tmpl w:val="CD8E6F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9058D7"/>
    <w:multiLevelType w:val="hybridMultilevel"/>
    <w:tmpl w:val="09FC83A6"/>
    <w:lvl w:ilvl="0" w:tplc="2E549D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82313"/>
    <w:multiLevelType w:val="multilevel"/>
    <w:tmpl w:val="8C9250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2460E"/>
    <w:multiLevelType w:val="hybridMultilevel"/>
    <w:tmpl w:val="AF62C128"/>
    <w:lvl w:ilvl="0" w:tplc="BCBAC112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FB6051"/>
    <w:multiLevelType w:val="multilevel"/>
    <w:tmpl w:val="21BA504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3B17DE"/>
    <w:multiLevelType w:val="hybridMultilevel"/>
    <w:tmpl w:val="CA1C0782"/>
    <w:lvl w:ilvl="0" w:tplc="BCBAC112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6E6999"/>
    <w:multiLevelType w:val="hybridMultilevel"/>
    <w:tmpl w:val="581CBC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B2F61"/>
    <w:multiLevelType w:val="hybridMultilevel"/>
    <w:tmpl w:val="CD8E6F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58234E"/>
    <w:multiLevelType w:val="hybridMultilevel"/>
    <w:tmpl w:val="4D926200"/>
    <w:lvl w:ilvl="0" w:tplc="BCBAC112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F20C15"/>
    <w:multiLevelType w:val="hybridMultilevel"/>
    <w:tmpl w:val="8FDA23D4"/>
    <w:lvl w:ilvl="0" w:tplc="C4684A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AC44AD"/>
    <w:multiLevelType w:val="hybridMultilevel"/>
    <w:tmpl w:val="A36E1F88"/>
    <w:lvl w:ilvl="0" w:tplc="BCBAC112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1A12BF"/>
    <w:multiLevelType w:val="hybridMultilevel"/>
    <w:tmpl w:val="9E548AF0"/>
    <w:lvl w:ilvl="0" w:tplc="97A4F8CE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1D0117"/>
    <w:multiLevelType w:val="hybridMultilevel"/>
    <w:tmpl w:val="DCB6AB26"/>
    <w:lvl w:ilvl="0" w:tplc="BCBAC112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9E7E3A"/>
    <w:multiLevelType w:val="multilevel"/>
    <w:tmpl w:val="581CB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F9630B"/>
    <w:multiLevelType w:val="hybridMultilevel"/>
    <w:tmpl w:val="DE701C4E"/>
    <w:lvl w:ilvl="0" w:tplc="BCBAC112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u w:val="none" w:color="FFFFFF" w:themeColor="background1"/>
      </w:rPr>
    </w:lvl>
    <w:lvl w:ilvl="1" w:tplc="87A08046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BE0851"/>
    <w:multiLevelType w:val="hybridMultilevel"/>
    <w:tmpl w:val="5C7C5C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804FA7"/>
    <w:multiLevelType w:val="hybridMultilevel"/>
    <w:tmpl w:val="0450BC9C"/>
    <w:lvl w:ilvl="0" w:tplc="31669FB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3A0D9A"/>
    <w:multiLevelType w:val="hybridMultilevel"/>
    <w:tmpl w:val="DA0466F8"/>
    <w:lvl w:ilvl="0" w:tplc="BCBAC112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A44A94"/>
    <w:multiLevelType w:val="singleLevel"/>
    <w:tmpl w:val="0F3E00D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8B7286A"/>
    <w:multiLevelType w:val="hybridMultilevel"/>
    <w:tmpl w:val="381AB384"/>
    <w:lvl w:ilvl="0" w:tplc="BCBAC112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342DEF"/>
    <w:multiLevelType w:val="hybridMultilevel"/>
    <w:tmpl w:val="8C925052"/>
    <w:lvl w:ilvl="0" w:tplc="0E74F490">
      <w:start w:val="1"/>
      <w:numFmt w:val="decimal"/>
      <w:pStyle w:val="A0paragraphenumrot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1E228F"/>
    <w:multiLevelType w:val="hybridMultilevel"/>
    <w:tmpl w:val="EA74EB8E"/>
    <w:lvl w:ilvl="0" w:tplc="18EA48A8">
      <w:start w:val="4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150750"/>
    <w:multiLevelType w:val="hybridMultilevel"/>
    <w:tmpl w:val="4CA608FA"/>
    <w:lvl w:ilvl="0" w:tplc="97A4F8CE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8">
    <w:nsid w:val="60463003"/>
    <w:multiLevelType w:val="hybridMultilevel"/>
    <w:tmpl w:val="C53C45F0"/>
    <w:lvl w:ilvl="0" w:tplc="B920A2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D922E4"/>
    <w:multiLevelType w:val="hybridMultilevel"/>
    <w:tmpl w:val="8E40C314"/>
    <w:lvl w:ilvl="0" w:tplc="BCBAC112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0B2C88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DBC2620"/>
    <w:multiLevelType w:val="multilevel"/>
    <w:tmpl w:val="5C7C5C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3C0649E"/>
    <w:multiLevelType w:val="hybridMultilevel"/>
    <w:tmpl w:val="7ED076D8"/>
    <w:lvl w:ilvl="0" w:tplc="CBA4D9A8">
      <w:start w:val="1"/>
      <w:numFmt w:val="decimal"/>
      <w:pStyle w:val="A0-paragraphenumrot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color w:val="auto"/>
        <w:u w:val="none" w:color="FFFFFF" w:themeColor="background1"/>
      </w:rPr>
    </w:lvl>
    <w:lvl w:ilvl="1" w:tplc="87A08046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E73835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5602C2D"/>
    <w:multiLevelType w:val="hybridMultilevel"/>
    <w:tmpl w:val="D93C6040"/>
    <w:lvl w:ilvl="0" w:tplc="2AD6BA30">
      <w:start w:val="4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40"/>
  </w:num>
  <w:num w:numId="5">
    <w:abstractNumId w:val="43"/>
  </w:num>
  <w:num w:numId="6">
    <w:abstractNumId w:val="33"/>
  </w:num>
  <w:num w:numId="7">
    <w:abstractNumId w:val="0"/>
  </w:num>
  <w:num w:numId="8">
    <w:abstractNumId w:val="30"/>
  </w:num>
  <w:num w:numId="9">
    <w:abstractNumId w:val="9"/>
  </w:num>
  <w:num w:numId="10">
    <w:abstractNumId w:val="8"/>
  </w:num>
  <w:num w:numId="11">
    <w:abstractNumId w:val="24"/>
  </w:num>
  <w:num w:numId="12">
    <w:abstractNumId w:val="21"/>
  </w:num>
  <w:num w:numId="13">
    <w:abstractNumId w:val="38"/>
  </w:num>
  <w:num w:numId="14">
    <w:abstractNumId w:val="11"/>
  </w:num>
  <w:num w:numId="15">
    <w:abstractNumId w:val="22"/>
  </w:num>
  <w:num w:numId="16">
    <w:abstractNumId w:val="4"/>
  </w:num>
  <w:num w:numId="17">
    <w:abstractNumId w:val="16"/>
  </w:num>
  <w:num w:numId="18">
    <w:abstractNumId w:val="35"/>
  </w:num>
  <w:num w:numId="19">
    <w:abstractNumId w:val="10"/>
  </w:num>
  <w:num w:numId="20">
    <w:abstractNumId w:val="44"/>
  </w:num>
  <w:num w:numId="21">
    <w:abstractNumId w:val="42"/>
  </w:num>
  <w:num w:numId="22">
    <w:abstractNumId w:val="36"/>
  </w:num>
  <w:num w:numId="23">
    <w:abstractNumId w:val="1"/>
  </w:num>
  <w:num w:numId="24">
    <w:abstractNumId w:val="26"/>
  </w:num>
  <w:num w:numId="25">
    <w:abstractNumId w:val="13"/>
  </w:num>
  <w:num w:numId="26">
    <w:abstractNumId w:val="5"/>
  </w:num>
  <w:num w:numId="27">
    <w:abstractNumId w:val="37"/>
  </w:num>
  <w:num w:numId="28">
    <w:abstractNumId w:val="25"/>
  </w:num>
  <w:num w:numId="29">
    <w:abstractNumId w:val="2"/>
  </w:num>
  <w:num w:numId="30">
    <w:abstractNumId w:val="32"/>
  </w:num>
  <w:num w:numId="31">
    <w:abstractNumId w:val="6"/>
  </w:num>
  <w:num w:numId="32">
    <w:abstractNumId w:val="18"/>
  </w:num>
  <w:num w:numId="33">
    <w:abstractNumId w:val="20"/>
  </w:num>
  <w:num w:numId="34">
    <w:abstractNumId w:val="27"/>
  </w:num>
  <w:num w:numId="35">
    <w:abstractNumId w:val="23"/>
  </w:num>
  <w:num w:numId="36">
    <w:abstractNumId w:val="39"/>
  </w:num>
  <w:num w:numId="37">
    <w:abstractNumId w:val="15"/>
  </w:num>
  <w:num w:numId="38">
    <w:abstractNumId w:val="29"/>
  </w:num>
  <w:num w:numId="39">
    <w:abstractNumId w:val="19"/>
  </w:num>
  <w:num w:numId="40">
    <w:abstractNumId w:val="35"/>
    <w:lvlOverride w:ilvl="0">
      <w:startOverride w:val="1"/>
    </w:lvlOverride>
  </w:num>
  <w:num w:numId="41">
    <w:abstractNumId w:val="17"/>
  </w:num>
  <w:num w:numId="42">
    <w:abstractNumId w:val="28"/>
  </w:num>
  <w:num w:numId="43">
    <w:abstractNumId w:val="34"/>
  </w:num>
  <w:num w:numId="44">
    <w:abstractNumId w:val="3"/>
  </w:num>
  <w:num w:numId="45">
    <w:abstractNumId w:val="41"/>
  </w:num>
  <w:num w:numId="46">
    <w:abstractNumId w:val="31"/>
  </w:num>
  <w:num w:numId="47">
    <w:abstractNumId w:val="4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6A1E81"/>
    <w:rsid w:val="006A1E81"/>
    <w:rsid w:val="0092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E81"/>
    <w:pPr>
      <w:spacing w:after="0" w:line="264" w:lineRule="auto"/>
      <w:jc w:val="both"/>
    </w:pPr>
    <w:rPr>
      <w:rFonts w:ascii="Calibri" w:eastAsia="Times New Roman" w:hAnsi="Calibri" w:cs="Times New Roman"/>
      <w:sz w:val="24"/>
      <w:szCs w:val="20"/>
      <w:lang w:val="en-GB" w:eastAsia="en-GB"/>
    </w:rPr>
  </w:style>
  <w:style w:type="paragraph" w:styleId="Titre1">
    <w:name w:val="heading 1"/>
    <w:basedOn w:val="Normal"/>
    <w:next w:val="Normal"/>
    <w:link w:val="Titre1Car"/>
    <w:qFormat/>
    <w:rsid w:val="006A1E81"/>
    <w:pPr>
      <w:keepNext/>
      <w:outlineLvl w:val="0"/>
    </w:pPr>
    <w:rPr>
      <w:i/>
      <w:sz w:val="28"/>
      <w:lang w:val="fr-BE"/>
    </w:rPr>
  </w:style>
  <w:style w:type="paragraph" w:styleId="Titre2">
    <w:name w:val="heading 2"/>
    <w:basedOn w:val="Normal"/>
    <w:next w:val="Normal"/>
    <w:link w:val="Titre2Car"/>
    <w:uiPriority w:val="9"/>
    <w:qFormat/>
    <w:rsid w:val="006A1E81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6A1E81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6A1E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6A1E81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A1E81"/>
    <w:rPr>
      <w:rFonts w:ascii="Calibri" w:eastAsia="Times New Roman" w:hAnsi="Calibri" w:cs="Times New Roman"/>
      <w:i/>
      <w:sz w:val="28"/>
      <w:szCs w:val="20"/>
      <w:lang w:eastAsia="en-GB"/>
    </w:rPr>
  </w:style>
  <w:style w:type="character" w:customStyle="1" w:styleId="Titre2Car">
    <w:name w:val="Titre 2 Car"/>
    <w:basedOn w:val="Policepardfaut"/>
    <w:link w:val="Titre2"/>
    <w:uiPriority w:val="9"/>
    <w:rsid w:val="006A1E81"/>
    <w:rPr>
      <w:rFonts w:ascii="Calibri" w:eastAsia="MS Gothic" w:hAnsi="Calibri" w:cs="Times New Roman"/>
      <w:b/>
      <w:bCs/>
      <w:i/>
      <w:iCs/>
      <w:sz w:val="28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6A1E81"/>
    <w:rPr>
      <w:rFonts w:ascii="Calibri" w:eastAsia="MS Gothic" w:hAnsi="Calibri" w:cs="Times New Roman"/>
      <w:b/>
      <w:bCs/>
      <w:sz w:val="26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6A1E81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6A1E81"/>
    <w:rPr>
      <w:rFonts w:ascii="Cambria" w:eastAsia="MS Mincho" w:hAnsi="Cambria" w:cs="Times New Roman"/>
      <w:b/>
      <w:bCs/>
      <w:i/>
      <w:iCs/>
      <w:sz w:val="26"/>
      <w:szCs w:val="26"/>
      <w:lang w:val="en-GB" w:eastAsia="en-GB"/>
    </w:rPr>
  </w:style>
  <w:style w:type="character" w:styleId="Appelnotedebasdep">
    <w:name w:val="footnote reference"/>
    <w:aliases w:val="appel de note bas de page"/>
    <w:rsid w:val="006A1E81"/>
    <w:rPr>
      <w:vertAlign w:val="superscript"/>
    </w:rPr>
  </w:style>
  <w:style w:type="paragraph" w:styleId="Corpsdetexte">
    <w:name w:val="Body Text"/>
    <w:basedOn w:val="Normal"/>
    <w:link w:val="CorpsdetexteCar"/>
    <w:uiPriority w:val="99"/>
    <w:rsid w:val="006A1E81"/>
    <w:rPr>
      <w:sz w:val="28"/>
    </w:rPr>
  </w:style>
  <w:style w:type="character" w:customStyle="1" w:styleId="CorpsdetexteCar">
    <w:name w:val="Corps de texte Car"/>
    <w:basedOn w:val="Policepardfaut"/>
    <w:link w:val="Corpsdetexte"/>
    <w:uiPriority w:val="99"/>
    <w:rsid w:val="006A1E81"/>
    <w:rPr>
      <w:rFonts w:ascii="Calibri" w:eastAsia="Times New Roman" w:hAnsi="Calibri" w:cs="Times New Roman"/>
      <w:sz w:val="28"/>
      <w:szCs w:val="20"/>
      <w:lang w:val="en-GB" w:eastAsia="en-GB"/>
    </w:rPr>
  </w:style>
  <w:style w:type="paragraph" w:styleId="Notedebasdepage">
    <w:name w:val="footnote text"/>
    <w:aliases w:val="Ftnote-texte"/>
    <w:basedOn w:val="Normal"/>
    <w:link w:val="NotedebasdepageCar1"/>
    <w:rsid w:val="006A1E81"/>
    <w:rPr>
      <w:sz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A1E81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customStyle="1" w:styleId="ju-005fpara-002cleft-002cfirst-0020line-003a-0020-00200-0020cm">
    <w:name w:val="ju-005fpara-002cleft-002cfirst-0020line-003a-0020-00200-0020cm"/>
    <w:basedOn w:val="Normal"/>
    <w:rsid w:val="006A1E81"/>
    <w:pPr>
      <w:spacing w:before="100" w:beforeAutospacing="1" w:after="100" w:afterAutospacing="1"/>
    </w:pPr>
    <w:rPr>
      <w:szCs w:val="24"/>
    </w:rPr>
  </w:style>
  <w:style w:type="paragraph" w:styleId="Pieddepage">
    <w:name w:val="footer"/>
    <w:basedOn w:val="Normal"/>
    <w:link w:val="PieddepageCar"/>
    <w:rsid w:val="006A1E8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PieddepageCar">
    <w:name w:val="Pied de page Car"/>
    <w:basedOn w:val="Policepardfaut"/>
    <w:link w:val="Pieddepage"/>
    <w:rsid w:val="006A1E8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Numrodepage">
    <w:name w:val="page number"/>
    <w:basedOn w:val="Policepardfaut"/>
    <w:rsid w:val="006A1E81"/>
  </w:style>
  <w:style w:type="paragraph" w:styleId="En-tte">
    <w:name w:val="header"/>
    <w:basedOn w:val="Normal"/>
    <w:link w:val="En-tteCar"/>
    <w:uiPriority w:val="99"/>
    <w:rsid w:val="006A1E81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A1E8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rsid w:val="006A1E81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6A1E81"/>
    <w:rPr>
      <w:rFonts w:ascii="Tahoma" w:eastAsia="Times New Roman" w:hAnsi="Tahoma" w:cs="Times New Roman"/>
      <w:sz w:val="16"/>
      <w:szCs w:val="16"/>
      <w:lang w:val="en-GB" w:eastAsia="en-GB"/>
    </w:rPr>
  </w:style>
  <w:style w:type="paragraph" w:styleId="Corpsdetexte2">
    <w:name w:val="Body Text 2"/>
    <w:basedOn w:val="Normal"/>
    <w:link w:val="Corpsdetexte2Car"/>
    <w:rsid w:val="006A1E81"/>
  </w:style>
  <w:style w:type="character" w:customStyle="1" w:styleId="Corpsdetexte2Car">
    <w:name w:val="Corps de texte 2 Car"/>
    <w:basedOn w:val="Policepardfaut"/>
    <w:link w:val="Corpsdetexte2"/>
    <w:rsid w:val="006A1E81"/>
    <w:rPr>
      <w:rFonts w:ascii="Calibri" w:eastAsia="Times New Roman" w:hAnsi="Calibri" w:cs="Times New Roman"/>
      <w:sz w:val="24"/>
      <w:szCs w:val="20"/>
      <w:lang w:val="en-GB" w:eastAsia="en-GB"/>
    </w:rPr>
  </w:style>
  <w:style w:type="paragraph" w:customStyle="1" w:styleId="Default">
    <w:name w:val="Default"/>
    <w:rsid w:val="006A1E81"/>
    <w:pPr>
      <w:autoSpaceDE w:val="0"/>
      <w:autoSpaceDN w:val="0"/>
      <w:adjustRightInd w:val="0"/>
      <w:spacing w:after="0"/>
      <w:jc w:val="both"/>
    </w:pPr>
    <w:rPr>
      <w:rFonts w:eastAsia="Times New Roman" w:cs="Times New Roman"/>
      <w:color w:val="000000"/>
      <w:sz w:val="24"/>
      <w:szCs w:val="24"/>
      <w:lang w:val="en-GB" w:eastAsia="en-GB"/>
    </w:rPr>
  </w:style>
  <w:style w:type="character" w:customStyle="1" w:styleId="jttits">
    <w:name w:val="jt_tits"/>
    <w:basedOn w:val="Policepardfaut"/>
    <w:rsid w:val="006A1E81"/>
  </w:style>
  <w:style w:type="character" w:customStyle="1" w:styleId="jtsmallcaps">
    <w:name w:val="jt_smallcaps"/>
    <w:basedOn w:val="Policepardfaut"/>
    <w:rsid w:val="006A1E81"/>
  </w:style>
  <w:style w:type="character" w:customStyle="1" w:styleId="NotedebasdepageCar1">
    <w:name w:val="Note de bas de page Car1"/>
    <w:aliases w:val="Note de bas de page Car Car,Ftnote-texte Car1"/>
    <w:link w:val="Notedebasdepage"/>
    <w:rsid w:val="006A1E81"/>
    <w:rPr>
      <w:rFonts w:ascii="Calibri" w:eastAsia="Times New Roman" w:hAnsi="Calibri" w:cs="Times New Roman"/>
      <w:sz w:val="20"/>
      <w:szCs w:val="20"/>
      <w:lang w:val="fr-FR" w:eastAsia="en-GB"/>
    </w:rPr>
  </w:style>
  <w:style w:type="paragraph" w:styleId="Corpsdetexte3">
    <w:name w:val="Body Text 3"/>
    <w:basedOn w:val="Normal"/>
    <w:link w:val="Corpsdetexte3Car"/>
    <w:rsid w:val="006A1E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A1E81"/>
    <w:rPr>
      <w:rFonts w:ascii="Calibri" w:eastAsia="Times New Roman" w:hAnsi="Calibri" w:cs="Times New Roman"/>
      <w:sz w:val="16"/>
      <w:szCs w:val="16"/>
      <w:lang w:val="en-GB" w:eastAsia="en-GB"/>
    </w:rPr>
  </w:style>
  <w:style w:type="character" w:styleId="Lienhypertexte">
    <w:name w:val="Hyperlink"/>
    <w:uiPriority w:val="99"/>
    <w:rsid w:val="006A1E81"/>
    <w:rPr>
      <w:color w:val="0000FF"/>
      <w:u w:val="single"/>
    </w:rPr>
  </w:style>
  <w:style w:type="paragraph" w:customStyle="1" w:styleId="JuPara">
    <w:name w:val="Ju_Para"/>
    <w:aliases w:val="Left,First line:  0 cm"/>
    <w:basedOn w:val="Normal"/>
    <w:link w:val="JuParaChar"/>
    <w:rsid w:val="006A1E81"/>
    <w:pPr>
      <w:suppressAutoHyphens/>
      <w:ind w:firstLine="284"/>
    </w:pPr>
    <w:rPr>
      <w:rFonts w:ascii="Times New Roman" w:hAnsi="Times New Roman"/>
      <w:lang w:eastAsia="fr-FR"/>
    </w:rPr>
  </w:style>
  <w:style w:type="character" w:customStyle="1" w:styleId="JuParaChar">
    <w:name w:val="Ju_Para Char"/>
    <w:link w:val="JuPara"/>
    <w:rsid w:val="006A1E81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paragraph" w:styleId="Listepuces">
    <w:name w:val="List Bullet"/>
    <w:basedOn w:val="Normal"/>
    <w:rsid w:val="006A1E81"/>
    <w:pPr>
      <w:numPr>
        <w:numId w:val="7"/>
      </w:numPr>
    </w:pPr>
    <w:rPr>
      <w:lang w:eastAsia="fr-FR"/>
    </w:rPr>
  </w:style>
  <w:style w:type="paragraph" w:customStyle="1" w:styleId="Sansinterligne1">
    <w:name w:val="Sans interligne1"/>
    <w:qFormat/>
    <w:rsid w:val="006A1E81"/>
    <w:pPr>
      <w:spacing w:after="0" w:line="240" w:lineRule="auto"/>
    </w:pPr>
    <w:rPr>
      <w:rFonts w:ascii="Calibri" w:eastAsia="Calibri" w:hAnsi="Calibri" w:cs="Times New Roman"/>
      <w:lang w:val="nl-BE"/>
    </w:rPr>
  </w:style>
  <w:style w:type="character" w:customStyle="1" w:styleId="ju-005fpara--char">
    <w:name w:val="ju-005fpara--char"/>
    <w:basedOn w:val="Policepardfaut"/>
    <w:rsid w:val="006A1E81"/>
  </w:style>
  <w:style w:type="character" w:customStyle="1" w:styleId="normal--char">
    <w:name w:val="normal--char"/>
    <w:basedOn w:val="Policepardfaut"/>
    <w:rsid w:val="006A1E81"/>
  </w:style>
  <w:style w:type="character" w:customStyle="1" w:styleId="ju--005fpara----char--char">
    <w:name w:val="ju--005fpara----char--char"/>
    <w:basedOn w:val="Policepardfaut"/>
    <w:rsid w:val="006A1E81"/>
  </w:style>
  <w:style w:type="paragraph" w:styleId="NormalWeb">
    <w:name w:val="Normal (Web)"/>
    <w:basedOn w:val="Normal"/>
    <w:uiPriority w:val="99"/>
    <w:rsid w:val="006A1E81"/>
    <w:pPr>
      <w:spacing w:before="100" w:after="100"/>
    </w:pPr>
    <w:rPr>
      <w:rFonts w:ascii="Arial Unicode MS" w:eastAsia="Arial Unicode MS" w:hAnsi="Arial Unicode MS"/>
    </w:rPr>
  </w:style>
  <w:style w:type="paragraph" w:customStyle="1" w:styleId="ju-005fpara">
    <w:name w:val="ju-005fpara"/>
    <w:basedOn w:val="Normal"/>
    <w:rsid w:val="006A1E81"/>
    <w:pPr>
      <w:spacing w:before="100" w:beforeAutospacing="1" w:after="100" w:afterAutospacing="1"/>
    </w:pPr>
    <w:rPr>
      <w:szCs w:val="24"/>
    </w:rPr>
  </w:style>
  <w:style w:type="paragraph" w:customStyle="1" w:styleId="A00Texte">
    <w:name w:val="A00_Texte"/>
    <w:basedOn w:val="Normal"/>
    <w:rsid w:val="006A1E81"/>
    <w:pPr>
      <w:spacing w:after="120" w:line="360" w:lineRule="auto"/>
    </w:pPr>
    <w:rPr>
      <w:lang w:val="fr-BE"/>
    </w:rPr>
  </w:style>
  <w:style w:type="paragraph" w:customStyle="1" w:styleId="texte">
    <w:name w:val="texte"/>
    <w:basedOn w:val="Normal"/>
    <w:rsid w:val="006A1E81"/>
    <w:pPr>
      <w:spacing w:before="100" w:beforeAutospacing="1" w:after="100" w:afterAutospacing="1"/>
    </w:pPr>
    <w:rPr>
      <w:sz w:val="18"/>
      <w:szCs w:val="18"/>
      <w:lang w:eastAsia="fr-FR"/>
    </w:rPr>
  </w:style>
  <w:style w:type="paragraph" w:customStyle="1" w:styleId="c01pointnumerotealtn">
    <w:name w:val="c01pointnumerotealtn"/>
    <w:basedOn w:val="Normal"/>
    <w:rsid w:val="006A1E81"/>
    <w:pPr>
      <w:spacing w:before="100" w:beforeAutospacing="1" w:after="100" w:afterAutospacing="1"/>
    </w:pPr>
    <w:rPr>
      <w:szCs w:val="24"/>
    </w:rPr>
  </w:style>
  <w:style w:type="character" w:customStyle="1" w:styleId="ju-005fpara-0020char--char">
    <w:name w:val="ju-005fpara-0020char--char"/>
    <w:basedOn w:val="Policepardfaut"/>
    <w:rsid w:val="006A1E81"/>
  </w:style>
  <w:style w:type="character" w:customStyle="1" w:styleId="ju-005fpara-002cleft-002cfirst-0020line-003a-0020-00200-0020cm--char">
    <w:name w:val="ju-005fpara-002cleft-002cfirst-0020line-003a-0020-00200-0020cm--char"/>
    <w:basedOn w:val="Policepardfaut"/>
    <w:rsid w:val="006A1E81"/>
  </w:style>
  <w:style w:type="paragraph" w:customStyle="1" w:styleId="c02alineaalta">
    <w:name w:val="c02alineaalta"/>
    <w:basedOn w:val="Normal"/>
    <w:rsid w:val="006A1E81"/>
    <w:pPr>
      <w:spacing w:after="240"/>
      <w:ind w:left="567"/>
    </w:pPr>
    <w:rPr>
      <w:szCs w:val="24"/>
    </w:rPr>
  </w:style>
  <w:style w:type="character" w:customStyle="1" w:styleId="sb8d990e2">
    <w:name w:val="sb8d990e2"/>
    <w:basedOn w:val="Policepardfaut"/>
    <w:rsid w:val="006A1E81"/>
  </w:style>
  <w:style w:type="character" w:customStyle="1" w:styleId="Ftnote-texteCar">
    <w:name w:val="Ftnote-texte Car"/>
    <w:rsid w:val="006A1E81"/>
    <w:rPr>
      <w:rFonts w:ascii="Times" w:hAnsi="Times"/>
      <w:sz w:val="15"/>
      <w:lang w:val="fr-FR" w:eastAsia="fr-FR" w:bidi="ar-SA"/>
    </w:rPr>
  </w:style>
  <w:style w:type="paragraph" w:styleId="TM1">
    <w:name w:val="toc 1"/>
    <w:basedOn w:val="Normal"/>
    <w:next w:val="Normal"/>
    <w:autoRedefine/>
    <w:uiPriority w:val="39"/>
    <w:rsid w:val="006A1E81"/>
    <w:pPr>
      <w:spacing w:before="120"/>
      <w:jc w:val="left"/>
    </w:pPr>
    <w:rPr>
      <w:b/>
      <w:szCs w:val="24"/>
    </w:rPr>
  </w:style>
  <w:style w:type="paragraph" w:customStyle="1" w:styleId="A1-TitreTitre">
    <w:name w:val="A.1-Titre Titre"/>
    <w:basedOn w:val="Normal"/>
    <w:qFormat/>
    <w:rsid w:val="006A1E81"/>
    <w:pPr>
      <w:jc w:val="center"/>
    </w:pPr>
    <w:rPr>
      <w:b/>
      <w:bCs/>
      <w:caps/>
      <w:sz w:val="30"/>
      <w:szCs w:val="28"/>
      <w:lang w:val="fr-BE"/>
    </w:rPr>
  </w:style>
  <w:style w:type="paragraph" w:customStyle="1" w:styleId="A2-TitreChapitre">
    <w:name w:val="A.2. - Titre Chapitre"/>
    <w:basedOn w:val="Corpsdetexte"/>
    <w:autoRedefine/>
    <w:qFormat/>
    <w:rsid w:val="006A1E81"/>
    <w:pPr>
      <w:tabs>
        <w:tab w:val="left" w:pos="1701"/>
      </w:tabs>
      <w:jc w:val="center"/>
    </w:pPr>
    <w:rPr>
      <w:b/>
      <w:caps/>
      <w:szCs w:val="28"/>
    </w:rPr>
  </w:style>
  <w:style w:type="paragraph" w:customStyle="1" w:styleId="A0-paragraphenumrot">
    <w:name w:val="A0 - paragraphenuméroté"/>
    <w:basedOn w:val="Corpsdetexte2"/>
    <w:qFormat/>
    <w:rsid w:val="006A1E81"/>
    <w:pPr>
      <w:numPr>
        <w:numId w:val="21"/>
      </w:numPr>
      <w:spacing w:line="276" w:lineRule="auto"/>
    </w:pPr>
    <w:rPr>
      <w:szCs w:val="24"/>
      <w:lang w:val="fr-BE"/>
    </w:rPr>
  </w:style>
  <w:style w:type="paragraph" w:customStyle="1" w:styleId="A3titre1">
    <w:name w:val="A.3 titre 1"/>
    <w:basedOn w:val="Normal"/>
    <w:qFormat/>
    <w:rsid w:val="006A1E81"/>
    <w:rPr>
      <w:b/>
      <w:bCs/>
      <w:smallCaps/>
      <w:snapToGrid w:val="0"/>
      <w:sz w:val="28"/>
      <w:szCs w:val="24"/>
      <w:lang w:val="fr-FR"/>
    </w:rPr>
  </w:style>
  <w:style w:type="paragraph" w:customStyle="1" w:styleId="A4Titre11">
    <w:name w:val="A.4 Titre 1.1"/>
    <w:basedOn w:val="Normal"/>
    <w:qFormat/>
    <w:rsid w:val="006A1E81"/>
    <w:pPr>
      <w:ind w:left="567"/>
    </w:pPr>
    <w:rPr>
      <w:b/>
      <w:bCs/>
      <w:smallCaps/>
      <w:sz w:val="26"/>
      <w:szCs w:val="26"/>
      <w:lang w:val="fr-BE"/>
    </w:rPr>
  </w:style>
  <w:style w:type="paragraph" w:customStyle="1" w:styleId="A2TitreI">
    <w:name w:val="A.2. Titre I"/>
    <w:basedOn w:val="A4Titre11"/>
    <w:qFormat/>
    <w:rsid w:val="006A1E81"/>
    <w:rPr>
      <w:bCs w:val="0"/>
      <w:caps/>
    </w:rPr>
  </w:style>
  <w:style w:type="paragraph" w:customStyle="1" w:styleId="A6titreA">
    <w:name w:val="A.6. titre A"/>
    <w:basedOn w:val="Normal"/>
    <w:qFormat/>
    <w:rsid w:val="006A1E81"/>
    <w:pPr>
      <w:ind w:left="1701"/>
    </w:pPr>
    <w:rPr>
      <w:b/>
      <w:i/>
      <w:szCs w:val="24"/>
      <w:lang w:val="fr-BE"/>
    </w:rPr>
  </w:style>
  <w:style w:type="paragraph" w:customStyle="1" w:styleId="A5Titre111">
    <w:name w:val="A.5. Titre 1.1.1"/>
    <w:basedOn w:val="Normal"/>
    <w:qFormat/>
    <w:rsid w:val="006A1E81"/>
    <w:pPr>
      <w:ind w:left="1134"/>
    </w:pPr>
    <w:rPr>
      <w:b/>
      <w:szCs w:val="24"/>
      <w:lang w:val="fr-BE"/>
    </w:rPr>
  </w:style>
  <w:style w:type="paragraph" w:customStyle="1" w:styleId="A6titreA1">
    <w:name w:val="A.6. titre A.1"/>
    <w:basedOn w:val="Corpsdetexte2"/>
    <w:qFormat/>
    <w:rsid w:val="006A1E81"/>
    <w:pPr>
      <w:ind w:left="2268"/>
    </w:pPr>
    <w:rPr>
      <w:b/>
      <w:i/>
      <w:szCs w:val="24"/>
      <w:lang w:val="fr-FR"/>
    </w:rPr>
  </w:style>
  <w:style w:type="paragraph" w:styleId="TM2">
    <w:name w:val="toc 2"/>
    <w:basedOn w:val="Normal"/>
    <w:next w:val="Normal"/>
    <w:autoRedefine/>
    <w:uiPriority w:val="39"/>
    <w:rsid w:val="006A1E81"/>
    <w:pPr>
      <w:ind w:left="240"/>
      <w:jc w:val="left"/>
    </w:pPr>
    <w:rPr>
      <w:rFonts w:ascii="Cambria" w:hAnsi="Cambria"/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rsid w:val="006A1E81"/>
    <w:pPr>
      <w:ind w:left="480"/>
      <w:jc w:val="left"/>
    </w:pPr>
    <w:rPr>
      <w:rFonts w:ascii="Cambria" w:hAnsi="Cambria"/>
      <w:sz w:val="22"/>
      <w:szCs w:val="22"/>
    </w:rPr>
  </w:style>
  <w:style w:type="paragraph" w:styleId="TM4">
    <w:name w:val="toc 4"/>
    <w:basedOn w:val="Normal"/>
    <w:next w:val="Normal"/>
    <w:autoRedefine/>
    <w:uiPriority w:val="39"/>
    <w:rsid w:val="006A1E81"/>
    <w:pPr>
      <w:ind w:left="720"/>
      <w:jc w:val="left"/>
    </w:pPr>
    <w:rPr>
      <w:rFonts w:ascii="Cambria" w:hAnsi="Cambria"/>
      <w:sz w:val="20"/>
    </w:rPr>
  </w:style>
  <w:style w:type="paragraph" w:styleId="TM5">
    <w:name w:val="toc 5"/>
    <w:basedOn w:val="Normal"/>
    <w:next w:val="Normal"/>
    <w:autoRedefine/>
    <w:uiPriority w:val="39"/>
    <w:rsid w:val="006A1E81"/>
    <w:pPr>
      <w:ind w:left="960"/>
      <w:jc w:val="left"/>
    </w:pPr>
    <w:rPr>
      <w:rFonts w:ascii="Cambria" w:hAnsi="Cambria"/>
      <w:sz w:val="20"/>
    </w:rPr>
  </w:style>
  <w:style w:type="paragraph" w:styleId="TM6">
    <w:name w:val="toc 6"/>
    <w:basedOn w:val="Normal"/>
    <w:next w:val="Normal"/>
    <w:autoRedefine/>
    <w:uiPriority w:val="39"/>
    <w:rsid w:val="006A1E81"/>
    <w:pPr>
      <w:ind w:left="1200"/>
      <w:jc w:val="left"/>
    </w:pPr>
    <w:rPr>
      <w:rFonts w:ascii="Cambria" w:hAnsi="Cambria"/>
      <w:sz w:val="20"/>
    </w:rPr>
  </w:style>
  <w:style w:type="paragraph" w:styleId="TM7">
    <w:name w:val="toc 7"/>
    <w:basedOn w:val="Normal"/>
    <w:next w:val="Normal"/>
    <w:autoRedefine/>
    <w:uiPriority w:val="39"/>
    <w:rsid w:val="006A1E81"/>
    <w:pPr>
      <w:ind w:left="1440"/>
      <w:jc w:val="left"/>
    </w:pPr>
    <w:rPr>
      <w:rFonts w:ascii="Cambria" w:hAnsi="Cambria"/>
      <w:sz w:val="20"/>
    </w:rPr>
  </w:style>
  <w:style w:type="paragraph" w:styleId="TM8">
    <w:name w:val="toc 8"/>
    <w:basedOn w:val="Normal"/>
    <w:next w:val="Normal"/>
    <w:autoRedefine/>
    <w:uiPriority w:val="39"/>
    <w:rsid w:val="006A1E81"/>
    <w:pPr>
      <w:ind w:left="1680"/>
      <w:jc w:val="left"/>
    </w:pPr>
    <w:rPr>
      <w:rFonts w:ascii="Cambria" w:hAnsi="Cambria"/>
      <w:sz w:val="20"/>
    </w:rPr>
  </w:style>
  <w:style w:type="paragraph" w:styleId="TM9">
    <w:name w:val="toc 9"/>
    <w:basedOn w:val="Normal"/>
    <w:next w:val="Normal"/>
    <w:autoRedefine/>
    <w:uiPriority w:val="39"/>
    <w:rsid w:val="006A1E81"/>
    <w:pPr>
      <w:ind w:left="1920"/>
      <w:jc w:val="left"/>
    </w:pPr>
    <w:rPr>
      <w:rFonts w:ascii="Cambria" w:hAnsi="Cambria"/>
      <w:sz w:val="20"/>
    </w:rPr>
  </w:style>
  <w:style w:type="paragraph" w:customStyle="1" w:styleId="marquedenotedebasdepage">
    <w:name w:val="marque de note de bas de page"/>
    <w:basedOn w:val="Normal"/>
    <w:rsid w:val="006A1E81"/>
  </w:style>
  <w:style w:type="character" w:styleId="Accentuation">
    <w:name w:val="Emphasis"/>
    <w:uiPriority w:val="20"/>
    <w:qFormat/>
    <w:rsid w:val="006A1E81"/>
    <w:rPr>
      <w:i/>
      <w:iCs/>
    </w:rPr>
  </w:style>
  <w:style w:type="character" w:customStyle="1" w:styleId="eubcataloguedetailtitle">
    <w:name w:val="eub_catalogue_detailtitle"/>
    <w:rsid w:val="006A1E81"/>
  </w:style>
  <w:style w:type="paragraph" w:customStyle="1" w:styleId="JuQuot">
    <w:name w:val="Ju_Quot"/>
    <w:basedOn w:val="JuPara"/>
    <w:rsid w:val="006A1E81"/>
    <w:pPr>
      <w:spacing w:before="120" w:after="120"/>
      <w:ind w:left="425" w:firstLine="142"/>
    </w:pPr>
    <w:rPr>
      <w:sz w:val="20"/>
    </w:rPr>
  </w:style>
  <w:style w:type="character" w:customStyle="1" w:styleId="rabgsmallcaps">
    <w:name w:val="rabg_smallcaps"/>
    <w:rsid w:val="006A1E81"/>
  </w:style>
  <w:style w:type="character" w:customStyle="1" w:styleId="ref-vindpl">
    <w:name w:val="ref-vindpl"/>
    <w:rsid w:val="006A1E81"/>
  </w:style>
  <w:style w:type="paragraph" w:customStyle="1" w:styleId="Listecouleur-Accent11">
    <w:name w:val="Liste couleur - Accent 11"/>
    <w:basedOn w:val="Normal"/>
    <w:uiPriority w:val="34"/>
    <w:qFormat/>
    <w:rsid w:val="006A1E81"/>
    <w:pPr>
      <w:ind w:left="720"/>
      <w:contextualSpacing/>
      <w:jc w:val="left"/>
    </w:pPr>
    <w:rPr>
      <w:rFonts w:ascii="Times New Roman" w:hAnsi="Times New Roman"/>
      <w:sz w:val="20"/>
    </w:rPr>
  </w:style>
  <w:style w:type="character" w:customStyle="1" w:styleId="jlmbsmallcaps">
    <w:name w:val="jlmb_smallcaps"/>
    <w:rsid w:val="006A1E81"/>
  </w:style>
  <w:style w:type="character" w:customStyle="1" w:styleId="hili">
    <w:name w:val="hili"/>
    <w:rsid w:val="006A1E81"/>
    <w:rPr>
      <w:b/>
      <w:bCs/>
      <w:color w:val="FFFFFF"/>
      <w:shd w:val="clear" w:color="auto" w:fill="3E769A"/>
    </w:rPr>
  </w:style>
  <w:style w:type="character" w:customStyle="1" w:styleId="ju-005fnames--char">
    <w:name w:val="ju-005fnames--char"/>
    <w:rsid w:val="006A1E81"/>
  </w:style>
  <w:style w:type="paragraph" w:customStyle="1" w:styleId="jttexte">
    <w:name w:val="jt_texte"/>
    <w:basedOn w:val="Normal"/>
    <w:rsid w:val="006A1E81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fr-BE" w:eastAsia="fr-BE"/>
    </w:rPr>
  </w:style>
  <w:style w:type="character" w:customStyle="1" w:styleId="jtroman">
    <w:name w:val="jt_roman"/>
    <w:rsid w:val="006A1E81"/>
  </w:style>
  <w:style w:type="paragraph" w:customStyle="1" w:styleId="rgarlstnone">
    <w:name w:val="rgar_lstnone"/>
    <w:basedOn w:val="Normal"/>
    <w:rsid w:val="006A1E81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fr-BE" w:eastAsia="fr-BE"/>
    </w:rPr>
  </w:style>
  <w:style w:type="character" w:customStyle="1" w:styleId="rgarliste">
    <w:name w:val="rgar_liste"/>
    <w:rsid w:val="006A1E81"/>
  </w:style>
  <w:style w:type="character" w:customStyle="1" w:styleId="ref-vindpl1">
    <w:name w:val="ref-vindpl1"/>
    <w:rsid w:val="006A1E81"/>
    <w:rPr>
      <w:b w:val="0"/>
      <w:bCs w:val="0"/>
      <w:vanish w:val="0"/>
      <w:webHidden w:val="0"/>
      <w:sz w:val="11"/>
      <w:szCs w:val="11"/>
      <w:specVanish/>
    </w:rPr>
  </w:style>
  <w:style w:type="character" w:customStyle="1" w:styleId="s6b621b36">
    <w:name w:val="s6b621b36"/>
    <w:rsid w:val="006A1E81"/>
  </w:style>
  <w:style w:type="character" w:customStyle="1" w:styleId="jtliste">
    <w:name w:val="jt_liste"/>
    <w:rsid w:val="006A1E81"/>
  </w:style>
  <w:style w:type="character" w:customStyle="1" w:styleId="jlmbliste">
    <w:name w:val="jlmb_liste"/>
    <w:rsid w:val="006A1E81"/>
  </w:style>
  <w:style w:type="character" w:customStyle="1" w:styleId="highlight1">
    <w:name w:val="highlight1"/>
    <w:rsid w:val="006A1E81"/>
    <w:rPr>
      <w:vanish w:val="0"/>
      <w:webHidden w:val="0"/>
      <w:shd w:val="clear" w:color="auto" w:fill="FFFF00"/>
      <w:specVanish/>
    </w:rPr>
  </w:style>
  <w:style w:type="paragraph" w:customStyle="1" w:styleId="Normalcours">
    <w:name w:val="Normal cours"/>
    <w:basedOn w:val="Normal"/>
    <w:autoRedefine/>
    <w:rsid w:val="006A1E81"/>
    <w:pPr>
      <w:spacing w:line="360" w:lineRule="auto"/>
    </w:pPr>
    <w:rPr>
      <w:rFonts w:ascii="Palatino" w:hAnsi="Palatino"/>
      <w:lang w:val="fr-FR" w:eastAsia="fr-BE"/>
    </w:rPr>
  </w:style>
  <w:style w:type="character" w:styleId="Marquedecommentaire">
    <w:name w:val="annotation reference"/>
    <w:uiPriority w:val="99"/>
    <w:unhideWhenUsed/>
    <w:rsid w:val="006A1E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A1E81"/>
    <w:pPr>
      <w:spacing w:line="360" w:lineRule="atLeast"/>
    </w:pPr>
    <w:rPr>
      <w:rFonts w:ascii="Palatino" w:hAnsi="Palatino"/>
      <w:sz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6A1E81"/>
    <w:rPr>
      <w:rFonts w:ascii="Palatino" w:eastAsia="Times New Roman" w:hAnsi="Palatino" w:cs="Times New Roman"/>
      <w:sz w:val="20"/>
      <w:szCs w:val="20"/>
      <w:lang w:val="fr-FR" w:eastAsia="en-GB"/>
    </w:rPr>
  </w:style>
  <w:style w:type="character" w:customStyle="1" w:styleId="s7d2086b4">
    <w:name w:val="s7d2086b4"/>
    <w:rsid w:val="006A1E81"/>
  </w:style>
  <w:style w:type="character" w:customStyle="1" w:styleId="checkboxwithborder">
    <w:name w:val="checkboxwithborder"/>
    <w:rsid w:val="006A1E81"/>
  </w:style>
  <w:style w:type="character" w:customStyle="1" w:styleId="newword">
    <w:name w:val="newword"/>
    <w:rsid w:val="006A1E81"/>
  </w:style>
  <w:style w:type="character" w:styleId="lev">
    <w:name w:val="Strong"/>
    <w:uiPriority w:val="22"/>
    <w:qFormat/>
    <w:rsid w:val="006A1E81"/>
    <w:rPr>
      <w:b/>
      <w:bCs/>
    </w:rPr>
  </w:style>
  <w:style w:type="character" w:customStyle="1" w:styleId="small-caps">
    <w:name w:val="small-caps"/>
    <w:rsid w:val="006A1E81"/>
  </w:style>
  <w:style w:type="character" w:styleId="Lienhypertextesuivivisit">
    <w:name w:val="FollowedHyperlink"/>
    <w:uiPriority w:val="99"/>
    <w:rsid w:val="006A1E81"/>
    <w:rPr>
      <w:color w:val="800080"/>
      <w:u w:val="single"/>
    </w:rPr>
  </w:style>
  <w:style w:type="paragraph" w:customStyle="1" w:styleId="A">
    <w:name w:val="A.'"/>
    <w:basedOn w:val="Normal"/>
    <w:rsid w:val="006A1E81"/>
    <w:pPr>
      <w:autoSpaceDE w:val="0"/>
      <w:autoSpaceDN w:val="0"/>
      <w:adjustRightInd w:val="0"/>
    </w:pPr>
    <w:rPr>
      <w:rFonts w:eastAsia="Cambria"/>
      <w:i/>
      <w:szCs w:val="24"/>
      <w:lang w:val="fr-BE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6A1E81"/>
    <w:pPr>
      <w:spacing w:line="240" w:lineRule="auto"/>
    </w:pPr>
    <w:rPr>
      <w:rFonts w:ascii="Calibri" w:hAnsi="Calibri"/>
      <w:b/>
      <w:bCs/>
      <w:lang w:val="en-GB"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6A1E81"/>
    <w:rPr>
      <w:rFonts w:ascii="Calibri" w:hAnsi="Calibri"/>
      <w:b/>
      <w:bCs/>
      <w:lang w:val="en-GB"/>
    </w:rPr>
  </w:style>
  <w:style w:type="paragraph" w:customStyle="1" w:styleId="s30eec3f8">
    <w:name w:val="s30eec3f8"/>
    <w:basedOn w:val="Normal"/>
    <w:rsid w:val="006A1E81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fr-BE" w:eastAsia="fr-BE"/>
    </w:rPr>
  </w:style>
  <w:style w:type="paragraph" w:customStyle="1" w:styleId="s6f20d3be">
    <w:name w:val="s6f20d3be"/>
    <w:basedOn w:val="Normal"/>
    <w:rsid w:val="006A1E81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fr-BE" w:eastAsia="fr-BE"/>
    </w:rPr>
  </w:style>
  <w:style w:type="character" w:customStyle="1" w:styleId="sf1c7242d">
    <w:name w:val="sf1c7242d"/>
    <w:basedOn w:val="Policepardfaut"/>
    <w:rsid w:val="006A1E81"/>
  </w:style>
  <w:style w:type="character" w:customStyle="1" w:styleId="sea881cdf">
    <w:name w:val="sea881cdf"/>
    <w:basedOn w:val="Policepardfaut"/>
    <w:rsid w:val="006A1E81"/>
  </w:style>
  <w:style w:type="paragraph" w:customStyle="1" w:styleId="appel">
    <w:name w:val="appel"/>
    <w:basedOn w:val="A0-paragraphenumrot"/>
    <w:rsid w:val="006A1E81"/>
  </w:style>
  <w:style w:type="paragraph" w:styleId="Paragraphedeliste">
    <w:name w:val="List Paragraph"/>
    <w:basedOn w:val="Normal"/>
    <w:uiPriority w:val="34"/>
    <w:qFormat/>
    <w:rsid w:val="006A1E81"/>
    <w:pPr>
      <w:ind w:left="720"/>
      <w:contextualSpacing/>
    </w:pPr>
  </w:style>
  <w:style w:type="paragraph" w:styleId="Rvision">
    <w:name w:val="Revision"/>
    <w:hidden/>
    <w:uiPriority w:val="99"/>
    <w:semiHidden/>
    <w:rsid w:val="006A1E81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en-GB" w:eastAsia="en-GB"/>
    </w:rPr>
  </w:style>
  <w:style w:type="character" w:customStyle="1" w:styleId="TextedebullesCar1">
    <w:name w:val="Texte de bulles Car1"/>
    <w:uiPriority w:val="99"/>
    <w:rsid w:val="006A1E81"/>
    <w:rPr>
      <w:rFonts w:ascii="Tahoma" w:hAnsi="Tahoma" w:cs="Tahoma"/>
      <w:sz w:val="16"/>
      <w:szCs w:val="16"/>
      <w:lang w:val="en-GB" w:eastAsia="en-GB"/>
    </w:rPr>
  </w:style>
  <w:style w:type="character" w:styleId="CitationHTML">
    <w:name w:val="HTML Cite"/>
    <w:basedOn w:val="Policepardfaut"/>
    <w:uiPriority w:val="99"/>
    <w:unhideWhenUsed/>
    <w:rsid w:val="006A1E81"/>
    <w:rPr>
      <w:i w:val="0"/>
      <w:iCs w:val="0"/>
      <w:color w:val="006621"/>
    </w:rPr>
  </w:style>
  <w:style w:type="paragraph" w:styleId="Notedefin">
    <w:name w:val="endnote text"/>
    <w:basedOn w:val="Normal"/>
    <w:link w:val="NotedefinCar"/>
    <w:uiPriority w:val="99"/>
    <w:unhideWhenUsed/>
    <w:rsid w:val="006A1E81"/>
    <w:pPr>
      <w:jc w:val="left"/>
    </w:pPr>
    <w:rPr>
      <w:rFonts w:eastAsia="Calibri"/>
      <w:sz w:val="20"/>
      <w:lang w:val="fr-BE" w:eastAsia="en-US"/>
    </w:rPr>
  </w:style>
  <w:style w:type="character" w:customStyle="1" w:styleId="NotedefinCar">
    <w:name w:val="Note de fin Car"/>
    <w:basedOn w:val="Policepardfaut"/>
    <w:link w:val="Notedefin"/>
    <w:uiPriority w:val="99"/>
    <w:rsid w:val="006A1E81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unhideWhenUsed/>
    <w:rsid w:val="006A1E81"/>
    <w:rPr>
      <w:vertAlign w:val="superscript"/>
    </w:rPr>
  </w:style>
  <w:style w:type="paragraph" w:customStyle="1" w:styleId="s32b251d">
    <w:name w:val="s32b251d"/>
    <w:basedOn w:val="Normal"/>
    <w:rsid w:val="006A1E81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fr-BE" w:eastAsia="fr-BE"/>
    </w:rPr>
  </w:style>
  <w:style w:type="character" w:customStyle="1" w:styleId="wordhighlighted">
    <w:name w:val="wordhighlighted"/>
    <w:basedOn w:val="Policepardfaut"/>
    <w:rsid w:val="006A1E81"/>
  </w:style>
  <w:style w:type="character" w:customStyle="1" w:styleId="s32a37344">
    <w:name w:val="s32a37344"/>
    <w:basedOn w:val="Policepardfaut"/>
    <w:rsid w:val="006A1E81"/>
  </w:style>
  <w:style w:type="character" w:customStyle="1" w:styleId="a1">
    <w:name w:val="a1"/>
    <w:basedOn w:val="Policepardfaut"/>
    <w:rsid w:val="006A1E81"/>
    <w:rPr>
      <w:rFonts w:ascii="ff8" w:hAnsi="ff8" w:hint="default"/>
      <w:bdr w:val="none" w:sz="0" w:space="0" w:color="auto" w:frame="1"/>
    </w:rPr>
  </w:style>
  <w:style w:type="paragraph" w:customStyle="1" w:styleId="c03tiretlong">
    <w:name w:val="c03tiretlong"/>
    <w:basedOn w:val="Normal"/>
    <w:rsid w:val="006A1E81"/>
    <w:pPr>
      <w:spacing w:before="100" w:beforeAutospacing="1" w:after="240"/>
      <w:ind w:left="1134" w:hanging="567"/>
    </w:pPr>
    <w:rPr>
      <w:rFonts w:ascii="Times New Roman" w:hAnsi="Times New Roman"/>
      <w:szCs w:val="24"/>
      <w:lang w:val="fr-BE" w:eastAsia="fr-BE"/>
    </w:rPr>
  </w:style>
  <w:style w:type="paragraph" w:customStyle="1" w:styleId="A0paragraphenumrot">
    <w:name w:val="A0 paragraphe numéroté"/>
    <w:basedOn w:val="Normal"/>
    <w:rsid w:val="006A1E81"/>
    <w:pPr>
      <w:numPr>
        <w:numId w:val="18"/>
      </w:numPr>
      <w:spacing w:line="276" w:lineRule="auto"/>
    </w:pPr>
    <w:rPr>
      <w:rFonts w:eastAsia="Calibri"/>
      <w:szCs w:val="24"/>
      <w:lang w:val="fr-BE" w:eastAsia="en-US"/>
    </w:rPr>
  </w:style>
  <w:style w:type="paragraph" w:customStyle="1" w:styleId="A9">
    <w:name w:val="A9"/>
    <w:basedOn w:val="Normal"/>
    <w:rsid w:val="006A1E81"/>
    <w:pPr>
      <w:autoSpaceDE w:val="0"/>
      <w:autoSpaceDN w:val="0"/>
      <w:adjustRightInd w:val="0"/>
      <w:spacing w:line="276" w:lineRule="auto"/>
    </w:pPr>
    <w:rPr>
      <w:rFonts w:eastAsia="Calibri"/>
      <w:szCs w:val="24"/>
      <w:lang w:val="fr-BE" w:eastAsia="en-US"/>
    </w:rPr>
  </w:style>
  <w:style w:type="paragraph" w:styleId="PrformatHTML">
    <w:name w:val="HTML Preformatted"/>
    <w:basedOn w:val="Normal"/>
    <w:link w:val="PrformatHTMLCar"/>
    <w:rsid w:val="006A1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000000"/>
      <w:sz w:val="18"/>
      <w:szCs w:val="18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rsid w:val="006A1E81"/>
    <w:rPr>
      <w:rFonts w:ascii="Courier New" w:eastAsia="Times New Roman" w:hAnsi="Courier New" w:cs="Courier New"/>
      <w:color w:val="000000"/>
      <w:sz w:val="18"/>
      <w:szCs w:val="18"/>
      <w:lang w:val="fr-FR" w:eastAsia="fr-FR"/>
    </w:rPr>
  </w:style>
  <w:style w:type="paragraph" w:customStyle="1" w:styleId="n">
    <w:name w:val="n"/>
    <w:basedOn w:val="A4Titre11"/>
    <w:rsid w:val="006A1E81"/>
    <w:pPr>
      <w:ind w:left="0"/>
    </w:pPr>
    <w:rPr>
      <w:lang w:val="fr-FR"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5440</Words>
  <Characters>29923</Characters>
  <Application>Microsoft Office Word</Application>
  <DocSecurity>0</DocSecurity>
  <Lines>249</Lines>
  <Paragraphs>70</Paragraphs>
  <ScaleCrop>false</ScaleCrop>
  <Company>FOD Justitie</Company>
  <LinksUpToDate>false</LinksUpToDate>
  <CharactersWithSpaces>35293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micsoliv</dc:creator>
  <cp:keywords/>
  <dc:description/>
  <cp:lastModifiedBy>micsoliv</cp:lastModifiedBy>
  <cp:revision>1</cp:revision>
  <dcterms:created xsi:type="dcterms:W3CDTF">2015-04-23T10:21:00Z</dcterms:created>
  <dcterms:modified xsi:type="dcterms:W3CDTF">2015-04-23T10:22:00Z</dcterms:modified>
</cp:coreProperties>
</file>