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50" w:rsidRPr="00FD47E0" w:rsidRDefault="00EC3050" w:rsidP="00480E97">
      <w:pPr>
        <w:pStyle w:val="Titre"/>
        <w:jc w:val="both"/>
        <w:rPr>
          <w:sz w:val="24"/>
          <w:szCs w:val="24"/>
        </w:rPr>
      </w:pPr>
      <w:r w:rsidRPr="00FD47E0">
        <w:rPr>
          <w:rStyle w:val="lev"/>
          <w:rFonts w:ascii="Verdana" w:hAnsi="Verdana"/>
          <w:sz w:val="24"/>
          <w:szCs w:val="24"/>
        </w:rPr>
        <w:t>Épidémiologie de la lithiase urinaire en Province de Liège</w:t>
      </w:r>
    </w:p>
    <w:p w:rsidR="00EC3050" w:rsidRDefault="00EC3050" w:rsidP="00480E97">
      <w:r>
        <w:t xml:space="preserve">V Castiglione (1); F </w:t>
      </w:r>
      <w:proofErr w:type="spellStart"/>
      <w:r>
        <w:t>Jouret</w:t>
      </w:r>
      <w:proofErr w:type="spellEnd"/>
      <w:r>
        <w:t xml:space="preserve"> (2); O Bruyère (3); AC Bekaert (1); A Thomas (4); B Dubois (2); D </w:t>
      </w:r>
      <w:proofErr w:type="spellStart"/>
      <w:r>
        <w:t>Waltrégny</w:t>
      </w:r>
      <w:proofErr w:type="spellEnd"/>
      <w:r>
        <w:t xml:space="preserve"> (4); E Cavalier (1); </w:t>
      </w:r>
      <w:r w:rsidR="005C0501">
        <w:t xml:space="preserve">R </w:t>
      </w:r>
      <w:proofErr w:type="spellStart"/>
      <w:r w:rsidR="005C0501">
        <w:t>Gadisseur</w:t>
      </w:r>
      <w:proofErr w:type="spellEnd"/>
      <w:r w:rsidR="005C0501">
        <w:t xml:space="preserve"> (1).</w:t>
      </w:r>
      <w:r>
        <w:br/>
        <w:t>(1) Service de Chimie Clinique, Université de Liège, CHU de Liège, Liège, Belgique; (2) Service de Néphrologie, Université de Liège, CHU de Liège, Liège, Belgique; (3) Service de Santé Publique, d'Epidémiologie et d'Economie de la Santé, Université de Liège, CHU de Liège, Liège, Belgique; (4) Service d'Urologie, Université de Liège, CHU de Liège, Liège, Belgique.</w:t>
      </w:r>
    </w:p>
    <w:p w:rsidR="00EC3050" w:rsidRDefault="00EC3050" w:rsidP="00FD47E0">
      <w:pPr>
        <w:pStyle w:val="Titre1"/>
        <w:rPr>
          <w:sz w:val="25"/>
          <w:szCs w:val="25"/>
        </w:rPr>
      </w:pPr>
      <w:r>
        <w:t>Introduction</w:t>
      </w:r>
    </w:p>
    <w:p w:rsidR="00EC3050" w:rsidRDefault="00EC3050" w:rsidP="00480E97">
      <w:pPr>
        <w:jc w:val="both"/>
      </w:pPr>
      <w:r>
        <w:t>L’analyse morpho-constitutionnelle des lithiases urinaires aboutit à une classification qui fournit des données précieuses sur les pathologies à l’origine de la lithogénèse. Le but de notre étude est de présenter les premières données épidémiologiques belges sur les lithiases sur base de cette méthode d’analyse.</w:t>
      </w:r>
    </w:p>
    <w:p w:rsidR="00EC3050" w:rsidRDefault="00EC3050" w:rsidP="00FD47E0">
      <w:pPr>
        <w:pStyle w:val="Titre1"/>
        <w:rPr>
          <w:sz w:val="25"/>
          <w:szCs w:val="25"/>
        </w:rPr>
      </w:pPr>
      <w:r>
        <w:t>Patients et Méthodes</w:t>
      </w:r>
    </w:p>
    <w:p w:rsidR="00E47268" w:rsidRDefault="00EC3050" w:rsidP="00480E97">
      <w:pPr>
        <w:jc w:val="both"/>
      </w:pPr>
      <w:r>
        <w:t xml:space="preserve">Nous avons étudié rétrospectivement </w:t>
      </w:r>
      <w:r w:rsidR="00480E97">
        <w:t>2195</w:t>
      </w:r>
      <w:r>
        <w:t xml:space="preserve"> analyses morpho-constitutionnelles de lithiases issues de la Province de Liège et reçues sur 3 années</w:t>
      </w:r>
      <w:r w:rsidR="00480E97">
        <w:t>, entre 2010 et 2013</w:t>
      </w:r>
      <w:r>
        <w:t xml:space="preserve">. Pour chacune, nous avons étudié différents paramètres comme l’âge et </w:t>
      </w:r>
    </w:p>
    <w:p w:rsidR="00EC3050" w:rsidRDefault="00EC3050" w:rsidP="00480E97">
      <w:pPr>
        <w:jc w:val="both"/>
      </w:pPr>
      <w:proofErr w:type="gramStart"/>
      <w:r>
        <w:t>le</w:t>
      </w:r>
      <w:proofErr w:type="gramEnd"/>
      <w:r>
        <w:t xml:space="preserve"> sexe du patient, la composition quantitative relative de chaque constituant, le nombre de constituants et le type morphologique.</w:t>
      </w:r>
    </w:p>
    <w:p w:rsidR="00EC3050" w:rsidRDefault="00EC3050" w:rsidP="00FD47E0">
      <w:pPr>
        <w:pStyle w:val="Titre1"/>
        <w:rPr>
          <w:sz w:val="25"/>
          <w:szCs w:val="25"/>
        </w:rPr>
      </w:pPr>
      <w:r>
        <w:t>Résultats</w:t>
      </w:r>
    </w:p>
    <w:p w:rsidR="00EC3050" w:rsidRDefault="00480E97" w:rsidP="00480E97">
      <w:pPr>
        <w:jc w:val="both"/>
      </w:pPr>
      <w:r>
        <w:t xml:space="preserve">Après avoir éliminé 281 calculs ne provenant pas de la Province de Liège et 45 faux calculs, nous avons obtenu un total de 1869 calculs convenant à l’étude. </w:t>
      </w:r>
      <w:r w:rsidR="00EC3050">
        <w:t xml:space="preserve">Chez l'adulte, le ratio hommes/femmes est de 2,25. Il est &lt;1 entre 10-20 ans. Les épisodes lithiasiques sont plus fréquents entre 50-60 ans. Les calculs sont purs dans 31% des cas. Parmi les lithiases de </w:t>
      </w:r>
      <w:proofErr w:type="spellStart"/>
      <w:r w:rsidR="00EC3050">
        <w:t>Whewellite</w:t>
      </w:r>
      <w:proofErr w:type="spellEnd"/>
      <w:r w:rsidR="00EC3050">
        <w:t xml:space="preserve">, 94% sont de Type </w:t>
      </w:r>
      <w:proofErr w:type="spellStart"/>
      <w:r w:rsidR="00EC3050">
        <w:t>Ia</w:t>
      </w:r>
      <w:proofErr w:type="spellEnd"/>
      <w:r w:rsidR="00EC3050">
        <w:t xml:space="preserve"> et sont plus fréquentes chez les hommes. </w:t>
      </w:r>
      <w:r>
        <w:t xml:space="preserve">Au sein de ce groupe de calculs, 32% d’entre eux possèdent une plaque de Randall. </w:t>
      </w:r>
      <w:r w:rsidR="00EC3050">
        <w:t xml:space="preserve">Chez l’homme de 20-30 ans, la </w:t>
      </w:r>
      <w:proofErr w:type="spellStart"/>
      <w:r w:rsidR="00EC3050">
        <w:t>Weddellite</w:t>
      </w:r>
      <w:proofErr w:type="spellEnd"/>
      <w:r w:rsidR="00EC3050">
        <w:t xml:space="preserve"> est le principal composant alors que la </w:t>
      </w:r>
      <w:proofErr w:type="spellStart"/>
      <w:r w:rsidR="00EC3050">
        <w:t>Whewellite</w:t>
      </w:r>
      <w:proofErr w:type="spellEnd"/>
      <w:r w:rsidR="00EC3050">
        <w:t xml:space="preserve"> est plus fréquente par la suite pour atteindre 60% à 50-59 ans.</w:t>
      </w:r>
      <w:r>
        <w:t xml:space="preserve"> Le type de lithiase change au cours du vieillissement tous sexes confondus : on observe une diminution du taux de </w:t>
      </w:r>
      <w:proofErr w:type="spellStart"/>
      <w:r>
        <w:t>weddellite</w:t>
      </w:r>
      <w:proofErr w:type="spellEnd"/>
      <w:r>
        <w:t xml:space="preserve"> et une augmentation de la </w:t>
      </w:r>
      <w:proofErr w:type="spellStart"/>
      <w:r>
        <w:t>whewellite</w:t>
      </w:r>
      <w:proofErr w:type="spellEnd"/>
      <w:r>
        <w:t xml:space="preserve"> et de l’acide urique.</w:t>
      </w:r>
      <w:r w:rsidR="00EC3050">
        <w:t xml:space="preserve"> </w:t>
      </w:r>
      <w:r>
        <w:t>Parmi</w:t>
      </w:r>
      <w:r w:rsidR="00EC3050">
        <w:t xml:space="preserve"> les autres composants majoritaires, on dénombre </w:t>
      </w:r>
      <w:r>
        <w:t>10,0</w:t>
      </w:r>
      <w:r w:rsidR="00EC3050">
        <w:t>% d’acide urique et 2.</w:t>
      </w:r>
      <w:r>
        <w:t>4</w:t>
      </w:r>
      <w:r w:rsidR="00EC3050">
        <w:t xml:space="preserve">% de </w:t>
      </w:r>
      <w:proofErr w:type="spellStart"/>
      <w:r w:rsidR="00EC3050">
        <w:t>Struvite</w:t>
      </w:r>
      <w:proofErr w:type="spellEnd"/>
      <w:r w:rsidR="00EC3050">
        <w:t xml:space="preserve">. Le pourcentage de lithiases uriques de Type </w:t>
      </w:r>
      <w:proofErr w:type="spellStart"/>
      <w:r w:rsidR="00EC3050">
        <w:t>IIIa</w:t>
      </w:r>
      <w:proofErr w:type="spellEnd"/>
      <w:r w:rsidR="00EC3050">
        <w:t>/</w:t>
      </w:r>
      <w:proofErr w:type="spellStart"/>
      <w:r w:rsidR="00EC3050">
        <w:t>IIIb</w:t>
      </w:r>
      <w:proofErr w:type="spellEnd"/>
      <w:r w:rsidR="00EC3050">
        <w:t xml:space="preserve"> croit avec l’âge et atteint 20% dès 60 ans</w:t>
      </w:r>
      <w:r>
        <w:t xml:space="preserve"> chez les deux sexes</w:t>
      </w:r>
      <w:r w:rsidR="00EC3050">
        <w:t>. La fréquence des lithiases de phosphates calciques est stable durant la vie mais double au-delà de 80 ans.</w:t>
      </w:r>
      <w:r>
        <w:t xml:space="preserve"> </w:t>
      </w:r>
      <w:r w:rsidR="00EC3050">
        <w:t xml:space="preserve">Le type morphologique </w:t>
      </w:r>
      <w:proofErr w:type="spellStart"/>
      <w:r w:rsidR="00EC3050">
        <w:t>IVa</w:t>
      </w:r>
      <w:proofErr w:type="spellEnd"/>
      <w:r w:rsidR="00EC3050">
        <w:t xml:space="preserve"> est celui pour lequel il existe le plus de disparités entre les d</w:t>
      </w:r>
      <w:r>
        <w:t>eux sexes. Chez les femmes, 26.6</w:t>
      </w:r>
      <w:r w:rsidR="00EC3050">
        <w:t>% des calculs sont phosphatiques</w:t>
      </w:r>
      <w:r>
        <w:t>, tandis qu’ils ne sont que 8,2% chez l’homme</w:t>
      </w:r>
      <w:r w:rsidR="00EC3050">
        <w:t>. Ainsi, les Types IVa1 et IVa2 sont</w:t>
      </w:r>
      <w:r>
        <w:t xml:space="preserve"> plus fréquents chez les femmes, de même que la plupart des associations morphologiques incluant un type IV.</w:t>
      </w:r>
      <w:r w:rsidR="00EC3050">
        <w:t xml:space="preserve"> Les phosphates calciques sont d'ailleurs les seconds composés les plus rencontrés chez la femme au-delà de 30 ans. Dix pourcents des calculs sont de Type IVa1 associé à la présence de </w:t>
      </w:r>
      <w:proofErr w:type="spellStart"/>
      <w:r w:rsidR="00EC3050">
        <w:t>Weddellite</w:t>
      </w:r>
      <w:proofErr w:type="spellEnd"/>
      <w:r w:rsidR="00EC3050">
        <w:t>.</w:t>
      </w:r>
    </w:p>
    <w:p w:rsidR="00EC3050" w:rsidRDefault="00EC3050" w:rsidP="00FD47E0">
      <w:pPr>
        <w:pStyle w:val="Titre1"/>
        <w:rPr>
          <w:sz w:val="25"/>
          <w:szCs w:val="25"/>
        </w:rPr>
      </w:pPr>
      <w:r>
        <w:lastRenderedPageBreak/>
        <w:t>Discussion et Conclusion</w:t>
      </w:r>
    </w:p>
    <w:p w:rsidR="00C35FBB" w:rsidRPr="00480E97" w:rsidRDefault="00EC3050" w:rsidP="00480E97">
      <w:pPr>
        <w:jc w:val="both"/>
      </w:pPr>
      <w:r>
        <w:t>Cette étude épidémiologique fournit un recensement de la maladie lithiasique en Province de Liège et est la première étude chez l'adulte se basant sur l’analyse morpho-constitutionnelle.</w:t>
      </w:r>
      <w:r w:rsidR="00480E97">
        <w:t xml:space="preserve"> </w:t>
      </w:r>
      <w:r w:rsidR="00833B36">
        <w:t>Cette méthode de description des calculs présente de nombreux avantages, dont le principal est d’affiner l’orientation étiologique et</w:t>
      </w:r>
      <w:r w:rsidR="00A658B5">
        <w:t xml:space="preserve"> ainsi</w:t>
      </w:r>
      <w:r w:rsidR="00833B36">
        <w:t xml:space="preserve"> </w:t>
      </w:r>
      <w:r w:rsidR="00E47268">
        <w:t>d’</w:t>
      </w:r>
      <w:r w:rsidR="00833B36">
        <w:t>améliorer le diagnostic. Les résultats ont</w:t>
      </w:r>
      <w:r w:rsidR="00480E97">
        <w:t xml:space="preserve"> permis de décrire de</w:t>
      </w:r>
      <w:r w:rsidR="00A658B5">
        <w:t>s</w:t>
      </w:r>
      <w:r w:rsidR="00480E97">
        <w:t xml:space="preserve"> différences de prévalence entre les deux sexes, </w:t>
      </w:r>
      <w:r w:rsidR="00833B36">
        <w:t xml:space="preserve">des variations de constituants au cours du vieillissement de la population, </w:t>
      </w:r>
      <w:r w:rsidR="00480E97">
        <w:t xml:space="preserve">et de légères différences par rapport aux cohortes étudiées dans d’autres pays </w:t>
      </w:r>
      <w:r w:rsidR="00833B36">
        <w:t>limitrophes</w:t>
      </w:r>
      <w:r w:rsidR="00480E97">
        <w:t xml:space="preserve">. </w:t>
      </w:r>
    </w:p>
    <w:sectPr w:rsidR="00C35FBB" w:rsidRPr="00480E97" w:rsidSect="00612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3A1D"/>
    <w:multiLevelType w:val="hybridMultilevel"/>
    <w:tmpl w:val="4B3256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D1C87"/>
    <w:multiLevelType w:val="multilevel"/>
    <w:tmpl w:val="34D6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5B1FA8"/>
    <w:multiLevelType w:val="multilevel"/>
    <w:tmpl w:val="485C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0565CA"/>
    <w:multiLevelType w:val="hybridMultilevel"/>
    <w:tmpl w:val="6FE638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53B89"/>
    <w:multiLevelType w:val="multilevel"/>
    <w:tmpl w:val="6EBC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F41B61"/>
    <w:multiLevelType w:val="multilevel"/>
    <w:tmpl w:val="088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D101B6"/>
    <w:multiLevelType w:val="hybridMultilevel"/>
    <w:tmpl w:val="9444690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75D0A"/>
    <w:rsid w:val="00001A89"/>
    <w:rsid w:val="00067F34"/>
    <w:rsid w:val="00072A25"/>
    <w:rsid w:val="000816F4"/>
    <w:rsid w:val="000832DD"/>
    <w:rsid w:val="000E6DEF"/>
    <w:rsid w:val="00250E77"/>
    <w:rsid w:val="00281E56"/>
    <w:rsid w:val="002C3F40"/>
    <w:rsid w:val="00323441"/>
    <w:rsid w:val="00324B21"/>
    <w:rsid w:val="00332828"/>
    <w:rsid w:val="003B7029"/>
    <w:rsid w:val="00480E97"/>
    <w:rsid w:val="00495943"/>
    <w:rsid w:val="004F3739"/>
    <w:rsid w:val="00567875"/>
    <w:rsid w:val="005C0501"/>
    <w:rsid w:val="0061268D"/>
    <w:rsid w:val="00656F4D"/>
    <w:rsid w:val="00662B95"/>
    <w:rsid w:val="00673C2F"/>
    <w:rsid w:val="00682C8E"/>
    <w:rsid w:val="006D5967"/>
    <w:rsid w:val="00704A48"/>
    <w:rsid w:val="00833B36"/>
    <w:rsid w:val="009459D3"/>
    <w:rsid w:val="00961766"/>
    <w:rsid w:val="009809CF"/>
    <w:rsid w:val="00985AED"/>
    <w:rsid w:val="009B3660"/>
    <w:rsid w:val="009B53DC"/>
    <w:rsid w:val="00A658B5"/>
    <w:rsid w:val="00A75D0A"/>
    <w:rsid w:val="00A8371E"/>
    <w:rsid w:val="00AB2EA4"/>
    <w:rsid w:val="00AE1691"/>
    <w:rsid w:val="00B849C6"/>
    <w:rsid w:val="00C35FBB"/>
    <w:rsid w:val="00C73544"/>
    <w:rsid w:val="00CA45E2"/>
    <w:rsid w:val="00DC2493"/>
    <w:rsid w:val="00E47268"/>
    <w:rsid w:val="00EC3050"/>
    <w:rsid w:val="00ED173B"/>
    <w:rsid w:val="00FD47E0"/>
    <w:rsid w:val="00FD7205"/>
    <w:rsid w:val="00FD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8D"/>
  </w:style>
  <w:style w:type="paragraph" w:styleId="Titre1">
    <w:name w:val="heading 1"/>
    <w:basedOn w:val="Normal"/>
    <w:next w:val="Normal"/>
    <w:link w:val="Titre1Car"/>
    <w:uiPriority w:val="9"/>
    <w:qFormat/>
    <w:rsid w:val="00656F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C735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lang w:eastAsia="fr-B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80E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5D0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73544"/>
    <w:rPr>
      <w:rFonts w:ascii="Times New Roman" w:eastAsia="Times New Roman" w:hAnsi="Times New Roman" w:cs="Times New Roman"/>
      <w:b/>
      <w:bCs/>
      <w:lang w:eastAsia="fr-BE"/>
    </w:rPr>
  </w:style>
  <w:style w:type="paragraph" w:customStyle="1" w:styleId="editeurhtml1">
    <w:name w:val="editeurhtml1"/>
    <w:basedOn w:val="Normal"/>
    <w:rsid w:val="00C73544"/>
    <w:pPr>
      <w:spacing w:after="0" w:line="188" w:lineRule="atLeast"/>
      <w:jc w:val="both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354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56F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656F4D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480E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80E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0E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0E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80E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5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8632">
                  <w:marLeft w:val="16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1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7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515">
                  <w:marLeft w:val="16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87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1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8865">
                  <w:marLeft w:val="16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4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4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11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531A-6D8F-432C-AB5F-4AA3F0D0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c138564</cp:lastModifiedBy>
  <cp:revision>26</cp:revision>
  <dcterms:created xsi:type="dcterms:W3CDTF">2014-05-02T08:12:00Z</dcterms:created>
  <dcterms:modified xsi:type="dcterms:W3CDTF">2014-10-06T15:09:00Z</dcterms:modified>
</cp:coreProperties>
</file>