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AA" w:rsidRDefault="004A1BAA" w:rsidP="004A1BAA">
      <w:pPr>
        <w:jc w:val="both"/>
        <w:rPr>
          <w:rFonts w:ascii="Times" w:hAnsi="Times"/>
          <w:b/>
        </w:rPr>
      </w:pPr>
      <w:bookmarkStart w:id="0" w:name="_GoBack"/>
      <w:bookmarkEnd w:id="0"/>
    </w:p>
    <w:p w:rsidR="00185171" w:rsidRDefault="004A1BAA" w:rsidP="004A1BAA">
      <w:pPr>
        <w:jc w:val="center"/>
        <w:rPr>
          <w:rFonts w:ascii="Times" w:hAnsi="Times"/>
          <w:b/>
        </w:rPr>
      </w:pPr>
      <w:r>
        <w:rPr>
          <w:rFonts w:ascii="Times" w:hAnsi="Times"/>
          <w:b/>
        </w:rPr>
        <w:t xml:space="preserve">Le genre de l’état et ses instruments : </w:t>
      </w:r>
    </w:p>
    <w:p w:rsidR="004A1BAA" w:rsidRDefault="004A1BAA" w:rsidP="004A1BAA">
      <w:pPr>
        <w:jc w:val="center"/>
        <w:rPr>
          <w:rFonts w:ascii="Times" w:hAnsi="Times"/>
          <w:b/>
        </w:rPr>
      </w:pPr>
      <w:proofErr w:type="gramStart"/>
      <w:r>
        <w:rPr>
          <w:rFonts w:ascii="Times" w:hAnsi="Times"/>
          <w:b/>
        </w:rPr>
        <w:t>l’action</w:t>
      </w:r>
      <w:proofErr w:type="gramEnd"/>
      <w:r>
        <w:rPr>
          <w:rFonts w:ascii="Times" w:hAnsi="Times"/>
          <w:b/>
        </w:rPr>
        <w:t xml:space="preserve"> publique</w:t>
      </w:r>
      <w:r w:rsidRPr="004A1BAA">
        <w:rPr>
          <w:rFonts w:ascii="Times" w:hAnsi="Times"/>
          <w:b/>
        </w:rPr>
        <w:t xml:space="preserve"> </w:t>
      </w:r>
      <w:r>
        <w:rPr>
          <w:rFonts w:ascii="Times" w:hAnsi="Times"/>
          <w:b/>
        </w:rPr>
        <w:t xml:space="preserve">à l’épreuve du </w:t>
      </w:r>
      <w:proofErr w:type="spellStart"/>
      <w:r w:rsidRPr="004A1BAA">
        <w:rPr>
          <w:rFonts w:ascii="Times" w:hAnsi="Times"/>
          <w:b/>
          <w:i/>
        </w:rPr>
        <w:t>gender</w:t>
      </w:r>
      <w:proofErr w:type="spellEnd"/>
      <w:r w:rsidRPr="004A1BAA">
        <w:rPr>
          <w:rFonts w:ascii="Times" w:hAnsi="Times"/>
          <w:b/>
          <w:i/>
        </w:rPr>
        <w:t xml:space="preserve"> </w:t>
      </w:r>
      <w:proofErr w:type="spellStart"/>
      <w:r w:rsidRPr="004A1BAA">
        <w:rPr>
          <w:rFonts w:ascii="Times" w:hAnsi="Times"/>
          <w:b/>
          <w:i/>
        </w:rPr>
        <w:t>mainstreaming</w:t>
      </w:r>
      <w:proofErr w:type="spellEnd"/>
    </w:p>
    <w:p w:rsidR="004A1BAA" w:rsidRDefault="004A1BAA" w:rsidP="004A1BAA">
      <w:pPr>
        <w:jc w:val="center"/>
        <w:rPr>
          <w:rFonts w:ascii="Times" w:hAnsi="Times"/>
          <w:b/>
        </w:rPr>
      </w:pPr>
    </w:p>
    <w:p w:rsidR="004A1BAA" w:rsidRDefault="004A1BAA" w:rsidP="004A1BAA">
      <w:pPr>
        <w:jc w:val="center"/>
        <w:rPr>
          <w:rFonts w:ascii="Times" w:hAnsi="Times"/>
          <w:b/>
        </w:rPr>
      </w:pPr>
      <w:r>
        <w:rPr>
          <w:rFonts w:ascii="Times" w:hAnsi="Times"/>
          <w:b/>
        </w:rPr>
        <w:t xml:space="preserve">Dr. Catherine Fallon </w:t>
      </w:r>
    </w:p>
    <w:p w:rsidR="004A1BAA" w:rsidRDefault="004A1BAA" w:rsidP="004A1BAA">
      <w:pPr>
        <w:jc w:val="center"/>
        <w:rPr>
          <w:rFonts w:ascii="Times" w:hAnsi="Times"/>
          <w:b/>
        </w:rPr>
      </w:pPr>
      <w:r>
        <w:rPr>
          <w:rFonts w:ascii="Times" w:hAnsi="Times"/>
          <w:b/>
        </w:rPr>
        <w:t xml:space="preserve">SPIRAL – Département de sciences politiques – Université de Liège </w:t>
      </w:r>
    </w:p>
    <w:p w:rsidR="004A1BAA" w:rsidRDefault="004A1BAA" w:rsidP="00881D40">
      <w:pPr>
        <w:jc w:val="both"/>
        <w:rPr>
          <w:rFonts w:ascii="Times" w:hAnsi="Times"/>
          <w:b/>
        </w:rPr>
      </w:pPr>
    </w:p>
    <w:p w:rsidR="004A1BAA" w:rsidRDefault="004A1BAA" w:rsidP="00881D40">
      <w:pPr>
        <w:jc w:val="both"/>
        <w:rPr>
          <w:rFonts w:ascii="Times" w:hAnsi="Times"/>
          <w:b/>
        </w:rPr>
      </w:pPr>
    </w:p>
    <w:p w:rsidR="00881D40" w:rsidRDefault="00881D40" w:rsidP="00881D40">
      <w:pPr>
        <w:jc w:val="both"/>
        <w:rPr>
          <w:rFonts w:ascii="Times" w:hAnsi="Times"/>
          <w:b/>
        </w:rPr>
      </w:pPr>
      <w:r>
        <w:rPr>
          <w:rFonts w:ascii="Times" w:hAnsi="Times"/>
          <w:b/>
        </w:rPr>
        <w:t xml:space="preserve">Introduction </w:t>
      </w:r>
    </w:p>
    <w:p w:rsidR="00881D40" w:rsidRPr="004C3367" w:rsidRDefault="00881D40" w:rsidP="004C3367">
      <w:pPr>
        <w:spacing w:line="360" w:lineRule="auto"/>
        <w:jc w:val="both"/>
        <w:rPr>
          <w:rFonts w:ascii="Times New Roman" w:hAnsi="Times New Roman"/>
          <w:sz w:val="22"/>
          <w:szCs w:val="22"/>
        </w:rPr>
      </w:pPr>
    </w:p>
    <w:p w:rsidR="00FF3350" w:rsidRPr="00185171" w:rsidRDefault="00FF3350" w:rsidP="00185171">
      <w:pPr>
        <w:spacing w:before="120" w:line="360" w:lineRule="auto"/>
        <w:jc w:val="both"/>
        <w:rPr>
          <w:rFonts w:ascii="Times New Roman" w:hAnsi="Times New Roman"/>
          <w:sz w:val="22"/>
          <w:szCs w:val="22"/>
        </w:rPr>
      </w:pPr>
      <w:r w:rsidRPr="00185171">
        <w:rPr>
          <w:rFonts w:ascii="Times New Roman" w:hAnsi="Times New Roman"/>
          <w:sz w:val="22"/>
          <w:szCs w:val="22"/>
        </w:rPr>
        <w:t xml:space="preserve">Ce n’est que récemment que la notion de « genre » est utilisée en Belgique francophone dans le </w:t>
      </w:r>
      <w:proofErr w:type="spellStart"/>
      <w:r w:rsidRPr="00185171">
        <w:rPr>
          <w:rFonts w:ascii="Times New Roman" w:hAnsi="Times New Roman"/>
          <w:sz w:val="22"/>
          <w:szCs w:val="22"/>
        </w:rPr>
        <w:t>mainstream</w:t>
      </w:r>
      <w:proofErr w:type="spellEnd"/>
      <w:r w:rsidRPr="00185171">
        <w:rPr>
          <w:rFonts w:ascii="Times New Roman" w:hAnsi="Times New Roman"/>
          <w:sz w:val="22"/>
          <w:szCs w:val="22"/>
        </w:rPr>
        <w:t xml:space="preserve"> de la science politique. Il est encore rare d’entendre, en dehors des cercles spécialisés d’études féministes, proposer une analyse « </w:t>
      </w:r>
      <w:proofErr w:type="spellStart"/>
      <w:r w:rsidRPr="00185171">
        <w:rPr>
          <w:rFonts w:ascii="Times New Roman" w:hAnsi="Times New Roman"/>
          <w:sz w:val="22"/>
          <w:szCs w:val="22"/>
        </w:rPr>
        <w:t>genrée</w:t>
      </w:r>
      <w:proofErr w:type="spellEnd"/>
      <w:r w:rsidRPr="00185171">
        <w:rPr>
          <w:rFonts w:ascii="Times New Roman" w:hAnsi="Times New Roman"/>
          <w:sz w:val="22"/>
          <w:szCs w:val="22"/>
        </w:rPr>
        <w:t xml:space="preserve"> » des objets les plus classiques de la science politique, tels qu’un budget ou un projet de loi. Pourtant de nouveaux outils théoriques faisant référence au genre sont aujourd’hui disponibles, qui ont fait preuve de leur potentiel heuristique. </w:t>
      </w:r>
    </w:p>
    <w:p w:rsidR="00881D40" w:rsidRPr="00185171" w:rsidRDefault="00FF3350" w:rsidP="00185171">
      <w:pPr>
        <w:spacing w:before="120" w:line="360" w:lineRule="auto"/>
        <w:jc w:val="both"/>
        <w:rPr>
          <w:rFonts w:ascii="Times New Roman" w:hAnsi="Times New Roman"/>
          <w:sz w:val="22"/>
          <w:szCs w:val="22"/>
        </w:rPr>
      </w:pPr>
      <w:r w:rsidRPr="00185171">
        <w:rPr>
          <w:rFonts w:ascii="Times New Roman" w:hAnsi="Times New Roman"/>
          <w:sz w:val="22"/>
          <w:szCs w:val="22"/>
        </w:rPr>
        <w:t>L</w:t>
      </w:r>
      <w:r w:rsidR="00881D40" w:rsidRPr="00185171">
        <w:rPr>
          <w:rFonts w:ascii="Times New Roman" w:hAnsi="Times New Roman"/>
          <w:sz w:val="22"/>
          <w:szCs w:val="22"/>
        </w:rPr>
        <w:t>a notion de genre est mobilisée pour mettre en évidence les dimensions culturelles et sociales des concepts des catégories « masculin »  et « féminin » qui sont à penser comme des catégories en relation. Cette notion articule deux mondes hiérarchisés, celui des hommes et celui des femmes, chacun se définissant à travers son rapport à l’autre, dans un processus de construction sociale variable en fonction du contexte et de la période considérée. Au cœur de la notion de genre, on retrouve une attention particulière à la dimension de pouvoir constitutive des rapports sociaux fondés sur des différences perçues entre les sexes</w:t>
      </w:r>
      <w:r w:rsidR="004A1BAA" w:rsidRPr="00185171">
        <w:rPr>
          <w:rFonts w:ascii="Times New Roman" w:hAnsi="Times New Roman"/>
          <w:sz w:val="22"/>
          <w:szCs w:val="22"/>
        </w:rPr>
        <w:t>, ce rapport étant socialement construit et renforcé par l’action publique</w:t>
      </w:r>
      <w:r w:rsidR="00881D40" w:rsidRPr="00185171">
        <w:rPr>
          <w:rFonts w:ascii="Times New Roman" w:hAnsi="Times New Roman"/>
          <w:sz w:val="22"/>
          <w:szCs w:val="22"/>
        </w:rPr>
        <w:t xml:space="preserve"> (</w:t>
      </w:r>
      <w:proofErr w:type="spellStart"/>
      <w:r w:rsidR="00881D40" w:rsidRPr="00185171">
        <w:rPr>
          <w:rFonts w:ascii="Times New Roman" w:hAnsi="Times New Roman"/>
          <w:sz w:val="22"/>
          <w:szCs w:val="22"/>
        </w:rPr>
        <w:t>Cecchini</w:t>
      </w:r>
      <w:proofErr w:type="spellEnd"/>
      <w:r w:rsidR="00881D40" w:rsidRPr="00185171">
        <w:rPr>
          <w:rFonts w:ascii="Times New Roman" w:hAnsi="Times New Roman"/>
          <w:sz w:val="22"/>
          <w:szCs w:val="22"/>
        </w:rPr>
        <w:t xml:space="preserve"> &amp; Fallon</w:t>
      </w:r>
      <w:r w:rsidR="006048C0" w:rsidRPr="00185171">
        <w:rPr>
          <w:rFonts w:ascii="Times New Roman" w:hAnsi="Times New Roman"/>
          <w:sz w:val="22"/>
          <w:szCs w:val="22"/>
        </w:rPr>
        <w:t xml:space="preserve"> 2009</w:t>
      </w:r>
      <w:r w:rsidR="00881D40" w:rsidRPr="00185171">
        <w:rPr>
          <w:rFonts w:ascii="Times New Roman" w:hAnsi="Times New Roman"/>
          <w:sz w:val="22"/>
          <w:szCs w:val="22"/>
        </w:rPr>
        <w:t xml:space="preserve">). </w:t>
      </w:r>
    </w:p>
    <w:p w:rsidR="00881D40" w:rsidRPr="00492D9E" w:rsidRDefault="00FF3350" w:rsidP="00185171">
      <w:pPr>
        <w:spacing w:before="120" w:line="360" w:lineRule="auto"/>
        <w:jc w:val="both"/>
      </w:pPr>
      <w:r w:rsidRPr="00185171">
        <w:rPr>
          <w:rFonts w:ascii="Times New Roman" w:hAnsi="Times New Roman"/>
          <w:sz w:val="22"/>
          <w:szCs w:val="22"/>
        </w:rPr>
        <w:t xml:space="preserve">Tous les domaines d’action publique sont de façon directe ou indirecte affectés par des constructions socio-culturelles de genre et celles-ci ne peuvent être ignorées dans l’analyse ou l’évaluation de l’action publique. </w:t>
      </w:r>
      <w:r w:rsidR="00881D40" w:rsidRPr="00185171">
        <w:rPr>
          <w:rFonts w:ascii="Times New Roman" w:hAnsi="Times New Roman"/>
          <w:sz w:val="22"/>
          <w:szCs w:val="22"/>
        </w:rPr>
        <w:t>Les demandes croissantes en termes d’analyse et d’évaluation des politiques publiques ne peuvent se permettre d’ignorer ce savoir pluridisciplinaire accumulé dans plusieurs domaines de politiques, surtout au niveau des politiques sociales, de l’emploi et du travail, et de la participation politique</w:t>
      </w:r>
      <w:r w:rsidR="00D44F9B" w:rsidRPr="00185171">
        <w:rPr>
          <w:rFonts w:ascii="Times New Roman" w:hAnsi="Times New Roman"/>
          <w:sz w:val="22"/>
          <w:szCs w:val="22"/>
        </w:rPr>
        <w:t xml:space="preserve"> (Dauphin 2010)</w:t>
      </w:r>
      <w:r w:rsidR="00881D40" w:rsidRPr="00185171">
        <w:rPr>
          <w:rFonts w:ascii="Times New Roman" w:hAnsi="Times New Roman"/>
          <w:sz w:val="22"/>
          <w:szCs w:val="22"/>
        </w:rPr>
        <w:t xml:space="preserve">. </w:t>
      </w:r>
      <w:r w:rsidRPr="00185171">
        <w:rPr>
          <w:rFonts w:ascii="Times New Roman" w:hAnsi="Times New Roman"/>
          <w:sz w:val="22"/>
          <w:szCs w:val="22"/>
        </w:rPr>
        <w:t xml:space="preserve">Au-delà de la nécessaire mise </w:t>
      </w:r>
      <w:r w:rsidR="00881D40" w:rsidRPr="00185171">
        <w:rPr>
          <w:rFonts w:ascii="Times New Roman" w:hAnsi="Times New Roman"/>
          <w:sz w:val="22"/>
          <w:szCs w:val="22"/>
        </w:rPr>
        <w:t>en é</w:t>
      </w:r>
      <w:r w:rsidRPr="00185171">
        <w:rPr>
          <w:rFonts w:ascii="Times New Roman" w:hAnsi="Times New Roman"/>
          <w:sz w:val="22"/>
          <w:szCs w:val="22"/>
        </w:rPr>
        <w:t>vidence d</w:t>
      </w:r>
      <w:r w:rsidR="00881D40" w:rsidRPr="00185171">
        <w:rPr>
          <w:rFonts w:ascii="Times New Roman" w:hAnsi="Times New Roman"/>
          <w:sz w:val="22"/>
          <w:szCs w:val="22"/>
        </w:rPr>
        <w:t>es processus de construction sociale de la représentation de la masculinité et de la féminité et l’impact de ces représentations sur la constr</w:t>
      </w:r>
      <w:r w:rsidRPr="00185171">
        <w:rPr>
          <w:rFonts w:ascii="Times New Roman" w:hAnsi="Times New Roman"/>
          <w:sz w:val="22"/>
          <w:szCs w:val="22"/>
        </w:rPr>
        <w:t xml:space="preserve">uction des politiques publiques, l’analyse de l’action publique peut contribuer à élucider  les mécanismes qui aujourd’hui transforment la structure </w:t>
      </w:r>
      <w:proofErr w:type="spellStart"/>
      <w:r w:rsidRPr="00185171">
        <w:rPr>
          <w:rFonts w:ascii="Times New Roman" w:hAnsi="Times New Roman"/>
          <w:sz w:val="22"/>
          <w:szCs w:val="22"/>
        </w:rPr>
        <w:t>genrée</w:t>
      </w:r>
      <w:proofErr w:type="spellEnd"/>
      <w:r w:rsidRPr="00185171">
        <w:rPr>
          <w:rFonts w:ascii="Times New Roman" w:hAnsi="Times New Roman"/>
          <w:sz w:val="22"/>
          <w:szCs w:val="22"/>
        </w:rPr>
        <w:t xml:space="preserve"> de notre société, remettant en question la domination patriarcale et l’ordre de la relation public-privé (Muller 2009)</w:t>
      </w:r>
      <w:r w:rsidR="004A1BAA" w:rsidRPr="00185171">
        <w:rPr>
          <w:rFonts w:ascii="Times New Roman" w:hAnsi="Times New Roman"/>
          <w:sz w:val="22"/>
          <w:szCs w:val="22"/>
        </w:rPr>
        <w:t>. L</w:t>
      </w:r>
      <w:r w:rsidRPr="00185171">
        <w:rPr>
          <w:rFonts w:ascii="Times New Roman" w:hAnsi="Times New Roman"/>
          <w:sz w:val="22"/>
          <w:szCs w:val="22"/>
        </w:rPr>
        <w:t xml:space="preserve">’évaluation des politiques permet de </w:t>
      </w:r>
      <w:r w:rsidR="00492D9E" w:rsidRPr="00185171">
        <w:rPr>
          <w:rFonts w:ascii="Times New Roman" w:hAnsi="Times New Roman"/>
          <w:sz w:val="22"/>
          <w:szCs w:val="22"/>
        </w:rPr>
        <w:t>mettre en évidence les modalités de construction de l’ordre social et politique</w:t>
      </w:r>
      <w:r w:rsidR="004A1BAA" w:rsidRPr="00185171">
        <w:rPr>
          <w:rFonts w:ascii="Times New Roman" w:hAnsi="Times New Roman"/>
          <w:sz w:val="22"/>
          <w:szCs w:val="22"/>
        </w:rPr>
        <w:t xml:space="preserve"> en analysant dans quelle mesure l’action publique affecte directement ou indirectement les relations de genre par son impact sur la distribution des ressources, des rôles sociaux et des relations de pouvoir (Morel 2007).</w:t>
      </w:r>
    </w:p>
    <w:p w:rsidR="00881D40" w:rsidRPr="004C3367" w:rsidRDefault="00881D40" w:rsidP="00185171">
      <w:pPr>
        <w:spacing w:before="120" w:line="360" w:lineRule="auto"/>
        <w:jc w:val="both"/>
        <w:rPr>
          <w:rFonts w:ascii="Times New Roman" w:hAnsi="Times New Roman"/>
          <w:sz w:val="22"/>
          <w:szCs w:val="22"/>
        </w:rPr>
      </w:pPr>
      <w:r w:rsidRPr="004C3367">
        <w:rPr>
          <w:rFonts w:ascii="Times New Roman" w:hAnsi="Times New Roman"/>
          <w:sz w:val="22"/>
          <w:szCs w:val="22"/>
        </w:rPr>
        <w:t xml:space="preserve"> </w:t>
      </w:r>
    </w:p>
    <w:p w:rsidR="00FC7F46" w:rsidRPr="00185171" w:rsidRDefault="00FC7F46" w:rsidP="00185171">
      <w:pPr>
        <w:pStyle w:val="Paragraphedeliste"/>
        <w:numPr>
          <w:ilvl w:val="0"/>
          <w:numId w:val="1"/>
        </w:numPr>
        <w:spacing w:before="120" w:line="360" w:lineRule="auto"/>
        <w:jc w:val="both"/>
        <w:rPr>
          <w:rFonts w:ascii="Times New Roman" w:hAnsi="Times New Roman"/>
          <w:b/>
          <w:i/>
          <w:sz w:val="22"/>
          <w:szCs w:val="22"/>
        </w:rPr>
      </w:pPr>
      <w:r w:rsidRPr="00185171">
        <w:rPr>
          <w:rFonts w:ascii="Times New Roman" w:hAnsi="Times New Roman"/>
          <w:b/>
          <w:i/>
          <w:sz w:val="22"/>
          <w:szCs w:val="22"/>
        </w:rPr>
        <w:lastRenderedPageBreak/>
        <w:t xml:space="preserve">Une analyse </w:t>
      </w:r>
      <w:proofErr w:type="spellStart"/>
      <w:r w:rsidRPr="00185171">
        <w:rPr>
          <w:rFonts w:ascii="Times New Roman" w:hAnsi="Times New Roman"/>
          <w:b/>
          <w:i/>
          <w:sz w:val="22"/>
          <w:szCs w:val="22"/>
        </w:rPr>
        <w:t>genrée</w:t>
      </w:r>
      <w:proofErr w:type="spellEnd"/>
      <w:r w:rsidRPr="00185171">
        <w:rPr>
          <w:rFonts w:ascii="Times New Roman" w:hAnsi="Times New Roman"/>
          <w:b/>
          <w:i/>
          <w:sz w:val="22"/>
          <w:szCs w:val="22"/>
        </w:rPr>
        <w:t xml:space="preserve"> des politiques publiques </w:t>
      </w:r>
    </w:p>
    <w:p w:rsidR="004C3367" w:rsidRPr="004C3367" w:rsidRDefault="004C3367" w:rsidP="00185171">
      <w:pPr>
        <w:spacing w:before="120" w:line="360" w:lineRule="auto"/>
        <w:jc w:val="both"/>
        <w:rPr>
          <w:rFonts w:ascii="Times New Roman" w:hAnsi="Times New Roman"/>
          <w:sz w:val="22"/>
          <w:szCs w:val="22"/>
        </w:rPr>
      </w:pPr>
      <w:r w:rsidRPr="004C3367">
        <w:rPr>
          <w:rFonts w:ascii="Times New Roman" w:hAnsi="Times New Roman"/>
          <w:b/>
          <w:sz w:val="22"/>
          <w:szCs w:val="22"/>
        </w:rPr>
        <w:t>« </w:t>
      </w:r>
      <w:r w:rsidRPr="004C3367">
        <w:rPr>
          <w:rFonts w:ascii="Times New Roman" w:hAnsi="Times New Roman"/>
          <w:i/>
          <w:iCs/>
          <w:sz w:val="22"/>
          <w:szCs w:val="22"/>
        </w:rPr>
        <w:t xml:space="preserve">Le genre n’est pas un domaine spécialisé,… le genre est un des axes essentiels de la connaissance, un outil indispensable à l’intelligence du monde social </w:t>
      </w:r>
      <w:r w:rsidRPr="004C3367">
        <w:rPr>
          <w:rFonts w:ascii="Times New Roman" w:hAnsi="Times New Roman"/>
          <w:sz w:val="22"/>
          <w:szCs w:val="22"/>
        </w:rPr>
        <w:t>» (</w:t>
      </w:r>
      <w:proofErr w:type="spellStart"/>
      <w:r w:rsidRPr="004C3367">
        <w:rPr>
          <w:rFonts w:ascii="Times New Roman" w:hAnsi="Times New Roman"/>
          <w:sz w:val="22"/>
          <w:szCs w:val="22"/>
        </w:rPr>
        <w:t>Maruani</w:t>
      </w:r>
      <w:proofErr w:type="spellEnd"/>
      <w:r w:rsidRPr="004C3367">
        <w:rPr>
          <w:rFonts w:ascii="Times New Roman" w:hAnsi="Times New Roman"/>
          <w:sz w:val="22"/>
          <w:szCs w:val="22"/>
        </w:rPr>
        <w:t>, 2005, p. 12)</w:t>
      </w:r>
    </w:p>
    <w:p w:rsidR="00881D40" w:rsidRDefault="00AD12C6" w:rsidP="00185171">
      <w:pPr>
        <w:spacing w:before="120" w:line="360" w:lineRule="auto"/>
        <w:jc w:val="both"/>
        <w:rPr>
          <w:rFonts w:ascii="Times New Roman" w:hAnsi="Times New Roman"/>
          <w:sz w:val="22"/>
          <w:szCs w:val="22"/>
        </w:rPr>
      </w:pPr>
      <w:r>
        <w:rPr>
          <w:rFonts w:ascii="Times New Roman" w:hAnsi="Times New Roman"/>
          <w:sz w:val="22"/>
          <w:szCs w:val="22"/>
        </w:rPr>
        <w:t>T</w:t>
      </w:r>
      <w:r w:rsidR="00881D40" w:rsidRPr="004C3367">
        <w:rPr>
          <w:rFonts w:ascii="Times New Roman" w:hAnsi="Times New Roman"/>
          <w:sz w:val="22"/>
          <w:szCs w:val="22"/>
        </w:rPr>
        <w:t xml:space="preserve">oute action publique est portée par des modes de catégorisation implicites, qui définissent à la fois le public et les moyens d’une politique, </w:t>
      </w:r>
      <w:r>
        <w:rPr>
          <w:rFonts w:ascii="Times New Roman" w:hAnsi="Times New Roman"/>
          <w:sz w:val="22"/>
          <w:szCs w:val="22"/>
        </w:rPr>
        <w:t xml:space="preserve">contribuant à renforcer </w:t>
      </w:r>
      <w:r w:rsidR="00881D40" w:rsidRPr="004C3367">
        <w:rPr>
          <w:rFonts w:ascii="Times New Roman" w:hAnsi="Times New Roman"/>
          <w:sz w:val="22"/>
          <w:szCs w:val="22"/>
        </w:rPr>
        <w:t>son efficacité et sa légitimité. Parmi ces catégorisations, celle du genre est sans doute un des axes les plus profonds, car le rapport entre les sexes forme un pilier de l’organisation sociale et la culture contraint, voire conditionne, l’identité homme / femme (</w:t>
      </w:r>
      <w:proofErr w:type="spellStart"/>
      <w:r w:rsidR="00881D40" w:rsidRPr="004C3367">
        <w:rPr>
          <w:rFonts w:ascii="Times New Roman" w:hAnsi="Times New Roman"/>
          <w:sz w:val="22"/>
          <w:szCs w:val="22"/>
        </w:rPr>
        <w:t>Jenson</w:t>
      </w:r>
      <w:proofErr w:type="spellEnd"/>
      <w:r w:rsidR="00881D40" w:rsidRPr="004C3367">
        <w:rPr>
          <w:rFonts w:ascii="Times New Roman" w:hAnsi="Times New Roman"/>
          <w:sz w:val="22"/>
          <w:szCs w:val="22"/>
        </w:rPr>
        <w:t xml:space="preserve"> et </w:t>
      </w:r>
      <w:proofErr w:type="spellStart"/>
      <w:r w:rsidR="00881D40" w:rsidRPr="004C3367">
        <w:rPr>
          <w:rFonts w:ascii="Times New Roman" w:hAnsi="Times New Roman"/>
          <w:sz w:val="22"/>
          <w:szCs w:val="22"/>
        </w:rPr>
        <w:t>Lépinard</w:t>
      </w:r>
      <w:proofErr w:type="spellEnd"/>
      <w:r w:rsidR="00881D40" w:rsidRPr="004C3367">
        <w:rPr>
          <w:rFonts w:ascii="Times New Roman" w:hAnsi="Times New Roman"/>
          <w:sz w:val="22"/>
          <w:szCs w:val="22"/>
        </w:rPr>
        <w:t xml:space="preserve">, 2009). Chaque société définit des caractéristiques et des rôles féminins et masculins associés aux différences biologiques mais aussi et surtout à leurs représentations. Ces constructions sociales évoluent dans le temps et sont progressivement perçues comme naturelles, véhiculant des images et des représentations stéréotypées de l’un et l’autre sexe, de ses compétences, de ses rôles et sphères d’activité (Cornet, 2007). </w:t>
      </w:r>
      <w:r w:rsidR="00492D9E" w:rsidRPr="004C3367">
        <w:rPr>
          <w:rFonts w:ascii="Times New Roman" w:hAnsi="Times New Roman"/>
          <w:sz w:val="22"/>
          <w:szCs w:val="22"/>
        </w:rPr>
        <w:t xml:space="preserve">La prise en compte des rapports sociaux de sexe contribue à mettre en évidence une réalité sociale en perpétuelle mutation. Elle demande une réflexion critique sur les paradigmes traditionnels, par exemple en dépassant une perspective d’analyse de politique en fonction des groupes cibles (hommes / femmes) pour intégrer les effets de l’action sur la structuration des inégalités entre hommes et femmes. </w:t>
      </w:r>
      <w:r w:rsidR="00881D40" w:rsidRPr="004C3367">
        <w:rPr>
          <w:rFonts w:ascii="Times New Roman" w:hAnsi="Times New Roman"/>
          <w:sz w:val="22"/>
          <w:szCs w:val="22"/>
        </w:rPr>
        <w:t xml:space="preserve"> Il s’agit de s’arracher d’une approche </w:t>
      </w:r>
      <w:proofErr w:type="spellStart"/>
      <w:r w:rsidR="00881D40" w:rsidRPr="004C3367">
        <w:rPr>
          <w:rFonts w:ascii="Times New Roman" w:hAnsi="Times New Roman"/>
          <w:sz w:val="22"/>
          <w:szCs w:val="22"/>
        </w:rPr>
        <w:t>naturalisante</w:t>
      </w:r>
      <w:proofErr w:type="spellEnd"/>
      <w:r w:rsidR="00881D40" w:rsidRPr="004C3367">
        <w:rPr>
          <w:rFonts w:ascii="Times New Roman" w:hAnsi="Times New Roman"/>
          <w:sz w:val="22"/>
          <w:szCs w:val="22"/>
        </w:rPr>
        <w:t xml:space="preserve"> de la dimension du genre entre les catégories d’espace privé / public en pensant la division sexuée de ces deux espaces et leur articulation comme principe</w:t>
      </w:r>
      <w:r w:rsidR="00582F4A">
        <w:rPr>
          <w:rFonts w:ascii="Times New Roman" w:hAnsi="Times New Roman"/>
          <w:sz w:val="22"/>
          <w:szCs w:val="22"/>
        </w:rPr>
        <w:t>s structurant</w:t>
      </w:r>
      <w:r w:rsidR="00881D40" w:rsidRPr="004C3367">
        <w:rPr>
          <w:rFonts w:ascii="Times New Roman" w:hAnsi="Times New Roman"/>
          <w:sz w:val="22"/>
          <w:szCs w:val="22"/>
        </w:rPr>
        <w:t xml:space="preserve"> toute société humaine.</w:t>
      </w:r>
      <w:r w:rsidR="00492D9E">
        <w:rPr>
          <w:rFonts w:ascii="Times New Roman" w:hAnsi="Times New Roman"/>
          <w:sz w:val="22"/>
          <w:szCs w:val="22"/>
        </w:rPr>
        <w:t xml:space="preserve"> Affronter la problématique de l’impact de l’action publique sur la relation privé-public reste encore un impensé méthodologique dans le domaine de </w:t>
      </w:r>
      <w:r>
        <w:rPr>
          <w:rFonts w:ascii="Times New Roman" w:hAnsi="Times New Roman"/>
          <w:sz w:val="22"/>
          <w:szCs w:val="22"/>
        </w:rPr>
        <w:t>l’analyse et de l’évaluation des politiques.</w:t>
      </w:r>
    </w:p>
    <w:p w:rsidR="00492D9E" w:rsidRDefault="00881D40" w:rsidP="00185171">
      <w:pPr>
        <w:spacing w:before="120" w:line="360" w:lineRule="auto"/>
        <w:jc w:val="both"/>
        <w:rPr>
          <w:rFonts w:ascii="Times New Roman" w:hAnsi="Times New Roman"/>
          <w:sz w:val="22"/>
          <w:szCs w:val="22"/>
        </w:rPr>
      </w:pPr>
      <w:r w:rsidRPr="004C3367">
        <w:rPr>
          <w:rFonts w:ascii="Times New Roman" w:hAnsi="Times New Roman"/>
          <w:sz w:val="22"/>
          <w:szCs w:val="22"/>
        </w:rPr>
        <w:t>Intégrer cette dimension dans la gestion publique permet une pluralité des pe</w:t>
      </w:r>
      <w:r w:rsidR="006048C0">
        <w:rPr>
          <w:rFonts w:ascii="Times New Roman" w:hAnsi="Times New Roman"/>
          <w:sz w:val="22"/>
          <w:szCs w:val="22"/>
        </w:rPr>
        <w:t xml:space="preserve">rspectives et contribue </w:t>
      </w:r>
      <w:r w:rsidR="006048C0" w:rsidRPr="006048C0">
        <w:rPr>
          <w:rFonts w:ascii="Times New Roman" w:hAnsi="Times New Roman"/>
          <w:i/>
          <w:sz w:val="22"/>
          <w:szCs w:val="22"/>
        </w:rPr>
        <w:t>in fine</w:t>
      </w:r>
      <w:r w:rsidRPr="004C3367">
        <w:rPr>
          <w:rFonts w:ascii="Times New Roman" w:hAnsi="Times New Roman"/>
          <w:sz w:val="22"/>
          <w:szCs w:val="22"/>
        </w:rPr>
        <w:t xml:space="preserve"> à une meilleure gouvernance. </w:t>
      </w:r>
      <w:r w:rsidR="00492D9E">
        <w:rPr>
          <w:rFonts w:ascii="Times New Roman" w:hAnsi="Times New Roman"/>
          <w:sz w:val="22"/>
          <w:szCs w:val="22"/>
        </w:rPr>
        <w:t xml:space="preserve">L’entrée par le genre renouvelle les modalités de l’analyse de l’action publique et permet de poser de nouvelles questions sur l’impact des politiques menées sur les déterminants de l’ordre social, y compris la relation public-privé </w:t>
      </w:r>
      <w:r w:rsidR="00E917E7">
        <w:rPr>
          <w:rFonts w:ascii="Times New Roman" w:hAnsi="Times New Roman"/>
          <w:sz w:val="22"/>
          <w:szCs w:val="22"/>
        </w:rPr>
        <w:t xml:space="preserve">et l’ordre sexué qui en découle, tous deux </w:t>
      </w:r>
      <w:r w:rsidR="00492D9E">
        <w:rPr>
          <w:rFonts w:ascii="Times New Roman" w:hAnsi="Times New Roman"/>
          <w:sz w:val="22"/>
          <w:szCs w:val="22"/>
        </w:rPr>
        <w:t>légitimé</w:t>
      </w:r>
      <w:r w:rsidR="00E917E7">
        <w:rPr>
          <w:rFonts w:ascii="Times New Roman" w:hAnsi="Times New Roman"/>
          <w:sz w:val="22"/>
          <w:szCs w:val="22"/>
        </w:rPr>
        <w:t xml:space="preserve">s </w:t>
      </w:r>
      <w:r w:rsidR="00492D9E">
        <w:rPr>
          <w:rFonts w:ascii="Times New Roman" w:hAnsi="Times New Roman"/>
          <w:sz w:val="22"/>
          <w:szCs w:val="22"/>
        </w:rPr>
        <w:t>par un ordre juridique aujourd’hui largement remis en question</w:t>
      </w:r>
      <w:r w:rsidR="00E917E7">
        <w:rPr>
          <w:rFonts w:ascii="Times New Roman" w:hAnsi="Times New Roman"/>
          <w:sz w:val="22"/>
          <w:szCs w:val="22"/>
        </w:rPr>
        <w:t xml:space="preserve">. D’une part les combats féministes revendiquent de nouvelles politiques qui contribuent à transformer les déterminants de l’ordre sexué de notre société. D’autre part, la plupart des politiques contribuent à renforcer cet ordre en restant aveugles à ces dimensions structurantes, consolidant ce que d’autres groupes cherchent à faire vaciller. </w:t>
      </w:r>
    </w:p>
    <w:p w:rsidR="00386265" w:rsidRPr="004C3367" w:rsidRDefault="00881D40" w:rsidP="00185171">
      <w:pPr>
        <w:spacing w:before="120" w:line="360" w:lineRule="auto"/>
        <w:jc w:val="both"/>
        <w:rPr>
          <w:rFonts w:ascii="Times New Roman" w:hAnsi="Times New Roman"/>
          <w:sz w:val="22"/>
          <w:szCs w:val="22"/>
        </w:rPr>
      </w:pPr>
      <w:r w:rsidRPr="004C3367">
        <w:rPr>
          <w:rFonts w:ascii="Times New Roman" w:hAnsi="Times New Roman"/>
          <w:sz w:val="22"/>
          <w:szCs w:val="22"/>
        </w:rPr>
        <w:t>L’expérience en Belgique (francophone) montre que les instruments analytiques et scientifiques sont aujourd’hui disponibles, bien que l’institutionnalisation de cette discipline au sein des sciences humaines soit encore limitée et que la capacité de généralisation dans les pratiques soit encore faible</w:t>
      </w:r>
      <w:r w:rsidR="00E917E7">
        <w:rPr>
          <w:rFonts w:ascii="Times New Roman" w:hAnsi="Times New Roman"/>
          <w:sz w:val="22"/>
          <w:szCs w:val="22"/>
        </w:rPr>
        <w:t>.</w:t>
      </w:r>
      <w:r w:rsidRPr="004C3367">
        <w:rPr>
          <w:rFonts w:ascii="Times New Roman" w:hAnsi="Times New Roman"/>
          <w:sz w:val="22"/>
          <w:szCs w:val="22"/>
        </w:rPr>
        <w:t xml:space="preserve"> </w:t>
      </w:r>
      <w:r w:rsidR="00AD12C6">
        <w:rPr>
          <w:rFonts w:ascii="Times New Roman" w:hAnsi="Times New Roman"/>
          <w:sz w:val="22"/>
          <w:szCs w:val="22"/>
        </w:rPr>
        <w:t xml:space="preserve">Simultanément, </w:t>
      </w:r>
      <w:r w:rsidRPr="004C3367">
        <w:rPr>
          <w:rFonts w:ascii="Times New Roman" w:hAnsi="Times New Roman"/>
          <w:sz w:val="22"/>
          <w:szCs w:val="22"/>
        </w:rPr>
        <w:t xml:space="preserve">l’administration </w:t>
      </w:r>
      <w:r w:rsidR="00AD12C6">
        <w:rPr>
          <w:rFonts w:ascii="Times New Roman" w:hAnsi="Times New Roman"/>
          <w:sz w:val="22"/>
          <w:szCs w:val="22"/>
        </w:rPr>
        <w:t xml:space="preserve">se voit contrainte de réviser ses logiques d’intervention </w:t>
      </w:r>
      <w:r w:rsidRPr="004C3367">
        <w:rPr>
          <w:rFonts w:ascii="Times New Roman" w:hAnsi="Times New Roman"/>
          <w:sz w:val="22"/>
          <w:szCs w:val="22"/>
        </w:rPr>
        <w:t xml:space="preserve">et son cadre </w:t>
      </w:r>
      <w:r w:rsidRPr="004C3367">
        <w:rPr>
          <w:rFonts w:ascii="Times New Roman" w:hAnsi="Times New Roman"/>
          <w:sz w:val="22"/>
          <w:szCs w:val="22"/>
        </w:rPr>
        <w:lastRenderedPageBreak/>
        <w:t xml:space="preserve">de travail </w:t>
      </w:r>
      <w:r w:rsidR="00AD12C6">
        <w:rPr>
          <w:rFonts w:ascii="Times New Roman" w:hAnsi="Times New Roman"/>
          <w:sz w:val="22"/>
          <w:szCs w:val="22"/>
        </w:rPr>
        <w:t>pour assurer</w:t>
      </w:r>
      <w:r w:rsidRPr="004C3367">
        <w:rPr>
          <w:rFonts w:ascii="Times New Roman" w:hAnsi="Times New Roman"/>
          <w:sz w:val="22"/>
          <w:szCs w:val="22"/>
        </w:rPr>
        <w:t xml:space="preserve"> l’intégration de nombreux textes européens dans la législation belge</w:t>
      </w:r>
      <w:r w:rsidR="00386265" w:rsidRPr="004C3367">
        <w:rPr>
          <w:rStyle w:val="Appelnotedebasdep"/>
          <w:rFonts w:ascii="Times New Roman" w:hAnsi="Times New Roman"/>
          <w:sz w:val="22"/>
          <w:szCs w:val="22"/>
        </w:rPr>
        <w:footnoteReference w:id="1"/>
      </w:r>
      <w:r w:rsidR="00386265" w:rsidRPr="004C3367">
        <w:rPr>
          <w:rFonts w:ascii="Times New Roman" w:hAnsi="Times New Roman"/>
          <w:sz w:val="22"/>
          <w:szCs w:val="22"/>
        </w:rPr>
        <w:t>. Les autorités se trouvent engagées dans des dynamiques innovantes en terme</w:t>
      </w:r>
      <w:r w:rsidR="00386265">
        <w:rPr>
          <w:rFonts w:ascii="Times New Roman" w:hAnsi="Times New Roman"/>
          <w:sz w:val="22"/>
          <w:szCs w:val="22"/>
        </w:rPr>
        <w:t>s</w:t>
      </w:r>
      <w:r w:rsidR="00386265" w:rsidRPr="004C3367">
        <w:rPr>
          <w:rFonts w:ascii="Times New Roman" w:hAnsi="Times New Roman"/>
          <w:sz w:val="22"/>
          <w:szCs w:val="22"/>
        </w:rPr>
        <w:t xml:space="preserve"> de genre et elles cherchent à développer des dispositifs leur permettant de mobiliser de nouvelles perspectives </w:t>
      </w:r>
      <w:r w:rsidR="00386265">
        <w:rPr>
          <w:rFonts w:ascii="Times New Roman" w:hAnsi="Times New Roman"/>
          <w:sz w:val="22"/>
          <w:szCs w:val="22"/>
        </w:rPr>
        <w:t xml:space="preserve">pour leurs actions, </w:t>
      </w:r>
      <w:r w:rsidR="00386265" w:rsidRPr="004C3367">
        <w:rPr>
          <w:rFonts w:ascii="Times New Roman" w:hAnsi="Times New Roman"/>
          <w:sz w:val="22"/>
          <w:szCs w:val="22"/>
        </w:rPr>
        <w:t>adaptées aux contingences politiques nationales ou régionales</w:t>
      </w:r>
      <w:r w:rsidR="00386265">
        <w:rPr>
          <w:rFonts w:ascii="Times New Roman" w:hAnsi="Times New Roman"/>
          <w:sz w:val="22"/>
          <w:szCs w:val="22"/>
        </w:rPr>
        <w:t xml:space="preserve"> autant qu’aux injonctions européennes</w:t>
      </w:r>
      <w:r w:rsidR="00386265" w:rsidRPr="004C3367">
        <w:rPr>
          <w:rFonts w:ascii="Times New Roman" w:hAnsi="Times New Roman"/>
          <w:sz w:val="22"/>
          <w:szCs w:val="22"/>
        </w:rPr>
        <w:t xml:space="preserve">. </w:t>
      </w:r>
    </w:p>
    <w:p w:rsidR="00386265" w:rsidRPr="00185171" w:rsidRDefault="00386265" w:rsidP="00185171">
      <w:pPr>
        <w:spacing w:before="120" w:line="360" w:lineRule="auto"/>
        <w:jc w:val="both"/>
        <w:rPr>
          <w:rFonts w:ascii="Times New Roman" w:hAnsi="Times New Roman"/>
          <w:b/>
          <w:i/>
          <w:sz w:val="22"/>
          <w:szCs w:val="22"/>
        </w:rPr>
      </w:pPr>
      <w:r w:rsidRPr="004C3367">
        <w:rPr>
          <w:rFonts w:ascii="Times New Roman" w:hAnsi="Times New Roman"/>
          <w:b/>
          <w:i/>
          <w:sz w:val="22"/>
          <w:szCs w:val="22"/>
        </w:rPr>
        <w:t>2. Comment intégrer le genre dans les politiques publiques</w:t>
      </w:r>
    </w:p>
    <w:p w:rsidR="00386265" w:rsidRDefault="00386265" w:rsidP="00185171">
      <w:pPr>
        <w:spacing w:before="120" w:line="360" w:lineRule="auto"/>
        <w:jc w:val="both"/>
        <w:rPr>
          <w:rFonts w:ascii="Times New Roman" w:hAnsi="Times New Roman"/>
          <w:sz w:val="22"/>
          <w:szCs w:val="22"/>
        </w:rPr>
      </w:pPr>
      <w:r>
        <w:rPr>
          <w:rFonts w:ascii="Times New Roman" w:hAnsi="Times New Roman"/>
          <w:sz w:val="22"/>
          <w:szCs w:val="22"/>
        </w:rPr>
        <w:t xml:space="preserve">Le processus de construction d’un secteur d’action publique est </w:t>
      </w:r>
      <w:r w:rsidR="00582F4A">
        <w:rPr>
          <w:rFonts w:ascii="Times New Roman" w:hAnsi="Times New Roman"/>
          <w:sz w:val="22"/>
          <w:szCs w:val="22"/>
        </w:rPr>
        <w:t>à la fois politique et cognitif (</w:t>
      </w:r>
      <w:proofErr w:type="spellStart"/>
      <w:r w:rsidR="00582F4A">
        <w:rPr>
          <w:rFonts w:ascii="Times New Roman" w:hAnsi="Times New Roman"/>
          <w:sz w:val="22"/>
          <w:szCs w:val="22"/>
        </w:rPr>
        <w:t>Zittoun</w:t>
      </w:r>
      <w:proofErr w:type="spellEnd"/>
      <w:r w:rsidR="00582F4A">
        <w:rPr>
          <w:rFonts w:ascii="Times New Roman" w:hAnsi="Times New Roman"/>
          <w:sz w:val="22"/>
          <w:szCs w:val="22"/>
        </w:rPr>
        <w:t xml:space="preserve"> 2013).</w:t>
      </w:r>
      <w:r>
        <w:rPr>
          <w:rFonts w:ascii="Times New Roman" w:hAnsi="Times New Roman"/>
          <w:sz w:val="22"/>
          <w:szCs w:val="22"/>
        </w:rPr>
        <w:t xml:space="preserve"> L’objet d’intervention résulte d’un processus social de problématisation qui définit le problème social en le reconnaissant comme digne d’intervention. Les politiques sont un moment de décryptage des rapports sociaux, autant qu’un espace de transformation : pour disposer d’une prise et agir sur un problème, il faut d’abord en proposer une mise en perspective, délimiter le cadre de l’action légitime et en préciser les groupes cibles</w:t>
      </w:r>
    </w:p>
    <w:p w:rsidR="00386265" w:rsidRDefault="00386265" w:rsidP="00185171">
      <w:pPr>
        <w:spacing w:before="120" w:line="360" w:lineRule="auto"/>
        <w:jc w:val="both"/>
        <w:rPr>
          <w:rFonts w:ascii="Times New Roman" w:hAnsi="Times New Roman"/>
          <w:sz w:val="22"/>
          <w:szCs w:val="22"/>
        </w:rPr>
      </w:pPr>
      <w:r w:rsidRPr="004C3367">
        <w:rPr>
          <w:rFonts w:ascii="Times New Roman" w:hAnsi="Times New Roman"/>
          <w:sz w:val="22"/>
          <w:szCs w:val="22"/>
        </w:rPr>
        <w:t xml:space="preserve">La question </w:t>
      </w:r>
      <w:r>
        <w:rPr>
          <w:rFonts w:ascii="Times New Roman" w:hAnsi="Times New Roman"/>
          <w:sz w:val="22"/>
          <w:szCs w:val="22"/>
        </w:rPr>
        <w:t xml:space="preserve">de recherche </w:t>
      </w:r>
      <w:r w:rsidRPr="004C3367">
        <w:rPr>
          <w:rFonts w:ascii="Times New Roman" w:hAnsi="Times New Roman"/>
          <w:sz w:val="22"/>
          <w:szCs w:val="22"/>
        </w:rPr>
        <w:t xml:space="preserve">devient : si on considère que la dimension de « genre » est indispensable dans l’analyse de l’action de l’état, pour assurer la qualité de celle-ci et son efficacité, </w:t>
      </w:r>
      <w:r w:rsidRPr="004C3367">
        <w:rPr>
          <w:rFonts w:ascii="Times New Roman" w:hAnsi="Times New Roman"/>
          <w:b/>
          <w:i/>
          <w:sz w:val="22"/>
          <w:szCs w:val="22"/>
        </w:rPr>
        <w:t xml:space="preserve">comme intégrer cette dimension dans l’étude de l’état et de son action </w:t>
      </w:r>
      <w:r w:rsidRPr="004C3367">
        <w:rPr>
          <w:rFonts w:ascii="Times New Roman" w:hAnsi="Times New Roman"/>
          <w:sz w:val="22"/>
          <w:szCs w:val="22"/>
        </w:rPr>
        <w:t>en prenant comme point de départ une approche pragmatique, c’est-à-dire une entrée par les politiques publiqu</w:t>
      </w:r>
      <w:r>
        <w:rPr>
          <w:rFonts w:ascii="Times New Roman" w:hAnsi="Times New Roman"/>
          <w:sz w:val="22"/>
          <w:szCs w:val="22"/>
        </w:rPr>
        <w:t xml:space="preserve">es et les instruments mobilisés ? </w:t>
      </w:r>
    </w:p>
    <w:p w:rsidR="00386265" w:rsidRDefault="00386265" w:rsidP="00185171">
      <w:pPr>
        <w:spacing w:before="120" w:line="360" w:lineRule="auto"/>
        <w:jc w:val="both"/>
        <w:rPr>
          <w:rFonts w:ascii="Times New Roman" w:hAnsi="Times New Roman"/>
          <w:sz w:val="22"/>
          <w:szCs w:val="22"/>
        </w:rPr>
      </w:pPr>
      <w:r>
        <w:rPr>
          <w:rFonts w:ascii="Times New Roman" w:hAnsi="Times New Roman"/>
          <w:sz w:val="22"/>
          <w:szCs w:val="22"/>
        </w:rPr>
        <w:t xml:space="preserve">De façon plus spécifique, dans  les pratiques concrètes de </w:t>
      </w:r>
      <w:proofErr w:type="spellStart"/>
      <w:r w:rsidRPr="00B661AD">
        <w:rPr>
          <w:rFonts w:ascii="Times New Roman" w:hAnsi="Times New Roman"/>
          <w:i/>
          <w:sz w:val="22"/>
          <w:szCs w:val="22"/>
        </w:rPr>
        <w:t>gender</w:t>
      </w:r>
      <w:proofErr w:type="spellEnd"/>
      <w:r w:rsidRPr="00B661AD">
        <w:rPr>
          <w:rFonts w:ascii="Times New Roman" w:hAnsi="Times New Roman"/>
          <w:i/>
          <w:sz w:val="22"/>
          <w:szCs w:val="22"/>
        </w:rPr>
        <w:t xml:space="preserve"> </w:t>
      </w:r>
      <w:proofErr w:type="spellStart"/>
      <w:r w:rsidRPr="00B661AD">
        <w:rPr>
          <w:rFonts w:ascii="Times New Roman" w:hAnsi="Times New Roman"/>
          <w:i/>
          <w:sz w:val="22"/>
          <w:szCs w:val="22"/>
        </w:rPr>
        <w:t>mainstreaming</w:t>
      </w:r>
      <w:proofErr w:type="spellEnd"/>
      <w:r>
        <w:rPr>
          <w:rFonts w:ascii="Times New Roman" w:hAnsi="Times New Roman"/>
          <w:sz w:val="22"/>
          <w:szCs w:val="22"/>
        </w:rPr>
        <w:t>, quels problèmes rencontrent les acteurs chargés de leur mise en œuvre ? L’appropriation de cet outil est-il possible ?</w:t>
      </w:r>
    </w:p>
    <w:p w:rsidR="00386265" w:rsidRPr="00F11326" w:rsidRDefault="00386265" w:rsidP="00185171">
      <w:pPr>
        <w:spacing w:before="120" w:line="360" w:lineRule="auto"/>
        <w:rPr>
          <w:rFonts w:ascii="Times New Roman" w:hAnsi="Times New Roman"/>
          <w:b/>
          <w:i/>
          <w:sz w:val="22"/>
          <w:szCs w:val="22"/>
        </w:rPr>
      </w:pPr>
      <w:r w:rsidRPr="00F11326">
        <w:rPr>
          <w:rFonts w:ascii="Times New Roman" w:hAnsi="Times New Roman"/>
          <w:b/>
          <w:i/>
          <w:sz w:val="22"/>
          <w:szCs w:val="22"/>
        </w:rPr>
        <w:t xml:space="preserve">2.1. </w:t>
      </w:r>
      <w:r>
        <w:rPr>
          <w:rFonts w:ascii="Times New Roman" w:hAnsi="Times New Roman"/>
          <w:b/>
          <w:i/>
          <w:sz w:val="22"/>
          <w:szCs w:val="22"/>
        </w:rPr>
        <w:t xml:space="preserve">Une analyse de genre dans les politiques </w:t>
      </w:r>
    </w:p>
    <w:p w:rsidR="00386265" w:rsidRPr="004C3367" w:rsidRDefault="00386265" w:rsidP="00185171">
      <w:pPr>
        <w:pStyle w:val="Paragraphedeliste"/>
        <w:spacing w:before="120" w:line="360" w:lineRule="auto"/>
        <w:ind w:left="0"/>
        <w:jc w:val="both"/>
        <w:rPr>
          <w:rFonts w:ascii="Times New Roman" w:hAnsi="Times New Roman"/>
          <w:sz w:val="22"/>
          <w:szCs w:val="22"/>
        </w:rPr>
      </w:pPr>
      <w:r w:rsidRPr="004C3367">
        <w:rPr>
          <w:rFonts w:ascii="Times New Roman" w:hAnsi="Times New Roman"/>
          <w:sz w:val="22"/>
          <w:szCs w:val="22"/>
        </w:rPr>
        <w:t xml:space="preserve">Mobiliser une  </w:t>
      </w:r>
      <w:r w:rsidRPr="00582F4A">
        <w:rPr>
          <w:rFonts w:ascii="Times New Roman" w:hAnsi="Times New Roman"/>
          <w:sz w:val="22"/>
          <w:szCs w:val="22"/>
        </w:rPr>
        <w:t>« analyse de genre »</w:t>
      </w:r>
      <w:r w:rsidRPr="004C3367">
        <w:rPr>
          <w:rFonts w:ascii="Times New Roman" w:hAnsi="Times New Roman"/>
          <w:sz w:val="22"/>
          <w:szCs w:val="22"/>
        </w:rPr>
        <w:t xml:space="preserve"> suppose de mettre en évidence la distribution sexuée des ressources et de l’espace social mais aussi la construction symbolique de l’espace social autour des valeurs socialement identifiées comme féminine ou masculine pour mettre en évidence les rapports de pouvoir entre les sexes qui prennent appui sur </w:t>
      </w:r>
      <w:r>
        <w:rPr>
          <w:rFonts w:ascii="Times New Roman" w:hAnsi="Times New Roman"/>
          <w:sz w:val="22"/>
          <w:szCs w:val="22"/>
        </w:rPr>
        <w:t>ces valeurs sociales. (</w:t>
      </w:r>
      <w:proofErr w:type="spellStart"/>
      <w:r>
        <w:rPr>
          <w:rFonts w:ascii="Times New Roman" w:hAnsi="Times New Roman"/>
          <w:sz w:val="22"/>
          <w:szCs w:val="22"/>
        </w:rPr>
        <w:t>Bereni</w:t>
      </w:r>
      <w:proofErr w:type="spellEnd"/>
      <w:r>
        <w:rPr>
          <w:rFonts w:ascii="Times New Roman" w:hAnsi="Times New Roman"/>
          <w:sz w:val="22"/>
          <w:szCs w:val="22"/>
        </w:rPr>
        <w:t xml:space="preserve"> &amp;</w:t>
      </w:r>
      <w:r w:rsidRPr="004C3367">
        <w:rPr>
          <w:rFonts w:ascii="Times New Roman" w:hAnsi="Times New Roman"/>
          <w:sz w:val="22"/>
          <w:szCs w:val="22"/>
        </w:rPr>
        <w:t xml:space="preserve"> </w:t>
      </w:r>
      <w:proofErr w:type="spellStart"/>
      <w:r w:rsidRPr="004C3367">
        <w:rPr>
          <w:rFonts w:ascii="Times New Roman" w:hAnsi="Times New Roman"/>
          <w:sz w:val="22"/>
          <w:szCs w:val="22"/>
        </w:rPr>
        <w:t>Revillard</w:t>
      </w:r>
      <w:proofErr w:type="spellEnd"/>
      <w:r w:rsidRPr="004C3367">
        <w:rPr>
          <w:rFonts w:ascii="Times New Roman" w:hAnsi="Times New Roman"/>
          <w:sz w:val="22"/>
          <w:szCs w:val="22"/>
        </w:rPr>
        <w:t xml:space="preserve"> 2009). Intégrer une telle démarche dans l’analyse des politiques ne peut qu’enrichir cette dernière en lui permettant de développer une connaissance p</w:t>
      </w:r>
      <w:r>
        <w:rPr>
          <w:rFonts w:ascii="Times New Roman" w:hAnsi="Times New Roman"/>
          <w:sz w:val="22"/>
          <w:szCs w:val="22"/>
        </w:rPr>
        <w:t>lus fine de la façon dont les politiques</w:t>
      </w:r>
      <w:r w:rsidRPr="004C3367">
        <w:rPr>
          <w:rFonts w:ascii="Times New Roman" w:hAnsi="Times New Roman"/>
          <w:sz w:val="22"/>
          <w:szCs w:val="22"/>
        </w:rPr>
        <w:t xml:space="preserve"> modifien</w:t>
      </w:r>
      <w:r>
        <w:rPr>
          <w:rFonts w:ascii="Times New Roman" w:hAnsi="Times New Roman"/>
          <w:sz w:val="22"/>
          <w:szCs w:val="22"/>
        </w:rPr>
        <w:t xml:space="preserve">t (ou non) les rapports sociaux. </w:t>
      </w:r>
      <w:r w:rsidRPr="00533776">
        <w:rPr>
          <w:rFonts w:ascii="Times New Roman" w:hAnsi="Times New Roman"/>
          <w:sz w:val="22"/>
          <w:szCs w:val="22"/>
        </w:rPr>
        <w:t xml:space="preserve"> L’analyse des </w:t>
      </w:r>
      <w:r>
        <w:rPr>
          <w:rFonts w:ascii="Times New Roman" w:hAnsi="Times New Roman"/>
          <w:sz w:val="22"/>
          <w:szCs w:val="22"/>
        </w:rPr>
        <w:t>politiques publiques</w:t>
      </w:r>
      <w:r w:rsidRPr="00533776">
        <w:rPr>
          <w:rFonts w:ascii="Times New Roman" w:hAnsi="Times New Roman"/>
          <w:sz w:val="22"/>
          <w:szCs w:val="22"/>
        </w:rPr>
        <w:t xml:space="preserve"> ne fait pas autre chose</w:t>
      </w:r>
      <w:r>
        <w:rPr>
          <w:rFonts w:ascii="Times New Roman" w:hAnsi="Times New Roman"/>
          <w:sz w:val="22"/>
          <w:szCs w:val="22"/>
        </w:rPr>
        <w:t xml:space="preserve"> : </w:t>
      </w:r>
      <w:r w:rsidRPr="004C3367">
        <w:rPr>
          <w:rFonts w:ascii="Times New Roman" w:hAnsi="Times New Roman"/>
          <w:sz w:val="22"/>
          <w:szCs w:val="22"/>
        </w:rPr>
        <w:t>elle analyse comment l’action de l’état contr</w:t>
      </w:r>
      <w:r>
        <w:rPr>
          <w:rFonts w:ascii="Times New Roman" w:hAnsi="Times New Roman"/>
          <w:sz w:val="22"/>
          <w:szCs w:val="22"/>
        </w:rPr>
        <w:t xml:space="preserve">ibue à produire l’ordre social ou comment </w:t>
      </w:r>
      <w:r w:rsidRPr="004C3367">
        <w:rPr>
          <w:rFonts w:ascii="Times New Roman" w:hAnsi="Times New Roman"/>
          <w:sz w:val="22"/>
          <w:szCs w:val="22"/>
        </w:rPr>
        <w:t xml:space="preserve"> les sociétés se fabriquent, se transforment, agissent sur elles-mêmes</w:t>
      </w:r>
      <w:r>
        <w:rPr>
          <w:rFonts w:ascii="Times New Roman" w:hAnsi="Times New Roman"/>
          <w:sz w:val="22"/>
          <w:szCs w:val="22"/>
        </w:rPr>
        <w:t xml:space="preserve"> (</w:t>
      </w:r>
      <w:r w:rsidRPr="004C3367">
        <w:rPr>
          <w:rFonts w:ascii="Times New Roman" w:hAnsi="Times New Roman"/>
          <w:sz w:val="22"/>
          <w:szCs w:val="22"/>
        </w:rPr>
        <w:t>Muller </w:t>
      </w:r>
      <w:r>
        <w:rPr>
          <w:rFonts w:ascii="Times New Roman" w:hAnsi="Times New Roman"/>
          <w:sz w:val="22"/>
          <w:szCs w:val="22"/>
        </w:rPr>
        <w:t>2009).</w:t>
      </w:r>
      <w:r w:rsidRPr="004C3367">
        <w:rPr>
          <w:rFonts w:ascii="Times New Roman" w:hAnsi="Times New Roman"/>
          <w:sz w:val="22"/>
          <w:szCs w:val="22"/>
        </w:rPr>
        <w:t xml:space="preserve">  </w:t>
      </w:r>
    </w:p>
    <w:p w:rsidR="00386265" w:rsidRPr="004C3367" w:rsidRDefault="00386265" w:rsidP="00185171">
      <w:pPr>
        <w:pStyle w:val="Paragraphedeliste"/>
        <w:spacing w:before="120" w:line="360" w:lineRule="auto"/>
        <w:ind w:left="0"/>
        <w:jc w:val="both"/>
        <w:rPr>
          <w:rFonts w:ascii="Times New Roman" w:hAnsi="Times New Roman"/>
          <w:sz w:val="22"/>
          <w:szCs w:val="22"/>
        </w:rPr>
      </w:pPr>
      <w:r>
        <w:rPr>
          <w:rFonts w:ascii="Times New Roman" w:hAnsi="Times New Roman"/>
          <w:sz w:val="22"/>
          <w:szCs w:val="22"/>
        </w:rPr>
        <w:t>D</w:t>
      </w:r>
      <w:r w:rsidRPr="004C3367">
        <w:rPr>
          <w:rFonts w:ascii="Times New Roman" w:hAnsi="Times New Roman"/>
          <w:sz w:val="22"/>
          <w:szCs w:val="22"/>
        </w:rPr>
        <w:t>énaturalise</w:t>
      </w:r>
      <w:r>
        <w:rPr>
          <w:rFonts w:ascii="Times New Roman" w:hAnsi="Times New Roman"/>
          <w:sz w:val="22"/>
          <w:szCs w:val="22"/>
        </w:rPr>
        <w:t>r</w:t>
      </w:r>
      <w:r w:rsidRPr="004C3367">
        <w:rPr>
          <w:rFonts w:ascii="Times New Roman" w:hAnsi="Times New Roman"/>
          <w:sz w:val="22"/>
          <w:szCs w:val="22"/>
        </w:rPr>
        <w:t xml:space="preserve"> les enjeux de pouvoir au cœur des rapports hommes/femmes </w:t>
      </w:r>
      <w:r>
        <w:rPr>
          <w:rFonts w:ascii="Times New Roman" w:hAnsi="Times New Roman"/>
          <w:sz w:val="22"/>
          <w:szCs w:val="22"/>
        </w:rPr>
        <w:t xml:space="preserve"> permet de mettre à l’épreuve l’ordre sexué,</w:t>
      </w:r>
      <w:r w:rsidRPr="004C3367">
        <w:rPr>
          <w:rFonts w:ascii="Times New Roman" w:hAnsi="Times New Roman"/>
          <w:sz w:val="22"/>
          <w:szCs w:val="22"/>
        </w:rPr>
        <w:t xml:space="preserve"> </w:t>
      </w:r>
      <w:r>
        <w:rPr>
          <w:rFonts w:ascii="Times New Roman" w:hAnsi="Times New Roman"/>
          <w:sz w:val="22"/>
          <w:szCs w:val="22"/>
        </w:rPr>
        <w:t>que ce soit dans la sphère publique ou privée, ou à l’interface entre celles-ci</w:t>
      </w:r>
      <w:r w:rsidRPr="004C3367">
        <w:rPr>
          <w:rFonts w:ascii="Times New Roman" w:hAnsi="Times New Roman"/>
          <w:sz w:val="22"/>
          <w:szCs w:val="22"/>
        </w:rPr>
        <w:t>.</w:t>
      </w:r>
    </w:p>
    <w:p w:rsidR="00386265" w:rsidRDefault="00386265" w:rsidP="00185171">
      <w:pPr>
        <w:pStyle w:val="Paragraphedeliste"/>
        <w:spacing w:before="120" w:line="360" w:lineRule="auto"/>
        <w:ind w:left="0"/>
        <w:jc w:val="both"/>
        <w:rPr>
          <w:rFonts w:ascii="Times New Roman" w:hAnsi="Times New Roman"/>
          <w:sz w:val="22"/>
          <w:szCs w:val="22"/>
        </w:rPr>
      </w:pPr>
      <w:r>
        <w:rPr>
          <w:rFonts w:ascii="Times New Roman" w:hAnsi="Times New Roman"/>
          <w:sz w:val="22"/>
          <w:szCs w:val="22"/>
        </w:rPr>
        <w:t>Depuis</w:t>
      </w:r>
      <w:r w:rsidRPr="004C3367">
        <w:rPr>
          <w:rFonts w:ascii="Times New Roman" w:hAnsi="Times New Roman"/>
          <w:sz w:val="22"/>
          <w:szCs w:val="22"/>
        </w:rPr>
        <w:t xml:space="preserve"> les années 2000  plusieurs chercheurs de sciences politiques ont choisi d’inclure la question du genre dans la démarche d’analyse de l’action publique, en dehors du cercle des spécialistes du genre</w:t>
      </w:r>
      <w:r w:rsidR="00A2656B">
        <w:rPr>
          <w:rFonts w:ascii="Times New Roman" w:hAnsi="Times New Roman"/>
          <w:sz w:val="22"/>
          <w:szCs w:val="22"/>
        </w:rPr>
        <w:t xml:space="preserve"> </w:t>
      </w:r>
      <w:r w:rsidR="00A2656B">
        <w:rPr>
          <w:rFonts w:ascii="Times New Roman" w:hAnsi="Times New Roman"/>
          <w:sz w:val="22"/>
          <w:szCs w:val="22"/>
        </w:rPr>
        <w:lastRenderedPageBreak/>
        <w:t>(Morel 2007, Jacquot 2009, par exemple)</w:t>
      </w:r>
      <w:r w:rsidRPr="004C3367">
        <w:rPr>
          <w:rFonts w:ascii="Times New Roman" w:hAnsi="Times New Roman"/>
          <w:sz w:val="22"/>
          <w:szCs w:val="22"/>
        </w:rPr>
        <w:t xml:space="preserve">. Le genre trouve </w:t>
      </w:r>
      <w:r>
        <w:rPr>
          <w:rFonts w:ascii="Times New Roman" w:hAnsi="Times New Roman"/>
          <w:sz w:val="22"/>
          <w:szCs w:val="22"/>
        </w:rPr>
        <w:t xml:space="preserve">peu à peu sa </w:t>
      </w:r>
      <w:r w:rsidRPr="004C3367">
        <w:rPr>
          <w:rFonts w:ascii="Times New Roman" w:hAnsi="Times New Roman"/>
          <w:sz w:val="22"/>
          <w:szCs w:val="22"/>
        </w:rPr>
        <w:t xml:space="preserve">place dans la boîte à outils </w:t>
      </w:r>
      <w:r>
        <w:rPr>
          <w:rFonts w:ascii="Times New Roman" w:hAnsi="Times New Roman"/>
          <w:sz w:val="22"/>
          <w:szCs w:val="22"/>
        </w:rPr>
        <w:t>de l</w:t>
      </w:r>
      <w:r w:rsidRPr="004C3367">
        <w:rPr>
          <w:rFonts w:ascii="Times New Roman" w:hAnsi="Times New Roman"/>
          <w:sz w:val="22"/>
          <w:szCs w:val="22"/>
        </w:rPr>
        <w:t>’analyse politique </w:t>
      </w:r>
      <w:r>
        <w:rPr>
          <w:rFonts w:ascii="Times New Roman" w:hAnsi="Times New Roman"/>
          <w:sz w:val="22"/>
          <w:szCs w:val="22"/>
        </w:rPr>
        <w:t xml:space="preserve">et </w:t>
      </w:r>
      <w:r w:rsidRPr="004C3367">
        <w:rPr>
          <w:rFonts w:ascii="Times New Roman" w:hAnsi="Times New Roman"/>
          <w:sz w:val="22"/>
          <w:szCs w:val="22"/>
        </w:rPr>
        <w:t>dans la boîte à idées de la science politique</w:t>
      </w:r>
      <w:r>
        <w:rPr>
          <w:rFonts w:ascii="Times New Roman" w:hAnsi="Times New Roman"/>
          <w:sz w:val="22"/>
          <w:szCs w:val="22"/>
        </w:rPr>
        <w:t xml:space="preserve">. </w:t>
      </w:r>
    </w:p>
    <w:p w:rsidR="00386265" w:rsidRDefault="00386265" w:rsidP="00185171">
      <w:pPr>
        <w:pStyle w:val="Paragraphedeliste"/>
        <w:spacing w:before="120" w:line="360" w:lineRule="auto"/>
        <w:ind w:left="0"/>
        <w:jc w:val="both"/>
        <w:rPr>
          <w:rFonts w:ascii="Times New Roman" w:hAnsi="Times New Roman"/>
          <w:sz w:val="22"/>
          <w:szCs w:val="22"/>
        </w:rPr>
      </w:pPr>
      <w:r w:rsidRPr="00533776">
        <w:rPr>
          <w:rFonts w:ascii="Times New Roman" w:hAnsi="Times New Roman"/>
          <w:sz w:val="22"/>
          <w:szCs w:val="22"/>
        </w:rPr>
        <w:t>Une analyse en termes de genre peut s’appliquer à différents moments du cycle de vie d’une politique publique, depuis la mise à l’agenda jusqu’à son évaluation.</w:t>
      </w:r>
      <w:r>
        <w:rPr>
          <w:rFonts w:ascii="Times New Roman" w:hAnsi="Times New Roman"/>
          <w:sz w:val="22"/>
          <w:szCs w:val="22"/>
        </w:rPr>
        <w:t xml:space="preserve"> A chaque étape, il est possible de poser la question des effets différentiels des politiques sur différents groupes, masculins et féminins, ou poser la question de l’impact de l’action publique sur la construction sociale des identités masculines / féminines, leur valences et les rôles et fonctions attribuées (Jacquot 2006</w:t>
      </w:r>
      <w:r w:rsidRPr="00533776">
        <w:rPr>
          <w:rFonts w:ascii="Times New Roman" w:hAnsi="Times New Roman"/>
          <w:sz w:val="22"/>
          <w:szCs w:val="22"/>
        </w:rPr>
        <w:t>)</w:t>
      </w:r>
      <w:r>
        <w:rPr>
          <w:rFonts w:ascii="Times New Roman" w:hAnsi="Times New Roman"/>
          <w:sz w:val="22"/>
          <w:szCs w:val="22"/>
        </w:rPr>
        <w:t xml:space="preserve">. </w:t>
      </w:r>
    </w:p>
    <w:p w:rsidR="00386265" w:rsidRPr="004C3367" w:rsidRDefault="00386265" w:rsidP="00185171">
      <w:pPr>
        <w:spacing w:before="120" w:line="360" w:lineRule="auto"/>
        <w:jc w:val="both"/>
        <w:rPr>
          <w:rFonts w:ascii="Times New Roman" w:hAnsi="Times New Roman"/>
          <w:sz w:val="22"/>
          <w:szCs w:val="22"/>
        </w:rPr>
      </w:pPr>
      <w:r>
        <w:rPr>
          <w:rFonts w:ascii="Times New Roman" w:hAnsi="Times New Roman"/>
          <w:sz w:val="22"/>
          <w:szCs w:val="22"/>
        </w:rPr>
        <w:t>L</w:t>
      </w:r>
      <w:r w:rsidRPr="00D20808">
        <w:rPr>
          <w:rFonts w:ascii="Times New Roman" w:hAnsi="Times New Roman"/>
          <w:sz w:val="22"/>
          <w:szCs w:val="22"/>
        </w:rPr>
        <w:t>ors de l’élabo</w:t>
      </w:r>
      <w:r>
        <w:rPr>
          <w:rFonts w:ascii="Times New Roman" w:hAnsi="Times New Roman"/>
          <w:sz w:val="22"/>
          <w:szCs w:val="22"/>
        </w:rPr>
        <w:t>ration d’une politique publique, l</w:t>
      </w:r>
      <w:r w:rsidRPr="004C3367">
        <w:rPr>
          <w:rFonts w:ascii="Times New Roman" w:hAnsi="Times New Roman"/>
          <w:sz w:val="22"/>
          <w:szCs w:val="22"/>
        </w:rPr>
        <w:t>’intégration du genre dans la formulation des politiques est importante car c’est à cette étape qu’il est possible de supprimer des discriminations directes</w:t>
      </w:r>
      <w:r>
        <w:rPr>
          <w:rFonts w:ascii="Times New Roman" w:hAnsi="Times New Roman"/>
          <w:sz w:val="22"/>
          <w:szCs w:val="22"/>
        </w:rPr>
        <w:t>. Par exemple, des programmes et des ressources</w:t>
      </w:r>
      <w:r w:rsidRPr="004C3367">
        <w:rPr>
          <w:rFonts w:ascii="Times New Roman" w:hAnsi="Times New Roman"/>
          <w:sz w:val="22"/>
          <w:szCs w:val="22"/>
        </w:rPr>
        <w:t xml:space="preserve"> spécifiques peuvent être affectés soit à des actions correctrices, soit à des politiques de prévention, soit à des politiques incitatives</w:t>
      </w:r>
      <w:r>
        <w:rPr>
          <w:rFonts w:ascii="Times New Roman" w:hAnsi="Times New Roman"/>
          <w:sz w:val="22"/>
          <w:szCs w:val="22"/>
        </w:rPr>
        <w:t xml:space="preserve"> pour renforcer les égalités</w:t>
      </w:r>
      <w:r w:rsidRPr="004C3367">
        <w:rPr>
          <w:rFonts w:ascii="Times New Roman" w:hAnsi="Times New Roman"/>
          <w:sz w:val="22"/>
          <w:szCs w:val="22"/>
        </w:rPr>
        <w:t xml:space="preserve">. </w:t>
      </w:r>
      <w:r>
        <w:rPr>
          <w:rFonts w:ascii="Times New Roman" w:hAnsi="Times New Roman"/>
          <w:sz w:val="22"/>
          <w:szCs w:val="22"/>
        </w:rPr>
        <w:t>L’approche de genre permet</w:t>
      </w:r>
      <w:r w:rsidRPr="004C3367">
        <w:rPr>
          <w:rFonts w:ascii="Times New Roman" w:hAnsi="Times New Roman"/>
          <w:sz w:val="22"/>
          <w:szCs w:val="22"/>
        </w:rPr>
        <w:t xml:space="preserve"> aussi la prise en compte des discriminations systémiques qui </w:t>
      </w:r>
      <w:r>
        <w:rPr>
          <w:rFonts w:ascii="Times New Roman" w:hAnsi="Times New Roman"/>
          <w:sz w:val="22"/>
          <w:szCs w:val="22"/>
        </w:rPr>
        <w:t xml:space="preserve">résultent de </w:t>
      </w:r>
      <w:r w:rsidRPr="004C3367">
        <w:rPr>
          <w:rFonts w:ascii="Times New Roman" w:hAnsi="Times New Roman"/>
          <w:sz w:val="22"/>
          <w:szCs w:val="22"/>
        </w:rPr>
        <w:t xml:space="preserve">conditions </w:t>
      </w:r>
      <w:r>
        <w:rPr>
          <w:rFonts w:ascii="Times New Roman" w:hAnsi="Times New Roman"/>
          <w:sz w:val="22"/>
          <w:szCs w:val="22"/>
        </w:rPr>
        <w:t xml:space="preserve">sociales </w:t>
      </w:r>
      <w:r w:rsidRPr="004C3367">
        <w:rPr>
          <w:rFonts w:ascii="Times New Roman" w:hAnsi="Times New Roman"/>
          <w:sz w:val="22"/>
          <w:szCs w:val="22"/>
        </w:rPr>
        <w:t xml:space="preserve">et </w:t>
      </w:r>
      <w:r>
        <w:rPr>
          <w:rFonts w:ascii="Times New Roman" w:hAnsi="Times New Roman"/>
          <w:sz w:val="22"/>
          <w:szCs w:val="22"/>
        </w:rPr>
        <w:t xml:space="preserve">de la distribution des rôles entre les </w:t>
      </w:r>
      <w:r w:rsidRPr="004C3367">
        <w:rPr>
          <w:rFonts w:ascii="Times New Roman" w:hAnsi="Times New Roman"/>
          <w:sz w:val="22"/>
          <w:szCs w:val="22"/>
        </w:rPr>
        <w:t>sexe</w:t>
      </w:r>
      <w:r>
        <w:rPr>
          <w:rFonts w:ascii="Times New Roman" w:hAnsi="Times New Roman"/>
          <w:sz w:val="22"/>
          <w:szCs w:val="22"/>
        </w:rPr>
        <w:t xml:space="preserve">s. Ces dimensions, généralement « naturalisées », échappent à l’action publique et sont rarement intégrées dans </w:t>
      </w:r>
      <w:r w:rsidRPr="004C3367">
        <w:rPr>
          <w:rFonts w:ascii="Times New Roman" w:hAnsi="Times New Roman"/>
          <w:sz w:val="22"/>
          <w:szCs w:val="22"/>
        </w:rPr>
        <w:t xml:space="preserve"> l’élaboration d’une politique</w:t>
      </w:r>
      <w:r>
        <w:rPr>
          <w:rFonts w:ascii="Times New Roman" w:hAnsi="Times New Roman"/>
          <w:sz w:val="22"/>
          <w:szCs w:val="22"/>
        </w:rPr>
        <w:t>, mise</w:t>
      </w:r>
      <w:r w:rsidRPr="004C3367">
        <w:rPr>
          <w:rFonts w:ascii="Times New Roman" w:hAnsi="Times New Roman"/>
          <w:sz w:val="22"/>
          <w:szCs w:val="22"/>
        </w:rPr>
        <w:t xml:space="preserve"> en place sans analyse</w:t>
      </w:r>
      <w:r>
        <w:rPr>
          <w:rFonts w:ascii="Times New Roman" w:hAnsi="Times New Roman"/>
          <w:sz w:val="22"/>
          <w:szCs w:val="22"/>
        </w:rPr>
        <w:t>r</w:t>
      </w:r>
      <w:r w:rsidRPr="004C3367">
        <w:rPr>
          <w:rFonts w:ascii="Times New Roman" w:hAnsi="Times New Roman"/>
          <w:sz w:val="22"/>
          <w:szCs w:val="22"/>
        </w:rPr>
        <w:t xml:space="preserve"> la problémat</w:t>
      </w:r>
      <w:r>
        <w:rPr>
          <w:rFonts w:ascii="Times New Roman" w:hAnsi="Times New Roman"/>
          <w:sz w:val="22"/>
          <w:szCs w:val="22"/>
        </w:rPr>
        <w:t>ique de l’égalité alors qu’elle peut contribuer</w:t>
      </w:r>
      <w:r w:rsidRPr="004C3367">
        <w:rPr>
          <w:rFonts w:ascii="Times New Roman" w:hAnsi="Times New Roman"/>
          <w:sz w:val="22"/>
          <w:szCs w:val="22"/>
        </w:rPr>
        <w:t xml:space="preserve"> à accroître les inégalités existantes par </w:t>
      </w:r>
      <w:r>
        <w:rPr>
          <w:rFonts w:ascii="Times New Roman" w:hAnsi="Times New Roman"/>
          <w:sz w:val="22"/>
          <w:szCs w:val="22"/>
        </w:rPr>
        <w:t>d</w:t>
      </w:r>
      <w:r w:rsidRPr="004C3367">
        <w:rPr>
          <w:rFonts w:ascii="Times New Roman" w:hAnsi="Times New Roman"/>
          <w:sz w:val="22"/>
          <w:szCs w:val="22"/>
        </w:rPr>
        <w:t>es effets indirects</w:t>
      </w:r>
      <w:r>
        <w:rPr>
          <w:rFonts w:ascii="Times New Roman" w:hAnsi="Times New Roman"/>
          <w:sz w:val="22"/>
          <w:szCs w:val="22"/>
        </w:rPr>
        <w:t xml:space="preserve">. Prenons l’exemple de la politique de mobilité qui a une forte dimension de genre en matière de sécurité et de comportement. Les femmes représentant 65% des usagers des transports en commun, elles sont davantage affectées par les restrictions budgétaires annoncées dans le secteur du rail. </w:t>
      </w:r>
    </w:p>
    <w:p w:rsidR="00386265" w:rsidRPr="004C3367" w:rsidRDefault="00386265" w:rsidP="00185171">
      <w:pPr>
        <w:spacing w:before="120" w:line="360" w:lineRule="auto"/>
        <w:jc w:val="both"/>
        <w:rPr>
          <w:rFonts w:ascii="Times New Roman" w:hAnsi="Times New Roman"/>
          <w:sz w:val="22"/>
          <w:szCs w:val="22"/>
        </w:rPr>
      </w:pPr>
      <w:r w:rsidRPr="00D20808">
        <w:rPr>
          <w:rFonts w:ascii="Times New Roman" w:hAnsi="Times New Roman"/>
          <w:sz w:val="22"/>
          <w:szCs w:val="22"/>
        </w:rPr>
        <w:t xml:space="preserve">Au moment de la mise en œuvre </w:t>
      </w:r>
      <w:r>
        <w:rPr>
          <w:rFonts w:ascii="Times New Roman" w:hAnsi="Times New Roman"/>
          <w:sz w:val="22"/>
          <w:szCs w:val="22"/>
        </w:rPr>
        <w:t>d’u</w:t>
      </w:r>
      <w:r w:rsidRPr="00D20808">
        <w:rPr>
          <w:rFonts w:ascii="Times New Roman" w:hAnsi="Times New Roman"/>
          <w:sz w:val="22"/>
          <w:szCs w:val="22"/>
        </w:rPr>
        <w:t xml:space="preserve">ne politique, </w:t>
      </w:r>
      <w:r>
        <w:rPr>
          <w:rFonts w:ascii="Times New Roman" w:hAnsi="Times New Roman"/>
          <w:sz w:val="22"/>
          <w:szCs w:val="22"/>
        </w:rPr>
        <w:t>lors de la traduction d</w:t>
      </w:r>
      <w:r w:rsidRPr="004C3367">
        <w:rPr>
          <w:rFonts w:ascii="Times New Roman" w:hAnsi="Times New Roman"/>
          <w:sz w:val="22"/>
          <w:szCs w:val="22"/>
        </w:rPr>
        <w:t>es décisions en objectifs opérationnels</w:t>
      </w:r>
      <w:r>
        <w:rPr>
          <w:rFonts w:ascii="Times New Roman" w:hAnsi="Times New Roman"/>
          <w:sz w:val="22"/>
          <w:szCs w:val="22"/>
        </w:rPr>
        <w:t>, l</w:t>
      </w:r>
      <w:r w:rsidRPr="004C3367">
        <w:rPr>
          <w:rFonts w:ascii="Times New Roman" w:hAnsi="Times New Roman"/>
          <w:sz w:val="22"/>
          <w:szCs w:val="22"/>
        </w:rPr>
        <w:t xml:space="preserve">es fonctionnaires et leurs partenaires sont amenés à ce niveau à produire des données </w:t>
      </w:r>
      <w:r>
        <w:rPr>
          <w:rFonts w:ascii="Times New Roman" w:hAnsi="Times New Roman"/>
          <w:sz w:val="22"/>
          <w:szCs w:val="22"/>
        </w:rPr>
        <w:t xml:space="preserve">pour </w:t>
      </w:r>
      <w:r w:rsidRPr="004C3367">
        <w:rPr>
          <w:rFonts w:ascii="Times New Roman" w:hAnsi="Times New Roman"/>
          <w:sz w:val="22"/>
          <w:szCs w:val="22"/>
        </w:rPr>
        <w:t>assurer un suivi des actions menées. Cette étape de développement statistique peut se révéler coûteuse en temps et en ressources et demander l’intéressement et l’enrôlement d’autres partenaires dans le projet. Car l’analyse d’impact suppose qu’on dispose des indicateurs et de données statistiques différenciées selon les sexes qui permettent d’identifier la situation et les écarts avant et après l’action menée mais aussi de données qualitatives qui permettent de donner sens aux chiffres, de cerner les cas particuliers souvent trè</w:t>
      </w:r>
      <w:r>
        <w:rPr>
          <w:rFonts w:ascii="Times New Roman" w:hAnsi="Times New Roman"/>
          <w:sz w:val="22"/>
          <w:szCs w:val="22"/>
        </w:rPr>
        <w:t>s riches pour affiner l’analyse et traquer les relations de pouvoirs qui, naturalisées, sont banalisées et invisibles. Pour ce faire, les fonctionnaires sont appelés à développer une culture du genre, souvent très éloignée de leur secteur de référence : il peut être difficile de mobiliser une analyse de genre autour des questions de finances publiques dont les codes d’accès sont contrôlés par des économistes mobilisant des références théoriques inspirés du modèle du choix  rationnel qui n’intègrent pas les déterminants des rapports sociaux de sexe et leurs effets.</w:t>
      </w:r>
    </w:p>
    <w:p w:rsidR="00386265" w:rsidRDefault="00386265" w:rsidP="00185171">
      <w:pPr>
        <w:spacing w:before="120" w:line="360" w:lineRule="auto"/>
        <w:jc w:val="both"/>
        <w:rPr>
          <w:rFonts w:ascii="Times New Roman" w:hAnsi="Times New Roman"/>
          <w:sz w:val="22"/>
          <w:szCs w:val="22"/>
        </w:rPr>
      </w:pPr>
      <w:r>
        <w:rPr>
          <w:rFonts w:ascii="Times New Roman" w:hAnsi="Times New Roman"/>
          <w:sz w:val="22"/>
          <w:szCs w:val="22"/>
        </w:rPr>
        <w:t xml:space="preserve">Enfin lors de l’évaluation de la politique, l’analyste </w:t>
      </w:r>
      <w:r w:rsidRPr="004C3367">
        <w:rPr>
          <w:rFonts w:ascii="Times New Roman" w:hAnsi="Times New Roman"/>
          <w:sz w:val="22"/>
          <w:szCs w:val="22"/>
        </w:rPr>
        <w:t xml:space="preserve">cherche à définir la contribution nette d’un programme et son impact sur la situation d’un groupe cible particulier. Cette analyse, </w:t>
      </w:r>
      <w:r>
        <w:rPr>
          <w:rFonts w:ascii="Times New Roman" w:hAnsi="Times New Roman"/>
          <w:sz w:val="22"/>
          <w:szCs w:val="22"/>
        </w:rPr>
        <w:t xml:space="preserve">en apparence simple mais </w:t>
      </w:r>
      <w:r w:rsidRPr="004C3367">
        <w:rPr>
          <w:rFonts w:ascii="Times New Roman" w:hAnsi="Times New Roman"/>
          <w:sz w:val="22"/>
          <w:szCs w:val="22"/>
        </w:rPr>
        <w:t xml:space="preserve">difficile à réaliser, permet de rendre une politique plus efficace et plus efficiente, </w:t>
      </w:r>
      <w:r>
        <w:rPr>
          <w:rFonts w:ascii="Times New Roman" w:hAnsi="Times New Roman"/>
          <w:sz w:val="22"/>
          <w:szCs w:val="22"/>
        </w:rPr>
        <w:t>en mesurant l’impact d’une mesure sur s</w:t>
      </w:r>
      <w:r w:rsidRPr="004C3367">
        <w:rPr>
          <w:rFonts w:ascii="Times New Roman" w:hAnsi="Times New Roman"/>
          <w:sz w:val="22"/>
          <w:szCs w:val="22"/>
        </w:rPr>
        <w:t xml:space="preserve">es bénéficiaires. Il s’agit dans un premier temps d’identifier la </w:t>
      </w:r>
      <w:r w:rsidRPr="004C3367">
        <w:rPr>
          <w:rFonts w:ascii="Times New Roman" w:hAnsi="Times New Roman"/>
          <w:sz w:val="22"/>
          <w:szCs w:val="22"/>
        </w:rPr>
        <w:lastRenderedPageBreak/>
        <w:t xml:space="preserve">répartition des hommes et des femmes </w:t>
      </w:r>
      <w:r>
        <w:rPr>
          <w:rFonts w:ascii="Times New Roman" w:hAnsi="Times New Roman"/>
          <w:sz w:val="22"/>
          <w:szCs w:val="22"/>
        </w:rPr>
        <w:t>parmi</w:t>
      </w:r>
      <w:r w:rsidRPr="004C3367">
        <w:rPr>
          <w:rFonts w:ascii="Times New Roman" w:hAnsi="Times New Roman"/>
          <w:sz w:val="22"/>
          <w:szCs w:val="22"/>
        </w:rPr>
        <w:t xml:space="preserve"> les bénéficiaires, </w:t>
      </w:r>
      <w:r>
        <w:rPr>
          <w:rFonts w:ascii="Times New Roman" w:hAnsi="Times New Roman"/>
          <w:sz w:val="22"/>
          <w:szCs w:val="22"/>
        </w:rPr>
        <w:t xml:space="preserve">pour </w:t>
      </w:r>
      <w:r w:rsidRPr="004C3367">
        <w:rPr>
          <w:rFonts w:ascii="Times New Roman" w:hAnsi="Times New Roman"/>
          <w:sz w:val="22"/>
          <w:szCs w:val="22"/>
        </w:rPr>
        <w:t xml:space="preserve">comparer cette </w:t>
      </w:r>
      <w:r>
        <w:rPr>
          <w:rFonts w:ascii="Times New Roman" w:hAnsi="Times New Roman"/>
          <w:sz w:val="22"/>
          <w:szCs w:val="22"/>
        </w:rPr>
        <w:t xml:space="preserve">donnée </w:t>
      </w:r>
      <w:r w:rsidRPr="004C3367">
        <w:rPr>
          <w:rFonts w:ascii="Times New Roman" w:hAnsi="Times New Roman"/>
          <w:sz w:val="22"/>
          <w:szCs w:val="22"/>
        </w:rPr>
        <w:t xml:space="preserve">avec la population de référence et les objectifs recherchés. Mais </w:t>
      </w:r>
      <w:r>
        <w:rPr>
          <w:rFonts w:ascii="Times New Roman" w:hAnsi="Times New Roman"/>
          <w:sz w:val="22"/>
          <w:szCs w:val="22"/>
        </w:rPr>
        <w:t xml:space="preserve">le chercheur est aussi invité à </w:t>
      </w:r>
      <w:r w:rsidRPr="004C3367">
        <w:rPr>
          <w:rFonts w:ascii="Times New Roman" w:hAnsi="Times New Roman"/>
          <w:sz w:val="22"/>
          <w:szCs w:val="22"/>
        </w:rPr>
        <w:t xml:space="preserve">dépasser la seule évaluation des effets directs d’une politique pour dévoiler les effets indirects positifs ou négatifs de cette politique sur les conditions de vie des hommes et des femmes, sur les situations d’inégalités entre les sexes, sur les stéréotypes sexués, sur le degré d’autonomie de l’un et l’autre sexe et enfin sur l’émancipation économique et politique des femmes et des hommes. </w:t>
      </w:r>
    </w:p>
    <w:p w:rsidR="00386265" w:rsidRPr="00CE6548" w:rsidRDefault="00386265" w:rsidP="00185171">
      <w:pPr>
        <w:spacing w:before="120" w:line="360" w:lineRule="auto"/>
        <w:jc w:val="both"/>
        <w:rPr>
          <w:rFonts w:ascii="Times New Roman" w:hAnsi="Times New Roman"/>
          <w:b/>
          <w:i/>
          <w:sz w:val="22"/>
          <w:szCs w:val="22"/>
        </w:rPr>
      </w:pPr>
      <w:r>
        <w:rPr>
          <w:rFonts w:ascii="Times New Roman" w:hAnsi="Times New Roman"/>
          <w:b/>
          <w:i/>
          <w:sz w:val="22"/>
          <w:szCs w:val="22"/>
        </w:rPr>
        <w:t>2.2. U</w:t>
      </w:r>
      <w:r w:rsidRPr="00CE6548">
        <w:rPr>
          <w:rFonts w:ascii="Times New Roman" w:hAnsi="Times New Roman"/>
          <w:b/>
          <w:i/>
          <w:sz w:val="22"/>
          <w:szCs w:val="22"/>
        </w:rPr>
        <w:t xml:space="preserve">ne nouvelle approche en politique du genre </w:t>
      </w:r>
    </w:p>
    <w:p w:rsidR="00386265" w:rsidRPr="000B5B92"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Est-il possible d’imaginer que l’action publique contribue à remodeler les contrats de genre propres à chaque système social ? Pour reprendre la formule de Muller (2009), «peut-on contraindre les hommes à faire le ménage ? » Plusieurs modalités d’actions ont été mobilisées pour soutenir le développement des égalités entre hommes et femmes. Après la guerre, les avancées féministes ont pris appui sur le ré</w:t>
      </w:r>
      <w:r w:rsidR="00582F4A">
        <w:rPr>
          <w:rFonts w:ascii="Times New Roman" w:hAnsi="Times New Roman"/>
          <w:sz w:val="22"/>
          <w:szCs w:val="22"/>
        </w:rPr>
        <w:t>férentiel de l’E</w:t>
      </w:r>
      <w:r w:rsidRPr="000B5B92">
        <w:rPr>
          <w:rFonts w:ascii="Times New Roman" w:hAnsi="Times New Roman"/>
          <w:sz w:val="22"/>
          <w:szCs w:val="22"/>
        </w:rPr>
        <w:t xml:space="preserve">tat providence pour obtenir une amélioration de leur protection en tant que femme, mère, citoyenne ou travailleuse. La montée en puissance récente du référentiel de marché contribue </w:t>
      </w:r>
      <w:r>
        <w:rPr>
          <w:rFonts w:ascii="Times New Roman" w:hAnsi="Times New Roman"/>
          <w:sz w:val="22"/>
          <w:szCs w:val="22"/>
        </w:rPr>
        <w:t xml:space="preserve">aujourd’hui </w:t>
      </w:r>
      <w:r w:rsidRPr="000B5B92">
        <w:rPr>
          <w:rFonts w:ascii="Times New Roman" w:hAnsi="Times New Roman"/>
          <w:sz w:val="22"/>
          <w:szCs w:val="22"/>
        </w:rPr>
        <w:t>à disqualifier cette démarche, si ce n’est pour favoriser la mise sur le marché du travail des travailleurs féminins relativement pl</w:t>
      </w:r>
      <w:r w:rsidR="00582F4A">
        <w:rPr>
          <w:rFonts w:ascii="Times New Roman" w:hAnsi="Times New Roman"/>
          <w:sz w:val="22"/>
          <w:szCs w:val="22"/>
        </w:rPr>
        <w:t>us qualifiés et moins couteux. Mais l</w:t>
      </w:r>
      <w:r w:rsidRPr="000B5B92">
        <w:rPr>
          <w:rFonts w:ascii="Times New Roman" w:hAnsi="Times New Roman"/>
          <w:sz w:val="22"/>
          <w:szCs w:val="22"/>
        </w:rPr>
        <w:t>a question féministe peine à définir une relation constructive avec la logique de marché</w:t>
      </w:r>
      <w:r>
        <w:rPr>
          <w:rFonts w:ascii="Times New Roman" w:hAnsi="Times New Roman"/>
          <w:sz w:val="22"/>
          <w:szCs w:val="22"/>
        </w:rPr>
        <w:t xml:space="preserve"> (Muller 2009)</w:t>
      </w:r>
      <w:r w:rsidRPr="000B5B92">
        <w:rPr>
          <w:rFonts w:ascii="Times New Roman" w:hAnsi="Times New Roman"/>
          <w:sz w:val="22"/>
          <w:szCs w:val="22"/>
        </w:rPr>
        <w:t xml:space="preserve">. </w:t>
      </w:r>
    </w:p>
    <w:p w:rsidR="00386265" w:rsidRPr="000B5B92"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Face à cette crise de la </w:t>
      </w:r>
      <w:proofErr w:type="spellStart"/>
      <w:r w:rsidRPr="000B5B92">
        <w:rPr>
          <w:rFonts w:ascii="Times New Roman" w:hAnsi="Times New Roman"/>
          <w:sz w:val="22"/>
          <w:szCs w:val="22"/>
        </w:rPr>
        <w:t>sectorialité</w:t>
      </w:r>
      <w:proofErr w:type="spellEnd"/>
      <w:r w:rsidRPr="000B5B92">
        <w:rPr>
          <w:rFonts w:ascii="Times New Roman" w:hAnsi="Times New Roman"/>
          <w:sz w:val="22"/>
          <w:szCs w:val="22"/>
        </w:rPr>
        <w:t xml:space="preserve"> des politiques féministes, l’approche de </w:t>
      </w:r>
      <w:proofErr w:type="spellStart"/>
      <w:r w:rsidRPr="000B5B92">
        <w:rPr>
          <w:rFonts w:ascii="Times New Roman" w:hAnsi="Times New Roman"/>
          <w:i/>
          <w:sz w:val="22"/>
          <w:szCs w:val="22"/>
        </w:rPr>
        <w:t>gender</w:t>
      </w:r>
      <w:proofErr w:type="spellEnd"/>
      <w:r w:rsidRPr="000B5B92">
        <w:rPr>
          <w:rFonts w:ascii="Times New Roman" w:hAnsi="Times New Roman"/>
          <w:i/>
          <w:sz w:val="22"/>
          <w:szCs w:val="22"/>
        </w:rPr>
        <w:t xml:space="preserve"> </w:t>
      </w:r>
      <w:proofErr w:type="spellStart"/>
      <w:r w:rsidRPr="000B5B92">
        <w:rPr>
          <w:rFonts w:ascii="Times New Roman" w:hAnsi="Times New Roman"/>
          <w:i/>
          <w:sz w:val="22"/>
          <w:szCs w:val="22"/>
        </w:rPr>
        <w:t>mainstreaming</w:t>
      </w:r>
      <w:proofErr w:type="spellEnd"/>
      <w:r w:rsidRPr="000B5B92">
        <w:rPr>
          <w:rFonts w:ascii="Times New Roman" w:hAnsi="Times New Roman"/>
          <w:sz w:val="22"/>
          <w:szCs w:val="22"/>
        </w:rPr>
        <w:t xml:space="preserve"> semble constituer une alternative, qui s’est peu à peu imposée dans des politiques sociales ou de l’emploi ainsi que dans les instruments de réformes administratives existants pour en optimiser les processus d’apprentissage. </w:t>
      </w:r>
    </w:p>
    <w:p w:rsidR="00386265" w:rsidRPr="000B5B92"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Le </w:t>
      </w:r>
      <w:proofErr w:type="spellStart"/>
      <w:r w:rsidRPr="000B5B92">
        <w:rPr>
          <w:rFonts w:ascii="Times New Roman" w:hAnsi="Times New Roman"/>
          <w:i/>
          <w:sz w:val="22"/>
          <w:szCs w:val="22"/>
        </w:rPr>
        <w:t>gender</w:t>
      </w:r>
      <w:proofErr w:type="spellEnd"/>
      <w:r w:rsidRPr="000B5B92">
        <w:rPr>
          <w:rFonts w:ascii="Times New Roman" w:hAnsi="Times New Roman"/>
          <w:i/>
          <w:sz w:val="22"/>
          <w:szCs w:val="22"/>
        </w:rPr>
        <w:t xml:space="preserve"> </w:t>
      </w:r>
      <w:proofErr w:type="spellStart"/>
      <w:r w:rsidRPr="000B5B92">
        <w:rPr>
          <w:rFonts w:ascii="Times New Roman" w:hAnsi="Times New Roman"/>
          <w:i/>
          <w:sz w:val="22"/>
          <w:szCs w:val="22"/>
        </w:rPr>
        <w:t>mainstreaming</w:t>
      </w:r>
      <w:proofErr w:type="spellEnd"/>
      <w:r w:rsidRPr="000B5B92">
        <w:rPr>
          <w:rFonts w:ascii="Times New Roman" w:hAnsi="Times New Roman"/>
          <w:sz w:val="22"/>
          <w:szCs w:val="22"/>
        </w:rPr>
        <w:t xml:space="preserve"> ou « approche différenciée selon les sexes » a « pour objectif d’intégrer l’égalité des chances entre les femmes et les hommes dans l’ensemble des politiques et actions (…) et de prendre en compte systématiquement dans les processus de décision (approche préventive), les différences entre les conditions, situations et besoins des femmes et des hommes dans l’ensemble des politiques et actions communautaires (</w:t>
      </w:r>
      <w:proofErr w:type="spellStart"/>
      <w:r w:rsidRPr="000B5B92">
        <w:rPr>
          <w:rFonts w:ascii="Times New Roman" w:hAnsi="Times New Roman"/>
          <w:sz w:val="22"/>
          <w:szCs w:val="22"/>
        </w:rPr>
        <w:t>gender</w:t>
      </w:r>
      <w:proofErr w:type="spellEnd"/>
      <w:r w:rsidRPr="000B5B92">
        <w:rPr>
          <w:rFonts w:ascii="Times New Roman" w:hAnsi="Times New Roman"/>
          <w:sz w:val="22"/>
          <w:szCs w:val="22"/>
        </w:rPr>
        <w:t xml:space="preserve"> perspective) »</w:t>
      </w:r>
      <w:r w:rsidR="00F90D50">
        <w:rPr>
          <w:rStyle w:val="Appelnotedebasdep"/>
          <w:rFonts w:ascii="Times New Roman" w:hAnsi="Times New Roman"/>
          <w:sz w:val="22"/>
          <w:szCs w:val="22"/>
        </w:rPr>
        <w:footnoteReference w:id="2"/>
      </w:r>
      <w:r w:rsidRPr="000B5B92">
        <w:rPr>
          <w:rFonts w:ascii="Times New Roman" w:hAnsi="Times New Roman"/>
          <w:sz w:val="22"/>
          <w:szCs w:val="22"/>
        </w:rPr>
        <w:t xml:space="preserve"> (Conseil de l’Europe, 1998), en vue d’identifier les décisions qui peuvent créer, renforcer ou atténuer, voire supprimer, les inégalités entre </w:t>
      </w:r>
      <w:proofErr w:type="gramStart"/>
      <w:r w:rsidRPr="000B5B92">
        <w:rPr>
          <w:rFonts w:ascii="Times New Roman" w:hAnsi="Times New Roman"/>
          <w:sz w:val="22"/>
          <w:szCs w:val="22"/>
        </w:rPr>
        <w:t>les</w:t>
      </w:r>
      <w:proofErr w:type="gramEnd"/>
      <w:r w:rsidRPr="000B5B92">
        <w:rPr>
          <w:rFonts w:ascii="Times New Roman" w:hAnsi="Times New Roman"/>
          <w:sz w:val="22"/>
          <w:szCs w:val="22"/>
        </w:rPr>
        <w:t xml:space="preserve"> sexes.</w:t>
      </w:r>
      <w:r w:rsidRPr="000B5B92">
        <w:rPr>
          <w:rFonts w:ascii="Times New Roman" w:hAnsi="Times New Roman"/>
          <w:sz w:val="22"/>
          <w:szCs w:val="22"/>
        </w:rPr>
        <w:br/>
        <w:t xml:space="preserve">Le </w:t>
      </w:r>
      <w:proofErr w:type="spellStart"/>
      <w:r w:rsidRPr="000B5B92">
        <w:rPr>
          <w:rFonts w:ascii="Times New Roman" w:hAnsi="Times New Roman"/>
          <w:i/>
          <w:sz w:val="22"/>
          <w:szCs w:val="22"/>
        </w:rPr>
        <w:t>gender</w:t>
      </w:r>
      <w:proofErr w:type="spellEnd"/>
      <w:r w:rsidRPr="000B5B92">
        <w:rPr>
          <w:rFonts w:ascii="Times New Roman" w:hAnsi="Times New Roman"/>
          <w:i/>
          <w:sz w:val="22"/>
          <w:szCs w:val="22"/>
        </w:rPr>
        <w:t xml:space="preserve"> </w:t>
      </w:r>
      <w:proofErr w:type="spellStart"/>
      <w:r w:rsidRPr="000B5B92">
        <w:rPr>
          <w:rFonts w:ascii="Times New Roman" w:hAnsi="Times New Roman"/>
          <w:i/>
          <w:sz w:val="22"/>
          <w:szCs w:val="22"/>
        </w:rPr>
        <w:t>mainstreaming</w:t>
      </w:r>
      <w:proofErr w:type="spellEnd"/>
      <w:r w:rsidRPr="000B5B92">
        <w:rPr>
          <w:rFonts w:ascii="Times New Roman" w:hAnsi="Times New Roman"/>
          <w:sz w:val="22"/>
          <w:szCs w:val="22"/>
        </w:rPr>
        <w:t xml:space="preserve"> répond à plusieurs objectifs.</w:t>
      </w:r>
    </w:p>
    <w:p w:rsidR="00386265" w:rsidRPr="000B5B92" w:rsidRDefault="00386265" w:rsidP="00201BF7">
      <w:pPr>
        <w:pStyle w:val="Paragraphedeliste"/>
        <w:numPr>
          <w:ilvl w:val="0"/>
          <w:numId w:val="5"/>
        </w:numPr>
        <w:spacing w:line="360" w:lineRule="auto"/>
        <w:jc w:val="both"/>
        <w:rPr>
          <w:rFonts w:ascii="Times New Roman" w:hAnsi="Times New Roman"/>
          <w:sz w:val="22"/>
          <w:szCs w:val="22"/>
        </w:rPr>
      </w:pPr>
      <w:r w:rsidRPr="000B5B92">
        <w:rPr>
          <w:rFonts w:ascii="Times New Roman" w:hAnsi="Times New Roman"/>
          <w:sz w:val="22"/>
          <w:szCs w:val="22"/>
        </w:rPr>
        <w:t xml:space="preserve">Premièrement, un objectif d’égalité des femmes et des hommes. Il s’agit de réduire ou corriger les inégalités entre les sexes soit en agissant de manière préventive en s’interrogeant sur les effets d’une politique sur les inégalités existantes, soit de manière évaluative, en vue de corriger des inégalités constituées par le dispositif mis en œuvre et les éviter par la suite. </w:t>
      </w:r>
      <w:r>
        <w:rPr>
          <w:rFonts w:ascii="Times New Roman" w:hAnsi="Times New Roman"/>
          <w:sz w:val="22"/>
          <w:szCs w:val="22"/>
        </w:rPr>
        <w:lastRenderedPageBreak/>
        <w:t>L’approche encourage une prise</w:t>
      </w:r>
      <w:r w:rsidRPr="000B5B92">
        <w:rPr>
          <w:rFonts w:ascii="Times New Roman" w:hAnsi="Times New Roman"/>
          <w:sz w:val="22"/>
          <w:szCs w:val="22"/>
        </w:rPr>
        <w:t xml:space="preserve"> en compte </w:t>
      </w:r>
      <w:r>
        <w:rPr>
          <w:rFonts w:ascii="Times New Roman" w:hAnsi="Times New Roman"/>
          <w:sz w:val="22"/>
          <w:szCs w:val="22"/>
        </w:rPr>
        <w:t xml:space="preserve">de </w:t>
      </w:r>
      <w:r w:rsidRPr="000B5B92">
        <w:rPr>
          <w:rFonts w:ascii="Times New Roman" w:hAnsi="Times New Roman"/>
          <w:sz w:val="22"/>
          <w:szCs w:val="22"/>
        </w:rPr>
        <w:t>la nature systémique et structurelle des inégalités entre les femmes et les hommes invisible</w:t>
      </w:r>
      <w:r>
        <w:rPr>
          <w:rFonts w:ascii="Times New Roman" w:hAnsi="Times New Roman"/>
          <w:sz w:val="22"/>
          <w:szCs w:val="22"/>
        </w:rPr>
        <w:t>s</w:t>
      </w:r>
      <w:r w:rsidRPr="000B5B92">
        <w:rPr>
          <w:rFonts w:ascii="Times New Roman" w:hAnsi="Times New Roman"/>
          <w:sz w:val="22"/>
          <w:szCs w:val="22"/>
        </w:rPr>
        <w:t xml:space="preserve"> aux autres approches </w:t>
      </w:r>
      <w:r>
        <w:rPr>
          <w:rFonts w:ascii="Times New Roman" w:hAnsi="Times New Roman"/>
          <w:sz w:val="22"/>
          <w:szCs w:val="22"/>
        </w:rPr>
        <w:t>pour</w:t>
      </w:r>
      <w:r w:rsidRPr="000B5B92">
        <w:rPr>
          <w:rFonts w:ascii="Times New Roman" w:hAnsi="Times New Roman"/>
          <w:sz w:val="22"/>
          <w:szCs w:val="22"/>
        </w:rPr>
        <w:t xml:space="preserve"> contribuer à la transformation des structures sociales plutôt qu’à leur simple correction ou à l’adaptation des femmes à ces structures. </w:t>
      </w:r>
    </w:p>
    <w:p w:rsidR="00386265" w:rsidRPr="000B5B92" w:rsidRDefault="00386265" w:rsidP="00201BF7">
      <w:pPr>
        <w:pStyle w:val="Paragraphedeliste"/>
        <w:numPr>
          <w:ilvl w:val="0"/>
          <w:numId w:val="5"/>
        </w:numPr>
        <w:spacing w:line="360" w:lineRule="auto"/>
        <w:jc w:val="both"/>
        <w:rPr>
          <w:rFonts w:ascii="Times New Roman" w:hAnsi="Times New Roman"/>
          <w:sz w:val="22"/>
          <w:szCs w:val="22"/>
        </w:rPr>
      </w:pPr>
      <w:r w:rsidRPr="000B5B92">
        <w:rPr>
          <w:rFonts w:ascii="Times New Roman" w:hAnsi="Times New Roman"/>
          <w:sz w:val="22"/>
          <w:szCs w:val="22"/>
        </w:rPr>
        <w:t xml:space="preserve">Deuxièmement, un objectif d’amélioration de la qualité des services rendus à la population grâce à la mobilisation de meilleurs outils de gestion (amélioration de l’efficacité) </w:t>
      </w:r>
    </w:p>
    <w:p w:rsidR="00386265" w:rsidRPr="000B5B92" w:rsidRDefault="00386265" w:rsidP="00201BF7">
      <w:pPr>
        <w:pStyle w:val="Paragraphedeliste"/>
        <w:numPr>
          <w:ilvl w:val="0"/>
          <w:numId w:val="5"/>
        </w:numPr>
        <w:spacing w:line="360" w:lineRule="auto"/>
        <w:jc w:val="both"/>
        <w:rPr>
          <w:rFonts w:ascii="Times New Roman" w:hAnsi="Times New Roman"/>
          <w:sz w:val="22"/>
          <w:szCs w:val="22"/>
        </w:rPr>
      </w:pPr>
      <w:r w:rsidRPr="000B5B92">
        <w:rPr>
          <w:rFonts w:ascii="Times New Roman" w:hAnsi="Times New Roman"/>
          <w:sz w:val="22"/>
          <w:szCs w:val="22"/>
        </w:rPr>
        <w:t xml:space="preserve">Troisièmement, un objectif de lisibilité et de compréhension des processus de décisions politiques et de leurs impacts. </w:t>
      </w:r>
    </w:p>
    <w:p w:rsidR="00386265" w:rsidRDefault="00386265" w:rsidP="00495497">
      <w:pPr>
        <w:spacing w:line="360" w:lineRule="auto"/>
        <w:jc w:val="both"/>
        <w:rPr>
          <w:rFonts w:ascii="Times New Roman" w:hAnsi="Times New Roman"/>
          <w:sz w:val="22"/>
          <w:szCs w:val="22"/>
        </w:rPr>
      </w:pPr>
    </w:p>
    <w:p w:rsidR="00386265" w:rsidRPr="000B5B92"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Les spécificités du </w:t>
      </w:r>
      <w:proofErr w:type="spellStart"/>
      <w:r w:rsidRPr="000B5B92">
        <w:rPr>
          <w:rFonts w:ascii="Times New Roman" w:hAnsi="Times New Roman"/>
          <w:i/>
          <w:sz w:val="22"/>
          <w:szCs w:val="22"/>
        </w:rPr>
        <w:t>gender</w:t>
      </w:r>
      <w:proofErr w:type="spellEnd"/>
      <w:r w:rsidRPr="000B5B92">
        <w:rPr>
          <w:rFonts w:ascii="Times New Roman" w:hAnsi="Times New Roman"/>
          <w:i/>
          <w:sz w:val="22"/>
          <w:szCs w:val="22"/>
        </w:rPr>
        <w:t xml:space="preserve"> </w:t>
      </w:r>
      <w:proofErr w:type="spellStart"/>
      <w:r w:rsidRPr="000B5B92">
        <w:rPr>
          <w:rFonts w:ascii="Times New Roman" w:hAnsi="Times New Roman"/>
          <w:i/>
          <w:sz w:val="22"/>
          <w:szCs w:val="22"/>
        </w:rPr>
        <w:t>mainstreaming</w:t>
      </w:r>
      <w:proofErr w:type="spellEnd"/>
      <w:r w:rsidRPr="000B5B92">
        <w:rPr>
          <w:rFonts w:ascii="Times New Roman" w:hAnsi="Times New Roman"/>
          <w:sz w:val="22"/>
          <w:szCs w:val="22"/>
        </w:rPr>
        <w:t xml:space="preserve"> résident dans le fait qu’il s’agit d’une approche transversale puisqu’elle vise à promouvoir l’égalité entre les femmes et</w:t>
      </w:r>
      <w:r>
        <w:rPr>
          <w:rFonts w:ascii="Times New Roman" w:hAnsi="Times New Roman"/>
          <w:sz w:val="22"/>
          <w:szCs w:val="22"/>
        </w:rPr>
        <w:t xml:space="preserve"> les hommes dans l’ensemble des politiques publiques et dans tous les secteurs de l’état. La démarche est aussi séquentielle et préventive :</w:t>
      </w:r>
      <w:r w:rsidRPr="000B5B92">
        <w:rPr>
          <w:rFonts w:ascii="Times New Roman" w:hAnsi="Times New Roman"/>
          <w:sz w:val="22"/>
          <w:szCs w:val="22"/>
        </w:rPr>
        <w:t xml:space="preserve"> </w:t>
      </w:r>
      <w:r>
        <w:rPr>
          <w:rFonts w:ascii="Times New Roman" w:hAnsi="Times New Roman"/>
          <w:sz w:val="22"/>
          <w:szCs w:val="22"/>
        </w:rPr>
        <w:t>s</w:t>
      </w:r>
      <w:r w:rsidRPr="000B5B92">
        <w:rPr>
          <w:rFonts w:ascii="Times New Roman" w:hAnsi="Times New Roman"/>
          <w:sz w:val="22"/>
          <w:szCs w:val="22"/>
        </w:rPr>
        <w:t>a mise en œuvre dans la fonction publique suppose que tous les acteurs participant à l’élaboration, la mise en place et l’évaluation des politiques publiques acquièrent un « réflexe genre » (</w:t>
      </w:r>
      <w:proofErr w:type="spellStart"/>
      <w:r w:rsidRPr="000B5B92">
        <w:rPr>
          <w:rFonts w:ascii="Times New Roman" w:hAnsi="Times New Roman"/>
          <w:sz w:val="22"/>
          <w:szCs w:val="22"/>
        </w:rPr>
        <w:t>gender</w:t>
      </w:r>
      <w:proofErr w:type="spellEnd"/>
      <w:r w:rsidRPr="000B5B92">
        <w:rPr>
          <w:rFonts w:ascii="Times New Roman" w:hAnsi="Times New Roman"/>
          <w:sz w:val="22"/>
          <w:szCs w:val="22"/>
        </w:rPr>
        <w:t xml:space="preserve"> perspective), que  ce soit définir les objectifs, les moyens ou les procédures, voire les formes d</w:t>
      </w:r>
      <w:r>
        <w:rPr>
          <w:rFonts w:ascii="Times New Roman" w:hAnsi="Times New Roman"/>
          <w:sz w:val="22"/>
          <w:szCs w:val="22"/>
        </w:rPr>
        <w:t>’évaluation, c’est-à-dire à toutes les étapes de l’action publique.</w:t>
      </w:r>
      <w:r w:rsidR="00185171">
        <w:rPr>
          <w:rFonts w:ascii="Times New Roman" w:hAnsi="Times New Roman"/>
          <w:sz w:val="22"/>
          <w:szCs w:val="22"/>
        </w:rPr>
        <w:t xml:space="preserve"> </w:t>
      </w:r>
      <w:r>
        <w:rPr>
          <w:rFonts w:ascii="Times New Roman" w:hAnsi="Times New Roman"/>
          <w:sz w:val="22"/>
          <w:szCs w:val="22"/>
        </w:rPr>
        <w:t xml:space="preserve">Hoffman </w:t>
      </w:r>
      <w:r>
        <w:rPr>
          <w:rFonts w:ascii="Times New Roman" w:hAnsi="Times New Roman"/>
          <w:sz w:val="22"/>
          <w:szCs w:val="22"/>
        </w:rPr>
        <w:t>(</w:t>
      </w:r>
      <w:r>
        <w:rPr>
          <w:rFonts w:ascii="Times New Roman" w:hAnsi="Times New Roman"/>
          <w:sz w:val="22"/>
          <w:szCs w:val="22"/>
        </w:rPr>
        <w:t>2006 : 139)</w:t>
      </w:r>
      <w:r w:rsidRPr="00495497">
        <w:rPr>
          <w:rFonts w:ascii="Times New Roman" w:hAnsi="Times New Roman"/>
          <w:sz w:val="22"/>
          <w:szCs w:val="22"/>
        </w:rPr>
        <w:t xml:space="preserve"> </w:t>
      </w:r>
      <w:r>
        <w:rPr>
          <w:rFonts w:ascii="Times New Roman" w:hAnsi="Times New Roman"/>
          <w:sz w:val="22"/>
          <w:szCs w:val="22"/>
        </w:rPr>
        <w:t>intègre dans le concept une dimension fonctionnelle (prendre en compte l</w:t>
      </w:r>
      <w:r w:rsidRPr="00495497">
        <w:rPr>
          <w:rFonts w:ascii="Times New Roman" w:hAnsi="Times New Roman"/>
          <w:sz w:val="22"/>
          <w:szCs w:val="22"/>
        </w:rPr>
        <w:t>es relat</w:t>
      </w:r>
      <w:r>
        <w:rPr>
          <w:rFonts w:ascii="Times New Roman" w:hAnsi="Times New Roman"/>
          <w:sz w:val="22"/>
          <w:szCs w:val="22"/>
        </w:rPr>
        <w:t xml:space="preserve">ions entre femmes et hommes </w:t>
      </w:r>
      <w:r w:rsidRPr="00495497">
        <w:rPr>
          <w:rFonts w:ascii="Times New Roman" w:hAnsi="Times New Roman"/>
          <w:sz w:val="22"/>
          <w:szCs w:val="22"/>
        </w:rPr>
        <w:t xml:space="preserve">dans toute </w:t>
      </w:r>
      <w:r>
        <w:rPr>
          <w:rFonts w:ascii="Times New Roman" w:hAnsi="Times New Roman"/>
          <w:sz w:val="22"/>
          <w:szCs w:val="22"/>
        </w:rPr>
        <w:t xml:space="preserve">politique, </w:t>
      </w:r>
      <w:r>
        <w:rPr>
          <w:rFonts w:ascii="Times New Roman" w:hAnsi="Times New Roman"/>
          <w:sz w:val="22"/>
          <w:szCs w:val="22"/>
        </w:rPr>
        <w:t xml:space="preserve">stratégie et projet) mais elle insiste pour sa part sur la dimension institutionnelle et le partage de pouvoir, </w:t>
      </w:r>
      <w:r w:rsidR="00582F4A">
        <w:rPr>
          <w:rFonts w:ascii="Times New Roman" w:hAnsi="Times New Roman"/>
          <w:sz w:val="22"/>
          <w:szCs w:val="22"/>
        </w:rPr>
        <w:t xml:space="preserve">rappelant </w:t>
      </w:r>
      <w:r>
        <w:rPr>
          <w:rFonts w:ascii="Times New Roman" w:hAnsi="Times New Roman"/>
          <w:sz w:val="22"/>
          <w:szCs w:val="22"/>
        </w:rPr>
        <w:t>la nécessité de « </w:t>
      </w:r>
      <w:r w:rsidRPr="00495497">
        <w:rPr>
          <w:rFonts w:ascii="Times New Roman" w:hAnsi="Times New Roman"/>
          <w:sz w:val="22"/>
          <w:szCs w:val="22"/>
        </w:rPr>
        <w:t xml:space="preserve">la participation des femmes dans la conception, la mise en </w:t>
      </w:r>
      <w:proofErr w:type="spellStart"/>
      <w:r w:rsidRPr="00495497">
        <w:rPr>
          <w:rFonts w:ascii="Times New Roman" w:hAnsi="Times New Roman"/>
          <w:sz w:val="22"/>
          <w:szCs w:val="22"/>
        </w:rPr>
        <w:t>oeuvre</w:t>
      </w:r>
      <w:proofErr w:type="spellEnd"/>
      <w:r w:rsidRPr="00495497">
        <w:rPr>
          <w:rFonts w:ascii="Times New Roman" w:hAnsi="Times New Roman"/>
          <w:sz w:val="22"/>
          <w:szCs w:val="22"/>
        </w:rPr>
        <w:t xml:space="preserve"> et l’évaluation des initiatives et plus généralement leur représentation dans les instances décisionnelles</w:t>
      </w:r>
      <w:r>
        <w:rPr>
          <w:rFonts w:ascii="Times New Roman" w:hAnsi="Times New Roman"/>
          <w:sz w:val="22"/>
          <w:szCs w:val="22"/>
        </w:rPr>
        <w:t> »</w:t>
      </w:r>
      <w:r>
        <w:rPr>
          <w:rFonts w:ascii="Times New Roman" w:hAnsi="Times New Roman"/>
          <w:sz w:val="22"/>
          <w:szCs w:val="22"/>
        </w:rPr>
        <w:t>.</w:t>
      </w:r>
    </w:p>
    <w:p w:rsidR="00386265" w:rsidRPr="000B5B92"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Cet instrument s’impose dans les années ‘90 grâce à une conjonction de facteurs : la conférence </w:t>
      </w:r>
      <w:r w:rsidR="001E5D6F">
        <w:rPr>
          <w:rFonts w:ascii="Times New Roman" w:hAnsi="Times New Roman"/>
          <w:sz w:val="22"/>
          <w:szCs w:val="22"/>
        </w:rPr>
        <w:t xml:space="preserve">mondiale sur les femmes à </w:t>
      </w:r>
      <w:r w:rsidRPr="000B5B92">
        <w:rPr>
          <w:rFonts w:ascii="Times New Roman" w:hAnsi="Times New Roman"/>
          <w:sz w:val="22"/>
          <w:szCs w:val="22"/>
        </w:rPr>
        <w:t xml:space="preserve">Pékin </w:t>
      </w:r>
      <w:r w:rsidR="001E5D6F">
        <w:rPr>
          <w:rFonts w:ascii="Times New Roman" w:hAnsi="Times New Roman"/>
          <w:sz w:val="22"/>
          <w:szCs w:val="22"/>
        </w:rPr>
        <w:t>en 1995, l’élargissement de l’Union européenne</w:t>
      </w:r>
      <w:r w:rsidRPr="000B5B92">
        <w:rPr>
          <w:rFonts w:ascii="Times New Roman" w:hAnsi="Times New Roman"/>
          <w:sz w:val="22"/>
          <w:szCs w:val="22"/>
        </w:rPr>
        <w:t xml:space="preserve"> à des pays tels que la Finlande et la Suède, convaincus du bien-fondé de cette approche. C’est au cœur même de la Commission européenne que ces pratiques vont se généraliser dans un premier temps, l’administration développant une série d’outils et de procédures pour</w:t>
      </w:r>
      <w:r>
        <w:rPr>
          <w:rFonts w:ascii="Times New Roman" w:hAnsi="Times New Roman"/>
          <w:sz w:val="22"/>
          <w:szCs w:val="22"/>
        </w:rPr>
        <w:t xml:space="preserve"> mettre en place cette démarche : </w:t>
      </w:r>
      <w:r w:rsidRPr="000B5B92">
        <w:rPr>
          <w:rFonts w:ascii="Times New Roman" w:hAnsi="Times New Roman"/>
          <w:sz w:val="22"/>
          <w:szCs w:val="22"/>
        </w:rPr>
        <w:t>évaluation d’impact en termes de genre de toutes les politiques  (</w:t>
      </w:r>
      <w:proofErr w:type="spellStart"/>
      <w:r w:rsidRPr="000B5B92">
        <w:rPr>
          <w:rFonts w:ascii="Times New Roman" w:hAnsi="Times New Roman"/>
          <w:sz w:val="22"/>
          <w:szCs w:val="22"/>
        </w:rPr>
        <w:t>gender</w:t>
      </w:r>
      <w:proofErr w:type="spellEnd"/>
      <w:r w:rsidRPr="000B5B92">
        <w:rPr>
          <w:rFonts w:ascii="Times New Roman" w:hAnsi="Times New Roman"/>
          <w:sz w:val="22"/>
          <w:szCs w:val="22"/>
        </w:rPr>
        <w:t xml:space="preserve"> impact </w:t>
      </w:r>
      <w:proofErr w:type="spellStart"/>
      <w:r w:rsidRPr="000B5B92">
        <w:rPr>
          <w:rFonts w:ascii="Times New Roman" w:hAnsi="Times New Roman"/>
          <w:sz w:val="22"/>
          <w:szCs w:val="22"/>
        </w:rPr>
        <w:t>assessment</w:t>
      </w:r>
      <w:proofErr w:type="spellEnd"/>
      <w:r w:rsidRPr="000B5B92">
        <w:rPr>
          <w:rFonts w:ascii="Times New Roman" w:hAnsi="Times New Roman"/>
          <w:sz w:val="22"/>
          <w:szCs w:val="22"/>
        </w:rPr>
        <w:t>), le développement de données statistiques par sexes, le recours à des indicateurs de suivi des performances et des programmes de formations pour développer l’expertise des acteurs pour une mobilisation effective de ces outils.</w:t>
      </w:r>
      <w:r w:rsidRPr="000B5B92">
        <w:rPr>
          <w:rFonts w:ascii="Times New Roman" w:hAnsi="Times New Roman"/>
          <w:sz w:val="22"/>
          <w:szCs w:val="22"/>
        </w:rPr>
        <w:t xml:space="preserve"> L’analyse de Jacquot (2006) dévoile la polysémie du dispositif mobilisé de façon différentielle par les différentes directions de l’administration, de façon plus ou moins extensive ou conservatrice</w:t>
      </w:r>
      <w:r>
        <w:rPr>
          <w:rFonts w:ascii="Times New Roman" w:hAnsi="Times New Roman"/>
          <w:sz w:val="22"/>
          <w:szCs w:val="22"/>
        </w:rPr>
        <w:t>.  </w:t>
      </w:r>
      <w:r w:rsidRPr="000B5B92">
        <w:rPr>
          <w:rFonts w:ascii="Times New Roman" w:hAnsi="Times New Roman"/>
          <w:sz w:val="22"/>
          <w:szCs w:val="22"/>
        </w:rPr>
        <w:t xml:space="preserve"> </w:t>
      </w:r>
    </w:p>
    <w:p w:rsidR="00386265" w:rsidRDefault="00386265" w:rsidP="00185171">
      <w:pPr>
        <w:spacing w:before="120" w:line="360" w:lineRule="auto"/>
        <w:jc w:val="both"/>
        <w:rPr>
          <w:rFonts w:ascii="Times New Roman" w:hAnsi="Times New Roman"/>
          <w:sz w:val="22"/>
          <w:szCs w:val="22"/>
          <w:lang w:val="fr-BE"/>
        </w:rPr>
      </w:pPr>
      <w:r w:rsidRPr="000B5B92">
        <w:rPr>
          <w:rFonts w:ascii="Times New Roman" w:hAnsi="Times New Roman"/>
          <w:sz w:val="22"/>
          <w:szCs w:val="22"/>
        </w:rPr>
        <w:t>Comme le rappelle la Commission</w:t>
      </w:r>
      <w:r>
        <w:rPr>
          <w:rFonts w:ascii="Times New Roman" w:hAnsi="Times New Roman"/>
          <w:sz w:val="22"/>
          <w:szCs w:val="22"/>
        </w:rPr>
        <w:t xml:space="preserve"> (2006)</w:t>
      </w:r>
      <w:r>
        <w:rPr>
          <w:rStyle w:val="Appelnotedebasdep"/>
          <w:rFonts w:ascii="Times New Roman" w:hAnsi="Times New Roman"/>
          <w:sz w:val="22"/>
          <w:szCs w:val="22"/>
        </w:rPr>
        <w:footnoteReference w:id="3"/>
      </w:r>
      <w:r w:rsidRPr="000B5B92">
        <w:rPr>
          <w:rFonts w:ascii="Times New Roman" w:hAnsi="Times New Roman"/>
          <w:sz w:val="22"/>
          <w:szCs w:val="22"/>
        </w:rPr>
        <w:t xml:space="preserve">, l’approche transversale ne remplace pas mais complète les approches positives et ciblées. Il s’agit de favoriser une approche duale, </w:t>
      </w:r>
      <w:r w:rsidRPr="000B5B92">
        <w:rPr>
          <w:rFonts w:ascii="Times New Roman" w:hAnsi="Times New Roman"/>
          <w:i/>
          <w:sz w:val="22"/>
          <w:szCs w:val="22"/>
        </w:rPr>
        <w:t xml:space="preserve">dual </w:t>
      </w:r>
      <w:proofErr w:type="spellStart"/>
      <w:r w:rsidRPr="000B5B92">
        <w:rPr>
          <w:rFonts w:ascii="Times New Roman" w:hAnsi="Times New Roman"/>
          <w:i/>
          <w:sz w:val="22"/>
          <w:szCs w:val="22"/>
        </w:rPr>
        <w:t>track</w:t>
      </w:r>
      <w:proofErr w:type="spellEnd"/>
      <w:r w:rsidRPr="000B5B92">
        <w:rPr>
          <w:rFonts w:ascii="Times New Roman" w:hAnsi="Times New Roman"/>
          <w:sz w:val="22"/>
          <w:szCs w:val="22"/>
        </w:rPr>
        <w:t xml:space="preserve"> : d’une part une </w:t>
      </w:r>
      <w:r w:rsidRPr="000B5B92">
        <w:rPr>
          <w:rFonts w:ascii="Times New Roman" w:hAnsi="Times New Roman"/>
          <w:sz w:val="22"/>
          <w:szCs w:val="22"/>
        </w:rPr>
        <w:lastRenderedPageBreak/>
        <w:t xml:space="preserve">approche transversale qui favorise la prise en compte du genre dans toutes les politiques ; d’autre part des actions spécifiques ciblées pour la lutte contre les inégalités. Une politique efficace doit d’une part mobiliser des mesures correctrices pour corriger des inégalités passées, et d’autre part mobiliser une stratégie « </w:t>
      </w:r>
      <w:proofErr w:type="spellStart"/>
      <w:r w:rsidRPr="000B5B92">
        <w:rPr>
          <w:rFonts w:ascii="Times New Roman" w:hAnsi="Times New Roman"/>
          <w:sz w:val="22"/>
          <w:szCs w:val="22"/>
        </w:rPr>
        <w:t>genrée</w:t>
      </w:r>
      <w:proofErr w:type="spellEnd"/>
      <w:r w:rsidRPr="000B5B92">
        <w:rPr>
          <w:rFonts w:ascii="Times New Roman" w:hAnsi="Times New Roman"/>
          <w:sz w:val="22"/>
          <w:szCs w:val="22"/>
        </w:rPr>
        <w:t xml:space="preserve"> » préventive pour les éviter. Ceci constitue le sens premier de l’approche intégrée selon les sexes (</w:t>
      </w:r>
      <w:proofErr w:type="spellStart"/>
      <w:r w:rsidRPr="001E5D6F">
        <w:rPr>
          <w:rFonts w:ascii="Times New Roman" w:hAnsi="Times New Roman"/>
          <w:i/>
          <w:sz w:val="22"/>
          <w:szCs w:val="22"/>
        </w:rPr>
        <w:t>gender</w:t>
      </w:r>
      <w:proofErr w:type="spellEnd"/>
      <w:r w:rsidRPr="001E5D6F">
        <w:rPr>
          <w:rFonts w:ascii="Times New Roman" w:hAnsi="Times New Roman"/>
          <w:i/>
          <w:sz w:val="22"/>
          <w:szCs w:val="22"/>
        </w:rPr>
        <w:t xml:space="preserve"> </w:t>
      </w:r>
      <w:proofErr w:type="spellStart"/>
      <w:r w:rsidRPr="001E5D6F">
        <w:rPr>
          <w:rFonts w:ascii="Times New Roman" w:hAnsi="Times New Roman"/>
          <w:i/>
          <w:sz w:val="22"/>
          <w:szCs w:val="22"/>
        </w:rPr>
        <w:t>mainstreaming</w:t>
      </w:r>
      <w:proofErr w:type="spellEnd"/>
      <w:r w:rsidRPr="000B5B92">
        <w:rPr>
          <w:rFonts w:ascii="Times New Roman" w:hAnsi="Times New Roman"/>
          <w:sz w:val="22"/>
          <w:szCs w:val="22"/>
        </w:rPr>
        <w:t>).</w:t>
      </w:r>
      <w:r>
        <w:rPr>
          <w:rFonts w:ascii="Times New Roman" w:hAnsi="Times New Roman"/>
          <w:sz w:val="22"/>
          <w:szCs w:val="22"/>
        </w:rPr>
        <w:t xml:space="preserve"> </w:t>
      </w:r>
      <w:r w:rsidRPr="000B5B92">
        <w:rPr>
          <w:rFonts w:ascii="Times New Roman" w:hAnsi="Times New Roman"/>
          <w:sz w:val="22"/>
          <w:szCs w:val="22"/>
          <w:lang w:val="fr-BE"/>
        </w:rPr>
        <w:t xml:space="preserve">Il </w:t>
      </w:r>
      <w:r w:rsidR="00582F4A">
        <w:rPr>
          <w:rFonts w:ascii="Times New Roman" w:hAnsi="Times New Roman"/>
          <w:sz w:val="22"/>
          <w:szCs w:val="22"/>
          <w:lang w:val="fr-BE"/>
        </w:rPr>
        <w:t>faut intervenir</w:t>
      </w:r>
      <w:r w:rsidRPr="000B5B92">
        <w:rPr>
          <w:rFonts w:ascii="Times New Roman" w:hAnsi="Times New Roman"/>
          <w:sz w:val="22"/>
          <w:szCs w:val="22"/>
          <w:lang w:val="fr-BE"/>
        </w:rPr>
        <w:t xml:space="preserve"> en même temps sur les politique qui sont explicitement développées comme vectrices d’égalité, et aussi sur les politiques souvent présentées comme « neutres » en termes de genre : pour celles-ci l’enjeu est d’y rendre lisible ce qui relève de l’impensé, particulièrement au niveau de l’interaction entre l’action publique et les frontières public-privé (Muller &amp; </w:t>
      </w:r>
      <w:proofErr w:type="spellStart"/>
      <w:r w:rsidRPr="000B5B92">
        <w:rPr>
          <w:rFonts w:ascii="Times New Roman" w:hAnsi="Times New Roman"/>
          <w:sz w:val="22"/>
          <w:szCs w:val="22"/>
          <w:lang w:val="fr-BE"/>
        </w:rPr>
        <w:t>Senac-Slawinski</w:t>
      </w:r>
      <w:proofErr w:type="spellEnd"/>
      <w:r w:rsidRPr="000B5B92">
        <w:rPr>
          <w:rFonts w:ascii="Times New Roman" w:hAnsi="Times New Roman"/>
          <w:sz w:val="22"/>
          <w:szCs w:val="22"/>
          <w:lang w:val="fr-BE"/>
        </w:rPr>
        <w:t xml:space="preserve"> 2009)</w:t>
      </w:r>
    </w:p>
    <w:p w:rsidR="00185171" w:rsidRPr="00185171" w:rsidRDefault="00185171" w:rsidP="00185171">
      <w:pPr>
        <w:spacing w:before="120" w:line="360" w:lineRule="auto"/>
        <w:jc w:val="both"/>
        <w:rPr>
          <w:rFonts w:ascii="Times New Roman" w:hAnsi="Times New Roman"/>
          <w:sz w:val="22"/>
          <w:szCs w:val="22"/>
          <w:lang w:val="fr-BE"/>
        </w:rPr>
      </w:pPr>
    </w:p>
    <w:p w:rsidR="00386265" w:rsidRPr="00185171" w:rsidRDefault="00386265" w:rsidP="002D74A5">
      <w:pPr>
        <w:pStyle w:val="Paragraphedeliste"/>
        <w:numPr>
          <w:ilvl w:val="0"/>
          <w:numId w:val="6"/>
        </w:numPr>
        <w:spacing w:line="360" w:lineRule="auto"/>
        <w:jc w:val="both"/>
        <w:rPr>
          <w:rFonts w:ascii="Times New Roman" w:hAnsi="Times New Roman"/>
          <w:b/>
          <w:i/>
          <w:lang w:val="fr-BE"/>
        </w:rPr>
      </w:pPr>
      <w:r w:rsidRPr="00185171">
        <w:rPr>
          <w:rFonts w:ascii="Times New Roman" w:hAnsi="Times New Roman"/>
          <w:b/>
          <w:i/>
          <w:lang w:val="fr-BE"/>
        </w:rPr>
        <w:t xml:space="preserve">Le </w:t>
      </w:r>
      <w:proofErr w:type="spellStart"/>
      <w:r w:rsidRPr="00185171">
        <w:rPr>
          <w:rFonts w:ascii="Times New Roman" w:hAnsi="Times New Roman"/>
          <w:b/>
          <w:i/>
          <w:lang w:val="fr-BE"/>
        </w:rPr>
        <w:t>Gender</w:t>
      </w:r>
      <w:proofErr w:type="spellEnd"/>
      <w:r w:rsidRPr="00185171">
        <w:rPr>
          <w:rFonts w:ascii="Times New Roman" w:hAnsi="Times New Roman"/>
          <w:b/>
          <w:i/>
          <w:lang w:val="fr-BE"/>
        </w:rPr>
        <w:t xml:space="preserve"> </w:t>
      </w:r>
      <w:proofErr w:type="spellStart"/>
      <w:r w:rsidRPr="00185171">
        <w:rPr>
          <w:rFonts w:ascii="Times New Roman" w:hAnsi="Times New Roman"/>
          <w:b/>
          <w:i/>
          <w:lang w:val="fr-BE"/>
        </w:rPr>
        <w:t>Mainstreaming</w:t>
      </w:r>
      <w:proofErr w:type="spellEnd"/>
      <w:r w:rsidRPr="00185171">
        <w:rPr>
          <w:rFonts w:ascii="Times New Roman" w:hAnsi="Times New Roman"/>
          <w:b/>
          <w:i/>
          <w:lang w:val="fr-BE"/>
        </w:rPr>
        <w:t xml:space="preserve"> comme démarche évaluative </w:t>
      </w:r>
    </w:p>
    <w:p w:rsidR="00386265" w:rsidRPr="00073FA7"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Avec le </w:t>
      </w:r>
      <w:proofErr w:type="spellStart"/>
      <w:r w:rsidRPr="007249AF">
        <w:rPr>
          <w:rFonts w:ascii="Times New Roman" w:hAnsi="Times New Roman"/>
          <w:i/>
          <w:sz w:val="22"/>
          <w:szCs w:val="22"/>
        </w:rPr>
        <w:t>gender</w:t>
      </w:r>
      <w:proofErr w:type="spellEnd"/>
      <w:r w:rsidRPr="007249AF">
        <w:rPr>
          <w:rFonts w:ascii="Times New Roman" w:hAnsi="Times New Roman"/>
          <w:i/>
          <w:sz w:val="22"/>
          <w:szCs w:val="22"/>
        </w:rPr>
        <w:t xml:space="preserve"> </w:t>
      </w:r>
      <w:proofErr w:type="spellStart"/>
      <w:r w:rsidRPr="007249AF">
        <w:rPr>
          <w:rFonts w:ascii="Times New Roman" w:hAnsi="Times New Roman"/>
          <w:i/>
          <w:sz w:val="22"/>
          <w:szCs w:val="22"/>
        </w:rPr>
        <w:t>mainstreaming</w:t>
      </w:r>
      <w:proofErr w:type="spellEnd"/>
      <w:r w:rsidRPr="000B5B92">
        <w:rPr>
          <w:rFonts w:ascii="Times New Roman" w:hAnsi="Times New Roman"/>
          <w:sz w:val="22"/>
          <w:szCs w:val="22"/>
        </w:rPr>
        <w:t>, les états européens semblent mobiliser un nouvel instrument qui complète la panoplie des directives, règlements et programmes d’action qui ont soutenu le progrès en matière d’égalité entre les hommes et les f</w:t>
      </w:r>
      <w:r w:rsidR="001E5D6F">
        <w:rPr>
          <w:rFonts w:ascii="Times New Roman" w:hAnsi="Times New Roman"/>
          <w:sz w:val="22"/>
          <w:szCs w:val="22"/>
        </w:rPr>
        <w:t>emmes depuis le traité de Rome de 1956</w:t>
      </w:r>
      <w:r w:rsidRPr="000B5B92">
        <w:rPr>
          <w:rFonts w:ascii="Times New Roman" w:hAnsi="Times New Roman"/>
          <w:sz w:val="22"/>
          <w:szCs w:val="22"/>
        </w:rPr>
        <w:t>. Mais il s’agit sans doute moins d’un instrument d</w:t>
      </w:r>
      <w:r w:rsidR="007249AF">
        <w:rPr>
          <w:rFonts w:ascii="Times New Roman" w:hAnsi="Times New Roman"/>
          <w:sz w:val="22"/>
          <w:szCs w:val="22"/>
        </w:rPr>
        <w:t>’action publique (</w:t>
      </w:r>
      <w:proofErr w:type="spellStart"/>
      <w:r w:rsidR="007249AF">
        <w:rPr>
          <w:rFonts w:ascii="Times New Roman" w:hAnsi="Times New Roman"/>
          <w:sz w:val="22"/>
          <w:szCs w:val="22"/>
        </w:rPr>
        <w:t>Lascoumes</w:t>
      </w:r>
      <w:proofErr w:type="spellEnd"/>
      <w:r w:rsidR="007249AF">
        <w:rPr>
          <w:rFonts w:ascii="Times New Roman" w:hAnsi="Times New Roman"/>
          <w:sz w:val="22"/>
          <w:szCs w:val="22"/>
        </w:rPr>
        <w:t xml:space="preserve"> 2004</w:t>
      </w:r>
      <w:r w:rsidRPr="000B5B92">
        <w:rPr>
          <w:rFonts w:ascii="Times New Roman" w:hAnsi="Times New Roman"/>
          <w:sz w:val="22"/>
          <w:szCs w:val="22"/>
        </w:rPr>
        <w:t>) qu’une démarche heuristique qui permet de dévoiler les rapports sociaux de genre occultés par les politiques.</w:t>
      </w:r>
      <w:r>
        <w:rPr>
          <w:rFonts w:ascii="Times New Roman" w:hAnsi="Times New Roman"/>
          <w:sz w:val="22"/>
          <w:szCs w:val="22"/>
        </w:rPr>
        <w:t xml:space="preserve"> La véritable rupture introduite par le </w:t>
      </w:r>
      <w:proofErr w:type="spellStart"/>
      <w:r w:rsidRPr="007249AF">
        <w:rPr>
          <w:rFonts w:ascii="Times New Roman" w:hAnsi="Times New Roman"/>
          <w:i/>
          <w:sz w:val="22"/>
          <w:szCs w:val="22"/>
        </w:rPr>
        <w:t>gender</w:t>
      </w:r>
      <w:proofErr w:type="spellEnd"/>
      <w:r w:rsidRPr="007249AF">
        <w:rPr>
          <w:rFonts w:ascii="Times New Roman" w:hAnsi="Times New Roman"/>
          <w:i/>
          <w:sz w:val="22"/>
          <w:szCs w:val="22"/>
        </w:rPr>
        <w:t xml:space="preserve"> </w:t>
      </w:r>
      <w:proofErr w:type="spellStart"/>
      <w:r w:rsidRPr="007249AF">
        <w:rPr>
          <w:rFonts w:ascii="Times New Roman" w:hAnsi="Times New Roman"/>
          <w:i/>
          <w:sz w:val="22"/>
          <w:szCs w:val="22"/>
        </w:rPr>
        <w:t>mainstreaming</w:t>
      </w:r>
      <w:proofErr w:type="spellEnd"/>
      <w:r>
        <w:rPr>
          <w:rFonts w:ascii="Times New Roman" w:hAnsi="Times New Roman"/>
          <w:sz w:val="22"/>
          <w:szCs w:val="22"/>
        </w:rPr>
        <w:t xml:space="preserve"> est la remise en question de la prétendue neutralité des politiques sur les rapports de genre. </w:t>
      </w:r>
      <w:r w:rsidR="00582F4A">
        <w:rPr>
          <w:rFonts w:ascii="Times New Roman" w:hAnsi="Times New Roman"/>
          <w:sz w:val="22"/>
          <w:szCs w:val="22"/>
        </w:rPr>
        <w:t xml:space="preserve">Il s’agit à la fois d’un </w:t>
      </w:r>
      <w:r w:rsidR="00582F4A" w:rsidRPr="000512AA">
        <w:rPr>
          <w:rFonts w:ascii="Times New Roman" w:hAnsi="Times New Roman"/>
          <w:sz w:val="22"/>
          <w:szCs w:val="22"/>
        </w:rPr>
        <w:t>outil conceptuel, pour introduire une nouvelle approche de l’égalité, et</w:t>
      </w:r>
      <w:r w:rsidR="00582F4A">
        <w:rPr>
          <w:rFonts w:ascii="Times New Roman" w:hAnsi="Times New Roman"/>
          <w:sz w:val="22"/>
          <w:szCs w:val="22"/>
        </w:rPr>
        <w:t xml:space="preserve"> d’une méthode d’action qui vise à s</w:t>
      </w:r>
      <w:r w:rsidR="00582F4A" w:rsidRPr="000512AA">
        <w:rPr>
          <w:rFonts w:ascii="Times New Roman" w:hAnsi="Times New Roman"/>
          <w:sz w:val="22"/>
          <w:szCs w:val="22"/>
        </w:rPr>
        <w:t>’inscrire dans les pratiques des différents acteurs des politiques publiques</w:t>
      </w:r>
      <w:r w:rsidR="00582F4A">
        <w:rPr>
          <w:rFonts w:ascii="Times New Roman" w:hAnsi="Times New Roman"/>
          <w:sz w:val="22"/>
          <w:szCs w:val="22"/>
        </w:rPr>
        <w:t xml:space="preserve"> (</w:t>
      </w:r>
      <w:r w:rsidR="00582F4A" w:rsidRPr="000512AA">
        <w:rPr>
          <w:rFonts w:ascii="Times New Roman" w:hAnsi="Times New Roman"/>
          <w:sz w:val="22"/>
          <w:szCs w:val="22"/>
        </w:rPr>
        <w:t xml:space="preserve">Dauphin </w:t>
      </w:r>
      <w:r w:rsidR="00582F4A">
        <w:rPr>
          <w:rFonts w:ascii="Times New Roman" w:hAnsi="Times New Roman"/>
          <w:sz w:val="22"/>
          <w:szCs w:val="22"/>
        </w:rPr>
        <w:t xml:space="preserve">&amp; </w:t>
      </w:r>
      <w:r w:rsidR="00582F4A" w:rsidRPr="000512AA">
        <w:rPr>
          <w:rFonts w:ascii="Times New Roman" w:hAnsi="Times New Roman"/>
          <w:sz w:val="22"/>
          <w:szCs w:val="22"/>
        </w:rPr>
        <w:t>Sénac-</w:t>
      </w:r>
      <w:proofErr w:type="spellStart"/>
      <w:r w:rsidR="00582F4A" w:rsidRPr="000512AA">
        <w:rPr>
          <w:rFonts w:ascii="Times New Roman" w:hAnsi="Times New Roman"/>
          <w:sz w:val="22"/>
          <w:szCs w:val="22"/>
        </w:rPr>
        <w:t>Slawinski</w:t>
      </w:r>
      <w:proofErr w:type="spellEnd"/>
      <w:r w:rsidR="00582F4A" w:rsidRPr="000512AA">
        <w:rPr>
          <w:rFonts w:ascii="Times New Roman" w:hAnsi="Times New Roman"/>
          <w:sz w:val="22"/>
          <w:szCs w:val="22"/>
        </w:rPr>
        <w:t xml:space="preserve"> </w:t>
      </w:r>
      <w:r w:rsidR="00582F4A">
        <w:rPr>
          <w:rFonts w:ascii="Times New Roman" w:hAnsi="Times New Roman"/>
          <w:sz w:val="22"/>
          <w:szCs w:val="22"/>
        </w:rPr>
        <w:t>2008 : 7).</w:t>
      </w:r>
      <w:r w:rsidR="00582F4A">
        <w:rPr>
          <w:rFonts w:ascii="Times New Roman" w:hAnsi="Times New Roman"/>
          <w:sz w:val="22"/>
          <w:szCs w:val="22"/>
        </w:rPr>
        <w:t xml:space="preserve"> </w:t>
      </w:r>
      <w:r>
        <w:rPr>
          <w:rFonts w:ascii="Times New Roman" w:hAnsi="Times New Roman"/>
          <w:sz w:val="22"/>
          <w:szCs w:val="22"/>
        </w:rPr>
        <w:t>L</w:t>
      </w:r>
      <w:r w:rsidRPr="00073FA7">
        <w:rPr>
          <w:rFonts w:ascii="Times New Roman" w:hAnsi="Times New Roman"/>
          <w:sz w:val="22"/>
          <w:szCs w:val="22"/>
        </w:rPr>
        <w:t>es politiques ne sont pas neutr</w:t>
      </w:r>
      <w:r>
        <w:rPr>
          <w:rFonts w:ascii="Times New Roman" w:hAnsi="Times New Roman"/>
          <w:sz w:val="22"/>
          <w:szCs w:val="22"/>
        </w:rPr>
        <w:t>es et peuvent</w:t>
      </w:r>
      <w:r w:rsidRPr="00073FA7">
        <w:rPr>
          <w:rFonts w:ascii="Times New Roman" w:hAnsi="Times New Roman"/>
          <w:sz w:val="22"/>
          <w:szCs w:val="22"/>
        </w:rPr>
        <w:t xml:space="preserve"> renforcer les inégalités existantes ou en produire de nouvelles</w:t>
      </w:r>
      <w:r>
        <w:rPr>
          <w:rFonts w:ascii="Times New Roman" w:hAnsi="Times New Roman"/>
          <w:sz w:val="22"/>
          <w:szCs w:val="22"/>
        </w:rPr>
        <w:t xml:space="preserve"> </w:t>
      </w:r>
      <w:r w:rsidRPr="00073FA7">
        <w:rPr>
          <w:rFonts w:ascii="Times New Roman" w:hAnsi="Times New Roman"/>
          <w:sz w:val="22"/>
          <w:szCs w:val="22"/>
        </w:rPr>
        <w:t>(Dauphin 2010</w:t>
      </w:r>
      <w:r>
        <w:rPr>
          <w:rFonts w:ascii="Times New Roman" w:hAnsi="Times New Roman"/>
          <w:sz w:val="22"/>
          <w:szCs w:val="22"/>
        </w:rPr>
        <w:t>).</w:t>
      </w:r>
      <w:r w:rsidRPr="003633A2">
        <w:rPr>
          <w:rFonts w:ascii="Times New Roman" w:hAnsi="Times New Roman"/>
          <w:sz w:val="22"/>
          <w:szCs w:val="22"/>
        </w:rPr>
        <w:t xml:space="preserve"> </w:t>
      </w:r>
    </w:p>
    <w:p w:rsidR="00386265" w:rsidRDefault="00386265" w:rsidP="00185171">
      <w:pPr>
        <w:spacing w:before="120" w:line="360" w:lineRule="auto"/>
        <w:jc w:val="both"/>
        <w:rPr>
          <w:rFonts w:ascii="Times New Roman" w:hAnsi="Times New Roman"/>
          <w:sz w:val="22"/>
          <w:szCs w:val="22"/>
        </w:rPr>
      </w:pPr>
      <w:r w:rsidRPr="000512AA">
        <w:rPr>
          <w:rFonts w:ascii="Times New Roman" w:hAnsi="Times New Roman"/>
          <w:sz w:val="22"/>
          <w:szCs w:val="22"/>
        </w:rPr>
        <w:t xml:space="preserve">Des féministes dénoncent </w:t>
      </w:r>
      <w:r w:rsidRPr="00582F4A">
        <w:rPr>
          <w:rFonts w:ascii="Times New Roman" w:hAnsi="Times New Roman"/>
          <w:i/>
          <w:sz w:val="22"/>
          <w:szCs w:val="22"/>
        </w:rPr>
        <w:t xml:space="preserve">le </w:t>
      </w:r>
      <w:proofErr w:type="spellStart"/>
      <w:r w:rsidRPr="00582F4A">
        <w:rPr>
          <w:rFonts w:ascii="Times New Roman" w:hAnsi="Times New Roman"/>
          <w:i/>
          <w:sz w:val="22"/>
          <w:szCs w:val="22"/>
        </w:rPr>
        <w:t>gender</w:t>
      </w:r>
      <w:proofErr w:type="spellEnd"/>
      <w:r w:rsidRPr="00582F4A">
        <w:rPr>
          <w:rFonts w:ascii="Times New Roman" w:hAnsi="Times New Roman"/>
          <w:i/>
          <w:sz w:val="22"/>
          <w:szCs w:val="22"/>
        </w:rPr>
        <w:t xml:space="preserve"> </w:t>
      </w:r>
      <w:proofErr w:type="spellStart"/>
      <w:r w:rsidRPr="00582F4A">
        <w:rPr>
          <w:rFonts w:ascii="Times New Roman" w:hAnsi="Times New Roman"/>
          <w:i/>
          <w:sz w:val="22"/>
          <w:szCs w:val="22"/>
        </w:rPr>
        <w:t>mainstreaming</w:t>
      </w:r>
      <w:proofErr w:type="spellEnd"/>
      <w:r w:rsidRPr="000512AA">
        <w:rPr>
          <w:rFonts w:ascii="Times New Roman" w:hAnsi="Times New Roman"/>
          <w:sz w:val="22"/>
          <w:szCs w:val="22"/>
        </w:rPr>
        <w:t xml:space="preserve"> </w:t>
      </w:r>
      <w:r w:rsidR="00582F4A">
        <w:rPr>
          <w:rFonts w:ascii="Times New Roman" w:hAnsi="Times New Roman"/>
          <w:sz w:val="22"/>
          <w:szCs w:val="22"/>
        </w:rPr>
        <w:t>comme</w:t>
      </w:r>
      <w:r w:rsidRPr="000512AA">
        <w:rPr>
          <w:rFonts w:ascii="Times New Roman" w:hAnsi="Times New Roman"/>
          <w:sz w:val="22"/>
          <w:szCs w:val="22"/>
        </w:rPr>
        <w:t xml:space="preserve"> stratégie pour mettre un terme aux mesures spécifiques pour l’égalité entre les sexes et dilue</w:t>
      </w:r>
      <w:r w:rsidR="00582F4A">
        <w:rPr>
          <w:rFonts w:ascii="Times New Roman" w:hAnsi="Times New Roman"/>
          <w:sz w:val="22"/>
          <w:szCs w:val="22"/>
        </w:rPr>
        <w:t>r</w:t>
      </w:r>
      <w:r w:rsidRPr="000512AA">
        <w:rPr>
          <w:rFonts w:ascii="Times New Roman" w:hAnsi="Times New Roman"/>
          <w:sz w:val="22"/>
          <w:szCs w:val="22"/>
        </w:rPr>
        <w:t xml:space="preserve"> l’exigence d’égalité des sexes. </w:t>
      </w:r>
      <w:r>
        <w:rPr>
          <w:rFonts w:ascii="Times New Roman" w:hAnsi="Times New Roman"/>
          <w:sz w:val="22"/>
          <w:szCs w:val="22"/>
        </w:rPr>
        <w:t>Elles</w:t>
      </w:r>
      <w:r>
        <w:rPr>
          <w:rFonts w:ascii="Times New Roman" w:hAnsi="Times New Roman"/>
          <w:sz w:val="22"/>
          <w:szCs w:val="22"/>
        </w:rPr>
        <w:t xml:space="preserve"> </w:t>
      </w:r>
      <w:r w:rsidR="00582F4A">
        <w:rPr>
          <w:rFonts w:ascii="Times New Roman" w:hAnsi="Times New Roman"/>
          <w:sz w:val="22"/>
          <w:szCs w:val="22"/>
        </w:rPr>
        <w:t xml:space="preserve">présentent ce dispositif comme inefficace </w:t>
      </w:r>
      <w:r>
        <w:rPr>
          <w:rFonts w:ascii="Times New Roman" w:hAnsi="Times New Roman"/>
          <w:sz w:val="22"/>
          <w:szCs w:val="22"/>
        </w:rPr>
        <w:t xml:space="preserve">(Forest 2006, </w:t>
      </w:r>
      <w:proofErr w:type="spellStart"/>
      <w:r>
        <w:rPr>
          <w:rFonts w:ascii="Times New Roman" w:hAnsi="Times New Roman"/>
          <w:sz w:val="22"/>
          <w:szCs w:val="22"/>
        </w:rPr>
        <w:t>Startigaki</w:t>
      </w:r>
      <w:proofErr w:type="spellEnd"/>
      <w:r>
        <w:rPr>
          <w:rFonts w:ascii="Times New Roman" w:hAnsi="Times New Roman"/>
          <w:sz w:val="22"/>
          <w:szCs w:val="22"/>
        </w:rPr>
        <w:t xml:space="preserve"> 2005), voire </w:t>
      </w:r>
      <w:r w:rsidR="00582F4A">
        <w:rPr>
          <w:rFonts w:ascii="Times New Roman" w:hAnsi="Times New Roman"/>
          <w:sz w:val="22"/>
          <w:szCs w:val="22"/>
        </w:rPr>
        <w:t xml:space="preserve">instrumentalisé au </w:t>
      </w:r>
      <w:r>
        <w:rPr>
          <w:rFonts w:ascii="Times New Roman" w:hAnsi="Times New Roman"/>
          <w:sz w:val="22"/>
          <w:szCs w:val="22"/>
        </w:rPr>
        <w:t xml:space="preserve">service de la relance de la croissance, comme en témoigne sa mobilisation dans le domaine de l’emploi, c’est-à-dire un secteur marqué par un objectif de libéralisation du marché et de la </w:t>
      </w:r>
      <w:r w:rsidRPr="0012129E">
        <w:rPr>
          <w:rFonts w:ascii="Times New Roman" w:hAnsi="Times New Roman"/>
          <w:sz w:val="22"/>
          <w:szCs w:val="22"/>
        </w:rPr>
        <w:t>réduction du coût du travail</w:t>
      </w:r>
      <w:r>
        <w:rPr>
          <w:rFonts w:ascii="Times New Roman" w:hAnsi="Times New Roman"/>
          <w:sz w:val="22"/>
          <w:szCs w:val="22"/>
        </w:rPr>
        <w:t xml:space="preserve">, où le discours dominant relève davantage de la flexibilité au travail que de </w:t>
      </w:r>
      <w:r w:rsidRPr="0012129E">
        <w:rPr>
          <w:rFonts w:ascii="Times New Roman" w:hAnsi="Times New Roman"/>
          <w:sz w:val="22"/>
          <w:szCs w:val="22"/>
        </w:rPr>
        <w:t>l’extension des droits sociaux.</w:t>
      </w:r>
      <w:r w:rsidRPr="004619DB">
        <w:rPr>
          <w:rFonts w:ascii="Times New Roman" w:hAnsi="Times New Roman"/>
          <w:sz w:val="22"/>
          <w:szCs w:val="22"/>
        </w:rPr>
        <w:t xml:space="preserve"> </w:t>
      </w:r>
      <w:r w:rsidRPr="000B5B92">
        <w:rPr>
          <w:rFonts w:ascii="Times New Roman" w:hAnsi="Times New Roman"/>
          <w:sz w:val="22"/>
          <w:szCs w:val="22"/>
        </w:rPr>
        <w:t>L’égalité devient un argument clé de la Stratégie de Lisbonne et du soutien de la croissance où la main d’œuvre féminine représente un potentiel de croissance appréciable et les discriminations deviennent une irrationalité économique.</w:t>
      </w:r>
    </w:p>
    <w:p w:rsidR="00386265" w:rsidRPr="000B5B92" w:rsidRDefault="00386265" w:rsidP="00185171">
      <w:pPr>
        <w:spacing w:before="120" w:line="360" w:lineRule="auto"/>
        <w:jc w:val="both"/>
        <w:rPr>
          <w:rFonts w:ascii="Times New Roman" w:hAnsi="Times New Roman"/>
          <w:sz w:val="22"/>
          <w:szCs w:val="22"/>
          <w:lang w:val="fr-BE"/>
        </w:rPr>
      </w:pPr>
      <w:r w:rsidRPr="000B5B92">
        <w:rPr>
          <w:rFonts w:ascii="Times New Roman" w:hAnsi="Times New Roman"/>
          <w:sz w:val="22"/>
          <w:szCs w:val="22"/>
          <w:lang w:val="fr-BE"/>
        </w:rPr>
        <w:t>Il est possible d’illustrer ce propos en mobilisant l’exemple de l’analyse des budgets publics à l’aune du genre (</w:t>
      </w:r>
      <w:proofErr w:type="spellStart"/>
      <w:r w:rsidRPr="000B5B92">
        <w:rPr>
          <w:rFonts w:ascii="Times New Roman" w:hAnsi="Times New Roman"/>
          <w:sz w:val="22"/>
          <w:szCs w:val="22"/>
          <w:lang w:val="fr-BE"/>
        </w:rPr>
        <w:t>Cecchini</w:t>
      </w:r>
      <w:proofErr w:type="spellEnd"/>
      <w:r w:rsidRPr="000B5B92">
        <w:rPr>
          <w:rFonts w:ascii="Times New Roman" w:hAnsi="Times New Roman"/>
          <w:sz w:val="22"/>
          <w:szCs w:val="22"/>
          <w:lang w:val="fr-BE"/>
        </w:rPr>
        <w:t xml:space="preserve"> &amp; Fallon 2009). Le </w:t>
      </w:r>
      <w:proofErr w:type="spellStart"/>
      <w:r w:rsidRPr="000B5B92">
        <w:rPr>
          <w:rFonts w:ascii="Times New Roman" w:hAnsi="Times New Roman"/>
          <w:i/>
          <w:sz w:val="22"/>
          <w:szCs w:val="22"/>
          <w:lang w:val="fr-BE"/>
        </w:rPr>
        <w:t>gender</w:t>
      </w:r>
      <w:proofErr w:type="spellEnd"/>
      <w:r w:rsidRPr="000B5B92">
        <w:rPr>
          <w:rFonts w:ascii="Times New Roman" w:hAnsi="Times New Roman"/>
          <w:i/>
          <w:sz w:val="22"/>
          <w:szCs w:val="22"/>
          <w:lang w:val="fr-BE"/>
        </w:rPr>
        <w:t xml:space="preserve"> </w:t>
      </w:r>
      <w:proofErr w:type="spellStart"/>
      <w:r w:rsidRPr="000B5B92">
        <w:rPr>
          <w:rFonts w:ascii="Times New Roman" w:hAnsi="Times New Roman"/>
          <w:i/>
          <w:sz w:val="22"/>
          <w:szCs w:val="22"/>
          <w:lang w:val="fr-BE"/>
        </w:rPr>
        <w:t>budgeting</w:t>
      </w:r>
      <w:proofErr w:type="spellEnd"/>
      <w:r w:rsidRPr="000B5B92">
        <w:rPr>
          <w:rFonts w:ascii="Times New Roman" w:hAnsi="Times New Roman"/>
          <w:sz w:val="22"/>
          <w:szCs w:val="22"/>
          <w:lang w:val="fr-BE"/>
        </w:rPr>
        <w:t xml:space="preserve"> est l’analyse des dépenses publiques, des produits des impôts, des autres rentrées financières et des budgets sous l’angle des conséquences et des incidences qui en résulteront pour les filles et pour les femmes par rapport aux garçons et aux </w:t>
      </w:r>
      <w:r w:rsidRPr="000B5B92">
        <w:rPr>
          <w:rFonts w:ascii="Times New Roman" w:hAnsi="Times New Roman"/>
          <w:sz w:val="22"/>
          <w:szCs w:val="22"/>
          <w:lang w:val="fr-BE"/>
        </w:rPr>
        <w:lastRenderedPageBreak/>
        <w:t xml:space="preserve">hommes. L’objectif de cette analyse est d’identifier dans les processus de décisions budgétaires, les décisions et choix qui s’avèrent défavorables à l’un ou l’autre sexe, le plus souvent parce que les spécificités socio-économiques des hommes et des femmes n’ont pas été prises en considération. Il est généralement considéré que le budget public est un instrument politique neutre au niveau du genre. Or, il apparaît que, dans la pratique, les pouvoirs publics, la plupart du temps de façon inconsciente contribuent à renforcer les inégalités entre les femmes et les hommes au lieu de les réduire. Il en résulte qu’il n’y a pas d’intention directe de discriminer mais ne pas tenir compte des réalités socio-économiques des hommes et des femmes et donc, des impacts différenciés qu’auront les mesures sur </w:t>
      </w:r>
      <w:r w:rsidR="00582F4A">
        <w:rPr>
          <w:rFonts w:ascii="Times New Roman" w:hAnsi="Times New Roman"/>
          <w:sz w:val="22"/>
          <w:szCs w:val="22"/>
          <w:lang w:val="fr-BE"/>
        </w:rPr>
        <w:t>l’un et l’autre sexe, entraîne</w:t>
      </w:r>
      <w:r w:rsidRPr="000B5B92">
        <w:rPr>
          <w:rFonts w:ascii="Times New Roman" w:hAnsi="Times New Roman"/>
          <w:sz w:val="22"/>
          <w:szCs w:val="22"/>
          <w:lang w:val="fr-BE"/>
        </w:rPr>
        <w:t xml:space="preserve"> de facto un renforcement des situations d’inégalité.</w:t>
      </w:r>
    </w:p>
    <w:p w:rsidR="00386265"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L’analyse de Perrier (2009)</w:t>
      </w:r>
      <w:r w:rsidR="001E5D6F" w:rsidRPr="001E5D6F">
        <w:rPr>
          <w:rFonts w:ascii="Times New Roman" w:hAnsi="Times New Roman"/>
          <w:sz w:val="22"/>
          <w:szCs w:val="22"/>
          <w:lang w:val="fr-BE"/>
        </w:rPr>
        <w:t xml:space="preserve"> </w:t>
      </w:r>
      <w:r w:rsidRPr="000B5B92">
        <w:rPr>
          <w:rFonts w:ascii="Times New Roman" w:hAnsi="Times New Roman"/>
          <w:sz w:val="22"/>
          <w:szCs w:val="22"/>
        </w:rPr>
        <w:t xml:space="preserve">des dispositifs de politique de l’emploi en France et en Allemagne confirme la difficulté de mettre en œuvre cette approche en soulignant l’écart entre d’une part la diffusion du </w:t>
      </w:r>
      <w:proofErr w:type="spellStart"/>
      <w:r w:rsidRPr="000B5B92">
        <w:rPr>
          <w:rFonts w:ascii="Times New Roman" w:hAnsi="Times New Roman"/>
          <w:i/>
          <w:sz w:val="22"/>
          <w:szCs w:val="22"/>
        </w:rPr>
        <w:t>gender</w:t>
      </w:r>
      <w:proofErr w:type="spellEnd"/>
      <w:r w:rsidRPr="000B5B92">
        <w:rPr>
          <w:rFonts w:ascii="Times New Roman" w:hAnsi="Times New Roman"/>
          <w:i/>
          <w:sz w:val="22"/>
          <w:szCs w:val="22"/>
        </w:rPr>
        <w:t xml:space="preserve"> </w:t>
      </w:r>
      <w:proofErr w:type="spellStart"/>
      <w:r w:rsidRPr="000B5B92">
        <w:rPr>
          <w:rFonts w:ascii="Times New Roman" w:hAnsi="Times New Roman"/>
          <w:i/>
          <w:sz w:val="22"/>
          <w:szCs w:val="22"/>
        </w:rPr>
        <w:t>mainstreaming</w:t>
      </w:r>
      <w:proofErr w:type="spellEnd"/>
      <w:r w:rsidRPr="000B5B92">
        <w:rPr>
          <w:rFonts w:ascii="Times New Roman" w:hAnsi="Times New Roman"/>
          <w:i/>
          <w:sz w:val="22"/>
          <w:szCs w:val="22"/>
        </w:rPr>
        <w:t xml:space="preserve"> </w:t>
      </w:r>
      <w:r w:rsidRPr="000B5B92">
        <w:rPr>
          <w:rFonts w:ascii="Times New Roman" w:hAnsi="Times New Roman"/>
          <w:sz w:val="22"/>
          <w:szCs w:val="22"/>
        </w:rPr>
        <w:t xml:space="preserve">comme nouvelle logique d’intervention soutenue par les initiatives internationales et relayées par les instances européennes, et d’autre part la pauvreté des débats publics sur ces mêmes thèmes et l’absence de culture de genre au niveau des acteurs de terrains. Son analyse fine des représentations mobilisées par les acteurs de terrain engagés dans les politiques de l’emploi et d’insertion (en Ile de France et dans le Land de Berlin) révèle une difficile prise en compte du genre au niveau local de mise en œuvre de la politique. Elle observe qu’ « en l’absence de cadrage cognitif émanant des institutions l’objectif d’égalité ne constitue pas une catégorie légitime d’action publique ». Son analyse permet de réfléchir sur les chances d’adoption et, mieux encore, d’intégration du </w:t>
      </w:r>
      <w:proofErr w:type="spellStart"/>
      <w:r w:rsidR="007249AF" w:rsidRPr="007249AF">
        <w:rPr>
          <w:rFonts w:ascii="Times New Roman" w:hAnsi="Times New Roman"/>
          <w:i/>
          <w:sz w:val="22"/>
          <w:szCs w:val="22"/>
        </w:rPr>
        <w:t>gender</w:t>
      </w:r>
      <w:proofErr w:type="spellEnd"/>
      <w:r w:rsidR="007249AF" w:rsidRPr="007249AF">
        <w:rPr>
          <w:rFonts w:ascii="Times New Roman" w:hAnsi="Times New Roman"/>
          <w:i/>
          <w:sz w:val="22"/>
          <w:szCs w:val="22"/>
        </w:rPr>
        <w:t xml:space="preserve"> </w:t>
      </w:r>
      <w:proofErr w:type="spellStart"/>
      <w:r w:rsidR="007249AF" w:rsidRPr="007249AF">
        <w:rPr>
          <w:rFonts w:ascii="Times New Roman" w:hAnsi="Times New Roman"/>
          <w:i/>
          <w:sz w:val="22"/>
          <w:szCs w:val="22"/>
        </w:rPr>
        <w:t>mainstreaming</w:t>
      </w:r>
      <w:proofErr w:type="spellEnd"/>
      <w:r w:rsidRPr="000B5B92">
        <w:rPr>
          <w:rFonts w:ascii="Times New Roman" w:hAnsi="Times New Roman"/>
          <w:sz w:val="22"/>
          <w:szCs w:val="22"/>
        </w:rPr>
        <w:t>, politique couteuse parce qu’elle nécessite un investissement cognitif important pour développer les cadres conceptuels qui président à sa mise en œuvre. Cette expérience montre que pour arriver à développer un « réflexe genre » au sein des processus d’analyse et d’évaluation des politiques publiques, il paraît essentiel de rappeler la pertinence et l’importance de l’objectif d’égalité entre les sexes ainsi que la nécessité d’un processus d’élaboration des politiques qui le prennent en compte</w:t>
      </w:r>
      <w:r>
        <w:rPr>
          <w:rFonts w:ascii="Times New Roman" w:hAnsi="Times New Roman"/>
          <w:sz w:val="22"/>
          <w:szCs w:val="22"/>
        </w:rPr>
        <w:t xml:space="preserve">. </w:t>
      </w:r>
    </w:p>
    <w:p w:rsidR="00386265"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Le </w:t>
      </w:r>
      <w:r w:rsidR="00185171">
        <w:rPr>
          <w:rFonts w:ascii="Times New Roman" w:hAnsi="Times New Roman"/>
          <w:sz w:val="22"/>
          <w:szCs w:val="22"/>
        </w:rPr>
        <w:t xml:space="preserve">concept d’instrument </w:t>
      </w:r>
      <w:r w:rsidRPr="000B5B92">
        <w:rPr>
          <w:rFonts w:ascii="Times New Roman" w:hAnsi="Times New Roman"/>
          <w:sz w:val="22"/>
          <w:szCs w:val="22"/>
        </w:rPr>
        <w:t xml:space="preserve">proposé par </w:t>
      </w:r>
      <w:proofErr w:type="spellStart"/>
      <w:r w:rsidRPr="000B5B92">
        <w:rPr>
          <w:rFonts w:ascii="Times New Roman" w:hAnsi="Times New Roman"/>
          <w:sz w:val="22"/>
          <w:szCs w:val="22"/>
        </w:rPr>
        <w:t>Lascoumes</w:t>
      </w:r>
      <w:proofErr w:type="spellEnd"/>
      <w:r w:rsidRPr="000B5B92">
        <w:rPr>
          <w:rFonts w:ascii="Times New Roman" w:hAnsi="Times New Roman"/>
          <w:sz w:val="22"/>
          <w:szCs w:val="22"/>
        </w:rPr>
        <w:t xml:space="preserve"> </w:t>
      </w:r>
      <w:r w:rsidR="007249AF">
        <w:rPr>
          <w:rFonts w:ascii="Times New Roman" w:hAnsi="Times New Roman"/>
          <w:sz w:val="22"/>
          <w:szCs w:val="22"/>
        </w:rPr>
        <w:t xml:space="preserve">&amp; Le </w:t>
      </w:r>
      <w:proofErr w:type="spellStart"/>
      <w:r w:rsidR="007249AF">
        <w:rPr>
          <w:rFonts w:ascii="Times New Roman" w:hAnsi="Times New Roman"/>
          <w:sz w:val="22"/>
          <w:szCs w:val="22"/>
        </w:rPr>
        <w:t>Galès</w:t>
      </w:r>
      <w:proofErr w:type="spellEnd"/>
      <w:r w:rsidR="007249AF">
        <w:rPr>
          <w:rFonts w:ascii="Times New Roman" w:hAnsi="Times New Roman"/>
          <w:sz w:val="22"/>
          <w:szCs w:val="22"/>
        </w:rPr>
        <w:t xml:space="preserve"> </w:t>
      </w:r>
      <w:r w:rsidRPr="000B5B92">
        <w:rPr>
          <w:rFonts w:ascii="Times New Roman" w:hAnsi="Times New Roman"/>
          <w:sz w:val="22"/>
          <w:szCs w:val="22"/>
        </w:rPr>
        <w:t>(</w:t>
      </w:r>
      <w:r w:rsidR="007249AF">
        <w:rPr>
          <w:rFonts w:ascii="Times New Roman" w:hAnsi="Times New Roman"/>
          <w:sz w:val="22"/>
          <w:szCs w:val="22"/>
        </w:rPr>
        <w:t>2005 :5</w:t>
      </w:r>
      <w:r w:rsidRPr="000B5B92">
        <w:rPr>
          <w:rFonts w:ascii="Times New Roman" w:hAnsi="Times New Roman"/>
          <w:sz w:val="22"/>
          <w:szCs w:val="22"/>
        </w:rPr>
        <w:t>)</w:t>
      </w:r>
      <w:r w:rsidR="007249AF" w:rsidRPr="000B5B92">
        <w:rPr>
          <w:rFonts w:ascii="Times New Roman" w:hAnsi="Times New Roman"/>
          <w:sz w:val="22"/>
          <w:szCs w:val="22"/>
        </w:rPr>
        <w:t xml:space="preserve"> </w:t>
      </w:r>
      <w:r w:rsidRPr="000B5B92">
        <w:rPr>
          <w:rFonts w:ascii="Times New Roman" w:hAnsi="Times New Roman"/>
          <w:sz w:val="22"/>
          <w:szCs w:val="22"/>
        </w:rPr>
        <w:t xml:space="preserve">postule qu’un instrument d’action publique est un  « dispositif </w:t>
      </w:r>
      <w:proofErr w:type="spellStart"/>
      <w:r w:rsidRPr="000B5B92">
        <w:rPr>
          <w:rFonts w:ascii="Times New Roman" w:hAnsi="Times New Roman"/>
          <w:sz w:val="22"/>
          <w:szCs w:val="22"/>
        </w:rPr>
        <w:t>socio-technique</w:t>
      </w:r>
      <w:proofErr w:type="spellEnd"/>
      <w:r w:rsidRPr="000B5B92">
        <w:rPr>
          <w:rFonts w:ascii="Times New Roman" w:hAnsi="Times New Roman"/>
          <w:sz w:val="22"/>
          <w:szCs w:val="22"/>
        </w:rPr>
        <w:t xml:space="preserve"> [qui] organise des rapports sociaux spécifiques, entre puissance publique et destinataires, porteur de </w:t>
      </w:r>
      <w:r w:rsidR="007249AF">
        <w:rPr>
          <w:rFonts w:ascii="Times New Roman" w:hAnsi="Times New Roman"/>
          <w:sz w:val="22"/>
          <w:szCs w:val="22"/>
        </w:rPr>
        <w:t>valeurs,</w:t>
      </w:r>
      <w:r w:rsidRPr="000B5B92">
        <w:rPr>
          <w:rFonts w:ascii="Times New Roman" w:hAnsi="Times New Roman"/>
          <w:sz w:val="22"/>
          <w:szCs w:val="22"/>
        </w:rPr>
        <w:t xml:space="preserve"> nourri d’une interprétation du social, et d’une conception précise du mode de régulation envisagé ». Porteur d’une conception concrète du rapport politique / société, il est un « condensé de savoir sur le pouvoir social et la façon de l’exercer ». Par l’ensemble de règles de procédures qu’il met en place pour organiser les interactions et les comportements, un dispositif d’intervention crée un cadre stable permettant des anticipations, des réductions d’incertitudes. Mais ce cadre n’est pas neutre : porteur de valeurs, il génère une représentation particulière de la question et du problème social, vision que les acteurs concernés sont invités à partager. La représentation du problème social véhiculée par l’instrument contribue à transformer ou stabiliser les conditions d’intervention, en privilégiant certains acteurs au détriment </w:t>
      </w:r>
      <w:r w:rsidRPr="000B5B92">
        <w:rPr>
          <w:rFonts w:ascii="Times New Roman" w:hAnsi="Times New Roman"/>
          <w:sz w:val="22"/>
          <w:szCs w:val="22"/>
        </w:rPr>
        <w:lastRenderedPageBreak/>
        <w:t xml:space="preserve">d’autres et en organisant des opportunités et des contraintes : il transforme les conditions de structuration. C’est en reconstruisant la généalogie du dispositif </w:t>
      </w:r>
      <w:proofErr w:type="spellStart"/>
      <w:r w:rsidRPr="000B5B92">
        <w:rPr>
          <w:rFonts w:ascii="Times New Roman" w:hAnsi="Times New Roman"/>
          <w:sz w:val="22"/>
          <w:szCs w:val="22"/>
        </w:rPr>
        <w:t>socio-technique</w:t>
      </w:r>
      <w:proofErr w:type="spellEnd"/>
      <w:r w:rsidRPr="000B5B92">
        <w:rPr>
          <w:rFonts w:ascii="Times New Roman" w:hAnsi="Times New Roman"/>
          <w:sz w:val="22"/>
          <w:szCs w:val="22"/>
        </w:rPr>
        <w:t xml:space="preserve"> qu’il est possible de dévoiler les règles tacites qu’ils imposent et la signification de celles-ci en termes de pouvoir et de dissémination de modèles cognitifs. </w:t>
      </w:r>
      <w:r>
        <w:rPr>
          <w:rFonts w:ascii="Times New Roman" w:hAnsi="Times New Roman"/>
          <w:sz w:val="22"/>
          <w:szCs w:val="22"/>
        </w:rPr>
        <w:t xml:space="preserve">C’est bien l’ambition de la démarche du </w:t>
      </w:r>
      <w:proofErr w:type="spellStart"/>
      <w:r w:rsidRPr="007249AF">
        <w:rPr>
          <w:rFonts w:ascii="Times New Roman" w:hAnsi="Times New Roman"/>
          <w:i/>
          <w:sz w:val="22"/>
          <w:szCs w:val="22"/>
        </w:rPr>
        <w:t>gender</w:t>
      </w:r>
      <w:proofErr w:type="spellEnd"/>
      <w:r w:rsidRPr="007249AF">
        <w:rPr>
          <w:rFonts w:ascii="Times New Roman" w:hAnsi="Times New Roman"/>
          <w:i/>
          <w:sz w:val="22"/>
          <w:szCs w:val="22"/>
        </w:rPr>
        <w:t xml:space="preserve"> </w:t>
      </w:r>
      <w:proofErr w:type="spellStart"/>
      <w:r w:rsidRPr="007249AF">
        <w:rPr>
          <w:rFonts w:ascii="Times New Roman" w:hAnsi="Times New Roman"/>
          <w:i/>
          <w:sz w:val="22"/>
          <w:szCs w:val="22"/>
        </w:rPr>
        <w:t>mainstreaming</w:t>
      </w:r>
      <w:proofErr w:type="spellEnd"/>
      <w:r>
        <w:rPr>
          <w:rFonts w:ascii="Times New Roman" w:hAnsi="Times New Roman"/>
          <w:sz w:val="22"/>
          <w:szCs w:val="22"/>
        </w:rPr>
        <w:t xml:space="preserve">, un programme de modernisation ambitieux puisqu’il cherche à débusquer les facteurs de renforcement des inégalités dans tous les secteurs. </w:t>
      </w:r>
    </w:p>
    <w:p w:rsidR="00582F4A" w:rsidRPr="000B5B92" w:rsidRDefault="00582F4A"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Le dispositif de mise à l’emploi peut être analysé comme un instrument d’action publique. </w:t>
      </w:r>
      <w:r>
        <w:rPr>
          <w:rFonts w:ascii="Times New Roman" w:hAnsi="Times New Roman"/>
          <w:sz w:val="22"/>
          <w:szCs w:val="22"/>
        </w:rPr>
        <w:t>En l’absence de perspective de genre a</w:t>
      </w:r>
      <w:r w:rsidRPr="000B5B92">
        <w:rPr>
          <w:rFonts w:ascii="Times New Roman" w:hAnsi="Times New Roman"/>
          <w:sz w:val="22"/>
          <w:szCs w:val="22"/>
        </w:rPr>
        <w:t>u sein de ce dispositif, les rapports sociaux de genre ne sont pas dévoilés ni remis en question et se voient donc confirmés par la politique menée.</w:t>
      </w:r>
      <w:r>
        <w:rPr>
          <w:rFonts w:ascii="Times New Roman" w:hAnsi="Times New Roman"/>
          <w:sz w:val="22"/>
          <w:szCs w:val="22"/>
        </w:rPr>
        <w:t xml:space="preserve"> </w:t>
      </w:r>
      <w:r w:rsidRPr="000B5B92">
        <w:rPr>
          <w:rFonts w:ascii="Times New Roman" w:hAnsi="Times New Roman"/>
          <w:sz w:val="22"/>
          <w:szCs w:val="22"/>
        </w:rPr>
        <w:t>L’analyse de Perrier (2009) confirme que l</w:t>
      </w:r>
      <w:r>
        <w:rPr>
          <w:rFonts w:ascii="Times New Roman" w:hAnsi="Times New Roman"/>
          <w:sz w:val="22"/>
          <w:szCs w:val="22"/>
        </w:rPr>
        <w:t>’ambition de sa visée normative du</w:t>
      </w:r>
      <w:r w:rsidRPr="000B5B92">
        <w:rPr>
          <w:rFonts w:ascii="Times New Roman" w:hAnsi="Times New Roman"/>
          <w:sz w:val="22"/>
          <w:szCs w:val="22"/>
        </w:rPr>
        <w:t xml:space="preserve"> </w:t>
      </w:r>
      <w:proofErr w:type="spellStart"/>
      <w:r w:rsidRPr="001E5D6F">
        <w:rPr>
          <w:rFonts w:ascii="Times New Roman" w:hAnsi="Times New Roman"/>
          <w:i/>
          <w:sz w:val="22"/>
          <w:szCs w:val="22"/>
        </w:rPr>
        <w:t>gender</w:t>
      </w:r>
      <w:proofErr w:type="spellEnd"/>
      <w:r w:rsidRPr="001E5D6F">
        <w:rPr>
          <w:rFonts w:ascii="Times New Roman" w:hAnsi="Times New Roman"/>
          <w:i/>
          <w:sz w:val="22"/>
          <w:szCs w:val="22"/>
        </w:rPr>
        <w:t xml:space="preserve"> </w:t>
      </w:r>
      <w:proofErr w:type="spellStart"/>
      <w:r w:rsidRPr="001E5D6F">
        <w:rPr>
          <w:rFonts w:ascii="Times New Roman" w:hAnsi="Times New Roman"/>
          <w:i/>
          <w:sz w:val="22"/>
          <w:szCs w:val="22"/>
        </w:rPr>
        <w:t>mainstreaming</w:t>
      </w:r>
      <w:proofErr w:type="spellEnd"/>
      <w:r w:rsidRPr="000B5B92">
        <w:rPr>
          <w:rFonts w:ascii="Times New Roman" w:hAnsi="Times New Roman"/>
          <w:sz w:val="22"/>
          <w:szCs w:val="22"/>
        </w:rPr>
        <w:t xml:space="preserve"> occulte son impuissance effective.</w:t>
      </w:r>
    </w:p>
    <w:p w:rsidR="00386265" w:rsidRPr="00073FA7"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Jacquot (2006) a étudié le processus d’instrumentation qui a mené à la mise en place du </w:t>
      </w:r>
      <w:proofErr w:type="spellStart"/>
      <w:r w:rsidRPr="007249AF">
        <w:rPr>
          <w:rFonts w:ascii="Times New Roman" w:hAnsi="Times New Roman"/>
          <w:i/>
          <w:sz w:val="22"/>
          <w:szCs w:val="22"/>
        </w:rPr>
        <w:t>gender</w:t>
      </w:r>
      <w:proofErr w:type="spellEnd"/>
      <w:r w:rsidRPr="007249AF">
        <w:rPr>
          <w:rFonts w:ascii="Times New Roman" w:hAnsi="Times New Roman"/>
          <w:i/>
          <w:sz w:val="22"/>
          <w:szCs w:val="22"/>
        </w:rPr>
        <w:t xml:space="preserve"> </w:t>
      </w:r>
      <w:proofErr w:type="spellStart"/>
      <w:r w:rsidRPr="007249AF">
        <w:rPr>
          <w:rFonts w:ascii="Times New Roman" w:hAnsi="Times New Roman"/>
          <w:i/>
          <w:sz w:val="22"/>
          <w:szCs w:val="22"/>
        </w:rPr>
        <w:t>mainstreaming</w:t>
      </w:r>
      <w:proofErr w:type="spellEnd"/>
      <w:r w:rsidRPr="000B5B92">
        <w:rPr>
          <w:rFonts w:ascii="Times New Roman" w:hAnsi="Times New Roman"/>
          <w:sz w:val="22"/>
          <w:szCs w:val="22"/>
        </w:rPr>
        <w:t xml:space="preserve">, pour le couler dans l’article 3.2 du Traité d’Amsterdam : « pour toutes les actions visées au présent article, la Communauté cherche à éliminer les inégalités  et à promouvoir l’égalité entre les hommes et les femmes ». Le choix a été fait non de renforcer les programmes existants, mais de proposer une approche politique, incitative plutôt que régulatrice, en apparence ambitieuse (toutes les politiques de l’Union sont concernées) mais qui se révèlera non contraignante et surtout très </w:t>
      </w:r>
      <w:r>
        <w:rPr>
          <w:rFonts w:ascii="Times New Roman" w:hAnsi="Times New Roman"/>
          <w:sz w:val="22"/>
          <w:szCs w:val="22"/>
        </w:rPr>
        <w:t xml:space="preserve">ambiguë. Le nouvel instrument peut soutenir </w:t>
      </w:r>
      <w:r w:rsidRPr="00073FA7">
        <w:rPr>
          <w:rFonts w:ascii="Times New Roman" w:hAnsi="Times New Roman"/>
          <w:sz w:val="22"/>
          <w:szCs w:val="22"/>
        </w:rPr>
        <w:t>des conceptions</w:t>
      </w:r>
      <w:r>
        <w:rPr>
          <w:rFonts w:ascii="Times New Roman" w:hAnsi="Times New Roman"/>
          <w:sz w:val="22"/>
          <w:szCs w:val="22"/>
        </w:rPr>
        <w:t xml:space="preserve"> </w:t>
      </w:r>
      <w:r w:rsidRPr="00073FA7">
        <w:rPr>
          <w:rFonts w:ascii="Times New Roman" w:hAnsi="Times New Roman"/>
          <w:sz w:val="22"/>
          <w:szCs w:val="22"/>
        </w:rPr>
        <w:t>et des intérêts différents.</w:t>
      </w:r>
      <w:r>
        <w:rPr>
          <w:rFonts w:ascii="Times New Roman" w:hAnsi="Times New Roman"/>
          <w:sz w:val="22"/>
          <w:szCs w:val="22"/>
        </w:rPr>
        <w:t> « </w:t>
      </w:r>
      <w:r w:rsidRPr="00073FA7">
        <w:rPr>
          <w:rFonts w:ascii="Times New Roman" w:hAnsi="Times New Roman"/>
          <w:sz w:val="22"/>
          <w:szCs w:val="22"/>
        </w:rPr>
        <w:t>C’est bien cette malléabilité qui lui a permis</w:t>
      </w:r>
      <w:r>
        <w:rPr>
          <w:rFonts w:ascii="Times New Roman" w:hAnsi="Times New Roman"/>
          <w:sz w:val="22"/>
          <w:szCs w:val="22"/>
        </w:rPr>
        <w:t xml:space="preserve"> </w:t>
      </w:r>
      <w:r w:rsidRPr="00073FA7">
        <w:rPr>
          <w:rFonts w:ascii="Times New Roman" w:hAnsi="Times New Roman"/>
          <w:sz w:val="22"/>
          <w:szCs w:val="22"/>
        </w:rPr>
        <w:t xml:space="preserve">d’être introduit en tant que nouvel instrument </w:t>
      </w:r>
      <w:proofErr w:type="spellStart"/>
      <w:r w:rsidRPr="00073FA7">
        <w:rPr>
          <w:rFonts w:ascii="Times New Roman" w:hAnsi="Times New Roman"/>
          <w:sz w:val="22"/>
          <w:szCs w:val="22"/>
        </w:rPr>
        <w:t>transectoriel</w:t>
      </w:r>
      <w:proofErr w:type="spellEnd"/>
      <w:r>
        <w:rPr>
          <w:rFonts w:ascii="Times New Roman" w:hAnsi="Times New Roman"/>
          <w:sz w:val="22"/>
          <w:szCs w:val="22"/>
        </w:rPr>
        <w:t> »</w:t>
      </w:r>
    </w:p>
    <w:p w:rsidR="00386265" w:rsidRPr="000B5B92" w:rsidRDefault="00386265" w:rsidP="00185171">
      <w:pPr>
        <w:spacing w:before="120" w:line="360" w:lineRule="auto"/>
        <w:jc w:val="both"/>
        <w:rPr>
          <w:rFonts w:ascii="Times New Roman" w:hAnsi="Times New Roman"/>
          <w:sz w:val="22"/>
          <w:szCs w:val="22"/>
        </w:rPr>
      </w:pPr>
      <w:r>
        <w:rPr>
          <w:rFonts w:ascii="Times New Roman" w:hAnsi="Times New Roman"/>
          <w:sz w:val="22"/>
          <w:szCs w:val="22"/>
        </w:rPr>
        <w:t>(Jacquot 2006 :</w:t>
      </w:r>
      <w:r w:rsidRPr="00073FA7">
        <w:rPr>
          <w:rFonts w:ascii="Times New Roman" w:hAnsi="Times New Roman"/>
          <w:sz w:val="22"/>
          <w:szCs w:val="22"/>
        </w:rPr>
        <w:t>43</w:t>
      </w:r>
      <w:r>
        <w:rPr>
          <w:rFonts w:ascii="Times New Roman" w:hAnsi="Times New Roman"/>
          <w:sz w:val="22"/>
          <w:szCs w:val="22"/>
        </w:rPr>
        <w:t>). L</w:t>
      </w:r>
      <w:r w:rsidRPr="000B5B92">
        <w:rPr>
          <w:rFonts w:ascii="Times New Roman" w:hAnsi="Times New Roman"/>
          <w:sz w:val="22"/>
          <w:szCs w:val="22"/>
        </w:rPr>
        <w:t xml:space="preserve">’expérience montre que l’appropriation de ce cadre souple et polysémique est difficile, parce que sa mise en œuvre effective repose sur le sens que lui donnent les acteurs locaux et l’assentiment des parties prenantes, plus que sur la contrainte réglementaire. Cette lourde </w:t>
      </w:r>
      <w:r w:rsidR="007249AF" w:rsidRPr="000B5B92">
        <w:rPr>
          <w:rFonts w:ascii="Times New Roman" w:hAnsi="Times New Roman"/>
          <w:sz w:val="22"/>
          <w:szCs w:val="22"/>
        </w:rPr>
        <w:t>ambiguïté</w:t>
      </w:r>
      <w:r w:rsidRPr="000B5B92">
        <w:rPr>
          <w:rFonts w:ascii="Times New Roman" w:hAnsi="Times New Roman"/>
          <w:sz w:val="22"/>
          <w:szCs w:val="22"/>
        </w:rPr>
        <w:t xml:space="preserve"> qui marque ses origines rende plus délicate la traduction opérationnelle du projet, qui est fortement dépendante des conditions locales d</w:t>
      </w:r>
      <w:r w:rsidR="00401578">
        <w:rPr>
          <w:rFonts w:ascii="Times New Roman" w:hAnsi="Times New Roman"/>
          <w:sz w:val="22"/>
          <w:szCs w:val="22"/>
        </w:rPr>
        <w:t>e sa mise en œuvre (</w:t>
      </w:r>
      <w:proofErr w:type="spellStart"/>
      <w:r w:rsidR="00401578">
        <w:rPr>
          <w:rFonts w:ascii="Times New Roman" w:hAnsi="Times New Roman"/>
          <w:sz w:val="22"/>
          <w:szCs w:val="22"/>
        </w:rPr>
        <w:t>Matland</w:t>
      </w:r>
      <w:proofErr w:type="spellEnd"/>
      <w:r w:rsidR="00401578">
        <w:rPr>
          <w:rFonts w:ascii="Times New Roman" w:hAnsi="Times New Roman"/>
          <w:sz w:val="22"/>
          <w:szCs w:val="22"/>
        </w:rPr>
        <w:t> 1995</w:t>
      </w:r>
      <w:r w:rsidRPr="000B5B92">
        <w:rPr>
          <w:rFonts w:ascii="Times New Roman" w:hAnsi="Times New Roman"/>
          <w:sz w:val="22"/>
          <w:szCs w:val="22"/>
        </w:rPr>
        <w:t>). Cet instrument transversal ne peut que difficilement être légitimé par les acteurs qui doivent le mettre en œuvre et qui ne maitrisent pas les représentations p</w:t>
      </w:r>
      <w:r>
        <w:rPr>
          <w:rFonts w:ascii="Times New Roman" w:hAnsi="Times New Roman"/>
          <w:sz w:val="22"/>
          <w:szCs w:val="22"/>
        </w:rPr>
        <w:t xml:space="preserve">ropres au secteur de l’égalité, parce qu’ils ne disposent pas des clés de lecture et ne sont pas familiers des concepts que le secteur a construit au cours des trente dernières années. </w:t>
      </w:r>
      <w:r w:rsidRPr="00073FA7">
        <w:rPr>
          <w:rFonts w:ascii="Times New Roman" w:hAnsi="Times New Roman"/>
          <w:sz w:val="22"/>
          <w:szCs w:val="22"/>
        </w:rPr>
        <w:t>Pour que l’approche intégrée du genre apporte des changements en profondeur, elle doit reposer sur un  programme éducatif d’envergure.</w:t>
      </w:r>
    </w:p>
    <w:p w:rsidR="00386265"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.Sur base de Perrier (2009) et </w:t>
      </w:r>
      <w:proofErr w:type="spellStart"/>
      <w:r w:rsidRPr="000B5B92">
        <w:rPr>
          <w:rFonts w:ascii="Times New Roman" w:hAnsi="Times New Roman"/>
          <w:sz w:val="22"/>
          <w:szCs w:val="22"/>
        </w:rPr>
        <w:t>Cecchini</w:t>
      </w:r>
      <w:proofErr w:type="spellEnd"/>
      <w:r w:rsidRPr="000B5B92">
        <w:rPr>
          <w:rFonts w:ascii="Times New Roman" w:hAnsi="Times New Roman"/>
          <w:sz w:val="22"/>
          <w:szCs w:val="22"/>
        </w:rPr>
        <w:t xml:space="preserve"> et Fallon (2009), il est possible de souligner quelques facteurs aptes à favoriser une prise en compte transversale du genre, facteurs à la fois cognitifs et institutionnels et leur inscription dans différents secteurs d’action publique. Il s’agit de mobiliser des dynamiques d’intéressement entre les différents  acteurs (fonctionnaires, mandataires, partenaires sociaux, associations) engagés dans le régime politique considéré et de créer des outils pour améliorer l’appropriation et renforcer l’efficacité de cette démarche innovante au quoti</w:t>
      </w:r>
      <w:r w:rsidR="00896591">
        <w:rPr>
          <w:rFonts w:ascii="Times New Roman" w:hAnsi="Times New Roman"/>
          <w:sz w:val="22"/>
          <w:szCs w:val="22"/>
        </w:rPr>
        <w:t xml:space="preserve">dien. </w:t>
      </w:r>
      <w:r w:rsidRPr="000B5B92">
        <w:rPr>
          <w:rFonts w:ascii="Times New Roman" w:hAnsi="Times New Roman"/>
          <w:sz w:val="22"/>
          <w:szCs w:val="22"/>
        </w:rPr>
        <w:t xml:space="preserve">Pour favoriser une </w:t>
      </w:r>
      <w:r w:rsidRPr="000B5B92">
        <w:rPr>
          <w:rFonts w:ascii="Times New Roman" w:hAnsi="Times New Roman"/>
          <w:sz w:val="22"/>
          <w:szCs w:val="22"/>
        </w:rPr>
        <w:lastRenderedPageBreak/>
        <w:t xml:space="preserve">prise sur le réel, et mettre en place un politique susceptible de le transformer, les acteurs doivent disposer d’informations et de représentations mobilisables dans les interactions quotidiennes : mise à disposition de statistiques et d’informations différenciées selon le sexe (quantitatives mais aussi qualitatives, d’analyses et d’interprétation)  et d’outils permettant de travailler dans une perspective de genre, tout en restant simples et souples pour être utilisables par les acteurs de terrain. </w:t>
      </w:r>
      <w:r>
        <w:rPr>
          <w:rFonts w:ascii="Times New Roman" w:hAnsi="Times New Roman"/>
          <w:sz w:val="22"/>
          <w:szCs w:val="22"/>
        </w:rPr>
        <w:t xml:space="preserve">L’important développement de statistiques contribue également à produire des chiffres non seulement pour </w:t>
      </w:r>
      <w:r w:rsidR="00896591">
        <w:rPr>
          <w:rFonts w:ascii="Times New Roman" w:hAnsi="Times New Roman"/>
          <w:sz w:val="22"/>
          <w:szCs w:val="22"/>
        </w:rPr>
        <w:t xml:space="preserve">rendre </w:t>
      </w:r>
      <w:r w:rsidRPr="00F126D7">
        <w:rPr>
          <w:rFonts w:ascii="Times New Roman" w:hAnsi="Times New Roman"/>
          <w:sz w:val="22"/>
          <w:szCs w:val="22"/>
        </w:rPr>
        <w:t>visible l</w:t>
      </w:r>
      <w:r>
        <w:rPr>
          <w:rFonts w:ascii="Times New Roman" w:hAnsi="Times New Roman"/>
          <w:sz w:val="22"/>
          <w:szCs w:val="22"/>
        </w:rPr>
        <w:t>’ampleur d</w:t>
      </w:r>
      <w:r w:rsidRPr="00F126D7">
        <w:rPr>
          <w:rFonts w:ascii="Times New Roman" w:hAnsi="Times New Roman"/>
          <w:sz w:val="22"/>
          <w:szCs w:val="22"/>
        </w:rPr>
        <w:t xml:space="preserve">es inégalités </w:t>
      </w:r>
      <w:r>
        <w:rPr>
          <w:rFonts w:ascii="Times New Roman" w:hAnsi="Times New Roman"/>
          <w:sz w:val="22"/>
          <w:szCs w:val="22"/>
        </w:rPr>
        <w:t xml:space="preserve">mais aussi pour favoriser un déplacement du discours, </w:t>
      </w:r>
      <w:r w:rsidRPr="00F126D7">
        <w:rPr>
          <w:rFonts w:ascii="Times New Roman" w:hAnsi="Times New Roman"/>
          <w:sz w:val="22"/>
          <w:szCs w:val="22"/>
        </w:rPr>
        <w:t>du militantisme à la description des faits</w:t>
      </w:r>
      <w:r>
        <w:rPr>
          <w:rFonts w:ascii="Times New Roman" w:hAnsi="Times New Roman"/>
          <w:sz w:val="22"/>
          <w:szCs w:val="22"/>
        </w:rPr>
        <w:t xml:space="preserve"> (Dauphin 2010)</w:t>
      </w:r>
      <w:r w:rsidRPr="00F126D7">
        <w:rPr>
          <w:rFonts w:ascii="Times New Roman" w:hAnsi="Times New Roman"/>
          <w:sz w:val="22"/>
          <w:szCs w:val="22"/>
        </w:rPr>
        <w:t xml:space="preserve"> </w:t>
      </w:r>
    </w:p>
    <w:p w:rsidR="00386265" w:rsidRPr="00185171"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L’en</w:t>
      </w:r>
      <w:r w:rsidR="00896591">
        <w:rPr>
          <w:rFonts w:ascii="Times New Roman" w:hAnsi="Times New Roman"/>
          <w:sz w:val="22"/>
          <w:szCs w:val="22"/>
        </w:rPr>
        <w:t>cadrement institutionnel peut</w:t>
      </w:r>
      <w:r w:rsidRPr="000B5B92">
        <w:rPr>
          <w:rFonts w:ascii="Times New Roman" w:hAnsi="Times New Roman"/>
          <w:sz w:val="22"/>
          <w:szCs w:val="22"/>
        </w:rPr>
        <w:t xml:space="preserve"> favoriser cette prise en compte des relations de genre au-delà des prescriptions immédiates de la politique considérée (ici le retour à l’emploi) : engagement fort des responsables stratégiques, qui se traduit par des engagements et des actes qui symbolisent l’importance accordée à cet objectif, y compris au niveau de la structure institutionnelle elle-même (par exemple par l’intégration du genre dans les politiques de gestion des ressources humaines); organisation de réseaux d’expertises et de compétences transversaux aux politiques.</w:t>
      </w:r>
    </w:p>
    <w:p w:rsidR="00386265" w:rsidRPr="00185171" w:rsidRDefault="00185171" w:rsidP="00185171">
      <w:pPr>
        <w:spacing w:before="120" w:line="360" w:lineRule="auto"/>
        <w:jc w:val="both"/>
        <w:rPr>
          <w:rFonts w:ascii="Times New Roman" w:hAnsi="Times New Roman"/>
          <w:b/>
          <w:i/>
        </w:rPr>
      </w:pPr>
      <w:r w:rsidRPr="00185171">
        <w:rPr>
          <w:rFonts w:ascii="Times New Roman" w:hAnsi="Times New Roman"/>
          <w:b/>
          <w:i/>
        </w:rPr>
        <w:t xml:space="preserve">4. </w:t>
      </w:r>
      <w:r w:rsidR="00386265" w:rsidRPr="00185171">
        <w:rPr>
          <w:rFonts w:ascii="Times New Roman" w:hAnsi="Times New Roman"/>
          <w:b/>
          <w:i/>
        </w:rPr>
        <w:t xml:space="preserve">En conclusion : </w:t>
      </w:r>
    </w:p>
    <w:p w:rsidR="00386265" w:rsidRPr="000B5B92"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Le </w:t>
      </w:r>
      <w:proofErr w:type="spellStart"/>
      <w:r w:rsidRPr="000B5B92">
        <w:rPr>
          <w:rFonts w:ascii="Times New Roman" w:hAnsi="Times New Roman"/>
          <w:i/>
          <w:sz w:val="22"/>
          <w:szCs w:val="22"/>
        </w:rPr>
        <w:t>gender</w:t>
      </w:r>
      <w:proofErr w:type="spellEnd"/>
      <w:r w:rsidRPr="000B5B92">
        <w:rPr>
          <w:rFonts w:ascii="Times New Roman" w:hAnsi="Times New Roman"/>
          <w:i/>
          <w:sz w:val="22"/>
          <w:szCs w:val="22"/>
        </w:rPr>
        <w:t xml:space="preserve"> </w:t>
      </w:r>
      <w:proofErr w:type="spellStart"/>
      <w:r w:rsidRPr="000B5B92">
        <w:rPr>
          <w:rFonts w:ascii="Times New Roman" w:hAnsi="Times New Roman"/>
          <w:i/>
          <w:sz w:val="22"/>
          <w:szCs w:val="22"/>
        </w:rPr>
        <w:t>mainstreaming</w:t>
      </w:r>
      <w:proofErr w:type="spellEnd"/>
      <w:r w:rsidRPr="000B5B92">
        <w:rPr>
          <w:rFonts w:ascii="Times New Roman" w:hAnsi="Times New Roman"/>
          <w:sz w:val="22"/>
          <w:szCs w:val="22"/>
        </w:rPr>
        <w:t xml:space="preserve"> est emblématique de la récente transformation des instruments d’action publique développés par les instances européennes en soutien à l’égalité entre les hommes et les femmes. Cet instrument s’inscrit en rupture avec les décisions antérieures </w:t>
      </w:r>
      <w:r>
        <w:rPr>
          <w:rFonts w:ascii="Times New Roman" w:hAnsi="Times New Roman"/>
          <w:sz w:val="22"/>
          <w:szCs w:val="22"/>
        </w:rPr>
        <w:t xml:space="preserve"> mais il peine à confirmer son efficacité, parce que sa mise en œuvre est délicate, </w:t>
      </w:r>
      <w:r w:rsidRPr="000B5B92">
        <w:rPr>
          <w:rFonts w:ascii="Times New Roman" w:hAnsi="Times New Roman"/>
          <w:sz w:val="22"/>
          <w:szCs w:val="22"/>
        </w:rPr>
        <w:t xml:space="preserve">ne dispose pas d’un soutien sectoriel fort, </w:t>
      </w:r>
      <w:r w:rsidR="00896591">
        <w:rPr>
          <w:rFonts w:ascii="Times New Roman" w:hAnsi="Times New Roman"/>
          <w:sz w:val="22"/>
          <w:szCs w:val="22"/>
        </w:rPr>
        <w:t xml:space="preserve">surtout </w:t>
      </w:r>
      <w:r w:rsidRPr="000B5B92">
        <w:rPr>
          <w:rFonts w:ascii="Times New Roman" w:hAnsi="Times New Roman"/>
          <w:sz w:val="22"/>
          <w:szCs w:val="22"/>
        </w:rPr>
        <w:t xml:space="preserve"> </w:t>
      </w:r>
      <w:r w:rsidR="00896591">
        <w:rPr>
          <w:rFonts w:ascii="Times New Roman" w:hAnsi="Times New Roman"/>
          <w:sz w:val="22"/>
          <w:szCs w:val="22"/>
        </w:rPr>
        <w:t xml:space="preserve">au niveau des </w:t>
      </w:r>
      <w:r w:rsidRPr="000B5B92">
        <w:rPr>
          <w:rFonts w:ascii="Times New Roman" w:hAnsi="Times New Roman"/>
          <w:sz w:val="22"/>
          <w:szCs w:val="22"/>
        </w:rPr>
        <w:t xml:space="preserve">acteurs de terrain qui se </w:t>
      </w:r>
      <w:r w:rsidR="00896591">
        <w:rPr>
          <w:rFonts w:ascii="Times New Roman" w:hAnsi="Times New Roman"/>
          <w:sz w:val="22"/>
          <w:szCs w:val="22"/>
        </w:rPr>
        <w:t xml:space="preserve">trouvent </w:t>
      </w:r>
      <w:r w:rsidRPr="000B5B92">
        <w:rPr>
          <w:rFonts w:ascii="Times New Roman" w:hAnsi="Times New Roman"/>
          <w:sz w:val="22"/>
          <w:szCs w:val="22"/>
        </w:rPr>
        <w:t xml:space="preserve">démunis face au décalage entre l’urgence des mesures à prendre et l’ambition à long terme de la prise en compte du genre. </w:t>
      </w:r>
    </w:p>
    <w:p w:rsidR="00386265" w:rsidRDefault="00386265" w:rsidP="00185171">
      <w:pPr>
        <w:spacing w:before="120" w:line="360" w:lineRule="auto"/>
        <w:jc w:val="both"/>
        <w:rPr>
          <w:rFonts w:ascii="Times New Roman" w:hAnsi="Times New Roman"/>
          <w:sz w:val="22"/>
          <w:szCs w:val="22"/>
        </w:rPr>
      </w:pPr>
      <w:r w:rsidRPr="000B5B92">
        <w:rPr>
          <w:rFonts w:ascii="Times New Roman" w:hAnsi="Times New Roman"/>
          <w:sz w:val="22"/>
          <w:szCs w:val="22"/>
        </w:rPr>
        <w:t xml:space="preserve">Le </w:t>
      </w:r>
      <w:proofErr w:type="spellStart"/>
      <w:r w:rsidR="007249AF" w:rsidRPr="000B5B92">
        <w:rPr>
          <w:rFonts w:ascii="Times New Roman" w:hAnsi="Times New Roman"/>
          <w:i/>
          <w:sz w:val="22"/>
          <w:szCs w:val="22"/>
        </w:rPr>
        <w:t>gender</w:t>
      </w:r>
      <w:proofErr w:type="spellEnd"/>
      <w:r w:rsidR="007249AF" w:rsidRPr="000B5B92">
        <w:rPr>
          <w:rFonts w:ascii="Times New Roman" w:hAnsi="Times New Roman"/>
          <w:i/>
          <w:sz w:val="22"/>
          <w:szCs w:val="22"/>
        </w:rPr>
        <w:t xml:space="preserve"> </w:t>
      </w:r>
      <w:proofErr w:type="spellStart"/>
      <w:r w:rsidR="007249AF" w:rsidRPr="000B5B92">
        <w:rPr>
          <w:rFonts w:ascii="Times New Roman" w:hAnsi="Times New Roman"/>
          <w:i/>
          <w:sz w:val="22"/>
          <w:szCs w:val="22"/>
        </w:rPr>
        <w:t>mainstreaming</w:t>
      </w:r>
      <w:proofErr w:type="spellEnd"/>
      <w:r w:rsidR="007249AF" w:rsidRPr="000B5B92">
        <w:rPr>
          <w:rFonts w:ascii="Times New Roman" w:hAnsi="Times New Roman"/>
          <w:sz w:val="22"/>
          <w:szCs w:val="22"/>
        </w:rPr>
        <w:t xml:space="preserve"> </w:t>
      </w:r>
      <w:r w:rsidRPr="000B5B92">
        <w:rPr>
          <w:rFonts w:ascii="Times New Roman" w:hAnsi="Times New Roman"/>
          <w:sz w:val="22"/>
          <w:szCs w:val="22"/>
        </w:rPr>
        <w:t xml:space="preserve">comme instrument d’action publique cherche à </w:t>
      </w:r>
      <w:r w:rsidR="00896591">
        <w:rPr>
          <w:rFonts w:ascii="Times New Roman" w:hAnsi="Times New Roman"/>
          <w:sz w:val="22"/>
          <w:szCs w:val="22"/>
        </w:rPr>
        <w:t>transformer l</w:t>
      </w:r>
      <w:r w:rsidRPr="000B5B92">
        <w:rPr>
          <w:rFonts w:ascii="Times New Roman" w:hAnsi="Times New Roman"/>
          <w:sz w:val="22"/>
          <w:szCs w:val="22"/>
        </w:rPr>
        <w:t>es rapports de pouvoir et de domination qui sont répercutés dans les politique</w:t>
      </w:r>
      <w:r>
        <w:rPr>
          <w:rFonts w:ascii="Times New Roman" w:hAnsi="Times New Roman"/>
          <w:sz w:val="22"/>
          <w:szCs w:val="22"/>
        </w:rPr>
        <w:t>s et qui tendent à se perpétuer.</w:t>
      </w:r>
      <w:r>
        <w:rPr>
          <w:rFonts w:ascii="Times New Roman" w:hAnsi="Times New Roman"/>
          <w:sz w:val="22"/>
          <w:szCs w:val="22"/>
        </w:rPr>
        <w:t xml:space="preserve"> Cette ambition transversale du </w:t>
      </w:r>
      <w:proofErr w:type="spellStart"/>
      <w:r w:rsidR="007249AF" w:rsidRPr="000B5B92">
        <w:rPr>
          <w:rFonts w:ascii="Times New Roman" w:hAnsi="Times New Roman"/>
          <w:i/>
          <w:sz w:val="22"/>
          <w:szCs w:val="22"/>
        </w:rPr>
        <w:t>gender</w:t>
      </w:r>
      <w:proofErr w:type="spellEnd"/>
      <w:r w:rsidR="007249AF" w:rsidRPr="000B5B92">
        <w:rPr>
          <w:rFonts w:ascii="Times New Roman" w:hAnsi="Times New Roman"/>
          <w:i/>
          <w:sz w:val="22"/>
          <w:szCs w:val="22"/>
        </w:rPr>
        <w:t xml:space="preserve"> </w:t>
      </w:r>
      <w:proofErr w:type="spellStart"/>
      <w:r w:rsidR="007249AF" w:rsidRPr="000B5B92">
        <w:rPr>
          <w:rFonts w:ascii="Times New Roman" w:hAnsi="Times New Roman"/>
          <w:i/>
          <w:sz w:val="22"/>
          <w:szCs w:val="22"/>
        </w:rPr>
        <w:t>mainstreaming</w:t>
      </w:r>
      <w:proofErr w:type="spellEnd"/>
      <w:r w:rsidR="007249AF" w:rsidRPr="000B5B92">
        <w:rPr>
          <w:rFonts w:ascii="Times New Roman" w:hAnsi="Times New Roman"/>
          <w:sz w:val="22"/>
          <w:szCs w:val="22"/>
        </w:rPr>
        <w:t xml:space="preserve"> </w:t>
      </w:r>
      <w:r w:rsidRPr="000B5B92">
        <w:rPr>
          <w:rFonts w:ascii="Times New Roman" w:hAnsi="Times New Roman"/>
          <w:sz w:val="22"/>
          <w:szCs w:val="22"/>
        </w:rPr>
        <w:t>est souvent présenté</w:t>
      </w:r>
      <w:r>
        <w:rPr>
          <w:rFonts w:ascii="Times New Roman" w:hAnsi="Times New Roman"/>
          <w:sz w:val="22"/>
          <w:szCs w:val="22"/>
        </w:rPr>
        <w:t>e</w:t>
      </w:r>
      <w:r w:rsidRPr="000B5B92">
        <w:rPr>
          <w:rFonts w:ascii="Times New Roman" w:hAnsi="Times New Roman"/>
          <w:sz w:val="22"/>
          <w:szCs w:val="22"/>
        </w:rPr>
        <w:t xml:space="preserve"> comme une « normalisation » des politiques de genre : cette politique sort du secteur qui l’a vu naitre. </w:t>
      </w:r>
      <w:r>
        <w:rPr>
          <w:rFonts w:ascii="Times New Roman" w:hAnsi="Times New Roman"/>
          <w:sz w:val="22"/>
          <w:szCs w:val="22"/>
        </w:rPr>
        <w:t xml:space="preserve">Certains critiquent une normalisation de la politique d’égalité </w:t>
      </w:r>
      <w:r w:rsidRPr="000B5B92">
        <w:rPr>
          <w:rFonts w:ascii="Times New Roman" w:hAnsi="Times New Roman"/>
          <w:sz w:val="22"/>
          <w:szCs w:val="22"/>
        </w:rPr>
        <w:t>(Jacquot 2009)</w:t>
      </w:r>
      <w:r>
        <w:rPr>
          <w:rFonts w:ascii="Times New Roman" w:hAnsi="Times New Roman"/>
          <w:sz w:val="22"/>
          <w:szCs w:val="22"/>
        </w:rPr>
        <w:t xml:space="preserve">, </w:t>
      </w:r>
      <w:r w:rsidR="00896591">
        <w:rPr>
          <w:rFonts w:ascii="Times New Roman" w:hAnsi="Times New Roman"/>
          <w:sz w:val="22"/>
          <w:szCs w:val="22"/>
        </w:rPr>
        <w:t xml:space="preserve">la présentant comme </w:t>
      </w:r>
      <w:r>
        <w:rPr>
          <w:rFonts w:ascii="Times New Roman" w:hAnsi="Times New Roman"/>
          <w:sz w:val="22"/>
          <w:szCs w:val="22"/>
        </w:rPr>
        <w:t>un moment d’appauvrissement créatif, la fin de l’activisme des groupes féministes. D'autres p</w:t>
      </w:r>
      <w:r w:rsidR="00896591">
        <w:rPr>
          <w:rFonts w:ascii="Times New Roman" w:hAnsi="Times New Roman"/>
          <w:sz w:val="22"/>
          <w:szCs w:val="22"/>
        </w:rPr>
        <w:t xml:space="preserve">arlent de maturation politique : </w:t>
      </w:r>
      <w:r>
        <w:rPr>
          <w:rFonts w:ascii="Times New Roman" w:hAnsi="Times New Roman"/>
          <w:sz w:val="22"/>
          <w:szCs w:val="22"/>
        </w:rPr>
        <w:t>la politique d’égalité et les représentations sociales mobilisées peuvent maintenant être intégrées dans d’autres secteurs d’intervention</w:t>
      </w:r>
      <w:r w:rsidR="00896591">
        <w:rPr>
          <w:rFonts w:ascii="Times New Roman" w:hAnsi="Times New Roman"/>
          <w:sz w:val="22"/>
          <w:szCs w:val="22"/>
        </w:rPr>
        <w:t>. C</w:t>
      </w:r>
      <w:r>
        <w:rPr>
          <w:rFonts w:ascii="Times New Roman" w:hAnsi="Times New Roman"/>
          <w:sz w:val="22"/>
          <w:szCs w:val="22"/>
        </w:rPr>
        <w:t xml:space="preserve">ette désectorisation </w:t>
      </w:r>
      <w:r w:rsidRPr="000B5B92">
        <w:rPr>
          <w:rFonts w:ascii="Times New Roman" w:hAnsi="Times New Roman"/>
          <w:sz w:val="22"/>
          <w:szCs w:val="22"/>
        </w:rPr>
        <w:t xml:space="preserve">dans le cadre d’un référentiel de marché (Muller 2009) </w:t>
      </w:r>
      <w:r>
        <w:rPr>
          <w:rFonts w:ascii="Times New Roman" w:hAnsi="Times New Roman"/>
          <w:sz w:val="22"/>
          <w:szCs w:val="22"/>
        </w:rPr>
        <w:t xml:space="preserve">se donne à voir dans la mobilisation du </w:t>
      </w:r>
      <w:proofErr w:type="spellStart"/>
      <w:r w:rsidR="007249AF" w:rsidRPr="000B5B92">
        <w:rPr>
          <w:rFonts w:ascii="Times New Roman" w:hAnsi="Times New Roman"/>
          <w:i/>
          <w:sz w:val="22"/>
          <w:szCs w:val="22"/>
        </w:rPr>
        <w:t>gender</w:t>
      </w:r>
      <w:proofErr w:type="spellEnd"/>
      <w:r w:rsidR="007249AF" w:rsidRPr="000B5B92">
        <w:rPr>
          <w:rFonts w:ascii="Times New Roman" w:hAnsi="Times New Roman"/>
          <w:i/>
          <w:sz w:val="22"/>
          <w:szCs w:val="22"/>
        </w:rPr>
        <w:t xml:space="preserve"> </w:t>
      </w:r>
      <w:proofErr w:type="spellStart"/>
      <w:r w:rsidR="007249AF" w:rsidRPr="000B5B92">
        <w:rPr>
          <w:rFonts w:ascii="Times New Roman" w:hAnsi="Times New Roman"/>
          <w:i/>
          <w:sz w:val="22"/>
          <w:szCs w:val="22"/>
        </w:rPr>
        <w:t>mainstreaming</w:t>
      </w:r>
      <w:proofErr w:type="spellEnd"/>
      <w:r w:rsidR="007249AF" w:rsidRPr="000B5B92">
        <w:rPr>
          <w:rFonts w:ascii="Times New Roman" w:hAnsi="Times New Roman"/>
          <w:sz w:val="22"/>
          <w:szCs w:val="22"/>
        </w:rPr>
        <w:t xml:space="preserve"> </w:t>
      </w:r>
      <w:r w:rsidRPr="000B5B92">
        <w:rPr>
          <w:rFonts w:ascii="Times New Roman" w:hAnsi="Times New Roman"/>
          <w:sz w:val="22"/>
          <w:szCs w:val="22"/>
        </w:rPr>
        <w:t xml:space="preserve">comme un instrument de « concrétisation de l’utilité économique de l’égalité entre les femmes et les hommes…. que ce soit en termes de taux d’emploi, d’équilibre démographique, de productivité des ressources humaines ou de durabilité des systèmes de protection sociale » (Jacquot 2009 : 271). </w:t>
      </w:r>
    </w:p>
    <w:p w:rsidR="00980540" w:rsidRPr="000B5B92" w:rsidRDefault="00386265" w:rsidP="00185171">
      <w:pPr>
        <w:spacing w:before="120" w:line="360" w:lineRule="auto"/>
        <w:jc w:val="both"/>
        <w:rPr>
          <w:rFonts w:ascii="Times New Roman" w:hAnsi="Times New Roman"/>
          <w:sz w:val="22"/>
          <w:szCs w:val="22"/>
        </w:rPr>
      </w:pPr>
      <w:r>
        <w:rPr>
          <w:rFonts w:ascii="Times New Roman" w:hAnsi="Times New Roman"/>
          <w:sz w:val="22"/>
          <w:szCs w:val="22"/>
        </w:rPr>
        <w:t xml:space="preserve">Pour reprendre l’analyse de la philosophe </w:t>
      </w:r>
      <w:proofErr w:type="spellStart"/>
      <w:r>
        <w:rPr>
          <w:rFonts w:ascii="Times New Roman" w:hAnsi="Times New Roman"/>
          <w:sz w:val="22"/>
          <w:szCs w:val="22"/>
        </w:rPr>
        <w:t>Fraisse</w:t>
      </w:r>
      <w:proofErr w:type="spellEnd"/>
      <w:r>
        <w:rPr>
          <w:rFonts w:ascii="Times New Roman" w:hAnsi="Times New Roman"/>
          <w:sz w:val="22"/>
          <w:szCs w:val="22"/>
        </w:rPr>
        <w:t xml:space="preserve"> (2008),</w:t>
      </w:r>
      <w:r w:rsidR="0010613A">
        <w:rPr>
          <w:rFonts w:ascii="Times New Roman" w:hAnsi="Times New Roman"/>
          <w:sz w:val="22"/>
          <w:szCs w:val="22"/>
        </w:rPr>
        <w:t xml:space="preserve"> reconnaitre que le dispositif ne fonctionne pas n’invalid</w:t>
      </w:r>
      <w:r w:rsidR="00896591">
        <w:rPr>
          <w:rFonts w:ascii="Times New Roman" w:hAnsi="Times New Roman"/>
          <w:sz w:val="22"/>
          <w:szCs w:val="22"/>
        </w:rPr>
        <w:t>e pas l</w:t>
      </w:r>
      <w:r w:rsidR="0010613A">
        <w:rPr>
          <w:rFonts w:ascii="Times New Roman" w:hAnsi="Times New Roman"/>
          <w:sz w:val="22"/>
          <w:szCs w:val="22"/>
        </w:rPr>
        <w:t>a portée politique </w:t>
      </w:r>
      <w:r w:rsidR="00896591">
        <w:rPr>
          <w:rFonts w:ascii="Times New Roman" w:hAnsi="Times New Roman"/>
          <w:sz w:val="22"/>
          <w:szCs w:val="22"/>
        </w:rPr>
        <w:t>de ce dispositif transversal et normalisé</w:t>
      </w:r>
      <w:r w:rsidR="0010613A">
        <w:rPr>
          <w:rFonts w:ascii="Times New Roman" w:hAnsi="Times New Roman"/>
          <w:sz w:val="22"/>
          <w:szCs w:val="22"/>
        </w:rPr>
        <w:t>: il</w:t>
      </w:r>
      <w:r w:rsidR="00896591">
        <w:rPr>
          <w:rFonts w:ascii="Times New Roman" w:hAnsi="Times New Roman"/>
          <w:sz w:val="22"/>
          <w:szCs w:val="22"/>
        </w:rPr>
        <w:t xml:space="preserve"> contribue à élargir le </w:t>
      </w:r>
      <w:r w:rsidR="00896591">
        <w:rPr>
          <w:rFonts w:ascii="Times New Roman" w:hAnsi="Times New Roman"/>
          <w:sz w:val="22"/>
          <w:szCs w:val="22"/>
        </w:rPr>
        <w:lastRenderedPageBreak/>
        <w:t>cadre du</w:t>
      </w:r>
      <w:r w:rsidR="0010613A">
        <w:rPr>
          <w:rFonts w:ascii="Times New Roman" w:hAnsi="Times New Roman"/>
          <w:sz w:val="22"/>
          <w:szCs w:val="22"/>
        </w:rPr>
        <w:t xml:space="preserve"> débat politique en affirmant que l’égalité des sexes doit être une grille de lecture de la connaissance et de l’action</w:t>
      </w:r>
      <w:r w:rsidR="00896591">
        <w:rPr>
          <w:rFonts w:ascii="Times New Roman" w:hAnsi="Times New Roman"/>
          <w:sz w:val="22"/>
          <w:szCs w:val="22"/>
        </w:rPr>
        <w:t xml:space="preserve"> dans tous les secteurs d’intervention</w:t>
      </w:r>
      <w:r w:rsidR="007B7350">
        <w:rPr>
          <w:rFonts w:ascii="Times New Roman" w:hAnsi="Times New Roman"/>
          <w:sz w:val="22"/>
          <w:szCs w:val="22"/>
        </w:rPr>
        <w:t xml:space="preserve">. Le débat politique ne peut que s’enrichir </w:t>
      </w:r>
      <w:r w:rsidR="00896591">
        <w:rPr>
          <w:rFonts w:ascii="Times New Roman" w:hAnsi="Times New Roman"/>
          <w:sz w:val="22"/>
          <w:szCs w:val="22"/>
        </w:rPr>
        <w:t xml:space="preserve">de </w:t>
      </w:r>
      <w:r w:rsidR="007B7350">
        <w:rPr>
          <w:rFonts w:ascii="Times New Roman" w:hAnsi="Times New Roman"/>
          <w:sz w:val="22"/>
          <w:szCs w:val="22"/>
        </w:rPr>
        <w:t xml:space="preserve">cette rupture conceptuelle qui </w:t>
      </w:r>
      <w:r w:rsidR="00896591">
        <w:rPr>
          <w:rFonts w:ascii="Times New Roman" w:hAnsi="Times New Roman"/>
          <w:sz w:val="22"/>
          <w:szCs w:val="22"/>
        </w:rPr>
        <w:t xml:space="preserve">promeut </w:t>
      </w:r>
      <w:r w:rsidR="007B7350">
        <w:rPr>
          <w:rFonts w:ascii="Times New Roman" w:hAnsi="Times New Roman"/>
          <w:sz w:val="22"/>
          <w:szCs w:val="22"/>
        </w:rPr>
        <w:t xml:space="preserve">la dénaturalisation des instruments d’action publique </w:t>
      </w:r>
      <w:r w:rsidR="007249AF">
        <w:rPr>
          <w:rFonts w:ascii="Times New Roman" w:hAnsi="Times New Roman"/>
          <w:sz w:val="22"/>
          <w:szCs w:val="22"/>
        </w:rPr>
        <w:t>et</w:t>
      </w:r>
      <w:r w:rsidR="007B7350">
        <w:rPr>
          <w:rFonts w:ascii="Times New Roman" w:hAnsi="Times New Roman"/>
          <w:sz w:val="22"/>
          <w:szCs w:val="22"/>
        </w:rPr>
        <w:t xml:space="preserve"> la remise en question de la prétendue neutralité des politiques publiques en matière des rapports de genre. </w:t>
      </w:r>
    </w:p>
    <w:p w:rsidR="004C3367" w:rsidRDefault="004C3367" w:rsidP="004C3367">
      <w:pPr>
        <w:spacing w:line="360" w:lineRule="auto"/>
        <w:rPr>
          <w:rFonts w:ascii="Times New Roman" w:hAnsi="Times New Roman"/>
          <w:sz w:val="22"/>
          <w:szCs w:val="22"/>
        </w:rPr>
      </w:pPr>
    </w:p>
    <w:p w:rsidR="00DC7578" w:rsidRDefault="00DC7578">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rsidR="00D4587D" w:rsidRPr="003C7273" w:rsidRDefault="00D4587D" w:rsidP="004C3367">
      <w:pPr>
        <w:spacing w:line="360" w:lineRule="auto"/>
        <w:rPr>
          <w:rFonts w:ascii="Times New Roman" w:hAnsi="Times New Roman"/>
          <w:b/>
          <w:sz w:val="22"/>
          <w:szCs w:val="22"/>
          <w:u w:val="single"/>
        </w:rPr>
      </w:pPr>
      <w:r w:rsidRPr="003C7273">
        <w:rPr>
          <w:rFonts w:ascii="Times New Roman" w:hAnsi="Times New Roman"/>
          <w:b/>
          <w:sz w:val="22"/>
          <w:szCs w:val="22"/>
          <w:u w:val="single"/>
        </w:rPr>
        <w:lastRenderedPageBreak/>
        <w:t xml:space="preserve">Références </w:t>
      </w:r>
    </w:p>
    <w:p w:rsidR="007249AF" w:rsidRDefault="007249AF" w:rsidP="0036072C">
      <w:pPr>
        <w:spacing w:line="360" w:lineRule="auto"/>
        <w:rPr>
          <w:rFonts w:ascii="Times New Roman" w:hAnsi="Times New Roman"/>
          <w:sz w:val="22"/>
          <w:szCs w:val="22"/>
        </w:rPr>
      </w:pPr>
    </w:p>
    <w:p w:rsidR="00F90D50" w:rsidRDefault="00F90D50" w:rsidP="00F90D50">
      <w:pPr>
        <w:spacing w:after="60" w:line="360" w:lineRule="auto"/>
        <w:rPr>
          <w:rFonts w:ascii="Times New Roman" w:hAnsi="Times New Roman"/>
          <w:sz w:val="22"/>
          <w:szCs w:val="22"/>
          <w:lang w:val="fr-BE"/>
        </w:rPr>
      </w:pPr>
      <w:proofErr w:type="spellStart"/>
      <w:r w:rsidRPr="003B2773">
        <w:rPr>
          <w:rFonts w:ascii="Times New Roman" w:hAnsi="Times New Roman"/>
          <w:sz w:val="22"/>
          <w:szCs w:val="22"/>
          <w:lang w:val="fr-BE"/>
        </w:rPr>
        <w:t>Bereni</w:t>
      </w:r>
      <w:proofErr w:type="spellEnd"/>
      <w:r>
        <w:rPr>
          <w:rFonts w:ascii="Times New Roman" w:hAnsi="Times New Roman"/>
          <w:sz w:val="22"/>
          <w:szCs w:val="22"/>
          <w:lang w:val="fr-BE"/>
        </w:rPr>
        <w:t xml:space="preserve"> L. et </w:t>
      </w:r>
      <w:proofErr w:type="spellStart"/>
      <w:r w:rsidRPr="003B2773">
        <w:rPr>
          <w:rFonts w:ascii="Times New Roman" w:hAnsi="Times New Roman"/>
          <w:sz w:val="22"/>
          <w:szCs w:val="22"/>
          <w:lang w:val="fr-BE"/>
        </w:rPr>
        <w:t>Revillard</w:t>
      </w:r>
      <w:proofErr w:type="spellEnd"/>
      <w:r w:rsidRPr="003B2773">
        <w:rPr>
          <w:rFonts w:ascii="Times New Roman" w:hAnsi="Times New Roman"/>
          <w:sz w:val="22"/>
          <w:szCs w:val="22"/>
          <w:lang w:val="fr-BE"/>
        </w:rPr>
        <w:t xml:space="preserve"> </w:t>
      </w:r>
      <w:r>
        <w:rPr>
          <w:rFonts w:ascii="Times New Roman" w:hAnsi="Times New Roman"/>
          <w:sz w:val="22"/>
          <w:szCs w:val="22"/>
          <w:lang w:val="fr-BE"/>
        </w:rPr>
        <w:t>L. (</w:t>
      </w:r>
      <w:r w:rsidRPr="003B2773">
        <w:rPr>
          <w:rFonts w:ascii="Times New Roman" w:hAnsi="Times New Roman"/>
          <w:sz w:val="22"/>
          <w:szCs w:val="22"/>
          <w:lang w:val="fr-BE"/>
        </w:rPr>
        <w:t>2009</w:t>
      </w:r>
      <w:r>
        <w:rPr>
          <w:rFonts w:ascii="Times New Roman" w:hAnsi="Times New Roman"/>
          <w:sz w:val="22"/>
          <w:szCs w:val="22"/>
          <w:lang w:val="fr-BE"/>
        </w:rPr>
        <w:t>)</w:t>
      </w:r>
      <w:r w:rsidRPr="00F90D50">
        <w:t xml:space="preserve"> </w:t>
      </w:r>
      <w:r w:rsidRPr="00F90D50">
        <w:rPr>
          <w:rFonts w:ascii="Times New Roman" w:hAnsi="Times New Roman"/>
          <w:sz w:val="22"/>
          <w:szCs w:val="22"/>
          <w:lang w:val="fr-BE"/>
        </w:rPr>
        <w:t xml:space="preserve">La dichotomie public-privé à l’épreuve des critiques féministes : de la théorie à </w:t>
      </w:r>
      <w:r>
        <w:rPr>
          <w:rFonts w:ascii="Times New Roman" w:hAnsi="Times New Roman"/>
          <w:sz w:val="22"/>
          <w:szCs w:val="22"/>
          <w:lang w:val="fr-BE"/>
        </w:rPr>
        <w:t xml:space="preserve">l’action </w:t>
      </w:r>
      <w:proofErr w:type="gramStart"/>
      <w:r>
        <w:rPr>
          <w:rFonts w:ascii="Times New Roman" w:hAnsi="Times New Roman"/>
          <w:sz w:val="22"/>
          <w:szCs w:val="22"/>
          <w:lang w:val="fr-BE"/>
        </w:rPr>
        <w:t xml:space="preserve">publique </w:t>
      </w:r>
      <w:r w:rsidRPr="00F90D50">
        <w:rPr>
          <w:rFonts w:ascii="Times New Roman" w:hAnsi="Times New Roman"/>
          <w:sz w:val="22"/>
          <w:szCs w:val="22"/>
          <w:lang w:val="fr-BE"/>
        </w:rPr>
        <w:t>,</w:t>
      </w:r>
      <w:proofErr w:type="gramEnd"/>
      <w:r w:rsidRPr="00F90D50">
        <w:rPr>
          <w:rFonts w:ascii="Times New Roman" w:hAnsi="Times New Roman"/>
          <w:sz w:val="22"/>
          <w:szCs w:val="22"/>
          <w:lang w:val="fr-BE"/>
        </w:rPr>
        <w:t xml:space="preserve"> </w:t>
      </w:r>
      <w:r>
        <w:rPr>
          <w:rFonts w:ascii="Times New Roman" w:hAnsi="Times New Roman"/>
          <w:sz w:val="22"/>
          <w:szCs w:val="22"/>
        </w:rPr>
        <w:t xml:space="preserve">in </w:t>
      </w:r>
      <w:r w:rsidRPr="00E62685">
        <w:rPr>
          <w:rFonts w:ascii="Times New Roman" w:hAnsi="Times New Roman"/>
          <w:sz w:val="22"/>
          <w:szCs w:val="22"/>
          <w:lang w:val="fr-BE"/>
        </w:rPr>
        <w:t xml:space="preserve">Muller P. et </w:t>
      </w:r>
      <w:proofErr w:type="spellStart"/>
      <w:r w:rsidRPr="00E62685">
        <w:rPr>
          <w:rFonts w:ascii="Times New Roman" w:hAnsi="Times New Roman"/>
          <w:sz w:val="22"/>
          <w:szCs w:val="22"/>
          <w:lang w:val="fr-BE"/>
        </w:rPr>
        <w:t>Senac-Slawinski</w:t>
      </w:r>
      <w:proofErr w:type="spellEnd"/>
      <w:r w:rsidRPr="00E62685">
        <w:rPr>
          <w:rFonts w:ascii="Times New Roman" w:hAnsi="Times New Roman"/>
          <w:sz w:val="22"/>
          <w:szCs w:val="22"/>
          <w:lang w:val="fr-BE"/>
        </w:rPr>
        <w:t xml:space="preserve"> R., (2009), Genre et action publique : la frontière public-privé en questions,. </w:t>
      </w:r>
      <w:proofErr w:type="spellStart"/>
      <w:r w:rsidRPr="00E62685">
        <w:rPr>
          <w:rFonts w:ascii="Times New Roman" w:hAnsi="Times New Roman"/>
          <w:sz w:val="22"/>
          <w:szCs w:val="22"/>
          <w:lang w:val="fr-BE"/>
        </w:rPr>
        <w:t>L’Harmattan</w:t>
      </w:r>
      <w:proofErr w:type="spellEnd"/>
      <w:r w:rsidRPr="00E62685">
        <w:rPr>
          <w:rFonts w:ascii="Times New Roman" w:hAnsi="Times New Roman"/>
          <w:sz w:val="22"/>
          <w:szCs w:val="22"/>
          <w:lang w:val="fr-BE"/>
        </w:rPr>
        <w:t>, Paris.</w:t>
      </w:r>
    </w:p>
    <w:p w:rsidR="001E5D6F" w:rsidRDefault="001E5D6F" w:rsidP="00F90D50">
      <w:pPr>
        <w:spacing w:after="60" w:line="360" w:lineRule="auto"/>
        <w:rPr>
          <w:rFonts w:ascii="Times New Roman" w:hAnsi="Times New Roman"/>
          <w:sz w:val="22"/>
          <w:szCs w:val="22"/>
        </w:rPr>
      </w:pPr>
      <w:proofErr w:type="spellStart"/>
      <w:r w:rsidRPr="000B5B92">
        <w:rPr>
          <w:rFonts w:ascii="Times New Roman" w:hAnsi="Times New Roman"/>
          <w:sz w:val="22"/>
          <w:szCs w:val="22"/>
          <w:lang w:val="fr-BE"/>
        </w:rPr>
        <w:t>Cecchini</w:t>
      </w:r>
      <w:proofErr w:type="spellEnd"/>
      <w:r w:rsidR="0036072C">
        <w:rPr>
          <w:rFonts w:ascii="Times New Roman" w:hAnsi="Times New Roman"/>
          <w:sz w:val="22"/>
          <w:szCs w:val="22"/>
          <w:lang w:val="fr-BE"/>
        </w:rPr>
        <w:t xml:space="preserve"> I. et </w:t>
      </w:r>
      <w:r w:rsidRPr="000B5B92">
        <w:rPr>
          <w:rFonts w:ascii="Times New Roman" w:hAnsi="Times New Roman"/>
          <w:sz w:val="22"/>
          <w:szCs w:val="22"/>
          <w:lang w:val="fr-BE"/>
        </w:rPr>
        <w:t xml:space="preserve">Fallon </w:t>
      </w:r>
      <w:r w:rsidR="0036072C">
        <w:rPr>
          <w:rFonts w:ascii="Times New Roman" w:hAnsi="Times New Roman"/>
          <w:sz w:val="22"/>
          <w:szCs w:val="22"/>
          <w:lang w:val="fr-BE"/>
        </w:rPr>
        <w:t>C., (</w:t>
      </w:r>
      <w:r w:rsidRPr="000B5B92">
        <w:rPr>
          <w:rFonts w:ascii="Times New Roman" w:hAnsi="Times New Roman"/>
          <w:sz w:val="22"/>
          <w:szCs w:val="22"/>
          <w:lang w:val="fr-BE"/>
        </w:rPr>
        <w:t>2009</w:t>
      </w:r>
      <w:r w:rsidR="0036072C">
        <w:rPr>
          <w:rFonts w:ascii="Times New Roman" w:hAnsi="Times New Roman"/>
          <w:sz w:val="22"/>
          <w:szCs w:val="22"/>
          <w:lang w:val="fr-BE"/>
        </w:rPr>
        <w:t>),</w:t>
      </w:r>
      <w:r w:rsidR="00401578">
        <w:rPr>
          <w:rFonts w:ascii="Times New Roman" w:hAnsi="Times New Roman"/>
          <w:sz w:val="22"/>
          <w:szCs w:val="22"/>
          <w:lang w:val="fr-BE"/>
        </w:rPr>
        <w:t xml:space="preserve"> </w:t>
      </w:r>
      <w:r w:rsidR="0036072C" w:rsidRPr="0036072C">
        <w:rPr>
          <w:rFonts w:ascii="Times New Roman" w:hAnsi="Times New Roman"/>
          <w:sz w:val="22"/>
          <w:szCs w:val="22"/>
          <w:lang w:val="fr-BE"/>
        </w:rPr>
        <w:t>Le genre dans l’évaluation des politiques publiques : opportunités et limites</w:t>
      </w:r>
      <w:r w:rsidR="00401578">
        <w:rPr>
          <w:rFonts w:ascii="Times New Roman" w:hAnsi="Times New Roman"/>
          <w:sz w:val="22"/>
          <w:szCs w:val="22"/>
          <w:lang w:val="fr-BE"/>
        </w:rPr>
        <w:t>, Conférence de l’AFSP 2009, Grenoble, Juillet 2009</w:t>
      </w:r>
    </w:p>
    <w:p w:rsidR="00F90D50" w:rsidRPr="003B2773" w:rsidRDefault="00F90D50" w:rsidP="00F90D50">
      <w:pPr>
        <w:spacing w:after="60" w:line="360" w:lineRule="auto"/>
        <w:rPr>
          <w:rFonts w:ascii="Times New Roman" w:hAnsi="Times New Roman"/>
          <w:sz w:val="22"/>
          <w:szCs w:val="22"/>
          <w:lang w:val="fr-BE"/>
        </w:rPr>
      </w:pPr>
      <w:r w:rsidRPr="003B2773">
        <w:rPr>
          <w:rFonts w:ascii="Times New Roman" w:hAnsi="Times New Roman"/>
          <w:sz w:val="22"/>
          <w:szCs w:val="22"/>
          <w:lang w:val="fr-BE"/>
        </w:rPr>
        <w:t>Cornet</w:t>
      </w:r>
      <w:r>
        <w:rPr>
          <w:rFonts w:ascii="Times New Roman" w:hAnsi="Times New Roman"/>
          <w:sz w:val="22"/>
          <w:szCs w:val="22"/>
          <w:lang w:val="fr-BE"/>
        </w:rPr>
        <w:t xml:space="preserve"> A. (</w:t>
      </w:r>
      <w:r w:rsidRPr="003B2773">
        <w:rPr>
          <w:rFonts w:ascii="Times New Roman" w:hAnsi="Times New Roman"/>
          <w:sz w:val="22"/>
          <w:szCs w:val="22"/>
          <w:lang w:val="fr-BE"/>
        </w:rPr>
        <w:t>2007</w:t>
      </w:r>
      <w:r>
        <w:rPr>
          <w:rFonts w:ascii="Times New Roman" w:hAnsi="Times New Roman"/>
          <w:sz w:val="22"/>
          <w:szCs w:val="22"/>
          <w:lang w:val="fr-BE"/>
        </w:rPr>
        <w:t xml:space="preserve">), </w:t>
      </w:r>
      <w:r w:rsidRPr="001D5369">
        <w:rPr>
          <w:rFonts w:ascii="Times New Roman" w:hAnsi="Times New Roman"/>
          <w:sz w:val="22"/>
          <w:szCs w:val="22"/>
          <w:lang w:val="fr-BE"/>
        </w:rPr>
        <w:t xml:space="preserve">Le </w:t>
      </w:r>
      <w:proofErr w:type="spellStart"/>
      <w:r w:rsidRPr="001D5369">
        <w:rPr>
          <w:rFonts w:ascii="Times New Roman" w:hAnsi="Times New Roman"/>
          <w:sz w:val="22"/>
          <w:szCs w:val="22"/>
          <w:lang w:val="fr-BE"/>
        </w:rPr>
        <w:t>mainstreaming</w:t>
      </w:r>
      <w:proofErr w:type="spellEnd"/>
      <w:r w:rsidRPr="001D5369">
        <w:rPr>
          <w:rFonts w:ascii="Times New Roman" w:hAnsi="Times New Roman"/>
          <w:sz w:val="22"/>
          <w:szCs w:val="22"/>
          <w:lang w:val="fr-BE"/>
        </w:rPr>
        <w:t xml:space="preserve"> de genre (ou approche intégrée o</w:t>
      </w:r>
      <w:r>
        <w:rPr>
          <w:rFonts w:ascii="Times New Roman" w:hAnsi="Times New Roman"/>
          <w:sz w:val="22"/>
          <w:szCs w:val="22"/>
          <w:lang w:val="fr-BE"/>
        </w:rPr>
        <w:t xml:space="preserve">u différenciée selon les </w:t>
      </w:r>
      <w:proofErr w:type="gramStart"/>
      <w:r>
        <w:rPr>
          <w:rFonts w:ascii="Times New Roman" w:hAnsi="Times New Roman"/>
          <w:sz w:val="22"/>
          <w:szCs w:val="22"/>
          <w:lang w:val="fr-BE"/>
        </w:rPr>
        <w:t>sexes</w:t>
      </w:r>
      <w:r>
        <w:rPr>
          <w:rFonts w:ascii="Times New Roman" w:hAnsi="Times New Roman"/>
          <w:sz w:val="22"/>
          <w:szCs w:val="22"/>
          <w:lang w:val="fr-BE"/>
        </w:rPr>
        <w:t xml:space="preserve">  :</w:t>
      </w:r>
      <w:proofErr w:type="gramEnd"/>
      <w:r>
        <w:rPr>
          <w:rFonts w:ascii="Times New Roman" w:hAnsi="Times New Roman"/>
          <w:sz w:val="22"/>
          <w:szCs w:val="22"/>
          <w:lang w:val="fr-BE"/>
        </w:rPr>
        <w:t xml:space="preserve"> </w:t>
      </w:r>
      <w:r w:rsidRPr="001D5369">
        <w:rPr>
          <w:rFonts w:ascii="Times New Roman" w:hAnsi="Times New Roman"/>
          <w:sz w:val="22"/>
          <w:szCs w:val="22"/>
          <w:lang w:val="fr-BE"/>
        </w:rPr>
        <w:t>logiques d’action et facteurs de succès, Conseil de l’Europe, septembre 2007, 7th Informal Network on</w:t>
      </w:r>
      <w:r>
        <w:rPr>
          <w:rFonts w:ascii="Times New Roman" w:hAnsi="Times New Roman"/>
          <w:sz w:val="22"/>
          <w:szCs w:val="22"/>
          <w:lang w:val="fr-BE"/>
        </w:rPr>
        <w:t xml:space="preserve"> </w:t>
      </w:r>
      <w:proofErr w:type="spellStart"/>
      <w:r w:rsidRPr="001D5369">
        <w:rPr>
          <w:rFonts w:ascii="Times New Roman" w:hAnsi="Times New Roman"/>
          <w:sz w:val="22"/>
          <w:szCs w:val="22"/>
          <w:lang w:val="fr-BE"/>
        </w:rPr>
        <w:t>Gender</w:t>
      </w:r>
      <w:proofErr w:type="spellEnd"/>
      <w:r w:rsidRPr="001D5369">
        <w:rPr>
          <w:rFonts w:ascii="Times New Roman" w:hAnsi="Times New Roman"/>
          <w:sz w:val="22"/>
          <w:szCs w:val="22"/>
          <w:lang w:val="fr-BE"/>
        </w:rPr>
        <w:t xml:space="preserve"> </w:t>
      </w:r>
      <w:proofErr w:type="spellStart"/>
      <w:r w:rsidRPr="001D5369">
        <w:rPr>
          <w:rFonts w:ascii="Times New Roman" w:hAnsi="Times New Roman"/>
          <w:sz w:val="22"/>
          <w:szCs w:val="22"/>
          <w:lang w:val="fr-BE"/>
        </w:rPr>
        <w:t>Mainstreaming</w:t>
      </w:r>
      <w:proofErr w:type="spellEnd"/>
    </w:p>
    <w:p w:rsidR="00D4587D" w:rsidRPr="00D4587D" w:rsidRDefault="00D4587D" w:rsidP="00F90D50">
      <w:pPr>
        <w:spacing w:after="60" w:line="360" w:lineRule="auto"/>
        <w:rPr>
          <w:rFonts w:ascii="Times New Roman" w:hAnsi="Times New Roman"/>
          <w:sz w:val="22"/>
          <w:szCs w:val="22"/>
        </w:rPr>
      </w:pPr>
      <w:r w:rsidRPr="00D4587D">
        <w:rPr>
          <w:rFonts w:ascii="Times New Roman" w:hAnsi="Times New Roman"/>
          <w:sz w:val="22"/>
          <w:szCs w:val="22"/>
        </w:rPr>
        <w:t>Dauphin S. (2010) Action publique et rapports de genre. REVUE DE L’OFCE ■ 114 ■ JUILLET 2010. p.265-290</w:t>
      </w:r>
    </w:p>
    <w:p w:rsidR="00D4587D" w:rsidRPr="00D4587D" w:rsidRDefault="00D4587D" w:rsidP="00F90D50">
      <w:pPr>
        <w:spacing w:after="60" w:line="360" w:lineRule="auto"/>
        <w:rPr>
          <w:rFonts w:ascii="Times New Roman" w:hAnsi="Times New Roman"/>
          <w:sz w:val="22"/>
          <w:szCs w:val="22"/>
        </w:rPr>
      </w:pPr>
      <w:r w:rsidRPr="00D4587D">
        <w:rPr>
          <w:rFonts w:ascii="Times New Roman" w:hAnsi="Times New Roman"/>
          <w:sz w:val="22"/>
          <w:szCs w:val="22"/>
        </w:rPr>
        <w:t>Dauphin S. Sénac-</w:t>
      </w:r>
      <w:proofErr w:type="spellStart"/>
      <w:r w:rsidRPr="00D4587D">
        <w:rPr>
          <w:rFonts w:ascii="Times New Roman" w:hAnsi="Times New Roman"/>
          <w:sz w:val="22"/>
          <w:szCs w:val="22"/>
        </w:rPr>
        <w:t>Slawinski</w:t>
      </w:r>
      <w:proofErr w:type="spellEnd"/>
      <w:r w:rsidRPr="00D4587D">
        <w:rPr>
          <w:rFonts w:ascii="Times New Roman" w:hAnsi="Times New Roman"/>
          <w:sz w:val="22"/>
          <w:szCs w:val="22"/>
        </w:rPr>
        <w:t xml:space="preserve"> R, (2008), « </w:t>
      </w:r>
      <w:proofErr w:type="spellStart"/>
      <w:r w:rsidRPr="00D4587D">
        <w:rPr>
          <w:rFonts w:ascii="Times New Roman" w:hAnsi="Times New Roman"/>
          <w:sz w:val="22"/>
          <w:szCs w:val="22"/>
        </w:rPr>
        <w:t>Gender</w:t>
      </w:r>
      <w:proofErr w:type="spellEnd"/>
      <w:r w:rsidRPr="00D4587D">
        <w:rPr>
          <w:rFonts w:ascii="Times New Roman" w:hAnsi="Times New Roman"/>
          <w:sz w:val="22"/>
          <w:szCs w:val="22"/>
        </w:rPr>
        <w:t xml:space="preserve"> </w:t>
      </w:r>
      <w:proofErr w:type="spellStart"/>
      <w:r w:rsidRPr="00D4587D">
        <w:rPr>
          <w:rFonts w:ascii="Times New Roman" w:hAnsi="Times New Roman"/>
          <w:sz w:val="22"/>
          <w:szCs w:val="22"/>
        </w:rPr>
        <w:t>mainstreaming</w:t>
      </w:r>
      <w:proofErr w:type="spellEnd"/>
      <w:r w:rsidRPr="00D4587D">
        <w:rPr>
          <w:rFonts w:ascii="Times New Roman" w:hAnsi="Times New Roman"/>
          <w:sz w:val="22"/>
          <w:szCs w:val="22"/>
        </w:rPr>
        <w:t xml:space="preserve"> : analyse des enjeux d'un 'concept-méthode' » Cahiers du Genre, 2008/1 n° 44, p. 5-16 </w:t>
      </w:r>
    </w:p>
    <w:p w:rsidR="00D4587D" w:rsidRDefault="00D4587D" w:rsidP="00F90D50">
      <w:pPr>
        <w:spacing w:after="60" w:line="360" w:lineRule="auto"/>
        <w:rPr>
          <w:rFonts w:ascii="Times New Roman" w:hAnsi="Times New Roman"/>
          <w:sz w:val="22"/>
          <w:szCs w:val="22"/>
        </w:rPr>
      </w:pPr>
      <w:r w:rsidRPr="00D4587D">
        <w:rPr>
          <w:rFonts w:ascii="Times New Roman" w:hAnsi="Times New Roman"/>
          <w:sz w:val="22"/>
          <w:szCs w:val="22"/>
        </w:rPr>
        <w:t xml:space="preserve">Forest M., (2006), « Les transferts institutionnels à l'usage des politiques d'égalité hommes-femmes dans les nouveaux États membres de l'Union européenne. De l'invention d'un domaine des politiques publiques à son investissement par les acteurs », Revue internationale de politique comparée, 2006/2 Vol. 13, p. 259-278 ; </w:t>
      </w:r>
    </w:p>
    <w:p w:rsidR="00D4587D" w:rsidRDefault="00D4587D" w:rsidP="00F90D50">
      <w:pPr>
        <w:spacing w:after="60" w:line="360" w:lineRule="auto"/>
        <w:rPr>
          <w:rFonts w:ascii="Times New Roman" w:hAnsi="Times New Roman"/>
          <w:sz w:val="22"/>
          <w:szCs w:val="22"/>
        </w:rPr>
      </w:pPr>
      <w:proofErr w:type="spellStart"/>
      <w:r w:rsidRPr="00D4587D">
        <w:rPr>
          <w:rFonts w:ascii="Times New Roman" w:hAnsi="Times New Roman"/>
          <w:sz w:val="22"/>
          <w:szCs w:val="22"/>
        </w:rPr>
        <w:t>Fraisse</w:t>
      </w:r>
      <w:proofErr w:type="spellEnd"/>
      <w:r w:rsidRPr="00D4587D">
        <w:rPr>
          <w:rFonts w:ascii="Times New Roman" w:hAnsi="Times New Roman"/>
          <w:sz w:val="22"/>
          <w:szCs w:val="22"/>
        </w:rPr>
        <w:t xml:space="preserve"> G. et al. (2008), Le </w:t>
      </w:r>
      <w:proofErr w:type="spellStart"/>
      <w:r w:rsidRPr="00D4587D">
        <w:rPr>
          <w:rFonts w:ascii="Times New Roman" w:hAnsi="Times New Roman"/>
          <w:sz w:val="22"/>
          <w:szCs w:val="22"/>
        </w:rPr>
        <w:t>gender</w:t>
      </w:r>
      <w:proofErr w:type="spellEnd"/>
      <w:r w:rsidRPr="00D4587D">
        <w:rPr>
          <w:rFonts w:ascii="Times New Roman" w:hAnsi="Times New Roman"/>
          <w:sz w:val="22"/>
          <w:szCs w:val="22"/>
        </w:rPr>
        <w:t xml:space="preserve"> </w:t>
      </w:r>
      <w:proofErr w:type="spellStart"/>
      <w:r w:rsidRPr="00D4587D">
        <w:rPr>
          <w:rFonts w:ascii="Times New Roman" w:hAnsi="Times New Roman"/>
          <w:sz w:val="22"/>
          <w:szCs w:val="22"/>
        </w:rPr>
        <w:t>mainstreaming</w:t>
      </w:r>
      <w:proofErr w:type="spellEnd"/>
      <w:r w:rsidRPr="00D4587D">
        <w:rPr>
          <w:rFonts w:ascii="Times New Roman" w:hAnsi="Times New Roman"/>
          <w:sz w:val="22"/>
          <w:szCs w:val="22"/>
        </w:rPr>
        <w:t>, vrai en théorie, faux en pratique ?, Cahiers du Genre, 2008/1, n°44, p.17-26</w:t>
      </w:r>
    </w:p>
    <w:p w:rsidR="00D4587D" w:rsidRPr="00D4587D" w:rsidRDefault="00D4587D" w:rsidP="00F90D50">
      <w:pPr>
        <w:spacing w:after="60" w:line="360" w:lineRule="auto"/>
        <w:rPr>
          <w:rFonts w:ascii="Times New Roman" w:hAnsi="Times New Roman"/>
          <w:sz w:val="22"/>
          <w:szCs w:val="22"/>
        </w:rPr>
      </w:pPr>
      <w:r w:rsidRPr="00D4587D">
        <w:rPr>
          <w:rFonts w:ascii="Times New Roman" w:hAnsi="Times New Roman"/>
          <w:sz w:val="22"/>
          <w:szCs w:val="22"/>
        </w:rPr>
        <w:t>Hofmann E</w:t>
      </w:r>
      <w:r>
        <w:rPr>
          <w:rFonts w:ascii="Times New Roman" w:hAnsi="Times New Roman"/>
          <w:sz w:val="22"/>
          <w:szCs w:val="22"/>
        </w:rPr>
        <w:t>.</w:t>
      </w:r>
      <w:r w:rsidRPr="00D4587D">
        <w:rPr>
          <w:rFonts w:ascii="Times New Roman" w:hAnsi="Times New Roman"/>
          <w:sz w:val="22"/>
          <w:szCs w:val="22"/>
        </w:rPr>
        <w:t xml:space="preserve"> (2006). « Rejet d’un mot ou refus d’un concept ? » Travail, genre et sociétés, n° 16</w:t>
      </w:r>
    </w:p>
    <w:p w:rsidR="00D4587D" w:rsidRDefault="00D4587D" w:rsidP="00F90D50">
      <w:pPr>
        <w:spacing w:after="60" w:line="360" w:lineRule="auto"/>
        <w:rPr>
          <w:rFonts w:ascii="Times New Roman" w:hAnsi="Times New Roman"/>
          <w:sz w:val="22"/>
          <w:szCs w:val="22"/>
        </w:rPr>
      </w:pPr>
      <w:r w:rsidRPr="00D4587D">
        <w:rPr>
          <w:rFonts w:ascii="Times New Roman" w:hAnsi="Times New Roman"/>
          <w:sz w:val="22"/>
          <w:szCs w:val="22"/>
        </w:rPr>
        <w:t xml:space="preserve">Jacquot S. (2006). « L’instrumentation du </w:t>
      </w:r>
      <w:proofErr w:type="spellStart"/>
      <w:r w:rsidRPr="00D4587D">
        <w:rPr>
          <w:rFonts w:ascii="Times New Roman" w:hAnsi="Times New Roman"/>
          <w:sz w:val="22"/>
          <w:szCs w:val="22"/>
        </w:rPr>
        <w:t>gender</w:t>
      </w:r>
      <w:proofErr w:type="spellEnd"/>
      <w:r w:rsidRPr="00D4587D">
        <w:rPr>
          <w:rFonts w:ascii="Times New Roman" w:hAnsi="Times New Roman"/>
          <w:sz w:val="22"/>
          <w:szCs w:val="22"/>
        </w:rPr>
        <w:t xml:space="preserve"> </w:t>
      </w:r>
      <w:proofErr w:type="spellStart"/>
      <w:r w:rsidRPr="00D4587D">
        <w:rPr>
          <w:rFonts w:ascii="Times New Roman" w:hAnsi="Times New Roman"/>
          <w:sz w:val="22"/>
          <w:szCs w:val="22"/>
        </w:rPr>
        <w:t>mainstreaming</w:t>
      </w:r>
      <w:proofErr w:type="spellEnd"/>
      <w:r w:rsidRPr="00D4587D">
        <w:rPr>
          <w:rFonts w:ascii="Times New Roman" w:hAnsi="Times New Roman"/>
          <w:sz w:val="22"/>
          <w:szCs w:val="22"/>
        </w:rPr>
        <w:t xml:space="preserve"> à la Commission européenne : entre ‘ingénierie sociale’ et ‘ingénierie instrumentale’ ». Politique européenne, n° 20.</w:t>
      </w:r>
    </w:p>
    <w:p w:rsidR="002B4815" w:rsidRDefault="002B4815" w:rsidP="00F90D50">
      <w:pPr>
        <w:spacing w:after="60" w:line="360" w:lineRule="auto"/>
        <w:rPr>
          <w:rFonts w:ascii="Times New Roman" w:hAnsi="Times New Roman"/>
          <w:sz w:val="22"/>
          <w:szCs w:val="22"/>
        </w:rPr>
      </w:pPr>
      <w:r>
        <w:rPr>
          <w:rFonts w:ascii="Times New Roman" w:hAnsi="Times New Roman"/>
          <w:sz w:val="22"/>
          <w:szCs w:val="22"/>
        </w:rPr>
        <w:t xml:space="preserve">Jacquot </w:t>
      </w:r>
      <w:r w:rsidRPr="002B4815">
        <w:rPr>
          <w:rFonts w:ascii="Times New Roman" w:hAnsi="Times New Roman"/>
          <w:sz w:val="22"/>
          <w:szCs w:val="22"/>
        </w:rPr>
        <w:t>S</w:t>
      </w:r>
      <w:r>
        <w:rPr>
          <w:rFonts w:ascii="Times New Roman" w:hAnsi="Times New Roman"/>
          <w:sz w:val="22"/>
          <w:szCs w:val="22"/>
        </w:rPr>
        <w:t>., (</w:t>
      </w:r>
      <w:r w:rsidRPr="002B4815">
        <w:rPr>
          <w:rFonts w:ascii="Times New Roman" w:hAnsi="Times New Roman"/>
          <w:sz w:val="22"/>
          <w:szCs w:val="22"/>
        </w:rPr>
        <w:t>2009</w:t>
      </w:r>
      <w:r>
        <w:rPr>
          <w:rFonts w:ascii="Times New Roman" w:hAnsi="Times New Roman"/>
          <w:sz w:val="22"/>
          <w:szCs w:val="22"/>
        </w:rPr>
        <w:t>).</w:t>
      </w:r>
      <w:r w:rsidRPr="002B4815">
        <w:rPr>
          <w:rFonts w:ascii="Times New Roman" w:hAnsi="Times New Roman"/>
          <w:sz w:val="22"/>
          <w:szCs w:val="22"/>
        </w:rPr>
        <w:t xml:space="preserve"> "La fin d’une politique d’exception : l’émerg</w:t>
      </w:r>
      <w:r>
        <w:rPr>
          <w:rFonts w:ascii="Times New Roman" w:hAnsi="Times New Roman"/>
          <w:sz w:val="22"/>
          <w:szCs w:val="22"/>
        </w:rPr>
        <w:t xml:space="preserve">ence du </w:t>
      </w:r>
      <w:proofErr w:type="spellStart"/>
      <w:r>
        <w:rPr>
          <w:rFonts w:ascii="Times New Roman" w:hAnsi="Times New Roman"/>
          <w:sz w:val="22"/>
          <w:szCs w:val="22"/>
        </w:rPr>
        <w:t>gender</w:t>
      </w:r>
      <w:proofErr w:type="spellEnd"/>
      <w:r>
        <w:rPr>
          <w:rFonts w:ascii="Times New Roman" w:hAnsi="Times New Roman"/>
          <w:sz w:val="22"/>
          <w:szCs w:val="22"/>
        </w:rPr>
        <w:t xml:space="preserve"> </w:t>
      </w:r>
      <w:proofErr w:type="spellStart"/>
      <w:r>
        <w:rPr>
          <w:rFonts w:ascii="Times New Roman" w:hAnsi="Times New Roman"/>
          <w:sz w:val="22"/>
          <w:szCs w:val="22"/>
        </w:rPr>
        <w:t>mainstreaming</w:t>
      </w:r>
      <w:proofErr w:type="spellEnd"/>
      <w:r>
        <w:rPr>
          <w:rFonts w:ascii="Times New Roman" w:hAnsi="Times New Roman"/>
          <w:sz w:val="22"/>
          <w:szCs w:val="22"/>
        </w:rPr>
        <w:t xml:space="preserve"> et </w:t>
      </w:r>
      <w:r w:rsidRPr="002B4815">
        <w:rPr>
          <w:rFonts w:ascii="Times New Roman" w:hAnsi="Times New Roman"/>
          <w:sz w:val="22"/>
          <w:szCs w:val="22"/>
        </w:rPr>
        <w:t>la normalisation de la politique communautaire d’égalité entre l</w:t>
      </w:r>
      <w:r>
        <w:rPr>
          <w:rFonts w:ascii="Times New Roman" w:hAnsi="Times New Roman"/>
          <w:sz w:val="22"/>
          <w:szCs w:val="22"/>
        </w:rPr>
        <w:t xml:space="preserve">es femmes et les hommes." Revue </w:t>
      </w:r>
      <w:r w:rsidRPr="002B4815">
        <w:rPr>
          <w:rFonts w:ascii="Times New Roman" w:hAnsi="Times New Roman"/>
          <w:sz w:val="22"/>
          <w:szCs w:val="22"/>
        </w:rPr>
        <w:t>française de science politique 59 (2): 247-277.</w:t>
      </w:r>
    </w:p>
    <w:p w:rsidR="00F90D50" w:rsidRPr="003B2773" w:rsidRDefault="00F90D50" w:rsidP="00F90D50">
      <w:pPr>
        <w:spacing w:after="60" w:line="360" w:lineRule="auto"/>
        <w:rPr>
          <w:rFonts w:ascii="Times New Roman" w:hAnsi="Times New Roman"/>
          <w:sz w:val="22"/>
          <w:szCs w:val="22"/>
          <w:lang w:val="fr-BE"/>
        </w:rPr>
      </w:pPr>
      <w:proofErr w:type="spellStart"/>
      <w:r w:rsidRPr="003B2773">
        <w:rPr>
          <w:rFonts w:ascii="Times New Roman" w:hAnsi="Times New Roman"/>
          <w:sz w:val="22"/>
          <w:szCs w:val="22"/>
          <w:lang w:val="fr-BE"/>
        </w:rPr>
        <w:t>Jenson</w:t>
      </w:r>
      <w:proofErr w:type="spellEnd"/>
      <w:r>
        <w:rPr>
          <w:rFonts w:ascii="Times New Roman" w:hAnsi="Times New Roman"/>
          <w:sz w:val="22"/>
          <w:szCs w:val="22"/>
          <w:lang w:val="fr-BE"/>
        </w:rPr>
        <w:t xml:space="preserve"> J.</w:t>
      </w:r>
      <w:r w:rsidRPr="003B2773">
        <w:rPr>
          <w:rFonts w:ascii="Times New Roman" w:hAnsi="Times New Roman"/>
          <w:sz w:val="22"/>
          <w:szCs w:val="22"/>
          <w:lang w:val="fr-BE"/>
        </w:rPr>
        <w:t xml:space="preserve"> et </w:t>
      </w:r>
      <w:proofErr w:type="spellStart"/>
      <w:r w:rsidRPr="003B2773">
        <w:rPr>
          <w:rFonts w:ascii="Times New Roman" w:hAnsi="Times New Roman"/>
          <w:sz w:val="22"/>
          <w:szCs w:val="22"/>
          <w:lang w:val="fr-BE"/>
        </w:rPr>
        <w:t>Lépinard</w:t>
      </w:r>
      <w:proofErr w:type="spellEnd"/>
      <w:r>
        <w:rPr>
          <w:rFonts w:ascii="Times New Roman" w:hAnsi="Times New Roman"/>
          <w:sz w:val="22"/>
          <w:szCs w:val="22"/>
          <w:lang w:val="fr-BE"/>
        </w:rPr>
        <w:t xml:space="preserve"> E.</w:t>
      </w:r>
      <w:r w:rsidRPr="003B2773">
        <w:rPr>
          <w:rFonts w:ascii="Times New Roman" w:hAnsi="Times New Roman"/>
          <w:sz w:val="22"/>
          <w:szCs w:val="22"/>
          <w:lang w:val="fr-BE"/>
        </w:rPr>
        <w:t xml:space="preserve">, </w:t>
      </w:r>
      <w:r>
        <w:rPr>
          <w:rFonts w:ascii="Times New Roman" w:hAnsi="Times New Roman"/>
          <w:sz w:val="22"/>
          <w:szCs w:val="22"/>
          <w:lang w:val="fr-BE"/>
        </w:rPr>
        <w:t>(</w:t>
      </w:r>
      <w:r w:rsidRPr="003B2773">
        <w:rPr>
          <w:rFonts w:ascii="Times New Roman" w:hAnsi="Times New Roman"/>
          <w:sz w:val="22"/>
          <w:szCs w:val="22"/>
          <w:lang w:val="fr-BE"/>
        </w:rPr>
        <w:t>2009</w:t>
      </w:r>
      <w:r>
        <w:rPr>
          <w:rFonts w:ascii="Times New Roman" w:hAnsi="Times New Roman"/>
          <w:sz w:val="22"/>
          <w:szCs w:val="22"/>
          <w:lang w:val="fr-BE"/>
        </w:rPr>
        <w:t xml:space="preserve">), </w:t>
      </w:r>
      <w:r w:rsidRPr="001D5369">
        <w:rPr>
          <w:rFonts w:ascii="Times New Roman" w:hAnsi="Times New Roman"/>
          <w:sz w:val="22"/>
          <w:szCs w:val="22"/>
          <w:lang w:val="fr-BE"/>
        </w:rPr>
        <w:t>Penser le genre en science politique. Vers une typologie des usages du</w:t>
      </w:r>
      <w:r>
        <w:rPr>
          <w:rFonts w:ascii="Times New Roman" w:hAnsi="Times New Roman"/>
          <w:sz w:val="22"/>
          <w:szCs w:val="22"/>
          <w:lang w:val="fr-BE"/>
        </w:rPr>
        <w:t xml:space="preserve"> </w:t>
      </w:r>
      <w:r w:rsidRPr="001D5369">
        <w:rPr>
          <w:rFonts w:ascii="Times New Roman" w:hAnsi="Times New Roman"/>
          <w:sz w:val="22"/>
          <w:szCs w:val="22"/>
          <w:lang w:val="fr-BE"/>
        </w:rPr>
        <w:t>concept. Revue française de science politique, 2009, 59 (2), 183-202.</w:t>
      </w:r>
    </w:p>
    <w:p w:rsidR="007249AF" w:rsidRDefault="007249AF" w:rsidP="00F90D50">
      <w:pPr>
        <w:spacing w:after="60" w:line="360" w:lineRule="auto"/>
        <w:rPr>
          <w:rFonts w:ascii="Times New Roman" w:hAnsi="Times New Roman"/>
          <w:sz w:val="22"/>
          <w:szCs w:val="22"/>
          <w:lang w:val="fr-BE"/>
        </w:rPr>
      </w:pPr>
      <w:proofErr w:type="spellStart"/>
      <w:r w:rsidRPr="007249AF">
        <w:rPr>
          <w:rFonts w:ascii="Times New Roman" w:hAnsi="Times New Roman"/>
          <w:sz w:val="22"/>
          <w:szCs w:val="22"/>
          <w:lang w:val="fr-BE"/>
        </w:rPr>
        <w:t>Lascoumes</w:t>
      </w:r>
      <w:proofErr w:type="spellEnd"/>
      <w:r w:rsidRPr="007249AF">
        <w:rPr>
          <w:rFonts w:ascii="Times New Roman" w:hAnsi="Times New Roman"/>
          <w:sz w:val="22"/>
          <w:szCs w:val="22"/>
          <w:lang w:val="fr-BE"/>
        </w:rPr>
        <w:t xml:space="preserve"> P., </w:t>
      </w:r>
      <w:r>
        <w:rPr>
          <w:rFonts w:ascii="Times New Roman" w:hAnsi="Times New Roman"/>
          <w:sz w:val="22"/>
          <w:szCs w:val="22"/>
          <w:lang w:val="fr-BE"/>
        </w:rPr>
        <w:t>(</w:t>
      </w:r>
      <w:r w:rsidRPr="007249AF">
        <w:rPr>
          <w:rFonts w:ascii="Times New Roman" w:hAnsi="Times New Roman"/>
          <w:sz w:val="22"/>
          <w:szCs w:val="22"/>
          <w:lang w:val="fr-BE"/>
        </w:rPr>
        <w:t>2004</w:t>
      </w:r>
      <w:r>
        <w:rPr>
          <w:rFonts w:ascii="Times New Roman" w:hAnsi="Times New Roman"/>
          <w:sz w:val="22"/>
          <w:szCs w:val="22"/>
          <w:lang w:val="fr-BE"/>
        </w:rPr>
        <w:t>)</w:t>
      </w:r>
      <w:r w:rsidRPr="007249AF">
        <w:rPr>
          <w:rFonts w:ascii="Times New Roman" w:hAnsi="Times New Roman"/>
          <w:sz w:val="22"/>
          <w:szCs w:val="22"/>
          <w:lang w:val="fr-BE"/>
        </w:rPr>
        <w:t xml:space="preserve">, « La </w:t>
      </w:r>
      <w:proofErr w:type="spellStart"/>
      <w:r w:rsidRPr="007249AF">
        <w:rPr>
          <w:rFonts w:ascii="Times New Roman" w:hAnsi="Times New Roman"/>
          <w:sz w:val="22"/>
          <w:szCs w:val="22"/>
          <w:lang w:val="fr-BE"/>
        </w:rPr>
        <w:t>Gouvernementalité</w:t>
      </w:r>
      <w:proofErr w:type="spellEnd"/>
      <w:r w:rsidRPr="007249AF">
        <w:rPr>
          <w:rFonts w:ascii="Times New Roman" w:hAnsi="Times New Roman"/>
          <w:sz w:val="22"/>
          <w:szCs w:val="22"/>
          <w:lang w:val="fr-BE"/>
        </w:rPr>
        <w:t xml:space="preserve"> : de la critique de l’État aux technologies du pouvoir », Le Portique [En ligne], 13-14 | 2004</w:t>
      </w:r>
    </w:p>
    <w:p w:rsidR="007249AF" w:rsidRDefault="007249AF" w:rsidP="00F90D50">
      <w:pPr>
        <w:spacing w:after="60" w:line="360" w:lineRule="auto"/>
        <w:rPr>
          <w:rFonts w:ascii="Times New Roman" w:hAnsi="Times New Roman"/>
          <w:sz w:val="22"/>
          <w:szCs w:val="22"/>
          <w:lang w:val="fr-BE"/>
        </w:rPr>
      </w:pPr>
      <w:proofErr w:type="spellStart"/>
      <w:r>
        <w:rPr>
          <w:rFonts w:ascii="Times New Roman" w:hAnsi="Times New Roman"/>
          <w:sz w:val="22"/>
          <w:szCs w:val="22"/>
          <w:lang w:val="fr-BE"/>
        </w:rPr>
        <w:t>Lascoumes</w:t>
      </w:r>
      <w:proofErr w:type="spellEnd"/>
      <w:r>
        <w:rPr>
          <w:rFonts w:ascii="Times New Roman" w:hAnsi="Times New Roman"/>
          <w:sz w:val="22"/>
          <w:szCs w:val="22"/>
          <w:lang w:val="fr-BE"/>
        </w:rPr>
        <w:t xml:space="preserve"> P. et </w:t>
      </w:r>
      <w:r w:rsidRPr="007249AF">
        <w:rPr>
          <w:rFonts w:ascii="Times New Roman" w:hAnsi="Times New Roman"/>
          <w:sz w:val="22"/>
          <w:szCs w:val="22"/>
          <w:lang w:val="fr-BE"/>
        </w:rPr>
        <w:t xml:space="preserve"> Le </w:t>
      </w:r>
      <w:proofErr w:type="spellStart"/>
      <w:r w:rsidRPr="007249AF">
        <w:rPr>
          <w:rFonts w:ascii="Times New Roman" w:hAnsi="Times New Roman"/>
          <w:sz w:val="22"/>
          <w:szCs w:val="22"/>
          <w:lang w:val="fr-BE"/>
        </w:rPr>
        <w:t>Galès</w:t>
      </w:r>
      <w:proofErr w:type="spellEnd"/>
      <w:r w:rsidRPr="007249AF">
        <w:rPr>
          <w:rFonts w:ascii="Times New Roman" w:hAnsi="Times New Roman"/>
          <w:sz w:val="22"/>
          <w:szCs w:val="22"/>
          <w:lang w:val="fr-BE"/>
        </w:rPr>
        <w:t xml:space="preserve"> P.</w:t>
      </w:r>
      <w:proofErr w:type="gramStart"/>
      <w:r w:rsidRPr="007249AF">
        <w:rPr>
          <w:rFonts w:ascii="Times New Roman" w:hAnsi="Times New Roman"/>
          <w:sz w:val="22"/>
          <w:szCs w:val="22"/>
          <w:lang w:val="fr-BE"/>
        </w:rPr>
        <w:t>,</w:t>
      </w:r>
      <w:r w:rsidR="003357B4">
        <w:rPr>
          <w:rFonts w:ascii="Times New Roman" w:hAnsi="Times New Roman"/>
          <w:sz w:val="22"/>
          <w:szCs w:val="22"/>
          <w:lang w:val="fr-BE"/>
        </w:rPr>
        <w:t>(</w:t>
      </w:r>
      <w:proofErr w:type="gramEnd"/>
      <w:r w:rsidRPr="007249AF">
        <w:rPr>
          <w:rFonts w:ascii="Times New Roman" w:hAnsi="Times New Roman"/>
          <w:sz w:val="22"/>
          <w:szCs w:val="22"/>
          <w:lang w:val="fr-BE"/>
        </w:rPr>
        <w:t xml:space="preserve"> 2005</w:t>
      </w:r>
      <w:r w:rsidR="003357B4">
        <w:rPr>
          <w:rFonts w:ascii="Times New Roman" w:hAnsi="Times New Roman"/>
          <w:sz w:val="22"/>
          <w:szCs w:val="22"/>
          <w:lang w:val="fr-BE"/>
        </w:rPr>
        <w:t>)</w:t>
      </w:r>
      <w:r w:rsidRPr="007249AF">
        <w:rPr>
          <w:rFonts w:ascii="Times New Roman" w:hAnsi="Times New Roman"/>
          <w:sz w:val="22"/>
          <w:szCs w:val="22"/>
          <w:lang w:val="fr-BE"/>
        </w:rPr>
        <w:t xml:space="preserve"> « Gouverner par les instruments », Presses de Sciences Po</w:t>
      </w:r>
    </w:p>
    <w:p w:rsidR="003357B4" w:rsidRDefault="003357B4" w:rsidP="00F90D50">
      <w:pPr>
        <w:spacing w:after="60" w:line="360" w:lineRule="auto"/>
        <w:rPr>
          <w:rFonts w:ascii="Times New Roman" w:hAnsi="Times New Roman"/>
          <w:sz w:val="22"/>
          <w:szCs w:val="22"/>
          <w:lang w:val="en-US"/>
        </w:rPr>
      </w:pPr>
      <w:proofErr w:type="spellStart"/>
      <w:r>
        <w:rPr>
          <w:rFonts w:ascii="Times New Roman" w:hAnsi="Times New Roman"/>
          <w:sz w:val="22"/>
          <w:szCs w:val="22"/>
          <w:lang w:val="fr-BE"/>
        </w:rPr>
        <w:t>Maruani</w:t>
      </w:r>
      <w:proofErr w:type="spellEnd"/>
      <w:r>
        <w:rPr>
          <w:rFonts w:ascii="Times New Roman" w:hAnsi="Times New Roman"/>
          <w:sz w:val="22"/>
          <w:szCs w:val="22"/>
          <w:lang w:val="fr-BE"/>
        </w:rPr>
        <w:t xml:space="preserve"> M. (</w:t>
      </w:r>
      <w:proofErr w:type="spellStart"/>
      <w:r>
        <w:rPr>
          <w:rFonts w:ascii="Times New Roman" w:hAnsi="Times New Roman"/>
          <w:sz w:val="22"/>
          <w:szCs w:val="22"/>
          <w:lang w:val="fr-BE"/>
        </w:rPr>
        <w:t>dir</w:t>
      </w:r>
      <w:proofErr w:type="spellEnd"/>
      <w:r>
        <w:rPr>
          <w:rFonts w:ascii="Times New Roman" w:hAnsi="Times New Roman"/>
          <w:sz w:val="22"/>
          <w:szCs w:val="22"/>
          <w:lang w:val="fr-BE"/>
        </w:rPr>
        <w:t>.) (</w:t>
      </w:r>
      <w:r w:rsidRPr="003357B4">
        <w:rPr>
          <w:rFonts w:ascii="Times New Roman" w:hAnsi="Times New Roman"/>
          <w:sz w:val="22"/>
          <w:szCs w:val="22"/>
          <w:lang w:val="fr-BE"/>
        </w:rPr>
        <w:t>2005</w:t>
      </w:r>
      <w:r>
        <w:rPr>
          <w:rFonts w:ascii="Times New Roman" w:hAnsi="Times New Roman"/>
          <w:sz w:val="22"/>
          <w:szCs w:val="22"/>
          <w:lang w:val="fr-BE"/>
        </w:rPr>
        <w:t>)</w:t>
      </w:r>
      <w:r w:rsidRPr="003357B4">
        <w:rPr>
          <w:rFonts w:ascii="Times New Roman" w:hAnsi="Times New Roman"/>
          <w:sz w:val="22"/>
          <w:szCs w:val="22"/>
          <w:lang w:val="fr-BE"/>
        </w:rPr>
        <w:t xml:space="preserve">, Femmes, genre et société. </w:t>
      </w:r>
      <w:proofErr w:type="spellStart"/>
      <w:r w:rsidRPr="003357B4">
        <w:rPr>
          <w:rFonts w:ascii="Times New Roman" w:hAnsi="Times New Roman"/>
          <w:sz w:val="22"/>
          <w:szCs w:val="22"/>
          <w:lang w:val="en-US"/>
        </w:rPr>
        <w:t>L’état</w:t>
      </w:r>
      <w:proofErr w:type="spellEnd"/>
      <w:r w:rsidRPr="003357B4">
        <w:rPr>
          <w:rFonts w:ascii="Times New Roman" w:hAnsi="Times New Roman"/>
          <w:sz w:val="22"/>
          <w:szCs w:val="22"/>
          <w:lang w:val="en-US"/>
        </w:rPr>
        <w:t xml:space="preserve"> des </w:t>
      </w:r>
      <w:proofErr w:type="spellStart"/>
      <w:r w:rsidRPr="003357B4">
        <w:rPr>
          <w:rFonts w:ascii="Times New Roman" w:hAnsi="Times New Roman"/>
          <w:sz w:val="22"/>
          <w:szCs w:val="22"/>
          <w:lang w:val="en-US"/>
        </w:rPr>
        <w:t>savoirs</w:t>
      </w:r>
      <w:proofErr w:type="spellEnd"/>
      <w:r w:rsidRPr="003357B4">
        <w:rPr>
          <w:rFonts w:ascii="Times New Roman" w:hAnsi="Times New Roman"/>
          <w:sz w:val="22"/>
          <w:szCs w:val="22"/>
          <w:lang w:val="en-US"/>
        </w:rPr>
        <w:t xml:space="preserve">, Paris, La </w:t>
      </w:r>
      <w:proofErr w:type="spellStart"/>
      <w:r w:rsidRPr="003357B4">
        <w:rPr>
          <w:rFonts w:ascii="Times New Roman" w:hAnsi="Times New Roman"/>
          <w:sz w:val="22"/>
          <w:szCs w:val="22"/>
          <w:lang w:val="en-US"/>
        </w:rPr>
        <w:t>Découverte</w:t>
      </w:r>
      <w:proofErr w:type="spellEnd"/>
    </w:p>
    <w:p w:rsidR="00401578" w:rsidRDefault="00401578" w:rsidP="00F90D50">
      <w:pPr>
        <w:spacing w:after="60" w:line="360" w:lineRule="auto"/>
        <w:rPr>
          <w:rFonts w:ascii="Times New Roman" w:hAnsi="Times New Roman"/>
          <w:sz w:val="22"/>
          <w:szCs w:val="22"/>
          <w:lang w:val="en-US"/>
        </w:rPr>
      </w:pPr>
      <w:proofErr w:type="spellStart"/>
      <w:r w:rsidRPr="007249AF">
        <w:rPr>
          <w:rFonts w:ascii="Times New Roman" w:hAnsi="Times New Roman"/>
          <w:sz w:val="22"/>
          <w:szCs w:val="22"/>
          <w:lang w:val="en-US"/>
        </w:rPr>
        <w:t>Matland</w:t>
      </w:r>
      <w:proofErr w:type="spellEnd"/>
      <w:r w:rsidRPr="007249AF">
        <w:rPr>
          <w:rFonts w:ascii="Times New Roman" w:hAnsi="Times New Roman"/>
          <w:sz w:val="22"/>
          <w:szCs w:val="22"/>
          <w:lang w:val="en-US"/>
        </w:rPr>
        <w:t xml:space="preserve"> R., (1995), Synthesizing the Implementation Literature: The Ambiguity-Conflict Model of Policy Implementation, Journal of Public Administration Research and Theory: J-PART, Vol. 5, No. 2 (Apr.</w:t>
      </w:r>
      <w:proofErr w:type="gramStart"/>
      <w:r w:rsidRPr="007249AF">
        <w:rPr>
          <w:rFonts w:ascii="Times New Roman" w:hAnsi="Times New Roman"/>
          <w:sz w:val="22"/>
          <w:szCs w:val="22"/>
          <w:lang w:val="en-US"/>
        </w:rPr>
        <w:t>,1995</w:t>
      </w:r>
      <w:proofErr w:type="gramEnd"/>
      <w:r w:rsidRPr="007249AF">
        <w:rPr>
          <w:rFonts w:ascii="Times New Roman" w:hAnsi="Times New Roman"/>
          <w:sz w:val="22"/>
          <w:szCs w:val="22"/>
          <w:lang w:val="en-US"/>
        </w:rPr>
        <w:t>), p. 145-174.</w:t>
      </w:r>
    </w:p>
    <w:p w:rsidR="00A2656B" w:rsidRPr="00A2656B" w:rsidRDefault="00A2656B" w:rsidP="00F90D50">
      <w:pPr>
        <w:spacing w:after="60" w:line="360" w:lineRule="auto"/>
        <w:rPr>
          <w:rFonts w:ascii="Times New Roman" w:hAnsi="Times New Roman"/>
          <w:sz w:val="22"/>
          <w:szCs w:val="22"/>
          <w:lang w:val="fr-BE"/>
        </w:rPr>
      </w:pPr>
      <w:r w:rsidRPr="00A2656B">
        <w:rPr>
          <w:rFonts w:ascii="Times New Roman" w:hAnsi="Times New Roman"/>
          <w:sz w:val="22"/>
          <w:szCs w:val="22"/>
          <w:lang w:val="fr-BE"/>
        </w:rPr>
        <w:lastRenderedPageBreak/>
        <w:t>Morel N</w:t>
      </w:r>
      <w:r>
        <w:rPr>
          <w:rFonts w:ascii="Times New Roman" w:hAnsi="Times New Roman"/>
          <w:sz w:val="22"/>
          <w:szCs w:val="22"/>
          <w:lang w:val="fr-BE"/>
        </w:rPr>
        <w:t>. (2007).</w:t>
      </w:r>
      <w:r w:rsidRPr="00A2656B">
        <w:rPr>
          <w:rFonts w:ascii="Times New Roman" w:hAnsi="Times New Roman"/>
          <w:sz w:val="22"/>
          <w:szCs w:val="22"/>
          <w:lang w:val="fr-BE"/>
        </w:rPr>
        <w:t xml:space="preserve"> Le genre des politiques sociales. L'apport théorique des '</w:t>
      </w:r>
      <w:proofErr w:type="spellStart"/>
      <w:r w:rsidRPr="00A2656B">
        <w:rPr>
          <w:rFonts w:ascii="Times New Roman" w:hAnsi="Times New Roman"/>
          <w:sz w:val="22"/>
          <w:szCs w:val="22"/>
          <w:lang w:val="fr-BE"/>
        </w:rPr>
        <w:t>gender</w:t>
      </w:r>
      <w:proofErr w:type="spellEnd"/>
      <w:r w:rsidRPr="00A2656B">
        <w:rPr>
          <w:rFonts w:ascii="Times New Roman" w:hAnsi="Times New Roman"/>
          <w:sz w:val="22"/>
          <w:szCs w:val="22"/>
          <w:lang w:val="fr-BE"/>
        </w:rPr>
        <w:t xml:space="preserve"> </w:t>
      </w:r>
      <w:proofErr w:type="spellStart"/>
      <w:r w:rsidRPr="00A2656B">
        <w:rPr>
          <w:rFonts w:ascii="Times New Roman" w:hAnsi="Times New Roman"/>
          <w:sz w:val="22"/>
          <w:szCs w:val="22"/>
          <w:lang w:val="fr-BE"/>
        </w:rPr>
        <w:t>studies</w:t>
      </w:r>
      <w:proofErr w:type="spellEnd"/>
      <w:r w:rsidRPr="00A2656B">
        <w:rPr>
          <w:rFonts w:ascii="Times New Roman" w:hAnsi="Times New Roman"/>
          <w:sz w:val="22"/>
          <w:szCs w:val="22"/>
          <w:lang w:val="fr-BE"/>
        </w:rPr>
        <w:t>' à l'a</w:t>
      </w:r>
      <w:r>
        <w:rPr>
          <w:rFonts w:ascii="Times New Roman" w:hAnsi="Times New Roman"/>
          <w:sz w:val="22"/>
          <w:szCs w:val="22"/>
          <w:lang w:val="fr-BE"/>
        </w:rPr>
        <w:t>nalyse des politiques sociales.</w:t>
      </w:r>
      <w:r w:rsidRPr="00A2656B">
        <w:rPr>
          <w:rFonts w:ascii="Times New Roman" w:hAnsi="Times New Roman"/>
          <w:sz w:val="22"/>
          <w:szCs w:val="22"/>
          <w:lang w:val="fr-BE"/>
        </w:rPr>
        <w:t xml:space="preserve"> Sociologie du Travail, Elsevier, 2007, 49 (3), pp.383-397</w:t>
      </w:r>
    </w:p>
    <w:p w:rsidR="00E62685" w:rsidRDefault="00E62685" w:rsidP="00F90D50">
      <w:pPr>
        <w:spacing w:after="60" w:line="360" w:lineRule="auto"/>
        <w:rPr>
          <w:rFonts w:ascii="Times New Roman" w:hAnsi="Times New Roman"/>
          <w:sz w:val="22"/>
          <w:szCs w:val="22"/>
          <w:lang w:val="fr-BE"/>
        </w:rPr>
      </w:pPr>
      <w:r w:rsidRPr="00E62685">
        <w:rPr>
          <w:rFonts w:ascii="Times New Roman" w:hAnsi="Times New Roman"/>
          <w:sz w:val="22"/>
          <w:szCs w:val="22"/>
          <w:lang w:val="fr-BE"/>
        </w:rPr>
        <w:t xml:space="preserve">Muller P. et </w:t>
      </w:r>
      <w:proofErr w:type="spellStart"/>
      <w:r w:rsidRPr="00E62685">
        <w:rPr>
          <w:rFonts w:ascii="Times New Roman" w:hAnsi="Times New Roman"/>
          <w:sz w:val="22"/>
          <w:szCs w:val="22"/>
          <w:lang w:val="fr-BE"/>
        </w:rPr>
        <w:t>Senac-Slawinski</w:t>
      </w:r>
      <w:proofErr w:type="spellEnd"/>
      <w:r w:rsidRPr="00E62685">
        <w:rPr>
          <w:rFonts w:ascii="Times New Roman" w:hAnsi="Times New Roman"/>
          <w:sz w:val="22"/>
          <w:szCs w:val="22"/>
          <w:lang w:val="fr-BE"/>
        </w:rPr>
        <w:t xml:space="preserve"> R., (2009), Genre et action publique : la frontière public-privé en questions</w:t>
      </w:r>
      <w:proofErr w:type="gramStart"/>
      <w:r w:rsidRPr="00E62685">
        <w:rPr>
          <w:rFonts w:ascii="Times New Roman" w:hAnsi="Times New Roman"/>
          <w:sz w:val="22"/>
          <w:szCs w:val="22"/>
          <w:lang w:val="fr-BE"/>
        </w:rPr>
        <w:t>,.</w:t>
      </w:r>
      <w:proofErr w:type="gramEnd"/>
      <w:r w:rsidRPr="00E62685">
        <w:rPr>
          <w:rFonts w:ascii="Times New Roman" w:hAnsi="Times New Roman"/>
          <w:sz w:val="22"/>
          <w:szCs w:val="22"/>
          <w:lang w:val="fr-BE"/>
        </w:rPr>
        <w:t xml:space="preserve"> </w:t>
      </w:r>
      <w:proofErr w:type="spellStart"/>
      <w:r w:rsidRPr="00E62685">
        <w:rPr>
          <w:rFonts w:ascii="Times New Roman" w:hAnsi="Times New Roman"/>
          <w:sz w:val="22"/>
          <w:szCs w:val="22"/>
          <w:lang w:val="fr-BE"/>
        </w:rPr>
        <w:t>L’Harmattan</w:t>
      </w:r>
      <w:proofErr w:type="spellEnd"/>
      <w:r w:rsidRPr="00E62685">
        <w:rPr>
          <w:rFonts w:ascii="Times New Roman" w:hAnsi="Times New Roman"/>
          <w:sz w:val="22"/>
          <w:szCs w:val="22"/>
          <w:lang w:val="fr-BE"/>
        </w:rPr>
        <w:t>, Paris (2009). 245 pp.</w:t>
      </w:r>
    </w:p>
    <w:p w:rsidR="00E62685" w:rsidRDefault="00E62685" w:rsidP="00F90D50">
      <w:pPr>
        <w:spacing w:after="60" w:line="360" w:lineRule="auto"/>
        <w:rPr>
          <w:rFonts w:ascii="Times New Roman" w:hAnsi="Times New Roman"/>
          <w:sz w:val="22"/>
          <w:szCs w:val="22"/>
        </w:rPr>
      </w:pPr>
      <w:r>
        <w:rPr>
          <w:rFonts w:ascii="Times New Roman" w:hAnsi="Times New Roman"/>
          <w:sz w:val="22"/>
          <w:szCs w:val="22"/>
        </w:rPr>
        <w:t xml:space="preserve">Muller P., (2009), Les politiques publiques peuvent-elles contraindre les hommes à faire le ménage, in </w:t>
      </w:r>
      <w:r w:rsidRPr="00E62685">
        <w:rPr>
          <w:rFonts w:ascii="Times New Roman" w:hAnsi="Times New Roman"/>
          <w:sz w:val="22"/>
          <w:szCs w:val="22"/>
          <w:lang w:val="fr-BE"/>
        </w:rPr>
        <w:t xml:space="preserve">Muller P. et </w:t>
      </w:r>
      <w:proofErr w:type="spellStart"/>
      <w:r w:rsidRPr="00E62685">
        <w:rPr>
          <w:rFonts w:ascii="Times New Roman" w:hAnsi="Times New Roman"/>
          <w:sz w:val="22"/>
          <w:szCs w:val="22"/>
          <w:lang w:val="fr-BE"/>
        </w:rPr>
        <w:t>Senac-Slawinski</w:t>
      </w:r>
      <w:proofErr w:type="spellEnd"/>
      <w:r w:rsidRPr="00E62685">
        <w:rPr>
          <w:rFonts w:ascii="Times New Roman" w:hAnsi="Times New Roman"/>
          <w:sz w:val="22"/>
          <w:szCs w:val="22"/>
          <w:lang w:val="fr-BE"/>
        </w:rPr>
        <w:t xml:space="preserve"> R., (2009), Genre et action publique : la frontière public-privé en questions</w:t>
      </w:r>
      <w:proofErr w:type="gramStart"/>
      <w:r w:rsidRPr="00E62685">
        <w:rPr>
          <w:rFonts w:ascii="Times New Roman" w:hAnsi="Times New Roman"/>
          <w:sz w:val="22"/>
          <w:szCs w:val="22"/>
          <w:lang w:val="fr-BE"/>
        </w:rPr>
        <w:t>,.</w:t>
      </w:r>
      <w:proofErr w:type="gramEnd"/>
      <w:r w:rsidRPr="00E62685">
        <w:rPr>
          <w:rFonts w:ascii="Times New Roman" w:hAnsi="Times New Roman"/>
          <w:sz w:val="22"/>
          <w:szCs w:val="22"/>
          <w:lang w:val="fr-BE"/>
        </w:rPr>
        <w:t xml:space="preserve"> </w:t>
      </w:r>
      <w:proofErr w:type="spellStart"/>
      <w:r w:rsidRPr="00E62685">
        <w:rPr>
          <w:rFonts w:ascii="Times New Roman" w:hAnsi="Times New Roman"/>
          <w:sz w:val="22"/>
          <w:szCs w:val="22"/>
          <w:lang w:val="fr-BE"/>
        </w:rPr>
        <w:t>L’Harmattan</w:t>
      </w:r>
      <w:proofErr w:type="spellEnd"/>
      <w:r w:rsidRPr="00E62685">
        <w:rPr>
          <w:rFonts w:ascii="Times New Roman" w:hAnsi="Times New Roman"/>
          <w:sz w:val="22"/>
          <w:szCs w:val="22"/>
          <w:lang w:val="fr-BE"/>
        </w:rPr>
        <w:t>, Paris.</w:t>
      </w:r>
    </w:p>
    <w:p w:rsidR="00401578" w:rsidRDefault="00401578" w:rsidP="00F90D50">
      <w:pPr>
        <w:spacing w:after="60" w:line="360" w:lineRule="auto"/>
        <w:rPr>
          <w:rFonts w:ascii="Times New Roman" w:hAnsi="Times New Roman"/>
          <w:sz w:val="22"/>
          <w:szCs w:val="22"/>
        </w:rPr>
      </w:pPr>
      <w:r>
        <w:rPr>
          <w:rFonts w:ascii="Times New Roman" w:hAnsi="Times New Roman"/>
          <w:sz w:val="22"/>
          <w:szCs w:val="22"/>
        </w:rPr>
        <w:t xml:space="preserve">Perrier G., (2009), </w:t>
      </w:r>
      <w:r w:rsidRPr="00401578">
        <w:rPr>
          <w:rFonts w:ascii="Times New Roman" w:hAnsi="Times New Roman"/>
          <w:sz w:val="22"/>
          <w:szCs w:val="22"/>
        </w:rPr>
        <w:t>La difficile intégration de l’objectif de promotion</w:t>
      </w:r>
      <w:r>
        <w:rPr>
          <w:rFonts w:ascii="Times New Roman" w:hAnsi="Times New Roman"/>
          <w:sz w:val="22"/>
          <w:szCs w:val="22"/>
        </w:rPr>
        <w:t xml:space="preserve"> </w:t>
      </w:r>
      <w:r w:rsidRPr="00401578">
        <w:rPr>
          <w:rFonts w:ascii="Times New Roman" w:hAnsi="Times New Roman"/>
          <w:sz w:val="22"/>
          <w:szCs w:val="22"/>
        </w:rPr>
        <w:t>de l’égalité entre hommes et femmes</w:t>
      </w:r>
      <w:r>
        <w:rPr>
          <w:rFonts w:ascii="Times New Roman" w:hAnsi="Times New Roman"/>
          <w:sz w:val="22"/>
          <w:szCs w:val="22"/>
        </w:rPr>
        <w:t xml:space="preserve"> </w:t>
      </w:r>
      <w:r w:rsidRPr="00401578">
        <w:rPr>
          <w:rFonts w:ascii="Times New Roman" w:hAnsi="Times New Roman"/>
          <w:sz w:val="22"/>
          <w:szCs w:val="22"/>
        </w:rPr>
        <w:t>dans la mise en œuvre des politiques de l’emploi</w:t>
      </w:r>
      <w:r>
        <w:rPr>
          <w:rFonts w:ascii="Times New Roman" w:hAnsi="Times New Roman"/>
          <w:sz w:val="22"/>
          <w:szCs w:val="22"/>
        </w:rPr>
        <w:t xml:space="preserve">, </w:t>
      </w:r>
      <w:r>
        <w:rPr>
          <w:rFonts w:ascii="Times New Roman" w:hAnsi="Times New Roman"/>
          <w:sz w:val="22"/>
          <w:szCs w:val="22"/>
          <w:lang w:val="fr-BE"/>
        </w:rPr>
        <w:t>Conférence de l’AFSP 2009, Grenoble, Juillet 2009</w:t>
      </w:r>
    </w:p>
    <w:p w:rsidR="00D4587D" w:rsidRPr="00D4587D" w:rsidRDefault="00D4587D" w:rsidP="00F90D50">
      <w:pPr>
        <w:spacing w:after="60" w:line="360" w:lineRule="auto"/>
        <w:rPr>
          <w:rFonts w:ascii="Times New Roman" w:hAnsi="Times New Roman"/>
          <w:sz w:val="22"/>
          <w:szCs w:val="22"/>
        </w:rPr>
      </w:pPr>
      <w:proofErr w:type="spellStart"/>
      <w:r w:rsidRPr="00D4587D">
        <w:rPr>
          <w:rFonts w:ascii="Times New Roman" w:hAnsi="Times New Roman"/>
          <w:sz w:val="22"/>
          <w:szCs w:val="22"/>
        </w:rPr>
        <w:t>Stratigaki</w:t>
      </w:r>
      <w:proofErr w:type="spellEnd"/>
      <w:r w:rsidRPr="00D4587D">
        <w:rPr>
          <w:rFonts w:ascii="Times New Roman" w:hAnsi="Times New Roman"/>
          <w:sz w:val="22"/>
          <w:szCs w:val="22"/>
        </w:rPr>
        <w:t xml:space="preserve"> Maria (2005). </w:t>
      </w:r>
      <w:r w:rsidRPr="00D4587D">
        <w:rPr>
          <w:rFonts w:ascii="Times New Roman" w:hAnsi="Times New Roman"/>
          <w:sz w:val="22"/>
          <w:szCs w:val="22"/>
          <w:lang w:val="en-US"/>
        </w:rPr>
        <w:t xml:space="preserve">“Gender Mainstreaming versus Positive Action: An Ongoing Conflict in EU Gender Equality Policy”. </w:t>
      </w:r>
      <w:proofErr w:type="spellStart"/>
      <w:r w:rsidRPr="00D4587D">
        <w:rPr>
          <w:rFonts w:ascii="Times New Roman" w:hAnsi="Times New Roman"/>
          <w:sz w:val="22"/>
          <w:szCs w:val="22"/>
        </w:rPr>
        <w:t>European</w:t>
      </w:r>
      <w:proofErr w:type="spellEnd"/>
      <w:r w:rsidRPr="00D4587D">
        <w:rPr>
          <w:rFonts w:ascii="Times New Roman" w:hAnsi="Times New Roman"/>
          <w:sz w:val="22"/>
          <w:szCs w:val="22"/>
        </w:rPr>
        <w:t xml:space="preserve"> Journal of </w:t>
      </w:r>
      <w:proofErr w:type="spellStart"/>
      <w:r w:rsidRPr="00D4587D">
        <w:rPr>
          <w:rFonts w:ascii="Times New Roman" w:hAnsi="Times New Roman"/>
          <w:sz w:val="22"/>
          <w:szCs w:val="22"/>
        </w:rPr>
        <w:t>Women’s</w:t>
      </w:r>
      <w:proofErr w:type="spellEnd"/>
      <w:r w:rsidRPr="00D4587D">
        <w:rPr>
          <w:rFonts w:ascii="Times New Roman" w:hAnsi="Times New Roman"/>
          <w:sz w:val="22"/>
          <w:szCs w:val="22"/>
        </w:rPr>
        <w:t xml:space="preserve"> </w:t>
      </w:r>
      <w:proofErr w:type="spellStart"/>
      <w:r w:rsidRPr="00D4587D">
        <w:rPr>
          <w:rFonts w:ascii="Times New Roman" w:hAnsi="Times New Roman"/>
          <w:sz w:val="22"/>
          <w:szCs w:val="22"/>
        </w:rPr>
        <w:t>Studies</w:t>
      </w:r>
      <w:proofErr w:type="spellEnd"/>
      <w:r w:rsidRPr="00D4587D">
        <w:rPr>
          <w:rFonts w:ascii="Times New Roman" w:hAnsi="Times New Roman"/>
          <w:sz w:val="22"/>
          <w:szCs w:val="22"/>
        </w:rPr>
        <w:t>, vol. 12, n° 2.</w:t>
      </w:r>
    </w:p>
    <w:p w:rsidR="00F90D50" w:rsidRDefault="00F90D50" w:rsidP="00F90D50">
      <w:pPr>
        <w:spacing w:after="60" w:line="360" w:lineRule="auto"/>
        <w:rPr>
          <w:rFonts w:ascii="Times New Roman" w:hAnsi="Times New Roman"/>
          <w:sz w:val="22"/>
          <w:szCs w:val="22"/>
          <w:lang w:val="fr-BE"/>
        </w:rPr>
      </w:pPr>
      <w:proofErr w:type="spellStart"/>
      <w:r>
        <w:rPr>
          <w:rFonts w:ascii="Times New Roman" w:hAnsi="Times New Roman"/>
          <w:sz w:val="22"/>
          <w:szCs w:val="22"/>
          <w:lang w:val="fr-BE"/>
        </w:rPr>
        <w:t>Zittoun</w:t>
      </w:r>
      <w:proofErr w:type="spellEnd"/>
      <w:r>
        <w:rPr>
          <w:rFonts w:ascii="Times New Roman" w:hAnsi="Times New Roman"/>
          <w:sz w:val="22"/>
          <w:szCs w:val="22"/>
          <w:lang w:val="fr-BE"/>
        </w:rPr>
        <w:t xml:space="preserve"> P. (2013), </w:t>
      </w:r>
      <w:r w:rsidRPr="001D5369">
        <w:rPr>
          <w:rFonts w:ascii="Times New Roman" w:hAnsi="Times New Roman"/>
          <w:sz w:val="22"/>
          <w:szCs w:val="22"/>
          <w:lang w:val="fr-BE"/>
        </w:rPr>
        <w:t>Fabrique politique des politiques publiques. Une approche pragmatique de l’action publique</w:t>
      </w:r>
      <w:proofErr w:type="gramStart"/>
      <w:r>
        <w:rPr>
          <w:rFonts w:ascii="Times New Roman" w:hAnsi="Times New Roman"/>
          <w:sz w:val="22"/>
          <w:szCs w:val="22"/>
          <w:lang w:val="fr-BE"/>
        </w:rPr>
        <w:t>.</w:t>
      </w:r>
      <w:r w:rsidRPr="001D5369">
        <w:rPr>
          <w:rFonts w:ascii="Times New Roman" w:hAnsi="Times New Roman"/>
          <w:sz w:val="22"/>
          <w:szCs w:val="22"/>
          <w:lang w:val="fr-BE"/>
        </w:rPr>
        <w:t>.</w:t>
      </w:r>
      <w:proofErr w:type="gramEnd"/>
      <w:r w:rsidRPr="001D5369">
        <w:rPr>
          <w:rFonts w:ascii="Times New Roman" w:hAnsi="Times New Roman"/>
          <w:sz w:val="22"/>
          <w:szCs w:val="22"/>
          <w:lang w:val="fr-BE"/>
        </w:rPr>
        <w:t xml:space="preserve"> Presses de Sciences Po, 2013, 340 p.</w:t>
      </w:r>
    </w:p>
    <w:p w:rsidR="00D4587D" w:rsidRPr="00D4587D" w:rsidRDefault="00D4587D" w:rsidP="00D4587D">
      <w:pPr>
        <w:spacing w:line="360" w:lineRule="auto"/>
        <w:rPr>
          <w:rFonts w:ascii="Times New Roman" w:hAnsi="Times New Roman"/>
          <w:sz w:val="22"/>
          <w:szCs w:val="22"/>
        </w:rPr>
      </w:pPr>
    </w:p>
    <w:p w:rsidR="00F538A4" w:rsidRPr="00F538A4" w:rsidRDefault="00F538A4" w:rsidP="00F90D50">
      <w:pPr>
        <w:spacing w:after="200" w:line="276" w:lineRule="auto"/>
        <w:rPr>
          <w:rFonts w:ascii="Times New Roman" w:hAnsi="Times New Roman"/>
          <w:sz w:val="22"/>
          <w:szCs w:val="22"/>
          <w:lang w:val="fr-BE"/>
        </w:rPr>
      </w:pPr>
    </w:p>
    <w:sectPr w:rsidR="00F538A4" w:rsidRPr="00F538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05" w:rsidRDefault="00F80005" w:rsidP="00FC7F46">
      <w:r>
        <w:separator/>
      </w:r>
    </w:p>
  </w:endnote>
  <w:endnote w:type="continuationSeparator" w:id="0">
    <w:p w:rsidR="00F80005" w:rsidRDefault="00F80005" w:rsidP="00FC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aramond-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05" w:rsidRDefault="00F80005" w:rsidP="00FC7F46">
      <w:r>
        <w:separator/>
      </w:r>
    </w:p>
  </w:footnote>
  <w:footnote w:type="continuationSeparator" w:id="0">
    <w:p w:rsidR="00F80005" w:rsidRDefault="00F80005" w:rsidP="00FC7F46">
      <w:r>
        <w:continuationSeparator/>
      </w:r>
    </w:p>
  </w:footnote>
  <w:footnote w:id="1">
    <w:p w:rsidR="00386265" w:rsidRPr="00FC7F46" w:rsidRDefault="00386265">
      <w:pPr>
        <w:pStyle w:val="Notedebasdepage"/>
        <w:rPr>
          <w:lang w:val="fr-BE"/>
        </w:rPr>
      </w:pPr>
      <w:r>
        <w:rPr>
          <w:rStyle w:val="Appelnotedebasdep"/>
        </w:rPr>
        <w:footnoteRef/>
      </w:r>
      <w:r>
        <w:t xml:space="preserve"> </w:t>
      </w:r>
      <w:proofErr w:type="gramStart"/>
      <w:r w:rsidRPr="009C2430">
        <w:rPr>
          <w:rFonts w:ascii="Times" w:hAnsi="Times"/>
        </w:rPr>
        <w:t>ex</w:t>
      </w:r>
      <w:r>
        <w:rPr>
          <w:rFonts w:ascii="Times" w:hAnsi="Times"/>
        </w:rPr>
        <w:t>emple</w:t>
      </w:r>
      <w:proofErr w:type="gramEnd"/>
      <w:r w:rsidRPr="009C2430">
        <w:rPr>
          <w:rFonts w:ascii="Times" w:hAnsi="Times"/>
        </w:rPr>
        <w:t xml:space="preserve"> : </w:t>
      </w:r>
      <w:r>
        <w:rPr>
          <w:rFonts w:ascii="Times" w:hAnsi="Times"/>
        </w:rPr>
        <w:t>directive</w:t>
      </w:r>
      <w:r w:rsidRPr="00BE5271">
        <w:rPr>
          <w:rFonts w:ascii="Times" w:hAnsi="Times"/>
        </w:rPr>
        <w:t xml:space="preserve"> 2006/54/CE </w:t>
      </w:r>
      <w:r>
        <w:rPr>
          <w:rFonts w:ascii="Times" w:hAnsi="Times"/>
        </w:rPr>
        <w:t xml:space="preserve">du Parlement européen et du Conseil </w:t>
      </w:r>
      <w:r w:rsidRPr="00BE5271">
        <w:rPr>
          <w:rFonts w:ascii="Times" w:hAnsi="Times"/>
        </w:rPr>
        <w:t>du 5 juillet 2006</w:t>
      </w:r>
      <w:r>
        <w:rPr>
          <w:rFonts w:ascii="Times" w:hAnsi="Times"/>
        </w:rPr>
        <w:t xml:space="preserve"> </w:t>
      </w:r>
      <w:r w:rsidRPr="00BE5271">
        <w:rPr>
          <w:rFonts w:ascii="Times" w:hAnsi="Times"/>
        </w:rPr>
        <w:t xml:space="preserve">relative à la mise en </w:t>
      </w:r>
      <w:r>
        <w:rPr>
          <w:rFonts w:ascii="Times" w:hAnsi="Times"/>
        </w:rPr>
        <w:t>œuvre</w:t>
      </w:r>
      <w:r w:rsidRPr="00BE5271">
        <w:rPr>
          <w:rFonts w:ascii="Times" w:hAnsi="Times"/>
        </w:rPr>
        <w:t xml:space="preserve"> du principe de l'égalité des chances et de l'égalité de traitement entre</w:t>
      </w:r>
      <w:r>
        <w:rPr>
          <w:rFonts w:ascii="Times" w:hAnsi="Times"/>
        </w:rPr>
        <w:t xml:space="preserve"> </w:t>
      </w:r>
      <w:r w:rsidRPr="00BE5271">
        <w:rPr>
          <w:rFonts w:ascii="Times" w:hAnsi="Times"/>
        </w:rPr>
        <w:t>hommes et femmes en matière d'emploi et de travail</w:t>
      </w:r>
      <w:r>
        <w:rPr>
          <w:rFonts w:ascii="Times" w:hAnsi="Times"/>
        </w:rPr>
        <w:t xml:space="preserve"> ; </w:t>
      </w:r>
      <w:r w:rsidRPr="00927093">
        <w:rPr>
          <w:rFonts w:ascii="Times" w:hAnsi="Times"/>
        </w:rPr>
        <w:t>politique</w:t>
      </w:r>
      <w:r w:rsidR="001E5D6F">
        <w:rPr>
          <w:rFonts w:ascii="Times" w:hAnsi="Times"/>
        </w:rPr>
        <w:t>s</w:t>
      </w:r>
      <w:r w:rsidRPr="00927093">
        <w:rPr>
          <w:rFonts w:ascii="Times" w:hAnsi="Times"/>
        </w:rPr>
        <w:t xml:space="preserve"> menée</w:t>
      </w:r>
      <w:r w:rsidR="001E5D6F">
        <w:rPr>
          <w:rFonts w:ascii="Times" w:hAnsi="Times"/>
        </w:rPr>
        <w:t>s</w:t>
      </w:r>
      <w:r w:rsidRPr="00927093">
        <w:rPr>
          <w:rFonts w:ascii="Times" w:hAnsi="Times"/>
        </w:rPr>
        <w:t xml:space="preserve"> conformément à la quatrième Conférence mondiale de l'ONU sur les femmes</w:t>
      </w:r>
      <w:r>
        <w:rPr>
          <w:rFonts w:ascii="Times" w:hAnsi="Times"/>
        </w:rPr>
        <w:t> ;</w:t>
      </w:r>
      <w:r w:rsidRPr="009C2430">
        <w:rPr>
          <w:rFonts w:ascii="Times" w:hAnsi="Times"/>
        </w:rPr>
        <w:t xml:space="preserve"> </w:t>
      </w:r>
    </w:p>
  </w:footnote>
  <w:footnote w:id="2">
    <w:p w:rsidR="00F90D50" w:rsidRPr="00F90D50" w:rsidRDefault="00F90D50" w:rsidP="00F90D50">
      <w:pPr>
        <w:pStyle w:val="Notedebasdepage"/>
      </w:pPr>
      <w:r>
        <w:rPr>
          <w:rStyle w:val="Appelnotedebasdep"/>
        </w:rPr>
        <w:footnoteRef/>
      </w:r>
      <w:r>
        <w:t xml:space="preserve">  Conseil de l’Europe </w:t>
      </w:r>
      <w:r>
        <w:t>(1998), Rapport final d’activités du Groupe de</w:t>
      </w:r>
      <w:r>
        <w:t xml:space="preserve"> spécialistes pour une approche </w:t>
      </w:r>
      <w:r>
        <w:t xml:space="preserve">intégrée de l’égalité (EG-S-MS), L’approche intégrée de l’égalité entre </w:t>
      </w:r>
      <w:r>
        <w:t xml:space="preserve">les femmes et les hommes. Cadre </w:t>
      </w:r>
      <w:r>
        <w:t xml:space="preserve">conceptuel, méthodologie et présentation des bonnes pratiques, Service </w:t>
      </w:r>
      <w:r>
        <w:t xml:space="preserve">Egalité entre les Femmes et les </w:t>
      </w:r>
      <w:r>
        <w:t xml:space="preserve">Hommes, Direction des Droits de l’Homme, Conseil de l’Europe, </w:t>
      </w:r>
      <w:r>
        <w:t>EG-S-MS (98) 2, Strasbourg</w:t>
      </w:r>
    </w:p>
  </w:footnote>
  <w:footnote w:id="3">
    <w:p w:rsidR="00386265" w:rsidRPr="009040E5" w:rsidRDefault="00386265">
      <w:pPr>
        <w:pStyle w:val="Notedebasdepage"/>
        <w:rPr>
          <w:lang w:val="fr-BE"/>
        </w:rPr>
      </w:pPr>
      <w:r>
        <w:rPr>
          <w:rStyle w:val="Appelnotedebasdep"/>
        </w:rPr>
        <w:footnoteRef/>
      </w:r>
      <w:r>
        <w:t xml:space="preserve"> </w:t>
      </w:r>
      <w:r w:rsidRPr="009040E5">
        <w:t>Commission des communautés européennes  (2006). Communication de la commission au Conseil, au Parlement européen, au Comité économique et social européen et au Comité  des régions. Une feuille de route pour l’égalité entre les femmes et les hommes</w:t>
      </w:r>
      <w:r>
        <w:t xml:space="preserve"> 2006-2010, COM (2006) 92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A1296"/>
    <w:multiLevelType w:val="hybridMultilevel"/>
    <w:tmpl w:val="F4505CA8"/>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5E231FF2"/>
    <w:multiLevelType w:val="hybridMultilevel"/>
    <w:tmpl w:val="DCF43C16"/>
    <w:lvl w:ilvl="0" w:tplc="636EE3C6">
      <w:start w:val="1930"/>
      <w:numFmt w:val="bullet"/>
      <w:lvlText w:val="-"/>
      <w:lvlJc w:val="left"/>
      <w:pPr>
        <w:ind w:left="1080" w:hanging="360"/>
      </w:pPr>
      <w:rPr>
        <w:rFonts w:ascii="AGaramond-Regular" w:eastAsiaTheme="minorHAnsi" w:hAnsi="AGaramond-Regular" w:cs="AGaramond-Regular"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60BE15B4"/>
    <w:multiLevelType w:val="hybridMultilevel"/>
    <w:tmpl w:val="9DF2EC24"/>
    <w:lvl w:ilvl="0" w:tplc="F1A02FC8">
      <w:start w:val="1"/>
      <w:numFmt w:val="bullet"/>
      <w:lvlText w:val="•"/>
      <w:lvlJc w:val="left"/>
      <w:pPr>
        <w:tabs>
          <w:tab w:val="num" w:pos="720"/>
        </w:tabs>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D6A3F85"/>
    <w:multiLevelType w:val="multilevel"/>
    <w:tmpl w:val="A76C5452"/>
    <w:lvl w:ilvl="0">
      <w:start w:val="1"/>
      <w:numFmt w:val="decimal"/>
      <w:lvlText w:val="%1."/>
      <w:lvlJc w:val="left"/>
      <w:pPr>
        <w:ind w:left="720" w:hanging="360"/>
      </w:pPr>
      <w:rPr>
        <w:rFonts w:asciiTheme="minorHAnsi" w:hAnsiTheme="minorHAnsi" w:cstheme="minorBidi"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9A92121"/>
    <w:multiLevelType w:val="hybridMultilevel"/>
    <w:tmpl w:val="812635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7D7309DE"/>
    <w:multiLevelType w:val="multilevel"/>
    <w:tmpl w:val="6BF2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40"/>
    <w:rsid w:val="000240E9"/>
    <w:rsid w:val="000372FF"/>
    <w:rsid w:val="00041F6A"/>
    <w:rsid w:val="000512AA"/>
    <w:rsid w:val="00073FA7"/>
    <w:rsid w:val="000B5B92"/>
    <w:rsid w:val="000D320C"/>
    <w:rsid w:val="0010613A"/>
    <w:rsid w:val="0012129E"/>
    <w:rsid w:val="00144627"/>
    <w:rsid w:val="001527D6"/>
    <w:rsid w:val="00162E1F"/>
    <w:rsid w:val="00166B38"/>
    <w:rsid w:val="001850E4"/>
    <w:rsid w:val="00185171"/>
    <w:rsid w:val="001B1D95"/>
    <w:rsid w:val="001D5369"/>
    <w:rsid w:val="001E5D6F"/>
    <w:rsid w:val="00201BF7"/>
    <w:rsid w:val="00220F3B"/>
    <w:rsid w:val="002B4815"/>
    <w:rsid w:val="002D74A5"/>
    <w:rsid w:val="003357B4"/>
    <w:rsid w:val="00344C7F"/>
    <w:rsid w:val="0036072C"/>
    <w:rsid w:val="003633A2"/>
    <w:rsid w:val="00386265"/>
    <w:rsid w:val="00393EE6"/>
    <w:rsid w:val="003B2773"/>
    <w:rsid w:val="003B440C"/>
    <w:rsid w:val="003C7273"/>
    <w:rsid w:val="003D050D"/>
    <w:rsid w:val="003D19A6"/>
    <w:rsid w:val="003D2088"/>
    <w:rsid w:val="003F792B"/>
    <w:rsid w:val="00401578"/>
    <w:rsid w:val="004619DB"/>
    <w:rsid w:val="00462F0A"/>
    <w:rsid w:val="00475141"/>
    <w:rsid w:val="00492D9E"/>
    <w:rsid w:val="00495497"/>
    <w:rsid w:val="004A1BAA"/>
    <w:rsid w:val="004B491E"/>
    <w:rsid w:val="004C3367"/>
    <w:rsid w:val="004E3883"/>
    <w:rsid w:val="00533776"/>
    <w:rsid w:val="00566094"/>
    <w:rsid w:val="00574A66"/>
    <w:rsid w:val="00582F4A"/>
    <w:rsid w:val="005B371A"/>
    <w:rsid w:val="005F449E"/>
    <w:rsid w:val="006048C0"/>
    <w:rsid w:val="00610DC6"/>
    <w:rsid w:val="006835F5"/>
    <w:rsid w:val="006A738C"/>
    <w:rsid w:val="006B6524"/>
    <w:rsid w:val="007249AF"/>
    <w:rsid w:val="0076621F"/>
    <w:rsid w:val="00797103"/>
    <w:rsid w:val="007B7350"/>
    <w:rsid w:val="0081781D"/>
    <w:rsid w:val="00881D40"/>
    <w:rsid w:val="00896591"/>
    <w:rsid w:val="009040E5"/>
    <w:rsid w:val="00980540"/>
    <w:rsid w:val="009A282E"/>
    <w:rsid w:val="009B2D86"/>
    <w:rsid w:val="009B5B57"/>
    <w:rsid w:val="00A2656B"/>
    <w:rsid w:val="00A74E78"/>
    <w:rsid w:val="00AA5E2A"/>
    <w:rsid w:val="00AD12C6"/>
    <w:rsid w:val="00AE43B1"/>
    <w:rsid w:val="00B11A40"/>
    <w:rsid w:val="00B46A3F"/>
    <w:rsid w:val="00B661AD"/>
    <w:rsid w:val="00B77CBE"/>
    <w:rsid w:val="00B969BD"/>
    <w:rsid w:val="00C15D2F"/>
    <w:rsid w:val="00C5428F"/>
    <w:rsid w:val="00CB45C2"/>
    <w:rsid w:val="00CC43B6"/>
    <w:rsid w:val="00CE6548"/>
    <w:rsid w:val="00D045C6"/>
    <w:rsid w:val="00D20808"/>
    <w:rsid w:val="00D44F9B"/>
    <w:rsid w:val="00D4587D"/>
    <w:rsid w:val="00D4600C"/>
    <w:rsid w:val="00D57B2A"/>
    <w:rsid w:val="00D72244"/>
    <w:rsid w:val="00DC7578"/>
    <w:rsid w:val="00DE6B6A"/>
    <w:rsid w:val="00DE6C70"/>
    <w:rsid w:val="00E172D0"/>
    <w:rsid w:val="00E37189"/>
    <w:rsid w:val="00E62685"/>
    <w:rsid w:val="00E917E7"/>
    <w:rsid w:val="00EB46A4"/>
    <w:rsid w:val="00EE7456"/>
    <w:rsid w:val="00EF3A2A"/>
    <w:rsid w:val="00EF618E"/>
    <w:rsid w:val="00F11326"/>
    <w:rsid w:val="00F126D7"/>
    <w:rsid w:val="00F35C7A"/>
    <w:rsid w:val="00F5209E"/>
    <w:rsid w:val="00F538A4"/>
    <w:rsid w:val="00F80005"/>
    <w:rsid w:val="00F90D50"/>
    <w:rsid w:val="00FC7F46"/>
    <w:rsid w:val="00FF33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40"/>
    <w:pPr>
      <w:spacing w:after="0" w:line="240" w:lineRule="auto"/>
    </w:pPr>
    <w:rPr>
      <w:rFonts w:ascii="Cambria" w:eastAsia="Cambria" w:hAnsi="Cambria" w:cs="Times New Roman"/>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F46"/>
    <w:pPr>
      <w:ind w:left="720"/>
      <w:contextualSpacing/>
    </w:pPr>
  </w:style>
  <w:style w:type="paragraph" w:styleId="Notedebasdepage">
    <w:name w:val="footnote text"/>
    <w:basedOn w:val="Normal"/>
    <w:link w:val="NotedebasdepageCar"/>
    <w:uiPriority w:val="99"/>
    <w:unhideWhenUsed/>
    <w:rsid w:val="00FC7F46"/>
    <w:rPr>
      <w:sz w:val="20"/>
      <w:szCs w:val="20"/>
    </w:rPr>
  </w:style>
  <w:style w:type="character" w:customStyle="1" w:styleId="NotedebasdepageCar">
    <w:name w:val="Note de bas de page Car"/>
    <w:basedOn w:val="Policepardfaut"/>
    <w:link w:val="Notedebasdepage"/>
    <w:uiPriority w:val="99"/>
    <w:rsid w:val="00FC7F46"/>
    <w:rPr>
      <w:rFonts w:ascii="Cambria" w:eastAsia="Cambria" w:hAnsi="Cambria" w:cs="Times New Roman"/>
      <w:sz w:val="20"/>
      <w:szCs w:val="20"/>
      <w:lang w:val="fr-FR"/>
    </w:rPr>
  </w:style>
  <w:style w:type="character" w:styleId="Appelnotedebasdep">
    <w:name w:val="footnote reference"/>
    <w:basedOn w:val="Policepardfaut"/>
    <w:uiPriority w:val="99"/>
    <w:semiHidden/>
    <w:unhideWhenUsed/>
    <w:rsid w:val="00FC7F46"/>
    <w:rPr>
      <w:vertAlign w:val="superscript"/>
    </w:rPr>
  </w:style>
  <w:style w:type="paragraph" w:styleId="NormalWeb">
    <w:name w:val="Normal (Web)"/>
    <w:basedOn w:val="Normal"/>
    <w:uiPriority w:val="99"/>
    <w:unhideWhenUsed/>
    <w:rsid w:val="00D20808"/>
    <w:pPr>
      <w:spacing w:before="100" w:beforeAutospacing="1" w:after="100" w:afterAutospacing="1"/>
    </w:pPr>
    <w:rPr>
      <w:rFonts w:ascii="Times New Roman" w:eastAsia="Times New Roman" w:hAnsi="Times New Roman"/>
      <w:lang w:val="fr-BE" w:eastAsia="fr-BE"/>
    </w:rPr>
  </w:style>
  <w:style w:type="character" w:styleId="Lienhypertexte">
    <w:name w:val="Hyperlink"/>
    <w:basedOn w:val="Policepardfaut"/>
    <w:uiPriority w:val="99"/>
    <w:unhideWhenUsed/>
    <w:rsid w:val="00F538A4"/>
    <w:rPr>
      <w:color w:val="0000FF" w:themeColor="hyperlink"/>
      <w:u w:val="single"/>
    </w:rPr>
  </w:style>
  <w:style w:type="paragraph" w:styleId="Notedefin">
    <w:name w:val="endnote text"/>
    <w:basedOn w:val="Normal"/>
    <w:link w:val="NotedefinCar"/>
    <w:uiPriority w:val="99"/>
    <w:semiHidden/>
    <w:unhideWhenUsed/>
    <w:rsid w:val="00386265"/>
    <w:rPr>
      <w:sz w:val="20"/>
      <w:szCs w:val="20"/>
    </w:rPr>
  </w:style>
  <w:style w:type="character" w:customStyle="1" w:styleId="NotedefinCar">
    <w:name w:val="Note de fin Car"/>
    <w:basedOn w:val="Policepardfaut"/>
    <w:link w:val="Notedefin"/>
    <w:uiPriority w:val="99"/>
    <w:semiHidden/>
    <w:rsid w:val="00386265"/>
    <w:rPr>
      <w:rFonts w:ascii="Cambria" w:eastAsia="Cambria" w:hAnsi="Cambria" w:cs="Times New Roman"/>
      <w:sz w:val="20"/>
      <w:szCs w:val="20"/>
      <w:lang w:val="fr-FR"/>
    </w:rPr>
  </w:style>
  <w:style w:type="character" w:styleId="Appeldenotedefin">
    <w:name w:val="endnote reference"/>
    <w:basedOn w:val="Policepardfaut"/>
    <w:uiPriority w:val="99"/>
    <w:semiHidden/>
    <w:unhideWhenUsed/>
    <w:rsid w:val="00386265"/>
    <w:rPr>
      <w:vertAlign w:val="superscript"/>
    </w:rPr>
  </w:style>
  <w:style w:type="paragraph" w:styleId="En-tte">
    <w:name w:val="header"/>
    <w:basedOn w:val="Normal"/>
    <w:link w:val="En-tteCar"/>
    <w:uiPriority w:val="99"/>
    <w:unhideWhenUsed/>
    <w:rsid w:val="001E5D6F"/>
    <w:pPr>
      <w:tabs>
        <w:tab w:val="center" w:pos="4536"/>
        <w:tab w:val="right" w:pos="9072"/>
      </w:tabs>
    </w:pPr>
  </w:style>
  <w:style w:type="character" w:customStyle="1" w:styleId="En-tteCar">
    <w:name w:val="En-tête Car"/>
    <w:basedOn w:val="Policepardfaut"/>
    <w:link w:val="En-tte"/>
    <w:uiPriority w:val="99"/>
    <w:rsid w:val="001E5D6F"/>
    <w:rPr>
      <w:rFonts w:ascii="Cambria" w:eastAsia="Cambria" w:hAnsi="Cambria" w:cs="Times New Roman"/>
      <w:sz w:val="24"/>
      <w:szCs w:val="24"/>
      <w:lang w:val="fr-FR"/>
    </w:rPr>
  </w:style>
  <w:style w:type="paragraph" w:styleId="Pieddepage">
    <w:name w:val="footer"/>
    <w:basedOn w:val="Normal"/>
    <w:link w:val="PieddepageCar"/>
    <w:uiPriority w:val="99"/>
    <w:unhideWhenUsed/>
    <w:rsid w:val="001E5D6F"/>
    <w:pPr>
      <w:tabs>
        <w:tab w:val="center" w:pos="4536"/>
        <w:tab w:val="right" w:pos="9072"/>
      </w:tabs>
    </w:pPr>
  </w:style>
  <w:style w:type="character" w:customStyle="1" w:styleId="PieddepageCar">
    <w:name w:val="Pied de page Car"/>
    <w:basedOn w:val="Policepardfaut"/>
    <w:link w:val="Pieddepage"/>
    <w:uiPriority w:val="99"/>
    <w:rsid w:val="001E5D6F"/>
    <w:rPr>
      <w:rFonts w:ascii="Cambria" w:eastAsia="Cambria" w:hAnsi="Cambria" w:cs="Times New Roman"/>
      <w:sz w:val="24"/>
      <w:szCs w:val="24"/>
      <w:lang w:val="fr-FR"/>
    </w:rPr>
  </w:style>
  <w:style w:type="paragraph" w:styleId="Textedebulles">
    <w:name w:val="Balloon Text"/>
    <w:basedOn w:val="Normal"/>
    <w:link w:val="TextedebullesCar"/>
    <w:uiPriority w:val="99"/>
    <w:semiHidden/>
    <w:unhideWhenUsed/>
    <w:rsid w:val="00A2656B"/>
    <w:rPr>
      <w:rFonts w:ascii="Tahoma" w:hAnsi="Tahoma" w:cs="Tahoma"/>
      <w:sz w:val="16"/>
      <w:szCs w:val="16"/>
    </w:rPr>
  </w:style>
  <w:style w:type="character" w:customStyle="1" w:styleId="TextedebullesCar">
    <w:name w:val="Texte de bulles Car"/>
    <w:basedOn w:val="Policepardfaut"/>
    <w:link w:val="Textedebulles"/>
    <w:uiPriority w:val="99"/>
    <w:semiHidden/>
    <w:rsid w:val="00A2656B"/>
    <w:rPr>
      <w:rFonts w:ascii="Tahoma" w:eastAsia="Cambri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40"/>
    <w:pPr>
      <w:spacing w:after="0" w:line="240" w:lineRule="auto"/>
    </w:pPr>
    <w:rPr>
      <w:rFonts w:ascii="Cambria" w:eastAsia="Cambria" w:hAnsi="Cambria" w:cs="Times New Roman"/>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F46"/>
    <w:pPr>
      <w:ind w:left="720"/>
      <w:contextualSpacing/>
    </w:pPr>
  </w:style>
  <w:style w:type="paragraph" w:styleId="Notedebasdepage">
    <w:name w:val="footnote text"/>
    <w:basedOn w:val="Normal"/>
    <w:link w:val="NotedebasdepageCar"/>
    <w:uiPriority w:val="99"/>
    <w:unhideWhenUsed/>
    <w:rsid w:val="00FC7F46"/>
    <w:rPr>
      <w:sz w:val="20"/>
      <w:szCs w:val="20"/>
    </w:rPr>
  </w:style>
  <w:style w:type="character" w:customStyle="1" w:styleId="NotedebasdepageCar">
    <w:name w:val="Note de bas de page Car"/>
    <w:basedOn w:val="Policepardfaut"/>
    <w:link w:val="Notedebasdepage"/>
    <w:uiPriority w:val="99"/>
    <w:rsid w:val="00FC7F46"/>
    <w:rPr>
      <w:rFonts w:ascii="Cambria" w:eastAsia="Cambria" w:hAnsi="Cambria" w:cs="Times New Roman"/>
      <w:sz w:val="20"/>
      <w:szCs w:val="20"/>
      <w:lang w:val="fr-FR"/>
    </w:rPr>
  </w:style>
  <w:style w:type="character" w:styleId="Appelnotedebasdep">
    <w:name w:val="footnote reference"/>
    <w:basedOn w:val="Policepardfaut"/>
    <w:uiPriority w:val="99"/>
    <w:semiHidden/>
    <w:unhideWhenUsed/>
    <w:rsid w:val="00FC7F46"/>
    <w:rPr>
      <w:vertAlign w:val="superscript"/>
    </w:rPr>
  </w:style>
  <w:style w:type="paragraph" w:styleId="NormalWeb">
    <w:name w:val="Normal (Web)"/>
    <w:basedOn w:val="Normal"/>
    <w:uiPriority w:val="99"/>
    <w:unhideWhenUsed/>
    <w:rsid w:val="00D20808"/>
    <w:pPr>
      <w:spacing w:before="100" w:beforeAutospacing="1" w:after="100" w:afterAutospacing="1"/>
    </w:pPr>
    <w:rPr>
      <w:rFonts w:ascii="Times New Roman" w:eastAsia="Times New Roman" w:hAnsi="Times New Roman"/>
      <w:lang w:val="fr-BE" w:eastAsia="fr-BE"/>
    </w:rPr>
  </w:style>
  <w:style w:type="character" w:styleId="Lienhypertexte">
    <w:name w:val="Hyperlink"/>
    <w:basedOn w:val="Policepardfaut"/>
    <w:uiPriority w:val="99"/>
    <w:unhideWhenUsed/>
    <w:rsid w:val="00F538A4"/>
    <w:rPr>
      <w:color w:val="0000FF" w:themeColor="hyperlink"/>
      <w:u w:val="single"/>
    </w:rPr>
  </w:style>
  <w:style w:type="paragraph" w:styleId="Notedefin">
    <w:name w:val="endnote text"/>
    <w:basedOn w:val="Normal"/>
    <w:link w:val="NotedefinCar"/>
    <w:uiPriority w:val="99"/>
    <w:semiHidden/>
    <w:unhideWhenUsed/>
    <w:rsid w:val="00386265"/>
    <w:rPr>
      <w:sz w:val="20"/>
      <w:szCs w:val="20"/>
    </w:rPr>
  </w:style>
  <w:style w:type="character" w:customStyle="1" w:styleId="NotedefinCar">
    <w:name w:val="Note de fin Car"/>
    <w:basedOn w:val="Policepardfaut"/>
    <w:link w:val="Notedefin"/>
    <w:uiPriority w:val="99"/>
    <w:semiHidden/>
    <w:rsid w:val="00386265"/>
    <w:rPr>
      <w:rFonts w:ascii="Cambria" w:eastAsia="Cambria" w:hAnsi="Cambria" w:cs="Times New Roman"/>
      <w:sz w:val="20"/>
      <w:szCs w:val="20"/>
      <w:lang w:val="fr-FR"/>
    </w:rPr>
  </w:style>
  <w:style w:type="character" w:styleId="Appeldenotedefin">
    <w:name w:val="endnote reference"/>
    <w:basedOn w:val="Policepardfaut"/>
    <w:uiPriority w:val="99"/>
    <w:semiHidden/>
    <w:unhideWhenUsed/>
    <w:rsid w:val="00386265"/>
    <w:rPr>
      <w:vertAlign w:val="superscript"/>
    </w:rPr>
  </w:style>
  <w:style w:type="paragraph" w:styleId="En-tte">
    <w:name w:val="header"/>
    <w:basedOn w:val="Normal"/>
    <w:link w:val="En-tteCar"/>
    <w:uiPriority w:val="99"/>
    <w:unhideWhenUsed/>
    <w:rsid w:val="001E5D6F"/>
    <w:pPr>
      <w:tabs>
        <w:tab w:val="center" w:pos="4536"/>
        <w:tab w:val="right" w:pos="9072"/>
      </w:tabs>
    </w:pPr>
  </w:style>
  <w:style w:type="character" w:customStyle="1" w:styleId="En-tteCar">
    <w:name w:val="En-tête Car"/>
    <w:basedOn w:val="Policepardfaut"/>
    <w:link w:val="En-tte"/>
    <w:uiPriority w:val="99"/>
    <w:rsid w:val="001E5D6F"/>
    <w:rPr>
      <w:rFonts w:ascii="Cambria" w:eastAsia="Cambria" w:hAnsi="Cambria" w:cs="Times New Roman"/>
      <w:sz w:val="24"/>
      <w:szCs w:val="24"/>
      <w:lang w:val="fr-FR"/>
    </w:rPr>
  </w:style>
  <w:style w:type="paragraph" w:styleId="Pieddepage">
    <w:name w:val="footer"/>
    <w:basedOn w:val="Normal"/>
    <w:link w:val="PieddepageCar"/>
    <w:uiPriority w:val="99"/>
    <w:unhideWhenUsed/>
    <w:rsid w:val="001E5D6F"/>
    <w:pPr>
      <w:tabs>
        <w:tab w:val="center" w:pos="4536"/>
        <w:tab w:val="right" w:pos="9072"/>
      </w:tabs>
    </w:pPr>
  </w:style>
  <w:style w:type="character" w:customStyle="1" w:styleId="PieddepageCar">
    <w:name w:val="Pied de page Car"/>
    <w:basedOn w:val="Policepardfaut"/>
    <w:link w:val="Pieddepage"/>
    <w:uiPriority w:val="99"/>
    <w:rsid w:val="001E5D6F"/>
    <w:rPr>
      <w:rFonts w:ascii="Cambria" w:eastAsia="Cambria" w:hAnsi="Cambria" w:cs="Times New Roman"/>
      <w:sz w:val="24"/>
      <w:szCs w:val="24"/>
      <w:lang w:val="fr-FR"/>
    </w:rPr>
  </w:style>
  <w:style w:type="paragraph" w:styleId="Textedebulles">
    <w:name w:val="Balloon Text"/>
    <w:basedOn w:val="Normal"/>
    <w:link w:val="TextedebullesCar"/>
    <w:uiPriority w:val="99"/>
    <w:semiHidden/>
    <w:unhideWhenUsed/>
    <w:rsid w:val="00A2656B"/>
    <w:rPr>
      <w:rFonts w:ascii="Tahoma" w:hAnsi="Tahoma" w:cs="Tahoma"/>
      <w:sz w:val="16"/>
      <w:szCs w:val="16"/>
    </w:rPr>
  </w:style>
  <w:style w:type="character" w:customStyle="1" w:styleId="TextedebullesCar">
    <w:name w:val="Texte de bulles Car"/>
    <w:basedOn w:val="Policepardfaut"/>
    <w:link w:val="Textedebulles"/>
    <w:uiPriority w:val="99"/>
    <w:semiHidden/>
    <w:rsid w:val="00A2656B"/>
    <w:rPr>
      <w:rFonts w:ascii="Tahoma" w:eastAsia="Cambri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9F4F-D1A5-4DF7-9E45-E3517333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5375</Words>
  <Characters>30321</Characters>
  <Application>Microsoft Office Word</Application>
  <DocSecurity>0</DocSecurity>
  <Lines>427</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cp:lastPrinted>2014-12-06T23:17:00Z</cp:lastPrinted>
  <dcterms:created xsi:type="dcterms:W3CDTF">2014-12-07T00:36:00Z</dcterms:created>
  <dcterms:modified xsi:type="dcterms:W3CDTF">2014-12-07T00:36:00Z</dcterms:modified>
</cp:coreProperties>
</file>