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70DA1" w14:textId="77777777" w:rsidR="00121B1E" w:rsidRDefault="00121B1E" w:rsidP="00E967AA">
      <w:pPr>
        <w:spacing w:after="0" w:line="480" w:lineRule="auto"/>
        <w:rPr>
          <w:lang w:val="en-GB"/>
        </w:rPr>
      </w:pPr>
    </w:p>
    <w:p w14:paraId="7AA28099" w14:textId="77777777" w:rsidR="00121B1E" w:rsidRDefault="00121B1E" w:rsidP="00E967AA">
      <w:pPr>
        <w:spacing w:after="0" w:line="480" w:lineRule="auto"/>
        <w:rPr>
          <w:lang w:val="en-GB"/>
        </w:rPr>
      </w:pPr>
    </w:p>
    <w:p w14:paraId="472C66BE" w14:textId="77777777" w:rsidR="00121B1E" w:rsidRDefault="00121B1E" w:rsidP="00E967AA">
      <w:pPr>
        <w:spacing w:after="0" w:line="480" w:lineRule="auto"/>
        <w:rPr>
          <w:lang w:val="en-GB"/>
        </w:rPr>
      </w:pPr>
    </w:p>
    <w:p w14:paraId="0D6E55ED" w14:textId="77777777" w:rsidR="00121B1E" w:rsidRDefault="00121B1E" w:rsidP="00E967AA">
      <w:pPr>
        <w:spacing w:after="0" w:line="480" w:lineRule="auto"/>
        <w:rPr>
          <w:lang w:val="en-GB"/>
        </w:rPr>
      </w:pPr>
    </w:p>
    <w:p w14:paraId="5CE322D6" w14:textId="77777777" w:rsidR="00121B1E" w:rsidRDefault="00121B1E" w:rsidP="00E967AA">
      <w:pPr>
        <w:spacing w:after="0" w:line="480" w:lineRule="auto"/>
        <w:rPr>
          <w:lang w:val="en-GB"/>
        </w:rPr>
      </w:pPr>
    </w:p>
    <w:p w14:paraId="10BC5F5C" w14:textId="5EC2E77D" w:rsidR="004C4BAA" w:rsidRPr="005A55A8" w:rsidRDefault="004C4BAA" w:rsidP="004C4BAA">
      <w:pPr>
        <w:spacing w:after="0" w:line="480" w:lineRule="auto"/>
        <w:jc w:val="center"/>
        <w:rPr>
          <w:lang w:val="en-GB"/>
        </w:rPr>
      </w:pPr>
      <w:r w:rsidRPr="005A55A8">
        <w:rPr>
          <w:lang w:val="en-GB"/>
        </w:rPr>
        <w:t xml:space="preserve">The sentence repetition task: A powerful diagnostic tool for French children with </w:t>
      </w:r>
      <w:r w:rsidR="00E3291F">
        <w:rPr>
          <w:lang w:val="en-GB"/>
        </w:rPr>
        <w:t>s</w:t>
      </w:r>
      <w:r w:rsidR="00E3291F" w:rsidRPr="005A55A8">
        <w:rPr>
          <w:lang w:val="en-GB"/>
        </w:rPr>
        <w:t xml:space="preserve">pecific </w:t>
      </w:r>
      <w:r w:rsidR="00E3291F">
        <w:rPr>
          <w:lang w:val="en-GB"/>
        </w:rPr>
        <w:t>l</w:t>
      </w:r>
      <w:r w:rsidR="00E3291F" w:rsidRPr="005A55A8">
        <w:rPr>
          <w:lang w:val="en-GB"/>
        </w:rPr>
        <w:t xml:space="preserve">anguage </w:t>
      </w:r>
      <w:r w:rsidR="00E3291F">
        <w:rPr>
          <w:lang w:val="en-GB"/>
        </w:rPr>
        <w:t>i</w:t>
      </w:r>
      <w:r w:rsidR="00E3291F" w:rsidRPr="005A55A8">
        <w:rPr>
          <w:lang w:val="en-GB"/>
        </w:rPr>
        <w:t xml:space="preserve">mpairment </w:t>
      </w:r>
    </w:p>
    <w:p w14:paraId="25A30A51" w14:textId="77777777" w:rsidR="004C4BAA" w:rsidRPr="005A55A8" w:rsidRDefault="004C4BAA" w:rsidP="004C4BAA">
      <w:pPr>
        <w:spacing w:after="0" w:line="480" w:lineRule="auto"/>
        <w:rPr>
          <w:lang w:val="en-GB"/>
        </w:rPr>
      </w:pPr>
    </w:p>
    <w:p w14:paraId="7ACF7A3F" w14:textId="77777777" w:rsidR="004C4BAA" w:rsidRPr="005A55A8" w:rsidRDefault="004C4BAA" w:rsidP="004C4BAA">
      <w:pPr>
        <w:spacing w:after="0" w:line="480" w:lineRule="auto"/>
        <w:jc w:val="center"/>
        <w:rPr>
          <w:vertAlign w:val="superscript"/>
        </w:rPr>
      </w:pPr>
      <w:r w:rsidRPr="005A55A8">
        <w:t>Anne-Lise Leclercq</w:t>
      </w:r>
      <w:r w:rsidRPr="005A55A8">
        <w:rPr>
          <w:vertAlign w:val="superscript"/>
        </w:rPr>
        <w:t>1</w:t>
      </w:r>
      <w:r w:rsidRPr="005A55A8">
        <w:t>, Pauline Quémart², David Magis</w:t>
      </w:r>
      <w:r w:rsidRPr="005A55A8">
        <w:rPr>
          <w:vertAlign w:val="superscript"/>
        </w:rPr>
        <w:t>³</w:t>
      </w:r>
      <w:r w:rsidRPr="005A55A8">
        <w:t>, &amp; Christelle Maillart</w:t>
      </w:r>
      <w:r w:rsidRPr="005A55A8">
        <w:rPr>
          <w:vertAlign w:val="superscript"/>
        </w:rPr>
        <w:t>1</w:t>
      </w:r>
    </w:p>
    <w:p w14:paraId="0491C544" w14:textId="76377EE6" w:rsidR="004C4BAA" w:rsidRPr="005A55A8" w:rsidRDefault="004C4BAA" w:rsidP="004C4BAA">
      <w:pPr>
        <w:spacing w:after="0" w:line="480" w:lineRule="auto"/>
        <w:jc w:val="center"/>
        <w:rPr>
          <w:lang w:val="en-GB"/>
        </w:rPr>
      </w:pPr>
      <w:r w:rsidRPr="005A55A8">
        <w:rPr>
          <w:vertAlign w:val="superscript"/>
          <w:lang w:val="en-GB"/>
        </w:rPr>
        <w:t>1</w:t>
      </w:r>
      <w:r w:rsidRPr="005A55A8">
        <w:rPr>
          <w:lang w:val="en-GB"/>
        </w:rPr>
        <w:t xml:space="preserve">University of Liège, Department of Psychology: Cognition and </w:t>
      </w:r>
      <w:r w:rsidR="008876A4">
        <w:rPr>
          <w:lang w:val="en-GB"/>
        </w:rPr>
        <w:t>B</w:t>
      </w:r>
      <w:r w:rsidR="008876A4" w:rsidRPr="005A55A8">
        <w:rPr>
          <w:lang w:val="en-GB"/>
        </w:rPr>
        <w:t>ehaviour</w:t>
      </w:r>
    </w:p>
    <w:p w14:paraId="67497746" w14:textId="77777777" w:rsidR="004C4BAA" w:rsidRPr="005A55A8" w:rsidRDefault="004C4BAA" w:rsidP="004C4BAA">
      <w:pPr>
        <w:spacing w:after="0" w:line="480" w:lineRule="auto"/>
        <w:jc w:val="center"/>
      </w:pPr>
      <w:r w:rsidRPr="005A55A8">
        <w:t xml:space="preserve">²University of Poitiers </w:t>
      </w:r>
      <w:r w:rsidRPr="005A55A8">
        <w:rPr>
          <w:lang w:val="fr-FR"/>
        </w:rPr>
        <w:t>and Centre National de la Recherche Scientifique</w:t>
      </w:r>
    </w:p>
    <w:p w14:paraId="0871B3C4" w14:textId="77777777" w:rsidR="004C4BAA" w:rsidRDefault="004C4BAA" w:rsidP="004C4BAA">
      <w:pPr>
        <w:spacing w:after="0" w:line="480" w:lineRule="auto"/>
        <w:jc w:val="center"/>
        <w:rPr>
          <w:lang w:val="en-GB"/>
        </w:rPr>
      </w:pPr>
      <w:r w:rsidRPr="005A55A8">
        <w:rPr>
          <w:lang w:val="en-GB"/>
        </w:rPr>
        <w:t>³University of Liège, Department of Education</w:t>
      </w:r>
    </w:p>
    <w:p w14:paraId="0D0A18EF" w14:textId="77777777" w:rsidR="004C4BAA" w:rsidRDefault="004C4BAA" w:rsidP="004C4BAA">
      <w:pPr>
        <w:spacing w:after="0" w:line="480" w:lineRule="auto"/>
        <w:jc w:val="center"/>
        <w:rPr>
          <w:lang w:val="en-GB"/>
        </w:rPr>
      </w:pPr>
    </w:p>
    <w:p w14:paraId="576B3B2D" w14:textId="77777777" w:rsidR="004C4BAA" w:rsidRDefault="004C4BAA" w:rsidP="004C4BAA">
      <w:pPr>
        <w:rPr>
          <w:lang w:val="en-GB"/>
        </w:rPr>
      </w:pPr>
      <w:r>
        <w:rPr>
          <w:lang w:val="en-GB"/>
        </w:rPr>
        <w:t xml:space="preserve">Corresponding author: </w:t>
      </w:r>
    </w:p>
    <w:p w14:paraId="47CA0996" w14:textId="77777777" w:rsidR="004C4BAA" w:rsidRDefault="004C4BAA" w:rsidP="004C4BAA">
      <w:pPr>
        <w:rPr>
          <w:lang w:val="en-GB"/>
        </w:rPr>
      </w:pPr>
      <w:r>
        <w:rPr>
          <w:lang w:val="en-GB"/>
        </w:rPr>
        <w:t>Anne-</w:t>
      </w:r>
      <w:proofErr w:type="spellStart"/>
      <w:r>
        <w:rPr>
          <w:lang w:val="en-GB"/>
        </w:rPr>
        <w:t>Lise</w:t>
      </w:r>
      <w:proofErr w:type="spellEnd"/>
      <w:r>
        <w:rPr>
          <w:lang w:val="en-GB"/>
        </w:rPr>
        <w:t xml:space="preserve"> </w:t>
      </w:r>
      <w:proofErr w:type="spellStart"/>
      <w:r>
        <w:rPr>
          <w:lang w:val="en-GB"/>
        </w:rPr>
        <w:t>Leclercq</w:t>
      </w:r>
      <w:proofErr w:type="spellEnd"/>
      <w:r>
        <w:rPr>
          <w:lang w:val="en-GB"/>
        </w:rPr>
        <w:t>, PhD</w:t>
      </w:r>
    </w:p>
    <w:p w14:paraId="2CDE89F9" w14:textId="77777777" w:rsidR="004C4BAA" w:rsidRDefault="004C4BAA" w:rsidP="004C4BAA">
      <w:pPr>
        <w:rPr>
          <w:lang w:val="en-GB"/>
        </w:rPr>
      </w:pPr>
      <w:r>
        <w:rPr>
          <w:lang w:val="en-GB"/>
        </w:rPr>
        <w:t>Speech Therapy Unit, University of Liege (Belgium)</w:t>
      </w:r>
    </w:p>
    <w:p w14:paraId="705FDE0F" w14:textId="77777777" w:rsidR="004C4BAA" w:rsidRDefault="004C4BAA" w:rsidP="004C4BAA">
      <w:pPr>
        <w:rPr>
          <w:lang w:val="en-GB"/>
        </w:rPr>
      </w:pPr>
      <w:r>
        <w:rPr>
          <w:lang w:val="en-GB"/>
        </w:rPr>
        <w:t xml:space="preserve">Department of Psychology: Cognition &amp; Behaviour </w:t>
      </w:r>
    </w:p>
    <w:p w14:paraId="28D6E607" w14:textId="77777777" w:rsidR="004C4BAA" w:rsidRPr="004C4BAA" w:rsidRDefault="004C4BAA" w:rsidP="004C4BAA">
      <w:pPr>
        <w:rPr>
          <w:lang w:val="en-GB"/>
        </w:rPr>
      </w:pPr>
      <w:r w:rsidRPr="004C4BAA">
        <w:rPr>
          <w:lang w:val="en-GB"/>
        </w:rPr>
        <w:t xml:space="preserve">30 rue de </w:t>
      </w:r>
      <w:proofErr w:type="spellStart"/>
      <w:r w:rsidRPr="004C4BAA">
        <w:rPr>
          <w:lang w:val="en-GB"/>
        </w:rPr>
        <w:t>l'Aunaie</w:t>
      </w:r>
      <w:proofErr w:type="spellEnd"/>
      <w:r w:rsidRPr="004C4BAA">
        <w:rPr>
          <w:lang w:val="en-GB"/>
        </w:rPr>
        <w:t>, B38, 4000 Liege, Belgium</w:t>
      </w:r>
    </w:p>
    <w:p w14:paraId="574368B1" w14:textId="77777777" w:rsidR="004C4BAA" w:rsidRPr="004C4BAA" w:rsidRDefault="004C4BAA" w:rsidP="004C4BAA">
      <w:pPr>
        <w:rPr>
          <w:lang w:val="en-GB"/>
        </w:rPr>
      </w:pPr>
      <w:r w:rsidRPr="004C4BAA">
        <w:rPr>
          <w:lang w:val="en-GB"/>
        </w:rPr>
        <w:t>Phone: +32 4 366 57 78</w:t>
      </w:r>
    </w:p>
    <w:p w14:paraId="50143973" w14:textId="77777777" w:rsidR="004C4BAA" w:rsidRPr="004C4BAA" w:rsidRDefault="004C4BAA" w:rsidP="004C4BAA">
      <w:pPr>
        <w:rPr>
          <w:lang w:val="en-GB"/>
        </w:rPr>
      </w:pPr>
      <w:r w:rsidRPr="004C4BAA">
        <w:rPr>
          <w:lang w:val="en-GB"/>
        </w:rPr>
        <w:t xml:space="preserve">Email: </w:t>
      </w:r>
      <w:hyperlink r:id="rId12" w:history="1">
        <w:r w:rsidRPr="004C4BAA">
          <w:rPr>
            <w:rStyle w:val="Lienhypertexte"/>
            <w:lang w:val="en-GB"/>
          </w:rPr>
          <w:t>al.leclercq@ulg.ac.be</w:t>
        </w:r>
      </w:hyperlink>
    </w:p>
    <w:p w14:paraId="32ECC0E0" w14:textId="77777777" w:rsidR="004C4BAA" w:rsidRPr="005A55A8" w:rsidRDefault="004C4BAA" w:rsidP="004C4BAA">
      <w:pPr>
        <w:spacing w:after="0" w:line="480" w:lineRule="auto"/>
        <w:rPr>
          <w:lang w:val="en-GB"/>
        </w:rPr>
      </w:pPr>
    </w:p>
    <w:p w14:paraId="3FB031E2" w14:textId="77777777" w:rsidR="004C4BAA" w:rsidRPr="005A55A8" w:rsidRDefault="004C4BAA" w:rsidP="004C4BAA">
      <w:pPr>
        <w:rPr>
          <w:lang w:val="en-GB"/>
        </w:rPr>
      </w:pPr>
      <w:r w:rsidRPr="005A55A8">
        <w:rPr>
          <w:lang w:val="en-GB"/>
        </w:rPr>
        <w:br w:type="page"/>
      </w:r>
    </w:p>
    <w:p w14:paraId="65768324" w14:textId="77777777" w:rsidR="004C4BAA" w:rsidRPr="005A55A8" w:rsidRDefault="004C4BAA" w:rsidP="004C4BAA">
      <w:pPr>
        <w:rPr>
          <w:lang w:val="en-GB"/>
        </w:rPr>
      </w:pPr>
    </w:p>
    <w:p w14:paraId="0E91E654" w14:textId="77777777" w:rsidR="004C4BAA" w:rsidRPr="00D005E5" w:rsidRDefault="004C4BAA" w:rsidP="004C4BAA">
      <w:pPr>
        <w:spacing w:after="0" w:line="480" w:lineRule="auto"/>
        <w:jc w:val="center"/>
        <w:rPr>
          <w:b/>
          <w:lang w:val="en-GB"/>
        </w:rPr>
      </w:pPr>
      <w:r w:rsidRPr="00D005E5">
        <w:rPr>
          <w:b/>
          <w:lang w:val="en-GB"/>
        </w:rPr>
        <w:t>Abstract</w:t>
      </w:r>
    </w:p>
    <w:p w14:paraId="0E3DEDB9" w14:textId="77777777" w:rsidR="004C4BAA" w:rsidRPr="005A55A8" w:rsidRDefault="004C4BAA" w:rsidP="004C4BAA">
      <w:pPr>
        <w:spacing w:after="0" w:line="480" w:lineRule="auto"/>
        <w:rPr>
          <w:lang w:val="en-GB"/>
        </w:rPr>
      </w:pPr>
      <w:r w:rsidRPr="005A55A8">
        <w:rPr>
          <w:lang w:val="en-GB"/>
        </w:rPr>
        <w:t>This study assesses the diagnostic accuracy and construct validity of a sentence repetition task that is commonly used for the identification of French children with specific language impairment</w:t>
      </w:r>
      <w:r w:rsidR="00617D6E">
        <w:rPr>
          <w:lang w:val="en-GB"/>
        </w:rPr>
        <w:t xml:space="preserve"> (SLI)</w:t>
      </w:r>
      <w:r w:rsidRPr="005A55A8">
        <w:rPr>
          <w:lang w:val="en-GB"/>
        </w:rPr>
        <w:t>.</w:t>
      </w:r>
    </w:p>
    <w:p w14:paraId="78D59770" w14:textId="4A0C2B40" w:rsidR="004C4BAA" w:rsidRPr="005A55A8" w:rsidRDefault="004C4BAA" w:rsidP="004C4BAA">
      <w:pPr>
        <w:spacing w:after="0" w:line="480" w:lineRule="auto"/>
        <w:rPr>
          <w:lang w:val="en-GB"/>
        </w:rPr>
      </w:pPr>
      <w:r w:rsidRPr="005A55A8">
        <w:rPr>
          <w:lang w:val="en-GB"/>
        </w:rPr>
        <w:t xml:space="preserve">Thirty-four school-aged children with a confirmed, diagnostically based diagnosis of SLI, and 34 control children matched on age and nonverbal abilities performed the sentence repetition task. Two general scoring measures took into account the verbatim repetition of the sentence and the number of words accurately repeated. Moreover, five other scoring measures were applied to their answers in order to separately take into account their respect of lexical items, functional items, syntax, verb morphology, and the general meaning of the sentence. Results show good to high levels of sensitivity and specificity at the three cut-off points for all scoring measures. A principal component analysis revealed two factors. Scoring measures for the respect of functional words, syntax and verb morphology provided the largest loadings to the first factor, while scoring measures for the respect of lexical words and general semantics provided the largest loadings to the second factor. </w:t>
      </w:r>
      <w:r w:rsidR="00617D6E">
        <w:rPr>
          <w:lang w:val="en-GB"/>
        </w:rPr>
        <w:t xml:space="preserve">Sentence repetition appears to be a valuable tool to identify SLI in French children, and </w:t>
      </w:r>
      <w:r w:rsidR="00B6197D">
        <w:rPr>
          <w:lang w:val="en-GB"/>
        </w:rPr>
        <w:t>the ability to repeat sentences</w:t>
      </w:r>
      <w:r w:rsidR="00E3291F" w:rsidRPr="00E3291F">
        <w:rPr>
          <w:lang w:val="en-GB"/>
        </w:rPr>
        <w:t xml:space="preserve"> </w:t>
      </w:r>
      <w:r w:rsidR="00E3291F">
        <w:rPr>
          <w:lang w:val="en-GB"/>
        </w:rPr>
        <w:t>correctly</w:t>
      </w:r>
      <w:r w:rsidR="00B6197D">
        <w:rPr>
          <w:lang w:val="en-GB"/>
        </w:rPr>
        <w:t xml:space="preserve"> is supported by two factors: a </w:t>
      </w:r>
      <w:proofErr w:type="spellStart"/>
      <w:r w:rsidR="00B6197D">
        <w:rPr>
          <w:lang w:val="en-GB"/>
        </w:rPr>
        <w:t>morphosyntactic</w:t>
      </w:r>
      <w:proofErr w:type="spellEnd"/>
      <w:r w:rsidR="00B6197D">
        <w:rPr>
          <w:lang w:val="en-GB"/>
        </w:rPr>
        <w:t xml:space="preserve"> factor and a lexical factor</w:t>
      </w:r>
      <w:r w:rsidR="00617D6E">
        <w:rPr>
          <w:lang w:val="en-GB"/>
        </w:rPr>
        <w:t xml:space="preserve">. </w:t>
      </w:r>
    </w:p>
    <w:p w14:paraId="351F9D99" w14:textId="77777777" w:rsidR="004C4BAA" w:rsidRPr="00BE1FB1" w:rsidRDefault="004C4BAA" w:rsidP="00BE1FB1">
      <w:pPr>
        <w:pStyle w:val="Paragraphedeliste"/>
        <w:numPr>
          <w:ilvl w:val="0"/>
          <w:numId w:val="11"/>
        </w:numPr>
        <w:spacing w:after="0" w:line="480" w:lineRule="auto"/>
        <w:jc w:val="center"/>
        <w:rPr>
          <w:b/>
          <w:lang w:val="en-GB"/>
        </w:rPr>
      </w:pPr>
      <w:r w:rsidRPr="008B167E">
        <w:rPr>
          <w:lang w:val="en-GB"/>
        </w:rPr>
        <w:br w:type="page"/>
      </w:r>
      <w:r w:rsidRPr="00BE1FB1">
        <w:rPr>
          <w:b/>
          <w:lang w:val="en-GB"/>
        </w:rPr>
        <w:lastRenderedPageBreak/>
        <w:t>Introduction</w:t>
      </w:r>
    </w:p>
    <w:p w14:paraId="18EDBE71" w14:textId="070F476F" w:rsidR="00270033" w:rsidRDefault="004C4BAA" w:rsidP="00123878">
      <w:pPr>
        <w:spacing w:after="0" w:line="480" w:lineRule="auto"/>
        <w:ind w:firstLine="709"/>
        <w:rPr>
          <w:lang w:val="en-GB"/>
        </w:rPr>
      </w:pPr>
      <w:r w:rsidRPr="005A55A8">
        <w:rPr>
          <w:lang w:val="en-GB"/>
        </w:rPr>
        <w:t xml:space="preserve">Diagnosing language impairment is a complex </w:t>
      </w:r>
      <w:proofErr w:type="spellStart"/>
      <w:r w:rsidRPr="005A55A8">
        <w:rPr>
          <w:lang w:val="en-GB"/>
        </w:rPr>
        <w:t>endeavor</w:t>
      </w:r>
      <w:proofErr w:type="spellEnd"/>
      <w:r w:rsidRPr="005A55A8">
        <w:rPr>
          <w:lang w:val="en-GB"/>
        </w:rPr>
        <w:t xml:space="preserve">. Some tasks are considered to be useful tools for identifying children with specific language impairment (SLI), given that these children consistently </w:t>
      </w:r>
      <w:r w:rsidR="00E3291F">
        <w:rPr>
          <w:lang w:val="en-GB"/>
        </w:rPr>
        <w:t>perform at a lower level</w:t>
      </w:r>
      <w:r w:rsidRPr="005A55A8">
        <w:rPr>
          <w:lang w:val="en-GB"/>
        </w:rPr>
        <w:t xml:space="preserve"> than their chronological age- (or even language age-) matched peers. These tasks include finite verb morphology </w:t>
      </w:r>
      <w:r w:rsidRPr="005A55A8">
        <w:rPr>
          <w:noProof/>
          <w:lang w:val="en-GB"/>
        </w:rPr>
        <w:t>(e.g., Conti-Ramsden, 2003; Oetting &amp; McDonald, 2001; Rice &amp; Wexler, 1996)</w:t>
      </w:r>
      <w:r w:rsidRPr="005A55A8">
        <w:rPr>
          <w:lang w:val="en-GB"/>
        </w:rPr>
        <w:t xml:space="preserve">, </w:t>
      </w:r>
      <w:proofErr w:type="spellStart"/>
      <w:r w:rsidRPr="005A55A8">
        <w:rPr>
          <w:lang w:val="en-GB"/>
        </w:rPr>
        <w:t>nonword</w:t>
      </w:r>
      <w:proofErr w:type="spellEnd"/>
      <w:r w:rsidRPr="005A55A8">
        <w:rPr>
          <w:lang w:val="en-GB"/>
        </w:rPr>
        <w:t xml:space="preserve"> repetition</w:t>
      </w:r>
      <w:r>
        <w:rPr>
          <w:lang w:val="en-GB"/>
        </w:rPr>
        <w:t xml:space="preserve"> and sentence repetition</w:t>
      </w:r>
      <w:r w:rsidRPr="005A55A8">
        <w:rPr>
          <w:lang w:val="en-GB"/>
        </w:rPr>
        <w:t xml:space="preserve"> </w:t>
      </w:r>
      <w:r w:rsidRPr="005A55A8">
        <w:rPr>
          <w:noProof/>
          <w:lang w:val="en-GB"/>
        </w:rPr>
        <w:t>(e.g., Archibald &amp; Joanisse, 2009; Conti-Ramsden, Botting, &amp; Faragher, 2001; Stokes, Wong, Fletcher, &amp; Leonard, 2006)</w:t>
      </w:r>
      <w:r w:rsidRPr="005A55A8">
        <w:rPr>
          <w:lang w:val="en-GB"/>
        </w:rPr>
        <w:t xml:space="preserve">. </w:t>
      </w:r>
      <w:r w:rsidR="00416FAD">
        <w:rPr>
          <w:lang w:val="en-GB"/>
        </w:rPr>
        <w:t xml:space="preserve">Among them, </w:t>
      </w:r>
      <w:r w:rsidRPr="005A55A8">
        <w:rPr>
          <w:lang w:val="en-GB"/>
        </w:rPr>
        <w:t xml:space="preserve">sentence repetition </w:t>
      </w:r>
      <w:r w:rsidR="00416FAD">
        <w:rPr>
          <w:lang w:val="en-GB"/>
        </w:rPr>
        <w:t>is</w:t>
      </w:r>
      <w:r w:rsidRPr="005A55A8">
        <w:rPr>
          <w:lang w:val="en-GB"/>
        </w:rPr>
        <w:t xml:space="preserve"> the most useful clinical marker</w:t>
      </w:r>
      <w:r w:rsidR="00416FAD">
        <w:rPr>
          <w:lang w:val="en-GB"/>
        </w:rPr>
        <w:t xml:space="preserve"> </w:t>
      </w:r>
      <w:r w:rsidR="00AE3ED4">
        <w:rPr>
          <w:lang w:val="en-GB"/>
        </w:rPr>
        <w:t xml:space="preserve">of SLI </w:t>
      </w:r>
      <w:r w:rsidR="00416FAD">
        <w:rPr>
          <w:lang w:val="en-GB"/>
        </w:rPr>
        <w:t xml:space="preserve">in </w:t>
      </w:r>
      <w:r w:rsidR="00E3291F">
        <w:rPr>
          <w:lang w:val="en-GB"/>
        </w:rPr>
        <w:t xml:space="preserve">the </w:t>
      </w:r>
      <w:r w:rsidR="00416FAD">
        <w:rPr>
          <w:lang w:val="en-GB"/>
        </w:rPr>
        <w:t>English language</w:t>
      </w:r>
      <w:r w:rsidRPr="005A55A8">
        <w:rPr>
          <w:lang w:val="en-GB"/>
        </w:rPr>
        <w:t>, with high levels of overall accuracy (88%), specificity (85%) and sensitivity (90</w:t>
      </w:r>
      <w:r w:rsidR="00416FAD" w:rsidRPr="005A55A8">
        <w:rPr>
          <w:lang w:val="en-GB"/>
        </w:rPr>
        <w:t>%</w:t>
      </w:r>
      <w:r w:rsidR="00E3291F">
        <w:rPr>
          <w:lang w:val="en-GB"/>
        </w:rPr>
        <w:t xml:space="preserve">) </w:t>
      </w:r>
      <w:proofErr w:type="gramStart"/>
      <w:r w:rsidR="00E3291F">
        <w:rPr>
          <w:lang w:val="en-GB"/>
        </w:rPr>
        <w:t>(</w:t>
      </w:r>
      <w:r w:rsidR="00416FAD" w:rsidRPr="005A55A8">
        <w:rPr>
          <w:lang w:val="en-GB"/>
        </w:rPr>
        <w:t>Conti-</w:t>
      </w:r>
      <w:proofErr w:type="spellStart"/>
      <w:r w:rsidR="00416FAD" w:rsidRPr="005A55A8">
        <w:rPr>
          <w:lang w:val="en-GB"/>
        </w:rPr>
        <w:t>Ramsden</w:t>
      </w:r>
      <w:proofErr w:type="spellEnd"/>
      <w:r w:rsidR="00416FAD" w:rsidRPr="005A55A8">
        <w:rPr>
          <w:lang w:val="en-GB"/>
        </w:rPr>
        <w:t xml:space="preserve"> </w:t>
      </w:r>
      <w:r w:rsidR="00416FAD">
        <w:rPr>
          <w:lang w:val="en-GB"/>
        </w:rPr>
        <w:t xml:space="preserve">et al., </w:t>
      </w:r>
      <w:r w:rsidR="00416FAD" w:rsidRPr="005A55A8">
        <w:rPr>
          <w:lang w:val="en-GB"/>
        </w:rPr>
        <w:t>2001)</w:t>
      </w:r>
      <w:r w:rsidR="00416FAD">
        <w:rPr>
          <w:lang w:val="en-GB"/>
        </w:rPr>
        <w:t xml:space="preserve"> </w:t>
      </w:r>
      <w:r w:rsidR="00AE3ED4">
        <w:rPr>
          <w:lang w:val="en-GB"/>
        </w:rPr>
        <w:t xml:space="preserve">even when language difficulties are associated </w:t>
      </w:r>
      <w:r w:rsidR="00E3291F">
        <w:rPr>
          <w:lang w:val="en-GB"/>
        </w:rPr>
        <w:t xml:space="preserve">with </w:t>
      </w:r>
      <w:r w:rsidR="00AE3ED4">
        <w:rPr>
          <w:lang w:val="en-GB"/>
        </w:rPr>
        <w:t xml:space="preserve">working memory impairments </w:t>
      </w:r>
      <w:r w:rsidR="00AE3ED4" w:rsidRPr="005A55A8">
        <w:rPr>
          <w:lang w:val="en-GB"/>
        </w:rPr>
        <w:t xml:space="preserve">(Archibald </w:t>
      </w:r>
      <w:r w:rsidR="00AE3ED4">
        <w:rPr>
          <w:lang w:val="en-GB"/>
        </w:rPr>
        <w:t>&amp;</w:t>
      </w:r>
      <w:r w:rsidR="00AE3ED4" w:rsidRPr="005A55A8">
        <w:rPr>
          <w:lang w:val="en-GB"/>
        </w:rPr>
        <w:t xml:space="preserve"> </w:t>
      </w:r>
      <w:proofErr w:type="spellStart"/>
      <w:r w:rsidR="00AE3ED4" w:rsidRPr="005A55A8">
        <w:rPr>
          <w:lang w:val="en-GB"/>
        </w:rPr>
        <w:t>Joanisse</w:t>
      </w:r>
      <w:proofErr w:type="spellEnd"/>
      <w:r w:rsidR="00E3291F">
        <w:rPr>
          <w:lang w:val="en-GB"/>
        </w:rPr>
        <w:t>,</w:t>
      </w:r>
      <w:r w:rsidR="00AE3ED4" w:rsidRPr="005A55A8">
        <w:rPr>
          <w:lang w:val="en-GB"/>
        </w:rPr>
        <w:t xml:space="preserve"> 2009)</w:t>
      </w:r>
      <w:r w:rsidR="00AE3ED4">
        <w:rPr>
          <w:lang w:val="en-GB"/>
        </w:rPr>
        <w:t>.</w:t>
      </w:r>
      <w:proofErr w:type="gramEnd"/>
      <w:r w:rsidR="00AE3ED4">
        <w:rPr>
          <w:lang w:val="en-GB"/>
        </w:rPr>
        <w:t xml:space="preserve"> </w:t>
      </w:r>
      <w:r w:rsidRPr="005A55A8">
        <w:rPr>
          <w:lang w:val="en-GB"/>
        </w:rPr>
        <w:t xml:space="preserve"> In Cantonese, sentence repetition, but not </w:t>
      </w:r>
      <w:proofErr w:type="spellStart"/>
      <w:r w:rsidRPr="005A55A8">
        <w:rPr>
          <w:lang w:val="en-GB"/>
        </w:rPr>
        <w:t>nonword</w:t>
      </w:r>
      <w:proofErr w:type="spellEnd"/>
      <w:r w:rsidRPr="005A55A8">
        <w:rPr>
          <w:lang w:val="en-GB"/>
        </w:rPr>
        <w:t xml:space="preserve"> repetition, discriminates between children with SLI and their typically developing peers, with a specificity of 97%</w:t>
      </w:r>
      <w:r w:rsidR="00727732">
        <w:rPr>
          <w:lang w:val="en-GB"/>
        </w:rPr>
        <w:t xml:space="preserve"> </w:t>
      </w:r>
      <w:r w:rsidR="00416FAD">
        <w:rPr>
          <w:lang w:val="en-GB"/>
        </w:rPr>
        <w:t>(</w:t>
      </w:r>
      <w:r w:rsidR="00416FAD" w:rsidRPr="005A55A8">
        <w:rPr>
          <w:lang w:val="en-GB"/>
        </w:rPr>
        <w:t>Stokes</w:t>
      </w:r>
      <w:r w:rsidR="00101ED2">
        <w:rPr>
          <w:lang w:val="en-GB"/>
        </w:rPr>
        <w:t xml:space="preserve"> et al.</w:t>
      </w:r>
      <w:r w:rsidR="00416FAD">
        <w:rPr>
          <w:lang w:val="en-GB"/>
        </w:rPr>
        <w:t xml:space="preserve">, </w:t>
      </w:r>
      <w:r w:rsidR="00416FAD" w:rsidRPr="005A55A8">
        <w:rPr>
          <w:lang w:val="en-GB"/>
        </w:rPr>
        <w:t>2006)</w:t>
      </w:r>
      <w:r w:rsidRPr="005A55A8">
        <w:rPr>
          <w:lang w:val="en-GB"/>
        </w:rPr>
        <w:t>. Sentence repetition has also proved to be a good clinical marker of SLI in young adults</w:t>
      </w:r>
      <w:r w:rsidR="00416FAD">
        <w:rPr>
          <w:lang w:val="en-GB"/>
        </w:rPr>
        <w:t xml:space="preserve"> (</w:t>
      </w:r>
      <w:r w:rsidRPr="005A55A8">
        <w:rPr>
          <w:lang w:val="en-GB"/>
        </w:rPr>
        <w:t xml:space="preserve">Poll, Betz, </w:t>
      </w:r>
      <w:r w:rsidR="00416FAD">
        <w:rPr>
          <w:lang w:val="en-GB"/>
        </w:rPr>
        <w:t>&amp;</w:t>
      </w:r>
      <w:r w:rsidR="00416FAD" w:rsidRPr="005A55A8">
        <w:rPr>
          <w:lang w:val="en-GB"/>
        </w:rPr>
        <w:t xml:space="preserve"> </w:t>
      </w:r>
      <w:r w:rsidRPr="005A55A8">
        <w:rPr>
          <w:lang w:val="en-GB"/>
        </w:rPr>
        <w:t>Miller</w:t>
      </w:r>
      <w:r w:rsidR="00416FAD">
        <w:rPr>
          <w:lang w:val="en-GB"/>
        </w:rPr>
        <w:t xml:space="preserve">, </w:t>
      </w:r>
      <w:r w:rsidRPr="005A55A8">
        <w:rPr>
          <w:noProof/>
          <w:lang w:val="en-GB"/>
        </w:rPr>
        <w:t>2010)</w:t>
      </w:r>
      <w:r w:rsidRPr="005A55A8">
        <w:rPr>
          <w:lang w:val="en-GB"/>
        </w:rPr>
        <w:t>. Moreover, sentence repetition could be specific to the kind of language difficulties encountered by children with SLI, as compared to other language-impaired children</w:t>
      </w:r>
      <w:r w:rsidR="000C4B1D">
        <w:rPr>
          <w:lang w:val="en-GB"/>
        </w:rPr>
        <w:t>. S</w:t>
      </w:r>
      <w:r w:rsidR="000C4B1D" w:rsidRPr="005A55A8">
        <w:rPr>
          <w:lang w:val="en-GB"/>
        </w:rPr>
        <w:t xml:space="preserve">entence repetition </w:t>
      </w:r>
      <w:r w:rsidR="000C4B1D">
        <w:rPr>
          <w:lang w:val="en-GB"/>
        </w:rPr>
        <w:t>is</w:t>
      </w:r>
      <w:r w:rsidR="000C4B1D" w:rsidRPr="005A55A8">
        <w:rPr>
          <w:lang w:val="en-GB"/>
        </w:rPr>
        <w:t xml:space="preserve"> </w:t>
      </w:r>
      <w:r w:rsidR="00ED030C">
        <w:rPr>
          <w:lang w:val="en-GB"/>
        </w:rPr>
        <w:t xml:space="preserve">indeed </w:t>
      </w:r>
      <w:r w:rsidR="000C4B1D" w:rsidRPr="005A55A8">
        <w:rPr>
          <w:lang w:val="en-GB"/>
        </w:rPr>
        <w:t>a</w:t>
      </w:r>
      <w:r w:rsidR="00123878">
        <w:rPr>
          <w:lang w:val="en-GB"/>
        </w:rPr>
        <w:t>n efficient</w:t>
      </w:r>
      <w:r w:rsidR="000C4B1D" w:rsidRPr="005A55A8">
        <w:rPr>
          <w:lang w:val="en-GB"/>
        </w:rPr>
        <w:t xml:space="preserve"> tool to differentiate children with SLI from children</w:t>
      </w:r>
      <w:r w:rsidR="000C4B1D">
        <w:rPr>
          <w:lang w:val="en-GB"/>
        </w:rPr>
        <w:t xml:space="preserve"> </w:t>
      </w:r>
      <w:r w:rsidR="000C4B1D" w:rsidRPr="005A55A8">
        <w:rPr>
          <w:lang w:val="en-GB"/>
        </w:rPr>
        <w:t>with language problem</w:t>
      </w:r>
      <w:r w:rsidR="00E3291F">
        <w:rPr>
          <w:lang w:val="en-GB"/>
        </w:rPr>
        <w:t>s</w:t>
      </w:r>
      <w:r w:rsidR="000C4B1D" w:rsidRPr="005A55A8">
        <w:rPr>
          <w:lang w:val="en-GB"/>
        </w:rPr>
        <w:t xml:space="preserve"> due to hearing loss</w:t>
      </w:r>
      <w:r w:rsidR="000C4B1D">
        <w:rPr>
          <w:lang w:val="en-GB"/>
        </w:rPr>
        <w:t xml:space="preserve"> (</w:t>
      </w:r>
      <w:r w:rsidR="000C4B1D" w:rsidRPr="005A55A8">
        <w:rPr>
          <w:lang w:val="en-GB"/>
        </w:rPr>
        <w:t xml:space="preserve">Briscoe, Bishop, </w:t>
      </w:r>
      <w:r w:rsidR="000C4B1D">
        <w:rPr>
          <w:lang w:val="en-GB"/>
        </w:rPr>
        <w:t xml:space="preserve">&amp; </w:t>
      </w:r>
      <w:proofErr w:type="spellStart"/>
      <w:r w:rsidR="000C4B1D">
        <w:rPr>
          <w:lang w:val="en-GB"/>
        </w:rPr>
        <w:t>Norbury</w:t>
      </w:r>
      <w:proofErr w:type="spellEnd"/>
      <w:r w:rsidR="000C4B1D">
        <w:rPr>
          <w:lang w:val="en-GB"/>
        </w:rPr>
        <w:t xml:space="preserve">, </w:t>
      </w:r>
      <w:r w:rsidR="000C4B1D" w:rsidRPr="00123878">
        <w:rPr>
          <w:noProof/>
          <w:lang w:val="en-GB"/>
        </w:rPr>
        <w:t>2001)</w:t>
      </w:r>
      <w:r w:rsidR="00E3291F" w:rsidRPr="00123878">
        <w:rPr>
          <w:noProof/>
          <w:lang w:val="en-GB"/>
        </w:rPr>
        <w:t>,</w:t>
      </w:r>
      <w:r w:rsidR="000C4B1D" w:rsidRPr="00123878">
        <w:rPr>
          <w:noProof/>
          <w:lang w:val="en-GB"/>
        </w:rPr>
        <w:t xml:space="preserve"> </w:t>
      </w:r>
      <w:r w:rsidR="000C4B1D" w:rsidRPr="005A55A8">
        <w:rPr>
          <w:lang w:val="en-GB"/>
        </w:rPr>
        <w:t xml:space="preserve">resolved late </w:t>
      </w:r>
      <w:r w:rsidR="000C4B1D">
        <w:rPr>
          <w:lang w:val="en-GB"/>
        </w:rPr>
        <w:t>talkers (</w:t>
      </w:r>
      <w:proofErr w:type="spellStart"/>
      <w:r w:rsidR="000C4B1D" w:rsidRPr="005A55A8">
        <w:rPr>
          <w:lang w:val="en-GB"/>
        </w:rPr>
        <w:t>Petruccelli</w:t>
      </w:r>
      <w:proofErr w:type="spellEnd"/>
      <w:r w:rsidR="000C4B1D" w:rsidRPr="005A55A8">
        <w:rPr>
          <w:lang w:val="en-GB"/>
        </w:rPr>
        <w:t xml:space="preserve">, </w:t>
      </w:r>
      <w:proofErr w:type="spellStart"/>
      <w:r w:rsidR="000C4B1D" w:rsidRPr="005A55A8">
        <w:rPr>
          <w:lang w:val="en-GB"/>
        </w:rPr>
        <w:t>Bavin</w:t>
      </w:r>
      <w:proofErr w:type="spellEnd"/>
      <w:r w:rsidR="000C4B1D" w:rsidRPr="005A55A8">
        <w:rPr>
          <w:lang w:val="en-GB"/>
        </w:rPr>
        <w:t xml:space="preserve">, </w:t>
      </w:r>
      <w:r w:rsidR="000C4B1D">
        <w:rPr>
          <w:lang w:val="en-GB"/>
        </w:rPr>
        <w:t>&amp;</w:t>
      </w:r>
      <w:r w:rsidR="000C4B1D" w:rsidRPr="005A55A8">
        <w:rPr>
          <w:lang w:val="en-GB"/>
        </w:rPr>
        <w:t xml:space="preserve"> </w:t>
      </w:r>
      <w:proofErr w:type="spellStart"/>
      <w:r w:rsidR="000C4B1D" w:rsidRPr="005A55A8">
        <w:rPr>
          <w:lang w:val="en-GB"/>
        </w:rPr>
        <w:t>Bretherton</w:t>
      </w:r>
      <w:proofErr w:type="spellEnd"/>
      <w:r w:rsidR="000C4B1D">
        <w:rPr>
          <w:lang w:val="en-GB"/>
        </w:rPr>
        <w:t xml:space="preserve">, </w:t>
      </w:r>
      <w:r w:rsidR="000C4B1D" w:rsidRPr="005A55A8">
        <w:rPr>
          <w:noProof/>
          <w:lang w:val="en-GB"/>
        </w:rPr>
        <w:t>2012)</w:t>
      </w:r>
      <w:r w:rsidR="000C4B1D">
        <w:rPr>
          <w:lang w:val="en-GB"/>
        </w:rPr>
        <w:t xml:space="preserve"> or </w:t>
      </w:r>
      <w:r w:rsidR="000C4B1D" w:rsidRPr="005A55A8">
        <w:rPr>
          <w:lang w:val="en-GB"/>
        </w:rPr>
        <w:t>children with an autism spectrum disorder without language problem</w:t>
      </w:r>
      <w:r w:rsidR="00E3291F">
        <w:rPr>
          <w:lang w:val="en-GB"/>
        </w:rPr>
        <w:t>s</w:t>
      </w:r>
      <w:r w:rsidR="000C4B1D" w:rsidRPr="000C4B1D">
        <w:rPr>
          <w:lang w:val="en-GB"/>
        </w:rPr>
        <w:t xml:space="preserve"> </w:t>
      </w:r>
      <w:r w:rsidR="000C4B1D">
        <w:rPr>
          <w:lang w:val="en-GB"/>
        </w:rPr>
        <w:t>(</w:t>
      </w:r>
      <w:r w:rsidR="000C4B1D" w:rsidRPr="005A55A8">
        <w:rPr>
          <w:lang w:val="en-GB"/>
        </w:rPr>
        <w:t xml:space="preserve">Taylor, </w:t>
      </w:r>
      <w:proofErr w:type="spellStart"/>
      <w:r w:rsidR="000C4B1D" w:rsidRPr="005A55A8">
        <w:rPr>
          <w:lang w:val="en-GB"/>
        </w:rPr>
        <w:t>Maybery</w:t>
      </w:r>
      <w:proofErr w:type="spellEnd"/>
      <w:r w:rsidR="000C4B1D" w:rsidRPr="005A55A8">
        <w:rPr>
          <w:lang w:val="en-GB"/>
        </w:rPr>
        <w:t xml:space="preserve">, Grayndler, </w:t>
      </w:r>
      <w:r w:rsidR="000C4B1D">
        <w:rPr>
          <w:lang w:val="en-GB"/>
        </w:rPr>
        <w:t>&amp;</w:t>
      </w:r>
      <w:r w:rsidR="000C4B1D" w:rsidRPr="005A55A8">
        <w:rPr>
          <w:lang w:val="en-GB"/>
        </w:rPr>
        <w:t xml:space="preserve"> Whitehouse</w:t>
      </w:r>
      <w:r w:rsidR="000C4B1D">
        <w:rPr>
          <w:lang w:val="en-GB"/>
        </w:rPr>
        <w:t xml:space="preserve">, </w:t>
      </w:r>
      <w:r w:rsidR="000C4B1D" w:rsidRPr="005A55A8">
        <w:rPr>
          <w:noProof/>
          <w:lang w:val="en-GB"/>
        </w:rPr>
        <w:t>201</w:t>
      </w:r>
      <w:r w:rsidR="00F04F0B">
        <w:rPr>
          <w:noProof/>
          <w:lang w:val="en-GB"/>
        </w:rPr>
        <w:t>4</w:t>
      </w:r>
      <w:r w:rsidR="000C4B1D" w:rsidRPr="005A55A8">
        <w:rPr>
          <w:noProof/>
          <w:lang w:val="en-GB"/>
        </w:rPr>
        <w:t>)</w:t>
      </w:r>
      <w:r w:rsidR="000C4B1D">
        <w:rPr>
          <w:noProof/>
          <w:lang w:val="en-GB"/>
        </w:rPr>
        <w:t>.</w:t>
      </w:r>
      <w:r w:rsidR="000C4B1D" w:rsidRPr="005A55A8">
        <w:rPr>
          <w:lang w:val="en-GB"/>
        </w:rPr>
        <w:t xml:space="preserve"> </w:t>
      </w:r>
      <w:r w:rsidRPr="005A55A8">
        <w:rPr>
          <w:lang w:val="en-GB"/>
        </w:rPr>
        <w:t xml:space="preserve"> </w:t>
      </w:r>
    </w:p>
    <w:p w14:paraId="73AFAFF1" w14:textId="02245A43" w:rsidR="00270033" w:rsidRDefault="004C4BAA" w:rsidP="00123878">
      <w:pPr>
        <w:spacing w:after="0" w:line="480" w:lineRule="auto"/>
        <w:ind w:firstLine="709"/>
        <w:rPr>
          <w:lang w:val="en-GB"/>
        </w:rPr>
      </w:pPr>
      <w:r w:rsidRPr="005A55A8">
        <w:rPr>
          <w:lang w:val="en-GB"/>
        </w:rPr>
        <w:t>Sentence repetition can thus be considered as a powerful clinical psycholinguistic marker of SLI. Consequently, this task is of particular interest for</w:t>
      </w:r>
      <w:r w:rsidR="00B915B6">
        <w:rPr>
          <w:lang w:val="en-GB"/>
        </w:rPr>
        <w:t xml:space="preserve"> speech-language pathologists</w:t>
      </w:r>
      <w:r w:rsidRPr="005A55A8">
        <w:rPr>
          <w:lang w:val="en-GB"/>
        </w:rPr>
        <w:t xml:space="preserve"> </w:t>
      </w:r>
      <w:r w:rsidR="00B915B6">
        <w:rPr>
          <w:lang w:val="en-GB"/>
        </w:rPr>
        <w:t>(</w:t>
      </w:r>
      <w:r w:rsidRPr="005A55A8">
        <w:rPr>
          <w:lang w:val="en-GB"/>
        </w:rPr>
        <w:t>SLPs</w:t>
      </w:r>
      <w:r w:rsidR="00B915B6">
        <w:rPr>
          <w:lang w:val="en-GB"/>
        </w:rPr>
        <w:t>)</w:t>
      </w:r>
      <w:r w:rsidRPr="005A55A8">
        <w:rPr>
          <w:lang w:val="en-GB"/>
        </w:rPr>
        <w:t xml:space="preserve"> to diagnose SLI. However, only </w:t>
      </w:r>
      <w:r w:rsidR="00ED030C">
        <w:rPr>
          <w:lang w:val="en-GB"/>
        </w:rPr>
        <w:t>two</w:t>
      </w:r>
      <w:r w:rsidR="00ED030C" w:rsidRPr="005A55A8">
        <w:rPr>
          <w:lang w:val="en-GB"/>
        </w:rPr>
        <w:t xml:space="preserve"> </w:t>
      </w:r>
      <w:r w:rsidRPr="005A55A8">
        <w:rPr>
          <w:lang w:val="en-GB"/>
        </w:rPr>
        <w:t>French standardized test instruments commonly used by SLPs include such a task for school-age children: the NEEL battery for children between 4 and 8 year</w:t>
      </w:r>
      <w:r w:rsidR="00E378AB">
        <w:rPr>
          <w:lang w:val="en-GB"/>
        </w:rPr>
        <w:t>s</w:t>
      </w:r>
      <w:r w:rsidRPr="005A55A8">
        <w:rPr>
          <w:lang w:val="en-GB"/>
        </w:rPr>
        <w:t xml:space="preserve"> old </w:t>
      </w:r>
      <w:r w:rsidRPr="00BE1FB1">
        <w:rPr>
          <w:i/>
          <w:noProof/>
          <w:lang w:val="en-GB"/>
        </w:rPr>
        <w:t>(Nouvelles Epreuves pour l’Examen du Langage</w:t>
      </w:r>
      <w:r w:rsidRPr="005A55A8">
        <w:rPr>
          <w:noProof/>
          <w:lang w:val="en-GB"/>
        </w:rPr>
        <w:t>, Chevrie-Muller &amp; Plaza, 2001)</w:t>
      </w:r>
      <w:r w:rsidRPr="005A55A8">
        <w:rPr>
          <w:lang w:val="en-GB"/>
        </w:rPr>
        <w:t>, and the L2MA2 battery for children between 7 and 12 year</w:t>
      </w:r>
      <w:r w:rsidR="00E378AB">
        <w:rPr>
          <w:lang w:val="en-GB"/>
        </w:rPr>
        <w:t>s</w:t>
      </w:r>
      <w:r w:rsidRPr="005A55A8">
        <w:rPr>
          <w:lang w:val="en-GB"/>
        </w:rPr>
        <w:t xml:space="preserve"> old </w:t>
      </w:r>
      <w:r w:rsidRPr="005A55A8">
        <w:rPr>
          <w:noProof/>
          <w:lang w:val="en-GB"/>
        </w:rPr>
        <w:t>(</w:t>
      </w:r>
      <w:r w:rsidRPr="00BE1FB1">
        <w:rPr>
          <w:i/>
          <w:noProof/>
          <w:lang w:val="en-GB"/>
        </w:rPr>
        <w:t>Langage Oral, Langage Ecrit, Mémoire et Attention</w:t>
      </w:r>
      <w:r w:rsidRPr="005A55A8">
        <w:rPr>
          <w:noProof/>
          <w:lang w:val="en-GB"/>
        </w:rPr>
        <w:t xml:space="preserve"> </w:t>
      </w:r>
      <w:r w:rsidR="00E378AB">
        <w:rPr>
          <w:noProof/>
          <w:lang w:val="en-GB"/>
        </w:rPr>
        <w:t>[</w:t>
      </w:r>
      <w:r w:rsidR="001B3B7A">
        <w:rPr>
          <w:noProof/>
          <w:lang w:val="en-GB"/>
        </w:rPr>
        <w:t>2nd Edition</w:t>
      </w:r>
      <w:r w:rsidR="00E378AB">
        <w:rPr>
          <w:noProof/>
          <w:lang w:val="en-GB"/>
        </w:rPr>
        <w:t>]</w:t>
      </w:r>
      <w:r w:rsidR="001B3B7A">
        <w:rPr>
          <w:noProof/>
          <w:lang w:val="en-GB"/>
        </w:rPr>
        <w:t>,</w:t>
      </w:r>
      <w:r w:rsidRPr="005A55A8">
        <w:rPr>
          <w:noProof/>
          <w:lang w:val="en-GB"/>
        </w:rPr>
        <w:t xml:space="preserve"> Chevrie-Muller, Maillart, Simon, &amp; Fournier, 2010)</w:t>
      </w:r>
      <w:r w:rsidRPr="005A55A8">
        <w:rPr>
          <w:lang w:val="en-GB"/>
        </w:rPr>
        <w:t xml:space="preserve">. Moreover, data related to their </w:t>
      </w:r>
      <w:r w:rsidRPr="005A55A8">
        <w:rPr>
          <w:lang w:val="en-GB"/>
        </w:rPr>
        <w:lastRenderedPageBreak/>
        <w:t xml:space="preserve">identification accuracy </w:t>
      </w:r>
      <w:r w:rsidR="00E378AB">
        <w:rPr>
          <w:lang w:val="en-GB"/>
        </w:rPr>
        <w:t>has not been reported to date</w:t>
      </w:r>
      <w:r w:rsidRPr="005A55A8">
        <w:rPr>
          <w:lang w:val="en-GB"/>
        </w:rPr>
        <w:t xml:space="preserve">.  As far as we know, only one study assessed the identification accuracy of a sentence repetition task in French </w:t>
      </w:r>
      <w:r w:rsidRPr="005A55A8">
        <w:rPr>
          <w:noProof/>
          <w:lang w:val="en-GB"/>
        </w:rPr>
        <w:t>(Thordardottir et al., 2011)</w:t>
      </w:r>
      <w:r w:rsidRPr="005A55A8">
        <w:rPr>
          <w:lang w:val="en-GB"/>
        </w:rPr>
        <w:t xml:space="preserve">. This task proved to be a sensitive (86%) and specific (92%) clinical marker of French 5-year-old children with SLI, confirming its potential power as a diagnostic tool in French, like it is in English. However, the task </w:t>
      </w:r>
      <w:r w:rsidR="00E378AB">
        <w:rPr>
          <w:lang w:val="en-GB"/>
        </w:rPr>
        <w:t xml:space="preserve">that </w:t>
      </w:r>
      <w:proofErr w:type="spellStart"/>
      <w:r w:rsidRPr="005A55A8">
        <w:rPr>
          <w:lang w:val="en-GB"/>
        </w:rPr>
        <w:t>Thordardottir</w:t>
      </w:r>
      <w:proofErr w:type="spellEnd"/>
      <w:r w:rsidRPr="005A55A8">
        <w:rPr>
          <w:lang w:val="en-GB"/>
        </w:rPr>
        <w:t xml:space="preserve"> and colleagues describe was adapted for the purpose of their study and is thus not available to French SLPs. In the present study, we </w:t>
      </w:r>
      <w:r w:rsidR="007763ED">
        <w:rPr>
          <w:lang w:val="en-GB"/>
        </w:rPr>
        <w:t>assessed whether</w:t>
      </w:r>
      <w:r w:rsidRPr="005A55A8">
        <w:rPr>
          <w:lang w:val="en-GB"/>
        </w:rPr>
        <w:t xml:space="preserve"> </w:t>
      </w:r>
      <w:r w:rsidR="007763ED" w:rsidRPr="005A55A8">
        <w:rPr>
          <w:lang w:val="en-GB"/>
        </w:rPr>
        <w:t xml:space="preserve">a diagnostic tool commonly used by French SLPs </w:t>
      </w:r>
      <w:r w:rsidRPr="005A55A8">
        <w:rPr>
          <w:lang w:val="en-GB"/>
        </w:rPr>
        <w:t xml:space="preserve">could be of particular interest for detecting language problems, </w:t>
      </w:r>
      <w:r w:rsidR="00E378AB">
        <w:rPr>
          <w:lang w:val="en-GB"/>
        </w:rPr>
        <w:t xml:space="preserve">and </w:t>
      </w:r>
      <w:r w:rsidRPr="005A55A8">
        <w:rPr>
          <w:lang w:val="en-GB"/>
        </w:rPr>
        <w:t xml:space="preserve">also if it could offer a first valid glimpse of the linguistic problems encountered by children </w:t>
      </w:r>
      <w:r w:rsidR="00E378AB">
        <w:rPr>
          <w:lang w:val="en-GB"/>
        </w:rPr>
        <w:t>with SLI.</w:t>
      </w:r>
    </w:p>
    <w:p w14:paraId="35FDA7EA" w14:textId="77777777" w:rsidR="004C4BAA" w:rsidRPr="00BE1FB1" w:rsidRDefault="004C4BAA" w:rsidP="00BE1FB1">
      <w:pPr>
        <w:pStyle w:val="Paragraphedeliste"/>
        <w:numPr>
          <w:ilvl w:val="1"/>
          <w:numId w:val="11"/>
        </w:numPr>
        <w:spacing w:after="0" w:line="480" w:lineRule="auto"/>
        <w:ind w:left="426"/>
        <w:rPr>
          <w:b/>
          <w:lang w:val="en-GB"/>
        </w:rPr>
      </w:pPr>
      <w:r w:rsidRPr="00BE1FB1">
        <w:rPr>
          <w:b/>
          <w:lang w:val="en-GB"/>
        </w:rPr>
        <w:t>Sentence repetition: a multi-determined task</w:t>
      </w:r>
    </w:p>
    <w:p w14:paraId="5F1F7D1E" w14:textId="423AAF40" w:rsidR="00270033" w:rsidRDefault="004C4BAA" w:rsidP="00123878">
      <w:pPr>
        <w:spacing w:after="0" w:line="480" w:lineRule="auto"/>
        <w:ind w:firstLine="709"/>
        <w:rPr>
          <w:lang w:val="en-GB"/>
        </w:rPr>
      </w:pPr>
      <w:r w:rsidRPr="005A55A8">
        <w:rPr>
          <w:lang w:val="en-GB"/>
        </w:rPr>
        <w:t xml:space="preserve">Over and above the working memory resources recruited, performance on a sentence repetition task is highly dependent on linguistic abilities. When recalling sentences, long-term syntactic and semantic knowledge is recruited, enabling the binding of words into larger chunks, and the accurate recall of sentences whose length exceeds the subject's span </w:t>
      </w:r>
      <w:r w:rsidRPr="005A55A8">
        <w:rPr>
          <w:noProof/>
          <w:lang w:val="en-GB"/>
        </w:rPr>
        <w:t>(Allen &amp; Baddeley, 2009)</w:t>
      </w:r>
      <w:r w:rsidRPr="005A55A8">
        <w:rPr>
          <w:lang w:val="en-GB"/>
        </w:rPr>
        <w:t xml:space="preserve">. </w:t>
      </w:r>
      <w:r w:rsidR="0075645D">
        <w:rPr>
          <w:lang w:val="en-GB"/>
        </w:rPr>
        <w:t>The significantly large</w:t>
      </w:r>
      <w:r w:rsidR="0075645D" w:rsidRPr="005A55A8">
        <w:rPr>
          <w:lang w:val="en-GB"/>
        </w:rPr>
        <w:t xml:space="preserve"> </w:t>
      </w:r>
      <w:r w:rsidRPr="005A55A8">
        <w:rPr>
          <w:lang w:val="en-GB"/>
        </w:rPr>
        <w:t xml:space="preserve">dependence of </w:t>
      </w:r>
      <w:r w:rsidR="009842F1">
        <w:rPr>
          <w:lang w:val="en-GB"/>
        </w:rPr>
        <w:t>this</w:t>
      </w:r>
      <w:r w:rsidR="009842F1" w:rsidRPr="005A55A8">
        <w:rPr>
          <w:lang w:val="en-GB"/>
        </w:rPr>
        <w:t xml:space="preserve"> </w:t>
      </w:r>
      <w:r w:rsidRPr="005A55A8">
        <w:rPr>
          <w:lang w:val="en-GB"/>
        </w:rPr>
        <w:t xml:space="preserve">task </w:t>
      </w:r>
      <w:r w:rsidR="009842F1">
        <w:rPr>
          <w:lang w:val="en-GB"/>
        </w:rPr>
        <w:t>on</w:t>
      </w:r>
      <w:r w:rsidR="009842F1" w:rsidRPr="005A55A8">
        <w:rPr>
          <w:lang w:val="en-GB"/>
        </w:rPr>
        <w:t xml:space="preserve"> </w:t>
      </w:r>
      <w:r w:rsidRPr="005A55A8">
        <w:rPr>
          <w:lang w:val="en-GB"/>
        </w:rPr>
        <w:t xml:space="preserve">linguistic abilities was confirmed by Archibald and </w:t>
      </w:r>
      <w:proofErr w:type="spellStart"/>
      <w:r w:rsidRPr="005A55A8">
        <w:rPr>
          <w:lang w:val="en-GB"/>
        </w:rPr>
        <w:t>Joanisse</w:t>
      </w:r>
      <w:proofErr w:type="spellEnd"/>
      <w:r w:rsidRPr="005A55A8">
        <w:rPr>
          <w:lang w:val="en-GB"/>
        </w:rPr>
        <w:t xml:space="preserve"> (2009)</w:t>
      </w:r>
      <w:r w:rsidR="0075645D">
        <w:rPr>
          <w:lang w:val="en-GB"/>
        </w:rPr>
        <w:t>,</w:t>
      </w:r>
      <w:r w:rsidRPr="005A55A8">
        <w:rPr>
          <w:lang w:val="en-GB"/>
        </w:rPr>
        <w:t xml:space="preserve"> who </w:t>
      </w:r>
      <w:r w:rsidR="0075645D">
        <w:rPr>
          <w:lang w:val="en-GB"/>
        </w:rPr>
        <w:t xml:space="preserve">indicated </w:t>
      </w:r>
      <w:proofErr w:type="gramStart"/>
      <w:r w:rsidR="0075645D">
        <w:rPr>
          <w:lang w:val="en-GB"/>
        </w:rPr>
        <w:t xml:space="preserve">a </w:t>
      </w:r>
      <w:r w:rsidRPr="005A55A8">
        <w:rPr>
          <w:lang w:val="en-GB"/>
        </w:rPr>
        <w:t>lower</w:t>
      </w:r>
      <w:proofErr w:type="gramEnd"/>
      <w:r w:rsidRPr="005A55A8">
        <w:rPr>
          <w:lang w:val="en-GB"/>
        </w:rPr>
        <w:t xml:space="preserve"> </w:t>
      </w:r>
      <w:r w:rsidR="0075645D">
        <w:rPr>
          <w:lang w:val="en-GB"/>
        </w:rPr>
        <w:t xml:space="preserve">task </w:t>
      </w:r>
      <w:r w:rsidRPr="005A55A8">
        <w:rPr>
          <w:lang w:val="en-GB"/>
        </w:rPr>
        <w:t xml:space="preserve">sensitivity for children with working memory impairment than for language-impaired children. </w:t>
      </w:r>
    </w:p>
    <w:p w14:paraId="560FE22E" w14:textId="64B986E7" w:rsidR="00270033" w:rsidRDefault="004C4BAA" w:rsidP="00123878">
      <w:pPr>
        <w:spacing w:after="0" w:line="480" w:lineRule="auto"/>
        <w:ind w:firstLine="708"/>
        <w:rPr>
          <w:lang w:val="en-GB"/>
        </w:rPr>
      </w:pPr>
      <w:r w:rsidRPr="005A55A8">
        <w:rPr>
          <w:lang w:val="en-GB"/>
        </w:rPr>
        <w:t xml:space="preserve">Various studies showed </w:t>
      </w:r>
      <w:r w:rsidR="007B67A7">
        <w:rPr>
          <w:lang w:val="en-GB"/>
        </w:rPr>
        <w:t>that</w:t>
      </w:r>
      <w:r w:rsidRPr="005A55A8">
        <w:rPr>
          <w:lang w:val="en-GB"/>
        </w:rPr>
        <w:t xml:space="preserve"> linguistic knowledge </w:t>
      </w:r>
      <w:r w:rsidR="007B67A7">
        <w:rPr>
          <w:lang w:val="en-GB"/>
        </w:rPr>
        <w:t xml:space="preserve">has a significant impact </w:t>
      </w:r>
      <w:r w:rsidRPr="005A55A8">
        <w:rPr>
          <w:lang w:val="en-GB"/>
        </w:rPr>
        <w:t xml:space="preserve">on sentence recall. Comparing sentence </w:t>
      </w:r>
      <w:r w:rsidR="009842F1" w:rsidRPr="005A55A8">
        <w:rPr>
          <w:lang w:val="en-GB"/>
        </w:rPr>
        <w:t xml:space="preserve">recall </w:t>
      </w:r>
      <w:r w:rsidRPr="005A55A8">
        <w:rPr>
          <w:lang w:val="en-GB"/>
        </w:rPr>
        <w:t>to that of word lists, Jefferies</w:t>
      </w:r>
      <w:r w:rsidRPr="005A55A8">
        <w:rPr>
          <w:noProof/>
          <w:lang w:val="en-GB"/>
        </w:rPr>
        <w:t xml:space="preserve">, Lambon Ralph </w:t>
      </w:r>
      <w:r w:rsidR="009842F1">
        <w:rPr>
          <w:noProof/>
          <w:lang w:val="en-GB"/>
        </w:rPr>
        <w:t>and</w:t>
      </w:r>
      <w:r w:rsidR="009842F1" w:rsidRPr="005A55A8">
        <w:rPr>
          <w:noProof/>
          <w:lang w:val="en-GB"/>
        </w:rPr>
        <w:t xml:space="preserve"> </w:t>
      </w:r>
      <w:r w:rsidRPr="005A55A8">
        <w:rPr>
          <w:noProof/>
          <w:lang w:val="en-GB"/>
        </w:rPr>
        <w:t xml:space="preserve">Baddeley </w:t>
      </w:r>
      <w:r w:rsidR="009842F1">
        <w:rPr>
          <w:noProof/>
          <w:lang w:val="en-GB"/>
        </w:rPr>
        <w:t>(</w:t>
      </w:r>
      <w:r w:rsidRPr="005A55A8">
        <w:rPr>
          <w:noProof/>
          <w:lang w:val="en-GB"/>
        </w:rPr>
        <w:t>2004)</w:t>
      </w:r>
      <w:r w:rsidRPr="005A55A8">
        <w:rPr>
          <w:lang w:val="en-GB"/>
        </w:rPr>
        <w:t xml:space="preserve"> classified error types as phonological, lexical, morphological, repetition and unrelated errors. The</w:t>
      </w:r>
      <w:r w:rsidR="009842F1">
        <w:rPr>
          <w:lang w:val="en-GB"/>
        </w:rPr>
        <w:t>y</w:t>
      </w:r>
      <w:r w:rsidRPr="005A55A8">
        <w:rPr>
          <w:lang w:val="en-GB"/>
        </w:rPr>
        <w:t xml:space="preserve"> observed a larger amount of semantic substitutions and a lower amount of phonological errors during the recall of sentences, showing that semantic coding played a greater role, and phonological coding a </w:t>
      </w:r>
      <w:r w:rsidR="0075645D" w:rsidRPr="005A55A8">
        <w:rPr>
          <w:lang w:val="en-GB"/>
        </w:rPr>
        <w:t>l</w:t>
      </w:r>
      <w:r w:rsidR="0075645D">
        <w:rPr>
          <w:lang w:val="en-GB"/>
        </w:rPr>
        <w:t>esse</w:t>
      </w:r>
      <w:r w:rsidR="0075645D" w:rsidRPr="005A55A8">
        <w:rPr>
          <w:lang w:val="en-GB"/>
        </w:rPr>
        <w:t xml:space="preserve">r </w:t>
      </w:r>
      <w:r w:rsidRPr="005A55A8">
        <w:rPr>
          <w:lang w:val="en-GB"/>
        </w:rPr>
        <w:t xml:space="preserve">role, in this task as compared to word lists. Moreover, fewer order and morphological errors occurred when recalling sentences than when recalling word lists, revealing the impact of </w:t>
      </w:r>
      <w:proofErr w:type="spellStart"/>
      <w:r w:rsidRPr="005A55A8">
        <w:rPr>
          <w:lang w:val="en-GB"/>
        </w:rPr>
        <w:t>morphosyntactic</w:t>
      </w:r>
      <w:proofErr w:type="spellEnd"/>
      <w:r w:rsidRPr="005A55A8">
        <w:rPr>
          <w:lang w:val="en-GB"/>
        </w:rPr>
        <w:t xml:space="preserve"> knowledge on sentence retention. </w:t>
      </w:r>
      <w:r w:rsidR="009842F1" w:rsidRPr="005A55A8">
        <w:rPr>
          <w:lang w:val="en-GB"/>
        </w:rPr>
        <w:t>F</w:t>
      </w:r>
      <w:r w:rsidR="009842F1">
        <w:rPr>
          <w:lang w:val="en-GB"/>
        </w:rPr>
        <w:t>inally</w:t>
      </w:r>
      <w:r w:rsidRPr="005A55A8">
        <w:rPr>
          <w:lang w:val="en-GB"/>
        </w:rPr>
        <w:t xml:space="preserve">, sentence repetition has been used to investigate </w:t>
      </w:r>
      <w:proofErr w:type="spellStart"/>
      <w:r w:rsidRPr="005A55A8">
        <w:rPr>
          <w:lang w:val="en-GB"/>
        </w:rPr>
        <w:t>morphosyntactic</w:t>
      </w:r>
      <w:proofErr w:type="spellEnd"/>
      <w:r w:rsidRPr="005A55A8">
        <w:rPr>
          <w:lang w:val="en-GB"/>
        </w:rPr>
        <w:t xml:space="preserve"> abilities </w:t>
      </w:r>
      <w:r w:rsidR="0075645D">
        <w:rPr>
          <w:lang w:val="en-GB"/>
        </w:rPr>
        <w:t xml:space="preserve">both </w:t>
      </w:r>
      <w:r w:rsidRPr="005A55A8">
        <w:rPr>
          <w:lang w:val="en-GB"/>
        </w:rPr>
        <w:t xml:space="preserve">in typically developing and </w:t>
      </w:r>
      <w:r w:rsidR="0075645D">
        <w:rPr>
          <w:lang w:val="en-GB"/>
        </w:rPr>
        <w:t xml:space="preserve">in </w:t>
      </w:r>
      <w:r w:rsidRPr="005A55A8">
        <w:rPr>
          <w:lang w:val="en-GB"/>
        </w:rPr>
        <w:t>language</w:t>
      </w:r>
      <w:r w:rsidR="0075645D">
        <w:rPr>
          <w:lang w:val="en-GB"/>
        </w:rPr>
        <w:t>-</w:t>
      </w:r>
      <w:r w:rsidRPr="005A55A8">
        <w:rPr>
          <w:lang w:val="en-GB"/>
        </w:rPr>
        <w:t>impaired children</w:t>
      </w:r>
      <w:r w:rsidR="009842F1">
        <w:rPr>
          <w:lang w:val="en-GB"/>
        </w:rPr>
        <w:t xml:space="preserve"> (</w:t>
      </w:r>
      <w:r w:rsidRPr="005A55A8">
        <w:rPr>
          <w:lang w:val="en-GB"/>
        </w:rPr>
        <w:t xml:space="preserve">Christensen </w:t>
      </w:r>
      <w:r w:rsidR="009842F1">
        <w:rPr>
          <w:lang w:val="en-GB"/>
        </w:rPr>
        <w:t>&amp;</w:t>
      </w:r>
      <w:r w:rsidRPr="005A55A8">
        <w:rPr>
          <w:lang w:val="en-GB"/>
        </w:rPr>
        <w:t xml:space="preserve"> Hansson</w:t>
      </w:r>
      <w:r w:rsidR="009842F1">
        <w:rPr>
          <w:lang w:val="en-GB"/>
        </w:rPr>
        <w:t xml:space="preserve">, </w:t>
      </w:r>
      <w:r w:rsidRPr="005A55A8">
        <w:rPr>
          <w:noProof/>
          <w:lang w:val="en-GB"/>
        </w:rPr>
        <w:t>2012</w:t>
      </w:r>
      <w:r w:rsidR="009842F1">
        <w:rPr>
          <w:noProof/>
          <w:lang w:val="en-GB"/>
        </w:rPr>
        <w:t xml:space="preserve">; </w:t>
      </w:r>
      <w:proofErr w:type="spellStart"/>
      <w:r w:rsidR="009842F1" w:rsidRPr="005A55A8">
        <w:rPr>
          <w:lang w:val="en-GB"/>
        </w:rPr>
        <w:t>Komeili</w:t>
      </w:r>
      <w:proofErr w:type="spellEnd"/>
      <w:r w:rsidR="009842F1" w:rsidRPr="005A55A8">
        <w:rPr>
          <w:lang w:val="en-GB"/>
        </w:rPr>
        <w:t xml:space="preserve"> </w:t>
      </w:r>
      <w:r w:rsidR="009842F1">
        <w:rPr>
          <w:lang w:val="en-GB"/>
        </w:rPr>
        <w:t>&amp;</w:t>
      </w:r>
      <w:r w:rsidR="009842F1" w:rsidRPr="005A55A8">
        <w:rPr>
          <w:lang w:val="en-GB"/>
        </w:rPr>
        <w:t xml:space="preserve"> Marshall</w:t>
      </w:r>
      <w:r w:rsidR="009842F1">
        <w:rPr>
          <w:lang w:val="en-GB"/>
        </w:rPr>
        <w:t>,</w:t>
      </w:r>
      <w:r w:rsidR="009842F1" w:rsidRPr="005A55A8">
        <w:rPr>
          <w:lang w:val="en-GB"/>
        </w:rPr>
        <w:t xml:space="preserve"> </w:t>
      </w:r>
      <w:r w:rsidR="009842F1" w:rsidRPr="005A55A8">
        <w:rPr>
          <w:noProof/>
          <w:lang w:val="en-GB"/>
        </w:rPr>
        <w:t>2013</w:t>
      </w:r>
      <w:r w:rsidRPr="005A55A8">
        <w:rPr>
          <w:noProof/>
          <w:lang w:val="en-GB"/>
        </w:rPr>
        <w:t>)</w:t>
      </w:r>
      <w:r w:rsidR="009842F1">
        <w:rPr>
          <w:noProof/>
          <w:lang w:val="en-GB"/>
        </w:rPr>
        <w:t>.</w:t>
      </w:r>
      <w:r w:rsidRPr="005A55A8">
        <w:rPr>
          <w:lang w:val="en-GB"/>
        </w:rPr>
        <w:t xml:space="preserve"> </w:t>
      </w:r>
      <w:r w:rsidR="009842F1">
        <w:rPr>
          <w:lang w:val="en-GB"/>
        </w:rPr>
        <w:t xml:space="preserve">For </w:t>
      </w:r>
      <w:r w:rsidR="0075645D">
        <w:rPr>
          <w:lang w:val="en-GB"/>
        </w:rPr>
        <w:t>example</w:t>
      </w:r>
      <w:r w:rsidR="009842F1">
        <w:rPr>
          <w:lang w:val="en-GB"/>
        </w:rPr>
        <w:t xml:space="preserve">, </w:t>
      </w:r>
      <w:proofErr w:type="spellStart"/>
      <w:r w:rsidRPr="005A55A8">
        <w:rPr>
          <w:lang w:val="en-GB"/>
        </w:rPr>
        <w:t>Devescovi</w:t>
      </w:r>
      <w:proofErr w:type="spellEnd"/>
      <w:r w:rsidRPr="005A55A8">
        <w:rPr>
          <w:lang w:val="en-GB"/>
        </w:rPr>
        <w:t xml:space="preserve"> and </w:t>
      </w:r>
      <w:proofErr w:type="spellStart"/>
      <w:r w:rsidRPr="005A55A8">
        <w:rPr>
          <w:lang w:val="en-GB"/>
        </w:rPr>
        <w:t>Caselli</w:t>
      </w:r>
      <w:proofErr w:type="spellEnd"/>
      <w:r w:rsidRPr="005A55A8">
        <w:rPr>
          <w:lang w:val="en-GB"/>
        </w:rPr>
        <w:t xml:space="preserve"> </w:t>
      </w:r>
      <w:r w:rsidRPr="005A55A8">
        <w:rPr>
          <w:noProof/>
          <w:lang w:val="en-GB"/>
        </w:rPr>
        <w:t>(2007)</w:t>
      </w:r>
      <w:r w:rsidRPr="005A55A8">
        <w:rPr>
          <w:lang w:val="en-GB"/>
        </w:rPr>
        <w:t xml:space="preserve"> </w:t>
      </w:r>
      <w:r w:rsidRPr="005A55A8">
        <w:rPr>
          <w:lang w:val="en-GB"/>
        </w:rPr>
        <w:lastRenderedPageBreak/>
        <w:t xml:space="preserve">showed that sentence repetition is a reliable measure of </w:t>
      </w:r>
      <w:proofErr w:type="spellStart"/>
      <w:r w:rsidRPr="005A55A8">
        <w:rPr>
          <w:lang w:val="en-GB"/>
        </w:rPr>
        <w:t>morphosyntactic</w:t>
      </w:r>
      <w:proofErr w:type="spellEnd"/>
      <w:r w:rsidRPr="005A55A8">
        <w:rPr>
          <w:lang w:val="en-GB"/>
        </w:rPr>
        <w:t xml:space="preserve"> development between </w:t>
      </w:r>
      <w:r w:rsidR="0075645D">
        <w:rPr>
          <w:lang w:val="en-GB"/>
        </w:rPr>
        <w:t xml:space="preserve">2-4 years of </w:t>
      </w:r>
      <w:r w:rsidRPr="005A55A8">
        <w:rPr>
          <w:lang w:val="en-GB"/>
        </w:rPr>
        <w:t xml:space="preserve">age, since it </w:t>
      </w:r>
      <w:r w:rsidR="0075645D" w:rsidRPr="005A55A8">
        <w:rPr>
          <w:lang w:val="en-GB"/>
        </w:rPr>
        <w:t>correlate</w:t>
      </w:r>
      <w:r w:rsidR="0075645D">
        <w:rPr>
          <w:lang w:val="en-GB"/>
        </w:rPr>
        <w:t>s</w:t>
      </w:r>
      <w:r w:rsidR="0075645D" w:rsidRPr="005A55A8">
        <w:rPr>
          <w:lang w:val="en-GB"/>
        </w:rPr>
        <w:t xml:space="preserve"> </w:t>
      </w:r>
      <w:r w:rsidRPr="005A55A8">
        <w:rPr>
          <w:lang w:val="en-GB"/>
        </w:rPr>
        <w:t xml:space="preserve">with the mean length of utterance and </w:t>
      </w:r>
      <w:r w:rsidR="0075645D" w:rsidRPr="005A55A8">
        <w:rPr>
          <w:lang w:val="en-GB"/>
        </w:rPr>
        <w:t>mirror</w:t>
      </w:r>
      <w:r w:rsidR="0075645D">
        <w:rPr>
          <w:lang w:val="en-GB"/>
        </w:rPr>
        <w:t>s</w:t>
      </w:r>
      <w:r w:rsidR="0075645D" w:rsidRPr="005A55A8">
        <w:rPr>
          <w:lang w:val="en-GB"/>
        </w:rPr>
        <w:t xml:space="preserve"> </w:t>
      </w:r>
      <w:r w:rsidRPr="005A55A8">
        <w:rPr>
          <w:lang w:val="en-GB"/>
        </w:rPr>
        <w:t>the qualitative production pattern in spontaneous speech.</w:t>
      </w:r>
    </w:p>
    <w:p w14:paraId="3A64E956" w14:textId="1605240B" w:rsidR="00270033" w:rsidRDefault="00E30A0A" w:rsidP="00123878">
      <w:pPr>
        <w:spacing w:after="0" w:line="480" w:lineRule="auto"/>
        <w:ind w:firstLine="709"/>
        <w:rPr>
          <w:lang w:val="en-GB"/>
        </w:rPr>
      </w:pPr>
      <w:r w:rsidRPr="002774D3">
        <w:rPr>
          <w:lang w:val="en-GB"/>
        </w:rPr>
        <w:t>M</w:t>
      </w:r>
      <w:r w:rsidR="004C4BAA" w:rsidRPr="002774D3">
        <w:rPr>
          <w:lang w:val="en-GB"/>
        </w:rPr>
        <w:t>orphological, syntactic, and lexical abilities</w:t>
      </w:r>
      <w:r w:rsidRPr="002774D3">
        <w:rPr>
          <w:lang w:val="en-GB"/>
        </w:rPr>
        <w:t xml:space="preserve"> have</w:t>
      </w:r>
      <w:r w:rsidR="004C4BAA" w:rsidRPr="002774D3">
        <w:rPr>
          <w:lang w:val="en-GB"/>
        </w:rPr>
        <w:t xml:space="preserve"> </w:t>
      </w:r>
      <w:r w:rsidRPr="002774D3">
        <w:rPr>
          <w:lang w:val="en-GB"/>
        </w:rPr>
        <w:t xml:space="preserve">a significant impact </w:t>
      </w:r>
      <w:r w:rsidR="004C4BAA" w:rsidRPr="002774D3">
        <w:rPr>
          <w:lang w:val="en-GB"/>
        </w:rPr>
        <w:t>on sentence repetition performances. Yet, many studies reported that children with SLI</w:t>
      </w:r>
      <w:r w:rsidR="00B915B6">
        <w:rPr>
          <w:lang w:val="en-GB"/>
        </w:rPr>
        <w:t xml:space="preserve"> demonstrate significant difficulties</w:t>
      </w:r>
      <w:r w:rsidR="004C4BAA" w:rsidRPr="002774D3">
        <w:rPr>
          <w:lang w:val="en-GB"/>
        </w:rPr>
        <w:t xml:space="preserve"> in producing grammatical morphology </w:t>
      </w:r>
      <w:r w:rsidR="004C4BAA" w:rsidRPr="002774D3">
        <w:rPr>
          <w:noProof/>
          <w:lang w:val="en-GB"/>
        </w:rPr>
        <w:t>(e.g., Conti-Ramsden, 2003; Oetting &amp; McDonald, 2001; Rice &amp; Wexler, 1996)</w:t>
      </w:r>
      <w:r w:rsidR="004C4BAA" w:rsidRPr="00ED030C">
        <w:rPr>
          <w:lang w:val="en-GB"/>
        </w:rPr>
        <w:t xml:space="preserve"> and accurate (complex) sentence structure </w:t>
      </w:r>
      <w:r w:rsidR="004C4BAA" w:rsidRPr="00ED030C">
        <w:rPr>
          <w:noProof/>
          <w:lang w:val="en-GB"/>
        </w:rPr>
        <w:t>(e.g., Novogrodsky &amp; Friedmann, 2006; Piz</w:t>
      </w:r>
      <w:r w:rsidR="004C4BAA" w:rsidRPr="0048769C">
        <w:rPr>
          <w:noProof/>
          <w:lang w:val="en-GB"/>
        </w:rPr>
        <w:t>zioli &amp; Schelstraete, 2008)</w:t>
      </w:r>
      <w:r w:rsidR="004C4BAA" w:rsidRPr="0048769C">
        <w:rPr>
          <w:lang w:val="en-GB"/>
        </w:rPr>
        <w:t xml:space="preserve">, as well as weaknesses in lexical-semantic processing </w:t>
      </w:r>
      <w:r w:rsidR="004C4BAA" w:rsidRPr="0048769C">
        <w:rPr>
          <w:noProof/>
          <w:lang w:val="en-GB"/>
        </w:rPr>
        <w:t>(e.g., McGregor, Oleson, Bahnsen, &amp; Duff, 2013)</w:t>
      </w:r>
      <w:r w:rsidR="004C4BAA" w:rsidRPr="00220D4E">
        <w:rPr>
          <w:lang w:val="en-GB"/>
        </w:rPr>
        <w:t xml:space="preserve">. The reason why sentence repetition </w:t>
      </w:r>
      <w:r w:rsidR="007B67A7">
        <w:rPr>
          <w:lang w:val="en-GB"/>
        </w:rPr>
        <w:t xml:space="preserve">has </w:t>
      </w:r>
      <w:r w:rsidR="004C4BAA" w:rsidRPr="00220D4E">
        <w:rPr>
          <w:lang w:val="en-GB"/>
        </w:rPr>
        <w:t xml:space="preserve">proved to be especially challenging for children with SLI is probably because it heavily recruits many linguistic processing abilities that </w:t>
      </w:r>
      <w:r w:rsidR="007B67A7">
        <w:rPr>
          <w:lang w:val="en-GB"/>
        </w:rPr>
        <w:t>correspond to</w:t>
      </w:r>
      <w:r w:rsidR="004C4BAA" w:rsidRPr="00220D4E">
        <w:rPr>
          <w:lang w:val="en-GB"/>
        </w:rPr>
        <w:t xml:space="preserve"> weaknesses in these children.</w:t>
      </w:r>
      <w:r w:rsidR="0089309E" w:rsidRPr="00101ED2" w:rsidDel="004068E0">
        <w:rPr>
          <w:lang w:val="en-GB"/>
        </w:rPr>
        <w:t xml:space="preserve"> </w:t>
      </w:r>
    </w:p>
    <w:p w14:paraId="4C584DED" w14:textId="77777777" w:rsidR="004C4BAA" w:rsidRPr="00BE1FB1" w:rsidRDefault="004C4BAA" w:rsidP="00BE1FB1">
      <w:pPr>
        <w:pStyle w:val="Paragraphedeliste"/>
        <w:numPr>
          <w:ilvl w:val="1"/>
          <w:numId w:val="11"/>
        </w:numPr>
        <w:spacing w:after="0" w:line="480" w:lineRule="auto"/>
        <w:ind w:left="426"/>
        <w:rPr>
          <w:b/>
          <w:lang w:val="en-GB"/>
        </w:rPr>
      </w:pPr>
      <w:r w:rsidRPr="00BE1FB1">
        <w:rPr>
          <w:b/>
          <w:lang w:val="en-GB"/>
        </w:rPr>
        <w:t xml:space="preserve">Construct validity </w:t>
      </w:r>
    </w:p>
    <w:p w14:paraId="72B25416" w14:textId="7C48500C" w:rsidR="00270033" w:rsidRDefault="00101ED2" w:rsidP="00123878">
      <w:pPr>
        <w:spacing w:after="0" w:line="480" w:lineRule="auto"/>
        <w:ind w:firstLine="709"/>
        <w:jc w:val="both"/>
        <w:rPr>
          <w:lang w:val="en-GB"/>
        </w:rPr>
      </w:pPr>
      <w:r>
        <w:rPr>
          <w:lang w:val="en-GB"/>
        </w:rPr>
        <w:t>C</w:t>
      </w:r>
      <w:r w:rsidR="004C4BAA" w:rsidRPr="005A55A8">
        <w:rPr>
          <w:lang w:val="en-GB"/>
        </w:rPr>
        <w:t xml:space="preserve">onstruct validity is a measure’s ability to accurately reflect what it was designed to measure. Given all the processes at play in sentence repetition, there is a 'potential of sentence repetition to investigate language profiles' </w:t>
      </w:r>
      <w:r w:rsidR="004C4BAA" w:rsidRPr="005A55A8">
        <w:rPr>
          <w:noProof/>
          <w:lang w:val="en-GB"/>
        </w:rPr>
        <w:t>(Riches</w:t>
      </w:r>
      <w:r>
        <w:rPr>
          <w:noProof/>
          <w:lang w:val="en-GB"/>
        </w:rPr>
        <w:t xml:space="preserve">, </w:t>
      </w:r>
      <w:r w:rsidRPr="005A55A8">
        <w:rPr>
          <w:rFonts w:ascii="Calibri" w:hAnsi="Calibri"/>
          <w:noProof/>
          <w:lang w:val="en-GB"/>
        </w:rPr>
        <w:t>Loucas, Baird, Charman, &amp; Simonoff</w:t>
      </w:r>
      <w:r w:rsidR="004C4BAA" w:rsidRPr="005A55A8">
        <w:rPr>
          <w:noProof/>
          <w:lang w:val="en-GB"/>
        </w:rPr>
        <w:t>, 2010</w:t>
      </w:r>
      <w:r w:rsidR="007B67A7">
        <w:rPr>
          <w:noProof/>
          <w:lang w:val="en-GB"/>
        </w:rPr>
        <w:t>, p.</w:t>
      </w:r>
      <w:r w:rsidR="004C4BAA" w:rsidRPr="005A55A8">
        <w:rPr>
          <w:noProof/>
          <w:lang w:val="en-GB"/>
        </w:rPr>
        <w:t xml:space="preserve"> 48)</w:t>
      </w:r>
      <w:r w:rsidR="004C4BAA" w:rsidRPr="005A55A8">
        <w:rPr>
          <w:lang w:val="en-GB"/>
        </w:rPr>
        <w:t xml:space="preserve">. </w:t>
      </w:r>
      <w:r w:rsidR="00E30A0A">
        <w:rPr>
          <w:lang w:val="en-GB"/>
        </w:rPr>
        <w:t>P</w:t>
      </w:r>
      <w:r w:rsidR="004C4BAA" w:rsidRPr="005A55A8">
        <w:rPr>
          <w:lang w:val="en-GB"/>
        </w:rPr>
        <w:t xml:space="preserve">erformances in sentence repetition are mainly affected by </w:t>
      </w:r>
      <w:proofErr w:type="spellStart"/>
      <w:r w:rsidR="004C4BAA" w:rsidRPr="005A55A8">
        <w:rPr>
          <w:lang w:val="en-GB"/>
        </w:rPr>
        <w:t>morphosyntactic</w:t>
      </w:r>
      <w:proofErr w:type="spellEnd"/>
      <w:r w:rsidR="004C4BAA" w:rsidRPr="005A55A8">
        <w:rPr>
          <w:lang w:val="en-GB"/>
        </w:rPr>
        <w:t xml:space="preserve"> </w:t>
      </w:r>
      <w:r w:rsidR="0048769C" w:rsidRPr="005A55A8">
        <w:rPr>
          <w:lang w:val="en-GB"/>
        </w:rPr>
        <w:t xml:space="preserve">and lexical-semantic </w:t>
      </w:r>
      <w:r w:rsidR="004C4BAA" w:rsidRPr="005A55A8">
        <w:rPr>
          <w:lang w:val="en-GB"/>
        </w:rPr>
        <w:t xml:space="preserve">abilities. If this task is well designed to diagnose linguistic problems in children with SLI, performances </w:t>
      </w:r>
      <w:r w:rsidR="007B67A7" w:rsidRPr="005A55A8">
        <w:rPr>
          <w:lang w:val="en-GB"/>
        </w:rPr>
        <w:t>o</w:t>
      </w:r>
      <w:r w:rsidR="007B67A7">
        <w:rPr>
          <w:lang w:val="en-GB"/>
        </w:rPr>
        <w:t>f</w:t>
      </w:r>
      <w:r w:rsidR="007B67A7" w:rsidRPr="005A55A8">
        <w:rPr>
          <w:lang w:val="en-GB"/>
        </w:rPr>
        <w:t xml:space="preserve"> </w:t>
      </w:r>
      <w:r w:rsidR="004C4BAA" w:rsidRPr="005A55A8">
        <w:rPr>
          <w:lang w:val="en-GB"/>
        </w:rPr>
        <w:t xml:space="preserve">this task should </w:t>
      </w:r>
      <w:r w:rsidR="007B67A7">
        <w:rPr>
          <w:lang w:val="en-GB"/>
        </w:rPr>
        <w:t xml:space="preserve">be </w:t>
      </w:r>
      <w:r w:rsidR="004C4BAA" w:rsidRPr="005A55A8">
        <w:rPr>
          <w:lang w:val="en-GB"/>
        </w:rPr>
        <w:t xml:space="preserve">significantly affected by the </w:t>
      </w:r>
      <w:proofErr w:type="spellStart"/>
      <w:r w:rsidR="0048769C" w:rsidRPr="005A55A8">
        <w:rPr>
          <w:lang w:val="en-GB"/>
        </w:rPr>
        <w:t>morphosyntactic</w:t>
      </w:r>
      <w:proofErr w:type="spellEnd"/>
      <w:r w:rsidR="0048769C" w:rsidRPr="005A55A8">
        <w:rPr>
          <w:lang w:val="en-GB"/>
        </w:rPr>
        <w:t xml:space="preserve"> abilities </w:t>
      </w:r>
      <w:r w:rsidR="004C4BAA" w:rsidRPr="005A55A8">
        <w:rPr>
          <w:lang w:val="en-GB"/>
        </w:rPr>
        <w:t xml:space="preserve">on the one </w:t>
      </w:r>
      <w:proofErr w:type="gramStart"/>
      <w:r w:rsidR="004C4BAA" w:rsidRPr="005A55A8">
        <w:rPr>
          <w:lang w:val="en-GB"/>
        </w:rPr>
        <w:t>hand,</w:t>
      </w:r>
      <w:proofErr w:type="gramEnd"/>
      <w:r w:rsidR="004C4BAA" w:rsidRPr="005A55A8">
        <w:rPr>
          <w:lang w:val="en-GB"/>
        </w:rPr>
        <w:t xml:space="preserve"> and the </w:t>
      </w:r>
      <w:r w:rsidR="0048769C" w:rsidRPr="005A55A8">
        <w:rPr>
          <w:lang w:val="en-GB"/>
        </w:rPr>
        <w:t xml:space="preserve">lexical-semantic abilities </w:t>
      </w:r>
      <w:r w:rsidR="004C4BAA" w:rsidRPr="005A55A8">
        <w:rPr>
          <w:lang w:val="en-GB"/>
        </w:rPr>
        <w:t>on the other hand. Such an investigation requires first, to differentiate performance scores depending on the kinds of errors children make, and second, to attest that these various performance score</w:t>
      </w:r>
      <w:r w:rsidR="007B67A7">
        <w:rPr>
          <w:lang w:val="en-GB"/>
        </w:rPr>
        <w:t>s</w:t>
      </w:r>
      <w:r w:rsidR="004C4BAA" w:rsidRPr="005A55A8">
        <w:rPr>
          <w:lang w:val="en-GB"/>
        </w:rPr>
        <w:t xml:space="preserve"> are indeed measuring the abilities </w:t>
      </w:r>
      <w:r w:rsidR="007B67A7">
        <w:rPr>
          <w:lang w:val="en-GB"/>
        </w:rPr>
        <w:t xml:space="preserve">that </w:t>
      </w:r>
      <w:r w:rsidR="004C4BAA" w:rsidRPr="005A55A8">
        <w:rPr>
          <w:lang w:val="en-GB"/>
        </w:rPr>
        <w:t xml:space="preserve">they were designed to measure. </w:t>
      </w:r>
    </w:p>
    <w:p w14:paraId="3E50CBC6" w14:textId="56CAA931" w:rsidR="00270033" w:rsidRDefault="007B67A7" w:rsidP="00123878">
      <w:pPr>
        <w:spacing w:after="0" w:line="480" w:lineRule="auto"/>
        <w:ind w:firstLine="709"/>
        <w:jc w:val="both"/>
        <w:rPr>
          <w:lang w:val="en-GB"/>
        </w:rPr>
      </w:pPr>
      <w:r>
        <w:rPr>
          <w:lang w:val="en-GB"/>
        </w:rPr>
        <w:t>M</w:t>
      </w:r>
      <w:r w:rsidR="004C4BAA" w:rsidRPr="005A55A8">
        <w:rPr>
          <w:lang w:val="en-GB"/>
        </w:rPr>
        <w:t xml:space="preserve">ost standardized tasks propose a correct/false scoring procedure for the complete sentence, leading to a loss of important qualitative information about linguistic errors </w:t>
      </w:r>
      <w:r w:rsidR="004C4BAA" w:rsidRPr="005A55A8">
        <w:rPr>
          <w:noProof/>
          <w:lang w:val="en-GB"/>
        </w:rPr>
        <w:t>(e.g., Redmond, 2005)</w:t>
      </w:r>
      <w:r w:rsidR="004C4BAA" w:rsidRPr="005A55A8">
        <w:rPr>
          <w:lang w:val="en-GB"/>
        </w:rPr>
        <w:t xml:space="preserve">. </w:t>
      </w:r>
      <w:r w:rsidR="009F411B" w:rsidRPr="005A55A8">
        <w:rPr>
          <w:lang w:val="en-GB"/>
        </w:rPr>
        <w:t>The coding procedure could</w:t>
      </w:r>
      <w:r w:rsidR="009F411B">
        <w:rPr>
          <w:lang w:val="en-GB"/>
        </w:rPr>
        <w:t xml:space="preserve"> indeed</w:t>
      </w:r>
      <w:r w:rsidR="009F411B" w:rsidRPr="005A55A8">
        <w:rPr>
          <w:lang w:val="en-GB"/>
        </w:rPr>
        <w:t xml:space="preserve"> be a key factor to take into account when considering the diagnostic power of a test. </w:t>
      </w:r>
      <w:r w:rsidR="009F411B">
        <w:rPr>
          <w:lang w:val="en-GB"/>
        </w:rPr>
        <w:t>According to</w:t>
      </w:r>
      <w:r w:rsidR="009F411B" w:rsidRPr="005A55A8">
        <w:rPr>
          <w:lang w:val="en-GB"/>
        </w:rPr>
        <w:t xml:space="preserve"> Riches and colleagues </w:t>
      </w:r>
      <w:r w:rsidR="009F411B" w:rsidRPr="005A55A8">
        <w:rPr>
          <w:noProof/>
          <w:lang w:val="en-GB"/>
        </w:rPr>
        <w:t>(2010)</w:t>
      </w:r>
      <w:r w:rsidR="009F411B">
        <w:rPr>
          <w:noProof/>
          <w:lang w:val="en-GB"/>
        </w:rPr>
        <w:t>,</w:t>
      </w:r>
      <w:r w:rsidR="009F411B" w:rsidRPr="005A55A8">
        <w:rPr>
          <w:lang w:val="en-GB"/>
        </w:rPr>
        <w:t xml:space="preserve"> the coding for </w:t>
      </w:r>
      <w:r w:rsidR="009F411B" w:rsidRPr="005A55A8">
        <w:rPr>
          <w:lang w:val="en-GB"/>
        </w:rPr>
        <w:lastRenderedPageBreak/>
        <w:t xml:space="preserve">different kinds of errors has the best potential to identify differences in language phenotypes across different groups. </w:t>
      </w:r>
      <w:r w:rsidR="004C4BAA" w:rsidRPr="005A55A8">
        <w:rPr>
          <w:lang w:val="en-GB"/>
        </w:rPr>
        <w:t xml:space="preserve">In some tasks, the scoring procedure is </w:t>
      </w:r>
      <w:r>
        <w:rPr>
          <w:lang w:val="en-GB"/>
        </w:rPr>
        <w:t>somewhat</w:t>
      </w:r>
      <w:r w:rsidR="004C4BAA" w:rsidRPr="005A55A8">
        <w:rPr>
          <w:lang w:val="en-GB"/>
        </w:rPr>
        <w:t xml:space="preserve"> more precise. For example, Archibald and </w:t>
      </w:r>
      <w:proofErr w:type="spellStart"/>
      <w:r w:rsidR="004C4BAA" w:rsidRPr="005A55A8">
        <w:rPr>
          <w:lang w:val="en-GB"/>
        </w:rPr>
        <w:t>Joanisse</w:t>
      </w:r>
      <w:proofErr w:type="spellEnd"/>
      <w:r w:rsidR="004C4BAA" w:rsidRPr="005A55A8">
        <w:rPr>
          <w:lang w:val="en-GB"/>
        </w:rPr>
        <w:t xml:space="preserve"> (2009), as well as Redmond, Thompson, and Goldstein </w:t>
      </w:r>
      <w:r w:rsidR="004C4BAA" w:rsidRPr="005A55A8">
        <w:rPr>
          <w:noProof/>
          <w:lang w:val="en-GB"/>
        </w:rPr>
        <w:t>(2011)</w:t>
      </w:r>
      <w:r w:rsidR="004C4BAA" w:rsidRPr="005A55A8">
        <w:rPr>
          <w:lang w:val="en-GB"/>
        </w:rPr>
        <w:t>, administered the task developed by Redmond (2005)</w:t>
      </w:r>
      <w:r>
        <w:rPr>
          <w:lang w:val="en-GB"/>
        </w:rPr>
        <w:t>,</w:t>
      </w:r>
      <w:r w:rsidR="004C4BAA" w:rsidRPr="005A55A8">
        <w:rPr>
          <w:lang w:val="en-GB"/>
        </w:rPr>
        <w:t xml:space="preserve"> but adapted the scoring procedure </w:t>
      </w:r>
      <w:r w:rsidRPr="005A55A8">
        <w:rPr>
          <w:lang w:val="en-GB"/>
        </w:rPr>
        <w:t>s</w:t>
      </w:r>
      <w:r>
        <w:rPr>
          <w:lang w:val="en-GB"/>
        </w:rPr>
        <w:t>o</w:t>
      </w:r>
      <w:r w:rsidRPr="005A55A8">
        <w:rPr>
          <w:lang w:val="en-GB"/>
        </w:rPr>
        <w:t xml:space="preserve"> </w:t>
      </w:r>
      <w:r w:rsidR="004C4BAA" w:rsidRPr="005A55A8">
        <w:rPr>
          <w:lang w:val="en-GB"/>
        </w:rPr>
        <w:t xml:space="preserve">that it enabled a </w:t>
      </w:r>
      <w:r>
        <w:rPr>
          <w:lang w:val="en-GB"/>
        </w:rPr>
        <w:t xml:space="preserve">performance score of </w:t>
      </w:r>
      <w:r w:rsidR="004C4BAA" w:rsidRPr="005A55A8">
        <w:rPr>
          <w:lang w:val="en-GB"/>
        </w:rPr>
        <w:t xml:space="preserve">2 (correct), 1 (up to three errors), or 0 (no response or more than three errors) for each sentence. </w:t>
      </w:r>
      <w:r>
        <w:rPr>
          <w:lang w:val="en-GB"/>
        </w:rPr>
        <w:t>T</w:t>
      </w:r>
      <w:r w:rsidR="004C4BAA" w:rsidRPr="005A55A8">
        <w:rPr>
          <w:lang w:val="en-GB"/>
        </w:rPr>
        <w:t xml:space="preserve">he scoring procedure used in </w:t>
      </w:r>
      <w:proofErr w:type="spellStart"/>
      <w:r w:rsidR="004C4BAA" w:rsidRPr="005A55A8">
        <w:rPr>
          <w:lang w:val="en-GB"/>
        </w:rPr>
        <w:t>Thordardottir</w:t>
      </w:r>
      <w:proofErr w:type="spellEnd"/>
      <w:r w:rsidR="004C4BAA" w:rsidRPr="005A55A8">
        <w:rPr>
          <w:lang w:val="en-GB"/>
        </w:rPr>
        <w:t xml:space="preserve"> and </w:t>
      </w:r>
      <w:proofErr w:type="spellStart"/>
      <w:r w:rsidR="004C4BAA" w:rsidRPr="005A55A8">
        <w:rPr>
          <w:lang w:val="en-GB"/>
        </w:rPr>
        <w:t>Brandeker</w:t>
      </w:r>
      <w:proofErr w:type="spellEnd"/>
      <w:r w:rsidR="004C4BAA" w:rsidRPr="005A55A8">
        <w:rPr>
          <w:lang w:val="en-GB"/>
        </w:rPr>
        <w:t xml:space="preserve"> </w:t>
      </w:r>
      <w:r w:rsidR="004C4BAA" w:rsidRPr="005A55A8">
        <w:rPr>
          <w:noProof/>
          <w:lang w:val="en-GB"/>
        </w:rPr>
        <w:t>(2013)</w:t>
      </w:r>
      <w:r>
        <w:rPr>
          <w:noProof/>
          <w:lang w:val="en-GB"/>
        </w:rPr>
        <w:t xml:space="preserve"> is slightly more precise</w:t>
      </w:r>
      <w:r w:rsidR="004C4BAA" w:rsidRPr="005A55A8">
        <w:rPr>
          <w:lang w:val="en-GB"/>
        </w:rPr>
        <w:t xml:space="preserve">, reflecting the percentage of words accurately repeated. However, </w:t>
      </w:r>
      <w:r>
        <w:rPr>
          <w:lang w:val="en-GB"/>
        </w:rPr>
        <w:t>to the best of our knowledge</w:t>
      </w:r>
      <w:r w:rsidR="004C4BAA" w:rsidRPr="005A55A8">
        <w:rPr>
          <w:lang w:val="en-GB"/>
        </w:rPr>
        <w:t xml:space="preserve">, no scoring procedure in a standardized diagnostic sentence repetition test integrates the analysis of the linguistic errors made by the children. </w:t>
      </w:r>
    </w:p>
    <w:p w14:paraId="3CA64777" w14:textId="77777777" w:rsidR="004C4BAA" w:rsidRPr="00BE1FB1" w:rsidRDefault="004C4BAA" w:rsidP="00BE1FB1">
      <w:pPr>
        <w:pStyle w:val="Paragraphedeliste"/>
        <w:numPr>
          <w:ilvl w:val="1"/>
          <w:numId w:val="11"/>
        </w:numPr>
        <w:spacing w:after="0" w:line="480" w:lineRule="auto"/>
        <w:ind w:left="426"/>
        <w:rPr>
          <w:b/>
          <w:lang w:val="en-GB"/>
        </w:rPr>
      </w:pPr>
      <w:r w:rsidRPr="00BE1FB1">
        <w:rPr>
          <w:b/>
          <w:lang w:val="en-GB"/>
        </w:rPr>
        <w:t>Aim</w:t>
      </w:r>
    </w:p>
    <w:p w14:paraId="52108695" w14:textId="4E84C224" w:rsidR="004C4BAA" w:rsidRPr="005A55A8" w:rsidRDefault="004C4BAA" w:rsidP="00BE1FB1">
      <w:pPr>
        <w:spacing w:after="0" w:line="480" w:lineRule="auto"/>
        <w:ind w:firstLine="708"/>
        <w:rPr>
          <w:lang w:val="en-GB"/>
        </w:rPr>
      </w:pPr>
      <w:r w:rsidRPr="005A55A8">
        <w:rPr>
          <w:lang w:val="en-GB"/>
        </w:rPr>
        <w:t xml:space="preserve">The first aim of the present study </w:t>
      </w:r>
      <w:r w:rsidR="0048769C">
        <w:rPr>
          <w:lang w:val="en-GB"/>
        </w:rPr>
        <w:t>was</w:t>
      </w:r>
      <w:r w:rsidR="0048769C" w:rsidRPr="005A55A8">
        <w:rPr>
          <w:lang w:val="en-GB"/>
        </w:rPr>
        <w:t xml:space="preserve"> </w:t>
      </w:r>
      <w:r w:rsidRPr="005A55A8">
        <w:rPr>
          <w:lang w:val="en-GB"/>
        </w:rPr>
        <w:t xml:space="preserve">to </w:t>
      </w:r>
      <w:r w:rsidR="0048769C">
        <w:rPr>
          <w:lang w:val="en-GB"/>
        </w:rPr>
        <w:t>measure</w:t>
      </w:r>
      <w:r w:rsidR="0048769C" w:rsidRPr="005A55A8">
        <w:rPr>
          <w:lang w:val="en-GB"/>
        </w:rPr>
        <w:t xml:space="preserve"> </w:t>
      </w:r>
      <w:r w:rsidRPr="005A55A8">
        <w:rPr>
          <w:lang w:val="en-GB"/>
        </w:rPr>
        <w:t xml:space="preserve">the identification accuracy of a sentence repetition task in identifying French children with SLI. The second aim </w:t>
      </w:r>
      <w:r w:rsidR="0048769C">
        <w:rPr>
          <w:lang w:val="en-GB"/>
        </w:rPr>
        <w:t>was</w:t>
      </w:r>
      <w:r w:rsidR="0048769C" w:rsidRPr="005A55A8">
        <w:rPr>
          <w:lang w:val="en-GB"/>
        </w:rPr>
        <w:t xml:space="preserve"> </w:t>
      </w:r>
      <w:r w:rsidRPr="005A55A8">
        <w:rPr>
          <w:lang w:val="en-GB"/>
        </w:rPr>
        <w:t xml:space="preserve">to assess the construct validity of the task. </w:t>
      </w:r>
      <w:r w:rsidR="00E30A0A">
        <w:rPr>
          <w:lang w:val="en-GB"/>
        </w:rPr>
        <w:t>To this end</w:t>
      </w:r>
      <w:r w:rsidRPr="005A55A8">
        <w:rPr>
          <w:lang w:val="en-GB"/>
        </w:rPr>
        <w:t xml:space="preserve">, we </w:t>
      </w:r>
      <w:r w:rsidR="0048769C">
        <w:rPr>
          <w:lang w:val="en-GB"/>
        </w:rPr>
        <w:t>examined</w:t>
      </w:r>
      <w:r w:rsidR="0048769C" w:rsidRPr="005A55A8">
        <w:rPr>
          <w:lang w:val="en-GB"/>
        </w:rPr>
        <w:t xml:space="preserve"> </w:t>
      </w:r>
      <w:r w:rsidRPr="005A55A8">
        <w:rPr>
          <w:lang w:val="en-GB"/>
        </w:rPr>
        <w:t xml:space="preserve">whether multiple scoring measures separately reflect the dimensional properties of the task </w:t>
      </w:r>
      <w:r w:rsidR="007B67A7">
        <w:rPr>
          <w:lang w:val="en-GB"/>
        </w:rPr>
        <w:t>(</w:t>
      </w:r>
      <w:r w:rsidRPr="005A55A8">
        <w:rPr>
          <w:lang w:val="en-GB"/>
        </w:rPr>
        <w:t>i.e., the distinct linguistic abilities at play when repeating sentences</w:t>
      </w:r>
      <w:r w:rsidR="007B67A7">
        <w:rPr>
          <w:lang w:val="en-GB"/>
        </w:rPr>
        <w:t>)</w:t>
      </w:r>
      <w:r w:rsidRPr="005A55A8">
        <w:rPr>
          <w:lang w:val="en-GB"/>
        </w:rPr>
        <w:t xml:space="preserve">.  </w:t>
      </w:r>
    </w:p>
    <w:p w14:paraId="5F07E09D" w14:textId="77777777" w:rsidR="004C4BAA" w:rsidRPr="00BE1FB1" w:rsidRDefault="004C4BAA" w:rsidP="00BE1FB1">
      <w:pPr>
        <w:pStyle w:val="Paragraphedeliste"/>
        <w:numPr>
          <w:ilvl w:val="0"/>
          <w:numId w:val="11"/>
        </w:numPr>
        <w:spacing w:after="0" w:line="480" w:lineRule="auto"/>
        <w:jc w:val="center"/>
        <w:rPr>
          <w:b/>
          <w:lang w:val="en-GB"/>
        </w:rPr>
      </w:pPr>
      <w:r w:rsidRPr="00BE1FB1">
        <w:rPr>
          <w:b/>
          <w:lang w:val="en-GB"/>
        </w:rPr>
        <w:t>Methods</w:t>
      </w:r>
    </w:p>
    <w:p w14:paraId="4C40C2BF" w14:textId="77777777" w:rsidR="004C4BAA" w:rsidRPr="00BE1FB1" w:rsidRDefault="004C4BAA" w:rsidP="00BE1FB1">
      <w:pPr>
        <w:pStyle w:val="Paragraphedeliste"/>
        <w:numPr>
          <w:ilvl w:val="1"/>
          <w:numId w:val="11"/>
        </w:numPr>
        <w:spacing w:after="0" w:line="480" w:lineRule="auto"/>
        <w:ind w:left="426"/>
        <w:rPr>
          <w:b/>
          <w:lang w:val="en-GB"/>
        </w:rPr>
      </w:pPr>
      <w:r w:rsidRPr="00BE1FB1">
        <w:rPr>
          <w:b/>
          <w:lang w:val="en-GB"/>
        </w:rPr>
        <w:t>Participants</w:t>
      </w:r>
    </w:p>
    <w:p w14:paraId="6B7BFFD0" w14:textId="70DC25F3" w:rsidR="00270033" w:rsidRDefault="004C4BAA" w:rsidP="00123878">
      <w:pPr>
        <w:spacing w:after="0" w:line="480" w:lineRule="auto"/>
        <w:ind w:firstLine="709"/>
        <w:rPr>
          <w:lang w:val="en-GB"/>
        </w:rPr>
      </w:pPr>
      <w:r w:rsidRPr="005A55A8">
        <w:rPr>
          <w:lang w:val="en-GB"/>
        </w:rPr>
        <w:t>Thirty-four French-speaking children with SLI aged 7 to 12 (8 girls; mean age = 9</w:t>
      </w:r>
      <w:r w:rsidR="003B529C">
        <w:rPr>
          <w:lang w:val="en-GB"/>
        </w:rPr>
        <w:t>.</w:t>
      </w:r>
      <w:r w:rsidRPr="005A55A8">
        <w:rPr>
          <w:lang w:val="en-GB"/>
        </w:rPr>
        <w:t xml:space="preserve">11 years; </w:t>
      </w:r>
      <w:r w:rsidRPr="005A55A8">
        <w:rPr>
          <w:i/>
          <w:lang w:val="en-GB"/>
        </w:rPr>
        <w:t xml:space="preserve">SD </w:t>
      </w:r>
      <w:r w:rsidRPr="005A55A8">
        <w:rPr>
          <w:lang w:val="en-GB"/>
        </w:rPr>
        <w:t>= 1</w:t>
      </w:r>
      <w:r w:rsidR="003B529C">
        <w:rPr>
          <w:lang w:val="en-GB"/>
        </w:rPr>
        <w:t>.</w:t>
      </w:r>
      <w:r w:rsidRPr="005A55A8">
        <w:rPr>
          <w:lang w:val="en-GB"/>
        </w:rPr>
        <w:t>2), 34 typically developing children (15 girls; mean age = 10</w:t>
      </w:r>
      <w:r w:rsidR="003B529C">
        <w:rPr>
          <w:lang w:val="en-GB"/>
        </w:rPr>
        <w:t>.</w:t>
      </w:r>
      <w:r w:rsidRPr="005A55A8">
        <w:rPr>
          <w:lang w:val="en-GB"/>
        </w:rPr>
        <w:t xml:space="preserve">2 years; </w:t>
      </w:r>
      <w:r w:rsidRPr="005A55A8">
        <w:rPr>
          <w:i/>
          <w:lang w:val="en-GB"/>
        </w:rPr>
        <w:t xml:space="preserve">SD </w:t>
      </w:r>
      <w:r w:rsidRPr="005A55A8">
        <w:rPr>
          <w:lang w:val="en-GB"/>
        </w:rPr>
        <w:t>= 1</w:t>
      </w:r>
      <w:r w:rsidR="003B529C">
        <w:rPr>
          <w:lang w:val="en-GB"/>
        </w:rPr>
        <w:t>.</w:t>
      </w:r>
      <w:r w:rsidRPr="005A55A8">
        <w:rPr>
          <w:lang w:val="en-GB"/>
        </w:rPr>
        <w:t>4) participated in the study. The SLI group and the age control (AC) group were comparable in age (</w:t>
      </w:r>
      <w:r w:rsidRPr="005A55A8">
        <w:rPr>
          <w:i/>
          <w:lang w:val="en-GB"/>
        </w:rPr>
        <w:t>t</w:t>
      </w:r>
      <w:r w:rsidR="003B529C">
        <w:rPr>
          <w:i/>
          <w:lang w:val="en-GB"/>
        </w:rPr>
        <w:t xml:space="preserve"> </w:t>
      </w:r>
      <w:r w:rsidR="00E30A0A">
        <w:rPr>
          <w:lang w:val="en-GB"/>
        </w:rPr>
        <w:t>&lt;</w:t>
      </w:r>
      <w:r w:rsidR="003B529C">
        <w:rPr>
          <w:lang w:val="en-GB"/>
        </w:rPr>
        <w:t xml:space="preserve"> </w:t>
      </w:r>
      <w:r w:rsidR="00E30A0A">
        <w:rPr>
          <w:lang w:val="en-GB"/>
        </w:rPr>
        <w:t>1</w:t>
      </w:r>
      <w:r w:rsidRPr="005A55A8">
        <w:rPr>
          <w:lang w:val="en-GB"/>
        </w:rPr>
        <w:t xml:space="preserve">). Children were recruited </w:t>
      </w:r>
      <w:r w:rsidR="003B529C">
        <w:rPr>
          <w:lang w:val="en-GB"/>
        </w:rPr>
        <w:t>from</w:t>
      </w:r>
      <w:r w:rsidR="003B529C" w:rsidRPr="005A55A8">
        <w:rPr>
          <w:lang w:val="en-GB"/>
        </w:rPr>
        <w:t xml:space="preserve"> </w:t>
      </w:r>
      <w:r w:rsidRPr="005A55A8">
        <w:rPr>
          <w:lang w:val="en-GB"/>
        </w:rPr>
        <w:t>schools in the city of Liege (Belgium).  Informed consent was obtained from the parents.</w:t>
      </w:r>
      <w:r w:rsidRPr="005A55A8">
        <w:rPr>
          <w:i/>
          <w:lang w:val="en-GB"/>
        </w:rPr>
        <w:t xml:space="preserve"> </w:t>
      </w:r>
      <w:r w:rsidRPr="005A55A8">
        <w:rPr>
          <w:lang w:val="en-GB"/>
        </w:rPr>
        <w:t>All children came from families with low or middle-class socioeconomic background</w:t>
      </w:r>
      <w:r w:rsidR="003B529C">
        <w:rPr>
          <w:lang w:val="en-GB"/>
        </w:rPr>
        <w:t>s</w:t>
      </w:r>
      <w:r w:rsidRPr="005A55A8">
        <w:rPr>
          <w:lang w:val="en-GB"/>
        </w:rPr>
        <w:t xml:space="preserve">, as determined by their parents’ profession. All of the children were French native speakers, had no history of psychiatric or neurological disorders, and no neurodevelopmental delay or sensory impairment. Children with SLI were recruited from language classes in special needs schools. They </w:t>
      </w:r>
      <w:r w:rsidRPr="005A55A8">
        <w:rPr>
          <w:lang w:val="en-GB"/>
        </w:rPr>
        <w:lastRenderedPageBreak/>
        <w:t>were diagnosed as children with SLI by certified speech-language pathologists. Moreover, by using standard clinical tests</w:t>
      </w:r>
      <w:r w:rsidR="003B529C">
        <w:rPr>
          <w:lang w:val="en-GB"/>
        </w:rPr>
        <w:t>,</w:t>
      </w:r>
      <w:r w:rsidRPr="005A55A8">
        <w:rPr>
          <w:lang w:val="en-GB"/>
        </w:rPr>
        <w:t xml:space="preserve"> we ensured that all of the children with SLI</w:t>
      </w:r>
      <w:r w:rsidR="00727732">
        <w:rPr>
          <w:lang w:val="en-GB"/>
        </w:rPr>
        <w:t>:</w:t>
      </w:r>
      <w:r w:rsidRPr="005A55A8">
        <w:rPr>
          <w:lang w:val="en-GB"/>
        </w:rPr>
        <w:t xml:space="preserve"> </w:t>
      </w:r>
    </w:p>
    <w:p w14:paraId="0F11B405" w14:textId="48A8D0FD" w:rsidR="001B3B7A" w:rsidRDefault="009670F0" w:rsidP="004C4BAA">
      <w:pPr>
        <w:spacing w:after="0" w:line="480" w:lineRule="auto"/>
        <w:rPr>
          <w:noProof/>
          <w:lang w:val="en-GB"/>
        </w:rPr>
      </w:pPr>
      <w:r w:rsidDel="009670F0">
        <w:rPr>
          <w:lang w:val="en-GB"/>
        </w:rPr>
        <w:t xml:space="preserve"> </w:t>
      </w:r>
      <w:r>
        <w:rPr>
          <w:lang w:val="en-GB"/>
        </w:rPr>
        <w:tab/>
      </w:r>
      <w:r w:rsidR="004C4BAA" w:rsidRPr="005A55A8">
        <w:rPr>
          <w:lang w:val="en-GB"/>
        </w:rPr>
        <w:t xml:space="preserve">(1) </w:t>
      </w:r>
      <w:proofErr w:type="gramStart"/>
      <w:r w:rsidR="004C4BAA" w:rsidRPr="005A55A8">
        <w:rPr>
          <w:lang w:val="en-GB"/>
        </w:rPr>
        <w:t>scored</w:t>
      </w:r>
      <w:proofErr w:type="gramEnd"/>
      <w:r w:rsidR="004C4BAA" w:rsidRPr="005A55A8">
        <w:rPr>
          <w:lang w:val="en-GB"/>
        </w:rPr>
        <w:t xml:space="preserve"> more than 1.25 SD below expected normative performance in two language areas </w:t>
      </w:r>
      <w:r w:rsidR="004C4BAA" w:rsidRPr="005A55A8">
        <w:rPr>
          <w:noProof/>
          <w:lang w:val="en-GB"/>
        </w:rPr>
        <w:t>(Leonard et al., 2007). Their phonological abilities were assessed using the non</w:t>
      </w:r>
      <w:r w:rsidR="004C4BAA" w:rsidRPr="005A55A8">
        <w:rPr>
          <w:lang w:val="en-GB"/>
        </w:rPr>
        <w:t xml:space="preserve">word repetition task of the </w:t>
      </w:r>
      <w:r w:rsidR="004C4BAA" w:rsidRPr="005A55A8">
        <w:rPr>
          <w:i/>
          <w:lang w:val="en-GB"/>
        </w:rPr>
        <w:t xml:space="preserve">L2MA2 </w:t>
      </w:r>
      <w:r w:rsidR="004C4BAA" w:rsidRPr="00CB747E">
        <w:rPr>
          <w:noProof/>
          <w:lang w:val="en-GB"/>
        </w:rPr>
        <w:t>(Chevrie-Muller et al., 2010)</w:t>
      </w:r>
      <w:r w:rsidR="004C4BAA" w:rsidRPr="00CB747E">
        <w:rPr>
          <w:lang w:val="en-GB"/>
        </w:rPr>
        <w:t>,</w:t>
      </w:r>
      <w:r w:rsidR="004C4BAA" w:rsidRPr="005A55A8">
        <w:rPr>
          <w:lang w:val="en-GB"/>
        </w:rPr>
        <w:t xml:space="preserve"> their lexical abilities were measured by the French adaptation of the Peabody Picture Vocabulary Test </w:t>
      </w:r>
      <w:r w:rsidR="004C4BAA" w:rsidRPr="005A55A8">
        <w:rPr>
          <w:noProof/>
          <w:lang w:val="en-GB"/>
        </w:rPr>
        <w:t>(Echelle de Vocabulaire en Images Peabody; Dunn, Thériault-Whalen, &amp; Dunn, 1993)</w:t>
      </w:r>
      <w:r w:rsidR="004C4BAA" w:rsidRPr="005A55A8">
        <w:rPr>
          <w:lang w:val="en-GB"/>
        </w:rPr>
        <w:t xml:space="preserve">, their receptive grammatical abilities were measured by the sentence comprehension task of the </w:t>
      </w:r>
      <w:r w:rsidR="004C4BAA" w:rsidRPr="005A55A8">
        <w:rPr>
          <w:i/>
          <w:lang w:val="en-GB"/>
        </w:rPr>
        <w:t xml:space="preserve">Evaluation du </w:t>
      </w:r>
      <w:proofErr w:type="spellStart"/>
      <w:r w:rsidR="004C4BAA" w:rsidRPr="005A55A8">
        <w:rPr>
          <w:i/>
          <w:lang w:val="en-GB"/>
        </w:rPr>
        <w:t>Langage</w:t>
      </w:r>
      <w:proofErr w:type="spellEnd"/>
      <w:r w:rsidR="004C4BAA" w:rsidRPr="005A55A8">
        <w:rPr>
          <w:i/>
          <w:lang w:val="en-GB"/>
        </w:rPr>
        <w:t xml:space="preserve"> Oral</w:t>
      </w:r>
      <w:r w:rsidR="003B529C">
        <w:rPr>
          <w:i/>
          <w:lang w:val="en-GB"/>
        </w:rPr>
        <w:t>,</w:t>
      </w:r>
      <w:r w:rsidR="004C4BAA" w:rsidRPr="005A55A8">
        <w:rPr>
          <w:lang w:val="en-GB"/>
        </w:rPr>
        <w:t xml:space="preserve"> and their productive grammatical abilities were measured by the sentence production task of the </w:t>
      </w:r>
      <w:r w:rsidR="004C4BAA" w:rsidRPr="005A55A8">
        <w:rPr>
          <w:i/>
          <w:lang w:val="en-GB"/>
        </w:rPr>
        <w:t xml:space="preserve">Evaluation du </w:t>
      </w:r>
      <w:proofErr w:type="spellStart"/>
      <w:r w:rsidR="004C4BAA" w:rsidRPr="005A55A8">
        <w:rPr>
          <w:i/>
          <w:lang w:val="en-GB"/>
        </w:rPr>
        <w:t>Langage</w:t>
      </w:r>
      <w:proofErr w:type="spellEnd"/>
      <w:r w:rsidR="004C4BAA" w:rsidRPr="005A55A8">
        <w:rPr>
          <w:i/>
          <w:lang w:val="en-GB"/>
        </w:rPr>
        <w:t xml:space="preserve"> Oral </w:t>
      </w:r>
      <w:r w:rsidR="004C4BAA" w:rsidRPr="005A55A8">
        <w:rPr>
          <w:noProof/>
          <w:lang w:val="en-GB"/>
        </w:rPr>
        <w:t>(Khomsi, 2001)</w:t>
      </w:r>
      <w:r w:rsidR="003B529C">
        <w:rPr>
          <w:lang w:val="en-GB"/>
        </w:rPr>
        <w:t>;</w:t>
      </w:r>
      <w:r w:rsidR="004C4BAA" w:rsidRPr="005A55A8">
        <w:rPr>
          <w:lang w:val="en-GB"/>
        </w:rPr>
        <w:t xml:space="preserve">  </w:t>
      </w:r>
    </w:p>
    <w:p w14:paraId="3533D532" w14:textId="77777777" w:rsidR="00270033" w:rsidRDefault="004C4BAA" w:rsidP="00123878">
      <w:pPr>
        <w:spacing w:after="0" w:line="480" w:lineRule="auto"/>
        <w:ind w:firstLine="708"/>
        <w:rPr>
          <w:lang w:val="en-GB"/>
        </w:rPr>
      </w:pPr>
      <w:r w:rsidRPr="005A55A8">
        <w:rPr>
          <w:lang w:val="en-GB"/>
        </w:rPr>
        <w:t xml:space="preserve">(2) </w:t>
      </w:r>
      <w:proofErr w:type="gramStart"/>
      <w:r w:rsidRPr="005A55A8">
        <w:rPr>
          <w:lang w:val="en-GB"/>
        </w:rPr>
        <w:t>demonstrated</w:t>
      </w:r>
      <w:proofErr w:type="gramEnd"/>
      <w:r w:rsidRPr="005A55A8">
        <w:rPr>
          <w:lang w:val="en-GB"/>
        </w:rPr>
        <w:t xml:space="preserve"> normal-range nonverbal IQ (≥</w:t>
      </w:r>
      <w:r w:rsidR="003B529C">
        <w:rPr>
          <w:lang w:val="en-GB"/>
        </w:rPr>
        <w:t xml:space="preserve"> </w:t>
      </w:r>
      <w:r w:rsidRPr="005A55A8">
        <w:rPr>
          <w:lang w:val="en-GB"/>
        </w:rPr>
        <w:t xml:space="preserve">80) on the WISC-IV </w:t>
      </w:r>
      <w:r w:rsidRPr="005A55A8">
        <w:rPr>
          <w:noProof/>
          <w:lang w:val="en-GB"/>
        </w:rPr>
        <w:t>(Wechsler, 2005</w:t>
      </w:r>
      <w:r w:rsidR="001B3B7A" w:rsidRPr="005A55A8">
        <w:rPr>
          <w:noProof/>
          <w:lang w:val="en-GB"/>
        </w:rPr>
        <w:t>)</w:t>
      </w:r>
      <w:r w:rsidR="003B529C">
        <w:rPr>
          <w:noProof/>
          <w:lang w:val="en-GB"/>
        </w:rPr>
        <w:t>;</w:t>
      </w:r>
      <w:r w:rsidR="001B3B7A">
        <w:rPr>
          <w:lang w:val="en-GB"/>
        </w:rPr>
        <w:t xml:space="preserve"> </w:t>
      </w:r>
    </w:p>
    <w:p w14:paraId="2086AD8B" w14:textId="0F66618A" w:rsidR="00270033" w:rsidRDefault="004C4BAA" w:rsidP="00123878">
      <w:pPr>
        <w:spacing w:after="0" w:line="480" w:lineRule="auto"/>
        <w:ind w:firstLine="708"/>
        <w:rPr>
          <w:lang w:val="en-GB"/>
        </w:rPr>
      </w:pPr>
      <w:r w:rsidRPr="005A55A8">
        <w:rPr>
          <w:lang w:val="en-GB"/>
        </w:rPr>
        <w:t xml:space="preserve">(3) </w:t>
      </w:r>
      <w:proofErr w:type="gramStart"/>
      <w:r w:rsidRPr="005A55A8">
        <w:rPr>
          <w:lang w:val="en-GB"/>
        </w:rPr>
        <w:t>showed</w:t>
      </w:r>
      <w:proofErr w:type="gramEnd"/>
      <w:r w:rsidRPr="005A55A8">
        <w:rPr>
          <w:lang w:val="en-GB"/>
        </w:rPr>
        <w:t xml:space="preserve"> normal</w:t>
      </w:r>
      <w:r w:rsidR="003B529C">
        <w:rPr>
          <w:lang w:val="en-GB"/>
        </w:rPr>
        <w:t>-</w:t>
      </w:r>
      <w:r w:rsidRPr="005A55A8">
        <w:rPr>
          <w:lang w:val="en-GB"/>
        </w:rPr>
        <w:t xml:space="preserve">range hearing thresholds, as determined by audiometric pure-tone screening at 20dB HL at 500, 1000, 2000, &amp; 4000 Hz. </w:t>
      </w:r>
    </w:p>
    <w:p w14:paraId="69BC60D2" w14:textId="77777777" w:rsidR="004C4BAA" w:rsidRDefault="004C4BAA" w:rsidP="009670F0">
      <w:pPr>
        <w:tabs>
          <w:tab w:val="left" w:pos="6360"/>
        </w:tabs>
        <w:spacing w:after="0" w:line="480" w:lineRule="auto"/>
        <w:ind w:firstLine="709"/>
        <w:rPr>
          <w:lang w:val="en-GB"/>
        </w:rPr>
      </w:pPr>
      <w:r w:rsidRPr="005A55A8">
        <w:rPr>
          <w:lang w:val="en-GB"/>
        </w:rPr>
        <w:t xml:space="preserve">Control children scored </w:t>
      </w:r>
      <w:r w:rsidR="001B3B7A">
        <w:rPr>
          <w:lang w:val="en-GB"/>
        </w:rPr>
        <w:t>within</w:t>
      </w:r>
      <w:r w:rsidRPr="005A55A8">
        <w:rPr>
          <w:lang w:val="en-GB"/>
        </w:rPr>
        <w:t xml:space="preserve"> </w:t>
      </w:r>
      <w:r w:rsidR="003B529C">
        <w:rPr>
          <w:lang w:val="en-GB"/>
        </w:rPr>
        <w:t xml:space="preserve">the </w:t>
      </w:r>
      <w:r w:rsidRPr="005A55A8">
        <w:rPr>
          <w:lang w:val="en-GB"/>
        </w:rPr>
        <w:t xml:space="preserve">normal range on all language tests. </w:t>
      </w:r>
      <w:r w:rsidR="009670F0">
        <w:rPr>
          <w:lang w:val="en-GB"/>
        </w:rPr>
        <w:tab/>
      </w:r>
    </w:p>
    <w:p w14:paraId="7ADB4262" w14:textId="77777777" w:rsidR="004C4BAA" w:rsidRPr="00BE1FB1" w:rsidRDefault="004C4BAA" w:rsidP="00BE1FB1">
      <w:pPr>
        <w:pStyle w:val="Paragraphedeliste"/>
        <w:numPr>
          <w:ilvl w:val="1"/>
          <w:numId w:val="11"/>
        </w:numPr>
        <w:spacing w:after="0" w:line="480" w:lineRule="auto"/>
        <w:ind w:left="426"/>
        <w:rPr>
          <w:b/>
          <w:lang w:val="en-GB"/>
        </w:rPr>
      </w:pPr>
      <w:r w:rsidRPr="00BE1FB1">
        <w:rPr>
          <w:b/>
          <w:lang w:val="en-GB"/>
        </w:rPr>
        <w:t>Procedure</w:t>
      </w:r>
    </w:p>
    <w:p w14:paraId="488EB199" w14:textId="65B8A6A0" w:rsidR="00270033" w:rsidRDefault="004C4BAA" w:rsidP="00123878">
      <w:pPr>
        <w:spacing w:after="0" w:line="480" w:lineRule="auto"/>
        <w:ind w:firstLine="709"/>
        <w:rPr>
          <w:lang w:val="en-GB"/>
        </w:rPr>
      </w:pPr>
      <w:r w:rsidRPr="005A55A8">
        <w:rPr>
          <w:lang w:val="en-GB"/>
        </w:rPr>
        <w:t xml:space="preserve">Children performed the sentence repetition task of the L2MA2. This task consists </w:t>
      </w:r>
      <w:r w:rsidR="003B529C">
        <w:rPr>
          <w:lang w:val="en-GB"/>
        </w:rPr>
        <w:t>of</w:t>
      </w:r>
      <w:r w:rsidR="003B529C" w:rsidRPr="005A55A8">
        <w:rPr>
          <w:lang w:val="en-GB"/>
        </w:rPr>
        <w:t xml:space="preserve"> </w:t>
      </w:r>
      <w:r w:rsidRPr="005A55A8">
        <w:rPr>
          <w:lang w:val="en-GB"/>
        </w:rPr>
        <w:t xml:space="preserve">13 to 15 sentences (depending on </w:t>
      </w:r>
      <w:r w:rsidR="004068E0">
        <w:rPr>
          <w:lang w:val="en-GB"/>
        </w:rPr>
        <w:t>school-level</w:t>
      </w:r>
      <w:r w:rsidRPr="005A55A8">
        <w:rPr>
          <w:lang w:val="en-GB"/>
        </w:rPr>
        <w:t xml:space="preserve">) increasing in length (6 to 17 words, 11 to 24 syllables) and grammatical complexity. Each production is scored depending on seven scoring methods. </w:t>
      </w:r>
    </w:p>
    <w:p w14:paraId="25400823" w14:textId="7AB483A8" w:rsidR="00270033" w:rsidRDefault="00E36EC3" w:rsidP="00123878">
      <w:pPr>
        <w:pStyle w:val="Paragraphedeliste"/>
        <w:numPr>
          <w:ilvl w:val="2"/>
          <w:numId w:val="11"/>
        </w:numPr>
        <w:spacing w:after="0" w:line="480" w:lineRule="auto"/>
        <w:ind w:left="0" w:firstLine="0"/>
        <w:rPr>
          <w:lang w:val="en-GB"/>
        </w:rPr>
      </w:pPr>
      <w:r w:rsidRPr="00BE1FB1">
        <w:rPr>
          <w:b/>
          <w:lang w:val="en-GB"/>
        </w:rPr>
        <w:t>Correctness of the sentence (</w:t>
      </w:r>
      <w:r w:rsidRPr="00BE1FB1">
        <w:rPr>
          <w:b/>
          <w:i/>
          <w:lang w:val="en-GB"/>
        </w:rPr>
        <w:t>SENT</w:t>
      </w:r>
      <w:r w:rsidRPr="00BE1FB1">
        <w:rPr>
          <w:b/>
          <w:lang w:val="en-GB"/>
        </w:rPr>
        <w:t>).</w:t>
      </w:r>
      <w:r w:rsidRPr="00500001">
        <w:rPr>
          <w:lang w:val="en-GB"/>
        </w:rPr>
        <w:t xml:space="preserve"> </w:t>
      </w:r>
      <w:r w:rsidR="004C4BAA" w:rsidRPr="00823248">
        <w:rPr>
          <w:lang w:val="en-GB"/>
        </w:rPr>
        <w:t xml:space="preserve">The sentence is scored 1 if </w:t>
      </w:r>
      <w:r w:rsidR="001B3B7A">
        <w:rPr>
          <w:lang w:val="en-GB"/>
        </w:rPr>
        <w:t>it</w:t>
      </w:r>
      <w:r w:rsidR="001B3B7A" w:rsidRPr="00823248">
        <w:rPr>
          <w:lang w:val="en-GB"/>
        </w:rPr>
        <w:t xml:space="preserve"> </w:t>
      </w:r>
      <w:r w:rsidR="004C4BAA" w:rsidRPr="00823248">
        <w:rPr>
          <w:lang w:val="en-GB"/>
        </w:rPr>
        <w:t xml:space="preserve">is exactly the same as the </w:t>
      </w:r>
      <w:r w:rsidR="003B529C" w:rsidRPr="00823248">
        <w:rPr>
          <w:lang w:val="en-GB"/>
        </w:rPr>
        <w:t xml:space="preserve">one </w:t>
      </w:r>
      <w:r w:rsidR="004C4BAA" w:rsidRPr="00823248">
        <w:rPr>
          <w:lang w:val="en-GB"/>
        </w:rPr>
        <w:t>heard. Otherwise</w:t>
      </w:r>
      <w:r w:rsidR="003B529C">
        <w:rPr>
          <w:lang w:val="en-GB"/>
        </w:rPr>
        <w:t xml:space="preserve"> </w:t>
      </w:r>
      <w:r w:rsidR="004C4BAA" w:rsidRPr="00823248">
        <w:rPr>
          <w:lang w:val="en-GB"/>
        </w:rPr>
        <w:t>it is scored 0</w:t>
      </w:r>
      <w:r w:rsidR="003B529C" w:rsidRPr="00823248">
        <w:rPr>
          <w:lang w:val="en-GB"/>
        </w:rPr>
        <w:t>, whatever the error</w:t>
      </w:r>
      <w:r w:rsidR="004C4BAA" w:rsidRPr="00823248">
        <w:rPr>
          <w:lang w:val="en-GB"/>
        </w:rPr>
        <w:t xml:space="preserve">.  </w:t>
      </w:r>
    </w:p>
    <w:p w14:paraId="2484DA1E" w14:textId="77777777" w:rsidR="00270033" w:rsidRDefault="00E36EC3" w:rsidP="00123878">
      <w:pPr>
        <w:pStyle w:val="Paragraphedeliste"/>
        <w:numPr>
          <w:ilvl w:val="2"/>
          <w:numId w:val="11"/>
        </w:numPr>
        <w:spacing w:after="0" w:line="480" w:lineRule="auto"/>
        <w:ind w:left="0" w:firstLine="0"/>
        <w:rPr>
          <w:lang w:val="en-GB"/>
        </w:rPr>
      </w:pPr>
      <w:r w:rsidRPr="00BE1FB1">
        <w:rPr>
          <w:b/>
          <w:lang w:val="en-GB"/>
        </w:rPr>
        <w:t>N</w:t>
      </w:r>
      <w:r w:rsidR="004C4BAA" w:rsidRPr="00BE1FB1">
        <w:rPr>
          <w:b/>
          <w:lang w:val="en-GB"/>
        </w:rPr>
        <w:t>umber of words (</w:t>
      </w:r>
      <w:r w:rsidR="004C4BAA" w:rsidRPr="00BE1FB1">
        <w:rPr>
          <w:b/>
          <w:i/>
          <w:lang w:val="en-GB"/>
        </w:rPr>
        <w:t>NBR</w:t>
      </w:r>
      <w:r w:rsidR="004C4BAA" w:rsidRPr="00BE1FB1">
        <w:rPr>
          <w:b/>
          <w:lang w:val="en-GB"/>
        </w:rPr>
        <w:t>).</w:t>
      </w:r>
      <w:r w:rsidR="004C4BAA" w:rsidRPr="00500001">
        <w:rPr>
          <w:lang w:val="en-GB"/>
        </w:rPr>
        <w:t xml:space="preserve"> Each word accurately repeated is scored 1, whatever its place in the sentence. </w:t>
      </w:r>
    </w:p>
    <w:p w14:paraId="17B07B9B" w14:textId="7A98949D" w:rsidR="00270033" w:rsidRDefault="00B258A8" w:rsidP="00123878">
      <w:pPr>
        <w:spacing w:after="0" w:line="480" w:lineRule="auto"/>
        <w:ind w:firstLine="709"/>
        <w:rPr>
          <w:lang w:val="en-GB"/>
        </w:rPr>
      </w:pPr>
      <w:r w:rsidRPr="00B258A8">
        <w:rPr>
          <w:lang w:val="en-GB"/>
        </w:rPr>
        <w:t xml:space="preserve">Moreover, three scoring methods were </w:t>
      </w:r>
      <w:r w:rsidR="007B67A7" w:rsidRPr="00B258A8">
        <w:rPr>
          <w:lang w:val="en-GB"/>
        </w:rPr>
        <w:t xml:space="preserve">designed </w:t>
      </w:r>
      <w:r w:rsidRPr="00B258A8">
        <w:rPr>
          <w:lang w:val="en-GB"/>
        </w:rPr>
        <w:t xml:space="preserve">especially to assess the </w:t>
      </w:r>
      <w:proofErr w:type="spellStart"/>
      <w:r w:rsidRPr="00B258A8">
        <w:rPr>
          <w:lang w:val="en-GB"/>
        </w:rPr>
        <w:t>morphosyntactic</w:t>
      </w:r>
      <w:proofErr w:type="spellEnd"/>
      <w:r w:rsidRPr="00B258A8">
        <w:rPr>
          <w:lang w:val="en-GB"/>
        </w:rPr>
        <w:t xml:space="preserve"> abilities: use of complex syntax, of functional words and of verb morphology. </w:t>
      </w:r>
    </w:p>
    <w:p w14:paraId="6882A074" w14:textId="77777777" w:rsidR="00270033" w:rsidRDefault="002774D3" w:rsidP="00123878">
      <w:pPr>
        <w:pStyle w:val="Paragraphedeliste"/>
        <w:numPr>
          <w:ilvl w:val="2"/>
          <w:numId w:val="11"/>
        </w:numPr>
        <w:spacing w:after="0" w:line="480" w:lineRule="auto"/>
        <w:ind w:left="0" w:firstLine="0"/>
        <w:rPr>
          <w:lang w:val="en-GB"/>
        </w:rPr>
      </w:pPr>
      <w:r w:rsidRPr="00B258A8">
        <w:rPr>
          <w:b/>
          <w:lang w:val="en-GB"/>
        </w:rPr>
        <w:t>Syntax</w:t>
      </w:r>
      <w:r w:rsidRPr="00B258A8" w:rsidDel="00E36EC3">
        <w:rPr>
          <w:b/>
          <w:lang w:val="en-GB"/>
        </w:rPr>
        <w:t xml:space="preserve"> </w:t>
      </w:r>
      <w:r w:rsidR="004C4BAA" w:rsidRPr="00B258A8">
        <w:rPr>
          <w:b/>
          <w:lang w:val="en-GB"/>
        </w:rPr>
        <w:t xml:space="preserve"> (</w:t>
      </w:r>
      <w:r w:rsidR="004C4BAA" w:rsidRPr="00B258A8">
        <w:rPr>
          <w:b/>
          <w:i/>
          <w:lang w:val="en-GB"/>
        </w:rPr>
        <w:t>SYNT</w:t>
      </w:r>
      <w:r w:rsidR="004C4BAA" w:rsidRPr="00B258A8">
        <w:rPr>
          <w:b/>
          <w:lang w:val="en-GB"/>
        </w:rPr>
        <w:t>)</w:t>
      </w:r>
      <w:r w:rsidR="004C4BAA" w:rsidRPr="00B258A8">
        <w:rPr>
          <w:lang w:val="en-GB"/>
        </w:rPr>
        <w:t>. The production is scored 1 if it is grammatical</w:t>
      </w:r>
      <w:r w:rsidR="00B915B6">
        <w:rPr>
          <w:lang w:val="en-GB"/>
        </w:rPr>
        <w:t>ly correct</w:t>
      </w:r>
      <w:r w:rsidR="004C4BAA" w:rsidRPr="00B258A8">
        <w:rPr>
          <w:lang w:val="en-GB"/>
        </w:rPr>
        <w:t xml:space="preserve">, and if it contains two verbs and a connecting word (not necessarily the expected ones). Otherwise, it is scored 0. </w:t>
      </w:r>
    </w:p>
    <w:p w14:paraId="7652765A" w14:textId="77777777" w:rsidR="00270033" w:rsidRDefault="00E36EC3" w:rsidP="00123878">
      <w:pPr>
        <w:pStyle w:val="Paragraphedeliste"/>
        <w:numPr>
          <w:ilvl w:val="2"/>
          <w:numId w:val="11"/>
        </w:numPr>
        <w:spacing w:after="0" w:line="480" w:lineRule="auto"/>
        <w:ind w:left="0" w:firstLine="0"/>
        <w:rPr>
          <w:lang w:val="en-GB"/>
        </w:rPr>
      </w:pPr>
      <w:r w:rsidRPr="00B258A8">
        <w:rPr>
          <w:b/>
          <w:lang w:val="en-GB"/>
        </w:rPr>
        <w:lastRenderedPageBreak/>
        <w:t>V</w:t>
      </w:r>
      <w:r w:rsidR="004C4BAA" w:rsidRPr="00B258A8">
        <w:rPr>
          <w:b/>
          <w:lang w:val="en-GB"/>
        </w:rPr>
        <w:t>erb morphology (</w:t>
      </w:r>
      <w:r w:rsidR="004C4BAA" w:rsidRPr="00B258A8">
        <w:rPr>
          <w:b/>
          <w:i/>
          <w:lang w:val="en-GB"/>
        </w:rPr>
        <w:t>MORPH</w:t>
      </w:r>
      <w:r w:rsidR="002774D3" w:rsidRPr="00B258A8">
        <w:rPr>
          <w:b/>
          <w:lang w:val="en-GB"/>
        </w:rPr>
        <w:t>).</w:t>
      </w:r>
      <w:r w:rsidR="002774D3" w:rsidRPr="00B258A8">
        <w:rPr>
          <w:lang w:val="en-GB"/>
        </w:rPr>
        <w:t xml:space="preserve"> E</w:t>
      </w:r>
      <w:r w:rsidR="004C4BAA" w:rsidRPr="00B258A8">
        <w:rPr>
          <w:lang w:val="en-GB"/>
        </w:rPr>
        <w:t xml:space="preserve">ach verb inflection is given 1 point if it is conjugated </w:t>
      </w:r>
      <w:r w:rsidR="007B67A7">
        <w:rPr>
          <w:lang w:val="en-GB"/>
        </w:rPr>
        <w:t xml:space="preserve">with </w:t>
      </w:r>
      <w:r w:rsidR="004C4BAA" w:rsidRPr="00B258A8">
        <w:rPr>
          <w:lang w:val="en-GB"/>
        </w:rPr>
        <w:t>the expected number (singular-plural), person (first, second, or third) and tense (past, present or future), even if it is not the expected verb (</w:t>
      </w:r>
      <w:r w:rsidR="007B67A7">
        <w:rPr>
          <w:lang w:val="en-GB"/>
        </w:rPr>
        <w:t xml:space="preserve">i.e., </w:t>
      </w:r>
      <w:r w:rsidR="004C4BAA" w:rsidRPr="00B258A8">
        <w:rPr>
          <w:lang w:val="en-GB"/>
        </w:rPr>
        <w:t xml:space="preserve">not the same stem). Given that sentences contain 1 or 2 verbs, each production can be scored 0, 1, or 2. </w:t>
      </w:r>
    </w:p>
    <w:p w14:paraId="54935055" w14:textId="77777777" w:rsidR="00270033" w:rsidRDefault="002774D3" w:rsidP="00123878">
      <w:pPr>
        <w:pStyle w:val="Paragraphedeliste"/>
        <w:numPr>
          <w:ilvl w:val="2"/>
          <w:numId w:val="11"/>
        </w:numPr>
        <w:spacing w:after="0" w:line="480" w:lineRule="auto"/>
        <w:ind w:left="0" w:firstLine="0"/>
        <w:rPr>
          <w:lang w:val="en-GB"/>
        </w:rPr>
      </w:pPr>
      <w:r w:rsidRPr="00B258A8">
        <w:rPr>
          <w:b/>
          <w:lang w:val="en-GB"/>
        </w:rPr>
        <w:t>Functional words (</w:t>
      </w:r>
      <w:r w:rsidRPr="00B258A8">
        <w:rPr>
          <w:b/>
          <w:i/>
          <w:lang w:val="en-GB"/>
        </w:rPr>
        <w:t>FUNC</w:t>
      </w:r>
      <w:r w:rsidRPr="00B258A8">
        <w:rPr>
          <w:b/>
          <w:lang w:val="en-GB"/>
        </w:rPr>
        <w:t>).</w:t>
      </w:r>
      <w:r w:rsidR="00E36EC3" w:rsidRPr="00B258A8">
        <w:rPr>
          <w:lang w:val="en-GB"/>
        </w:rPr>
        <w:t xml:space="preserve"> N</w:t>
      </w:r>
      <w:r w:rsidR="004C4BAA" w:rsidRPr="00B258A8">
        <w:rPr>
          <w:lang w:val="en-GB"/>
        </w:rPr>
        <w:t xml:space="preserve">umber of functional words (pronouns, possessives, relatives, conjunctions, prepositions, determiners) accurately repeated. </w:t>
      </w:r>
    </w:p>
    <w:p w14:paraId="327DAD9D" w14:textId="4A8A325C" w:rsidR="00270033" w:rsidRDefault="002B53DE" w:rsidP="00123878">
      <w:pPr>
        <w:spacing w:after="0" w:line="480" w:lineRule="auto"/>
        <w:rPr>
          <w:lang w:val="en-GB"/>
        </w:rPr>
      </w:pPr>
      <w:r w:rsidRPr="002B53DE">
        <w:rPr>
          <w:lang w:val="en-GB"/>
        </w:rPr>
        <w:t xml:space="preserve">Finally, two further scoring methods targeted the </w:t>
      </w:r>
      <w:proofErr w:type="spellStart"/>
      <w:r w:rsidRPr="002B53DE">
        <w:rPr>
          <w:lang w:val="en-GB"/>
        </w:rPr>
        <w:t>lexico</w:t>
      </w:r>
      <w:proofErr w:type="spellEnd"/>
      <w:r w:rsidRPr="002B53DE">
        <w:rPr>
          <w:lang w:val="en-GB"/>
        </w:rPr>
        <w:t>-semantic abilities of the children</w:t>
      </w:r>
    </w:p>
    <w:p w14:paraId="1A7A269F" w14:textId="32BADFD8" w:rsidR="00270033" w:rsidRDefault="002774D3" w:rsidP="00123878">
      <w:pPr>
        <w:pStyle w:val="Paragraphedeliste"/>
        <w:numPr>
          <w:ilvl w:val="2"/>
          <w:numId w:val="11"/>
        </w:numPr>
        <w:spacing w:after="0" w:line="480" w:lineRule="auto"/>
        <w:ind w:left="0" w:firstLine="0"/>
        <w:rPr>
          <w:lang w:val="en-GB"/>
        </w:rPr>
      </w:pPr>
      <w:r w:rsidRPr="00B258A8">
        <w:rPr>
          <w:b/>
          <w:lang w:val="en-GB"/>
        </w:rPr>
        <w:t>Lexical words (</w:t>
      </w:r>
      <w:r w:rsidRPr="00B258A8">
        <w:rPr>
          <w:b/>
          <w:i/>
          <w:lang w:val="en-GB"/>
        </w:rPr>
        <w:t>LEX</w:t>
      </w:r>
      <w:r w:rsidRPr="00B258A8">
        <w:rPr>
          <w:b/>
          <w:lang w:val="en-GB"/>
        </w:rPr>
        <w:t>).</w:t>
      </w:r>
      <w:r w:rsidR="00E36EC3" w:rsidRPr="00B258A8">
        <w:rPr>
          <w:lang w:val="en-GB"/>
        </w:rPr>
        <w:t xml:space="preserve"> N</w:t>
      </w:r>
      <w:r w:rsidR="004C4BAA" w:rsidRPr="00B258A8">
        <w:rPr>
          <w:lang w:val="en-GB"/>
        </w:rPr>
        <w:t xml:space="preserve">umber of content words (mainly nouns and verbs) accurately repeated. Only the verb stems are taken into account in this scoring method: a verb </w:t>
      </w:r>
      <w:r w:rsidRPr="00B258A8">
        <w:rPr>
          <w:lang w:val="en-GB"/>
        </w:rPr>
        <w:t>is</w:t>
      </w:r>
      <w:r w:rsidR="004C4BAA" w:rsidRPr="00B258A8">
        <w:rPr>
          <w:lang w:val="en-GB"/>
        </w:rPr>
        <w:t xml:space="preserve"> given </w:t>
      </w:r>
      <w:r w:rsidR="00E36EC3" w:rsidRPr="00B258A8">
        <w:rPr>
          <w:lang w:val="en-GB"/>
        </w:rPr>
        <w:t xml:space="preserve">2 </w:t>
      </w:r>
      <w:r w:rsidR="004C4BAA" w:rsidRPr="00B258A8">
        <w:rPr>
          <w:lang w:val="en-GB"/>
        </w:rPr>
        <w:t xml:space="preserve">points if it is the target stem, even if it is not inflected as expected. Moreover, synonyms are taken into account. While target words receive </w:t>
      </w:r>
      <w:r w:rsidR="00E36EC3" w:rsidRPr="00B258A8">
        <w:rPr>
          <w:lang w:val="en-GB"/>
        </w:rPr>
        <w:t xml:space="preserve">2 </w:t>
      </w:r>
      <w:r w:rsidR="004C4BAA" w:rsidRPr="00B258A8">
        <w:rPr>
          <w:lang w:val="en-GB"/>
        </w:rPr>
        <w:t xml:space="preserve">points, synonyms of the target words (as defined in a list) receive </w:t>
      </w:r>
      <w:r w:rsidR="00E36EC3" w:rsidRPr="00B258A8">
        <w:rPr>
          <w:lang w:val="en-GB"/>
        </w:rPr>
        <w:t xml:space="preserve">1 </w:t>
      </w:r>
      <w:r w:rsidR="004C4BAA" w:rsidRPr="00B258A8">
        <w:rPr>
          <w:lang w:val="en-GB"/>
        </w:rPr>
        <w:t xml:space="preserve">point. </w:t>
      </w:r>
    </w:p>
    <w:p w14:paraId="5B285948" w14:textId="462A34F0" w:rsidR="00270033" w:rsidRDefault="002774D3" w:rsidP="00123878">
      <w:pPr>
        <w:pStyle w:val="Paragraphedeliste"/>
        <w:numPr>
          <w:ilvl w:val="2"/>
          <w:numId w:val="11"/>
        </w:numPr>
        <w:spacing w:after="0" w:line="480" w:lineRule="auto"/>
        <w:ind w:left="0" w:firstLine="0"/>
        <w:rPr>
          <w:lang w:val="en-GB"/>
        </w:rPr>
      </w:pPr>
      <w:r w:rsidRPr="00B258A8">
        <w:rPr>
          <w:b/>
          <w:lang w:val="en-GB"/>
        </w:rPr>
        <w:t>Semantic (</w:t>
      </w:r>
      <w:r w:rsidRPr="00B258A8">
        <w:rPr>
          <w:b/>
          <w:i/>
          <w:lang w:val="en-GB"/>
        </w:rPr>
        <w:t>SEM</w:t>
      </w:r>
      <w:r w:rsidRPr="00B258A8">
        <w:rPr>
          <w:b/>
          <w:lang w:val="en-GB"/>
        </w:rPr>
        <w:t>)</w:t>
      </w:r>
      <w:r w:rsidR="004C4BAA" w:rsidRPr="00B258A8">
        <w:rPr>
          <w:lang w:val="en-GB"/>
        </w:rPr>
        <w:t xml:space="preserve">. For each sentence, a list is given with the main one, two, or three ideas that </w:t>
      </w:r>
      <w:r w:rsidR="009670F0">
        <w:rPr>
          <w:lang w:val="en-GB"/>
        </w:rPr>
        <w:t>must</w:t>
      </w:r>
      <w:r w:rsidR="004C4BAA" w:rsidRPr="00B258A8">
        <w:rPr>
          <w:lang w:val="en-GB"/>
        </w:rPr>
        <w:t xml:space="preserve"> appear in the production to assign the semantic point (scored 0-1).  If two main ideas are required and only one is produced, the production is scored 0</w:t>
      </w:r>
      <w:r w:rsidR="004C4BAA" w:rsidRPr="00B258A8">
        <w:rPr>
          <w:b/>
          <w:lang w:val="en-GB"/>
        </w:rPr>
        <w:t xml:space="preserve">.  </w:t>
      </w:r>
    </w:p>
    <w:p w14:paraId="35F60FD9" w14:textId="5C3DC25D" w:rsidR="00270033" w:rsidRDefault="004C4BAA" w:rsidP="00123878">
      <w:pPr>
        <w:spacing w:after="0" w:line="480" w:lineRule="auto"/>
        <w:ind w:firstLine="709"/>
        <w:rPr>
          <w:lang w:val="en-GB"/>
        </w:rPr>
      </w:pPr>
      <w:r w:rsidRPr="005A55A8">
        <w:rPr>
          <w:lang w:val="en-GB"/>
        </w:rPr>
        <w:t>This task was standardized on a normative sample of 455 children, including 90 children per school-age subgroup</w:t>
      </w:r>
      <w:r w:rsidR="007E5471">
        <w:rPr>
          <w:lang w:val="en-GB"/>
        </w:rPr>
        <w:t xml:space="preserve"> (from grade 2 to grade 6)</w:t>
      </w:r>
      <w:r w:rsidRPr="005A55A8">
        <w:rPr>
          <w:lang w:val="en-GB"/>
        </w:rPr>
        <w:t>.</w:t>
      </w:r>
      <w:r w:rsidRPr="005A55A8">
        <w:rPr>
          <w:b/>
          <w:lang w:val="en-GB"/>
        </w:rPr>
        <w:t xml:space="preserve"> </w:t>
      </w:r>
      <w:r w:rsidR="007E5471" w:rsidRPr="00BE1FB1">
        <w:rPr>
          <w:lang w:val="en-GB"/>
        </w:rPr>
        <w:t xml:space="preserve">Since </w:t>
      </w:r>
      <w:r w:rsidR="007E5471">
        <w:rPr>
          <w:lang w:val="en-GB"/>
        </w:rPr>
        <w:t>t</w:t>
      </w:r>
      <w:r w:rsidRPr="005A55A8">
        <w:rPr>
          <w:lang w:val="en-GB"/>
        </w:rPr>
        <w:t xml:space="preserve">he </w:t>
      </w:r>
      <w:r w:rsidR="007E5471">
        <w:rPr>
          <w:lang w:val="en-GB"/>
        </w:rPr>
        <w:t xml:space="preserve">number of </w:t>
      </w:r>
      <w:r w:rsidRPr="005A55A8">
        <w:rPr>
          <w:lang w:val="en-GB"/>
        </w:rPr>
        <w:t>sentences varied depending on school</w:t>
      </w:r>
      <w:r w:rsidR="009670F0">
        <w:rPr>
          <w:lang w:val="en-GB"/>
        </w:rPr>
        <w:t xml:space="preserve"> </w:t>
      </w:r>
      <w:r w:rsidR="0048769C">
        <w:rPr>
          <w:lang w:val="en-GB"/>
        </w:rPr>
        <w:t>level</w:t>
      </w:r>
      <w:r w:rsidRPr="005A55A8">
        <w:rPr>
          <w:lang w:val="en-GB"/>
        </w:rPr>
        <w:t xml:space="preserve">, we converted the raw scores into standard scores for each participant. The participants were </w:t>
      </w:r>
      <w:r w:rsidR="00073267">
        <w:rPr>
          <w:lang w:val="en-GB"/>
        </w:rPr>
        <w:t xml:space="preserve">asked to </w:t>
      </w:r>
      <w:r w:rsidRPr="005A55A8">
        <w:rPr>
          <w:lang w:val="en-GB"/>
        </w:rPr>
        <w:t xml:space="preserve">repeat exactly the same sentence </w:t>
      </w:r>
      <w:r w:rsidR="009670F0">
        <w:rPr>
          <w:lang w:val="en-GB"/>
        </w:rPr>
        <w:t xml:space="preserve">that </w:t>
      </w:r>
      <w:r w:rsidR="00073267">
        <w:rPr>
          <w:lang w:val="en-GB"/>
        </w:rPr>
        <w:t>they</w:t>
      </w:r>
      <w:r w:rsidRPr="005A55A8">
        <w:rPr>
          <w:lang w:val="en-GB"/>
        </w:rPr>
        <w:t xml:space="preserve"> heard.</w:t>
      </w:r>
      <w:r w:rsidR="00073267">
        <w:rPr>
          <w:lang w:val="en-GB"/>
        </w:rPr>
        <w:t xml:space="preserve"> </w:t>
      </w:r>
    </w:p>
    <w:p w14:paraId="3BCAD8DD" w14:textId="77777777" w:rsidR="004C4BAA" w:rsidRPr="00123878" w:rsidRDefault="004D029D" w:rsidP="009670F0">
      <w:pPr>
        <w:pStyle w:val="Paragraphedeliste"/>
        <w:numPr>
          <w:ilvl w:val="0"/>
          <w:numId w:val="11"/>
        </w:numPr>
        <w:spacing w:after="0" w:line="480" w:lineRule="auto"/>
        <w:jc w:val="center"/>
        <w:rPr>
          <w:b/>
          <w:lang w:val="en-GB"/>
        </w:rPr>
      </w:pPr>
      <w:r w:rsidRPr="00123878">
        <w:rPr>
          <w:b/>
          <w:lang w:val="en-GB"/>
        </w:rPr>
        <w:t>Results</w:t>
      </w:r>
    </w:p>
    <w:p w14:paraId="6FEE78BD" w14:textId="2CA400D5" w:rsidR="00270033" w:rsidRDefault="004C4BAA" w:rsidP="00123878">
      <w:pPr>
        <w:spacing w:after="0" w:line="480" w:lineRule="auto"/>
        <w:ind w:firstLine="709"/>
        <w:rPr>
          <w:lang w:val="en-GB"/>
        </w:rPr>
      </w:pPr>
      <w:r w:rsidRPr="005A55A8">
        <w:rPr>
          <w:lang w:val="en-GB"/>
        </w:rPr>
        <w:t>All test scores were converted to z-scores, based on the mean and standard deviation for each age group provided by the test manual</w:t>
      </w:r>
      <w:r w:rsidR="00A5321C">
        <w:rPr>
          <w:lang w:val="en-GB"/>
        </w:rPr>
        <w:t>,</w:t>
      </w:r>
      <w:r w:rsidRPr="005A55A8">
        <w:rPr>
          <w:lang w:val="en-GB"/>
        </w:rPr>
        <w:t xml:space="preserve"> in order to be able to compare </w:t>
      </w:r>
      <w:r w:rsidR="00A5321C">
        <w:rPr>
          <w:lang w:val="en-GB"/>
        </w:rPr>
        <w:t>the</w:t>
      </w:r>
      <w:r w:rsidR="00A5321C" w:rsidRPr="005A55A8">
        <w:rPr>
          <w:lang w:val="en-GB"/>
        </w:rPr>
        <w:t xml:space="preserve"> </w:t>
      </w:r>
      <w:r w:rsidRPr="005A55A8">
        <w:rPr>
          <w:lang w:val="en-GB"/>
        </w:rPr>
        <w:t>same score across age groups. The statistical analyses were computed using z-scores. Descriptive statistics</w:t>
      </w:r>
      <w:r w:rsidR="00A5321C">
        <w:rPr>
          <w:lang w:val="en-GB"/>
        </w:rPr>
        <w:t xml:space="preserve"> </w:t>
      </w:r>
      <w:r w:rsidRPr="005A55A8">
        <w:rPr>
          <w:lang w:val="en-GB"/>
        </w:rPr>
        <w:t xml:space="preserve">are shown </w:t>
      </w:r>
      <w:r w:rsidR="00A5321C" w:rsidRPr="005A55A8">
        <w:rPr>
          <w:lang w:val="en-GB"/>
        </w:rPr>
        <w:t xml:space="preserve">in z-scores </w:t>
      </w:r>
      <w:r w:rsidRPr="005A55A8">
        <w:rPr>
          <w:lang w:val="en-GB"/>
        </w:rPr>
        <w:t>in Table 1.</w:t>
      </w:r>
    </w:p>
    <w:p w14:paraId="2A9ADE6D" w14:textId="77777777" w:rsidR="00270033" w:rsidRDefault="004C4BAA" w:rsidP="00123878">
      <w:pPr>
        <w:pStyle w:val="Paragraphedeliste"/>
        <w:numPr>
          <w:ilvl w:val="1"/>
          <w:numId w:val="11"/>
        </w:numPr>
        <w:spacing w:after="0" w:line="480" w:lineRule="auto"/>
        <w:ind w:left="426"/>
        <w:rPr>
          <w:b/>
          <w:lang w:val="en-GB"/>
        </w:rPr>
      </w:pPr>
      <w:r w:rsidRPr="00BE1FB1">
        <w:rPr>
          <w:b/>
          <w:lang w:val="en-GB"/>
        </w:rPr>
        <w:t>Identification accuracy</w:t>
      </w:r>
    </w:p>
    <w:p w14:paraId="1253C781" w14:textId="49436C4B" w:rsidR="00270033" w:rsidRDefault="004C4BAA" w:rsidP="00123878">
      <w:pPr>
        <w:spacing w:after="0" w:line="480" w:lineRule="auto"/>
        <w:ind w:firstLine="709"/>
        <w:rPr>
          <w:lang w:val="en-GB"/>
        </w:rPr>
      </w:pPr>
      <w:r w:rsidRPr="005A55A8">
        <w:rPr>
          <w:lang w:val="en-GB"/>
        </w:rPr>
        <w:lastRenderedPageBreak/>
        <w:t xml:space="preserve">First, we conducted discriminant analyses to assess the ability of the sentence repetition task to distinguish typical from atypical language functioning. Given that our seven measures </w:t>
      </w:r>
      <w:r w:rsidR="00A5321C">
        <w:rPr>
          <w:lang w:val="en-GB"/>
        </w:rPr>
        <w:t>we</w:t>
      </w:r>
      <w:r w:rsidR="00A5321C" w:rsidRPr="005A55A8">
        <w:rPr>
          <w:lang w:val="en-GB"/>
        </w:rPr>
        <w:t xml:space="preserve">re </w:t>
      </w:r>
      <w:r w:rsidRPr="005A55A8">
        <w:rPr>
          <w:lang w:val="en-GB"/>
        </w:rPr>
        <w:t xml:space="preserve">not independent, we conducted independent analyses for each scoring measure. The usual scoring procedure (correct/false; the SENT score) was entered into the discriminant analysis. </w:t>
      </w:r>
      <w:proofErr w:type="spellStart"/>
      <w:r w:rsidRPr="005A55A8">
        <w:rPr>
          <w:lang w:val="en-GB"/>
        </w:rPr>
        <w:t>Wilk's</w:t>
      </w:r>
      <w:proofErr w:type="spellEnd"/>
      <w:r w:rsidRPr="005A55A8">
        <w:rPr>
          <w:lang w:val="en-GB"/>
        </w:rPr>
        <w:t xml:space="preserve"> Lambda was significant (λ = 0.30; </w:t>
      </w:r>
      <w:proofErr w:type="gramStart"/>
      <w:r w:rsidRPr="005A55A8">
        <w:rPr>
          <w:i/>
          <w:lang w:val="en-GB"/>
        </w:rPr>
        <w:t>F</w:t>
      </w:r>
      <w:r w:rsidRPr="005A55A8">
        <w:rPr>
          <w:lang w:val="en-GB"/>
        </w:rPr>
        <w:t>(</w:t>
      </w:r>
      <w:proofErr w:type="gramEnd"/>
      <w:r w:rsidRPr="005A55A8">
        <w:rPr>
          <w:lang w:val="en-GB"/>
        </w:rPr>
        <w:t>1</w:t>
      </w:r>
      <w:r w:rsidR="00A5321C">
        <w:rPr>
          <w:lang w:val="en-GB"/>
        </w:rPr>
        <w:t>.</w:t>
      </w:r>
      <w:r w:rsidRPr="005A55A8">
        <w:rPr>
          <w:lang w:val="en-GB"/>
        </w:rPr>
        <w:t xml:space="preserve">66) = 153.89, </w:t>
      </w:r>
      <w:r w:rsidRPr="005A55A8">
        <w:rPr>
          <w:i/>
          <w:lang w:val="en-GB"/>
        </w:rPr>
        <w:t>p</w:t>
      </w:r>
      <w:r w:rsidR="00A5321C">
        <w:rPr>
          <w:i/>
          <w:lang w:val="en-GB"/>
        </w:rPr>
        <w:t xml:space="preserve"> </w:t>
      </w:r>
      <w:r w:rsidRPr="005A55A8">
        <w:rPr>
          <w:lang w:val="en-GB"/>
        </w:rPr>
        <w:t>&lt;</w:t>
      </w:r>
      <w:r w:rsidR="00A5321C">
        <w:rPr>
          <w:lang w:val="en-GB"/>
        </w:rPr>
        <w:t xml:space="preserve"> </w:t>
      </w:r>
      <w:r w:rsidRPr="005A55A8">
        <w:rPr>
          <w:lang w:val="en-GB"/>
        </w:rPr>
        <w:t xml:space="preserve">.001): all but one children with SLI were correctly classified (97.1%), and the majority of the control children (30) were also correctly classified (88.2%).  The second scoring procedure, taking into account the number of words accurately repeated (the NBR score), also showed </w:t>
      </w:r>
      <w:r w:rsidR="00A5321C">
        <w:rPr>
          <w:lang w:val="en-GB"/>
        </w:rPr>
        <w:t xml:space="preserve">a </w:t>
      </w:r>
      <w:r w:rsidRPr="005A55A8">
        <w:rPr>
          <w:lang w:val="en-GB"/>
        </w:rPr>
        <w:t xml:space="preserve">significant </w:t>
      </w:r>
      <w:proofErr w:type="spellStart"/>
      <w:r w:rsidRPr="005A55A8">
        <w:rPr>
          <w:lang w:val="en-GB"/>
        </w:rPr>
        <w:t>Wilk's</w:t>
      </w:r>
      <w:proofErr w:type="spellEnd"/>
      <w:r w:rsidRPr="005A55A8">
        <w:rPr>
          <w:lang w:val="en-GB"/>
        </w:rPr>
        <w:t xml:space="preserve"> Lambda (λ = 0.35; </w:t>
      </w:r>
      <w:proofErr w:type="gramStart"/>
      <w:r w:rsidRPr="005A55A8">
        <w:rPr>
          <w:i/>
          <w:lang w:val="en-GB"/>
        </w:rPr>
        <w:t>F</w:t>
      </w:r>
      <w:r w:rsidRPr="005A55A8">
        <w:rPr>
          <w:lang w:val="en-GB"/>
        </w:rPr>
        <w:t>(</w:t>
      </w:r>
      <w:proofErr w:type="gramEnd"/>
      <w:r w:rsidRPr="005A55A8">
        <w:rPr>
          <w:lang w:val="en-GB"/>
        </w:rPr>
        <w:t>1</w:t>
      </w:r>
      <w:r w:rsidR="00A5321C">
        <w:rPr>
          <w:lang w:val="en-GB"/>
        </w:rPr>
        <w:t>,</w:t>
      </w:r>
      <w:r w:rsidRPr="005A55A8">
        <w:rPr>
          <w:lang w:val="en-GB"/>
        </w:rPr>
        <w:t xml:space="preserve">66) = 122.42, </w:t>
      </w:r>
      <w:r w:rsidRPr="005A55A8">
        <w:rPr>
          <w:i/>
          <w:lang w:val="en-GB"/>
        </w:rPr>
        <w:t>p</w:t>
      </w:r>
      <w:r w:rsidR="00A5321C">
        <w:rPr>
          <w:i/>
          <w:lang w:val="en-GB"/>
        </w:rPr>
        <w:t xml:space="preserve"> </w:t>
      </w:r>
      <w:r w:rsidRPr="005A55A8">
        <w:rPr>
          <w:lang w:val="en-GB"/>
        </w:rPr>
        <w:t>&lt;</w:t>
      </w:r>
      <w:r w:rsidR="00A5321C">
        <w:rPr>
          <w:lang w:val="en-GB"/>
        </w:rPr>
        <w:t xml:space="preserve"> </w:t>
      </w:r>
      <w:r w:rsidRPr="005A55A8">
        <w:rPr>
          <w:lang w:val="en-GB"/>
        </w:rPr>
        <w:t xml:space="preserve">.001). The classification power was only </w:t>
      </w:r>
      <w:r w:rsidR="00A5321C">
        <w:rPr>
          <w:lang w:val="en-GB"/>
        </w:rPr>
        <w:t>slightly</w:t>
      </w:r>
      <w:r w:rsidRPr="005A55A8">
        <w:rPr>
          <w:lang w:val="en-GB"/>
        </w:rPr>
        <w:t xml:space="preserve"> lower: 29 children with SLI were correctly classified (85.3%) and 32 controls were also correctly classified (94.1%). Table 2 shows </w:t>
      </w:r>
      <w:r w:rsidR="00A5321C">
        <w:rPr>
          <w:lang w:val="en-GB"/>
        </w:rPr>
        <w:t xml:space="preserve">a </w:t>
      </w:r>
      <w:r w:rsidRPr="005A55A8">
        <w:rPr>
          <w:lang w:val="en-GB"/>
        </w:rPr>
        <w:t xml:space="preserve">high classification power for each scoring measure. </w:t>
      </w:r>
    </w:p>
    <w:p w14:paraId="3319536A" w14:textId="03A412CE" w:rsidR="00270033" w:rsidRDefault="004C4BAA" w:rsidP="00123878">
      <w:pPr>
        <w:spacing w:after="0" w:line="480" w:lineRule="auto"/>
        <w:ind w:firstLine="709"/>
        <w:rPr>
          <w:lang w:val="en-GB"/>
        </w:rPr>
      </w:pPr>
      <w:r w:rsidRPr="005A55A8">
        <w:rPr>
          <w:lang w:val="en-GB"/>
        </w:rPr>
        <w:t>Second, we examined the sensitivity and specificity of the seven scoring measures at three different cut-off points: -1 SD (the 16</w:t>
      </w:r>
      <w:r w:rsidRPr="005A55A8">
        <w:rPr>
          <w:vertAlign w:val="superscript"/>
          <w:lang w:val="en-GB"/>
        </w:rPr>
        <w:t>th</w:t>
      </w:r>
      <w:r w:rsidRPr="005A55A8">
        <w:rPr>
          <w:lang w:val="en-GB"/>
        </w:rPr>
        <w:t xml:space="preserve"> percentile in a normal distribution), -1.28 SD (the 10</w:t>
      </w:r>
      <w:r w:rsidRPr="005A55A8">
        <w:rPr>
          <w:vertAlign w:val="superscript"/>
          <w:lang w:val="en-GB"/>
        </w:rPr>
        <w:t>th</w:t>
      </w:r>
      <w:r w:rsidRPr="005A55A8">
        <w:rPr>
          <w:lang w:val="en-GB"/>
        </w:rPr>
        <w:t xml:space="preserve"> percentile), and -2 SD (the 3</w:t>
      </w:r>
      <w:r w:rsidRPr="005A55A8">
        <w:rPr>
          <w:vertAlign w:val="superscript"/>
          <w:lang w:val="en-GB"/>
        </w:rPr>
        <w:t>rd</w:t>
      </w:r>
      <w:r w:rsidRPr="005A55A8">
        <w:rPr>
          <w:lang w:val="en-GB"/>
        </w:rPr>
        <w:t xml:space="preserve"> percentile). The first two cut-off scores are often used in research, but are generally viewed as too lax in clinical practice, while -2 SD is the criterion officially recommended for </w:t>
      </w:r>
      <w:r w:rsidR="00A5321C">
        <w:rPr>
          <w:lang w:val="en-GB"/>
        </w:rPr>
        <w:t>SLI diagnosis</w:t>
      </w:r>
      <w:r w:rsidR="00A5321C" w:rsidRPr="005A55A8">
        <w:rPr>
          <w:lang w:val="en-GB"/>
        </w:rPr>
        <w:t xml:space="preserve"> </w:t>
      </w:r>
      <w:r w:rsidRPr="005A55A8">
        <w:rPr>
          <w:lang w:val="en-GB"/>
        </w:rPr>
        <w:t xml:space="preserve">in </w:t>
      </w:r>
      <w:r w:rsidR="004B6B27">
        <w:rPr>
          <w:lang w:val="en-GB"/>
        </w:rPr>
        <w:t>French-speaking countries</w:t>
      </w:r>
      <w:r w:rsidRPr="005A55A8">
        <w:rPr>
          <w:lang w:val="en-GB"/>
        </w:rPr>
        <w:t xml:space="preserve"> (</w:t>
      </w:r>
      <w:proofErr w:type="spellStart"/>
      <w:r w:rsidRPr="005A55A8">
        <w:rPr>
          <w:lang w:val="en-GB"/>
        </w:rPr>
        <w:t>Thordardottir</w:t>
      </w:r>
      <w:proofErr w:type="spellEnd"/>
      <w:r w:rsidRPr="005A55A8">
        <w:rPr>
          <w:lang w:val="en-GB"/>
        </w:rPr>
        <w:t xml:space="preserve"> et al., 2011). The standardized scores were calculated for each participant and for each measure based on the initial standardization sample. Sensitivity and specificity scores at each cut-off score, as well as the associated likelihood ratios, are shown in Table 3. Sensitivity was high to very high for all scoring measures at the three cut-off points. Points of maximal sensitivity and specificity for each measure were identified from ROC (receiver operating characteristic) curves </w:t>
      </w:r>
      <w:r w:rsidRPr="005A55A8">
        <w:rPr>
          <w:rFonts w:eastAsiaTheme="minorEastAsia"/>
          <w:noProof/>
          <w:lang w:val="en-US"/>
        </w:rPr>
        <w:t>(Hastie, Tibshirani, &amp; Friedman, 2009)</w:t>
      </w:r>
      <w:r w:rsidRPr="005A55A8">
        <w:rPr>
          <w:lang w:val="en-GB"/>
        </w:rPr>
        <w:t xml:space="preserve">. This cut-off point varies between -1.31 SD and -2 SD depending on the measure. It is close to the cut-off score generally used in research for the two global scoring procedures, while it is more stringent for the SYNT, FUNC, and MORPH measures, probably revealing </w:t>
      </w:r>
      <w:r w:rsidR="00A5321C">
        <w:rPr>
          <w:lang w:val="en-GB"/>
        </w:rPr>
        <w:t xml:space="preserve">a </w:t>
      </w:r>
      <w:r w:rsidRPr="005A55A8">
        <w:rPr>
          <w:lang w:val="en-GB"/>
        </w:rPr>
        <w:t xml:space="preserve">locus of weakness in these children. </w:t>
      </w:r>
    </w:p>
    <w:p w14:paraId="6DA1E225" w14:textId="77777777" w:rsidR="00270033" w:rsidRDefault="004C4BAA" w:rsidP="00123878">
      <w:pPr>
        <w:pStyle w:val="Paragraphedeliste"/>
        <w:numPr>
          <w:ilvl w:val="1"/>
          <w:numId w:val="11"/>
        </w:numPr>
        <w:spacing w:after="0" w:line="480" w:lineRule="auto"/>
        <w:ind w:left="426"/>
        <w:rPr>
          <w:b/>
          <w:lang w:val="en-GB"/>
        </w:rPr>
      </w:pPr>
      <w:r w:rsidRPr="00BE1FB1">
        <w:rPr>
          <w:b/>
          <w:lang w:val="en-GB"/>
        </w:rPr>
        <w:t>Construct validity: Investigation of underlying mechanisms</w:t>
      </w:r>
    </w:p>
    <w:p w14:paraId="766DA112" w14:textId="5CC919D4" w:rsidR="00270033" w:rsidRDefault="004C4BAA" w:rsidP="00123878">
      <w:pPr>
        <w:spacing w:after="0" w:line="480" w:lineRule="auto"/>
        <w:ind w:firstLine="709"/>
        <w:rPr>
          <w:lang w:val="en-GB"/>
        </w:rPr>
      </w:pPr>
      <w:r w:rsidRPr="005A55A8">
        <w:rPr>
          <w:lang w:val="en-GB"/>
        </w:rPr>
        <w:lastRenderedPageBreak/>
        <w:t xml:space="preserve">First, we assessed the extent to which the general scoring measure (the SENT score) reflects the more specific scoring measures. In order to do so, we performed correlational analyses. As shown in Table </w:t>
      </w:r>
      <w:r w:rsidR="00500001">
        <w:rPr>
          <w:lang w:val="en-GB"/>
        </w:rPr>
        <w:t>4</w:t>
      </w:r>
      <w:r w:rsidRPr="005A55A8">
        <w:rPr>
          <w:lang w:val="en-GB"/>
        </w:rPr>
        <w:t>, correlations were high to very high between the SENT score and each specific score. The global scoring procedure thus accurately reflects more detailed performance scores</w:t>
      </w:r>
      <w:r w:rsidR="00995A5D">
        <w:rPr>
          <w:lang w:val="en-GB"/>
        </w:rPr>
        <w:t>. H</w:t>
      </w:r>
      <w:r w:rsidRPr="005A55A8">
        <w:rPr>
          <w:lang w:val="en-GB"/>
        </w:rPr>
        <w:t>ighly similar correlational pattern</w:t>
      </w:r>
      <w:r w:rsidR="00A5321C">
        <w:rPr>
          <w:lang w:val="en-GB"/>
        </w:rPr>
        <w:t>s</w:t>
      </w:r>
      <w:r w:rsidR="005F28F9">
        <w:rPr>
          <w:lang w:val="en-GB"/>
        </w:rPr>
        <w:t xml:space="preserve"> </w:t>
      </w:r>
      <w:r w:rsidR="00995A5D">
        <w:rPr>
          <w:lang w:val="en-GB"/>
        </w:rPr>
        <w:t>were</w:t>
      </w:r>
      <w:r w:rsidR="00995A5D" w:rsidRPr="005A55A8">
        <w:rPr>
          <w:lang w:val="en-GB"/>
        </w:rPr>
        <w:t xml:space="preserve"> </w:t>
      </w:r>
      <w:r w:rsidR="00995A5D">
        <w:rPr>
          <w:lang w:val="en-GB"/>
        </w:rPr>
        <w:t xml:space="preserve">observed </w:t>
      </w:r>
      <w:r w:rsidR="005F28F9">
        <w:rPr>
          <w:lang w:val="en-GB"/>
        </w:rPr>
        <w:t>between the two groups</w:t>
      </w:r>
      <w:r w:rsidRPr="005A55A8">
        <w:rPr>
          <w:lang w:val="en-GB"/>
        </w:rPr>
        <w:t>, except for the correlations between the SENT scoring measure and the other measures in children with SLI. This is probably due to floor scores in the sentence scoring measure, with most of SLI children being unable to repeat one single sentence</w:t>
      </w:r>
      <w:r w:rsidR="00A5321C" w:rsidRPr="00A5321C">
        <w:rPr>
          <w:lang w:val="en-GB"/>
        </w:rPr>
        <w:t xml:space="preserve"> </w:t>
      </w:r>
      <w:r w:rsidR="00A5321C" w:rsidRPr="005A55A8">
        <w:rPr>
          <w:lang w:val="en-GB"/>
        </w:rPr>
        <w:t>verbatim</w:t>
      </w:r>
      <w:r w:rsidRPr="005A55A8">
        <w:rPr>
          <w:lang w:val="en-GB"/>
        </w:rPr>
        <w:t xml:space="preserve">. We will </w:t>
      </w:r>
      <w:r w:rsidR="00A5321C">
        <w:rPr>
          <w:lang w:val="en-GB"/>
        </w:rPr>
        <w:t>explore</w:t>
      </w:r>
      <w:r w:rsidR="00A5321C" w:rsidRPr="005A55A8">
        <w:rPr>
          <w:lang w:val="en-GB"/>
        </w:rPr>
        <w:t xml:space="preserve"> </w:t>
      </w:r>
      <w:r w:rsidRPr="005A55A8">
        <w:rPr>
          <w:lang w:val="en-GB"/>
        </w:rPr>
        <w:t xml:space="preserve">this suggestion </w:t>
      </w:r>
      <w:r w:rsidR="00A5321C">
        <w:rPr>
          <w:lang w:val="en-GB"/>
        </w:rPr>
        <w:t xml:space="preserve">further </w:t>
      </w:r>
      <w:r w:rsidRPr="005A55A8">
        <w:rPr>
          <w:lang w:val="en-GB"/>
        </w:rPr>
        <w:t xml:space="preserve">in the discussion section.  </w:t>
      </w:r>
    </w:p>
    <w:p w14:paraId="66C924A6" w14:textId="491A0D24" w:rsidR="00270033" w:rsidRDefault="004C4BAA" w:rsidP="00123878">
      <w:pPr>
        <w:spacing w:after="0" w:line="480" w:lineRule="auto"/>
        <w:ind w:firstLine="709"/>
        <w:rPr>
          <w:lang w:val="en-GB"/>
        </w:rPr>
      </w:pPr>
      <w:r w:rsidRPr="005A55A8">
        <w:rPr>
          <w:lang w:val="en-GB"/>
        </w:rPr>
        <w:t xml:space="preserve">Second, the specific measure scores were initially designed to reflect the </w:t>
      </w:r>
      <w:proofErr w:type="spellStart"/>
      <w:r w:rsidRPr="005A55A8">
        <w:rPr>
          <w:lang w:val="en-GB"/>
        </w:rPr>
        <w:t>morphosyntactic</w:t>
      </w:r>
      <w:proofErr w:type="spellEnd"/>
      <w:r w:rsidRPr="005A55A8">
        <w:rPr>
          <w:lang w:val="en-GB"/>
        </w:rPr>
        <w:t xml:space="preserve"> abilities </w:t>
      </w:r>
      <w:r w:rsidR="00EE1907">
        <w:rPr>
          <w:lang w:val="en-GB"/>
        </w:rPr>
        <w:t>o</w:t>
      </w:r>
      <w:r w:rsidR="00EE1907" w:rsidRPr="005A55A8">
        <w:rPr>
          <w:lang w:val="en-GB"/>
        </w:rPr>
        <w:t xml:space="preserve">n </w:t>
      </w:r>
      <w:r w:rsidRPr="005A55A8">
        <w:rPr>
          <w:lang w:val="en-GB"/>
        </w:rPr>
        <w:t xml:space="preserve">the one </w:t>
      </w:r>
      <w:proofErr w:type="gramStart"/>
      <w:r w:rsidRPr="005A55A8">
        <w:rPr>
          <w:lang w:val="en-GB"/>
        </w:rPr>
        <w:t>hand,</w:t>
      </w:r>
      <w:proofErr w:type="gramEnd"/>
      <w:r w:rsidRPr="005A55A8">
        <w:rPr>
          <w:lang w:val="en-GB"/>
        </w:rPr>
        <w:t xml:space="preserve"> and the </w:t>
      </w:r>
      <w:proofErr w:type="spellStart"/>
      <w:r w:rsidRPr="005A55A8">
        <w:rPr>
          <w:lang w:val="en-GB"/>
        </w:rPr>
        <w:t>lexico</w:t>
      </w:r>
      <w:proofErr w:type="spellEnd"/>
      <w:r w:rsidRPr="005A55A8">
        <w:rPr>
          <w:lang w:val="en-GB"/>
        </w:rPr>
        <w:t xml:space="preserve">-semantic abilities on the other hand. The factorial structure of the scoring measures was thus </w:t>
      </w:r>
      <w:proofErr w:type="spellStart"/>
      <w:r w:rsidR="0018621F" w:rsidRPr="005A55A8">
        <w:rPr>
          <w:lang w:val="en-GB"/>
        </w:rPr>
        <w:t>analy</w:t>
      </w:r>
      <w:r w:rsidR="0018621F">
        <w:rPr>
          <w:lang w:val="en-GB"/>
        </w:rPr>
        <w:t>z</w:t>
      </w:r>
      <w:r w:rsidR="0018621F" w:rsidRPr="005A55A8">
        <w:rPr>
          <w:lang w:val="en-GB"/>
        </w:rPr>
        <w:t>ed</w:t>
      </w:r>
      <w:proofErr w:type="spellEnd"/>
      <w:r w:rsidR="0018621F" w:rsidRPr="005A55A8">
        <w:rPr>
          <w:lang w:val="en-GB"/>
        </w:rPr>
        <w:t xml:space="preserve"> </w:t>
      </w:r>
      <w:r w:rsidRPr="005A55A8">
        <w:rPr>
          <w:lang w:val="en-GB"/>
        </w:rPr>
        <w:t>with a principal component analysis</w:t>
      </w:r>
      <w:r w:rsidR="00EE1907">
        <w:rPr>
          <w:lang w:val="en-GB"/>
        </w:rPr>
        <w:t>,</w:t>
      </w:r>
      <w:r w:rsidRPr="005A55A8">
        <w:rPr>
          <w:lang w:val="en-GB"/>
        </w:rPr>
        <w:t xml:space="preserve"> using a </w:t>
      </w:r>
      <w:proofErr w:type="spellStart"/>
      <w:r w:rsidRPr="005A55A8">
        <w:rPr>
          <w:lang w:val="en-GB"/>
        </w:rPr>
        <w:t>Varimax</w:t>
      </w:r>
      <w:proofErr w:type="spellEnd"/>
      <w:r w:rsidRPr="005A55A8">
        <w:rPr>
          <w:lang w:val="en-GB"/>
        </w:rPr>
        <w:t xml:space="preserve"> </w:t>
      </w:r>
      <w:r w:rsidR="00EE1907" w:rsidRPr="005A55A8">
        <w:rPr>
          <w:lang w:val="en-GB"/>
        </w:rPr>
        <w:t>normali</w:t>
      </w:r>
      <w:r w:rsidR="00EE1907">
        <w:rPr>
          <w:lang w:val="en-GB"/>
        </w:rPr>
        <w:t>z</w:t>
      </w:r>
      <w:r w:rsidR="00EE1907" w:rsidRPr="005A55A8">
        <w:rPr>
          <w:lang w:val="en-GB"/>
        </w:rPr>
        <w:t xml:space="preserve">ed </w:t>
      </w:r>
      <w:r w:rsidRPr="005A55A8">
        <w:rPr>
          <w:lang w:val="en-GB"/>
        </w:rPr>
        <w:t>rotation. Two principal components were obtained</w:t>
      </w:r>
      <w:r w:rsidR="00EE1907">
        <w:rPr>
          <w:lang w:val="en-GB"/>
        </w:rPr>
        <w:t>;</w:t>
      </w:r>
      <w:r w:rsidRPr="005A55A8">
        <w:rPr>
          <w:lang w:val="en-GB"/>
        </w:rPr>
        <w:t xml:space="preserve"> </w:t>
      </w:r>
      <w:r w:rsidR="00EE1907">
        <w:rPr>
          <w:lang w:val="en-GB"/>
        </w:rPr>
        <w:t>their</w:t>
      </w:r>
      <w:r w:rsidR="00EE1907" w:rsidRPr="005A55A8">
        <w:rPr>
          <w:lang w:val="en-GB"/>
        </w:rPr>
        <w:t xml:space="preserve"> </w:t>
      </w:r>
      <w:r w:rsidRPr="005A55A8">
        <w:rPr>
          <w:lang w:val="en-GB"/>
        </w:rPr>
        <w:t xml:space="preserve">loadings are presented in Table </w:t>
      </w:r>
      <w:r w:rsidR="0048769C">
        <w:rPr>
          <w:lang w:val="en-GB"/>
        </w:rPr>
        <w:t>5</w:t>
      </w:r>
      <w:r w:rsidRPr="005A55A8">
        <w:rPr>
          <w:lang w:val="en-GB"/>
        </w:rPr>
        <w:t xml:space="preserve">. </w:t>
      </w:r>
      <w:r w:rsidR="00220D4E">
        <w:rPr>
          <w:lang w:val="en-GB"/>
        </w:rPr>
        <w:t>T</w:t>
      </w:r>
      <w:r w:rsidRPr="005A55A8">
        <w:rPr>
          <w:lang w:val="en-GB"/>
        </w:rPr>
        <w:t>he FUNC, SYNT, and MORPH variables provided the largest loadings to the first factor</w:t>
      </w:r>
      <w:r w:rsidR="00220D4E">
        <w:rPr>
          <w:lang w:val="en-GB"/>
        </w:rPr>
        <w:t>, whereas the</w:t>
      </w:r>
      <w:r w:rsidRPr="005A55A8">
        <w:rPr>
          <w:lang w:val="en-GB"/>
        </w:rPr>
        <w:t xml:space="preserve"> LEX and SEM variables provided the largest loadings to the second factor, with up to 96.48% of the variance explained. </w:t>
      </w:r>
      <w:r w:rsidR="00500001">
        <w:rPr>
          <w:lang w:val="en-GB"/>
        </w:rPr>
        <w:t>A</w:t>
      </w:r>
      <w:r w:rsidRPr="005A55A8">
        <w:rPr>
          <w:lang w:val="en-GB"/>
        </w:rPr>
        <w:t>s expected, the performances seem to be related to two distinct linguistic abilities</w:t>
      </w:r>
      <w:r w:rsidR="00EE1907">
        <w:rPr>
          <w:lang w:val="en-GB"/>
        </w:rPr>
        <w:t>,</w:t>
      </w:r>
      <w:r w:rsidRPr="005A55A8">
        <w:rPr>
          <w:lang w:val="en-GB"/>
        </w:rPr>
        <w:t xml:space="preserve"> the first one being related to </w:t>
      </w:r>
      <w:proofErr w:type="spellStart"/>
      <w:r w:rsidRPr="005A55A8">
        <w:rPr>
          <w:lang w:val="en-GB"/>
        </w:rPr>
        <w:t>morphosyntactic</w:t>
      </w:r>
      <w:proofErr w:type="spellEnd"/>
      <w:r w:rsidRPr="005A55A8">
        <w:rPr>
          <w:lang w:val="en-GB"/>
        </w:rPr>
        <w:t xml:space="preserve"> abilities and the second one being related to </w:t>
      </w:r>
      <w:proofErr w:type="spellStart"/>
      <w:r w:rsidRPr="005A55A8">
        <w:rPr>
          <w:lang w:val="en-GB"/>
        </w:rPr>
        <w:t>lexico</w:t>
      </w:r>
      <w:proofErr w:type="spellEnd"/>
      <w:r w:rsidRPr="005A55A8">
        <w:rPr>
          <w:lang w:val="en-GB"/>
        </w:rPr>
        <w:t xml:space="preserve">-semantic abilities. This analysis thus provides evidence towards the construct validity of the scoring procedures. </w:t>
      </w:r>
    </w:p>
    <w:p w14:paraId="4D8FF0E9" w14:textId="77777777" w:rsidR="00270033" w:rsidRDefault="004C4BAA" w:rsidP="00123878">
      <w:pPr>
        <w:pStyle w:val="Paragraphedeliste"/>
        <w:numPr>
          <w:ilvl w:val="0"/>
          <w:numId w:val="11"/>
        </w:numPr>
        <w:jc w:val="center"/>
        <w:rPr>
          <w:b/>
          <w:lang w:val="en-GB"/>
        </w:rPr>
      </w:pPr>
      <w:r w:rsidRPr="00BE1FB1">
        <w:rPr>
          <w:b/>
          <w:lang w:val="en-GB"/>
        </w:rPr>
        <w:t>Discussion</w:t>
      </w:r>
    </w:p>
    <w:p w14:paraId="2619F71C" w14:textId="0776EA6F" w:rsidR="00270033" w:rsidRDefault="004C4BAA" w:rsidP="00123878">
      <w:pPr>
        <w:spacing w:after="0" w:line="480" w:lineRule="auto"/>
        <w:ind w:firstLine="709"/>
        <w:rPr>
          <w:lang w:val="en-GB"/>
        </w:rPr>
      </w:pPr>
      <w:r w:rsidRPr="005A55A8">
        <w:rPr>
          <w:lang w:val="en-GB"/>
        </w:rPr>
        <w:t>The first aim of the present study was to assess the specificity and sensibility of sentence repetition in the diagnosis of French</w:t>
      </w:r>
      <w:r w:rsidR="00995A5D">
        <w:rPr>
          <w:lang w:val="en-GB"/>
        </w:rPr>
        <w:t>-speaking</w:t>
      </w:r>
      <w:r w:rsidRPr="005A55A8">
        <w:rPr>
          <w:lang w:val="en-GB"/>
        </w:rPr>
        <w:t xml:space="preserve"> school-age children with SLI. Results showed high levels of diagnostic accuracy for all measures, revealing that this task discriminates </w:t>
      </w:r>
      <w:r w:rsidR="00EE1907" w:rsidRPr="005A55A8">
        <w:rPr>
          <w:lang w:val="en-GB"/>
        </w:rPr>
        <w:t xml:space="preserve">accurately </w:t>
      </w:r>
      <w:r w:rsidRPr="005A55A8">
        <w:rPr>
          <w:lang w:val="en-GB"/>
        </w:rPr>
        <w:t xml:space="preserve">between children with and without language problems. The second aim of this study was to assess the construct validity of the task, by investigating whether specific scoring procedures could help in characterising the distinct dimensional properties of the task.  A principal component analysis </w:t>
      </w:r>
      <w:r w:rsidRPr="005A55A8">
        <w:rPr>
          <w:lang w:val="en-GB"/>
        </w:rPr>
        <w:lastRenderedPageBreak/>
        <w:t xml:space="preserve">revealed that measures designed to assess performances in syntax, verb morphology, and functional words </w:t>
      </w:r>
      <w:r w:rsidR="00EE1907">
        <w:rPr>
          <w:lang w:val="en-GB"/>
        </w:rPr>
        <w:t xml:space="preserve">were </w:t>
      </w:r>
      <w:r w:rsidRPr="005A55A8">
        <w:rPr>
          <w:lang w:val="en-GB"/>
        </w:rPr>
        <w:t xml:space="preserve">loaded in one factor, while measures designed to assess performances in lexical and general semantics </w:t>
      </w:r>
      <w:r w:rsidR="00EE1907">
        <w:rPr>
          <w:lang w:val="en-GB"/>
        </w:rPr>
        <w:t xml:space="preserve">were </w:t>
      </w:r>
      <w:r w:rsidRPr="005A55A8">
        <w:rPr>
          <w:lang w:val="en-GB"/>
        </w:rPr>
        <w:t xml:space="preserve">loaded in another factor. These results attest the construct validity of the task by corroborating a distinct impact of lexical and syntactic abilities on performances. </w:t>
      </w:r>
    </w:p>
    <w:p w14:paraId="4D29A631" w14:textId="77777777" w:rsidR="00270033" w:rsidRDefault="004C4BAA" w:rsidP="00123878">
      <w:pPr>
        <w:pStyle w:val="Paragraphedeliste"/>
        <w:numPr>
          <w:ilvl w:val="1"/>
          <w:numId w:val="11"/>
        </w:numPr>
        <w:spacing w:after="0" w:line="480" w:lineRule="auto"/>
        <w:ind w:left="426"/>
        <w:rPr>
          <w:b/>
          <w:lang w:val="en-GB"/>
        </w:rPr>
      </w:pPr>
      <w:r w:rsidRPr="00BE1FB1">
        <w:rPr>
          <w:b/>
          <w:lang w:val="en-GB"/>
        </w:rPr>
        <w:t>Identification accuracy power</w:t>
      </w:r>
    </w:p>
    <w:p w14:paraId="51D98868" w14:textId="67FFB401" w:rsidR="00270033" w:rsidRDefault="004C4BAA" w:rsidP="00123878">
      <w:pPr>
        <w:spacing w:after="0" w:line="480" w:lineRule="auto"/>
        <w:ind w:firstLine="709"/>
        <w:rPr>
          <w:lang w:val="en-GB"/>
        </w:rPr>
      </w:pPr>
      <w:r w:rsidRPr="005A55A8">
        <w:rPr>
          <w:lang w:val="en-GB"/>
        </w:rPr>
        <w:t xml:space="preserve">Our results show large group differences in performances for all the calculated scores: most of the children with SLI performed well under the expected scores, while most of </w:t>
      </w:r>
      <w:r w:rsidR="00EE1907">
        <w:rPr>
          <w:lang w:val="en-GB"/>
        </w:rPr>
        <w:t xml:space="preserve">the </w:t>
      </w:r>
      <w:r w:rsidRPr="005A55A8">
        <w:rPr>
          <w:lang w:val="en-GB"/>
        </w:rPr>
        <w:t xml:space="preserve">control children performed within the average expected scores.  </w:t>
      </w:r>
      <w:r w:rsidR="00823248">
        <w:rPr>
          <w:lang w:val="en-GB"/>
        </w:rPr>
        <w:t>S</w:t>
      </w:r>
      <w:r w:rsidRPr="005A55A8">
        <w:rPr>
          <w:lang w:val="en-GB"/>
        </w:rPr>
        <w:t xml:space="preserve">entence repetition </w:t>
      </w:r>
      <w:r w:rsidR="00823248">
        <w:rPr>
          <w:lang w:val="en-GB"/>
        </w:rPr>
        <w:t>appears to be</w:t>
      </w:r>
      <w:r w:rsidR="00823248" w:rsidRPr="005A55A8">
        <w:rPr>
          <w:lang w:val="en-GB"/>
        </w:rPr>
        <w:t xml:space="preserve"> </w:t>
      </w:r>
      <w:r w:rsidRPr="005A55A8">
        <w:rPr>
          <w:lang w:val="en-GB"/>
        </w:rPr>
        <w:t>a very complex task for children with SLI, whatever the scoring measure. The</w:t>
      </w:r>
      <w:r w:rsidR="00823248">
        <w:rPr>
          <w:lang w:val="en-GB"/>
        </w:rPr>
        <w:t>ir</w:t>
      </w:r>
      <w:r w:rsidRPr="005A55A8">
        <w:rPr>
          <w:lang w:val="en-GB"/>
        </w:rPr>
        <w:t xml:space="preserve"> mean performance on the usual correct/false scoring method (</w:t>
      </w:r>
      <w:r w:rsidR="00220D4E">
        <w:rPr>
          <w:lang w:val="en-GB"/>
        </w:rPr>
        <w:t>the</w:t>
      </w:r>
      <w:r w:rsidR="00220D4E" w:rsidRPr="005A55A8">
        <w:rPr>
          <w:lang w:val="en-GB"/>
        </w:rPr>
        <w:t xml:space="preserve"> </w:t>
      </w:r>
      <w:r w:rsidRPr="00CB747E">
        <w:rPr>
          <w:lang w:val="en-GB"/>
        </w:rPr>
        <w:t xml:space="preserve">SENT </w:t>
      </w:r>
      <w:r w:rsidR="00220D4E">
        <w:rPr>
          <w:lang w:val="en-GB"/>
        </w:rPr>
        <w:t>score</w:t>
      </w:r>
      <w:r w:rsidRPr="005A55A8">
        <w:rPr>
          <w:lang w:val="en-GB"/>
        </w:rPr>
        <w:t xml:space="preserve">) </w:t>
      </w:r>
      <w:r w:rsidR="00EE1907">
        <w:rPr>
          <w:lang w:val="en-GB"/>
        </w:rPr>
        <w:t>wa</w:t>
      </w:r>
      <w:r w:rsidR="00EE1907" w:rsidRPr="005A55A8">
        <w:rPr>
          <w:lang w:val="en-GB"/>
        </w:rPr>
        <w:t xml:space="preserve">s </w:t>
      </w:r>
      <w:r w:rsidRPr="005A55A8">
        <w:rPr>
          <w:lang w:val="en-GB"/>
        </w:rPr>
        <w:t xml:space="preserve">2.36 SD under the expected mean, </w:t>
      </w:r>
      <w:r w:rsidR="00EE1907">
        <w:rPr>
          <w:lang w:val="en-GB"/>
        </w:rPr>
        <w:t xml:space="preserve">with </w:t>
      </w:r>
      <w:r w:rsidRPr="005A55A8">
        <w:rPr>
          <w:lang w:val="en-GB"/>
        </w:rPr>
        <w:t xml:space="preserve">no SLI children performing better than 1.13 SD under the mean. The sensitivity of the task is perfect at the -1SD cut-off point, and is still high (.82) for a cut-off of -2SD, revealing very poor performances in children with SLI. The discriminant analysis showed </w:t>
      </w:r>
      <w:r w:rsidR="00EE1907">
        <w:rPr>
          <w:lang w:val="en-GB"/>
        </w:rPr>
        <w:t xml:space="preserve">a </w:t>
      </w:r>
      <w:r w:rsidRPr="005A55A8">
        <w:rPr>
          <w:lang w:val="en-GB"/>
        </w:rPr>
        <w:t xml:space="preserve">very high level of sensitivity (97.06 of SLI children accurately classified) and </w:t>
      </w:r>
      <w:r w:rsidR="00EE1907">
        <w:rPr>
          <w:lang w:val="en-GB"/>
        </w:rPr>
        <w:t xml:space="preserve">a </w:t>
      </w:r>
      <w:r w:rsidRPr="005A55A8">
        <w:rPr>
          <w:lang w:val="en-GB"/>
        </w:rPr>
        <w:t xml:space="preserve">high level of specificity (88.24 of control children accurately classified) for the performances with this scoring method. </w:t>
      </w:r>
      <w:r w:rsidR="00823248">
        <w:rPr>
          <w:lang w:val="en-GB"/>
        </w:rPr>
        <w:t xml:space="preserve">Thus, </w:t>
      </w:r>
      <w:r w:rsidRPr="005A55A8">
        <w:rPr>
          <w:lang w:val="en-GB"/>
        </w:rPr>
        <w:t xml:space="preserve">sentence repetition could be a good clinical marker of SLI </w:t>
      </w:r>
      <w:r w:rsidR="00823248" w:rsidRPr="005A55A8">
        <w:rPr>
          <w:lang w:val="en-GB"/>
        </w:rPr>
        <w:t>in French</w:t>
      </w:r>
      <w:r w:rsidR="00823248">
        <w:rPr>
          <w:lang w:val="en-GB"/>
        </w:rPr>
        <w:t>,</w:t>
      </w:r>
      <w:r w:rsidR="00823248" w:rsidRPr="005A55A8">
        <w:rPr>
          <w:lang w:val="en-GB"/>
        </w:rPr>
        <w:t xml:space="preserve"> </w:t>
      </w:r>
      <w:r w:rsidRPr="005A55A8">
        <w:rPr>
          <w:lang w:val="en-GB"/>
        </w:rPr>
        <w:t xml:space="preserve">as has been </w:t>
      </w:r>
      <w:r w:rsidR="00EE1907">
        <w:rPr>
          <w:lang w:val="en-GB"/>
        </w:rPr>
        <w:t>established</w:t>
      </w:r>
      <w:r w:rsidR="00EE1907" w:rsidRPr="005A55A8">
        <w:rPr>
          <w:lang w:val="en-GB"/>
        </w:rPr>
        <w:t xml:space="preserve"> </w:t>
      </w:r>
      <w:r w:rsidRPr="005A55A8">
        <w:rPr>
          <w:lang w:val="en-GB"/>
        </w:rPr>
        <w:t>in other languages: English (Conti-</w:t>
      </w:r>
      <w:proofErr w:type="spellStart"/>
      <w:r w:rsidRPr="005A55A8">
        <w:rPr>
          <w:lang w:val="en-GB"/>
        </w:rPr>
        <w:t>Ramsden</w:t>
      </w:r>
      <w:proofErr w:type="spellEnd"/>
      <w:r w:rsidRPr="005A55A8">
        <w:rPr>
          <w:lang w:val="en-GB"/>
        </w:rPr>
        <w:t xml:space="preserve"> et al., 2001; Poll et al., 2010) and Cantonese (Stokes et al., 2006). It also corroborates previous results by </w:t>
      </w:r>
      <w:proofErr w:type="spellStart"/>
      <w:r w:rsidRPr="005A55A8">
        <w:rPr>
          <w:lang w:val="en-GB"/>
        </w:rPr>
        <w:t>Thordardottir</w:t>
      </w:r>
      <w:proofErr w:type="spellEnd"/>
      <w:r w:rsidRPr="005A55A8">
        <w:rPr>
          <w:lang w:val="en-GB"/>
        </w:rPr>
        <w:t xml:space="preserve"> </w:t>
      </w:r>
      <w:r w:rsidR="00823248">
        <w:rPr>
          <w:lang w:val="en-GB"/>
        </w:rPr>
        <w:t>et al.</w:t>
      </w:r>
      <w:r w:rsidRPr="005A55A8">
        <w:rPr>
          <w:lang w:val="en-GB"/>
        </w:rPr>
        <w:t xml:space="preserve"> (2011) </w:t>
      </w:r>
      <w:r w:rsidR="00EE1907">
        <w:rPr>
          <w:lang w:val="en-GB"/>
        </w:rPr>
        <w:t xml:space="preserve">that were </w:t>
      </w:r>
      <w:r w:rsidRPr="005A55A8">
        <w:rPr>
          <w:lang w:val="en-GB"/>
        </w:rPr>
        <w:t xml:space="preserve">obtained with a sentence repetition task not available to </w:t>
      </w:r>
      <w:r w:rsidR="00995A5D">
        <w:rPr>
          <w:lang w:val="en-GB"/>
        </w:rPr>
        <w:t>SLPs</w:t>
      </w:r>
      <w:r w:rsidRPr="005A55A8">
        <w:rPr>
          <w:lang w:val="en-GB"/>
        </w:rPr>
        <w:t xml:space="preserve">. The present study confirms these results by giving credit to a sentence repetition task that is frequently used in clinical practice. </w:t>
      </w:r>
    </w:p>
    <w:p w14:paraId="2152D91F" w14:textId="77777777" w:rsidR="00270033" w:rsidRDefault="004C4BAA" w:rsidP="00123878">
      <w:pPr>
        <w:pStyle w:val="Paragraphedeliste"/>
        <w:numPr>
          <w:ilvl w:val="1"/>
          <w:numId w:val="11"/>
        </w:numPr>
        <w:spacing w:after="0" w:line="480" w:lineRule="auto"/>
        <w:ind w:left="426"/>
        <w:rPr>
          <w:b/>
          <w:lang w:val="en-GB"/>
        </w:rPr>
      </w:pPr>
      <w:r w:rsidRPr="00BE1FB1">
        <w:rPr>
          <w:b/>
          <w:lang w:val="en-GB"/>
        </w:rPr>
        <w:t>Optimal cut-off levels</w:t>
      </w:r>
    </w:p>
    <w:p w14:paraId="02603DDA" w14:textId="254AE501" w:rsidR="00270033" w:rsidRDefault="004C4BAA" w:rsidP="00123878">
      <w:pPr>
        <w:spacing w:after="0" w:line="480" w:lineRule="auto"/>
        <w:ind w:firstLine="709"/>
        <w:rPr>
          <w:lang w:val="en-GB"/>
        </w:rPr>
      </w:pPr>
      <w:r w:rsidRPr="005A55A8">
        <w:rPr>
          <w:lang w:val="en-GB"/>
        </w:rPr>
        <w:t>Points of maximal sensitivity and specificity for global measures (SENT</w:t>
      </w:r>
      <w:r w:rsidR="00995A5D">
        <w:rPr>
          <w:lang w:val="en-GB"/>
        </w:rPr>
        <w:t xml:space="preserve"> and</w:t>
      </w:r>
      <w:r w:rsidRPr="005A55A8">
        <w:rPr>
          <w:lang w:val="en-GB"/>
        </w:rPr>
        <w:t xml:space="preserve"> NBR) were close to the cut-off score generally used in research </w:t>
      </w:r>
      <w:r w:rsidR="00EE1907">
        <w:rPr>
          <w:lang w:val="en-GB"/>
        </w:rPr>
        <w:t>(</w:t>
      </w:r>
      <w:r w:rsidRPr="005A55A8">
        <w:rPr>
          <w:lang w:val="en-GB"/>
        </w:rPr>
        <w:t>i.e., -1.28 SD</w:t>
      </w:r>
      <w:r w:rsidR="00B915B6">
        <w:rPr>
          <w:lang w:val="en-GB"/>
        </w:rPr>
        <w:t>,</w:t>
      </w:r>
      <w:r w:rsidRPr="005A55A8">
        <w:rPr>
          <w:lang w:val="en-GB"/>
        </w:rPr>
        <w:t xml:space="preserve"> -1.31 SD</w:t>
      </w:r>
      <w:r w:rsidR="00B915B6">
        <w:rPr>
          <w:lang w:val="en-GB"/>
        </w:rPr>
        <w:t>,</w:t>
      </w:r>
      <w:r w:rsidRPr="005A55A8">
        <w:rPr>
          <w:lang w:val="en-GB"/>
        </w:rPr>
        <w:t xml:space="preserve"> and -1.38 SD respectively). However, the optimal cut-off scores for the three more specific scoring measures </w:t>
      </w:r>
      <w:r w:rsidR="00EE1907">
        <w:rPr>
          <w:lang w:val="en-GB"/>
        </w:rPr>
        <w:t xml:space="preserve">– SYNT, FUNC and MORPH – </w:t>
      </w:r>
      <w:r w:rsidRPr="005A55A8">
        <w:rPr>
          <w:lang w:val="en-GB"/>
        </w:rPr>
        <w:t xml:space="preserve">were more stringent, revealing </w:t>
      </w:r>
      <w:r w:rsidR="00EE1907">
        <w:rPr>
          <w:lang w:val="en-GB"/>
        </w:rPr>
        <w:t xml:space="preserve">a </w:t>
      </w:r>
      <w:r w:rsidRPr="005A55A8">
        <w:rPr>
          <w:lang w:val="en-GB"/>
        </w:rPr>
        <w:t xml:space="preserve">specific locus of weakness in children with SLI. A specific deficit in producing complex syntax is in line with previous studies showing problems when </w:t>
      </w:r>
      <w:r w:rsidRPr="005A55A8">
        <w:rPr>
          <w:lang w:val="en-GB"/>
        </w:rPr>
        <w:lastRenderedPageBreak/>
        <w:t>coordinating the production of more than one clause</w:t>
      </w:r>
      <w:r w:rsidR="00EE1907">
        <w:rPr>
          <w:lang w:val="en-GB"/>
        </w:rPr>
        <w:t>,</w:t>
      </w:r>
      <w:r w:rsidRPr="005A55A8">
        <w:rPr>
          <w:lang w:val="en-GB"/>
        </w:rPr>
        <w:t xml:space="preserve"> including relative clauses, causal sentences, and full prepositional clauses </w:t>
      </w:r>
      <w:r w:rsidRPr="005A55A8">
        <w:rPr>
          <w:noProof/>
          <w:lang w:val="en-GB"/>
        </w:rPr>
        <w:t>(Donaldson, Reid, &amp; Murray, 2007; Riches et al., 2010; Schuele &amp; Dykes, 2005)</w:t>
      </w:r>
      <w:r w:rsidRPr="005A55A8">
        <w:rPr>
          <w:lang w:val="en-GB"/>
        </w:rPr>
        <w:t xml:space="preserve">. The FUNC score was calculated using the number of pronouns, possessives, relatives, conjunctions, prepositions, and determiners that were accurately repeated. Specific difficulties in this area are in line with previous </w:t>
      </w:r>
      <w:r w:rsidR="00EE1907">
        <w:rPr>
          <w:lang w:val="en-GB"/>
        </w:rPr>
        <w:t>studie</w:t>
      </w:r>
      <w:r w:rsidR="00EE1907" w:rsidRPr="005A55A8">
        <w:rPr>
          <w:lang w:val="en-GB"/>
        </w:rPr>
        <w:t>s</w:t>
      </w:r>
      <w:r w:rsidR="00EE1907">
        <w:rPr>
          <w:lang w:val="en-GB"/>
        </w:rPr>
        <w:t>,</w:t>
      </w:r>
      <w:r w:rsidR="00EE1907" w:rsidRPr="005A55A8">
        <w:rPr>
          <w:lang w:val="en-GB"/>
        </w:rPr>
        <w:t xml:space="preserve"> </w:t>
      </w:r>
      <w:r w:rsidRPr="005A55A8">
        <w:rPr>
          <w:lang w:val="en-GB"/>
        </w:rPr>
        <w:t>revealing omissions of obligatory relative markers (</w:t>
      </w:r>
      <w:proofErr w:type="spellStart"/>
      <w:r w:rsidRPr="005A55A8">
        <w:rPr>
          <w:lang w:val="en-GB"/>
        </w:rPr>
        <w:t>Schuele</w:t>
      </w:r>
      <w:proofErr w:type="spellEnd"/>
      <w:r w:rsidRPr="005A55A8">
        <w:rPr>
          <w:lang w:val="en-GB"/>
        </w:rPr>
        <w:t xml:space="preserve"> &amp; Dykes, 2005), causal connectives (Donaldson et al., 2007), </w:t>
      </w:r>
      <w:proofErr w:type="spellStart"/>
      <w:r w:rsidRPr="005A55A8">
        <w:rPr>
          <w:lang w:val="en-GB"/>
        </w:rPr>
        <w:t>clitic</w:t>
      </w:r>
      <w:proofErr w:type="spellEnd"/>
      <w:r w:rsidRPr="005A55A8">
        <w:rPr>
          <w:lang w:val="en-GB"/>
        </w:rPr>
        <w:t xml:space="preserve"> pronouns </w:t>
      </w:r>
      <w:r w:rsidRPr="005A55A8">
        <w:rPr>
          <w:noProof/>
          <w:lang w:val="en-GB"/>
        </w:rPr>
        <w:t>(Hamann et al., 2003; Jakubowicz, Nash, Rigaut, &amp; Gerard, 1998)</w:t>
      </w:r>
      <w:r w:rsidRPr="005A55A8">
        <w:rPr>
          <w:lang w:val="en-GB"/>
        </w:rPr>
        <w:t xml:space="preserve">, and prepositions </w:t>
      </w:r>
      <w:r w:rsidRPr="005A55A8">
        <w:rPr>
          <w:noProof/>
          <w:lang w:val="en-GB"/>
        </w:rPr>
        <w:t>(Grela, Rashiti, &amp; Soares, 2004)</w:t>
      </w:r>
      <w:r w:rsidRPr="005A55A8">
        <w:rPr>
          <w:lang w:val="en-GB"/>
        </w:rPr>
        <w:t>. Finally, results showed very frequent verb inflection errors in children with SLI, with no child performing better than -1.22 SD under the expected norms. Once more, this is in line with a number of studies documenting difficulties in verb</w:t>
      </w:r>
      <w:r w:rsidR="00EE1907">
        <w:rPr>
          <w:lang w:val="en-GB"/>
        </w:rPr>
        <w:t>,</w:t>
      </w:r>
      <w:r w:rsidRPr="005A55A8">
        <w:rPr>
          <w:lang w:val="en-GB"/>
        </w:rPr>
        <w:t xml:space="preserve"> person and tense marking, even in French </w:t>
      </w:r>
      <w:r w:rsidRPr="005A55A8">
        <w:rPr>
          <w:noProof/>
          <w:lang w:val="en-GB"/>
        </w:rPr>
        <w:t>(Franck et al., 2004; Paradis &amp; Crago, 2001)</w:t>
      </w:r>
      <w:r w:rsidRPr="005A55A8">
        <w:rPr>
          <w:lang w:val="en-GB"/>
        </w:rPr>
        <w:t xml:space="preserve">.  </w:t>
      </w:r>
    </w:p>
    <w:p w14:paraId="41318187" w14:textId="77777777" w:rsidR="00270033" w:rsidRDefault="004C4BAA" w:rsidP="00123878">
      <w:pPr>
        <w:pStyle w:val="Paragraphedeliste"/>
        <w:numPr>
          <w:ilvl w:val="1"/>
          <w:numId w:val="11"/>
        </w:numPr>
        <w:spacing w:after="0" w:line="480" w:lineRule="auto"/>
        <w:ind w:left="426"/>
        <w:rPr>
          <w:b/>
          <w:lang w:val="en-GB"/>
        </w:rPr>
      </w:pPr>
      <w:r w:rsidRPr="00BE1FB1">
        <w:rPr>
          <w:b/>
          <w:lang w:val="en-GB"/>
        </w:rPr>
        <w:t>Construct validity:  The dimensional properties of the task</w:t>
      </w:r>
    </w:p>
    <w:p w14:paraId="2342EDC4" w14:textId="695E655D" w:rsidR="00270033" w:rsidRDefault="004C4BAA" w:rsidP="00123878">
      <w:pPr>
        <w:spacing w:after="0" w:line="480" w:lineRule="auto"/>
        <w:ind w:firstLine="709"/>
        <w:rPr>
          <w:lang w:val="en-GB"/>
        </w:rPr>
      </w:pPr>
      <w:r w:rsidRPr="005A55A8">
        <w:rPr>
          <w:lang w:val="en-GB"/>
        </w:rPr>
        <w:t xml:space="preserve">The second aim of this study was to assess the construct validity of the task by </w:t>
      </w:r>
      <w:r w:rsidR="00220D4E">
        <w:rPr>
          <w:lang w:val="en-GB"/>
        </w:rPr>
        <w:t>testing</w:t>
      </w:r>
      <w:r w:rsidR="00220D4E" w:rsidRPr="005A55A8">
        <w:rPr>
          <w:lang w:val="en-GB"/>
        </w:rPr>
        <w:t xml:space="preserve"> </w:t>
      </w:r>
      <w:r w:rsidRPr="005A55A8">
        <w:rPr>
          <w:lang w:val="en-GB"/>
        </w:rPr>
        <w:t>whether the</w:t>
      </w:r>
      <w:r w:rsidR="00E43D51">
        <w:rPr>
          <w:lang w:val="en-GB"/>
        </w:rPr>
        <w:t xml:space="preserve"> </w:t>
      </w:r>
      <w:proofErr w:type="spellStart"/>
      <w:r w:rsidR="00E43D51">
        <w:rPr>
          <w:lang w:val="en-GB"/>
        </w:rPr>
        <w:t>morphosyntactic</w:t>
      </w:r>
      <w:proofErr w:type="spellEnd"/>
      <w:r w:rsidR="00E43D51">
        <w:rPr>
          <w:lang w:val="en-GB"/>
        </w:rPr>
        <w:t xml:space="preserve"> (SYNT, MORPH and FUNC) and lexical (LEX, SEM) </w:t>
      </w:r>
      <w:r w:rsidRPr="005A55A8">
        <w:rPr>
          <w:lang w:val="en-GB"/>
        </w:rPr>
        <w:t xml:space="preserve">scoring procedures were indeed able to separately reflect the dimensional properties of the task. A principal component analysis revealed two main factors. The first one was loaded by performances in respect of functional words, verbal morphology and complex syntax. The second one was loaded by performances in respect of lexical words and the general semantic meaning of the sentence. These data thus support the construct validity of the scoring procedures. Consequently, a systematic application of various scoring measures to sentence repetition performances could offer a valid first glimpse </w:t>
      </w:r>
      <w:r w:rsidR="00EE1907">
        <w:rPr>
          <w:lang w:val="en-GB"/>
        </w:rPr>
        <w:t>in</w:t>
      </w:r>
      <w:r w:rsidRPr="005A55A8">
        <w:rPr>
          <w:lang w:val="en-GB"/>
        </w:rPr>
        <w:t xml:space="preserve">to the linguistic difficulties of </w:t>
      </w:r>
      <w:r w:rsidR="00EE1907">
        <w:rPr>
          <w:lang w:val="en-GB"/>
        </w:rPr>
        <w:t>children with SLI</w:t>
      </w:r>
      <w:r w:rsidRPr="005A55A8">
        <w:rPr>
          <w:lang w:val="en-GB"/>
        </w:rPr>
        <w:t xml:space="preserve">. Future research should </w:t>
      </w:r>
      <w:proofErr w:type="spellStart"/>
      <w:r w:rsidR="008876A4">
        <w:rPr>
          <w:lang w:val="en-GB"/>
        </w:rPr>
        <w:t>endeavo</w:t>
      </w:r>
      <w:r w:rsidR="00EE1907">
        <w:rPr>
          <w:lang w:val="en-GB"/>
        </w:rPr>
        <w:t>r</w:t>
      </w:r>
      <w:proofErr w:type="spellEnd"/>
      <w:r w:rsidR="00EE1907">
        <w:rPr>
          <w:lang w:val="en-GB"/>
        </w:rPr>
        <w:t xml:space="preserve"> to </w:t>
      </w:r>
      <w:r w:rsidRPr="005A55A8">
        <w:rPr>
          <w:lang w:val="en-GB"/>
        </w:rPr>
        <w:t xml:space="preserve">corroborate this proposal by assessing the concurrent validity of the task. </w:t>
      </w:r>
    </w:p>
    <w:p w14:paraId="59A83AE3" w14:textId="77777777" w:rsidR="00270033" w:rsidRDefault="004C4BAA" w:rsidP="00123878">
      <w:pPr>
        <w:pStyle w:val="Paragraphedeliste"/>
        <w:numPr>
          <w:ilvl w:val="1"/>
          <w:numId w:val="11"/>
        </w:numPr>
        <w:spacing w:after="0" w:line="480" w:lineRule="auto"/>
        <w:ind w:left="426"/>
        <w:rPr>
          <w:b/>
          <w:lang w:val="en-GB"/>
        </w:rPr>
      </w:pPr>
      <w:r w:rsidRPr="00BE1FB1">
        <w:rPr>
          <w:b/>
          <w:lang w:val="en-GB"/>
        </w:rPr>
        <w:t xml:space="preserve">Differences between SLI and controls </w:t>
      </w:r>
    </w:p>
    <w:p w14:paraId="25E809A2" w14:textId="0593160D" w:rsidR="00270033" w:rsidRDefault="004C4BAA" w:rsidP="00123878">
      <w:pPr>
        <w:spacing w:after="0" w:line="480" w:lineRule="auto"/>
        <w:ind w:firstLine="709"/>
        <w:rPr>
          <w:lang w:val="en-GB"/>
        </w:rPr>
      </w:pPr>
      <w:r w:rsidRPr="005A55A8">
        <w:rPr>
          <w:lang w:val="en-GB"/>
        </w:rPr>
        <w:t xml:space="preserve">Correlational analyses revealed a slight difference in the scoring measures’ association pattern between children with and without language impairment. </w:t>
      </w:r>
      <w:r w:rsidR="00EE1907">
        <w:rPr>
          <w:lang w:val="en-GB"/>
        </w:rPr>
        <w:t xml:space="preserve">Regarding the correlations between the SENT score and other scoring measures, lower </w:t>
      </w:r>
      <w:r w:rsidRPr="005A55A8">
        <w:rPr>
          <w:lang w:val="en-GB"/>
        </w:rPr>
        <w:t xml:space="preserve">correlations </w:t>
      </w:r>
      <w:r w:rsidR="00E43D51">
        <w:rPr>
          <w:lang w:val="en-GB"/>
        </w:rPr>
        <w:t xml:space="preserve">were </w:t>
      </w:r>
      <w:r w:rsidR="00E43D51" w:rsidRPr="005A55A8">
        <w:rPr>
          <w:lang w:val="en-GB"/>
        </w:rPr>
        <w:t xml:space="preserve">observed </w:t>
      </w:r>
      <w:r w:rsidRPr="005A55A8">
        <w:rPr>
          <w:lang w:val="en-GB"/>
        </w:rPr>
        <w:t xml:space="preserve">in children </w:t>
      </w:r>
      <w:r w:rsidRPr="005A55A8">
        <w:rPr>
          <w:lang w:val="en-GB"/>
        </w:rPr>
        <w:lastRenderedPageBreak/>
        <w:t xml:space="preserve">with SLI than in </w:t>
      </w:r>
      <w:r w:rsidR="003B529C">
        <w:rPr>
          <w:lang w:val="en-GB"/>
        </w:rPr>
        <w:t xml:space="preserve">the </w:t>
      </w:r>
      <w:r w:rsidRPr="005A55A8">
        <w:rPr>
          <w:lang w:val="en-GB"/>
        </w:rPr>
        <w:t>control</w:t>
      </w:r>
      <w:r w:rsidR="003B529C">
        <w:rPr>
          <w:lang w:val="en-GB"/>
        </w:rPr>
        <w:t xml:space="preserve"> group</w:t>
      </w:r>
      <w:r w:rsidRPr="005A55A8">
        <w:rPr>
          <w:lang w:val="en-GB"/>
        </w:rPr>
        <w:t xml:space="preserve">. </w:t>
      </w:r>
      <w:r w:rsidR="003B529C">
        <w:rPr>
          <w:lang w:val="en-GB"/>
        </w:rPr>
        <w:t>H</w:t>
      </w:r>
      <w:r w:rsidRPr="005A55A8">
        <w:rPr>
          <w:lang w:val="en-GB"/>
        </w:rPr>
        <w:t>owever</w:t>
      </w:r>
      <w:r w:rsidR="003B529C">
        <w:rPr>
          <w:lang w:val="en-GB"/>
        </w:rPr>
        <w:t>, this was</w:t>
      </w:r>
      <w:r w:rsidRPr="005A55A8">
        <w:rPr>
          <w:lang w:val="en-GB"/>
        </w:rPr>
        <w:t xml:space="preserve"> not the case for the other general scoring procedure </w:t>
      </w:r>
      <w:r w:rsidR="003B529C">
        <w:rPr>
          <w:lang w:val="en-GB"/>
        </w:rPr>
        <w:t>(</w:t>
      </w:r>
      <w:r w:rsidRPr="005A55A8">
        <w:rPr>
          <w:lang w:val="en-GB"/>
        </w:rPr>
        <w:t>i.e., the NBR score</w:t>
      </w:r>
      <w:r w:rsidR="003B529C">
        <w:rPr>
          <w:lang w:val="en-GB"/>
        </w:rPr>
        <w:t>)</w:t>
      </w:r>
      <w:r w:rsidRPr="005A55A8">
        <w:rPr>
          <w:lang w:val="en-GB"/>
        </w:rPr>
        <w:t xml:space="preserve">.  Our main explanation </w:t>
      </w:r>
      <w:r w:rsidR="003B529C">
        <w:rPr>
          <w:lang w:val="en-GB"/>
        </w:rPr>
        <w:t xml:space="preserve">for this </w:t>
      </w:r>
      <w:r w:rsidRPr="005A55A8">
        <w:rPr>
          <w:lang w:val="en-GB"/>
        </w:rPr>
        <w:t xml:space="preserve">is that the SENT scoring measure discriminates between children with and without language problems, but within the SLI group it lacks some </w:t>
      </w:r>
      <w:r w:rsidR="003B529C" w:rsidRPr="005A55A8">
        <w:rPr>
          <w:lang w:val="en-GB"/>
        </w:rPr>
        <w:t>discriminati</w:t>
      </w:r>
      <w:r w:rsidR="003B529C">
        <w:rPr>
          <w:lang w:val="en-GB"/>
        </w:rPr>
        <w:t>ve</w:t>
      </w:r>
      <w:r w:rsidR="003B529C" w:rsidRPr="005A55A8">
        <w:rPr>
          <w:lang w:val="en-GB"/>
        </w:rPr>
        <w:t xml:space="preserve"> </w:t>
      </w:r>
      <w:r w:rsidRPr="005A55A8">
        <w:rPr>
          <w:lang w:val="en-GB"/>
        </w:rPr>
        <w:t>power. Indeed, most children with SLI are not able to repeat even a single sentence</w:t>
      </w:r>
      <w:r w:rsidR="003B529C" w:rsidRPr="003B529C">
        <w:rPr>
          <w:lang w:val="en-GB"/>
        </w:rPr>
        <w:t xml:space="preserve"> </w:t>
      </w:r>
      <w:r w:rsidR="003B529C" w:rsidRPr="005A55A8">
        <w:rPr>
          <w:lang w:val="en-GB"/>
        </w:rPr>
        <w:t>verbatim</w:t>
      </w:r>
      <w:r w:rsidRPr="005A55A8">
        <w:rPr>
          <w:lang w:val="en-GB"/>
        </w:rPr>
        <w:t>. Raw scores show that among the 34 children with SLI, 16 children did not repeat one single sentence</w:t>
      </w:r>
      <w:r w:rsidR="003B529C" w:rsidRPr="003B529C">
        <w:rPr>
          <w:lang w:val="en-GB"/>
        </w:rPr>
        <w:t xml:space="preserve"> </w:t>
      </w:r>
      <w:r w:rsidR="003B529C" w:rsidRPr="005A55A8">
        <w:rPr>
          <w:lang w:val="en-GB"/>
        </w:rPr>
        <w:t>accurately</w:t>
      </w:r>
      <w:r w:rsidRPr="005A55A8">
        <w:rPr>
          <w:lang w:val="en-GB"/>
        </w:rPr>
        <w:t xml:space="preserve">, seven </w:t>
      </w:r>
      <w:r w:rsidR="003B529C">
        <w:rPr>
          <w:lang w:val="en-GB"/>
        </w:rPr>
        <w:t>children</w:t>
      </w:r>
      <w:r w:rsidRPr="005A55A8">
        <w:rPr>
          <w:lang w:val="en-GB"/>
        </w:rPr>
        <w:t xml:space="preserve"> succeeded in only one sentence, seven succeeded in two sentences, three succeeded in three sentences and only one child succeeded in four sentences (the maximum sentence score being either 13 or 15 depending on the </w:t>
      </w:r>
      <w:r w:rsidR="003B529C" w:rsidRPr="005A55A8">
        <w:rPr>
          <w:lang w:val="en-GB"/>
        </w:rPr>
        <w:t>child</w:t>
      </w:r>
      <w:r w:rsidR="003B529C">
        <w:rPr>
          <w:lang w:val="en-GB"/>
        </w:rPr>
        <w:t>’s</w:t>
      </w:r>
      <w:r w:rsidR="003B529C" w:rsidRPr="005A55A8">
        <w:rPr>
          <w:lang w:val="en-GB"/>
        </w:rPr>
        <w:t xml:space="preserve"> </w:t>
      </w:r>
      <w:r w:rsidR="00E43D51">
        <w:rPr>
          <w:lang w:val="en-GB"/>
        </w:rPr>
        <w:t>school</w:t>
      </w:r>
      <w:r w:rsidR="003B529C">
        <w:rPr>
          <w:lang w:val="en-GB"/>
        </w:rPr>
        <w:t xml:space="preserve"> </w:t>
      </w:r>
      <w:r w:rsidR="00E43D51">
        <w:rPr>
          <w:lang w:val="en-GB"/>
        </w:rPr>
        <w:t>level</w:t>
      </w:r>
      <w:r w:rsidRPr="005A55A8">
        <w:rPr>
          <w:lang w:val="en-GB"/>
        </w:rPr>
        <w:t xml:space="preserve">). </w:t>
      </w:r>
      <w:r w:rsidR="003B529C">
        <w:rPr>
          <w:lang w:val="en-GB"/>
        </w:rPr>
        <w:t>By t</w:t>
      </w:r>
      <w:r w:rsidR="003B529C" w:rsidRPr="005A55A8">
        <w:rPr>
          <w:lang w:val="en-GB"/>
        </w:rPr>
        <w:t xml:space="preserve">aking </w:t>
      </w:r>
      <w:r w:rsidRPr="005A55A8">
        <w:rPr>
          <w:lang w:val="en-GB"/>
        </w:rPr>
        <w:t xml:space="preserve">into account the number of words repeated </w:t>
      </w:r>
      <w:r w:rsidR="003B529C" w:rsidRPr="005A55A8">
        <w:rPr>
          <w:lang w:val="en-GB"/>
        </w:rPr>
        <w:t>accurately</w:t>
      </w:r>
      <w:r w:rsidR="003B529C">
        <w:rPr>
          <w:lang w:val="en-GB"/>
        </w:rPr>
        <w:t>, it</w:t>
      </w:r>
      <w:r w:rsidR="003B529C" w:rsidRPr="005A55A8">
        <w:rPr>
          <w:lang w:val="en-GB"/>
        </w:rPr>
        <w:t xml:space="preserve"> </w:t>
      </w:r>
      <w:r w:rsidR="00E43D51" w:rsidRPr="005A55A8">
        <w:rPr>
          <w:lang w:val="en-GB"/>
        </w:rPr>
        <w:t xml:space="preserve">better </w:t>
      </w:r>
      <w:r w:rsidRPr="005A55A8">
        <w:rPr>
          <w:lang w:val="en-GB"/>
        </w:rPr>
        <w:t>reflects the differences between a child who fails at verbatim repetition of sentence</w:t>
      </w:r>
      <w:r w:rsidR="00E43D51">
        <w:rPr>
          <w:lang w:val="en-GB"/>
        </w:rPr>
        <w:t>s</w:t>
      </w:r>
      <w:r w:rsidRPr="005A55A8">
        <w:rPr>
          <w:lang w:val="en-GB"/>
        </w:rPr>
        <w:t xml:space="preserve"> because he</w:t>
      </w:r>
      <w:r w:rsidR="003B529C">
        <w:rPr>
          <w:lang w:val="en-GB"/>
        </w:rPr>
        <w:t>/she</w:t>
      </w:r>
      <w:r w:rsidRPr="005A55A8">
        <w:rPr>
          <w:lang w:val="en-GB"/>
        </w:rPr>
        <w:t xml:space="preserve"> changes only on</w:t>
      </w:r>
      <w:r w:rsidR="00E43D51">
        <w:rPr>
          <w:lang w:val="en-GB"/>
        </w:rPr>
        <w:t>e</w:t>
      </w:r>
      <w:r w:rsidRPr="005A55A8">
        <w:rPr>
          <w:lang w:val="en-GB"/>
        </w:rPr>
        <w:t xml:space="preserve"> or two words and a child who fails </w:t>
      </w:r>
      <w:r w:rsidR="003B529C">
        <w:rPr>
          <w:lang w:val="en-GB"/>
        </w:rPr>
        <w:t>because he/she is</w:t>
      </w:r>
      <w:r w:rsidRPr="005A55A8">
        <w:rPr>
          <w:lang w:val="en-GB"/>
        </w:rPr>
        <w:t xml:space="preserve"> unable to repeat most of the sentence. </w:t>
      </w:r>
      <w:r w:rsidR="0070475C">
        <w:rPr>
          <w:lang w:val="en-GB"/>
        </w:rPr>
        <w:t xml:space="preserve">The SENT score and the NBR score </w:t>
      </w:r>
      <w:r w:rsidRPr="005A55A8">
        <w:rPr>
          <w:lang w:val="en-GB"/>
        </w:rPr>
        <w:t xml:space="preserve">could thus be applied depending on the purpose of the assessment:  if the main purpose of the assessment is to discriminate between children with and without language impairment, then a general 1/0 scoring procedure is valid. However, if the </w:t>
      </w:r>
      <w:r w:rsidR="00E43D51">
        <w:rPr>
          <w:lang w:val="en-GB"/>
        </w:rPr>
        <w:t>goal</w:t>
      </w:r>
      <w:r w:rsidR="00E43D51" w:rsidRPr="005A55A8">
        <w:rPr>
          <w:lang w:val="en-GB"/>
        </w:rPr>
        <w:t xml:space="preserve"> </w:t>
      </w:r>
      <w:r w:rsidRPr="005A55A8">
        <w:rPr>
          <w:lang w:val="en-GB"/>
        </w:rPr>
        <w:t xml:space="preserve">is to determine the severity of children’s language impairment, then more precise measures are required.  </w:t>
      </w:r>
    </w:p>
    <w:p w14:paraId="51C6464B" w14:textId="76C1A0C0" w:rsidR="00270033" w:rsidRDefault="004C4BAA" w:rsidP="00123878">
      <w:pPr>
        <w:spacing w:after="0" w:line="480" w:lineRule="auto"/>
        <w:ind w:firstLine="708"/>
        <w:rPr>
          <w:lang w:val="en-GB"/>
        </w:rPr>
      </w:pPr>
      <w:r w:rsidRPr="005A55A8">
        <w:rPr>
          <w:lang w:val="en-GB"/>
        </w:rPr>
        <w:t xml:space="preserve">To conclude, our </w:t>
      </w:r>
      <w:proofErr w:type="gramStart"/>
      <w:r w:rsidRPr="005A55A8">
        <w:rPr>
          <w:lang w:val="en-GB"/>
        </w:rPr>
        <w:t>study reveals high levels of diagnostic accuracy and construct</w:t>
      </w:r>
      <w:proofErr w:type="gramEnd"/>
      <w:r w:rsidRPr="005A55A8">
        <w:rPr>
          <w:lang w:val="en-GB"/>
        </w:rPr>
        <w:t xml:space="preserve"> validity for a French sentence repetition task </w:t>
      </w:r>
      <w:r w:rsidR="003B529C">
        <w:rPr>
          <w:lang w:val="en-GB"/>
        </w:rPr>
        <w:t>used to differentiate</w:t>
      </w:r>
      <w:r w:rsidRPr="005A55A8">
        <w:rPr>
          <w:lang w:val="en-GB"/>
        </w:rPr>
        <w:t xml:space="preserve"> children with and without language disorders. Future studies should investigate the concurrent validity of such </w:t>
      </w:r>
      <w:r w:rsidR="003B529C">
        <w:rPr>
          <w:lang w:val="en-GB"/>
        </w:rPr>
        <w:t xml:space="preserve">a </w:t>
      </w:r>
      <w:r w:rsidRPr="005A55A8">
        <w:rPr>
          <w:lang w:val="en-GB"/>
        </w:rPr>
        <w:t xml:space="preserve">task and its ability to determine the severity of the language impairment. </w:t>
      </w:r>
    </w:p>
    <w:p w14:paraId="3E839F29" w14:textId="77777777" w:rsidR="004C4BAA" w:rsidRPr="005A55A8" w:rsidRDefault="004C4BAA" w:rsidP="004C4BAA">
      <w:pPr>
        <w:jc w:val="center"/>
        <w:rPr>
          <w:b/>
          <w:lang w:val="en-GB"/>
        </w:rPr>
      </w:pPr>
    </w:p>
    <w:p w14:paraId="5A7DC1A8" w14:textId="77777777" w:rsidR="004C4BAA" w:rsidRPr="005A55A8" w:rsidRDefault="004C4BAA" w:rsidP="004C4BAA">
      <w:pPr>
        <w:spacing w:after="0" w:line="480" w:lineRule="auto"/>
        <w:ind w:left="708" w:hanging="708"/>
        <w:jc w:val="center"/>
        <w:rPr>
          <w:b/>
          <w:lang w:val="en-GB"/>
        </w:rPr>
      </w:pPr>
      <w:r w:rsidRPr="005A55A8">
        <w:rPr>
          <w:lang w:val="en-GB"/>
        </w:rPr>
        <w:br w:type="page"/>
      </w:r>
      <w:r w:rsidRPr="005A55A8">
        <w:rPr>
          <w:b/>
          <w:lang w:val="en-GB"/>
        </w:rPr>
        <w:lastRenderedPageBreak/>
        <w:t>References</w:t>
      </w:r>
    </w:p>
    <w:p w14:paraId="257B3B1A" w14:textId="7D40D025" w:rsidR="004C4BAA" w:rsidRPr="005A55A8" w:rsidRDefault="004C4BAA" w:rsidP="004C4BAA">
      <w:pPr>
        <w:spacing w:after="0" w:line="240" w:lineRule="auto"/>
        <w:ind w:left="720" w:hanging="720"/>
        <w:rPr>
          <w:rFonts w:ascii="Calibri" w:hAnsi="Calibri"/>
          <w:noProof/>
          <w:lang w:val="en-GB"/>
        </w:rPr>
      </w:pPr>
      <w:bookmarkStart w:id="0" w:name="_ENREF_1"/>
      <w:r w:rsidRPr="005A55A8">
        <w:rPr>
          <w:rFonts w:ascii="Calibri" w:hAnsi="Calibri"/>
          <w:noProof/>
          <w:lang w:val="en-GB"/>
        </w:rPr>
        <w:t xml:space="preserve">Allen, R. </w:t>
      </w:r>
      <w:r w:rsidR="0025622A">
        <w:rPr>
          <w:rFonts w:ascii="Calibri" w:hAnsi="Calibri"/>
          <w:noProof/>
          <w:lang w:val="en-GB"/>
        </w:rPr>
        <w:t xml:space="preserve"> </w:t>
      </w:r>
      <w:r w:rsidRPr="005A55A8">
        <w:rPr>
          <w:rFonts w:ascii="Calibri" w:hAnsi="Calibri"/>
          <w:noProof/>
          <w:lang w:val="en-GB"/>
        </w:rPr>
        <w:t>J., &amp; Baddeley, A. D. (2009). Working memory and sentence recall</w:t>
      </w:r>
      <w:r w:rsidR="00D33591">
        <w:rPr>
          <w:rFonts w:ascii="Calibri" w:hAnsi="Calibri"/>
          <w:noProof/>
          <w:lang w:val="en-GB"/>
        </w:rPr>
        <w:t xml:space="preserve">. In </w:t>
      </w:r>
      <w:r w:rsidRPr="005A55A8">
        <w:rPr>
          <w:rFonts w:ascii="Calibri" w:hAnsi="Calibri"/>
          <w:i/>
          <w:noProof/>
          <w:lang w:val="en-GB"/>
        </w:rPr>
        <w:t>Interactions between short-term and long-term memory in the verbal domain</w:t>
      </w:r>
      <w:r w:rsidRPr="005A55A8">
        <w:rPr>
          <w:rFonts w:ascii="Calibri" w:hAnsi="Calibri"/>
          <w:noProof/>
          <w:lang w:val="en-GB"/>
        </w:rPr>
        <w:t xml:space="preserve"> (pp. 63-85). New York, NY: Psychology Press.</w:t>
      </w:r>
      <w:bookmarkEnd w:id="0"/>
    </w:p>
    <w:p w14:paraId="03970B99" w14:textId="77777777" w:rsidR="00BE1FB1" w:rsidRDefault="004C4BAA" w:rsidP="004C4BAA">
      <w:pPr>
        <w:spacing w:after="0" w:line="240" w:lineRule="auto"/>
        <w:ind w:left="720" w:hanging="720"/>
        <w:rPr>
          <w:rFonts w:ascii="Calibri" w:hAnsi="Calibri"/>
          <w:noProof/>
          <w:lang w:val="en-GB"/>
        </w:rPr>
      </w:pPr>
      <w:bookmarkStart w:id="1" w:name="_ENREF_2"/>
      <w:r w:rsidRPr="005A55A8">
        <w:rPr>
          <w:rFonts w:ascii="Calibri" w:hAnsi="Calibri"/>
          <w:noProof/>
          <w:lang w:val="en-GB"/>
        </w:rPr>
        <w:t xml:space="preserve">Archibald, L. M., &amp; Joanisse, M. F. (2009). On the sensitivity and specificity of nonword repetition and sentence recall to language and memory impairments in children. </w:t>
      </w:r>
      <w:r w:rsidRPr="005A55A8">
        <w:rPr>
          <w:rFonts w:ascii="Calibri" w:hAnsi="Calibri"/>
          <w:i/>
          <w:noProof/>
          <w:lang w:val="en-GB"/>
        </w:rPr>
        <w:t>Journal of Speech, Language, and Hearing Research, 52</w:t>
      </w:r>
      <w:r w:rsidRPr="005A55A8">
        <w:rPr>
          <w:rFonts w:ascii="Calibri" w:hAnsi="Calibri"/>
          <w:noProof/>
          <w:lang w:val="en-GB"/>
        </w:rPr>
        <w:t xml:space="preserve">(4), 899-914. </w:t>
      </w:r>
      <w:bookmarkStart w:id="2" w:name="_ENREF_3"/>
      <w:bookmarkEnd w:id="1"/>
    </w:p>
    <w:p w14:paraId="54A49411" w14:textId="77777777" w:rsidR="00BE1FB1" w:rsidRPr="00123878" w:rsidRDefault="004C4BAA" w:rsidP="004C4BAA">
      <w:pPr>
        <w:spacing w:after="0" w:line="240" w:lineRule="auto"/>
        <w:ind w:left="720" w:hanging="720"/>
        <w:rPr>
          <w:rFonts w:ascii="Calibri" w:hAnsi="Calibri"/>
          <w:noProof/>
          <w:lang w:val="en-GB"/>
        </w:rPr>
      </w:pPr>
      <w:r w:rsidRPr="005A55A8">
        <w:rPr>
          <w:rFonts w:ascii="Calibri" w:hAnsi="Calibri"/>
          <w:noProof/>
          <w:lang w:val="en-GB"/>
        </w:rPr>
        <w:t xml:space="preserve">Briscoe, J., Bishop, D. V., &amp; Norbury, C. F. (2001). Phonological processing, language, and literacy: A comparison of children with mild-to-moderate sensorineural hearing loss and those with specific language impairment. </w:t>
      </w:r>
      <w:r w:rsidRPr="00123878">
        <w:rPr>
          <w:rFonts w:ascii="Calibri" w:hAnsi="Calibri"/>
          <w:i/>
          <w:noProof/>
          <w:lang w:val="en-GB"/>
        </w:rPr>
        <w:t>Journal of Child Psychology and Psychiatry, 42</w:t>
      </w:r>
      <w:r w:rsidRPr="00123878">
        <w:rPr>
          <w:rFonts w:ascii="Calibri" w:hAnsi="Calibri"/>
          <w:noProof/>
          <w:lang w:val="en-GB"/>
        </w:rPr>
        <w:t xml:space="preserve">(3), 329-340. </w:t>
      </w:r>
      <w:bookmarkStart w:id="3" w:name="_ENREF_4"/>
      <w:bookmarkEnd w:id="2"/>
    </w:p>
    <w:p w14:paraId="48D145D0" w14:textId="7CC6D069" w:rsidR="004C4BAA" w:rsidRPr="005A55A8" w:rsidRDefault="004C4BAA" w:rsidP="004C4BAA">
      <w:pPr>
        <w:spacing w:after="0" w:line="240" w:lineRule="auto"/>
        <w:ind w:left="720" w:hanging="720"/>
        <w:rPr>
          <w:rFonts w:ascii="Calibri" w:hAnsi="Calibri"/>
          <w:noProof/>
        </w:rPr>
      </w:pPr>
      <w:r w:rsidRPr="00123878">
        <w:rPr>
          <w:rFonts w:ascii="Calibri" w:hAnsi="Calibri"/>
          <w:noProof/>
          <w:lang w:val="en-GB"/>
        </w:rPr>
        <w:t xml:space="preserve">Chevrie-Muller, C., Maillart, C., Simon, A.-M., &amp; Fournier, S. (2010). </w:t>
      </w:r>
      <w:r w:rsidRPr="00123878">
        <w:rPr>
          <w:rFonts w:ascii="Calibri" w:hAnsi="Calibri"/>
          <w:i/>
          <w:noProof/>
          <w:lang w:val="en-GB"/>
        </w:rPr>
        <w:t xml:space="preserve">Batterie </w:t>
      </w:r>
      <w:r w:rsidR="00E378AB" w:rsidRPr="00123878">
        <w:rPr>
          <w:rFonts w:ascii="Calibri" w:hAnsi="Calibri"/>
          <w:i/>
          <w:noProof/>
          <w:lang w:val="en-GB"/>
        </w:rPr>
        <w:t xml:space="preserve">langage </w:t>
      </w:r>
      <w:r w:rsidRPr="00123878">
        <w:rPr>
          <w:rFonts w:ascii="Calibri" w:hAnsi="Calibri"/>
          <w:i/>
          <w:noProof/>
          <w:lang w:val="en-GB"/>
        </w:rPr>
        <w:t>oral, langage écrit, mémoire, attention</w:t>
      </w:r>
      <w:r w:rsidR="002B3C43" w:rsidRPr="00123878">
        <w:rPr>
          <w:rFonts w:ascii="Calibri" w:hAnsi="Calibri"/>
          <w:i/>
          <w:noProof/>
          <w:lang w:val="en-GB"/>
        </w:rPr>
        <w:t xml:space="preserve"> </w:t>
      </w:r>
      <w:r w:rsidR="002B3C43" w:rsidRPr="00123878">
        <w:rPr>
          <w:rFonts w:ascii="Calibri" w:hAnsi="Calibri"/>
          <w:noProof/>
          <w:lang w:val="en-GB"/>
        </w:rPr>
        <w:t>[</w:t>
      </w:r>
      <w:r w:rsidR="00820B7F" w:rsidRPr="00123878">
        <w:rPr>
          <w:rFonts w:ascii="Calibri" w:hAnsi="Calibri"/>
          <w:noProof/>
          <w:lang w:val="en-GB"/>
        </w:rPr>
        <w:t xml:space="preserve">Battery for oral language, writing, memory, </w:t>
      </w:r>
      <w:r w:rsidR="00123878">
        <w:rPr>
          <w:rFonts w:ascii="Calibri" w:hAnsi="Calibri"/>
          <w:noProof/>
          <w:lang w:val="en-GB"/>
        </w:rPr>
        <w:t>attention</w:t>
      </w:r>
      <w:r w:rsidR="00820B7F" w:rsidRPr="00123878">
        <w:rPr>
          <w:rFonts w:ascii="Calibri" w:hAnsi="Calibri"/>
          <w:noProof/>
          <w:lang w:val="en-GB"/>
        </w:rPr>
        <w:t>]</w:t>
      </w:r>
      <w:r w:rsidR="00902154" w:rsidRPr="00123878">
        <w:rPr>
          <w:rFonts w:ascii="Calibri" w:hAnsi="Calibri"/>
          <w:noProof/>
          <w:lang w:val="en-GB"/>
        </w:rPr>
        <w:t xml:space="preserve"> (2</w:t>
      </w:r>
      <w:r w:rsidR="004D029D" w:rsidRPr="00123878">
        <w:rPr>
          <w:rFonts w:ascii="Calibri" w:hAnsi="Calibri"/>
          <w:noProof/>
          <w:vertAlign w:val="superscript"/>
          <w:lang w:val="en-GB"/>
        </w:rPr>
        <w:t>nd</w:t>
      </w:r>
      <w:r w:rsidR="00902154" w:rsidRPr="00123878">
        <w:rPr>
          <w:rFonts w:ascii="Calibri" w:hAnsi="Calibri"/>
          <w:noProof/>
          <w:lang w:val="en-GB"/>
        </w:rPr>
        <w:t xml:space="preserve"> edition)</w:t>
      </w:r>
      <w:r w:rsidRPr="00123878">
        <w:rPr>
          <w:rFonts w:ascii="Calibri" w:hAnsi="Calibri"/>
          <w:noProof/>
          <w:lang w:val="en-GB"/>
        </w:rPr>
        <w:t xml:space="preserve">. </w:t>
      </w:r>
      <w:r w:rsidRPr="005A55A8">
        <w:rPr>
          <w:rFonts w:ascii="Calibri" w:hAnsi="Calibri"/>
          <w:noProof/>
        </w:rPr>
        <w:t>Montreuil: ECPA.</w:t>
      </w:r>
      <w:bookmarkEnd w:id="3"/>
    </w:p>
    <w:p w14:paraId="1F701D26" w14:textId="72364A52" w:rsidR="004C4BAA" w:rsidRPr="005A55A8" w:rsidRDefault="004C4BAA" w:rsidP="004C4BAA">
      <w:pPr>
        <w:spacing w:after="0" w:line="240" w:lineRule="auto"/>
        <w:ind w:left="720" w:hanging="720"/>
        <w:rPr>
          <w:rFonts w:ascii="Calibri" w:hAnsi="Calibri"/>
          <w:noProof/>
          <w:lang w:val="en-GB"/>
        </w:rPr>
      </w:pPr>
      <w:bookmarkStart w:id="4" w:name="_ENREF_5"/>
      <w:r w:rsidRPr="005A55A8">
        <w:rPr>
          <w:rFonts w:ascii="Calibri" w:hAnsi="Calibri"/>
          <w:noProof/>
        </w:rPr>
        <w:t xml:space="preserve">Chevrie-Muller, C., &amp; Plaza, M. (2001). </w:t>
      </w:r>
      <w:r w:rsidRPr="005A55A8">
        <w:rPr>
          <w:rFonts w:ascii="Calibri" w:hAnsi="Calibri"/>
          <w:i/>
          <w:noProof/>
        </w:rPr>
        <w:t>Nouvelles épreuves pour l'examen du langage</w:t>
      </w:r>
      <w:r w:rsidR="00820B7F">
        <w:rPr>
          <w:rFonts w:ascii="Calibri" w:hAnsi="Calibri"/>
          <w:i/>
          <w:noProof/>
        </w:rPr>
        <w:t xml:space="preserve"> </w:t>
      </w:r>
      <w:r w:rsidR="00820B7F">
        <w:rPr>
          <w:rFonts w:ascii="Calibri" w:hAnsi="Calibri"/>
          <w:noProof/>
        </w:rPr>
        <w:t>[New tests for language</w:t>
      </w:r>
      <w:r w:rsidR="00123878">
        <w:rPr>
          <w:rFonts w:ascii="Calibri" w:hAnsi="Calibri"/>
          <w:noProof/>
        </w:rPr>
        <w:t xml:space="preserve"> assessment</w:t>
      </w:r>
      <w:r w:rsidR="00820B7F">
        <w:rPr>
          <w:rFonts w:ascii="Calibri" w:hAnsi="Calibri"/>
          <w:noProof/>
        </w:rPr>
        <w:t>]</w:t>
      </w:r>
      <w:r w:rsidRPr="005A55A8">
        <w:rPr>
          <w:rFonts w:ascii="Calibri" w:hAnsi="Calibri"/>
          <w:noProof/>
        </w:rPr>
        <w:t xml:space="preserve">. </w:t>
      </w:r>
      <w:r w:rsidRPr="005A55A8">
        <w:rPr>
          <w:rFonts w:ascii="Calibri" w:hAnsi="Calibri"/>
          <w:noProof/>
          <w:lang w:val="en-GB"/>
        </w:rPr>
        <w:t>Montreuil: ECPA.</w:t>
      </w:r>
      <w:bookmarkEnd w:id="4"/>
    </w:p>
    <w:p w14:paraId="2B1AF374" w14:textId="77777777" w:rsidR="004C4BAA" w:rsidRPr="005A55A8" w:rsidRDefault="004C4BAA" w:rsidP="004C4BAA">
      <w:pPr>
        <w:spacing w:after="0" w:line="240" w:lineRule="auto"/>
        <w:ind w:left="720" w:hanging="720"/>
        <w:rPr>
          <w:rFonts w:ascii="Calibri" w:hAnsi="Calibri"/>
          <w:noProof/>
          <w:lang w:val="en-GB"/>
        </w:rPr>
      </w:pPr>
      <w:bookmarkStart w:id="5" w:name="_ENREF_6"/>
      <w:r w:rsidRPr="005A55A8">
        <w:rPr>
          <w:rFonts w:ascii="Calibri" w:hAnsi="Calibri"/>
          <w:noProof/>
          <w:lang w:val="en-GB"/>
        </w:rPr>
        <w:t xml:space="preserve">Christensen, R. V., &amp; Hansson, K. (2012). The use and productivity of past tense morphology in specific language impairment: An examination of Danish. </w:t>
      </w:r>
      <w:r w:rsidRPr="005A55A8">
        <w:rPr>
          <w:rFonts w:ascii="Calibri" w:hAnsi="Calibri"/>
          <w:i/>
          <w:noProof/>
          <w:lang w:val="en-GB"/>
        </w:rPr>
        <w:t>Journal of Speech, Language, and Hearing Research, 55</w:t>
      </w:r>
      <w:r w:rsidRPr="005A55A8">
        <w:rPr>
          <w:rFonts w:ascii="Calibri" w:hAnsi="Calibri"/>
          <w:noProof/>
          <w:lang w:val="en-GB"/>
        </w:rPr>
        <w:t xml:space="preserve">(6), 1671-1689. </w:t>
      </w:r>
      <w:bookmarkEnd w:id="5"/>
    </w:p>
    <w:p w14:paraId="43FA68E8" w14:textId="77777777" w:rsidR="004C4BAA" w:rsidRPr="005A55A8" w:rsidRDefault="004C4BAA" w:rsidP="004C4BAA">
      <w:pPr>
        <w:spacing w:after="0" w:line="240" w:lineRule="auto"/>
        <w:ind w:left="720" w:hanging="720"/>
        <w:rPr>
          <w:rFonts w:ascii="Calibri" w:hAnsi="Calibri"/>
          <w:noProof/>
          <w:lang w:val="en-GB"/>
        </w:rPr>
      </w:pPr>
      <w:bookmarkStart w:id="6" w:name="_ENREF_7"/>
      <w:r w:rsidRPr="005A55A8">
        <w:rPr>
          <w:rFonts w:ascii="Calibri" w:hAnsi="Calibri"/>
          <w:noProof/>
          <w:lang w:val="en-GB"/>
        </w:rPr>
        <w:t xml:space="preserve">Conti-Ramsden, G. (2003). Processing and linguistic markers in young children with specific language impairment (SLI). </w:t>
      </w:r>
      <w:r w:rsidRPr="005A55A8">
        <w:rPr>
          <w:rFonts w:ascii="Calibri" w:hAnsi="Calibri"/>
          <w:i/>
          <w:noProof/>
          <w:lang w:val="en-GB"/>
        </w:rPr>
        <w:t>Journal of Speech, Language, and Hearing Research, 46</w:t>
      </w:r>
      <w:r w:rsidRPr="005A55A8">
        <w:rPr>
          <w:rFonts w:ascii="Calibri" w:hAnsi="Calibri"/>
          <w:noProof/>
          <w:lang w:val="en-GB"/>
        </w:rPr>
        <w:t xml:space="preserve">, 1029-1037. </w:t>
      </w:r>
      <w:bookmarkEnd w:id="6"/>
    </w:p>
    <w:p w14:paraId="789755DC" w14:textId="77777777" w:rsidR="004C4BAA" w:rsidRPr="005A55A8" w:rsidRDefault="004C4BAA" w:rsidP="004C4BAA">
      <w:pPr>
        <w:spacing w:after="0" w:line="240" w:lineRule="auto"/>
        <w:ind w:left="720" w:hanging="720"/>
        <w:rPr>
          <w:rFonts w:ascii="Calibri" w:hAnsi="Calibri"/>
          <w:noProof/>
          <w:lang w:val="en-GB"/>
        </w:rPr>
      </w:pPr>
      <w:bookmarkStart w:id="7" w:name="_ENREF_8"/>
      <w:r w:rsidRPr="005A55A8">
        <w:rPr>
          <w:rFonts w:ascii="Calibri" w:hAnsi="Calibri"/>
          <w:noProof/>
          <w:lang w:val="en-GB"/>
        </w:rPr>
        <w:t xml:space="preserve">Conti-Ramsden, G., Botting, N., &amp; Faragher, B. (2001). Psycholinguistic markers for specific language impairment (SLI). </w:t>
      </w:r>
      <w:r w:rsidRPr="005A55A8">
        <w:rPr>
          <w:rFonts w:ascii="Calibri" w:hAnsi="Calibri"/>
          <w:i/>
          <w:noProof/>
          <w:lang w:val="en-GB"/>
        </w:rPr>
        <w:t>Journal of Child Psychology and Psychiatry, 42</w:t>
      </w:r>
      <w:r w:rsidRPr="005A55A8">
        <w:rPr>
          <w:rFonts w:ascii="Calibri" w:hAnsi="Calibri"/>
          <w:noProof/>
          <w:lang w:val="en-GB"/>
        </w:rPr>
        <w:t xml:space="preserve">(6), 741-748. </w:t>
      </w:r>
      <w:bookmarkEnd w:id="7"/>
    </w:p>
    <w:p w14:paraId="60C5C0FF" w14:textId="77777777" w:rsidR="004C4BAA" w:rsidRPr="005A55A8" w:rsidRDefault="004C4BAA" w:rsidP="004C4BAA">
      <w:pPr>
        <w:spacing w:after="0" w:line="240" w:lineRule="auto"/>
        <w:ind w:left="720" w:hanging="720"/>
        <w:rPr>
          <w:rFonts w:ascii="Calibri" w:hAnsi="Calibri"/>
          <w:noProof/>
          <w:lang w:val="en-GB"/>
        </w:rPr>
      </w:pPr>
      <w:bookmarkStart w:id="8" w:name="_ENREF_9"/>
      <w:r w:rsidRPr="005A55A8">
        <w:rPr>
          <w:rFonts w:ascii="Calibri" w:hAnsi="Calibri"/>
          <w:noProof/>
          <w:lang w:val="en-GB"/>
        </w:rPr>
        <w:t xml:space="preserve">Devescovi, A., &amp; Caselli, M. C. (2007). Sentence repetition as a measure of early grammatical development in Italian. </w:t>
      </w:r>
      <w:r w:rsidRPr="005A55A8">
        <w:rPr>
          <w:rFonts w:ascii="Calibri" w:hAnsi="Calibri"/>
          <w:i/>
          <w:noProof/>
          <w:lang w:val="en-GB"/>
        </w:rPr>
        <w:t>International Journal of Language &amp; Communication Disorders, 42</w:t>
      </w:r>
      <w:r w:rsidRPr="005A55A8">
        <w:rPr>
          <w:rFonts w:ascii="Calibri" w:hAnsi="Calibri"/>
          <w:noProof/>
          <w:lang w:val="en-GB"/>
        </w:rPr>
        <w:t xml:space="preserve">, 187-208. </w:t>
      </w:r>
      <w:bookmarkEnd w:id="8"/>
    </w:p>
    <w:p w14:paraId="1D89DC04" w14:textId="77777777" w:rsidR="004C4BAA" w:rsidRPr="00123878" w:rsidRDefault="004C4BAA" w:rsidP="004C4BAA">
      <w:pPr>
        <w:spacing w:after="0" w:line="240" w:lineRule="auto"/>
        <w:ind w:left="720" w:hanging="720"/>
        <w:rPr>
          <w:rFonts w:ascii="Calibri" w:hAnsi="Calibri"/>
          <w:noProof/>
          <w:lang w:val="en-GB"/>
        </w:rPr>
      </w:pPr>
      <w:bookmarkStart w:id="9" w:name="_ENREF_11"/>
      <w:r w:rsidRPr="005A55A8">
        <w:rPr>
          <w:rFonts w:ascii="Calibri" w:hAnsi="Calibri"/>
          <w:noProof/>
          <w:lang w:val="en-GB"/>
        </w:rPr>
        <w:t xml:space="preserve">Donaldson, M. L., Reid, J., &amp; Murray, C. (2007). Causal sentence production in children with language impairments. </w:t>
      </w:r>
      <w:r w:rsidRPr="00123878">
        <w:rPr>
          <w:rFonts w:ascii="Calibri" w:hAnsi="Calibri"/>
          <w:i/>
          <w:noProof/>
          <w:lang w:val="en-GB"/>
        </w:rPr>
        <w:t>International Journal of Language &amp; Communication Disorders, 42</w:t>
      </w:r>
      <w:r w:rsidRPr="00123878">
        <w:rPr>
          <w:rFonts w:ascii="Calibri" w:hAnsi="Calibri"/>
          <w:noProof/>
          <w:lang w:val="en-GB"/>
        </w:rPr>
        <w:t xml:space="preserve">(2), 155-186. </w:t>
      </w:r>
      <w:bookmarkEnd w:id="9"/>
    </w:p>
    <w:p w14:paraId="4CCA5613" w14:textId="27CE277F" w:rsidR="004C4BAA" w:rsidRPr="005A55A8" w:rsidRDefault="004C4BAA" w:rsidP="004C4BAA">
      <w:pPr>
        <w:spacing w:after="0" w:line="240" w:lineRule="auto"/>
        <w:ind w:left="720" w:hanging="720"/>
        <w:rPr>
          <w:rFonts w:ascii="Calibri" w:hAnsi="Calibri"/>
          <w:noProof/>
          <w:lang w:val="en-GB"/>
        </w:rPr>
      </w:pPr>
      <w:bookmarkStart w:id="10" w:name="_ENREF_12"/>
      <w:r w:rsidRPr="00123878">
        <w:rPr>
          <w:rFonts w:ascii="Calibri" w:hAnsi="Calibri"/>
          <w:noProof/>
          <w:lang w:val="en-GB"/>
        </w:rPr>
        <w:t xml:space="preserve">Dunn, L., Thériault-Whalen, C., &amp; Dunn, L. (1993). </w:t>
      </w:r>
      <w:r w:rsidRPr="00123878">
        <w:rPr>
          <w:rFonts w:ascii="Calibri" w:hAnsi="Calibri"/>
          <w:i/>
          <w:noProof/>
        </w:rPr>
        <w:t>Échelle de Vocabulaire en Images Peabody</w:t>
      </w:r>
      <w:r w:rsidR="00820B7F" w:rsidRPr="00123878">
        <w:rPr>
          <w:rFonts w:ascii="Calibri" w:hAnsi="Calibri"/>
          <w:i/>
          <w:noProof/>
        </w:rPr>
        <w:t xml:space="preserve"> </w:t>
      </w:r>
      <w:r w:rsidR="00820B7F" w:rsidRPr="00123878">
        <w:rPr>
          <w:rFonts w:ascii="Calibri" w:hAnsi="Calibri"/>
          <w:noProof/>
        </w:rPr>
        <w:t>[Peabody Picture Vocabulary</w:t>
      </w:r>
      <w:r w:rsidR="00123878" w:rsidRPr="00123878">
        <w:rPr>
          <w:rFonts w:ascii="Calibri" w:hAnsi="Calibri"/>
          <w:noProof/>
        </w:rPr>
        <w:t xml:space="preserve"> Scale</w:t>
      </w:r>
      <w:r w:rsidR="00820B7F" w:rsidRPr="00123878">
        <w:rPr>
          <w:rFonts w:ascii="Calibri" w:hAnsi="Calibri"/>
          <w:noProof/>
        </w:rPr>
        <w:t>]</w:t>
      </w:r>
      <w:r w:rsidRPr="00123878">
        <w:rPr>
          <w:rFonts w:ascii="Calibri" w:hAnsi="Calibri"/>
          <w:noProof/>
        </w:rPr>
        <w:t xml:space="preserve">. </w:t>
      </w:r>
      <w:r w:rsidRPr="005A55A8">
        <w:rPr>
          <w:rFonts w:ascii="Calibri" w:hAnsi="Calibri"/>
          <w:noProof/>
          <w:lang w:val="en-GB"/>
        </w:rPr>
        <w:t>Toronto: Psycan.</w:t>
      </w:r>
      <w:bookmarkEnd w:id="10"/>
    </w:p>
    <w:p w14:paraId="095501D4" w14:textId="77777777" w:rsidR="004C4BAA" w:rsidRPr="005A55A8" w:rsidRDefault="004C4BAA" w:rsidP="004C4BAA">
      <w:pPr>
        <w:spacing w:after="0" w:line="240" w:lineRule="auto"/>
        <w:ind w:left="720" w:hanging="720"/>
        <w:rPr>
          <w:rFonts w:ascii="Calibri" w:hAnsi="Calibri"/>
          <w:noProof/>
          <w:lang w:val="en-GB"/>
        </w:rPr>
      </w:pPr>
      <w:bookmarkStart w:id="11" w:name="_ENREF_13"/>
      <w:r w:rsidRPr="005A55A8">
        <w:rPr>
          <w:rFonts w:ascii="Calibri" w:hAnsi="Calibri"/>
          <w:noProof/>
          <w:lang w:val="en-GB"/>
        </w:rPr>
        <w:t xml:space="preserve">Franck, J., Crolen-Ohayon, S., Chillier, L., Frauenfelder, U., Hamann, C., Rizzi, L., &amp; Zesiger, P. (2004). Normal and pathological development of subject-verb agreement in speech production: A study of French children. </w:t>
      </w:r>
      <w:r w:rsidRPr="005A55A8">
        <w:rPr>
          <w:rFonts w:ascii="Calibri" w:hAnsi="Calibri"/>
          <w:i/>
          <w:noProof/>
          <w:lang w:val="en-GB"/>
        </w:rPr>
        <w:t>Journal of Neurolinguistics, 17</w:t>
      </w:r>
      <w:r w:rsidRPr="005A55A8">
        <w:rPr>
          <w:rFonts w:ascii="Calibri" w:hAnsi="Calibri"/>
          <w:noProof/>
          <w:lang w:val="en-GB"/>
        </w:rPr>
        <w:t xml:space="preserve">, 147-180. </w:t>
      </w:r>
      <w:bookmarkEnd w:id="11"/>
    </w:p>
    <w:p w14:paraId="1D33DD36" w14:textId="77777777" w:rsidR="004C4BAA" w:rsidRPr="005A55A8" w:rsidRDefault="004C4BAA" w:rsidP="004C4BAA">
      <w:pPr>
        <w:spacing w:after="0" w:line="240" w:lineRule="auto"/>
        <w:ind w:left="720" w:hanging="720"/>
        <w:rPr>
          <w:rFonts w:ascii="Calibri" w:hAnsi="Calibri"/>
          <w:noProof/>
          <w:lang w:val="en-GB"/>
        </w:rPr>
      </w:pPr>
      <w:bookmarkStart w:id="12" w:name="_ENREF_16"/>
      <w:r w:rsidRPr="005A55A8">
        <w:rPr>
          <w:rFonts w:ascii="Calibri" w:hAnsi="Calibri"/>
          <w:noProof/>
          <w:lang w:val="en-GB"/>
        </w:rPr>
        <w:t xml:space="preserve">Grela, B., Rashiti, L., &amp; Soares, M. (2004). Dative prepositions in children with specific language impairment. </w:t>
      </w:r>
      <w:r w:rsidRPr="005A55A8">
        <w:rPr>
          <w:rFonts w:ascii="Calibri" w:hAnsi="Calibri"/>
          <w:i/>
          <w:noProof/>
          <w:lang w:val="en-GB"/>
        </w:rPr>
        <w:t>Applied Psycholinguistics, 25</w:t>
      </w:r>
      <w:r w:rsidRPr="005A55A8">
        <w:rPr>
          <w:rFonts w:ascii="Calibri" w:hAnsi="Calibri"/>
          <w:noProof/>
          <w:lang w:val="en-GB"/>
        </w:rPr>
        <w:t xml:space="preserve">, 467-480. </w:t>
      </w:r>
      <w:bookmarkEnd w:id="12"/>
    </w:p>
    <w:p w14:paraId="69BA271F" w14:textId="77777777" w:rsidR="004C4BAA" w:rsidRPr="005A55A8" w:rsidRDefault="004C4BAA" w:rsidP="004C4BAA">
      <w:pPr>
        <w:spacing w:after="0" w:line="240" w:lineRule="auto"/>
        <w:ind w:left="720" w:hanging="720"/>
        <w:rPr>
          <w:rFonts w:ascii="Calibri" w:hAnsi="Calibri"/>
          <w:noProof/>
          <w:lang w:val="en-GB"/>
        </w:rPr>
      </w:pPr>
      <w:bookmarkStart w:id="13" w:name="_ENREF_17"/>
      <w:r w:rsidRPr="005A55A8">
        <w:rPr>
          <w:rFonts w:ascii="Calibri" w:hAnsi="Calibri"/>
          <w:noProof/>
          <w:lang w:val="en-GB"/>
        </w:rPr>
        <w:t xml:space="preserve">Hamann, C., Ohayon, S., Dube, S., Frauenfelder, U. H., Rizzi, L., Starke, M., &amp; Zesiger, P. (2003). Aspects of grammatical development in young French children with SLI. </w:t>
      </w:r>
      <w:r w:rsidRPr="005A55A8">
        <w:rPr>
          <w:rFonts w:ascii="Calibri" w:hAnsi="Calibri"/>
          <w:i/>
          <w:noProof/>
          <w:lang w:val="en-GB"/>
        </w:rPr>
        <w:t>Developmental Science, 6</w:t>
      </w:r>
      <w:r w:rsidRPr="005A55A8">
        <w:rPr>
          <w:rFonts w:ascii="Calibri" w:hAnsi="Calibri"/>
          <w:noProof/>
          <w:lang w:val="en-GB"/>
        </w:rPr>
        <w:t xml:space="preserve">(2), 151-158. </w:t>
      </w:r>
      <w:bookmarkEnd w:id="13"/>
    </w:p>
    <w:p w14:paraId="257BCD8B" w14:textId="77777777" w:rsidR="004C4BAA" w:rsidRPr="005A55A8" w:rsidRDefault="004C4BAA" w:rsidP="004C4BAA">
      <w:pPr>
        <w:spacing w:after="0" w:line="240" w:lineRule="auto"/>
        <w:ind w:left="720" w:hanging="720"/>
        <w:rPr>
          <w:rFonts w:ascii="Calibri" w:hAnsi="Calibri"/>
          <w:noProof/>
          <w:lang w:val="en-GB"/>
        </w:rPr>
      </w:pPr>
      <w:bookmarkStart w:id="14" w:name="_ENREF_18"/>
      <w:r w:rsidRPr="005A55A8">
        <w:rPr>
          <w:rFonts w:ascii="Calibri" w:hAnsi="Calibri"/>
          <w:noProof/>
          <w:lang w:val="en-GB"/>
        </w:rPr>
        <w:t xml:space="preserve">Hastie, T., Tibshirani, R., &amp; Friedman, J. (2009). </w:t>
      </w:r>
      <w:r w:rsidRPr="005A55A8">
        <w:rPr>
          <w:rFonts w:ascii="Calibri" w:hAnsi="Calibri"/>
          <w:i/>
          <w:noProof/>
          <w:lang w:val="en-GB"/>
        </w:rPr>
        <w:t xml:space="preserve">The elements of statistical learning: Data mining, inference, and prediction. </w:t>
      </w:r>
      <w:r w:rsidRPr="005A55A8">
        <w:rPr>
          <w:rFonts w:ascii="Calibri" w:hAnsi="Calibri"/>
          <w:noProof/>
          <w:lang w:val="en-GB"/>
        </w:rPr>
        <w:t>New York: Springer.</w:t>
      </w:r>
      <w:bookmarkEnd w:id="14"/>
    </w:p>
    <w:p w14:paraId="19891BF3" w14:textId="77777777" w:rsidR="004C4BAA" w:rsidRPr="005A55A8" w:rsidRDefault="004C4BAA" w:rsidP="004C4BAA">
      <w:pPr>
        <w:spacing w:after="0" w:line="240" w:lineRule="auto"/>
        <w:ind w:left="720" w:hanging="720"/>
        <w:rPr>
          <w:rFonts w:ascii="Calibri" w:hAnsi="Calibri"/>
          <w:noProof/>
          <w:lang w:val="en-GB"/>
        </w:rPr>
      </w:pPr>
      <w:bookmarkStart w:id="15" w:name="_ENREF_21"/>
      <w:r w:rsidRPr="005A55A8">
        <w:rPr>
          <w:rFonts w:ascii="Calibri" w:hAnsi="Calibri"/>
          <w:noProof/>
          <w:lang w:val="en-GB"/>
        </w:rPr>
        <w:t xml:space="preserve">Jakubowicz, C., Nash, L., Rigaut, C., &amp; Gerard, C.-L. (1998). Determiners and clitic pronouns in French-speaking children with SLI. </w:t>
      </w:r>
      <w:r w:rsidRPr="005A55A8">
        <w:rPr>
          <w:rFonts w:ascii="Calibri" w:hAnsi="Calibri"/>
          <w:i/>
          <w:noProof/>
          <w:lang w:val="en-GB"/>
        </w:rPr>
        <w:t>Language Acquisition: A Journal of Developmental Linguistics, 7</w:t>
      </w:r>
      <w:r w:rsidRPr="005A55A8">
        <w:rPr>
          <w:rFonts w:ascii="Calibri" w:hAnsi="Calibri"/>
          <w:noProof/>
          <w:lang w:val="en-GB"/>
        </w:rPr>
        <w:t xml:space="preserve">(2-4), 113-160. </w:t>
      </w:r>
      <w:bookmarkEnd w:id="15"/>
    </w:p>
    <w:p w14:paraId="3C01F392" w14:textId="77777777" w:rsidR="004C4BAA" w:rsidRPr="005A55A8" w:rsidRDefault="004C4BAA" w:rsidP="004C4BAA">
      <w:pPr>
        <w:spacing w:after="0" w:line="240" w:lineRule="auto"/>
        <w:ind w:left="720" w:hanging="720"/>
        <w:rPr>
          <w:rFonts w:ascii="Calibri" w:hAnsi="Calibri"/>
          <w:noProof/>
          <w:lang w:val="en-GB"/>
        </w:rPr>
      </w:pPr>
      <w:bookmarkStart w:id="16" w:name="_ENREF_22"/>
      <w:r w:rsidRPr="005A55A8">
        <w:rPr>
          <w:rFonts w:ascii="Calibri" w:hAnsi="Calibri"/>
          <w:noProof/>
          <w:lang w:val="en-GB"/>
        </w:rPr>
        <w:t xml:space="preserve">Jefferies, E., Lambon Ralph, M. A., &amp; Baddeley, A. D. (2004). Automatic and controlled processing in sentence recall: The role of long-term and working memory. </w:t>
      </w:r>
      <w:r w:rsidRPr="005A55A8">
        <w:rPr>
          <w:rFonts w:ascii="Calibri" w:hAnsi="Calibri"/>
          <w:i/>
          <w:noProof/>
          <w:lang w:val="en-GB"/>
        </w:rPr>
        <w:t>Journal of Memory and Language, 51</w:t>
      </w:r>
      <w:r w:rsidRPr="005A55A8">
        <w:rPr>
          <w:rFonts w:ascii="Calibri" w:hAnsi="Calibri"/>
          <w:noProof/>
          <w:lang w:val="en-GB"/>
        </w:rPr>
        <w:t xml:space="preserve">(4), 623-643. </w:t>
      </w:r>
      <w:bookmarkEnd w:id="16"/>
    </w:p>
    <w:p w14:paraId="31EA0E05" w14:textId="3D33ABBC" w:rsidR="006D55EF" w:rsidRPr="00BE1FB1" w:rsidRDefault="006D55EF" w:rsidP="004C4BAA">
      <w:pPr>
        <w:spacing w:after="0" w:line="240" w:lineRule="auto"/>
        <w:ind w:left="720" w:hanging="720"/>
        <w:rPr>
          <w:rFonts w:ascii="Calibri" w:hAnsi="Calibri"/>
          <w:noProof/>
          <w:lang w:val="en-US"/>
        </w:rPr>
      </w:pPr>
      <w:bookmarkStart w:id="17" w:name="_ENREF_23"/>
      <w:r w:rsidRPr="00BE1FB1">
        <w:rPr>
          <w:rFonts w:ascii="Calibri" w:hAnsi="Calibri"/>
          <w:noProof/>
          <w:lang w:val="en-US"/>
        </w:rPr>
        <w:t xml:space="preserve">Khomsi, A. (2001). </w:t>
      </w:r>
      <w:r w:rsidRPr="00123878">
        <w:rPr>
          <w:rFonts w:ascii="Calibri" w:hAnsi="Calibri"/>
          <w:i/>
          <w:noProof/>
        </w:rPr>
        <w:t>Evaluation du langage oral (ELO)</w:t>
      </w:r>
      <w:r w:rsidR="00820B7F" w:rsidRPr="00123878">
        <w:rPr>
          <w:rFonts w:ascii="Calibri" w:hAnsi="Calibri"/>
          <w:i/>
          <w:noProof/>
        </w:rPr>
        <w:t xml:space="preserve"> </w:t>
      </w:r>
      <w:r w:rsidR="00820B7F" w:rsidRPr="00123878">
        <w:rPr>
          <w:rFonts w:ascii="Calibri" w:hAnsi="Calibri"/>
          <w:noProof/>
        </w:rPr>
        <w:t>[</w:t>
      </w:r>
      <w:r w:rsidR="00123878" w:rsidRPr="00123878">
        <w:rPr>
          <w:rFonts w:ascii="Calibri" w:hAnsi="Calibri"/>
          <w:noProof/>
        </w:rPr>
        <w:t>Oral</w:t>
      </w:r>
      <w:r w:rsidR="00820B7F" w:rsidRPr="00123878">
        <w:rPr>
          <w:rFonts w:ascii="Calibri" w:hAnsi="Calibri"/>
          <w:noProof/>
        </w:rPr>
        <w:t xml:space="preserve"> language</w:t>
      </w:r>
      <w:r w:rsidR="00123878">
        <w:rPr>
          <w:rFonts w:ascii="Calibri" w:hAnsi="Calibri"/>
          <w:noProof/>
        </w:rPr>
        <w:t xml:space="preserve"> assessment</w:t>
      </w:r>
      <w:r w:rsidR="00820B7F" w:rsidRPr="00123878">
        <w:rPr>
          <w:rFonts w:ascii="Calibri" w:hAnsi="Calibri"/>
          <w:noProof/>
        </w:rPr>
        <w:t>]</w:t>
      </w:r>
      <w:r w:rsidRPr="00123878">
        <w:rPr>
          <w:rFonts w:ascii="Calibri" w:hAnsi="Calibri"/>
          <w:noProof/>
        </w:rPr>
        <w:t xml:space="preserve">. </w:t>
      </w:r>
      <w:r w:rsidRPr="00BE1FB1">
        <w:rPr>
          <w:rFonts w:ascii="Calibri" w:hAnsi="Calibri"/>
          <w:noProof/>
          <w:lang w:val="en-US"/>
        </w:rPr>
        <w:t>Paris: ECPA.</w:t>
      </w:r>
    </w:p>
    <w:p w14:paraId="7B289175" w14:textId="77777777" w:rsidR="004C4BAA" w:rsidRPr="005A55A8" w:rsidRDefault="004C4BAA" w:rsidP="004C4BAA">
      <w:pPr>
        <w:spacing w:after="0" w:line="240" w:lineRule="auto"/>
        <w:ind w:left="720" w:hanging="720"/>
        <w:rPr>
          <w:rFonts w:ascii="Calibri" w:hAnsi="Calibri"/>
          <w:noProof/>
          <w:lang w:val="en-GB"/>
        </w:rPr>
      </w:pPr>
      <w:r w:rsidRPr="005A55A8">
        <w:rPr>
          <w:rFonts w:ascii="Calibri" w:hAnsi="Calibri"/>
          <w:noProof/>
          <w:lang w:val="en-GB"/>
        </w:rPr>
        <w:t xml:space="preserve">Komeili, M., &amp; Marshall, C. R. (2013). Sentence repetition as a measure of morphosyntax in monolingual and bilingual children. </w:t>
      </w:r>
      <w:r w:rsidRPr="005A55A8">
        <w:rPr>
          <w:rFonts w:ascii="Calibri" w:hAnsi="Calibri"/>
          <w:i/>
          <w:noProof/>
          <w:lang w:val="en-GB"/>
        </w:rPr>
        <w:t>Clinical Linguistics &amp; Phonetics, 27</w:t>
      </w:r>
      <w:r w:rsidRPr="005A55A8">
        <w:rPr>
          <w:rFonts w:ascii="Calibri" w:hAnsi="Calibri"/>
          <w:noProof/>
          <w:lang w:val="en-GB"/>
        </w:rPr>
        <w:t xml:space="preserve">(2), 152-161. </w:t>
      </w:r>
      <w:bookmarkEnd w:id="17"/>
    </w:p>
    <w:p w14:paraId="5E6125D2" w14:textId="77777777" w:rsidR="004C4BAA" w:rsidRPr="005A55A8" w:rsidRDefault="004C4BAA" w:rsidP="004C4BAA">
      <w:pPr>
        <w:spacing w:after="0" w:line="240" w:lineRule="auto"/>
        <w:ind w:left="720" w:hanging="720"/>
        <w:rPr>
          <w:rFonts w:ascii="Calibri" w:hAnsi="Calibri"/>
          <w:noProof/>
          <w:lang w:val="en-GB"/>
        </w:rPr>
      </w:pPr>
      <w:bookmarkStart w:id="18" w:name="_ENREF_25"/>
      <w:r w:rsidRPr="005A55A8">
        <w:rPr>
          <w:rFonts w:ascii="Calibri" w:hAnsi="Calibri"/>
          <w:noProof/>
          <w:lang w:val="en-GB"/>
        </w:rPr>
        <w:t xml:space="preserve">Leonard, L. B., Weismer, S. E., Miller, C. A., Francis, D. J., Tomblin, J., &amp; Kail, R. V. (2007). Speed of processing, working memory, and language impairment in children. </w:t>
      </w:r>
      <w:r w:rsidRPr="005A55A8">
        <w:rPr>
          <w:rFonts w:ascii="Calibri" w:hAnsi="Calibri"/>
          <w:i/>
          <w:noProof/>
          <w:lang w:val="en-GB"/>
        </w:rPr>
        <w:t>Journal of Speech, Language, and Hearing Research, 50</w:t>
      </w:r>
      <w:r w:rsidRPr="005A55A8">
        <w:rPr>
          <w:rFonts w:ascii="Calibri" w:hAnsi="Calibri"/>
          <w:noProof/>
          <w:lang w:val="en-GB"/>
        </w:rPr>
        <w:t xml:space="preserve">(2), 408-428. </w:t>
      </w:r>
      <w:bookmarkEnd w:id="18"/>
    </w:p>
    <w:p w14:paraId="4FF4CDEB" w14:textId="77777777" w:rsidR="004C4BAA" w:rsidRPr="005A55A8" w:rsidRDefault="004C4BAA" w:rsidP="004C4BAA">
      <w:pPr>
        <w:spacing w:after="0" w:line="240" w:lineRule="auto"/>
        <w:ind w:left="720" w:hanging="720"/>
        <w:rPr>
          <w:rFonts w:ascii="Calibri" w:hAnsi="Calibri"/>
          <w:noProof/>
          <w:lang w:val="en-GB"/>
        </w:rPr>
      </w:pPr>
      <w:bookmarkStart w:id="19" w:name="_ENREF_27"/>
      <w:r w:rsidRPr="005A55A8">
        <w:rPr>
          <w:rFonts w:ascii="Calibri" w:hAnsi="Calibri"/>
          <w:noProof/>
          <w:lang w:val="en-GB"/>
        </w:rPr>
        <w:lastRenderedPageBreak/>
        <w:t xml:space="preserve">McGregor, K., Oleson, J., Bahnsen, A., &amp; Duff, D. (2013). Children with developmental language impairment have vocabulary deficits characterized by limited breadth and depth. </w:t>
      </w:r>
      <w:r w:rsidRPr="005A55A8">
        <w:rPr>
          <w:rFonts w:ascii="Calibri" w:hAnsi="Calibri"/>
          <w:i/>
          <w:noProof/>
          <w:lang w:val="en-GB"/>
        </w:rPr>
        <w:t>International Journal of Language &amp; Communication Disorders, 48</w:t>
      </w:r>
      <w:r w:rsidRPr="005A55A8">
        <w:rPr>
          <w:rFonts w:ascii="Calibri" w:hAnsi="Calibri"/>
          <w:noProof/>
          <w:lang w:val="en-GB"/>
        </w:rPr>
        <w:t xml:space="preserve">, 307-319. </w:t>
      </w:r>
      <w:bookmarkEnd w:id="19"/>
    </w:p>
    <w:p w14:paraId="7D8C8809" w14:textId="77777777" w:rsidR="004C4BAA" w:rsidRPr="005A55A8" w:rsidRDefault="004C4BAA" w:rsidP="004C4BAA">
      <w:pPr>
        <w:spacing w:after="0" w:line="240" w:lineRule="auto"/>
        <w:ind w:left="720" w:hanging="720"/>
        <w:rPr>
          <w:rFonts w:ascii="Calibri" w:hAnsi="Calibri"/>
          <w:noProof/>
          <w:lang w:val="en-GB"/>
        </w:rPr>
      </w:pPr>
      <w:bookmarkStart w:id="20" w:name="_ENREF_28"/>
      <w:r w:rsidRPr="005A55A8">
        <w:rPr>
          <w:rFonts w:ascii="Calibri" w:hAnsi="Calibri"/>
          <w:noProof/>
          <w:lang w:val="en-GB"/>
        </w:rPr>
        <w:t xml:space="preserve">Novogrodsky, R., &amp; Friedmann, N. (2006). The production of relative clauses in syntactic SLI: A window to the nature of the impairment. </w:t>
      </w:r>
      <w:r w:rsidRPr="005A55A8">
        <w:rPr>
          <w:rFonts w:ascii="Calibri" w:hAnsi="Calibri"/>
          <w:i/>
          <w:noProof/>
          <w:lang w:val="en-GB"/>
        </w:rPr>
        <w:t>Advances in Speech Language Pathology, 8</w:t>
      </w:r>
      <w:r w:rsidRPr="005A55A8">
        <w:rPr>
          <w:rFonts w:ascii="Calibri" w:hAnsi="Calibri"/>
          <w:noProof/>
          <w:lang w:val="en-GB"/>
        </w:rPr>
        <w:t xml:space="preserve">(4), 364-375. </w:t>
      </w:r>
      <w:bookmarkEnd w:id="20"/>
    </w:p>
    <w:p w14:paraId="134BAF0B" w14:textId="77777777" w:rsidR="004C4BAA" w:rsidRPr="005A55A8" w:rsidRDefault="004C4BAA" w:rsidP="004C4BAA">
      <w:pPr>
        <w:spacing w:after="0" w:line="240" w:lineRule="auto"/>
        <w:ind w:left="720" w:hanging="720"/>
        <w:rPr>
          <w:rFonts w:ascii="Calibri" w:hAnsi="Calibri"/>
          <w:noProof/>
          <w:lang w:val="en-GB"/>
        </w:rPr>
      </w:pPr>
      <w:bookmarkStart w:id="21" w:name="_ENREF_29"/>
      <w:r w:rsidRPr="005A55A8">
        <w:rPr>
          <w:rFonts w:ascii="Calibri" w:hAnsi="Calibri"/>
          <w:noProof/>
          <w:lang w:val="en-GB"/>
        </w:rPr>
        <w:t xml:space="preserve">Oetting, J. B., &amp; McDonald, J. L. (2001). Nonmainstream dialect use and specific language impairment </w:t>
      </w:r>
      <w:r w:rsidRPr="005A55A8">
        <w:rPr>
          <w:rFonts w:ascii="Calibri" w:hAnsi="Calibri"/>
          <w:i/>
          <w:noProof/>
          <w:lang w:val="en-GB"/>
        </w:rPr>
        <w:t>Journal of Speech, Language, and Hearing Research, 44</w:t>
      </w:r>
      <w:r w:rsidRPr="005A55A8">
        <w:rPr>
          <w:rFonts w:ascii="Calibri" w:hAnsi="Calibri"/>
          <w:noProof/>
          <w:lang w:val="en-GB"/>
        </w:rPr>
        <w:t xml:space="preserve">(207-223). </w:t>
      </w:r>
      <w:bookmarkEnd w:id="21"/>
    </w:p>
    <w:p w14:paraId="5986F084" w14:textId="77777777" w:rsidR="004C4BAA" w:rsidRPr="005A55A8" w:rsidRDefault="004C4BAA" w:rsidP="004C4BAA">
      <w:pPr>
        <w:spacing w:after="0" w:line="240" w:lineRule="auto"/>
        <w:ind w:left="720" w:hanging="720"/>
        <w:rPr>
          <w:rFonts w:ascii="Calibri" w:hAnsi="Calibri"/>
          <w:noProof/>
          <w:lang w:val="en-GB"/>
        </w:rPr>
      </w:pPr>
      <w:bookmarkStart w:id="22" w:name="_ENREF_30"/>
      <w:r w:rsidRPr="005A55A8">
        <w:rPr>
          <w:rFonts w:ascii="Calibri" w:hAnsi="Calibri"/>
          <w:noProof/>
          <w:lang w:val="en-GB"/>
        </w:rPr>
        <w:t xml:space="preserve">Paradis, J., &amp; Crago, M. (2001). The morphosyntax of specific language impairment in French: An extended optional default account. </w:t>
      </w:r>
      <w:r w:rsidRPr="005A55A8">
        <w:rPr>
          <w:rFonts w:ascii="Calibri" w:hAnsi="Calibri"/>
          <w:i/>
          <w:noProof/>
          <w:lang w:val="en-GB"/>
        </w:rPr>
        <w:t>Language Acquisition: A Journal of Developmental Linguistics, 9</w:t>
      </w:r>
      <w:r w:rsidRPr="005A55A8">
        <w:rPr>
          <w:rFonts w:ascii="Calibri" w:hAnsi="Calibri"/>
          <w:noProof/>
          <w:lang w:val="en-GB"/>
        </w:rPr>
        <w:t xml:space="preserve">(4), 269-300. </w:t>
      </w:r>
      <w:bookmarkEnd w:id="22"/>
    </w:p>
    <w:p w14:paraId="28C5E8A6" w14:textId="77777777" w:rsidR="004C4BAA" w:rsidRPr="005A55A8" w:rsidRDefault="004C4BAA" w:rsidP="004C4BAA">
      <w:pPr>
        <w:spacing w:after="0" w:line="240" w:lineRule="auto"/>
        <w:ind w:left="720" w:hanging="720"/>
        <w:rPr>
          <w:rFonts w:ascii="Calibri" w:hAnsi="Calibri"/>
          <w:noProof/>
          <w:lang w:val="en-GB"/>
        </w:rPr>
      </w:pPr>
      <w:bookmarkStart w:id="23" w:name="_ENREF_31"/>
      <w:r w:rsidRPr="005A55A8">
        <w:rPr>
          <w:rFonts w:ascii="Calibri" w:hAnsi="Calibri"/>
          <w:noProof/>
          <w:lang w:val="en-GB"/>
        </w:rPr>
        <w:t xml:space="preserve">Petruccelli, N., Bavin, E. L., &amp; Bretherton, L. (2012). Children with specific language impairment and resolved late talkers: Working memory profiles at 5 years. </w:t>
      </w:r>
      <w:r w:rsidRPr="005A55A8">
        <w:rPr>
          <w:rFonts w:ascii="Calibri" w:hAnsi="Calibri"/>
          <w:i/>
          <w:noProof/>
          <w:lang w:val="en-GB"/>
        </w:rPr>
        <w:t>Journal of Speech, Language, and Hearing Research, 55</w:t>
      </w:r>
      <w:r w:rsidRPr="005A55A8">
        <w:rPr>
          <w:rFonts w:ascii="Calibri" w:hAnsi="Calibri"/>
          <w:noProof/>
          <w:lang w:val="en-GB"/>
        </w:rPr>
        <w:t xml:space="preserve">(6), 1690-1703. </w:t>
      </w:r>
      <w:bookmarkEnd w:id="23"/>
    </w:p>
    <w:p w14:paraId="4B7AE2F9" w14:textId="77777777" w:rsidR="004C4BAA" w:rsidRPr="005A55A8" w:rsidRDefault="004C4BAA" w:rsidP="004C4BAA">
      <w:pPr>
        <w:spacing w:after="0" w:line="240" w:lineRule="auto"/>
        <w:ind w:left="720" w:hanging="720"/>
        <w:rPr>
          <w:rFonts w:ascii="Calibri" w:hAnsi="Calibri"/>
          <w:noProof/>
          <w:lang w:val="en-GB"/>
        </w:rPr>
      </w:pPr>
      <w:bookmarkStart w:id="24" w:name="_ENREF_32"/>
      <w:r w:rsidRPr="005A55A8">
        <w:rPr>
          <w:rFonts w:ascii="Calibri" w:hAnsi="Calibri"/>
          <w:noProof/>
          <w:lang w:val="en-GB"/>
        </w:rPr>
        <w:t xml:space="preserve">Pizzioli, F., &amp; Schelstraete, M.-A. (2008). The argument-structure complexity effect in children with specific language impairment: Evidence from the use of grammatical morphemes in French. </w:t>
      </w:r>
      <w:r w:rsidRPr="005A55A8">
        <w:rPr>
          <w:rFonts w:ascii="Calibri" w:hAnsi="Calibri"/>
          <w:i/>
          <w:noProof/>
          <w:lang w:val="en-GB"/>
        </w:rPr>
        <w:t>Journal of Speech, Language, and Hearing Research, 51</w:t>
      </w:r>
      <w:r w:rsidRPr="005A55A8">
        <w:rPr>
          <w:rFonts w:ascii="Calibri" w:hAnsi="Calibri"/>
          <w:noProof/>
          <w:lang w:val="en-GB"/>
        </w:rPr>
        <w:t xml:space="preserve">(3), 706-721. </w:t>
      </w:r>
      <w:bookmarkEnd w:id="24"/>
    </w:p>
    <w:p w14:paraId="44624CEA" w14:textId="77777777" w:rsidR="004C4BAA" w:rsidRPr="005A55A8" w:rsidRDefault="004C4BAA" w:rsidP="004C4BAA">
      <w:pPr>
        <w:spacing w:after="0" w:line="240" w:lineRule="auto"/>
        <w:ind w:left="720" w:hanging="720"/>
        <w:rPr>
          <w:rFonts w:ascii="Calibri" w:hAnsi="Calibri"/>
          <w:noProof/>
          <w:lang w:val="en-GB"/>
        </w:rPr>
      </w:pPr>
      <w:bookmarkStart w:id="25" w:name="_ENREF_33"/>
      <w:r w:rsidRPr="005A55A8">
        <w:rPr>
          <w:rFonts w:ascii="Calibri" w:hAnsi="Calibri"/>
          <w:noProof/>
          <w:lang w:val="en-GB"/>
        </w:rPr>
        <w:t xml:space="preserve">Poll, G., Betz, S., &amp; Miller, C. A. (2010). Identification of clinical markers of specific language impairment in adults. </w:t>
      </w:r>
      <w:r w:rsidRPr="005A55A8">
        <w:rPr>
          <w:rFonts w:ascii="Calibri" w:hAnsi="Calibri"/>
          <w:i/>
          <w:noProof/>
          <w:lang w:val="en-GB"/>
        </w:rPr>
        <w:t>Journal of Speech, Language, and Hearing Research, 53</w:t>
      </w:r>
      <w:r w:rsidRPr="005A55A8">
        <w:rPr>
          <w:rFonts w:ascii="Calibri" w:hAnsi="Calibri"/>
          <w:noProof/>
          <w:lang w:val="en-GB"/>
        </w:rPr>
        <w:t xml:space="preserve">, 414-429. </w:t>
      </w:r>
      <w:bookmarkEnd w:id="25"/>
    </w:p>
    <w:p w14:paraId="0A2D7A6A" w14:textId="77777777" w:rsidR="004C4BAA" w:rsidRPr="005A55A8" w:rsidRDefault="004C4BAA" w:rsidP="004C4BAA">
      <w:pPr>
        <w:spacing w:after="0" w:line="240" w:lineRule="auto"/>
        <w:ind w:left="720" w:hanging="720"/>
        <w:rPr>
          <w:rFonts w:ascii="Calibri" w:hAnsi="Calibri"/>
          <w:noProof/>
          <w:lang w:val="en-GB"/>
        </w:rPr>
      </w:pPr>
      <w:bookmarkStart w:id="26" w:name="_ENREF_34"/>
      <w:r w:rsidRPr="005A55A8">
        <w:rPr>
          <w:rFonts w:ascii="Calibri" w:hAnsi="Calibri"/>
          <w:noProof/>
          <w:lang w:val="en-GB"/>
        </w:rPr>
        <w:t xml:space="preserve">Redmond, S. M. (2005). Differentiating SLI from ADHD using children's sentence recall and production of past tense morphology. </w:t>
      </w:r>
      <w:r w:rsidRPr="005A55A8">
        <w:rPr>
          <w:rFonts w:ascii="Calibri" w:hAnsi="Calibri"/>
          <w:i/>
          <w:noProof/>
          <w:lang w:val="en-GB"/>
        </w:rPr>
        <w:t>Clinical Linguistics &amp; Phonetics, 19</w:t>
      </w:r>
      <w:r w:rsidRPr="005A55A8">
        <w:rPr>
          <w:rFonts w:ascii="Calibri" w:hAnsi="Calibri"/>
          <w:noProof/>
          <w:lang w:val="en-GB"/>
        </w:rPr>
        <w:t xml:space="preserve">(2), 109-127. </w:t>
      </w:r>
      <w:bookmarkEnd w:id="26"/>
    </w:p>
    <w:p w14:paraId="0DBDD9FA" w14:textId="77777777" w:rsidR="004C4BAA" w:rsidRPr="005A55A8" w:rsidRDefault="004C4BAA" w:rsidP="004C4BAA">
      <w:pPr>
        <w:spacing w:after="0" w:line="240" w:lineRule="auto"/>
        <w:ind w:left="720" w:hanging="720"/>
        <w:rPr>
          <w:rFonts w:ascii="Calibri" w:hAnsi="Calibri"/>
          <w:noProof/>
          <w:lang w:val="en-GB"/>
        </w:rPr>
      </w:pPr>
      <w:bookmarkStart w:id="27" w:name="_ENREF_35"/>
      <w:r w:rsidRPr="005A55A8">
        <w:rPr>
          <w:rFonts w:ascii="Calibri" w:hAnsi="Calibri"/>
          <w:noProof/>
          <w:lang w:val="en-GB"/>
        </w:rPr>
        <w:t xml:space="preserve">Redmond, S. M., Thompson, H. L., &amp; Goldstein, S. (2011). Psycholinguistic profiling differentiates specific language impairment from typical development and from attention-deficit/hyperactivity disorder. </w:t>
      </w:r>
      <w:r w:rsidRPr="005A55A8">
        <w:rPr>
          <w:rFonts w:ascii="Calibri" w:hAnsi="Calibri"/>
          <w:i/>
          <w:noProof/>
          <w:lang w:val="en-GB"/>
        </w:rPr>
        <w:t>Journal of Speech, Language, and Hearing Research, 54</w:t>
      </w:r>
      <w:r w:rsidRPr="005A55A8">
        <w:rPr>
          <w:rFonts w:ascii="Calibri" w:hAnsi="Calibri"/>
          <w:noProof/>
          <w:lang w:val="en-GB"/>
        </w:rPr>
        <w:t xml:space="preserve">(1), 99-117. </w:t>
      </w:r>
      <w:bookmarkEnd w:id="27"/>
    </w:p>
    <w:p w14:paraId="475FF867" w14:textId="77777777" w:rsidR="004C4BAA" w:rsidRPr="005A55A8" w:rsidRDefault="004C4BAA" w:rsidP="004C4BAA">
      <w:pPr>
        <w:spacing w:after="0" w:line="240" w:lineRule="auto"/>
        <w:ind w:left="720" w:hanging="720"/>
        <w:rPr>
          <w:rFonts w:ascii="Calibri" w:hAnsi="Calibri"/>
          <w:noProof/>
          <w:lang w:val="en-GB"/>
        </w:rPr>
      </w:pPr>
      <w:bookmarkStart w:id="28" w:name="_ENREF_36"/>
      <w:r w:rsidRPr="005A55A8">
        <w:rPr>
          <w:rFonts w:ascii="Calibri" w:hAnsi="Calibri"/>
          <w:noProof/>
          <w:lang w:val="en-GB"/>
        </w:rPr>
        <w:t xml:space="preserve">Rice, M., &amp; Wexler, K. (1996). Toward tense as a clinical marker of specific language impairment in English-speaking children. </w:t>
      </w:r>
      <w:r w:rsidRPr="005A55A8">
        <w:rPr>
          <w:rFonts w:ascii="Calibri" w:hAnsi="Calibri"/>
          <w:i/>
          <w:noProof/>
          <w:lang w:val="en-GB"/>
        </w:rPr>
        <w:t>Journal of Speech and Hearing Research, 39</w:t>
      </w:r>
      <w:r w:rsidRPr="005A55A8">
        <w:rPr>
          <w:rFonts w:ascii="Calibri" w:hAnsi="Calibri"/>
          <w:noProof/>
          <w:lang w:val="en-GB"/>
        </w:rPr>
        <w:t xml:space="preserve">(6), 1239-1257. </w:t>
      </w:r>
      <w:bookmarkEnd w:id="28"/>
    </w:p>
    <w:p w14:paraId="47C9642E" w14:textId="77777777" w:rsidR="004C4BAA" w:rsidRPr="005A55A8" w:rsidRDefault="004C4BAA" w:rsidP="004C4BAA">
      <w:pPr>
        <w:spacing w:after="0" w:line="240" w:lineRule="auto"/>
        <w:ind w:left="720" w:hanging="720"/>
        <w:rPr>
          <w:rFonts w:ascii="Calibri" w:hAnsi="Calibri"/>
          <w:noProof/>
          <w:lang w:val="en-GB"/>
        </w:rPr>
      </w:pPr>
      <w:bookmarkStart w:id="29" w:name="_ENREF_38"/>
      <w:r w:rsidRPr="005A55A8">
        <w:rPr>
          <w:rFonts w:ascii="Calibri" w:hAnsi="Calibri"/>
          <w:noProof/>
          <w:lang w:val="en-GB"/>
        </w:rPr>
        <w:t xml:space="preserve">Riches, N., Loucas, T., Baird, G., Charman, T., &amp; Simonoff, E. (2010). Research report: Sentence repetition in adolescents with specific language impairments and autism: An investigation of complex syntax. </w:t>
      </w:r>
      <w:r w:rsidRPr="005A55A8">
        <w:rPr>
          <w:rFonts w:ascii="Calibri" w:hAnsi="Calibri"/>
          <w:i/>
          <w:noProof/>
          <w:lang w:val="en-GB"/>
        </w:rPr>
        <w:t>International Journal of Language &amp; Communication Disorders, 45</w:t>
      </w:r>
      <w:r w:rsidRPr="005A55A8">
        <w:rPr>
          <w:rFonts w:ascii="Calibri" w:hAnsi="Calibri"/>
          <w:noProof/>
          <w:lang w:val="en-GB"/>
        </w:rPr>
        <w:t xml:space="preserve">(1), 47-60. </w:t>
      </w:r>
      <w:bookmarkEnd w:id="29"/>
    </w:p>
    <w:p w14:paraId="14150D9C" w14:textId="77777777" w:rsidR="004C4BAA" w:rsidRPr="00BE1FB1" w:rsidRDefault="004C4BAA" w:rsidP="004C4BAA">
      <w:pPr>
        <w:spacing w:after="0" w:line="240" w:lineRule="auto"/>
        <w:ind w:left="720" w:hanging="720"/>
        <w:rPr>
          <w:rFonts w:ascii="Calibri" w:hAnsi="Calibri"/>
          <w:noProof/>
          <w:lang w:val="en-US"/>
        </w:rPr>
      </w:pPr>
      <w:bookmarkStart w:id="30" w:name="_ENREF_40"/>
      <w:r w:rsidRPr="005A55A8">
        <w:rPr>
          <w:rFonts w:ascii="Calibri" w:hAnsi="Calibri"/>
          <w:noProof/>
          <w:lang w:val="en-GB"/>
        </w:rPr>
        <w:t xml:space="preserve">Schuele, C., &amp; Dykes, J. C. (2005). Complex syntax acquisition: A longitudinal case study of a child with specific language impairment. </w:t>
      </w:r>
      <w:r w:rsidRPr="00BE1FB1">
        <w:rPr>
          <w:rFonts w:ascii="Calibri" w:hAnsi="Calibri"/>
          <w:i/>
          <w:noProof/>
          <w:lang w:val="en-US"/>
        </w:rPr>
        <w:t>Clinical Linguistics &amp; Phonetics, 19</w:t>
      </w:r>
      <w:r w:rsidRPr="00BE1FB1">
        <w:rPr>
          <w:rFonts w:ascii="Calibri" w:hAnsi="Calibri"/>
          <w:noProof/>
          <w:lang w:val="en-US"/>
        </w:rPr>
        <w:t xml:space="preserve">(4), 295-318. </w:t>
      </w:r>
      <w:bookmarkEnd w:id="30"/>
    </w:p>
    <w:p w14:paraId="06B7C56F" w14:textId="77777777" w:rsidR="004C4BAA" w:rsidRPr="005A55A8" w:rsidRDefault="004C4BAA" w:rsidP="004C4BAA">
      <w:pPr>
        <w:spacing w:after="0" w:line="240" w:lineRule="auto"/>
        <w:ind w:left="720" w:hanging="720"/>
        <w:rPr>
          <w:rFonts w:ascii="Calibri" w:hAnsi="Calibri"/>
          <w:noProof/>
          <w:lang w:val="en-GB"/>
        </w:rPr>
      </w:pPr>
      <w:bookmarkStart w:id="31" w:name="_ENREF_42"/>
      <w:r w:rsidRPr="005A55A8">
        <w:rPr>
          <w:rFonts w:ascii="Calibri" w:hAnsi="Calibri"/>
          <w:noProof/>
          <w:lang w:val="en-GB"/>
        </w:rPr>
        <w:t xml:space="preserve">Stokes, S. F., Wong, A. M., Fletcher, P., &amp; Leonard, L. B. (2006). Nonword repetition and sentence repetition as clinical markers of specific language impairment: The case of Cantonese. </w:t>
      </w:r>
      <w:r w:rsidRPr="005A55A8">
        <w:rPr>
          <w:rFonts w:ascii="Calibri" w:hAnsi="Calibri"/>
          <w:i/>
          <w:noProof/>
          <w:lang w:val="en-GB"/>
        </w:rPr>
        <w:t>Journal of Speech, Language, and Hearing Research, 49</w:t>
      </w:r>
      <w:r w:rsidRPr="005A55A8">
        <w:rPr>
          <w:rFonts w:ascii="Calibri" w:hAnsi="Calibri"/>
          <w:noProof/>
          <w:lang w:val="en-GB"/>
        </w:rPr>
        <w:t xml:space="preserve">(2), 219-236. </w:t>
      </w:r>
      <w:bookmarkEnd w:id="31"/>
    </w:p>
    <w:p w14:paraId="531DE9CC" w14:textId="77777777" w:rsidR="004C4BAA" w:rsidRPr="005A55A8" w:rsidRDefault="004C4BAA" w:rsidP="004C4BAA">
      <w:pPr>
        <w:spacing w:after="0" w:line="240" w:lineRule="auto"/>
        <w:ind w:left="720" w:hanging="720"/>
        <w:rPr>
          <w:rFonts w:ascii="Calibri" w:hAnsi="Calibri"/>
          <w:noProof/>
          <w:lang w:val="en-GB"/>
        </w:rPr>
      </w:pPr>
      <w:bookmarkStart w:id="32" w:name="_ENREF_43"/>
      <w:r w:rsidRPr="005A55A8">
        <w:rPr>
          <w:rFonts w:ascii="Calibri" w:hAnsi="Calibri"/>
          <w:noProof/>
          <w:lang w:val="en-GB"/>
        </w:rPr>
        <w:t>Taylor, L. J., Maybery, M. T., Grayndler, L., &amp; Whitehouse, A. J. (</w:t>
      </w:r>
      <w:r w:rsidR="00F04F0B" w:rsidRPr="005A55A8">
        <w:rPr>
          <w:rFonts w:ascii="Calibri" w:hAnsi="Calibri"/>
          <w:noProof/>
          <w:lang w:val="en-GB"/>
        </w:rPr>
        <w:t>201</w:t>
      </w:r>
      <w:r w:rsidR="00F04F0B">
        <w:rPr>
          <w:rFonts w:ascii="Calibri" w:hAnsi="Calibri"/>
          <w:noProof/>
          <w:lang w:val="en-GB"/>
        </w:rPr>
        <w:t>4</w:t>
      </w:r>
      <w:r w:rsidRPr="005A55A8">
        <w:rPr>
          <w:rFonts w:ascii="Calibri" w:hAnsi="Calibri"/>
          <w:noProof/>
          <w:lang w:val="en-GB"/>
        </w:rPr>
        <w:t xml:space="preserve">). Evidence for distinct cognitive profiles in autism spectrum disorders and specific language impairment. </w:t>
      </w:r>
      <w:r w:rsidRPr="005A55A8">
        <w:rPr>
          <w:rFonts w:ascii="Calibri" w:hAnsi="Calibri"/>
          <w:i/>
          <w:noProof/>
          <w:lang w:val="en-GB"/>
        </w:rPr>
        <w:t>Journal of Autism and Developmental Disorder</w:t>
      </w:r>
      <w:r w:rsidRPr="00F04F0B">
        <w:rPr>
          <w:rFonts w:ascii="Calibri" w:hAnsi="Calibri"/>
          <w:i/>
          <w:noProof/>
          <w:lang w:val="en-GB"/>
        </w:rPr>
        <w:t>s</w:t>
      </w:r>
      <w:r w:rsidR="00F04F0B" w:rsidRPr="00BE1FB1">
        <w:rPr>
          <w:rFonts w:ascii="Calibri" w:hAnsi="Calibri"/>
          <w:noProof/>
          <w:lang w:val="en-GB"/>
        </w:rPr>
        <w:t>,</w:t>
      </w:r>
      <w:r w:rsidR="00F04F0B">
        <w:rPr>
          <w:rFonts w:ascii="Calibri" w:hAnsi="Calibri"/>
          <w:i/>
          <w:noProof/>
          <w:lang w:val="en-GB"/>
        </w:rPr>
        <w:t xml:space="preserve"> 44</w:t>
      </w:r>
      <w:r w:rsidR="00F04F0B" w:rsidRPr="00BE1FB1">
        <w:rPr>
          <w:rFonts w:ascii="Calibri" w:hAnsi="Calibri"/>
          <w:noProof/>
          <w:lang w:val="en-GB"/>
        </w:rPr>
        <w:t>, 19-30</w:t>
      </w:r>
      <w:r w:rsidR="00F04F0B">
        <w:rPr>
          <w:rFonts w:ascii="Calibri" w:hAnsi="Calibri"/>
          <w:i/>
          <w:noProof/>
          <w:lang w:val="en-GB"/>
        </w:rPr>
        <w:t>.</w:t>
      </w:r>
      <w:bookmarkEnd w:id="32"/>
    </w:p>
    <w:p w14:paraId="3D9F12F9" w14:textId="77777777" w:rsidR="004C4BAA" w:rsidRPr="005A55A8" w:rsidRDefault="004C4BAA" w:rsidP="004C4BAA">
      <w:pPr>
        <w:spacing w:after="0" w:line="240" w:lineRule="auto"/>
        <w:ind w:left="720" w:hanging="720"/>
        <w:rPr>
          <w:rFonts w:ascii="Calibri" w:hAnsi="Calibri"/>
          <w:noProof/>
          <w:lang w:val="en-GB"/>
        </w:rPr>
      </w:pPr>
      <w:bookmarkStart w:id="33" w:name="_ENREF_44"/>
      <w:r w:rsidRPr="005A55A8">
        <w:rPr>
          <w:rFonts w:ascii="Calibri" w:hAnsi="Calibri"/>
          <w:noProof/>
          <w:lang w:val="en-GB"/>
        </w:rPr>
        <w:t xml:space="preserve">Thordardottir, E., &amp; Brandeker, M. (2013). The effect of bilingual exposure versus language impairment on nonword repetition and sentence imitation scores. </w:t>
      </w:r>
      <w:r w:rsidRPr="005A55A8">
        <w:rPr>
          <w:rFonts w:ascii="Calibri" w:hAnsi="Calibri"/>
          <w:i/>
          <w:noProof/>
          <w:lang w:val="en-GB"/>
        </w:rPr>
        <w:t>Journal of Communication Disorders, 46</w:t>
      </w:r>
      <w:r w:rsidRPr="005A55A8">
        <w:rPr>
          <w:rFonts w:ascii="Calibri" w:hAnsi="Calibri"/>
          <w:noProof/>
          <w:lang w:val="en-GB"/>
        </w:rPr>
        <w:t xml:space="preserve">, 1-16. </w:t>
      </w:r>
      <w:bookmarkEnd w:id="33"/>
    </w:p>
    <w:p w14:paraId="1AA7A876" w14:textId="77777777" w:rsidR="004C4BAA" w:rsidRPr="005A55A8" w:rsidRDefault="004C4BAA" w:rsidP="004C4BAA">
      <w:pPr>
        <w:spacing w:after="0" w:line="240" w:lineRule="auto"/>
        <w:ind w:left="720" w:hanging="720"/>
        <w:rPr>
          <w:rFonts w:ascii="Calibri" w:hAnsi="Calibri"/>
          <w:noProof/>
          <w:lang w:val="en-GB"/>
        </w:rPr>
      </w:pPr>
      <w:bookmarkStart w:id="34" w:name="_ENREF_45"/>
      <w:r w:rsidRPr="005A55A8">
        <w:rPr>
          <w:rFonts w:ascii="Calibri" w:hAnsi="Calibri"/>
          <w:noProof/>
          <w:lang w:val="en-GB"/>
        </w:rPr>
        <w:t xml:space="preserve">Thordardottir, E., Kehayia, E., Mazer, B., Lessard, N., Majnemer, A., Sutton, A., . . . Chilingaryan, G. (2011). Sensitivity and specificity of French language and processing measures for the identification of primary language impairment at age 5. </w:t>
      </w:r>
      <w:r w:rsidRPr="005A55A8">
        <w:rPr>
          <w:rFonts w:ascii="Calibri" w:hAnsi="Calibri"/>
          <w:i/>
          <w:noProof/>
          <w:lang w:val="en-GB"/>
        </w:rPr>
        <w:t>Journal of Speech, Language, and Hearing Research, 54</w:t>
      </w:r>
      <w:r w:rsidRPr="005A55A8">
        <w:rPr>
          <w:rFonts w:ascii="Calibri" w:hAnsi="Calibri"/>
          <w:noProof/>
          <w:lang w:val="en-GB"/>
        </w:rPr>
        <w:t xml:space="preserve">(2), 580-597. </w:t>
      </w:r>
      <w:bookmarkEnd w:id="34"/>
    </w:p>
    <w:p w14:paraId="2CF66DB7" w14:textId="0250254A" w:rsidR="004C4BAA" w:rsidRPr="00DC39DB" w:rsidRDefault="004C4BAA" w:rsidP="004C4BAA">
      <w:pPr>
        <w:spacing w:line="240" w:lineRule="auto"/>
        <w:ind w:left="720" w:hanging="720"/>
        <w:rPr>
          <w:rFonts w:ascii="Calibri" w:hAnsi="Calibri"/>
          <w:noProof/>
          <w:lang w:val="en-GB"/>
        </w:rPr>
      </w:pPr>
      <w:bookmarkStart w:id="35" w:name="_ENREF_47"/>
      <w:r w:rsidRPr="005A55A8">
        <w:rPr>
          <w:rFonts w:ascii="Calibri" w:hAnsi="Calibri"/>
          <w:noProof/>
          <w:lang w:val="en-GB"/>
        </w:rPr>
        <w:t xml:space="preserve">Wechsler, D. (2005). </w:t>
      </w:r>
      <w:r w:rsidRPr="005A55A8">
        <w:rPr>
          <w:rFonts w:ascii="Calibri" w:hAnsi="Calibri"/>
          <w:i/>
          <w:noProof/>
          <w:lang w:val="en-GB"/>
        </w:rPr>
        <w:t xml:space="preserve">Wechsler Intelligence Scale for Children </w:t>
      </w:r>
      <w:r w:rsidR="00902154">
        <w:rPr>
          <w:rFonts w:ascii="Calibri" w:hAnsi="Calibri"/>
          <w:noProof/>
          <w:lang w:val="en-GB"/>
        </w:rPr>
        <w:t>(4</w:t>
      </w:r>
      <w:r w:rsidR="004D029D" w:rsidRPr="00123878">
        <w:rPr>
          <w:rFonts w:ascii="Calibri" w:hAnsi="Calibri"/>
          <w:noProof/>
          <w:vertAlign w:val="superscript"/>
          <w:lang w:val="en-GB"/>
        </w:rPr>
        <w:t>th</w:t>
      </w:r>
      <w:r w:rsidR="00902154">
        <w:rPr>
          <w:rFonts w:ascii="Calibri" w:hAnsi="Calibri"/>
          <w:noProof/>
          <w:lang w:val="en-GB"/>
        </w:rPr>
        <w:t xml:space="preserve"> edition).</w:t>
      </w:r>
      <w:r w:rsidRPr="005A55A8">
        <w:rPr>
          <w:rFonts w:ascii="Calibri" w:hAnsi="Calibri"/>
          <w:i/>
          <w:noProof/>
          <w:lang w:val="en-GB"/>
        </w:rPr>
        <w:t xml:space="preserve"> </w:t>
      </w:r>
      <w:r w:rsidRPr="005A55A8">
        <w:rPr>
          <w:rFonts w:ascii="Calibri" w:hAnsi="Calibri"/>
          <w:noProof/>
          <w:lang w:val="en-GB"/>
        </w:rPr>
        <w:t>Paris: ECPA.</w:t>
      </w:r>
      <w:bookmarkEnd w:id="35"/>
    </w:p>
    <w:p w14:paraId="04DBDDD3" w14:textId="77777777" w:rsidR="004C4BAA" w:rsidRDefault="004C4BAA" w:rsidP="004C4BAA">
      <w:pPr>
        <w:spacing w:line="240" w:lineRule="auto"/>
        <w:rPr>
          <w:rFonts w:ascii="Calibri" w:hAnsi="Calibri"/>
          <w:noProof/>
          <w:lang w:val="en-GB"/>
        </w:rPr>
      </w:pPr>
    </w:p>
    <w:p w14:paraId="01D9A10D" w14:textId="77777777" w:rsidR="004C4BAA" w:rsidRPr="00C12594" w:rsidRDefault="004C4BAA" w:rsidP="004C4BAA">
      <w:pPr>
        <w:spacing w:after="0" w:line="480" w:lineRule="auto"/>
        <w:ind w:left="708" w:hanging="708"/>
        <w:rPr>
          <w:lang w:val="en-GB"/>
        </w:rPr>
      </w:pPr>
    </w:p>
    <w:p w14:paraId="15042872" w14:textId="77777777" w:rsidR="004C4BAA" w:rsidRPr="005A55A8" w:rsidRDefault="004C4BAA" w:rsidP="004C4BAA">
      <w:pPr>
        <w:rPr>
          <w:lang w:val="en-GB"/>
        </w:rPr>
      </w:pPr>
    </w:p>
    <w:p w14:paraId="5B906426" w14:textId="57B34120" w:rsidR="00121B1E" w:rsidRPr="005A55A8" w:rsidRDefault="00121B1E">
      <w:pPr>
        <w:rPr>
          <w:lang w:val="en-GB"/>
        </w:rPr>
      </w:pPr>
      <w:r w:rsidRPr="005A55A8">
        <w:rPr>
          <w:lang w:val="en-GB"/>
        </w:rPr>
        <w:lastRenderedPageBreak/>
        <w:t xml:space="preserve">Table 1 </w:t>
      </w:r>
    </w:p>
    <w:p w14:paraId="4D5EE244" w14:textId="77777777" w:rsidR="00121B1E" w:rsidRPr="005A55A8" w:rsidRDefault="00121B1E">
      <w:pPr>
        <w:rPr>
          <w:i/>
          <w:lang w:val="en-GB"/>
        </w:rPr>
      </w:pPr>
      <w:r w:rsidRPr="005A55A8">
        <w:rPr>
          <w:i/>
          <w:lang w:val="en-GB"/>
        </w:rPr>
        <w:t>Descriptive Statistics in Z-Scores for All Scoring Measures in Children with Specific Language Impairment (SLI) and Age Controls (AC)</w:t>
      </w:r>
    </w:p>
    <w:tbl>
      <w:tblPr>
        <w:tblStyle w:val="Grilledutableau"/>
        <w:tblW w:w="0" w:type="auto"/>
        <w:tblLook w:val="04A0" w:firstRow="1" w:lastRow="0" w:firstColumn="1" w:lastColumn="0" w:noHBand="0" w:noVBand="1"/>
      </w:tblPr>
      <w:tblGrid>
        <w:gridCol w:w="2349"/>
        <w:gridCol w:w="1303"/>
        <w:gridCol w:w="2410"/>
        <w:gridCol w:w="2551"/>
      </w:tblGrid>
      <w:tr w:rsidR="00121B1E" w:rsidRPr="005A55A8" w14:paraId="5061F481" w14:textId="77777777" w:rsidTr="00E967AA">
        <w:trPr>
          <w:trHeight w:val="472"/>
        </w:trPr>
        <w:tc>
          <w:tcPr>
            <w:tcW w:w="2349" w:type="dxa"/>
            <w:tcBorders>
              <w:left w:val="nil"/>
              <w:bottom w:val="nil"/>
              <w:right w:val="nil"/>
            </w:tcBorders>
          </w:tcPr>
          <w:p w14:paraId="4C1B2A16" w14:textId="77777777" w:rsidR="00121B1E" w:rsidRPr="005A55A8" w:rsidRDefault="00121B1E" w:rsidP="00E967AA">
            <w:pPr>
              <w:spacing w:line="480" w:lineRule="auto"/>
              <w:rPr>
                <w:lang w:val="en-GB"/>
              </w:rPr>
            </w:pPr>
          </w:p>
          <w:p w14:paraId="492A7099" w14:textId="77777777" w:rsidR="00121B1E" w:rsidRPr="005A55A8" w:rsidRDefault="00121B1E" w:rsidP="00E967AA">
            <w:pPr>
              <w:spacing w:line="480" w:lineRule="auto"/>
              <w:rPr>
                <w:lang w:val="en-GB"/>
              </w:rPr>
            </w:pPr>
          </w:p>
        </w:tc>
        <w:tc>
          <w:tcPr>
            <w:tcW w:w="1303" w:type="dxa"/>
            <w:tcBorders>
              <w:left w:val="nil"/>
              <w:bottom w:val="nil"/>
              <w:right w:val="nil"/>
            </w:tcBorders>
          </w:tcPr>
          <w:p w14:paraId="7C2E78EB" w14:textId="77777777" w:rsidR="00121B1E" w:rsidRPr="005A55A8" w:rsidRDefault="00121B1E" w:rsidP="00E967AA">
            <w:pPr>
              <w:spacing w:line="480" w:lineRule="auto"/>
              <w:jc w:val="center"/>
              <w:rPr>
                <w:lang w:val="en-GB"/>
              </w:rPr>
            </w:pPr>
          </w:p>
        </w:tc>
        <w:tc>
          <w:tcPr>
            <w:tcW w:w="2410" w:type="dxa"/>
            <w:tcBorders>
              <w:left w:val="nil"/>
              <w:right w:val="nil"/>
            </w:tcBorders>
          </w:tcPr>
          <w:p w14:paraId="1DE1B952" w14:textId="77777777" w:rsidR="00121B1E" w:rsidRPr="005A55A8" w:rsidRDefault="00121B1E" w:rsidP="00E967AA">
            <w:pPr>
              <w:spacing w:line="480" w:lineRule="auto"/>
              <w:jc w:val="center"/>
              <w:rPr>
                <w:lang w:val="en-GB"/>
              </w:rPr>
            </w:pPr>
            <w:r w:rsidRPr="005A55A8">
              <w:rPr>
                <w:lang w:val="en-GB"/>
              </w:rPr>
              <w:t>SLI</w:t>
            </w:r>
          </w:p>
        </w:tc>
        <w:tc>
          <w:tcPr>
            <w:tcW w:w="2551" w:type="dxa"/>
            <w:tcBorders>
              <w:left w:val="nil"/>
              <w:right w:val="nil"/>
            </w:tcBorders>
          </w:tcPr>
          <w:p w14:paraId="778F52A1" w14:textId="77777777" w:rsidR="00121B1E" w:rsidRPr="005A55A8" w:rsidRDefault="00121B1E" w:rsidP="00E967AA">
            <w:pPr>
              <w:spacing w:line="480" w:lineRule="auto"/>
              <w:jc w:val="center"/>
              <w:rPr>
                <w:lang w:val="en-GB"/>
              </w:rPr>
            </w:pPr>
            <w:r w:rsidRPr="005A55A8">
              <w:rPr>
                <w:lang w:val="en-GB"/>
              </w:rPr>
              <w:t>AC</w:t>
            </w:r>
          </w:p>
        </w:tc>
      </w:tr>
      <w:tr w:rsidR="00121B1E" w:rsidRPr="005A55A8" w14:paraId="2DD6A71B" w14:textId="77777777" w:rsidTr="00E967AA">
        <w:trPr>
          <w:trHeight w:val="497"/>
        </w:trPr>
        <w:tc>
          <w:tcPr>
            <w:tcW w:w="2349" w:type="dxa"/>
            <w:tcBorders>
              <w:top w:val="nil"/>
              <w:left w:val="nil"/>
              <w:bottom w:val="nil"/>
              <w:right w:val="nil"/>
            </w:tcBorders>
          </w:tcPr>
          <w:p w14:paraId="58EDE92E" w14:textId="77777777" w:rsidR="00121B1E" w:rsidRPr="005A55A8" w:rsidRDefault="00121B1E" w:rsidP="00E967AA">
            <w:pPr>
              <w:spacing w:line="480" w:lineRule="auto"/>
              <w:rPr>
                <w:lang w:val="en-GB"/>
              </w:rPr>
            </w:pPr>
            <w:r w:rsidRPr="005A55A8">
              <w:t>SENT</w:t>
            </w:r>
            <w:r w:rsidRPr="005A55A8">
              <w:rPr>
                <w:lang w:val="en-GB"/>
              </w:rPr>
              <w:t xml:space="preserve">                          </w:t>
            </w:r>
          </w:p>
        </w:tc>
        <w:tc>
          <w:tcPr>
            <w:tcW w:w="1303" w:type="dxa"/>
            <w:tcBorders>
              <w:top w:val="nil"/>
              <w:left w:val="nil"/>
              <w:bottom w:val="nil"/>
              <w:right w:val="nil"/>
            </w:tcBorders>
          </w:tcPr>
          <w:p w14:paraId="3A176E44" w14:textId="77777777" w:rsidR="00121B1E" w:rsidRPr="005A55A8" w:rsidRDefault="00121B1E" w:rsidP="00E967AA">
            <w:pPr>
              <w:spacing w:line="480" w:lineRule="auto"/>
              <w:jc w:val="right"/>
              <w:rPr>
                <w:i/>
                <w:lang w:val="en-GB"/>
              </w:rPr>
            </w:pPr>
            <w:r w:rsidRPr="005A55A8">
              <w:rPr>
                <w:i/>
                <w:lang w:val="en-GB"/>
              </w:rPr>
              <w:t>Mean (SD)</w:t>
            </w:r>
          </w:p>
          <w:p w14:paraId="2FEDF767" w14:textId="77777777" w:rsidR="00121B1E" w:rsidRPr="005A55A8" w:rsidRDefault="00121B1E" w:rsidP="00E967AA">
            <w:pPr>
              <w:spacing w:line="480" w:lineRule="auto"/>
              <w:jc w:val="right"/>
              <w:rPr>
                <w:i/>
                <w:lang w:val="en-GB"/>
              </w:rPr>
            </w:pPr>
            <w:r w:rsidRPr="005A55A8">
              <w:rPr>
                <w:i/>
                <w:lang w:val="en-GB"/>
              </w:rPr>
              <w:t>Range</w:t>
            </w:r>
          </w:p>
        </w:tc>
        <w:tc>
          <w:tcPr>
            <w:tcW w:w="2410" w:type="dxa"/>
            <w:tcBorders>
              <w:left w:val="nil"/>
              <w:bottom w:val="nil"/>
              <w:right w:val="nil"/>
            </w:tcBorders>
          </w:tcPr>
          <w:p w14:paraId="5738F5F2"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-2</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36 (0</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55)</w:t>
            </w:r>
          </w:p>
          <w:p w14:paraId="3F40225A"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 xml:space="preserve">-3.28 – -1.13  </w:t>
            </w:r>
          </w:p>
        </w:tc>
        <w:tc>
          <w:tcPr>
            <w:tcW w:w="2551" w:type="dxa"/>
            <w:tcBorders>
              <w:left w:val="nil"/>
              <w:bottom w:val="nil"/>
              <w:right w:val="nil"/>
            </w:tcBorders>
          </w:tcPr>
          <w:p w14:paraId="1A729D95"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0</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07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00)</w:t>
            </w:r>
          </w:p>
          <w:p w14:paraId="3A140A29"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 xml:space="preserve">-1.76 – 1.8 </w:t>
            </w:r>
          </w:p>
        </w:tc>
      </w:tr>
      <w:tr w:rsidR="00121B1E" w:rsidRPr="00BE1FB1" w14:paraId="1C7C7EB7" w14:textId="77777777" w:rsidTr="00E967AA">
        <w:trPr>
          <w:trHeight w:val="472"/>
        </w:trPr>
        <w:tc>
          <w:tcPr>
            <w:tcW w:w="2349" w:type="dxa"/>
            <w:tcBorders>
              <w:top w:val="nil"/>
              <w:left w:val="nil"/>
              <w:bottom w:val="nil"/>
              <w:right w:val="nil"/>
            </w:tcBorders>
          </w:tcPr>
          <w:p w14:paraId="1ED572FA" w14:textId="77777777" w:rsidR="00121B1E" w:rsidRPr="005A55A8" w:rsidRDefault="00121B1E" w:rsidP="00E967AA">
            <w:pPr>
              <w:spacing w:line="480" w:lineRule="auto"/>
            </w:pPr>
            <w:r w:rsidRPr="005A55A8">
              <w:t xml:space="preserve">NBR </w:t>
            </w:r>
          </w:p>
        </w:tc>
        <w:tc>
          <w:tcPr>
            <w:tcW w:w="1303" w:type="dxa"/>
            <w:tcBorders>
              <w:top w:val="nil"/>
              <w:left w:val="nil"/>
              <w:bottom w:val="nil"/>
              <w:right w:val="nil"/>
            </w:tcBorders>
          </w:tcPr>
          <w:p w14:paraId="7DA8B530" w14:textId="77777777" w:rsidR="00121B1E" w:rsidRPr="005A55A8" w:rsidRDefault="00121B1E" w:rsidP="00E967AA">
            <w:pPr>
              <w:spacing w:line="480" w:lineRule="auto"/>
              <w:jc w:val="right"/>
              <w:rPr>
                <w:i/>
                <w:lang w:val="en-GB"/>
              </w:rPr>
            </w:pPr>
            <w:r w:rsidRPr="005A55A8">
              <w:rPr>
                <w:i/>
                <w:lang w:val="en-GB"/>
              </w:rPr>
              <w:t>Mean (SD)</w:t>
            </w:r>
          </w:p>
          <w:p w14:paraId="4C3BE082" w14:textId="77777777" w:rsidR="00121B1E" w:rsidRPr="005A55A8" w:rsidRDefault="00121B1E" w:rsidP="00E967AA">
            <w:pPr>
              <w:pStyle w:val="NormalWeb"/>
              <w:spacing w:before="0" w:beforeAutospacing="0" w:after="0" w:afterAutospacing="0" w:line="480" w:lineRule="auto"/>
              <w:jc w:val="right"/>
              <w:rPr>
                <w:rFonts w:asciiTheme="minorHAnsi" w:eastAsiaTheme="minorHAnsi" w:hAnsiTheme="minorHAnsi" w:cstheme="minorBidi"/>
                <w:i/>
                <w:sz w:val="22"/>
                <w:szCs w:val="22"/>
                <w:lang w:val="en-GB" w:eastAsia="en-US"/>
              </w:rPr>
            </w:pPr>
            <w:r w:rsidRPr="005A55A8">
              <w:rPr>
                <w:rFonts w:asciiTheme="minorHAnsi" w:hAnsiTheme="minorHAnsi"/>
                <w:i/>
                <w:lang w:val="en-GB"/>
              </w:rPr>
              <w:t>Range</w:t>
            </w:r>
          </w:p>
        </w:tc>
        <w:tc>
          <w:tcPr>
            <w:tcW w:w="2410" w:type="dxa"/>
            <w:tcBorders>
              <w:top w:val="nil"/>
              <w:left w:val="nil"/>
              <w:bottom w:val="nil"/>
              <w:right w:val="nil"/>
            </w:tcBorders>
          </w:tcPr>
          <w:p w14:paraId="3020AE9F"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-3</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86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80)</w:t>
            </w:r>
          </w:p>
          <w:p w14:paraId="70D7E9F8"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-8.56 – -0.57</w:t>
            </w:r>
          </w:p>
        </w:tc>
        <w:tc>
          <w:tcPr>
            <w:tcW w:w="2551" w:type="dxa"/>
            <w:tcBorders>
              <w:top w:val="nil"/>
              <w:left w:val="nil"/>
              <w:bottom w:val="nil"/>
              <w:right w:val="nil"/>
            </w:tcBorders>
          </w:tcPr>
          <w:p w14:paraId="2637B1A0"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0</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07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02)</w:t>
            </w:r>
          </w:p>
          <w:p w14:paraId="41A61B92"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-2.8 – 1.28</w:t>
            </w:r>
          </w:p>
        </w:tc>
      </w:tr>
      <w:tr w:rsidR="00121B1E" w:rsidRPr="00BE1FB1" w14:paraId="73733388" w14:textId="77777777" w:rsidTr="00E967AA">
        <w:trPr>
          <w:trHeight w:val="458"/>
        </w:trPr>
        <w:tc>
          <w:tcPr>
            <w:tcW w:w="2349" w:type="dxa"/>
            <w:tcBorders>
              <w:top w:val="nil"/>
              <w:left w:val="nil"/>
              <w:bottom w:val="nil"/>
              <w:right w:val="nil"/>
            </w:tcBorders>
          </w:tcPr>
          <w:p w14:paraId="6F1601AD" w14:textId="77777777" w:rsidR="00121B1E" w:rsidRPr="00BE1FB1" w:rsidRDefault="00121B1E" w:rsidP="00E967AA">
            <w:pPr>
              <w:spacing w:line="480" w:lineRule="auto"/>
              <w:rPr>
                <w:lang w:val="en-US"/>
              </w:rPr>
            </w:pPr>
            <w:r w:rsidRPr="00BE1FB1">
              <w:rPr>
                <w:lang w:val="en-US"/>
              </w:rPr>
              <w:t>SYNT</w:t>
            </w:r>
          </w:p>
        </w:tc>
        <w:tc>
          <w:tcPr>
            <w:tcW w:w="1303" w:type="dxa"/>
            <w:tcBorders>
              <w:top w:val="nil"/>
              <w:left w:val="nil"/>
              <w:bottom w:val="nil"/>
              <w:right w:val="nil"/>
            </w:tcBorders>
          </w:tcPr>
          <w:p w14:paraId="3A4B49D3" w14:textId="77777777" w:rsidR="00121B1E" w:rsidRPr="005A55A8" w:rsidRDefault="00121B1E" w:rsidP="00E967AA">
            <w:pPr>
              <w:spacing w:line="480" w:lineRule="auto"/>
              <w:jc w:val="right"/>
              <w:rPr>
                <w:i/>
                <w:lang w:val="en-GB"/>
              </w:rPr>
            </w:pPr>
            <w:r w:rsidRPr="005A55A8">
              <w:rPr>
                <w:i/>
                <w:lang w:val="en-GB"/>
              </w:rPr>
              <w:t>Mean (SD)</w:t>
            </w:r>
          </w:p>
          <w:p w14:paraId="755C06C8" w14:textId="77777777" w:rsidR="00121B1E" w:rsidRPr="005A55A8" w:rsidRDefault="00121B1E" w:rsidP="00E967AA">
            <w:pPr>
              <w:pStyle w:val="NormalWeb"/>
              <w:spacing w:before="0" w:beforeAutospacing="0" w:after="0" w:afterAutospacing="0" w:line="480" w:lineRule="auto"/>
              <w:jc w:val="right"/>
              <w:rPr>
                <w:rFonts w:asciiTheme="minorHAnsi" w:eastAsiaTheme="minorHAnsi" w:hAnsiTheme="minorHAnsi" w:cstheme="minorBidi"/>
                <w:i/>
                <w:sz w:val="22"/>
                <w:szCs w:val="22"/>
                <w:lang w:val="en-GB" w:eastAsia="en-US"/>
              </w:rPr>
            </w:pPr>
            <w:r w:rsidRPr="005A55A8">
              <w:rPr>
                <w:rFonts w:asciiTheme="minorHAnsi" w:hAnsiTheme="minorHAnsi"/>
                <w:i/>
                <w:lang w:val="en-GB"/>
              </w:rPr>
              <w:t>Range</w:t>
            </w:r>
          </w:p>
        </w:tc>
        <w:tc>
          <w:tcPr>
            <w:tcW w:w="2410" w:type="dxa"/>
            <w:tcBorders>
              <w:top w:val="nil"/>
              <w:left w:val="nil"/>
              <w:bottom w:val="nil"/>
              <w:right w:val="nil"/>
            </w:tcBorders>
          </w:tcPr>
          <w:p w14:paraId="667D0C68"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-4</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93 (2</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05)</w:t>
            </w:r>
          </w:p>
          <w:p w14:paraId="6651E565"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-10.2 – 0.07</w:t>
            </w:r>
          </w:p>
        </w:tc>
        <w:tc>
          <w:tcPr>
            <w:tcW w:w="2551" w:type="dxa"/>
            <w:tcBorders>
              <w:top w:val="nil"/>
              <w:left w:val="nil"/>
              <w:bottom w:val="nil"/>
              <w:right w:val="nil"/>
            </w:tcBorders>
          </w:tcPr>
          <w:p w14:paraId="6EDA37F1"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-0</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23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09)</w:t>
            </w:r>
          </w:p>
          <w:p w14:paraId="44A11A1A" w14:textId="77777777" w:rsidR="00121B1E" w:rsidRPr="005A55A8" w:rsidRDefault="00121B1E"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-2.24 – 0.83</w:t>
            </w:r>
          </w:p>
        </w:tc>
      </w:tr>
      <w:tr w:rsidR="002774D3" w:rsidRPr="005A55A8" w14:paraId="0F564946" w14:textId="77777777" w:rsidTr="00E967AA">
        <w:trPr>
          <w:trHeight w:val="472"/>
        </w:trPr>
        <w:tc>
          <w:tcPr>
            <w:tcW w:w="2349" w:type="dxa"/>
            <w:tcBorders>
              <w:top w:val="nil"/>
              <w:left w:val="nil"/>
              <w:bottom w:val="nil"/>
              <w:right w:val="nil"/>
            </w:tcBorders>
          </w:tcPr>
          <w:p w14:paraId="258CCB50" w14:textId="77777777" w:rsidR="002774D3" w:rsidRPr="00BE1FB1" w:rsidRDefault="002774D3" w:rsidP="00E967AA">
            <w:pPr>
              <w:spacing w:line="480" w:lineRule="auto"/>
              <w:rPr>
                <w:lang w:val="en-US"/>
              </w:rPr>
            </w:pPr>
            <w:r w:rsidRPr="00BE1FB1">
              <w:rPr>
                <w:lang w:val="en-US"/>
              </w:rPr>
              <w:t>MORPH</w:t>
            </w:r>
          </w:p>
        </w:tc>
        <w:tc>
          <w:tcPr>
            <w:tcW w:w="1303" w:type="dxa"/>
            <w:tcBorders>
              <w:top w:val="nil"/>
              <w:left w:val="nil"/>
              <w:bottom w:val="nil"/>
              <w:right w:val="nil"/>
            </w:tcBorders>
          </w:tcPr>
          <w:p w14:paraId="25608CE9" w14:textId="77777777" w:rsidR="002774D3" w:rsidRPr="005A55A8" w:rsidRDefault="002774D3" w:rsidP="002B3C43">
            <w:pPr>
              <w:spacing w:line="480" w:lineRule="auto"/>
              <w:jc w:val="right"/>
              <w:rPr>
                <w:i/>
                <w:lang w:val="en-GB"/>
              </w:rPr>
            </w:pPr>
            <w:r w:rsidRPr="005A55A8">
              <w:rPr>
                <w:i/>
                <w:lang w:val="en-GB"/>
              </w:rPr>
              <w:t>Mean (SD)</w:t>
            </w:r>
          </w:p>
          <w:p w14:paraId="040AA01D" w14:textId="77777777" w:rsidR="002774D3" w:rsidRPr="005A55A8" w:rsidRDefault="002774D3" w:rsidP="00E967AA">
            <w:pPr>
              <w:spacing w:line="480" w:lineRule="auto"/>
              <w:jc w:val="right"/>
              <w:rPr>
                <w:i/>
                <w:lang w:val="en-GB"/>
              </w:rPr>
            </w:pPr>
            <w:r w:rsidRPr="005A55A8">
              <w:rPr>
                <w:i/>
                <w:lang w:val="en-GB"/>
              </w:rPr>
              <w:t>Range</w:t>
            </w:r>
          </w:p>
        </w:tc>
        <w:tc>
          <w:tcPr>
            <w:tcW w:w="2410" w:type="dxa"/>
            <w:tcBorders>
              <w:top w:val="nil"/>
              <w:left w:val="nil"/>
              <w:bottom w:val="nil"/>
              <w:right w:val="nil"/>
            </w:tcBorders>
          </w:tcPr>
          <w:p w14:paraId="26AD275E" w14:textId="77777777" w:rsidR="002774D3" w:rsidRPr="005A55A8" w:rsidRDefault="002774D3" w:rsidP="002B3C43">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-4</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10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92)</w:t>
            </w:r>
          </w:p>
          <w:p w14:paraId="5BCC08C7"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-7.87 – -1.22</w:t>
            </w:r>
          </w:p>
        </w:tc>
        <w:tc>
          <w:tcPr>
            <w:tcW w:w="2551" w:type="dxa"/>
            <w:tcBorders>
              <w:top w:val="nil"/>
              <w:left w:val="nil"/>
              <w:bottom w:val="nil"/>
              <w:right w:val="nil"/>
            </w:tcBorders>
          </w:tcPr>
          <w:p w14:paraId="3D79AD02" w14:textId="77777777" w:rsidR="002774D3" w:rsidRPr="005A55A8" w:rsidRDefault="00727732" w:rsidP="002774D3">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-0.</w:t>
            </w:r>
            <w:r w:rsidR="002774D3" w:rsidRPr="005A55A8">
              <w:rPr>
                <w:rFonts w:asciiTheme="minorHAnsi" w:eastAsiaTheme="minorHAnsi" w:hAnsiTheme="minorHAnsi" w:cstheme="minorBidi"/>
                <w:sz w:val="22"/>
                <w:szCs w:val="22"/>
                <w:lang w:val="en-GB" w:eastAsia="en-US"/>
              </w:rPr>
              <w:t>07 (1</w:t>
            </w:r>
            <w:r>
              <w:rPr>
                <w:rFonts w:asciiTheme="minorHAnsi" w:eastAsiaTheme="minorHAnsi" w:hAnsiTheme="minorHAnsi" w:cstheme="minorBidi"/>
                <w:sz w:val="22"/>
                <w:szCs w:val="22"/>
                <w:lang w:val="en-GB" w:eastAsia="en-US"/>
              </w:rPr>
              <w:t>.</w:t>
            </w:r>
            <w:r w:rsidR="002774D3" w:rsidRPr="005A55A8">
              <w:rPr>
                <w:rFonts w:asciiTheme="minorHAnsi" w:eastAsiaTheme="minorHAnsi" w:hAnsiTheme="minorHAnsi" w:cstheme="minorBidi"/>
                <w:sz w:val="22"/>
                <w:szCs w:val="22"/>
                <w:lang w:val="en-GB" w:eastAsia="en-US"/>
              </w:rPr>
              <w:t>02)</w:t>
            </w:r>
          </w:p>
          <w:p w14:paraId="7FEF0315" w14:textId="77777777" w:rsidR="002774D3" w:rsidRPr="005A55A8" w:rsidRDefault="002774D3" w:rsidP="00BE1FB1">
            <w:pPr>
              <w:pStyle w:val="NormalWeb"/>
              <w:tabs>
                <w:tab w:val="center" w:pos="1094"/>
                <w:tab w:val="right" w:pos="2188"/>
              </w:tabs>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-2.21 – 1.3</w:t>
            </w:r>
          </w:p>
        </w:tc>
      </w:tr>
      <w:tr w:rsidR="002774D3" w:rsidRPr="005A55A8" w14:paraId="5EF46DBE" w14:textId="77777777" w:rsidTr="00E967AA">
        <w:trPr>
          <w:trHeight w:val="458"/>
        </w:trPr>
        <w:tc>
          <w:tcPr>
            <w:tcW w:w="2349" w:type="dxa"/>
            <w:tcBorders>
              <w:top w:val="nil"/>
              <w:left w:val="nil"/>
              <w:bottom w:val="nil"/>
              <w:right w:val="nil"/>
            </w:tcBorders>
          </w:tcPr>
          <w:p w14:paraId="7C45B3A7" w14:textId="77777777" w:rsidR="002774D3" w:rsidRPr="005A55A8" w:rsidRDefault="002774D3" w:rsidP="00E967AA">
            <w:pPr>
              <w:spacing w:line="480" w:lineRule="auto"/>
            </w:pPr>
            <w:r w:rsidRPr="005A55A8">
              <w:t xml:space="preserve">FUNC </w:t>
            </w:r>
          </w:p>
        </w:tc>
        <w:tc>
          <w:tcPr>
            <w:tcW w:w="1303" w:type="dxa"/>
            <w:tcBorders>
              <w:top w:val="nil"/>
              <w:left w:val="nil"/>
              <w:bottom w:val="nil"/>
              <w:right w:val="nil"/>
            </w:tcBorders>
          </w:tcPr>
          <w:p w14:paraId="190A1AD6" w14:textId="77777777" w:rsidR="002774D3" w:rsidRPr="005A55A8" w:rsidRDefault="002774D3" w:rsidP="00E967AA">
            <w:pPr>
              <w:spacing w:line="480" w:lineRule="auto"/>
              <w:jc w:val="right"/>
              <w:rPr>
                <w:i/>
                <w:lang w:val="en-GB"/>
              </w:rPr>
            </w:pPr>
            <w:r w:rsidRPr="005A55A8">
              <w:rPr>
                <w:i/>
                <w:lang w:val="en-GB"/>
              </w:rPr>
              <w:t>Mean (SD)</w:t>
            </w:r>
          </w:p>
          <w:p w14:paraId="33B43F50" w14:textId="77777777" w:rsidR="002774D3" w:rsidRPr="005A55A8" w:rsidRDefault="002774D3" w:rsidP="00E967AA">
            <w:pPr>
              <w:pStyle w:val="NormalWeb"/>
              <w:spacing w:before="0" w:beforeAutospacing="0" w:after="0" w:afterAutospacing="0" w:line="480" w:lineRule="auto"/>
              <w:jc w:val="right"/>
              <w:rPr>
                <w:rFonts w:asciiTheme="minorHAnsi" w:eastAsiaTheme="minorHAnsi" w:hAnsiTheme="minorHAnsi" w:cstheme="minorBidi"/>
                <w:i/>
                <w:sz w:val="22"/>
                <w:szCs w:val="22"/>
                <w:lang w:val="en-GB" w:eastAsia="en-US"/>
              </w:rPr>
            </w:pPr>
            <w:r w:rsidRPr="005A55A8">
              <w:rPr>
                <w:rFonts w:asciiTheme="minorHAnsi" w:hAnsiTheme="minorHAnsi"/>
                <w:i/>
                <w:lang w:val="en-GB"/>
              </w:rPr>
              <w:t>Range</w:t>
            </w:r>
          </w:p>
        </w:tc>
        <w:tc>
          <w:tcPr>
            <w:tcW w:w="2410" w:type="dxa"/>
            <w:tcBorders>
              <w:top w:val="nil"/>
              <w:left w:val="nil"/>
              <w:bottom w:val="nil"/>
              <w:right w:val="nil"/>
            </w:tcBorders>
          </w:tcPr>
          <w:p w14:paraId="24EDA30D"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-4</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28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74)</w:t>
            </w:r>
          </w:p>
          <w:p w14:paraId="4B94EC09"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-7.59 – -0.67</w:t>
            </w:r>
          </w:p>
        </w:tc>
        <w:tc>
          <w:tcPr>
            <w:tcW w:w="2551" w:type="dxa"/>
            <w:tcBorders>
              <w:top w:val="nil"/>
              <w:left w:val="nil"/>
              <w:bottom w:val="nil"/>
              <w:right w:val="nil"/>
            </w:tcBorders>
          </w:tcPr>
          <w:p w14:paraId="2B2FE598"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0</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03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03)</w:t>
            </w:r>
          </w:p>
          <w:p w14:paraId="6787C744"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-2.38 – 1.6</w:t>
            </w:r>
          </w:p>
        </w:tc>
      </w:tr>
      <w:tr w:rsidR="002774D3" w:rsidRPr="005A55A8" w14:paraId="240E80C8" w14:textId="77777777" w:rsidTr="00E967AA">
        <w:trPr>
          <w:trHeight w:val="472"/>
        </w:trPr>
        <w:tc>
          <w:tcPr>
            <w:tcW w:w="2349" w:type="dxa"/>
            <w:tcBorders>
              <w:top w:val="nil"/>
              <w:left w:val="nil"/>
              <w:bottom w:val="nil"/>
              <w:right w:val="nil"/>
            </w:tcBorders>
          </w:tcPr>
          <w:p w14:paraId="6222FD65" w14:textId="77777777" w:rsidR="002774D3" w:rsidRPr="005A55A8" w:rsidRDefault="002774D3" w:rsidP="00E967AA">
            <w:pPr>
              <w:spacing w:line="480" w:lineRule="auto"/>
            </w:pPr>
            <w:r w:rsidRPr="005A55A8">
              <w:t>LEX</w:t>
            </w:r>
          </w:p>
        </w:tc>
        <w:tc>
          <w:tcPr>
            <w:tcW w:w="1303" w:type="dxa"/>
            <w:tcBorders>
              <w:top w:val="nil"/>
              <w:left w:val="nil"/>
              <w:bottom w:val="nil"/>
              <w:right w:val="nil"/>
            </w:tcBorders>
          </w:tcPr>
          <w:p w14:paraId="735FF0B1" w14:textId="77777777" w:rsidR="002774D3" w:rsidRPr="005A55A8" w:rsidRDefault="002774D3" w:rsidP="00E967AA">
            <w:pPr>
              <w:spacing w:line="480" w:lineRule="auto"/>
              <w:jc w:val="right"/>
              <w:rPr>
                <w:i/>
                <w:lang w:val="en-GB"/>
              </w:rPr>
            </w:pPr>
            <w:r w:rsidRPr="005A55A8">
              <w:rPr>
                <w:i/>
                <w:lang w:val="en-GB"/>
              </w:rPr>
              <w:t>Mean (SD)</w:t>
            </w:r>
          </w:p>
          <w:p w14:paraId="42A1B0CF" w14:textId="77777777" w:rsidR="002774D3" w:rsidRPr="005A55A8" w:rsidRDefault="002774D3" w:rsidP="00E967AA">
            <w:pPr>
              <w:pStyle w:val="NormalWeb"/>
              <w:spacing w:before="0" w:beforeAutospacing="0" w:after="0" w:afterAutospacing="0" w:line="480" w:lineRule="auto"/>
              <w:jc w:val="right"/>
              <w:rPr>
                <w:rFonts w:asciiTheme="minorHAnsi" w:eastAsiaTheme="minorHAnsi" w:hAnsiTheme="minorHAnsi" w:cstheme="minorBidi"/>
                <w:i/>
                <w:sz w:val="22"/>
                <w:szCs w:val="22"/>
                <w:lang w:val="en-GB" w:eastAsia="en-US"/>
              </w:rPr>
            </w:pPr>
            <w:r w:rsidRPr="005A55A8">
              <w:rPr>
                <w:rFonts w:asciiTheme="minorHAnsi" w:hAnsiTheme="minorHAnsi"/>
                <w:i/>
                <w:lang w:val="en-GB"/>
              </w:rPr>
              <w:t>Range</w:t>
            </w:r>
          </w:p>
        </w:tc>
        <w:tc>
          <w:tcPr>
            <w:tcW w:w="2410" w:type="dxa"/>
            <w:tcBorders>
              <w:top w:val="nil"/>
              <w:left w:val="nil"/>
              <w:bottom w:val="nil"/>
              <w:right w:val="nil"/>
            </w:tcBorders>
          </w:tcPr>
          <w:p w14:paraId="5008CE70"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-3</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97 (2</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20)</w:t>
            </w:r>
          </w:p>
          <w:p w14:paraId="7CE48556"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-10.02 – -0.31</w:t>
            </w:r>
          </w:p>
        </w:tc>
        <w:tc>
          <w:tcPr>
            <w:tcW w:w="2551" w:type="dxa"/>
            <w:tcBorders>
              <w:top w:val="nil"/>
              <w:left w:val="nil"/>
              <w:bottom w:val="nil"/>
              <w:right w:val="nil"/>
            </w:tcBorders>
          </w:tcPr>
          <w:p w14:paraId="65DC2E99"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0</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15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07)</w:t>
            </w:r>
          </w:p>
          <w:p w14:paraId="4AF4953F"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-3.14 – 1.39</w:t>
            </w:r>
          </w:p>
        </w:tc>
      </w:tr>
      <w:tr w:rsidR="002774D3" w:rsidRPr="005A55A8" w14:paraId="7DA3B196" w14:textId="77777777" w:rsidTr="00E967AA">
        <w:trPr>
          <w:trHeight w:val="472"/>
        </w:trPr>
        <w:tc>
          <w:tcPr>
            <w:tcW w:w="2349" w:type="dxa"/>
            <w:tcBorders>
              <w:top w:val="nil"/>
              <w:left w:val="nil"/>
              <w:right w:val="nil"/>
            </w:tcBorders>
          </w:tcPr>
          <w:p w14:paraId="5B6F4BE6" w14:textId="77777777" w:rsidR="002774D3" w:rsidRPr="005A55A8" w:rsidRDefault="002774D3" w:rsidP="00E967AA">
            <w:pPr>
              <w:spacing w:line="480" w:lineRule="auto"/>
            </w:pPr>
            <w:r w:rsidRPr="005A55A8">
              <w:t>SEM</w:t>
            </w:r>
          </w:p>
        </w:tc>
        <w:tc>
          <w:tcPr>
            <w:tcW w:w="1303" w:type="dxa"/>
            <w:tcBorders>
              <w:top w:val="nil"/>
              <w:left w:val="nil"/>
              <w:right w:val="nil"/>
            </w:tcBorders>
          </w:tcPr>
          <w:p w14:paraId="57BFAF30" w14:textId="77777777" w:rsidR="002774D3" w:rsidRPr="005A55A8" w:rsidRDefault="002774D3" w:rsidP="002B3C43">
            <w:pPr>
              <w:spacing w:line="480" w:lineRule="auto"/>
              <w:jc w:val="right"/>
              <w:rPr>
                <w:i/>
                <w:lang w:val="en-GB"/>
              </w:rPr>
            </w:pPr>
            <w:r w:rsidRPr="005A55A8">
              <w:rPr>
                <w:i/>
                <w:lang w:val="en-GB"/>
              </w:rPr>
              <w:t>Mean (SD)</w:t>
            </w:r>
          </w:p>
          <w:p w14:paraId="6FB0AF35" w14:textId="77777777" w:rsidR="002774D3" w:rsidRPr="005A55A8" w:rsidRDefault="002774D3" w:rsidP="00E967AA">
            <w:pPr>
              <w:pStyle w:val="NormalWeb"/>
              <w:spacing w:before="0" w:beforeAutospacing="0" w:after="0" w:afterAutospacing="0" w:line="480" w:lineRule="auto"/>
              <w:jc w:val="right"/>
              <w:rPr>
                <w:rFonts w:asciiTheme="minorHAnsi" w:eastAsiaTheme="minorHAnsi" w:hAnsiTheme="minorHAnsi" w:cstheme="minorBidi"/>
                <w:i/>
                <w:sz w:val="22"/>
                <w:szCs w:val="22"/>
                <w:lang w:val="en-GB" w:eastAsia="en-US"/>
              </w:rPr>
            </w:pPr>
            <w:r w:rsidRPr="005A55A8">
              <w:rPr>
                <w:rFonts w:asciiTheme="minorHAnsi" w:hAnsiTheme="minorHAnsi"/>
                <w:i/>
                <w:lang w:val="en-GB"/>
              </w:rPr>
              <w:t>Range</w:t>
            </w:r>
          </w:p>
        </w:tc>
        <w:tc>
          <w:tcPr>
            <w:tcW w:w="2410" w:type="dxa"/>
            <w:tcBorders>
              <w:top w:val="nil"/>
              <w:left w:val="nil"/>
              <w:right w:val="nil"/>
            </w:tcBorders>
          </w:tcPr>
          <w:p w14:paraId="683E7E3C" w14:textId="77777777" w:rsidR="002774D3" w:rsidRPr="005A55A8" w:rsidRDefault="002774D3" w:rsidP="002B3C43">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-3</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22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93)</w:t>
            </w:r>
          </w:p>
          <w:p w14:paraId="407DB8E9"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-7.89 – 0.52</w:t>
            </w:r>
          </w:p>
        </w:tc>
        <w:tc>
          <w:tcPr>
            <w:tcW w:w="2551" w:type="dxa"/>
            <w:tcBorders>
              <w:top w:val="nil"/>
              <w:left w:val="nil"/>
              <w:right w:val="nil"/>
            </w:tcBorders>
          </w:tcPr>
          <w:p w14:paraId="322B98D0" w14:textId="77777777" w:rsidR="002774D3" w:rsidRPr="005A55A8" w:rsidRDefault="002774D3" w:rsidP="002B3C43">
            <w:pPr>
              <w:pStyle w:val="NormalWeb"/>
              <w:tabs>
                <w:tab w:val="center" w:pos="1094"/>
                <w:tab w:val="right" w:pos="2188"/>
              </w:tabs>
              <w:spacing w:before="0" w:beforeAutospacing="0" w:after="0" w:afterAutospacing="0" w:line="480" w:lineRule="auto"/>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ab/>
              <w:t>0</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03 (1</w:t>
            </w:r>
            <w:r w:rsidR="001B3B7A">
              <w:rPr>
                <w:rFonts w:asciiTheme="minorHAnsi" w:eastAsiaTheme="minorHAnsi" w:hAnsiTheme="minorHAnsi" w:cstheme="minorBidi"/>
                <w:sz w:val="22"/>
                <w:szCs w:val="22"/>
                <w:lang w:val="en-GB" w:eastAsia="en-US"/>
              </w:rPr>
              <w:t>.</w:t>
            </w:r>
            <w:r w:rsidRPr="005A55A8">
              <w:rPr>
                <w:rFonts w:asciiTheme="minorHAnsi" w:eastAsiaTheme="minorHAnsi" w:hAnsiTheme="minorHAnsi" w:cstheme="minorBidi"/>
                <w:sz w:val="22"/>
                <w:szCs w:val="22"/>
                <w:lang w:val="en-GB" w:eastAsia="en-US"/>
              </w:rPr>
              <w:t>04)</w:t>
            </w:r>
            <w:r w:rsidRPr="005A55A8">
              <w:rPr>
                <w:rFonts w:asciiTheme="minorHAnsi" w:eastAsiaTheme="minorHAnsi" w:hAnsiTheme="minorHAnsi" w:cstheme="minorBidi"/>
                <w:sz w:val="22"/>
                <w:szCs w:val="22"/>
                <w:lang w:val="en-GB" w:eastAsia="en-US"/>
              </w:rPr>
              <w:tab/>
            </w:r>
          </w:p>
          <w:p w14:paraId="4D92390E" w14:textId="77777777" w:rsidR="002774D3" w:rsidRPr="005A55A8" w:rsidRDefault="002774D3" w:rsidP="00E967AA">
            <w:pPr>
              <w:pStyle w:val="NormalWeb"/>
              <w:spacing w:before="0" w:beforeAutospacing="0" w:after="0" w:afterAutospacing="0" w:line="480" w:lineRule="auto"/>
              <w:jc w:val="center"/>
              <w:rPr>
                <w:rFonts w:asciiTheme="minorHAnsi" w:eastAsiaTheme="minorHAnsi" w:hAnsiTheme="minorHAnsi" w:cstheme="minorBidi"/>
                <w:sz w:val="22"/>
                <w:szCs w:val="22"/>
                <w:lang w:val="en-GB" w:eastAsia="en-US"/>
              </w:rPr>
            </w:pPr>
            <w:r w:rsidRPr="005A55A8">
              <w:rPr>
                <w:rFonts w:asciiTheme="minorHAnsi" w:eastAsiaTheme="minorHAnsi" w:hAnsiTheme="minorHAnsi" w:cstheme="minorBidi"/>
                <w:sz w:val="22"/>
                <w:szCs w:val="22"/>
                <w:lang w:val="en-GB" w:eastAsia="en-US"/>
              </w:rPr>
              <w:t>-2.48 – 1.32</w:t>
            </w:r>
          </w:p>
        </w:tc>
      </w:tr>
    </w:tbl>
    <w:p w14:paraId="0BE0D017" w14:textId="77777777" w:rsidR="00121B1E" w:rsidRPr="005A55A8" w:rsidRDefault="00121B1E" w:rsidP="00E967AA">
      <w:pPr>
        <w:spacing w:after="0" w:line="480" w:lineRule="auto"/>
        <w:rPr>
          <w:lang w:val="en-GB"/>
        </w:rPr>
      </w:pPr>
      <w:r w:rsidRPr="005A55A8">
        <w:rPr>
          <w:i/>
          <w:lang w:val="en-GB"/>
        </w:rPr>
        <w:t>Note</w:t>
      </w:r>
      <w:r w:rsidRPr="005A55A8">
        <w:rPr>
          <w:lang w:val="en-GB"/>
        </w:rPr>
        <w:t>. SENT, sentence: number of entirely correct sentences; NBR, number: number of words accurately repeated; SYNT, syntax: respect of the sentence syntax; SEM, semantic: respect of the general meaning of the sentence; FUNC, functional words: number of functional words accurately repeated; LEX, lexical words: number of content words accurately repeated; MORPH, verbal morphology: respect of the verb morphology</w:t>
      </w:r>
      <w:r w:rsidRPr="005A55A8">
        <w:rPr>
          <w:lang w:val="en-GB"/>
        </w:rPr>
        <w:br w:type="page"/>
      </w:r>
    </w:p>
    <w:p w14:paraId="4A9BBAED" w14:textId="12D66024" w:rsidR="00121B1E" w:rsidRPr="005A55A8" w:rsidRDefault="00121B1E">
      <w:pPr>
        <w:rPr>
          <w:lang w:val="en-GB"/>
        </w:rPr>
      </w:pPr>
      <w:r w:rsidRPr="005A55A8">
        <w:rPr>
          <w:lang w:val="en-GB"/>
        </w:rPr>
        <w:lastRenderedPageBreak/>
        <w:t xml:space="preserve">Table 2 </w:t>
      </w:r>
    </w:p>
    <w:p w14:paraId="535EF541" w14:textId="77777777" w:rsidR="00121B1E" w:rsidRPr="005A55A8" w:rsidRDefault="00121B1E">
      <w:pPr>
        <w:rPr>
          <w:i/>
          <w:lang w:val="en-GB"/>
        </w:rPr>
      </w:pPr>
      <w:r w:rsidRPr="005A55A8">
        <w:rPr>
          <w:i/>
          <w:lang w:val="en-GB"/>
        </w:rPr>
        <w:t xml:space="preserve">Classification Power for Each </w:t>
      </w:r>
      <w:r w:rsidR="00C10174" w:rsidRPr="005A55A8">
        <w:rPr>
          <w:i/>
          <w:lang w:val="en-GB"/>
        </w:rPr>
        <w:t>Group</w:t>
      </w:r>
      <w:r w:rsidR="00C10174">
        <w:rPr>
          <w:i/>
          <w:lang w:val="en-GB"/>
        </w:rPr>
        <w:t xml:space="preserve"> </w:t>
      </w:r>
      <w:r w:rsidRPr="005A55A8">
        <w:rPr>
          <w:i/>
          <w:lang w:val="en-GB"/>
        </w:rPr>
        <w:t>in the Discriminant Analysis</w:t>
      </w:r>
    </w:p>
    <w:tbl>
      <w:tblPr>
        <w:tblStyle w:val="Grilledutableau"/>
        <w:tblW w:w="0" w:type="auto"/>
        <w:tblLook w:val="04A0" w:firstRow="1" w:lastRow="0" w:firstColumn="1" w:lastColumn="0" w:noHBand="0" w:noVBand="1"/>
      </w:tblPr>
      <w:tblGrid>
        <w:gridCol w:w="1151"/>
        <w:gridCol w:w="1151"/>
        <w:gridCol w:w="1151"/>
        <w:gridCol w:w="1151"/>
        <w:gridCol w:w="1152"/>
        <w:gridCol w:w="1152"/>
        <w:gridCol w:w="1152"/>
        <w:gridCol w:w="1152"/>
      </w:tblGrid>
      <w:tr w:rsidR="00121B1E" w:rsidRPr="005A55A8" w14:paraId="6738927C" w14:textId="77777777" w:rsidTr="00E967AA">
        <w:tc>
          <w:tcPr>
            <w:tcW w:w="1151" w:type="dxa"/>
            <w:tcBorders>
              <w:left w:val="nil"/>
              <w:bottom w:val="nil"/>
              <w:right w:val="nil"/>
            </w:tcBorders>
          </w:tcPr>
          <w:p w14:paraId="7CF3B2AC" w14:textId="77777777" w:rsidR="00121B1E" w:rsidRPr="005A55A8" w:rsidRDefault="00121B1E" w:rsidP="00E967AA">
            <w:pPr>
              <w:spacing w:line="480" w:lineRule="auto"/>
              <w:rPr>
                <w:lang w:val="en-GB"/>
              </w:rPr>
            </w:pPr>
          </w:p>
        </w:tc>
        <w:tc>
          <w:tcPr>
            <w:tcW w:w="1151" w:type="dxa"/>
            <w:tcBorders>
              <w:left w:val="nil"/>
              <w:right w:val="nil"/>
            </w:tcBorders>
          </w:tcPr>
          <w:p w14:paraId="2C1A7E8D" w14:textId="77777777" w:rsidR="00121B1E" w:rsidRPr="005A55A8" w:rsidRDefault="00121B1E" w:rsidP="00E967AA">
            <w:pPr>
              <w:spacing w:line="480" w:lineRule="auto"/>
              <w:rPr>
                <w:lang w:val="en-GB"/>
              </w:rPr>
            </w:pPr>
            <w:r w:rsidRPr="005A55A8">
              <w:rPr>
                <w:lang w:val="en-GB"/>
              </w:rPr>
              <w:t>SENT</w:t>
            </w:r>
          </w:p>
        </w:tc>
        <w:tc>
          <w:tcPr>
            <w:tcW w:w="1151" w:type="dxa"/>
            <w:tcBorders>
              <w:left w:val="nil"/>
              <w:right w:val="nil"/>
            </w:tcBorders>
          </w:tcPr>
          <w:p w14:paraId="0F75A9B0" w14:textId="77777777" w:rsidR="00121B1E" w:rsidRPr="005A55A8" w:rsidRDefault="00121B1E" w:rsidP="00E967AA">
            <w:pPr>
              <w:spacing w:line="480" w:lineRule="auto"/>
              <w:rPr>
                <w:lang w:val="en-GB"/>
              </w:rPr>
            </w:pPr>
            <w:r w:rsidRPr="005A55A8">
              <w:rPr>
                <w:lang w:val="en-GB"/>
              </w:rPr>
              <w:t>NBR</w:t>
            </w:r>
          </w:p>
        </w:tc>
        <w:tc>
          <w:tcPr>
            <w:tcW w:w="1151" w:type="dxa"/>
            <w:tcBorders>
              <w:left w:val="nil"/>
              <w:right w:val="nil"/>
            </w:tcBorders>
          </w:tcPr>
          <w:p w14:paraId="2FFB7CD6" w14:textId="77777777" w:rsidR="00121B1E" w:rsidRPr="005A55A8" w:rsidRDefault="00121B1E" w:rsidP="00E967AA">
            <w:pPr>
              <w:spacing w:line="480" w:lineRule="auto"/>
              <w:rPr>
                <w:lang w:val="en-GB"/>
              </w:rPr>
            </w:pPr>
            <w:r w:rsidRPr="005A55A8">
              <w:rPr>
                <w:lang w:val="en-GB"/>
              </w:rPr>
              <w:t>SYNT</w:t>
            </w:r>
          </w:p>
        </w:tc>
        <w:tc>
          <w:tcPr>
            <w:tcW w:w="1152" w:type="dxa"/>
            <w:tcBorders>
              <w:left w:val="nil"/>
              <w:right w:val="nil"/>
            </w:tcBorders>
          </w:tcPr>
          <w:p w14:paraId="5DF0E48C" w14:textId="77777777" w:rsidR="00121B1E" w:rsidRPr="005A55A8" w:rsidRDefault="00121B1E" w:rsidP="00E967AA">
            <w:pPr>
              <w:spacing w:line="480" w:lineRule="auto"/>
              <w:rPr>
                <w:lang w:val="en-GB"/>
              </w:rPr>
            </w:pPr>
            <w:r w:rsidRPr="005A55A8">
              <w:rPr>
                <w:lang w:val="en-GB"/>
              </w:rPr>
              <w:t>SEM</w:t>
            </w:r>
          </w:p>
        </w:tc>
        <w:tc>
          <w:tcPr>
            <w:tcW w:w="1152" w:type="dxa"/>
            <w:tcBorders>
              <w:left w:val="nil"/>
              <w:right w:val="nil"/>
            </w:tcBorders>
          </w:tcPr>
          <w:p w14:paraId="7D7CC1A5" w14:textId="77777777" w:rsidR="00121B1E" w:rsidRPr="005A55A8" w:rsidRDefault="00121B1E" w:rsidP="00E967AA">
            <w:pPr>
              <w:spacing w:line="480" w:lineRule="auto"/>
              <w:rPr>
                <w:lang w:val="en-GB"/>
              </w:rPr>
            </w:pPr>
            <w:r w:rsidRPr="005A55A8">
              <w:rPr>
                <w:lang w:val="en-GB"/>
              </w:rPr>
              <w:t>FUNC</w:t>
            </w:r>
          </w:p>
        </w:tc>
        <w:tc>
          <w:tcPr>
            <w:tcW w:w="1152" w:type="dxa"/>
            <w:tcBorders>
              <w:left w:val="nil"/>
              <w:right w:val="nil"/>
            </w:tcBorders>
          </w:tcPr>
          <w:p w14:paraId="361DE1A2" w14:textId="77777777" w:rsidR="00121B1E" w:rsidRPr="005A55A8" w:rsidRDefault="00121B1E" w:rsidP="00E967AA">
            <w:pPr>
              <w:spacing w:line="480" w:lineRule="auto"/>
              <w:rPr>
                <w:lang w:val="en-GB"/>
              </w:rPr>
            </w:pPr>
            <w:r w:rsidRPr="005A55A8">
              <w:rPr>
                <w:lang w:val="en-GB"/>
              </w:rPr>
              <w:t>LEX</w:t>
            </w:r>
          </w:p>
        </w:tc>
        <w:tc>
          <w:tcPr>
            <w:tcW w:w="1152" w:type="dxa"/>
            <w:tcBorders>
              <w:left w:val="nil"/>
              <w:right w:val="nil"/>
            </w:tcBorders>
          </w:tcPr>
          <w:p w14:paraId="3365E615" w14:textId="77777777" w:rsidR="00121B1E" w:rsidRPr="005A55A8" w:rsidRDefault="00121B1E" w:rsidP="00E967AA">
            <w:pPr>
              <w:spacing w:line="480" w:lineRule="auto"/>
              <w:rPr>
                <w:lang w:val="en-GB"/>
              </w:rPr>
            </w:pPr>
            <w:r w:rsidRPr="005A55A8">
              <w:rPr>
                <w:lang w:val="en-GB"/>
              </w:rPr>
              <w:t>MORPH</w:t>
            </w:r>
          </w:p>
        </w:tc>
      </w:tr>
      <w:tr w:rsidR="00121B1E" w:rsidRPr="005A55A8" w14:paraId="3E1B5A29" w14:textId="77777777" w:rsidTr="00E967AA">
        <w:tc>
          <w:tcPr>
            <w:tcW w:w="1151" w:type="dxa"/>
            <w:tcBorders>
              <w:top w:val="nil"/>
              <w:left w:val="nil"/>
              <w:bottom w:val="nil"/>
              <w:right w:val="nil"/>
            </w:tcBorders>
          </w:tcPr>
          <w:p w14:paraId="00589D9B" w14:textId="77777777" w:rsidR="00121B1E" w:rsidRPr="005A55A8" w:rsidRDefault="00121B1E" w:rsidP="00E967AA">
            <w:pPr>
              <w:spacing w:line="480" w:lineRule="auto"/>
              <w:rPr>
                <w:lang w:val="en-GB"/>
              </w:rPr>
            </w:pPr>
            <w:r w:rsidRPr="005A55A8">
              <w:rPr>
                <w:lang w:val="en-GB"/>
              </w:rPr>
              <w:t>SLI</w:t>
            </w:r>
          </w:p>
        </w:tc>
        <w:tc>
          <w:tcPr>
            <w:tcW w:w="1151" w:type="dxa"/>
            <w:tcBorders>
              <w:left w:val="nil"/>
              <w:bottom w:val="nil"/>
              <w:right w:val="nil"/>
            </w:tcBorders>
          </w:tcPr>
          <w:p w14:paraId="62A2EEC4" w14:textId="77777777" w:rsidR="00121B1E" w:rsidRPr="005A55A8" w:rsidRDefault="00121B1E" w:rsidP="00E967AA">
            <w:pPr>
              <w:spacing w:line="480" w:lineRule="auto"/>
              <w:rPr>
                <w:lang w:val="en-GB"/>
              </w:rPr>
            </w:pPr>
            <w:r w:rsidRPr="005A55A8">
              <w:rPr>
                <w:lang w:val="en-GB"/>
              </w:rPr>
              <w:t>97.06</w:t>
            </w:r>
          </w:p>
        </w:tc>
        <w:tc>
          <w:tcPr>
            <w:tcW w:w="1151" w:type="dxa"/>
            <w:tcBorders>
              <w:left w:val="nil"/>
              <w:bottom w:val="nil"/>
              <w:right w:val="nil"/>
            </w:tcBorders>
          </w:tcPr>
          <w:p w14:paraId="1FAEBC88" w14:textId="77777777" w:rsidR="00121B1E" w:rsidRPr="005A55A8" w:rsidRDefault="00121B1E" w:rsidP="00E967AA">
            <w:pPr>
              <w:spacing w:line="480" w:lineRule="auto"/>
              <w:rPr>
                <w:lang w:val="en-GB"/>
              </w:rPr>
            </w:pPr>
            <w:r w:rsidRPr="005A55A8">
              <w:rPr>
                <w:lang w:val="en-GB"/>
              </w:rPr>
              <w:t>85.29</w:t>
            </w:r>
          </w:p>
        </w:tc>
        <w:tc>
          <w:tcPr>
            <w:tcW w:w="1151" w:type="dxa"/>
            <w:tcBorders>
              <w:left w:val="nil"/>
              <w:bottom w:val="nil"/>
              <w:right w:val="nil"/>
            </w:tcBorders>
          </w:tcPr>
          <w:p w14:paraId="0D8381C7" w14:textId="77777777" w:rsidR="00121B1E" w:rsidRPr="005A55A8" w:rsidRDefault="00121B1E" w:rsidP="00E967AA">
            <w:pPr>
              <w:spacing w:line="480" w:lineRule="auto"/>
              <w:rPr>
                <w:lang w:val="en-GB"/>
              </w:rPr>
            </w:pPr>
            <w:r w:rsidRPr="005A55A8">
              <w:rPr>
                <w:lang w:val="en-GB"/>
              </w:rPr>
              <w:t>88.24</w:t>
            </w:r>
          </w:p>
        </w:tc>
        <w:tc>
          <w:tcPr>
            <w:tcW w:w="1152" w:type="dxa"/>
            <w:tcBorders>
              <w:left w:val="nil"/>
              <w:bottom w:val="nil"/>
              <w:right w:val="nil"/>
            </w:tcBorders>
          </w:tcPr>
          <w:p w14:paraId="09167701" w14:textId="77777777" w:rsidR="00121B1E" w:rsidRPr="005A55A8" w:rsidRDefault="00121B1E" w:rsidP="00E967AA">
            <w:pPr>
              <w:spacing w:line="480" w:lineRule="auto"/>
              <w:rPr>
                <w:lang w:val="en-GB"/>
              </w:rPr>
            </w:pPr>
            <w:r w:rsidRPr="005A55A8">
              <w:rPr>
                <w:lang w:val="en-GB"/>
              </w:rPr>
              <w:t>82.35</w:t>
            </w:r>
          </w:p>
        </w:tc>
        <w:tc>
          <w:tcPr>
            <w:tcW w:w="1152" w:type="dxa"/>
            <w:tcBorders>
              <w:left w:val="nil"/>
              <w:bottom w:val="nil"/>
              <w:right w:val="nil"/>
            </w:tcBorders>
          </w:tcPr>
          <w:p w14:paraId="3DE00E52" w14:textId="77777777" w:rsidR="00121B1E" w:rsidRPr="005A55A8" w:rsidRDefault="00121B1E" w:rsidP="00E967AA">
            <w:pPr>
              <w:spacing w:line="480" w:lineRule="auto"/>
              <w:rPr>
                <w:lang w:val="en-GB"/>
              </w:rPr>
            </w:pPr>
            <w:r w:rsidRPr="005A55A8">
              <w:rPr>
                <w:lang w:val="en-GB"/>
              </w:rPr>
              <w:t>88.24</w:t>
            </w:r>
          </w:p>
        </w:tc>
        <w:tc>
          <w:tcPr>
            <w:tcW w:w="1152" w:type="dxa"/>
            <w:tcBorders>
              <w:left w:val="nil"/>
              <w:bottom w:val="nil"/>
              <w:right w:val="nil"/>
            </w:tcBorders>
          </w:tcPr>
          <w:p w14:paraId="57923907" w14:textId="77777777" w:rsidR="00121B1E" w:rsidRPr="005A55A8" w:rsidRDefault="00121B1E" w:rsidP="00E967AA">
            <w:pPr>
              <w:spacing w:line="480" w:lineRule="auto"/>
              <w:rPr>
                <w:lang w:val="en-GB"/>
              </w:rPr>
            </w:pPr>
            <w:r w:rsidRPr="005A55A8">
              <w:rPr>
                <w:lang w:val="en-GB"/>
              </w:rPr>
              <w:t>82.35</w:t>
            </w:r>
          </w:p>
        </w:tc>
        <w:tc>
          <w:tcPr>
            <w:tcW w:w="1152" w:type="dxa"/>
            <w:tcBorders>
              <w:left w:val="nil"/>
              <w:bottom w:val="nil"/>
              <w:right w:val="nil"/>
            </w:tcBorders>
          </w:tcPr>
          <w:p w14:paraId="1FA2A832" w14:textId="77777777" w:rsidR="00121B1E" w:rsidRPr="005A55A8" w:rsidRDefault="00121B1E" w:rsidP="00E967AA">
            <w:pPr>
              <w:spacing w:line="480" w:lineRule="auto"/>
              <w:rPr>
                <w:lang w:val="en-GB"/>
              </w:rPr>
            </w:pPr>
            <w:r w:rsidRPr="005A55A8">
              <w:rPr>
                <w:lang w:val="en-GB"/>
              </w:rPr>
              <w:t>82.35</w:t>
            </w:r>
          </w:p>
        </w:tc>
      </w:tr>
      <w:tr w:rsidR="00121B1E" w:rsidRPr="005A55A8" w14:paraId="2F4F8015" w14:textId="77777777" w:rsidTr="00E967AA">
        <w:tc>
          <w:tcPr>
            <w:tcW w:w="1151" w:type="dxa"/>
            <w:tcBorders>
              <w:top w:val="nil"/>
              <w:left w:val="nil"/>
              <w:bottom w:val="nil"/>
              <w:right w:val="nil"/>
            </w:tcBorders>
          </w:tcPr>
          <w:p w14:paraId="3A5EA220" w14:textId="77777777" w:rsidR="00121B1E" w:rsidRPr="005A55A8" w:rsidRDefault="00121B1E" w:rsidP="00E967AA">
            <w:pPr>
              <w:spacing w:line="480" w:lineRule="auto"/>
              <w:rPr>
                <w:lang w:val="en-GB"/>
              </w:rPr>
            </w:pPr>
            <w:r w:rsidRPr="005A55A8">
              <w:rPr>
                <w:lang w:val="en-GB"/>
              </w:rPr>
              <w:t>AC</w:t>
            </w:r>
          </w:p>
        </w:tc>
        <w:tc>
          <w:tcPr>
            <w:tcW w:w="1151" w:type="dxa"/>
            <w:tcBorders>
              <w:top w:val="nil"/>
              <w:left w:val="nil"/>
              <w:bottom w:val="nil"/>
              <w:right w:val="nil"/>
            </w:tcBorders>
          </w:tcPr>
          <w:p w14:paraId="5B7E6730" w14:textId="77777777" w:rsidR="00121B1E" w:rsidRPr="005A55A8" w:rsidRDefault="00121B1E" w:rsidP="00E967AA">
            <w:pPr>
              <w:spacing w:line="480" w:lineRule="auto"/>
              <w:rPr>
                <w:lang w:val="en-GB"/>
              </w:rPr>
            </w:pPr>
            <w:r w:rsidRPr="005A55A8">
              <w:rPr>
                <w:lang w:val="en-GB"/>
              </w:rPr>
              <w:t>88.24</w:t>
            </w:r>
          </w:p>
        </w:tc>
        <w:tc>
          <w:tcPr>
            <w:tcW w:w="1151" w:type="dxa"/>
            <w:tcBorders>
              <w:top w:val="nil"/>
              <w:left w:val="nil"/>
              <w:bottom w:val="nil"/>
              <w:right w:val="nil"/>
            </w:tcBorders>
          </w:tcPr>
          <w:p w14:paraId="1B4973CE" w14:textId="77777777" w:rsidR="00121B1E" w:rsidRPr="005A55A8" w:rsidRDefault="00121B1E" w:rsidP="00E967AA">
            <w:pPr>
              <w:spacing w:line="480" w:lineRule="auto"/>
              <w:rPr>
                <w:lang w:val="en-GB"/>
              </w:rPr>
            </w:pPr>
            <w:r w:rsidRPr="005A55A8">
              <w:rPr>
                <w:lang w:val="en-GB"/>
              </w:rPr>
              <w:t>94.12</w:t>
            </w:r>
          </w:p>
        </w:tc>
        <w:tc>
          <w:tcPr>
            <w:tcW w:w="1151" w:type="dxa"/>
            <w:tcBorders>
              <w:top w:val="nil"/>
              <w:left w:val="nil"/>
              <w:bottom w:val="nil"/>
              <w:right w:val="nil"/>
            </w:tcBorders>
          </w:tcPr>
          <w:p w14:paraId="6BEC77BB" w14:textId="77777777" w:rsidR="00121B1E" w:rsidRPr="005A55A8" w:rsidRDefault="00121B1E" w:rsidP="00E967AA">
            <w:pPr>
              <w:spacing w:line="480" w:lineRule="auto"/>
              <w:rPr>
                <w:lang w:val="en-GB"/>
              </w:rPr>
            </w:pPr>
            <w:r w:rsidRPr="005A55A8">
              <w:rPr>
                <w:lang w:val="en-GB"/>
              </w:rPr>
              <w:t>100</w:t>
            </w:r>
          </w:p>
        </w:tc>
        <w:tc>
          <w:tcPr>
            <w:tcW w:w="1152" w:type="dxa"/>
            <w:tcBorders>
              <w:top w:val="nil"/>
              <w:left w:val="nil"/>
              <w:bottom w:val="nil"/>
              <w:right w:val="nil"/>
            </w:tcBorders>
          </w:tcPr>
          <w:p w14:paraId="69BA2F3A" w14:textId="77777777" w:rsidR="00121B1E" w:rsidRPr="005A55A8" w:rsidRDefault="00121B1E" w:rsidP="00E967AA">
            <w:pPr>
              <w:spacing w:line="480" w:lineRule="auto"/>
              <w:rPr>
                <w:lang w:val="en-GB"/>
              </w:rPr>
            </w:pPr>
            <w:r w:rsidRPr="005A55A8">
              <w:rPr>
                <w:lang w:val="en-GB"/>
              </w:rPr>
              <w:t>91.18</w:t>
            </w:r>
          </w:p>
        </w:tc>
        <w:tc>
          <w:tcPr>
            <w:tcW w:w="1152" w:type="dxa"/>
            <w:tcBorders>
              <w:top w:val="nil"/>
              <w:left w:val="nil"/>
              <w:bottom w:val="nil"/>
              <w:right w:val="nil"/>
            </w:tcBorders>
          </w:tcPr>
          <w:p w14:paraId="26B2AC4C" w14:textId="77777777" w:rsidR="00121B1E" w:rsidRPr="005A55A8" w:rsidRDefault="00121B1E" w:rsidP="00E967AA">
            <w:pPr>
              <w:spacing w:line="480" w:lineRule="auto"/>
              <w:rPr>
                <w:lang w:val="en-GB"/>
              </w:rPr>
            </w:pPr>
            <w:r w:rsidRPr="005A55A8">
              <w:rPr>
                <w:lang w:val="en-GB"/>
              </w:rPr>
              <w:t>97.06</w:t>
            </w:r>
          </w:p>
        </w:tc>
        <w:tc>
          <w:tcPr>
            <w:tcW w:w="1152" w:type="dxa"/>
            <w:tcBorders>
              <w:top w:val="nil"/>
              <w:left w:val="nil"/>
              <w:bottom w:val="nil"/>
              <w:right w:val="nil"/>
            </w:tcBorders>
          </w:tcPr>
          <w:p w14:paraId="2F88AC7D" w14:textId="77777777" w:rsidR="00121B1E" w:rsidRPr="005A55A8" w:rsidRDefault="00121B1E" w:rsidP="00E967AA">
            <w:pPr>
              <w:spacing w:line="480" w:lineRule="auto"/>
              <w:rPr>
                <w:lang w:val="en-GB"/>
              </w:rPr>
            </w:pPr>
            <w:r w:rsidRPr="005A55A8">
              <w:rPr>
                <w:lang w:val="en-GB"/>
              </w:rPr>
              <w:t>94.12</w:t>
            </w:r>
          </w:p>
        </w:tc>
        <w:tc>
          <w:tcPr>
            <w:tcW w:w="1152" w:type="dxa"/>
            <w:tcBorders>
              <w:top w:val="nil"/>
              <w:left w:val="nil"/>
              <w:bottom w:val="nil"/>
              <w:right w:val="nil"/>
            </w:tcBorders>
          </w:tcPr>
          <w:p w14:paraId="294DF8D3" w14:textId="77777777" w:rsidR="00121B1E" w:rsidRPr="005A55A8" w:rsidRDefault="00121B1E" w:rsidP="00E967AA">
            <w:pPr>
              <w:spacing w:line="480" w:lineRule="auto"/>
              <w:rPr>
                <w:lang w:val="en-GB"/>
              </w:rPr>
            </w:pPr>
            <w:r w:rsidRPr="005A55A8">
              <w:rPr>
                <w:lang w:val="en-GB"/>
              </w:rPr>
              <w:t>94.12</w:t>
            </w:r>
          </w:p>
        </w:tc>
      </w:tr>
      <w:tr w:rsidR="00121B1E" w:rsidRPr="005A55A8" w14:paraId="7AA4C615" w14:textId="77777777" w:rsidTr="00E967AA">
        <w:tc>
          <w:tcPr>
            <w:tcW w:w="1151" w:type="dxa"/>
            <w:tcBorders>
              <w:top w:val="nil"/>
              <w:left w:val="nil"/>
              <w:right w:val="nil"/>
            </w:tcBorders>
          </w:tcPr>
          <w:p w14:paraId="17F17FC5" w14:textId="77777777" w:rsidR="00121B1E" w:rsidRPr="005A55A8" w:rsidRDefault="00121B1E" w:rsidP="00E967AA">
            <w:pPr>
              <w:spacing w:line="480" w:lineRule="auto"/>
              <w:rPr>
                <w:lang w:val="en-GB"/>
              </w:rPr>
            </w:pPr>
            <w:r w:rsidRPr="005A55A8">
              <w:rPr>
                <w:lang w:val="en-GB"/>
              </w:rPr>
              <w:t xml:space="preserve">Total </w:t>
            </w:r>
          </w:p>
        </w:tc>
        <w:tc>
          <w:tcPr>
            <w:tcW w:w="1151" w:type="dxa"/>
            <w:tcBorders>
              <w:top w:val="nil"/>
              <w:left w:val="nil"/>
              <w:right w:val="nil"/>
            </w:tcBorders>
          </w:tcPr>
          <w:p w14:paraId="26BF6FC0" w14:textId="77777777" w:rsidR="00121B1E" w:rsidRPr="005A55A8" w:rsidRDefault="00121B1E" w:rsidP="00E967AA">
            <w:pPr>
              <w:spacing w:line="480" w:lineRule="auto"/>
              <w:rPr>
                <w:lang w:val="en-GB"/>
              </w:rPr>
            </w:pPr>
            <w:r w:rsidRPr="005A55A8">
              <w:rPr>
                <w:lang w:val="en-GB"/>
              </w:rPr>
              <w:t>92.65</w:t>
            </w:r>
          </w:p>
        </w:tc>
        <w:tc>
          <w:tcPr>
            <w:tcW w:w="1151" w:type="dxa"/>
            <w:tcBorders>
              <w:top w:val="nil"/>
              <w:left w:val="nil"/>
              <w:right w:val="nil"/>
            </w:tcBorders>
          </w:tcPr>
          <w:p w14:paraId="192EE1A8" w14:textId="77777777" w:rsidR="00121B1E" w:rsidRPr="005A55A8" w:rsidRDefault="00121B1E" w:rsidP="00E967AA">
            <w:pPr>
              <w:spacing w:line="480" w:lineRule="auto"/>
              <w:rPr>
                <w:lang w:val="en-GB"/>
              </w:rPr>
            </w:pPr>
            <w:r w:rsidRPr="005A55A8">
              <w:rPr>
                <w:lang w:val="en-GB"/>
              </w:rPr>
              <w:t>89.71</w:t>
            </w:r>
          </w:p>
        </w:tc>
        <w:tc>
          <w:tcPr>
            <w:tcW w:w="1151" w:type="dxa"/>
            <w:tcBorders>
              <w:top w:val="nil"/>
              <w:left w:val="nil"/>
              <w:right w:val="nil"/>
            </w:tcBorders>
          </w:tcPr>
          <w:p w14:paraId="3693B9C1" w14:textId="77777777" w:rsidR="00121B1E" w:rsidRPr="005A55A8" w:rsidRDefault="00121B1E" w:rsidP="00E967AA">
            <w:pPr>
              <w:spacing w:line="480" w:lineRule="auto"/>
              <w:rPr>
                <w:lang w:val="en-GB"/>
              </w:rPr>
            </w:pPr>
            <w:r w:rsidRPr="005A55A8">
              <w:rPr>
                <w:lang w:val="en-GB"/>
              </w:rPr>
              <w:t>94.12</w:t>
            </w:r>
          </w:p>
        </w:tc>
        <w:tc>
          <w:tcPr>
            <w:tcW w:w="1152" w:type="dxa"/>
            <w:tcBorders>
              <w:top w:val="nil"/>
              <w:left w:val="nil"/>
              <w:right w:val="nil"/>
            </w:tcBorders>
          </w:tcPr>
          <w:p w14:paraId="5C4A0524" w14:textId="77777777" w:rsidR="00121B1E" w:rsidRPr="005A55A8" w:rsidRDefault="00121B1E" w:rsidP="00E967AA">
            <w:pPr>
              <w:spacing w:line="480" w:lineRule="auto"/>
              <w:rPr>
                <w:lang w:val="en-GB"/>
              </w:rPr>
            </w:pPr>
            <w:r w:rsidRPr="005A55A8">
              <w:rPr>
                <w:lang w:val="en-GB"/>
              </w:rPr>
              <w:t>86.76</w:t>
            </w:r>
          </w:p>
        </w:tc>
        <w:tc>
          <w:tcPr>
            <w:tcW w:w="1152" w:type="dxa"/>
            <w:tcBorders>
              <w:top w:val="nil"/>
              <w:left w:val="nil"/>
              <w:right w:val="nil"/>
            </w:tcBorders>
          </w:tcPr>
          <w:p w14:paraId="1EB422BA" w14:textId="77777777" w:rsidR="00121B1E" w:rsidRPr="005A55A8" w:rsidRDefault="00121B1E" w:rsidP="00E967AA">
            <w:pPr>
              <w:spacing w:line="480" w:lineRule="auto"/>
              <w:rPr>
                <w:lang w:val="en-GB"/>
              </w:rPr>
            </w:pPr>
            <w:r w:rsidRPr="005A55A8">
              <w:rPr>
                <w:lang w:val="en-GB"/>
              </w:rPr>
              <w:t>92.65</w:t>
            </w:r>
          </w:p>
        </w:tc>
        <w:tc>
          <w:tcPr>
            <w:tcW w:w="1152" w:type="dxa"/>
            <w:tcBorders>
              <w:top w:val="nil"/>
              <w:left w:val="nil"/>
              <w:right w:val="nil"/>
            </w:tcBorders>
          </w:tcPr>
          <w:p w14:paraId="7FA4FB94" w14:textId="77777777" w:rsidR="00121B1E" w:rsidRPr="005A55A8" w:rsidRDefault="00121B1E" w:rsidP="00E967AA">
            <w:pPr>
              <w:spacing w:line="480" w:lineRule="auto"/>
              <w:rPr>
                <w:lang w:val="en-GB"/>
              </w:rPr>
            </w:pPr>
            <w:r w:rsidRPr="005A55A8">
              <w:rPr>
                <w:lang w:val="en-GB"/>
              </w:rPr>
              <w:t>88.24</w:t>
            </w:r>
          </w:p>
        </w:tc>
        <w:tc>
          <w:tcPr>
            <w:tcW w:w="1152" w:type="dxa"/>
            <w:tcBorders>
              <w:top w:val="nil"/>
              <w:left w:val="nil"/>
              <w:right w:val="nil"/>
            </w:tcBorders>
          </w:tcPr>
          <w:p w14:paraId="77545DF0" w14:textId="77777777" w:rsidR="00121B1E" w:rsidRPr="005A55A8" w:rsidRDefault="00121B1E" w:rsidP="00E967AA">
            <w:pPr>
              <w:spacing w:line="480" w:lineRule="auto"/>
              <w:rPr>
                <w:lang w:val="en-GB"/>
              </w:rPr>
            </w:pPr>
            <w:r w:rsidRPr="005A55A8">
              <w:rPr>
                <w:lang w:val="en-GB"/>
              </w:rPr>
              <w:t>88.24</w:t>
            </w:r>
          </w:p>
        </w:tc>
      </w:tr>
    </w:tbl>
    <w:p w14:paraId="1E500440" w14:textId="77777777" w:rsidR="00121B1E" w:rsidRPr="005A55A8" w:rsidRDefault="00121B1E">
      <w:pPr>
        <w:rPr>
          <w:lang w:val="en-GB"/>
        </w:rPr>
      </w:pPr>
    </w:p>
    <w:p w14:paraId="7EBFBF06" w14:textId="77777777" w:rsidR="00121B1E" w:rsidRPr="005A55A8" w:rsidRDefault="00121B1E">
      <w:pPr>
        <w:rPr>
          <w:lang w:val="en-GB"/>
        </w:rPr>
      </w:pPr>
      <w:r w:rsidRPr="005A55A8">
        <w:rPr>
          <w:lang w:val="en-GB"/>
        </w:rPr>
        <w:br w:type="page"/>
      </w:r>
    </w:p>
    <w:p w14:paraId="1D1036BA" w14:textId="77777777" w:rsidR="00121B1E" w:rsidRPr="005A55A8" w:rsidRDefault="00121B1E" w:rsidP="00E967AA">
      <w:pPr>
        <w:spacing w:line="480" w:lineRule="auto"/>
        <w:rPr>
          <w:lang w:val="en-GB"/>
        </w:rPr>
      </w:pPr>
      <w:r w:rsidRPr="005A55A8">
        <w:rPr>
          <w:lang w:val="en-GB"/>
        </w:rPr>
        <w:lastRenderedPageBreak/>
        <w:t>Table 3</w:t>
      </w:r>
    </w:p>
    <w:p w14:paraId="121046A1" w14:textId="4CDB8CA7" w:rsidR="00121B1E" w:rsidRDefault="00121B1E" w:rsidP="00E967AA">
      <w:pPr>
        <w:spacing w:line="480" w:lineRule="auto"/>
        <w:rPr>
          <w:i/>
          <w:lang w:val="en-GB"/>
        </w:rPr>
      </w:pPr>
      <w:r w:rsidRPr="005A55A8">
        <w:rPr>
          <w:i/>
          <w:lang w:val="en-GB"/>
        </w:rPr>
        <w:t>Sensitivity (</w:t>
      </w:r>
      <w:proofErr w:type="spellStart"/>
      <w:r w:rsidRPr="005A55A8">
        <w:rPr>
          <w:i/>
          <w:lang w:val="en-GB"/>
        </w:rPr>
        <w:t>Sens</w:t>
      </w:r>
      <w:proofErr w:type="spellEnd"/>
      <w:r w:rsidRPr="005A55A8">
        <w:rPr>
          <w:i/>
          <w:lang w:val="en-GB"/>
        </w:rPr>
        <w:t>), Specificity (Spec), Positive Likelihood Ratio (</w:t>
      </w:r>
      <w:proofErr w:type="spellStart"/>
      <w:r w:rsidRPr="005A55A8">
        <w:rPr>
          <w:i/>
          <w:lang w:val="en-GB"/>
        </w:rPr>
        <w:t>PosLH</w:t>
      </w:r>
      <w:proofErr w:type="spellEnd"/>
      <w:r w:rsidRPr="005A55A8">
        <w:rPr>
          <w:i/>
          <w:lang w:val="en-GB"/>
        </w:rPr>
        <w:t>) and Negative Likelihood Ratio (</w:t>
      </w:r>
      <w:proofErr w:type="spellStart"/>
      <w:r w:rsidRPr="005A55A8">
        <w:rPr>
          <w:i/>
          <w:lang w:val="en-GB"/>
        </w:rPr>
        <w:t>NegLH</w:t>
      </w:r>
      <w:proofErr w:type="spellEnd"/>
      <w:r w:rsidRPr="005A55A8">
        <w:rPr>
          <w:i/>
          <w:lang w:val="en-GB"/>
        </w:rPr>
        <w:t>) for All Scoring Measures at Three Cut-</w:t>
      </w:r>
      <w:r w:rsidR="00902154">
        <w:rPr>
          <w:i/>
          <w:lang w:val="en-GB"/>
        </w:rPr>
        <w:t>O</w:t>
      </w:r>
      <w:r w:rsidR="00902154" w:rsidRPr="005A55A8">
        <w:rPr>
          <w:i/>
          <w:lang w:val="en-GB"/>
        </w:rPr>
        <w:t xml:space="preserve">ff </w:t>
      </w:r>
      <w:r w:rsidRPr="005A55A8">
        <w:rPr>
          <w:i/>
          <w:lang w:val="en-GB"/>
        </w:rPr>
        <w:t>Points</w:t>
      </w:r>
      <w:r w:rsidR="00127ECC">
        <w:rPr>
          <w:i/>
          <w:lang w:val="en-GB"/>
        </w:rPr>
        <w:t xml:space="preserve"> and Optimal Cut-</w:t>
      </w:r>
      <w:r w:rsidR="00902154">
        <w:rPr>
          <w:i/>
          <w:lang w:val="en-GB"/>
        </w:rPr>
        <w:t>Off</w:t>
      </w:r>
      <w:r w:rsidR="00902154" w:rsidRPr="00127ECC">
        <w:rPr>
          <w:i/>
          <w:lang w:val="en-GB"/>
        </w:rPr>
        <w:t xml:space="preserve"> </w:t>
      </w:r>
      <w:r w:rsidR="00127ECC" w:rsidRPr="005A55A8">
        <w:rPr>
          <w:i/>
          <w:lang w:val="en-GB"/>
        </w:rPr>
        <w:t>for Each Scoring Measure</w:t>
      </w:r>
    </w:p>
    <w:tbl>
      <w:tblPr>
        <w:tblW w:w="8820" w:type="dxa"/>
        <w:tblCellMar>
          <w:left w:w="70" w:type="dxa"/>
          <w:right w:w="70" w:type="dxa"/>
        </w:tblCellMar>
        <w:tblLook w:val="04A0" w:firstRow="1" w:lastRow="0" w:firstColumn="1" w:lastColumn="0" w:noHBand="0" w:noVBand="1"/>
      </w:tblPr>
      <w:tblGrid>
        <w:gridCol w:w="1254"/>
        <w:gridCol w:w="1617"/>
        <w:gridCol w:w="836"/>
        <w:gridCol w:w="846"/>
        <w:gridCol w:w="836"/>
        <w:gridCol w:w="846"/>
        <w:gridCol w:w="846"/>
        <w:gridCol w:w="846"/>
        <w:gridCol w:w="893"/>
      </w:tblGrid>
      <w:tr w:rsidR="000F25DF" w:rsidRPr="00127ECC" w14:paraId="70B9EE86" w14:textId="77777777" w:rsidTr="00BE1FB1">
        <w:trPr>
          <w:trHeight w:val="300"/>
        </w:trPr>
        <w:tc>
          <w:tcPr>
            <w:tcW w:w="1254" w:type="dxa"/>
            <w:tcBorders>
              <w:top w:val="single" w:sz="4" w:space="0" w:color="auto"/>
              <w:left w:val="nil"/>
              <w:right w:val="nil"/>
            </w:tcBorders>
            <w:shd w:val="clear" w:color="auto" w:fill="auto"/>
            <w:vAlign w:val="center"/>
            <w:hideMark/>
          </w:tcPr>
          <w:p w14:paraId="157245CA" w14:textId="77777777" w:rsidR="00127ECC" w:rsidRPr="005F28F9" w:rsidRDefault="00127ECC" w:rsidP="005F28F9">
            <w:pPr>
              <w:spacing w:after="0" w:line="480" w:lineRule="auto"/>
              <w:rPr>
                <w:rFonts w:ascii="Calibri" w:eastAsia="Times New Roman" w:hAnsi="Calibri" w:cs="Times New Roman"/>
                <w:color w:val="000000"/>
                <w:lang w:val="en-US" w:eastAsia="fr-FR"/>
              </w:rPr>
            </w:pPr>
          </w:p>
        </w:tc>
        <w:tc>
          <w:tcPr>
            <w:tcW w:w="1617" w:type="dxa"/>
            <w:tcBorders>
              <w:top w:val="single" w:sz="4" w:space="0" w:color="auto"/>
              <w:left w:val="nil"/>
              <w:bottom w:val="single" w:sz="4" w:space="0" w:color="auto"/>
              <w:right w:val="nil"/>
            </w:tcBorders>
            <w:shd w:val="clear" w:color="auto" w:fill="auto"/>
            <w:vAlign w:val="center"/>
            <w:hideMark/>
          </w:tcPr>
          <w:p w14:paraId="5BEC0BCE" w14:textId="77777777" w:rsidR="00127ECC" w:rsidRPr="005F28F9" w:rsidRDefault="00127ECC" w:rsidP="005F28F9">
            <w:pPr>
              <w:spacing w:after="0" w:line="480" w:lineRule="auto"/>
              <w:rPr>
                <w:rFonts w:ascii="Calibri" w:eastAsia="Times New Roman" w:hAnsi="Calibri" w:cs="Times New Roman"/>
                <w:color w:val="000000"/>
                <w:lang w:val="en-US" w:eastAsia="fr-FR"/>
              </w:rPr>
            </w:pPr>
          </w:p>
        </w:tc>
        <w:tc>
          <w:tcPr>
            <w:tcW w:w="836" w:type="dxa"/>
            <w:tcBorders>
              <w:top w:val="single" w:sz="4" w:space="0" w:color="auto"/>
              <w:left w:val="nil"/>
              <w:bottom w:val="single" w:sz="4" w:space="0" w:color="auto"/>
              <w:right w:val="nil"/>
            </w:tcBorders>
            <w:shd w:val="clear" w:color="auto" w:fill="auto"/>
            <w:vAlign w:val="center"/>
            <w:hideMark/>
          </w:tcPr>
          <w:p w14:paraId="098DCB3C" w14:textId="77777777" w:rsidR="00127ECC" w:rsidRPr="00127ECC" w:rsidRDefault="00127ECC"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 xml:space="preserve">SENT                            </w:t>
            </w:r>
          </w:p>
        </w:tc>
        <w:tc>
          <w:tcPr>
            <w:tcW w:w="846" w:type="dxa"/>
            <w:tcBorders>
              <w:top w:val="single" w:sz="4" w:space="0" w:color="auto"/>
              <w:left w:val="nil"/>
              <w:bottom w:val="single" w:sz="4" w:space="0" w:color="auto"/>
              <w:right w:val="nil"/>
            </w:tcBorders>
            <w:shd w:val="clear" w:color="auto" w:fill="auto"/>
            <w:vAlign w:val="center"/>
            <w:hideMark/>
          </w:tcPr>
          <w:p w14:paraId="1FBA77C5" w14:textId="77777777" w:rsidR="00127ECC" w:rsidRPr="00127ECC" w:rsidRDefault="00127ECC"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NBR</w:t>
            </w:r>
          </w:p>
        </w:tc>
        <w:tc>
          <w:tcPr>
            <w:tcW w:w="836" w:type="dxa"/>
            <w:tcBorders>
              <w:top w:val="single" w:sz="4" w:space="0" w:color="auto"/>
              <w:left w:val="nil"/>
              <w:bottom w:val="single" w:sz="4" w:space="0" w:color="auto"/>
              <w:right w:val="nil"/>
            </w:tcBorders>
            <w:shd w:val="clear" w:color="auto" w:fill="auto"/>
            <w:vAlign w:val="center"/>
            <w:hideMark/>
          </w:tcPr>
          <w:p w14:paraId="4F91722B" w14:textId="77777777" w:rsidR="00127ECC" w:rsidRPr="00127ECC" w:rsidRDefault="00127ECC"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SYNT</w:t>
            </w:r>
          </w:p>
        </w:tc>
        <w:tc>
          <w:tcPr>
            <w:tcW w:w="846" w:type="dxa"/>
            <w:tcBorders>
              <w:top w:val="single" w:sz="4" w:space="0" w:color="auto"/>
              <w:left w:val="nil"/>
              <w:bottom w:val="single" w:sz="4" w:space="0" w:color="auto"/>
              <w:right w:val="nil"/>
            </w:tcBorders>
            <w:shd w:val="clear" w:color="auto" w:fill="auto"/>
            <w:vAlign w:val="center"/>
            <w:hideMark/>
          </w:tcPr>
          <w:p w14:paraId="19D5BEE7" w14:textId="77777777" w:rsidR="00127ECC" w:rsidRPr="00127ECC" w:rsidRDefault="00127ECC"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SEM</w:t>
            </w:r>
          </w:p>
        </w:tc>
        <w:tc>
          <w:tcPr>
            <w:tcW w:w="846" w:type="dxa"/>
            <w:tcBorders>
              <w:top w:val="single" w:sz="4" w:space="0" w:color="auto"/>
              <w:left w:val="nil"/>
              <w:bottom w:val="single" w:sz="4" w:space="0" w:color="auto"/>
              <w:right w:val="nil"/>
            </w:tcBorders>
            <w:shd w:val="clear" w:color="auto" w:fill="auto"/>
            <w:vAlign w:val="center"/>
            <w:hideMark/>
          </w:tcPr>
          <w:p w14:paraId="3809713F" w14:textId="77777777" w:rsidR="00127ECC" w:rsidRPr="00127ECC" w:rsidRDefault="00127ECC"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FUNC</w:t>
            </w:r>
          </w:p>
        </w:tc>
        <w:tc>
          <w:tcPr>
            <w:tcW w:w="846" w:type="dxa"/>
            <w:tcBorders>
              <w:top w:val="single" w:sz="4" w:space="0" w:color="auto"/>
              <w:left w:val="nil"/>
              <w:bottom w:val="single" w:sz="4" w:space="0" w:color="auto"/>
              <w:right w:val="nil"/>
            </w:tcBorders>
            <w:shd w:val="clear" w:color="auto" w:fill="auto"/>
            <w:vAlign w:val="center"/>
            <w:hideMark/>
          </w:tcPr>
          <w:p w14:paraId="5D4A42BF" w14:textId="77777777" w:rsidR="00127ECC" w:rsidRPr="00127ECC" w:rsidRDefault="00127ECC"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LEX</w:t>
            </w:r>
          </w:p>
        </w:tc>
        <w:tc>
          <w:tcPr>
            <w:tcW w:w="893" w:type="dxa"/>
            <w:tcBorders>
              <w:top w:val="single" w:sz="4" w:space="0" w:color="auto"/>
              <w:left w:val="nil"/>
              <w:bottom w:val="single" w:sz="4" w:space="0" w:color="auto"/>
              <w:right w:val="nil"/>
            </w:tcBorders>
            <w:shd w:val="clear" w:color="auto" w:fill="auto"/>
            <w:vAlign w:val="center"/>
            <w:hideMark/>
          </w:tcPr>
          <w:p w14:paraId="04EF7075" w14:textId="77777777" w:rsidR="00127ECC" w:rsidRPr="00127ECC" w:rsidRDefault="00127ECC"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MORPH</w:t>
            </w:r>
          </w:p>
        </w:tc>
      </w:tr>
      <w:tr w:rsidR="000F25DF" w:rsidRPr="00127ECC" w14:paraId="1B246AE7" w14:textId="77777777" w:rsidTr="00BE1FB1">
        <w:trPr>
          <w:trHeight w:val="300"/>
        </w:trPr>
        <w:tc>
          <w:tcPr>
            <w:tcW w:w="1254" w:type="dxa"/>
            <w:vMerge w:val="restart"/>
            <w:tcBorders>
              <w:top w:val="nil"/>
              <w:left w:val="nil"/>
              <w:bottom w:val="single" w:sz="4" w:space="0" w:color="auto"/>
              <w:right w:val="nil"/>
            </w:tcBorders>
            <w:shd w:val="clear" w:color="auto" w:fill="auto"/>
            <w:vAlign w:val="center"/>
            <w:hideMark/>
          </w:tcPr>
          <w:p w14:paraId="28008976"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val="fr-FR" w:eastAsia="fr-FR"/>
              </w:rPr>
              <w:t>-1 SD</w:t>
            </w:r>
          </w:p>
        </w:tc>
        <w:tc>
          <w:tcPr>
            <w:tcW w:w="1617" w:type="dxa"/>
            <w:tcBorders>
              <w:top w:val="single" w:sz="4" w:space="0" w:color="auto"/>
              <w:left w:val="nil"/>
              <w:bottom w:val="nil"/>
              <w:right w:val="nil"/>
            </w:tcBorders>
            <w:shd w:val="clear" w:color="auto" w:fill="auto"/>
            <w:vAlign w:val="center"/>
            <w:hideMark/>
          </w:tcPr>
          <w:p w14:paraId="37A6343B"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Sens</w:t>
            </w:r>
          </w:p>
        </w:tc>
        <w:tc>
          <w:tcPr>
            <w:tcW w:w="836" w:type="dxa"/>
            <w:tcBorders>
              <w:top w:val="single" w:sz="4" w:space="0" w:color="auto"/>
              <w:left w:val="nil"/>
              <w:bottom w:val="nil"/>
              <w:right w:val="nil"/>
            </w:tcBorders>
            <w:shd w:val="clear" w:color="auto" w:fill="auto"/>
            <w:vAlign w:val="center"/>
            <w:hideMark/>
          </w:tcPr>
          <w:p w14:paraId="7E2E966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1.0</w:t>
            </w:r>
          </w:p>
        </w:tc>
        <w:tc>
          <w:tcPr>
            <w:tcW w:w="846" w:type="dxa"/>
            <w:tcBorders>
              <w:top w:val="single" w:sz="4" w:space="0" w:color="auto"/>
              <w:left w:val="nil"/>
              <w:bottom w:val="nil"/>
              <w:right w:val="nil"/>
            </w:tcBorders>
            <w:shd w:val="clear" w:color="auto" w:fill="auto"/>
            <w:vAlign w:val="center"/>
            <w:hideMark/>
          </w:tcPr>
          <w:p w14:paraId="5C4C8E29"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.94</w:t>
            </w:r>
          </w:p>
        </w:tc>
        <w:tc>
          <w:tcPr>
            <w:tcW w:w="836" w:type="dxa"/>
            <w:tcBorders>
              <w:top w:val="single" w:sz="4" w:space="0" w:color="auto"/>
              <w:left w:val="nil"/>
              <w:bottom w:val="nil"/>
              <w:right w:val="nil"/>
            </w:tcBorders>
            <w:shd w:val="clear" w:color="auto" w:fill="auto"/>
            <w:vAlign w:val="center"/>
            <w:hideMark/>
          </w:tcPr>
          <w:p w14:paraId="7FF6A344"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single" w:sz="4" w:space="0" w:color="auto"/>
              <w:left w:val="nil"/>
              <w:bottom w:val="nil"/>
              <w:right w:val="nil"/>
            </w:tcBorders>
            <w:shd w:val="clear" w:color="auto" w:fill="auto"/>
            <w:vAlign w:val="center"/>
            <w:hideMark/>
          </w:tcPr>
          <w:p w14:paraId="33E268E1"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single" w:sz="4" w:space="0" w:color="auto"/>
              <w:left w:val="nil"/>
              <w:bottom w:val="nil"/>
              <w:right w:val="nil"/>
            </w:tcBorders>
            <w:shd w:val="clear" w:color="auto" w:fill="auto"/>
            <w:vAlign w:val="center"/>
            <w:hideMark/>
          </w:tcPr>
          <w:p w14:paraId="0FDE5F46"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single" w:sz="4" w:space="0" w:color="auto"/>
              <w:left w:val="nil"/>
              <w:bottom w:val="nil"/>
              <w:right w:val="nil"/>
            </w:tcBorders>
            <w:shd w:val="clear" w:color="auto" w:fill="auto"/>
            <w:vAlign w:val="center"/>
            <w:hideMark/>
          </w:tcPr>
          <w:p w14:paraId="60F9CA9B"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93" w:type="dxa"/>
            <w:tcBorders>
              <w:top w:val="single" w:sz="4" w:space="0" w:color="auto"/>
              <w:left w:val="nil"/>
              <w:bottom w:val="nil"/>
              <w:right w:val="nil"/>
            </w:tcBorders>
            <w:shd w:val="clear" w:color="auto" w:fill="auto"/>
            <w:vAlign w:val="center"/>
            <w:hideMark/>
          </w:tcPr>
          <w:p w14:paraId="69DE95C4"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1.0</w:t>
            </w:r>
          </w:p>
        </w:tc>
      </w:tr>
      <w:tr w:rsidR="000F25DF" w:rsidRPr="00127ECC" w14:paraId="47ADE4BB" w14:textId="77777777" w:rsidTr="00BE1FB1">
        <w:trPr>
          <w:trHeight w:val="300"/>
        </w:trPr>
        <w:tc>
          <w:tcPr>
            <w:tcW w:w="1254" w:type="dxa"/>
            <w:vMerge/>
            <w:tcBorders>
              <w:left w:val="nil"/>
              <w:bottom w:val="single" w:sz="4" w:space="0" w:color="auto"/>
              <w:right w:val="nil"/>
            </w:tcBorders>
            <w:shd w:val="clear" w:color="auto" w:fill="auto"/>
            <w:vAlign w:val="center"/>
          </w:tcPr>
          <w:p w14:paraId="5F25EC91" w14:textId="77777777" w:rsidR="005F28F9" w:rsidRPr="00127ECC" w:rsidRDefault="005F28F9" w:rsidP="005F28F9">
            <w:pPr>
              <w:spacing w:after="0" w:line="480" w:lineRule="auto"/>
              <w:rPr>
                <w:rFonts w:ascii="Calibri" w:eastAsia="Times New Roman" w:hAnsi="Calibri" w:cs="Times New Roman"/>
                <w:color w:val="000000"/>
                <w:lang w:val="fr-FR" w:eastAsia="fr-FR"/>
              </w:rPr>
            </w:pPr>
          </w:p>
        </w:tc>
        <w:tc>
          <w:tcPr>
            <w:tcW w:w="1617" w:type="dxa"/>
            <w:tcBorders>
              <w:top w:val="nil"/>
              <w:left w:val="nil"/>
              <w:bottom w:val="nil"/>
              <w:right w:val="nil"/>
            </w:tcBorders>
            <w:shd w:val="clear" w:color="auto" w:fill="auto"/>
            <w:vAlign w:val="center"/>
            <w:hideMark/>
          </w:tcPr>
          <w:p w14:paraId="4CF16FE9"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Spec</w:t>
            </w:r>
          </w:p>
        </w:tc>
        <w:tc>
          <w:tcPr>
            <w:tcW w:w="836" w:type="dxa"/>
            <w:tcBorders>
              <w:top w:val="nil"/>
              <w:left w:val="nil"/>
              <w:bottom w:val="nil"/>
              <w:right w:val="nil"/>
            </w:tcBorders>
            <w:shd w:val="clear" w:color="auto" w:fill="auto"/>
            <w:vAlign w:val="center"/>
            <w:hideMark/>
          </w:tcPr>
          <w:p w14:paraId="655F136F"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.85</w:t>
            </w:r>
          </w:p>
        </w:tc>
        <w:tc>
          <w:tcPr>
            <w:tcW w:w="846" w:type="dxa"/>
            <w:tcBorders>
              <w:top w:val="nil"/>
              <w:left w:val="nil"/>
              <w:bottom w:val="nil"/>
              <w:right w:val="nil"/>
            </w:tcBorders>
            <w:shd w:val="clear" w:color="auto" w:fill="auto"/>
            <w:vAlign w:val="center"/>
            <w:hideMark/>
          </w:tcPr>
          <w:p w14:paraId="0B7988B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.82</w:t>
            </w:r>
          </w:p>
        </w:tc>
        <w:tc>
          <w:tcPr>
            <w:tcW w:w="836" w:type="dxa"/>
            <w:tcBorders>
              <w:top w:val="nil"/>
              <w:left w:val="nil"/>
              <w:bottom w:val="nil"/>
              <w:right w:val="nil"/>
            </w:tcBorders>
            <w:shd w:val="clear" w:color="auto" w:fill="auto"/>
            <w:vAlign w:val="center"/>
            <w:hideMark/>
          </w:tcPr>
          <w:p w14:paraId="507E332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.71</w:t>
            </w:r>
          </w:p>
        </w:tc>
        <w:tc>
          <w:tcPr>
            <w:tcW w:w="846" w:type="dxa"/>
            <w:tcBorders>
              <w:top w:val="nil"/>
              <w:left w:val="nil"/>
              <w:bottom w:val="nil"/>
              <w:right w:val="nil"/>
            </w:tcBorders>
            <w:shd w:val="clear" w:color="auto" w:fill="auto"/>
            <w:vAlign w:val="center"/>
            <w:hideMark/>
          </w:tcPr>
          <w:p w14:paraId="147CA61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.82</w:t>
            </w:r>
          </w:p>
        </w:tc>
        <w:tc>
          <w:tcPr>
            <w:tcW w:w="846" w:type="dxa"/>
            <w:tcBorders>
              <w:top w:val="nil"/>
              <w:left w:val="nil"/>
              <w:bottom w:val="nil"/>
              <w:right w:val="nil"/>
            </w:tcBorders>
            <w:shd w:val="clear" w:color="auto" w:fill="auto"/>
            <w:vAlign w:val="center"/>
            <w:hideMark/>
          </w:tcPr>
          <w:p w14:paraId="0CFBF10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.79</w:t>
            </w:r>
          </w:p>
        </w:tc>
        <w:tc>
          <w:tcPr>
            <w:tcW w:w="846" w:type="dxa"/>
            <w:tcBorders>
              <w:top w:val="nil"/>
              <w:left w:val="nil"/>
              <w:bottom w:val="nil"/>
              <w:right w:val="nil"/>
            </w:tcBorders>
            <w:shd w:val="clear" w:color="auto" w:fill="auto"/>
            <w:vAlign w:val="center"/>
            <w:hideMark/>
          </w:tcPr>
          <w:p w14:paraId="3859A5DB"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.85</w:t>
            </w:r>
          </w:p>
        </w:tc>
        <w:tc>
          <w:tcPr>
            <w:tcW w:w="893" w:type="dxa"/>
            <w:tcBorders>
              <w:top w:val="nil"/>
              <w:left w:val="nil"/>
              <w:bottom w:val="nil"/>
              <w:right w:val="nil"/>
            </w:tcBorders>
            <w:shd w:val="clear" w:color="auto" w:fill="auto"/>
            <w:vAlign w:val="center"/>
            <w:hideMark/>
          </w:tcPr>
          <w:p w14:paraId="623C8B0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.79</w:t>
            </w:r>
          </w:p>
        </w:tc>
      </w:tr>
      <w:tr w:rsidR="000F25DF" w:rsidRPr="00127ECC" w14:paraId="416CDCA4" w14:textId="77777777" w:rsidTr="00BE1FB1">
        <w:trPr>
          <w:trHeight w:val="300"/>
        </w:trPr>
        <w:tc>
          <w:tcPr>
            <w:tcW w:w="1254" w:type="dxa"/>
            <w:vMerge/>
            <w:tcBorders>
              <w:left w:val="nil"/>
              <w:bottom w:val="single" w:sz="4" w:space="0" w:color="auto"/>
              <w:right w:val="nil"/>
            </w:tcBorders>
            <w:shd w:val="clear" w:color="auto" w:fill="auto"/>
            <w:vAlign w:val="center"/>
          </w:tcPr>
          <w:p w14:paraId="752CB053" w14:textId="77777777" w:rsidR="005F28F9" w:rsidRPr="00127ECC" w:rsidRDefault="005F28F9" w:rsidP="005F28F9">
            <w:pPr>
              <w:spacing w:after="0" w:line="480" w:lineRule="auto"/>
              <w:rPr>
                <w:rFonts w:ascii="Calibri" w:eastAsia="Times New Roman" w:hAnsi="Calibri" w:cs="Times New Roman"/>
                <w:color w:val="000000"/>
                <w:lang w:val="fr-FR" w:eastAsia="fr-FR"/>
              </w:rPr>
            </w:pPr>
          </w:p>
        </w:tc>
        <w:tc>
          <w:tcPr>
            <w:tcW w:w="1617" w:type="dxa"/>
            <w:tcBorders>
              <w:top w:val="nil"/>
              <w:left w:val="nil"/>
              <w:right w:val="nil"/>
            </w:tcBorders>
            <w:shd w:val="clear" w:color="auto" w:fill="auto"/>
            <w:vAlign w:val="center"/>
            <w:hideMark/>
          </w:tcPr>
          <w:p w14:paraId="4E754A8D"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PosLH</w:t>
            </w:r>
          </w:p>
        </w:tc>
        <w:tc>
          <w:tcPr>
            <w:tcW w:w="836" w:type="dxa"/>
            <w:tcBorders>
              <w:top w:val="nil"/>
              <w:left w:val="nil"/>
              <w:right w:val="nil"/>
            </w:tcBorders>
            <w:shd w:val="clear" w:color="auto" w:fill="auto"/>
            <w:vAlign w:val="center"/>
            <w:hideMark/>
          </w:tcPr>
          <w:p w14:paraId="04B9DA5E"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6.67</w:t>
            </w:r>
          </w:p>
        </w:tc>
        <w:tc>
          <w:tcPr>
            <w:tcW w:w="846" w:type="dxa"/>
            <w:tcBorders>
              <w:top w:val="nil"/>
              <w:left w:val="nil"/>
              <w:right w:val="nil"/>
            </w:tcBorders>
            <w:shd w:val="clear" w:color="auto" w:fill="auto"/>
            <w:vAlign w:val="center"/>
            <w:hideMark/>
          </w:tcPr>
          <w:p w14:paraId="68FB052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5.22</w:t>
            </w:r>
          </w:p>
        </w:tc>
        <w:tc>
          <w:tcPr>
            <w:tcW w:w="836" w:type="dxa"/>
            <w:tcBorders>
              <w:top w:val="nil"/>
              <w:left w:val="nil"/>
              <w:right w:val="nil"/>
            </w:tcBorders>
            <w:shd w:val="clear" w:color="auto" w:fill="auto"/>
            <w:vAlign w:val="center"/>
            <w:hideMark/>
          </w:tcPr>
          <w:p w14:paraId="01010A60"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3.34</w:t>
            </w:r>
          </w:p>
        </w:tc>
        <w:tc>
          <w:tcPr>
            <w:tcW w:w="846" w:type="dxa"/>
            <w:tcBorders>
              <w:top w:val="nil"/>
              <w:left w:val="nil"/>
              <w:right w:val="nil"/>
            </w:tcBorders>
            <w:shd w:val="clear" w:color="auto" w:fill="auto"/>
            <w:vAlign w:val="center"/>
            <w:hideMark/>
          </w:tcPr>
          <w:p w14:paraId="1FF7C59E"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5.39</w:t>
            </w:r>
          </w:p>
        </w:tc>
        <w:tc>
          <w:tcPr>
            <w:tcW w:w="846" w:type="dxa"/>
            <w:tcBorders>
              <w:top w:val="nil"/>
              <w:left w:val="nil"/>
              <w:right w:val="nil"/>
            </w:tcBorders>
            <w:shd w:val="clear" w:color="auto" w:fill="auto"/>
            <w:vAlign w:val="center"/>
            <w:hideMark/>
          </w:tcPr>
          <w:p w14:paraId="7F64EF79"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4.62</w:t>
            </w:r>
          </w:p>
        </w:tc>
        <w:tc>
          <w:tcPr>
            <w:tcW w:w="846" w:type="dxa"/>
            <w:tcBorders>
              <w:top w:val="nil"/>
              <w:left w:val="nil"/>
              <w:right w:val="nil"/>
            </w:tcBorders>
            <w:shd w:val="clear" w:color="auto" w:fill="auto"/>
            <w:vAlign w:val="center"/>
            <w:hideMark/>
          </w:tcPr>
          <w:p w14:paraId="5E43FFAF"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6.47</w:t>
            </w:r>
          </w:p>
        </w:tc>
        <w:tc>
          <w:tcPr>
            <w:tcW w:w="893" w:type="dxa"/>
            <w:tcBorders>
              <w:top w:val="nil"/>
              <w:left w:val="nil"/>
              <w:right w:val="nil"/>
            </w:tcBorders>
            <w:shd w:val="clear" w:color="auto" w:fill="auto"/>
            <w:vAlign w:val="center"/>
            <w:hideMark/>
          </w:tcPr>
          <w:p w14:paraId="71B4D56E"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4.76</w:t>
            </w:r>
          </w:p>
        </w:tc>
      </w:tr>
      <w:tr w:rsidR="000F25DF" w:rsidRPr="00127ECC" w14:paraId="4CC17005" w14:textId="77777777" w:rsidTr="00BE1FB1">
        <w:trPr>
          <w:trHeight w:val="300"/>
        </w:trPr>
        <w:tc>
          <w:tcPr>
            <w:tcW w:w="1254" w:type="dxa"/>
            <w:vMerge/>
            <w:tcBorders>
              <w:left w:val="nil"/>
              <w:bottom w:val="single" w:sz="4" w:space="0" w:color="auto"/>
              <w:right w:val="nil"/>
            </w:tcBorders>
            <w:shd w:val="clear" w:color="auto" w:fill="auto"/>
            <w:vAlign w:val="center"/>
          </w:tcPr>
          <w:p w14:paraId="085946D7" w14:textId="77777777" w:rsidR="005F28F9" w:rsidRPr="00127ECC" w:rsidRDefault="005F28F9" w:rsidP="005F28F9">
            <w:pPr>
              <w:spacing w:after="0" w:line="480" w:lineRule="auto"/>
              <w:rPr>
                <w:rFonts w:ascii="Calibri" w:eastAsia="Times New Roman" w:hAnsi="Calibri" w:cs="Times New Roman"/>
                <w:color w:val="000000"/>
                <w:lang w:val="fr-FR" w:eastAsia="fr-FR"/>
              </w:rPr>
            </w:pPr>
          </w:p>
        </w:tc>
        <w:tc>
          <w:tcPr>
            <w:tcW w:w="1617" w:type="dxa"/>
            <w:tcBorders>
              <w:top w:val="nil"/>
              <w:left w:val="nil"/>
              <w:bottom w:val="single" w:sz="4" w:space="0" w:color="auto"/>
              <w:right w:val="nil"/>
            </w:tcBorders>
            <w:shd w:val="clear" w:color="auto" w:fill="auto"/>
            <w:vAlign w:val="center"/>
            <w:hideMark/>
          </w:tcPr>
          <w:p w14:paraId="63FF4F9D"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NegLH</w:t>
            </w:r>
          </w:p>
        </w:tc>
        <w:tc>
          <w:tcPr>
            <w:tcW w:w="836" w:type="dxa"/>
            <w:tcBorders>
              <w:top w:val="nil"/>
              <w:left w:val="nil"/>
              <w:bottom w:val="single" w:sz="4" w:space="0" w:color="auto"/>
              <w:right w:val="nil"/>
            </w:tcBorders>
            <w:shd w:val="clear" w:color="auto" w:fill="auto"/>
            <w:vAlign w:val="center"/>
            <w:hideMark/>
          </w:tcPr>
          <w:p w14:paraId="549E2C00"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0.00</w:t>
            </w:r>
          </w:p>
        </w:tc>
        <w:tc>
          <w:tcPr>
            <w:tcW w:w="846" w:type="dxa"/>
            <w:tcBorders>
              <w:top w:val="nil"/>
              <w:left w:val="nil"/>
              <w:bottom w:val="single" w:sz="4" w:space="0" w:color="auto"/>
              <w:right w:val="nil"/>
            </w:tcBorders>
            <w:shd w:val="clear" w:color="auto" w:fill="auto"/>
            <w:vAlign w:val="center"/>
            <w:hideMark/>
          </w:tcPr>
          <w:p w14:paraId="530AE067"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0.07</w:t>
            </w:r>
          </w:p>
        </w:tc>
        <w:tc>
          <w:tcPr>
            <w:tcW w:w="836" w:type="dxa"/>
            <w:tcBorders>
              <w:top w:val="nil"/>
              <w:left w:val="nil"/>
              <w:bottom w:val="single" w:sz="4" w:space="0" w:color="auto"/>
              <w:right w:val="nil"/>
            </w:tcBorders>
            <w:shd w:val="clear" w:color="auto" w:fill="auto"/>
            <w:vAlign w:val="center"/>
            <w:hideMark/>
          </w:tcPr>
          <w:p w14:paraId="634FB88A"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0.04</w:t>
            </w:r>
          </w:p>
        </w:tc>
        <w:tc>
          <w:tcPr>
            <w:tcW w:w="846" w:type="dxa"/>
            <w:tcBorders>
              <w:top w:val="nil"/>
              <w:left w:val="nil"/>
              <w:bottom w:val="single" w:sz="4" w:space="0" w:color="auto"/>
              <w:right w:val="nil"/>
            </w:tcBorders>
            <w:shd w:val="clear" w:color="auto" w:fill="auto"/>
            <w:vAlign w:val="center"/>
            <w:hideMark/>
          </w:tcPr>
          <w:p w14:paraId="0467804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0.04</w:t>
            </w:r>
          </w:p>
        </w:tc>
        <w:tc>
          <w:tcPr>
            <w:tcW w:w="846" w:type="dxa"/>
            <w:tcBorders>
              <w:top w:val="nil"/>
              <w:left w:val="nil"/>
              <w:bottom w:val="single" w:sz="4" w:space="0" w:color="auto"/>
              <w:right w:val="nil"/>
            </w:tcBorders>
            <w:shd w:val="clear" w:color="auto" w:fill="auto"/>
            <w:vAlign w:val="center"/>
            <w:hideMark/>
          </w:tcPr>
          <w:p w14:paraId="11B08D64"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0.04</w:t>
            </w:r>
          </w:p>
        </w:tc>
        <w:tc>
          <w:tcPr>
            <w:tcW w:w="846" w:type="dxa"/>
            <w:tcBorders>
              <w:top w:val="nil"/>
              <w:left w:val="nil"/>
              <w:bottom w:val="single" w:sz="4" w:space="0" w:color="auto"/>
              <w:right w:val="nil"/>
            </w:tcBorders>
            <w:shd w:val="clear" w:color="auto" w:fill="auto"/>
            <w:vAlign w:val="center"/>
            <w:hideMark/>
          </w:tcPr>
          <w:p w14:paraId="3D2D0341"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0.04</w:t>
            </w:r>
          </w:p>
        </w:tc>
        <w:tc>
          <w:tcPr>
            <w:tcW w:w="893" w:type="dxa"/>
            <w:tcBorders>
              <w:top w:val="nil"/>
              <w:left w:val="nil"/>
              <w:bottom w:val="single" w:sz="4" w:space="0" w:color="auto"/>
              <w:right w:val="nil"/>
            </w:tcBorders>
            <w:shd w:val="clear" w:color="auto" w:fill="auto"/>
            <w:vAlign w:val="center"/>
            <w:hideMark/>
          </w:tcPr>
          <w:p w14:paraId="02E2AADC"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0.00</w:t>
            </w:r>
          </w:p>
        </w:tc>
      </w:tr>
      <w:tr w:rsidR="000F25DF" w:rsidRPr="00127ECC" w14:paraId="64D09AB1" w14:textId="77777777" w:rsidTr="00BE1FB1">
        <w:trPr>
          <w:trHeight w:val="300"/>
        </w:trPr>
        <w:tc>
          <w:tcPr>
            <w:tcW w:w="1254" w:type="dxa"/>
            <w:vMerge w:val="restart"/>
            <w:tcBorders>
              <w:top w:val="single" w:sz="4" w:space="0" w:color="auto"/>
              <w:left w:val="nil"/>
              <w:bottom w:val="single" w:sz="4" w:space="0" w:color="auto"/>
              <w:right w:val="nil"/>
            </w:tcBorders>
            <w:shd w:val="clear" w:color="auto" w:fill="auto"/>
            <w:vAlign w:val="center"/>
            <w:hideMark/>
          </w:tcPr>
          <w:p w14:paraId="33F34F34" w14:textId="1DAFC739"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w:t>
            </w:r>
            <w:r w:rsidR="00902154">
              <w:rPr>
                <w:rFonts w:ascii="Calibri" w:eastAsia="Times New Roman" w:hAnsi="Calibri" w:cs="Times New Roman"/>
                <w:color w:val="000000"/>
                <w:lang w:eastAsia="fr-FR"/>
              </w:rPr>
              <w:t>.</w:t>
            </w:r>
            <w:r w:rsidRPr="00127ECC">
              <w:rPr>
                <w:rFonts w:ascii="Calibri" w:eastAsia="Times New Roman" w:hAnsi="Calibri" w:cs="Times New Roman"/>
                <w:color w:val="000000"/>
                <w:lang w:eastAsia="fr-FR"/>
              </w:rPr>
              <w:t>28 SD</w:t>
            </w:r>
          </w:p>
        </w:tc>
        <w:tc>
          <w:tcPr>
            <w:tcW w:w="1617" w:type="dxa"/>
            <w:tcBorders>
              <w:top w:val="single" w:sz="4" w:space="0" w:color="auto"/>
              <w:left w:val="nil"/>
              <w:bottom w:val="nil"/>
              <w:right w:val="nil"/>
            </w:tcBorders>
            <w:shd w:val="clear" w:color="auto" w:fill="auto"/>
            <w:vAlign w:val="center"/>
            <w:hideMark/>
          </w:tcPr>
          <w:p w14:paraId="18325124"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Sens</w:t>
            </w:r>
          </w:p>
        </w:tc>
        <w:tc>
          <w:tcPr>
            <w:tcW w:w="836" w:type="dxa"/>
            <w:tcBorders>
              <w:top w:val="single" w:sz="4" w:space="0" w:color="auto"/>
              <w:left w:val="nil"/>
              <w:bottom w:val="nil"/>
              <w:right w:val="nil"/>
            </w:tcBorders>
            <w:shd w:val="clear" w:color="auto" w:fill="auto"/>
            <w:vAlign w:val="center"/>
            <w:hideMark/>
          </w:tcPr>
          <w:p w14:paraId="5D5F7DFC"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single" w:sz="4" w:space="0" w:color="auto"/>
              <w:left w:val="nil"/>
              <w:bottom w:val="nil"/>
              <w:right w:val="nil"/>
            </w:tcBorders>
            <w:shd w:val="clear" w:color="auto" w:fill="auto"/>
            <w:vAlign w:val="center"/>
            <w:hideMark/>
          </w:tcPr>
          <w:p w14:paraId="33711752"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.94</w:t>
            </w:r>
          </w:p>
        </w:tc>
        <w:tc>
          <w:tcPr>
            <w:tcW w:w="836" w:type="dxa"/>
            <w:tcBorders>
              <w:top w:val="single" w:sz="4" w:space="0" w:color="auto"/>
              <w:left w:val="nil"/>
              <w:bottom w:val="nil"/>
              <w:right w:val="nil"/>
            </w:tcBorders>
            <w:shd w:val="clear" w:color="auto" w:fill="auto"/>
            <w:vAlign w:val="center"/>
            <w:hideMark/>
          </w:tcPr>
          <w:p w14:paraId="14987869"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single" w:sz="4" w:space="0" w:color="auto"/>
              <w:left w:val="nil"/>
              <w:bottom w:val="nil"/>
              <w:right w:val="nil"/>
            </w:tcBorders>
            <w:shd w:val="clear" w:color="auto" w:fill="auto"/>
            <w:vAlign w:val="center"/>
            <w:hideMark/>
          </w:tcPr>
          <w:p w14:paraId="385022E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.88</w:t>
            </w:r>
          </w:p>
        </w:tc>
        <w:tc>
          <w:tcPr>
            <w:tcW w:w="846" w:type="dxa"/>
            <w:tcBorders>
              <w:top w:val="single" w:sz="4" w:space="0" w:color="auto"/>
              <w:left w:val="nil"/>
              <w:bottom w:val="nil"/>
              <w:right w:val="nil"/>
            </w:tcBorders>
            <w:shd w:val="clear" w:color="auto" w:fill="auto"/>
            <w:vAlign w:val="center"/>
            <w:hideMark/>
          </w:tcPr>
          <w:p w14:paraId="7557815B"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single" w:sz="4" w:space="0" w:color="auto"/>
              <w:left w:val="nil"/>
              <w:bottom w:val="nil"/>
              <w:right w:val="nil"/>
            </w:tcBorders>
            <w:shd w:val="clear" w:color="auto" w:fill="auto"/>
            <w:vAlign w:val="center"/>
            <w:hideMark/>
          </w:tcPr>
          <w:p w14:paraId="390A7BEA"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.91</w:t>
            </w:r>
          </w:p>
        </w:tc>
        <w:tc>
          <w:tcPr>
            <w:tcW w:w="893" w:type="dxa"/>
            <w:tcBorders>
              <w:top w:val="single" w:sz="4" w:space="0" w:color="auto"/>
              <w:left w:val="nil"/>
              <w:bottom w:val="nil"/>
              <w:right w:val="nil"/>
            </w:tcBorders>
            <w:shd w:val="clear" w:color="auto" w:fill="auto"/>
            <w:vAlign w:val="center"/>
            <w:hideMark/>
          </w:tcPr>
          <w:p w14:paraId="6240A396"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r>
      <w:tr w:rsidR="000F25DF" w:rsidRPr="00127ECC" w14:paraId="0C0465F6" w14:textId="77777777" w:rsidTr="00BE1FB1">
        <w:trPr>
          <w:trHeight w:val="300"/>
        </w:trPr>
        <w:tc>
          <w:tcPr>
            <w:tcW w:w="1254" w:type="dxa"/>
            <w:vMerge/>
            <w:tcBorders>
              <w:left w:val="nil"/>
              <w:bottom w:val="single" w:sz="4" w:space="0" w:color="auto"/>
              <w:right w:val="nil"/>
            </w:tcBorders>
            <w:shd w:val="clear" w:color="auto" w:fill="auto"/>
            <w:vAlign w:val="center"/>
          </w:tcPr>
          <w:p w14:paraId="31CB530A" w14:textId="77777777" w:rsidR="005F28F9" w:rsidRPr="00127ECC" w:rsidRDefault="005F28F9" w:rsidP="005F28F9">
            <w:pPr>
              <w:spacing w:after="0" w:line="480" w:lineRule="auto"/>
              <w:rPr>
                <w:rFonts w:ascii="Calibri" w:eastAsia="Times New Roman" w:hAnsi="Calibri" w:cs="Times New Roman"/>
                <w:color w:val="000000"/>
                <w:lang w:val="fr-FR" w:eastAsia="fr-FR"/>
              </w:rPr>
            </w:pPr>
          </w:p>
        </w:tc>
        <w:tc>
          <w:tcPr>
            <w:tcW w:w="1617" w:type="dxa"/>
            <w:tcBorders>
              <w:top w:val="nil"/>
              <w:left w:val="nil"/>
              <w:bottom w:val="nil"/>
              <w:right w:val="nil"/>
            </w:tcBorders>
            <w:shd w:val="clear" w:color="auto" w:fill="auto"/>
            <w:vAlign w:val="center"/>
            <w:hideMark/>
          </w:tcPr>
          <w:p w14:paraId="603D7F32"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Spec</w:t>
            </w:r>
          </w:p>
        </w:tc>
        <w:tc>
          <w:tcPr>
            <w:tcW w:w="836" w:type="dxa"/>
            <w:tcBorders>
              <w:top w:val="nil"/>
              <w:left w:val="nil"/>
              <w:bottom w:val="nil"/>
              <w:right w:val="nil"/>
            </w:tcBorders>
            <w:shd w:val="clear" w:color="auto" w:fill="auto"/>
            <w:vAlign w:val="center"/>
            <w:hideMark/>
          </w:tcPr>
          <w:p w14:paraId="324595D4"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.88</w:t>
            </w:r>
          </w:p>
        </w:tc>
        <w:tc>
          <w:tcPr>
            <w:tcW w:w="846" w:type="dxa"/>
            <w:tcBorders>
              <w:top w:val="nil"/>
              <w:left w:val="nil"/>
              <w:bottom w:val="nil"/>
              <w:right w:val="nil"/>
            </w:tcBorders>
            <w:shd w:val="clear" w:color="auto" w:fill="auto"/>
            <w:vAlign w:val="center"/>
            <w:hideMark/>
          </w:tcPr>
          <w:p w14:paraId="3291B8BD"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.88</w:t>
            </w:r>
          </w:p>
        </w:tc>
        <w:tc>
          <w:tcPr>
            <w:tcW w:w="836" w:type="dxa"/>
            <w:tcBorders>
              <w:top w:val="nil"/>
              <w:left w:val="nil"/>
              <w:bottom w:val="nil"/>
              <w:right w:val="nil"/>
            </w:tcBorders>
            <w:shd w:val="clear" w:color="auto" w:fill="auto"/>
            <w:vAlign w:val="center"/>
            <w:hideMark/>
          </w:tcPr>
          <w:p w14:paraId="1B68F28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.76</w:t>
            </w:r>
          </w:p>
        </w:tc>
        <w:tc>
          <w:tcPr>
            <w:tcW w:w="846" w:type="dxa"/>
            <w:tcBorders>
              <w:top w:val="nil"/>
              <w:left w:val="nil"/>
              <w:bottom w:val="nil"/>
              <w:right w:val="nil"/>
            </w:tcBorders>
            <w:shd w:val="clear" w:color="auto" w:fill="auto"/>
            <w:vAlign w:val="center"/>
            <w:hideMark/>
          </w:tcPr>
          <w:p w14:paraId="242C9336"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.85</w:t>
            </w:r>
          </w:p>
        </w:tc>
        <w:tc>
          <w:tcPr>
            <w:tcW w:w="846" w:type="dxa"/>
            <w:tcBorders>
              <w:top w:val="nil"/>
              <w:left w:val="nil"/>
              <w:bottom w:val="nil"/>
              <w:right w:val="nil"/>
            </w:tcBorders>
            <w:shd w:val="clear" w:color="auto" w:fill="auto"/>
            <w:vAlign w:val="center"/>
            <w:hideMark/>
          </w:tcPr>
          <w:p w14:paraId="5D184F9D"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.82</w:t>
            </w:r>
          </w:p>
        </w:tc>
        <w:tc>
          <w:tcPr>
            <w:tcW w:w="846" w:type="dxa"/>
            <w:tcBorders>
              <w:top w:val="nil"/>
              <w:left w:val="nil"/>
              <w:bottom w:val="nil"/>
              <w:right w:val="nil"/>
            </w:tcBorders>
            <w:shd w:val="clear" w:color="auto" w:fill="auto"/>
            <w:vAlign w:val="center"/>
            <w:hideMark/>
          </w:tcPr>
          <w:p w14:paraId="08B32171"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.85</w:t>
            </w:r>
          </w:p>
        </w:tc>
        <w:tc>
          <w:tcPr>
            <w:tcW w:w="893" w:type="dxa"/>
            <w:tcBorders>
              <w:top w:val="nil"/>
              <w:left w:val="nil"/>
              <w:bottom w:val="nil"/>
              <w:right w:val="nil"/>
            </w:tcBorders>
            <w:shd w:val="clear" w:color="auto" w:fill="auto"/>
            <w:vAlign w:val="center"/>
            <w:hideMark/>
          </w:tcPr>
          <w:p w14:paraId="5B1692A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.85</w:t>
            </w:r>
          </w:p>
        </w:tc>
      </w:tr>
      <w:tr w:rsidR="000F25DF" w:rsidRPr="00127ECC" w14:paraId="37405B24" w14:textId="77777777" w:rsidTr="00BE1FB1">
        <w:trPr>
          <w:trHeight w:val="300"/>
        </w:trPr>
        <w:tc>
          <w:tcPr>
            <w:tcW w:w="1254" w:type="dxa"/>
            <w:vMerge/>
            <w:tcBorders>
              <w:left w:val="nil"/>
              <w:bottom w:val="single" w:sz="4" w:space="0" w:color="auto"/>
              <w:right w:val="nil"/>
            </w:tcBorders>
            <w:shd w:val="clear" w:color="auto" w:fill="auto"/>
            <w:vAlign w:val="center"/>
          </w:tcPr>
          <w:p w14:paraId="1FC853AE" w14:textId="77777777" w:rsidR="005F28F9" w:rsidRPr="00127ECC" w:rsidRDefault="005F28F9" w:rsidP="005F28F9">
            <w:pPr>
              <w:spacing w:after="0" w:line="480" w:lineRule="auto"/>
              <w:rPr>
                <w:rFonts w:ascii="Calibri" w:eastAsia="Times New Roman" w:hAnsi="Calibri" w:cs="Times New Roman"/>
                <w:color w:val="000000"/>
                <w:lang w:val="fr-FR" w:eastAsia="fr-FR"/>
              </w:rPr>
            </w:pPr>
          </w:p>
        </w:tc>
        <w:tc>
          <w:tcPr>
            <w:tcW w:w="1617" w:type="dxa"/>
            <w:tcBorders>
              <w:top w:val="nil"/>
              <w:left w:val="nil"/>
              <w:right w:val="nil"/>
            </w:tcBorders>
            <w:shd w:val="clear" w:color="auto" w:fill="auto"/>
            <w:vAlign w:val="center"/>
            <w:hideMark/>
          </w:tcPr>
          <w:p w14:paraId="633EEE5C"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PosLH</w:t>
            </w:r>
          </w:p>
        </w:tc>
        <w:tc>
          <w:tcPr>
            <w:tcW w:w="836" w:type="dxa"/>
            <w:tcBorders>
              <w:top w:val="nil"/>
              <w:left w:val="nil"/>
              <w:right w:val="nil"/>
            </w:tcBorders>
            <w:shd w:val="clear" w:color="auto" w:fill="auto"/>
            <w:vAlign w:val="center"/>
            <w:hideMark/>
          </w:tcPr>
          <w:p w14:paraId="004B297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8.08</w:t>
            </w:r>
          </w:p>
        </w:tc>
        <w:tc>
          <w:tcPr>
            <w:tcW w:w="846" w:type="dxa"/>
            <w:tcBorders>
              <w:top w:val="nil"/>
              <w:left w:val="nil"/>
              <w:right w:val="nil"/>
            </w:tcBorders>
            <w:shd w:val="clear" w:color="auto" w:fill="auto"/>
            <w:vAlign w:val="center"/>
            <w:hideMark/>
          </w:tcPr>
          <w:p w14:paraId="5E81D51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7.83</w:t>
            </w:r>
          </w:p>
        </w:tc>
        <w:tc>
          <w:tcPr>
            <w:tcW w:w="836" w:type="dxa"/>
            <w:tcBorders>
              <w:top w:val="nil"/>
              <w:left w:val="nil"/>
              <w:right w:val="nil"/>
            </w:tcBorders>
            <w:shd w:val="clear" w:color="auto" w:fill="auto"/>
            <w:vAlign w:val="center"/>
            <w:hideMark/>
          </w:tcPr>
          <w:p w14:paraId="35D831DD"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4.04</w:t>
            </w:r>
          </w:p>
        </w:tc>
        <w:tc>
          <w:tcPr>
            <w:tcW w:w="846" w:type="dxa"/>
            <w:tcBorders>
              <w:top w:val="nil"/>
              <w:left w:val="nil"/>
              <w:right w:val="nil"/>
            </w:tcBorders>
            <w:shd w:val="clear" w:color="auto" w:fill="auto"/>
            <w:vAlign w:val="center"/>
            <w:hideMark/>
          </w:tcPr>
          <w:p w14:paraId="41FDCC18"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5.87</w:t>
            </w:r>
          </w:p>
        </w:tc>
        <w:tc>
          <w:tcPr>
            <w:tcW w:w="846" w:type="dxa"/>
            <w:tcBorders>
              <w:top w:val="nil"/>
              <w:left w:val="nil"/>
              <w:right w:val="nil"/>
            </w:tcBorders>
            <w:shd w:val="clear" w:color="auto" w:fill="auto"/>
            <w:vAlign w:val="center"/>
            <w:hideMark/>
          </w:tcPr>
          <w:p w14:paraId="408B824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5.39</w:t>
            </w:r>
          </w:p>
        </w:tc>
        <w:tc>
          <w:tcPr>
            <w:tcW w:w="846" w:type="dxa"/>
            <w:tcBorders>
              <w:top w:val="nil"/>
              <w:left w:val="nil"/>
              <w:right w:val="nil"/>
            </w:tcBorders>
            <w:shd w:val="clear" w:color="auto" w:fill="auto"/>
            <w:vAlign w:val="center"/>
            <w:hideMark/>
          </w:tcPr>
          <w:p w14:paraId="43116AD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6.07</w:t>
            </w:r>
          </w:p>
        </w:tc>
        <w:tc>
          <w:tcPr>
            <w:tcW w:w="893" w:type="dxa"/>
            <w:tcBorders>
              <w:top w:val="nil"/>
              <w:left w:val="nil"/>
              <w:right w:val="nil"/>
            </w:tcBorders>
            <w:shd w:val="clear" w:color="auto" w:fill="auto"/>
            <w:vAlign w:val="center"/>
            <w:hideMark/>
          </w:tcPr>
          <w:p w14:paraId="0E3C3816"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6.47</w:t>
            </w:r>
          </w:p>
        </w:tc>
      </w:tr>
      <w:tr w:rsidR="000F25DF" w:rsidRPr="00127ECC" w14:paraId="4C36DC83" w14:textId="77777777" w:rsidTr="00BE1FB1">
        <w:trPr>
          <w:trHeight w:val="300"/>
        </w:trPr>
        <w:tc>
          <w:tcPr>
            <w:tcW w:w="1254" w:type="dxa"/>
            <w:vMerge/>
            <w:tcBorders>
              <w:left w:val="nil"/>
              <w:bottom w:val="single" w:sz="4" w:space="0" w:color="auto"/>
              <w:right w:val="nil"/>
            </w:tcBorders>
            <w:shd w:val="clear" w:color="auto" w:fill="auto"/>
            <w:vAlign w:val="center"/>
          </w:tcPr>
          <w:p w14:paraId="3AF541EE" w14:textId="77777777" w:rsidR="005F28F9" w:rsidRPr="00127ECC" w:rsidRDefault="005F28F9" w:rsidP="005F28F9">
            <w:pPr>
              <w:spacing w:after="0" w:line="480" w:lineRule="auto"/>
              <w:rPr>
                <w:rFonts w:ascii="Calibri" w:eastAsia="Times New Roman" w:hAnsi="Calibri" w:cs="Times New Roman"/>
                <w:color w:val="000000"/>
                <w:lang w:val="fr-FR" w:eastAsia="fr-FR"/>
              </w:rPr>
            </w:pPr>
          </w:p>
        </w:tc>
        <w:tc>
          <w:tcPr>
            <w:tcW w:w="1617" w:type="dxa"/>
            <w:tcBorders>
              <w:top w:val="nil"/>
              <w:left w:val="nil"/>
              <w:bottom w:val="single" w:sz="4" w:space="0" w:color="auto"/>
              <w:right w:val="nil"/>
            </w:tcBorders>
            <w:shd w:val="clear" w:color="auto" w:fill="auto"/>
            <w:vAlign w:val="center"/>
            <w:hideMark/>
          </w:tcPr>
          <w:p w14:paraId="6DEF16BC"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NegLH</w:t>
            </w:r>
          </w:p>
        </w:tc>
        <w:tc>
          <w:tcPr>
            <w:tcW w:w="836" w:type="dxa"/>
            <w:tcBorders>
              <w:top w:val="nil"/>
              <w:left w:val="nil"/>
              <w:bottom w:val="single" w:sz="4" w:space="0" w:color="auto"/>
              <w:right w:val="nil"/>
            </w:tcBorders>
            <w:shd w:val="clear" w:color="auto" w:fill="auto"/>
            <w:vAlign w:val="center"/>
            <w:hideMark/>
          </w:tcPr>
          <w:p w14:paraId="08480AE2"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0.03</w:t>
            </w:r>
          </w:p>
        </w:tc>
        <w:tc>
          <w:tcPr>
            <w:tcW w:w="846" w:type="dxa"/>
            <w:tcBorders>
              <w:top w:val="nil"/>
              <w:left w:val="nil"/>
              <w:bottom w:val="single" w:sz="4" w:space="0" w:color="auto"/>
              <w:right w:val="nil"/>
            </w:tcBorders>
            <w:shd w:val="clear" w:color="auto" w:fill="auto"/>
            <w:vAlign w:val="center"/>
            <w:hideMark/>
          </w:tcPr>
          <w:p w14:paraId="4ED638D2"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0.07</w:t>
            </w:r>
          </w:p>
        </w:tc>
        <w:tc>
          <w:tcPr>
            <w:tcW w:w="836" w:type="dxa"/>
            <w:tcBorders>
              <w:top w:val="nil"/>
              <w:left w:val="nil"/>
              <w:bottom w:val="single" w:sz="4" w:space="0" w:color="auto"/>
              <w:right w:val="nil"/>
            </w:tcBorders>
            <w:shd w:val="clear" w:color="auto" w:fill="auto"/>
            <w:vAlign w:val="center"/>
            <w:hideMark/>
          </w:tcPr>
          <w:p w14:paraId="0B4EBD6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0.04</w:t>
            </w:r>
          </w:p>
        </w:tc>
        <w:tc>
          <w:tcPr>
            <w:tcW w:w="846" w:type="dxa"/>
            <w:tcBorders>
              <w:top w:val="nil"/>
              <w:left w:val="nil"/>
              <w:bottom w:val="single" w:sz="4" w:space="0" w:color="auto"/>
              <w:right w:val="nil"/>
            </w:tcBorders>
            <w:shd w:val="clear" w:color="auto" w:fill="auto"/>
            <w:vAlign w:val="center"/>
            <w:hideMark/>
          </w:tcPr>
          <w:p w14:paraId="66C4446C"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0.14</w:t>
            </w:r>
          </w:p>
        </w:tc>
        <w:tc>
          <w:tcPr>
            <w:tcW w:w="846" w:type="dxa"/>
            <w:tcBorders>
              <w:top w:val="nil"/>
              <w:left w:val="nil"/>
              <w:bottom w:val="single" w:sz="4" w:space="0" w:color="auto"/>
              <w:right w:val="nil"/>
            </w:tcBorders>
            <w:shd w:val="clear" w:color="auto" w:fill="auto"/>
            <w:vAlign w:val="center"/>
            <w:hideMark/>
          </w:tcPr>
          <w:p w14:paraId="1281CBB0"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0.04</w:t>
            </w:r>
          </w:p>
        </w:tc>
        <w:tc>
          <w:tcPr>
            <w:tcW w:w="846" w:type="dxa"/>
            <w:tcBorders>
              <w:top w:val="nil"/>
              <w:left w:val="nil"/>
              <w:bottom w:val="single" w:sz="4" w:space="0" w:color="auto"/>
              <w:right w:val="nil"/>
            </w:tcBorders>
            <w:shd w:val="clear" w:color="auto" w:fill="auto"/>
            <w:vAlign w:val="center"/>
            <w:hideMark/>
          </w:tcPr>
          <w:p w14:paraId="186FDA5C"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0.11</w:t>
            </w:r>
          </w:p>
        </w:tc>
        <w:tc>
          <w:tcPr>
            <w:tcW w:w="893" w:type="dxa"/>
            <w:tcBorders>
              <w:top w:val="nil"/>
              <w:left w:val="nil"/>
              <w:bottom w:val="single" w:sz="4" w:space="0" w:color="auto"/>
              <w:right w:val="nil"/>
            </w:tcBorders>
            <w:shd w:val="clear" w:color="auto" w:fill="auto"/>
            <w:vAlign w:val="center"/>
            <w:hideMark/>
          </w:tcPr>
          <w:p w14:paraId="1618B079"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0.04</w:t>
            </w:r>
          </w:p>
        </w:tc>
      </w:tr>
      <w:tr w:rsidR="000F25DF" w:rsidRPr="00127ECC" w14:paraId="2441652E" w14:textId="77777777" w:rsidTr="00BE1FB1">
        <w:trPr>
          <w:trHeight w:val="300"/>
        </w:trPr>
        <w:tc>
          <w:tcPr>
            <w:tcW w:w="1254" w:type="dxa"/>
            <w:vMerge w:val="restart"/>
            <w:tcBorders>
              <w:top w:val="single" w:sz="4" w:space="0" w:color="auto"/>
              <w:left w:val="nil"/>
              <w:bottom w:val="single" w:sz="4" w:space="0" w:color="auto"/>
              <w:right w:val="nil"/>
            </w:tcBorders>
            <w:shd w:val="clear" w:color="auto" w:fill="auto"/>
            <w:vAlign w:val="center"/>
            <w:hideMark/>
          </w:tcPr>
          <w:p w14:paraId="6FB65D29"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-2 SD</w:t>
            </w:r>
          </w:p>
        </w:tc>
        <w:tc>
          <w:tcPr>
            <w:tcW w:w="1617" w:type="dxa"/>
            <w:tcBorders>
              <w:top w:val="single" w:sz="4" w:space="0" w:color="auto"/>
              <w:left w:val="nil"/>
              <w:bottom w:val="nil"/>
              <w:right w:val="nil"/>
            </w:tcBorders>
            <w:shd w:val="clear" w:color="auto" w:fill="auto"/>
            <w:vAlign w:val="center"/>
            <w:hideMark/>
          </w:tcPr>
          <w:p w14:paraId="4220EA5A"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Sens</w:t>
            </w:r>
          </w:p>
        </w:tc>
        <w:tc>
          <w:tcPr>
            <w:tcW w:w="836" w:type="dxa"/>
            <w:tcBorders>
              <w:top w:val="single" w:sz="4" w:space="0" w:color="auto"/>
              <w:left w:val="nil"/>
              <w:bottom w:val="nil"/>
              <w:right w:val="nil"/>
            </w:tcBorders>
            <w:shd w:val="clear" w:color="auto" w:fill="auto"/>
            <w:vAlign w:val="center"/>
            <w:hideMark/>
          </w:tcPr>
          <w:p w14:paraId="03CB4D4D"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.82</w:t>
            </w:r>
          </w:p>
        </w:tc>
        <w:tc>
          <w:tcPr>
            <w:tcW w:w="846" w:type="dxa"/>
            <w:tcBorders>
              <w:top w:val="single" w:sz="4" w:space="0" w:color="auto"/>
              <w:left w:val="nil"/>
              <w:bottom w:val="nil"/>
              <w:right w:val="nil"/>
            </w:tcBorders>
            <w:shd w:val="clear" w:color="auto" w:fill="auto"/>
            <w:vAlign w:val="center"/>
            <w:hideMark/>
          </w:tcPr>
          <w:p w14:paraId="296124D8"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.85</w:t>
            </w:r>
          </w:p>
        </w:tc>
        <w:tc>
          <w:tcPr>
            <w:tcW w:w="836" w:type="dxa"/>
            <w:tcBorders>
              <w:top w:val="single" w:sz="4" w:space="0" w:color="auto"/>
              <w:left w:val="nil"/>
              <w:bottom w:val="nil"/>
              <w:right w:val="nil"/>
            </w:tcBorders>
            <w:shd w:val="clear" w:color="auto" w:fill="auto"/>
            <w:vAlign w:val="center"/>
            <w:hideMark/>
          </w:tcPr>
          <w:p w14:paraId="0ECF29D8"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.94</w:t>
            </w:r>
          </w:p>
        </w:tc>
        <w:tc>
          <w:tcPr>
            <w:tcW w:w="846" w:type="dxa"/>
            <w:tcBorders>
              <w:top w:val="single" w:sz="4" w:space="0" w:color="auto"/>
              <w:left w:val="nil"/>
              <w:bottom w:val="nil"/>
              <w:right w:val="nil"/>
            </w:tcBorders>
            <w:shd w:val="clear" w:color="auto" w:fill="auto"/>
            <w:vAlign w:val="center"/>
            <w:hideMark/>
          </w:tcPr>
          <w:p w14:paraId="3C84FFDD"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.74</w:t>
            </w:r>
          </w:p>
        </w:tc>
        <w:tc>
          <w:tcPr>
            <w:tcW w:w="846" w:type="dxa"/>
            <w:tcBorders>
              <w:top w:val="single" w:sz="4" w:space="0" w:color="auto"/>
              <w:left w:val="nil"/>
              <w:bottom w:val="nil"/>
              <w:right w:val="nil"/>
            </w:tcBorders>
            <w:shd w:val="clear" w:color="auto" w:fill="auto"/>
            <w:vAlign w:val="center"/>
            <w:hideMark/>
          </w:tcPr>
          <w:p w14:paraId="55588432"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single" w:sz="4" w:space="0" w:color="auto"/>
              <w:left w:val="nil"/>
              <w:bottom w:val="nil"/>
              <w:right w:val="nil"/>
            </w:tcBorders>
            <w:shd w:val="clear" w:color="auto" w:fill="auto"/>
            <w:vAlign w:val="center"/>
            <w:hideMark/>
          </w:tcPr>
          <w:p w14:paraId="3FD453DF"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.82</w:t>
            </w:r>
          </w:p>
        </w:tc>
        <w:tc>
          <w:tcPr>
            <w:tcW w:w="893" w:type="dxa"/>
            <w:tcBorders>
              <w:top w:val="single" w:sz="4" w:space="0" w:color="auto"/>
              <w:left w:val="nil"/>
              <w:bottom w:val="nil"/>
              <w:right w:val="nil"/>
            </w:tcBorders>
            <w:shd w:val="clear" w:color="auto" w:fill="auto"/>
            <w:vAlign w:val="center"/>
            <w:hideMark/>
          </w:tcPr>
          <w:p w14:paraId="4FA2667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.82</w:t>
            </w:r>
          </w:p>
        </w:tc>
      </w:tr>
      <w:tr w:rsidR="000F25DF" w:rsidRPr="00127ECC" w14:paraId="67F61C13" w14:textId="77777777" w:rsidTr="00BE1FB1">
        <w:trPr>
          <w:trHeight w:val="300"/>
        </w:trPr>
        <w:tc>
          <w:tcPr>
            <w:tcW w:w="1254" w:type="dxa"/>
            <w:vMerge/>
            <w:tcBorders>
              <w:left w:val="nil"/>
              <w:bottom w:val="single" w:sz="4" w:space="0" w:color="auto"/>
              <w:right w:val="nil"/>
            </w:tcBorders>
            <w:shd w:val="clear" w:color="auto" w:fill="auto"/>
            <w:vAlign w:val="center"/>
          </w:tcPr>
          <w:p w14:paraId="7BD364E8" w14:textId="77777777" w:rsidR="005F28F9" w:rsidRPr="00127ECC" w:rsidRDefault="005F28F9" w:rsidP="005F28F9">
            <w:pPr>
              <w:spacing w:after="0" w:line="480" w:lineRule="auto"/>
              <w:rPr>
                <w:rFonts w:ascii="Calibri" w:eastAsia="Times New Roman" w:hAnsi="Calibri" w:cs="Times New Roman"/>
                <w:color w:val="000000"/>
                <w:lang w:val="fr-FR" w:eastAsia="fr-FR"/>
              </w:rPr>
            </w:pPr>
          </w:p>
        </w:tc>
        <w:tc>
          <w:tcPr>
            <w:tcW w:w="1617" w:type="dxa"/>
            <w:tcBorders>
              <w:top w:val="nil"/>
              <w:left w:val="nil"/>
              <w:bottom w:val="nil"/>
              <w:right w:val="nil"/>
            </w:tcBorders>
            <w:shd w:val="clear" w:color="auto" w:fill="auto"/>
            <w:vAlign w:val="center"/>
            <w:hideMark/>
          </w:tcPr>
          <w:p w14:paraId="77D31841"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Spec</w:t>
            </w:r>
          </w:p>
        </w:tc>
        <w:tc>
          <w:tcPr>
            <w:tcW w:w="836" w:type="dxa"/>
            <w:tcBorders>
              <w:top w:val="nil"/>
              <w:left w:val="nil"/>
              <w:bottom w:val="nil"/>
              <w:right w:val="nil"/>
            </w:tcBorders>
            <w:shd w:val="clear" w:color="auto" w:fill="auto"/>
            <w:vAlign w:val="center"/>
            <w:hideMark/>
          </w:tcPr>
          <w:p w14:paraId="78567F1B"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1.0</w:t>
            </w:r>
          </w:p>
        </w:tc>
        <w:tc>
          <w:tcPr>
            <w:tcW w:w="846" w:type="dxa"/>
            <w:tcBorders>
              <w:top w:val="nil"/>
              <w:left w:val="nil"/>
              <w:bottom w:val="nil"/>
              <w:right w:val="nil"/>
            </w:tcBorders>
            <w:shd w:val="clear" w:color="auto" w:fill="auto"/>
            <w:vAlign w:val="center"/>
            <w:hideMark/>
          </w:tcPr>
          <w:p w14:paraId="295714A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36" w:type="dxa"/>
            <w:tcBorders>
              <w:top w:val="nil"/>
              <w:left w:val="nil"/>
              <w:bottom w:val="nil"/>
              <w:right w:val="nil"/>
            </w:tcBorders>
            <w:shd w:val="clear" w:color="auto" w:fill="auto"/>
            <w:vAlign w:val="center"/>
            <w:hideMark/>
          </w:tcPr>
          <w:p w14:paraId="0CBF855D"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.88</w:t>
            </w:r>
          </w:p>
        </w:tc>
        <w:tc>
          <w:tcPr>
            <w:tcW w:w="846" w:type="dxa"/>
            <w:tcBorders>
              <w:top w:val="nil"/>
              <w:left w:val="nil"/>
              <w:bottom w:val="nil"/>
              <w:right w:val="nil"/>
            </w:tcBorders>
            <w:shd w:val="clear" w:color="auto" w:fill="auto"/>
            <w:vAlign w:val="center"/>
            <w:hideMark/>
          </w:tcPr>
          <w:p w14:paraId="2A6BF397"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nil"/>
              <w:left w:val="nil"/>
              <w:bottom w:val="nil"/>
              <w:right w:val="nil"/>
            </w:tcBorders>
            <w:shd w:val="clear" w:color="auto" w:fill="auto"/>
            <w:vAlign w:val="center"/>
            <w:hideMark/>
          </w:tcPr>
          <w:p w14:paraId="0A6CA12E"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nil"/>
              <w:left w:val="nil"/>
              <w:bottom w:val="nil"/>
              <w:right w:val="nil"/>
            </w:tcBorders>
            <w:shd w:val="clear" w:color="auto" w:fill="auto"/>
            <w:vAlign w:val="center"/>
            <w:hideMark/>
          </w:tcPr>
          <w:p w14:paraId="04701378"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.94</w:t>
            </w:r>
          </w:p>
        </w:tc>
        <w:tc>
          <w:tcPr>
            <w:tcW w:w="893" w:type="dxa"/>
            <w:tcBorders>
              <w:top w:val="nil"/>
              <w:left w:val="nil"/>
              <w:bottom w:val="nil"/>
              <w:right w:val="nil"/>
            </w:tcBorders>
            <w:shd w:val="clear" w:color="auto" w:fill="auto"/>
            <w:vAlign w:val="center"/>
            <w:hideMark/>
          </w:tcPr>
          <w:p w14:paraId="5AA7871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.94</w:t>
            </w:r>
          </w:p>
        </w:tc>
      </w:tr>
      <w:tr w:rsidR="000F25DF" w:rsidRPr="00127ECC" w14:paraId="02F4F2CF" w14:textId="77777777" w:rsidTr="00BE1FB1">
        <w:trPr>
          <w:trHeight w:val="300"/>
        </w:trPr>
        <w:tc>
          <w:tcPr>
            <w:tcW w:w="1254" w:type="dxa"/>
            <w:vMerge/>
            <w:tcBorders>
              <w:left w:val="nil"/>
              <w:bottom w:val="single" w:sz="4" w:space="0" w:color="auto"/>
              <w:right w:val="nil"/>
            </w:tcBorders>
            <w:shd w:val="clear" w:color="auto" w:fill="auto"/>
            <w:vAlign w:val="center"/>
          </w:tcPr>
          <w:p w14:paraId="679FF0DF" w14:textId="77777777" w:rsidR="005F28F9" w:rsidRPr="00127ECC" w:rsidRDefault="005F28F9" w:rsidP="005F28F9">
            <w:pPr>
              <w:spacing w:after="0" w:line="480" w:lineRule="auto"/>
              <w:rPr>
                <w:rFonts w:ascii="Calibri" w:eastAsia="Times New Roman" w:hAnsi="Calibri" w:cs="Times New Roman"/>
                <w:color w:val="000000"/>
                <w:lang w:val="fr-FR" w:eastAsia="fr-FR"/>
              </w:rPr>
            </w:pPr>
          </w:p>
        </w:tc>
        <w:tc>
          <w:tcPr>
            <w:tcW w:w="1617" w:type="dxa"/>
            <w:tcBorders>
              <w:top w:val="nil"/>
              <w:left w:val="nil"/>
              <w:right w:val="nil"/>
            </w:tcBorders>
            <w:shd w:val="clear" w:color="auto" w:fill="auto"/>
            <w:vAlign w:val="center"/>
            <w:hideMark/>
          </w:tcPr>
          <w:p w14:paraId="7DE89165"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PosLH</w:t>
            </w:r>
          </w:p>
        </w:tc>
        <w:tc>
          <w:tcPr>
            <w:tcW w:w="836" w:type="dxa"/>
            <w:tcBorders>
              <w:top w:val="nil"/>
              <w:left w:val="nil"/>
              <w:right w:val="nil"/>
            </w:tcBorders>
            <w:shd w:val="clear" w:color="auto" w:fill="auto"/>
            <w:vAlign w:val="center"/>
            <w:hideMark/>
          </w:tcPr>
          <w:p w14:paraId="5E1ECF98"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w:t>
            </w:r>
          </w:p>
        </w:tc>
        <w:tc>
          <w:tcPr>
            <w:tcW w:w="846" w:type="dxa"/>
            <w:tcBorders>
              <w:top w:val="nil"/>
              <w:left w:val="nil"/>
              <w:right w:val="nil"/>
            </w:tcBorders>
            <w:shd w:val="clear" w:color="auto" w:fill="auto"/>
            <w:vAlign w:val="center"/>
            <w:hideMark/>
          </w:tcPr>
          <w:p w14:paraId="5F0ED674"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28.33</w:t>
            </w:r>
          </w:p>
        </w:tc>
        <w:tc>
          <w:tcPr>
            <w:tcW w:w="836" w:type="dxa"/>
            <w:tcBorders>
              <w:top w:val="nil"/>
              <w:left w:val="nil"/>
              <w:right w:val="nil"/>
            </w:tcBorders>
            <w:shd w:val="clear" w:color="auto" w:fill="auto"/>
            <w:vAlign w:val="center"/>
            <w:hideMark/>
          </w:tcPr>
          <w:p w14:paraId="574610FB"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7.83</w:t>
            </w:r>
          </w:p>
        </w:tc>
        <w:tc>
          <w:tcPr>
            <w:tcW w:w="846" w:type="dxa"/>
            <w:tcBorders>
              <w:top w:val="nil"/>
              <w:left w:val="nil"/>
              <w:right w:val="nil"/>
            </w:tcBorders>
            <w:shd w:val="clear" w:color="auto" w:fill="auto"/>
            <w:vAlign w:val="center"/>
            <w:hideMark/>
          </w:tcPr>
          <w:p w14:paraId="36065C27"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24.67</w:t>
            </w:r>
          </w:p>
        </w:tc>
        <w:tc>
          <w:tcPr>
            <w:tcW w:w="846" w:type="dxa"/>
            <w:tcBorders>
              <w:top w:val="nil"/>
              <w:left w:val="nil"/>
              <w:right w:val="nil"/>
            </w:tcBorders>
            <w:shd w:val="clear" w:color="auto" w:fill="auto"/>
            <w:vAlign w:val="center"/>
            <w:hideMark/>
          </w:tcPr>
          <w:p w14:paraId="2D0A1E62"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32.33</w:t>
            </w:r>
          </w:p>
        </w:tc>
        <w:tc>
          <w:tcPr>
            <w:tcW w:w="846" w:type="dxa"/>
            <w:tcBorders>
              <w:top w:val="nil"/>
              <w:left w:val="nil"/>
              <w:right w:val="nil"/>
            </w:tcBorders>
            <w:shd w:val="clear" w:color="auto" w:fill="auto"/>
            <w:vAlign w:val="center"/>
            <w:hideMark/>
          </w:tcPr>
          <w:p w14:paraId="783C63C0"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13.67</w:t>
            </w:r>
          </w:p>
        </w:tc>
        <w:tc>
          <w:tcPr>
            <w:tcW w:w="893" w:type="dxa"/>
            <w:tcBorders>
              <w:top w:val="nil"/>
              <w:left w:val="nil"/>
              <w:right w:val="nil"/>
            </w:tcBorders>
            <w:shd w:val="clear" w:color="auto" w:fill="auto"/>
            <w:vAlign w:val="center"/>
            <w:hideMark/>
          </w:tcPr>
          <w:p w14:paraId="3FCBA7E6"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13.67</w:t>
            </w:r>
          </w:p>
        </w:tc>
      </w:tr>
      <w:tr w:rsidR="000F25DF" w:rsidRPr="00127ECC" w14:paraId="11FE51BB" w14:textId="77777777" w:rsidTr="00BE1FB1">
        <w:trPr>
          <w:trHeight w:val="300"/>
        </w:trPr>
        <w:tc>
          <w:tcPr>
            <w:tcW w:w="1254" w:type="dxa"/>
            <w:vMerge/>
            <w:tcBorders>
              <w:left w:val="nil"/>
              <w:bottom w:val="single" w:sz="4" w:space="0" w:color="auto"/>
              <w:right w:val="nil"/>
            </w:tcBorders>
            <w:shd w:val="clear" w:color="auto" w:fill="auto"/>
            <w:vAlign w:val="center"/>
          </w:tcPr>
          <w:p w14:paraId="0A1390EC" w14:textId="77777777" w:rsidR="005F28F9" w:rsidRPr="00127ECC" w:rsidRDefault="005F28F9" w:rsidP="005F28F9">
            <w:pPr>
              <w:spacing w:after="0" w:line="480" w:lineRule="auto"/>
              <w:rPr>
                <w:rFonts w:ascii="Calibri" w:eastAsia="Times New Roman" w:hAnsi="Calibri" w:cs="Times New Roman"/>
                <w:color w:val="000000"/>
                <w:lang w:val="fr-FR" w:eastAsia="fr-FR"/>
              </w:rPr>
            </w:pPr>
          </w:p>
        </w:tc>
        <w:tc>
          <w:tcPr>
            <w:tcW w:w="1617" w:type="dxa"/>
            <w:tcBorders>
              <w:top w:val="nil"/>
              <w:left w:val="nil"/>
              <w:bottom w:val="single" w:sz="4" w:space="0" w:color="auto"/>
              <w:right w:val="nil"/>
            </w:tcBorders>
            <w:shd w:val="clear" w:color="auto" w:fill="auto"/>
            <w:vAlign w:val="center"/>
            <w:hideMark/>
          </w:tcPr>
          <w:p w14:paraId="2BAB572C"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NegLH</w:t>
            </w:r>
          </w:p>
        </w:tc>
        <w:tc>
          <w:tcPr>
            <w:tcW w:w="836" w:type="dxa"/>
            <w:tcBorders>
              <w:top w:val="nil"/>
              <w:left w:val="nil"/>
              <w:bottom w:val="single" w:sz="4" w:space="0" w:color="auto"/>
              <w:right w:val="nil"/>
            </w:tcBorders>
            <w:shd w:val="clear" w:color="auto" w:fill="auto"/>
            <w:vAlign w:val="center"/>
            <w:hideMark/>
          </w:tcPr>
          <w:p w14:paraId="673C0E9C"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0.18</w:t>
            </w:r>
          </w:p>
        </w:tc>
        <w:tc>
          <w:tcPr>
            <w:tcW w:w="846" w:type="dxa"/>
            <w:tcBorders>
              <w:top w:val="nil"/>
              <w:left w:val="nil"/>
              <w:bottom w:val="single" w:sz="4" w:space="0" w:color="auto"/>
              <w:right w:val="nil"/>
            </w:tcBorders>
            <w:shd w:val="clear" w:color="auto" w:fill="auto"/>
            <w:vAlign w:val="center"/>
            <w:hideMark/>
          </w:tcPr>
          <w:p w14:paraId="06096D40"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0.15</w:t>
            </w:r>
          </w:p>
        </w:tc>
        <w:tc>
          <w:tcPr>
            <w:tcW w:w="836" w:type="dxa"/>
            <w:tcBorders>
              <w:top w:val="nil"/>
              <w:left w:val="nil"/>
              <w:bottom w:val="single" w:sz="4" w:space="0" w:color="auto"/>
              <w:right w:val="nil"/>
            </w:tcBorders>
            <w:shd w:val="clear" w:color="auto" w:fill="auto"/>
            <w:vAlign w:val="center"/>
            <w:hideMark/>
          </w:tcPr>
          <w:p w14:paraId="32B0E1B4"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0.07</w:t>
            </w:r>
          </w:p>
        </w:tc>
        <w:tc>
          <w:tcPr>
            <w:tcW w:w="846" w:type="dxa"/>
            <w:tcBorders>
              <w:top w:val="nil"/>
              <w:left w:val="nil"/>
              <w:bottom w:val="single" w:sz="4" w:space="0" w:color="auto"/>
              <w:right w:val="nil"/>
            </w:tcBorders>
            <w:shd w:val="clear" w:color="auto" w:fill="auto"/>
            <w:vAlign w:val="center"/>
            <w:hideMark/>
          </w:tcPr>
          <w:p w14:paraId="46CF8BBC"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0.27</w:t>
            </w:r>
          </w:p>
        </w:tc>
        <w:tc>
          <w:tcPr>
            <w:tcW w:w="846" w:type="dxa"/>
            <w:tcBorders>
              <w:top w:val="nil"/>
              <w:left w:val="nil"/>
              <w:bottom w:val="single" w:sz="4" w:space="0" w:color="auto"/>
              <w:right w:val="nil"/>
            </w:tcBorders>
            <w:shd w:val="clear" w:color="auto" w:fill="auto"/>
            <w:vAlign w:val="center"/>
            <w:hideMark/>
          </w:tcPr>
          <w:p w14:paraId="233080DE"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0.03</w:t>
            </w:r>
          </w:p>
        </w:tc>
        <w:tc>
          <w:tcPr>
            <w:tcW w:w="846" w:type="dxa"/>
            <w:tcBorders>
              <w:top w:val="nil"/>
              <w:left w:val="nil"/>
              <w:bottom w:val="single" w:sz="4" w:space="0" w:color="auto"/>
              <w:right w:val="nil"/>
            </w:tcBorders>
            <w:shd w:val="clear" w:color="auto" w:fill="auto"/>
            <w:vAlign w:val="center"/>
            <w:hideMark/>
          </w:tcPr>
          <w:p w14:paraId="16CC88C3"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0.19</w:t>
            </w:r>
          </w:p>
        </w:tc>
        <w:tc>
          <w:tcPr>
            <w:tcW w:w="893" w:type="dxa"/>
            <w:tcBorders>
              <w:top w:val="nil"/>
              <w:left w:val="nil"/>
              <w:bottom w:val="single" w:sz="4" w:space="0" w:color="auto"/>
              <w:right w:val="nil"/>
            </w:tcBorders>
            <w:shd w:val="clear" w:color="auto" w:fill="auto"/>
            <w:vAlign w:val="center"/>
            <w:hideMark/>
          </w:tcPr>
          <w:p w14:paraId="3FA75896" w14:textId="77777777" w:rsidR="005F28F9" w:rsidRPr="00127ECC" w:rsidRDefault="005F28F9"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0.19</w:t>
            </w:r>
          </w:p>
        </w:tc>
      </w:tr>
      <w:tr w:rsidR="000F25DF" w:rsidRPr="00127ECC" w14:paraId="3C4E514B" w14:textId="77777777" w:rsidTr="00BE1FB1">
        <w:trPr>
          <w:trHeight w:val="300"/>
        </w:trPr>
        <w:tc>
          <w:tcPr>
            <w:tcW w:w="1254" w:type="dxa"/>
            <w:vMerge w:val="restart"/>
            <w:tcBorders>
              <w:top w:val="single" w:sz="4" w:space="0" w:color="auto"/>
              <w:left w:val="nil"/>
              <w:right w:val="nil"/>
            </w:tcBorders>
            <w:shd w:val="clear" w:color="auto" w:fill="auto"/>
            <w:noWrap/>
            <w:vAlign w:val="center"/>
            <w:hideMark/>
          </w:tcPr>
          <w:p w14:paraId="6492213D" w14:textId="77777777" w:rsidR="00C10174" w:rsidRPr="00127ECC" w:rsidRDefault="00C10174" w:rsidP="00C10174">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val="fr-FR" w:eastAsia="fr-FR"/>
              </w:rPr>
              <w:t>TOTAL</w:t>
            </w:r>
          </w:p>
        </w:tc>
        <w:tc>
          <w:tcPr>
            <w:tcW w:w="1617" w:type="dxa"/>
            <w:tcBorders>
              <w:top w:val="single" w:sz="4" w:space="0" w:color="auto"/>
              <w:left w:val="nil"/>
              <w:right w:val="nil"/>
            </w:tcBorders>
            <w:shd w:val="clear" w:color="auto" w:fill="auto"/>
            <w:vAlign w:val="center"/>
            <w:hideMark/>
          </w:tcPr>
          <w:p w14:paraId="551204BD"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Sens.</w:t>
            </w:r>
          </w:p>
        </w:tc>
        <w:tc>
          <w:tcPr>
            <w:tcW w:w="836" w:type="dxa"/>
            <w:tcBorders>
              <w:top w:val="single" w:sz="4" w:space="0" w:color="auto"/>
              <w:left w:val="nil"/>
              <w:right w:val="nil"/>
            </w:tcBorders>
            <w:shd w:val="clear" w:color="auto" w:fill="auto"/>
            <w:vAlign w:val="center"/>
            <w:hideMark/>
          </w:tcPr>
          <w:p w14:paraId="2F4CAFDC"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single" w:sz="4" w:space="0" w:color="auto"/>
              <w:left w:val="nil"/>
              <w:right w:val="nil"/>
            </w:tcBorders>
            <w:shd w:val="clear" w:color="auto" w:fill="auto"/>
            <w:vAlign w:val="center"/>
            <w:hideMark/>
          </w:tcPr>
          <w:p w14:paraId="2C0365A9"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.94</w:t>
            </w:r>
          </w:p>
        </w:tc>
        <w:tc>
          <w:tcPr>
            <w:tcW w:w="836" w:type="dxa"/>
            <w:tcBorders>
              <w:top w:val="single" w:sz="4" w:space="0" w:color="auto"/>
              <w:left w:val="nil"/>
              <w:right w:val="nil"/>
            </w:tcBorders>
            <w:shd w:val="clear" w:color="auto" w:fill="auto"/>
            <w:vAlign w:val="center"/>
            <w:hideMark/>
          </w:tcPr>
          <w:p w14:paraId="195FDCF6"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.94</w:t>
            </w:r>
          </w:p>
        </w:tc>
        <w:tc>
          <w:tcPr>
            <w:tcW w:w="846" w:type="dxa"/>
            <w:tcBorders>
              <w:top w:val="single" w:sz="4" w:space="0" w:color="auto"/>
              <w:left w:val="nil"/>
              <w:right w:val="nil"/>
            </w:tcBorders>
            <w:shd w:val="clear" w:color="auto" w:fill="auto"/>
            <w:vAlign w:val="center"/>
            <w:hideMark/>
          </w:tcPr>
          <w:p w14:paraId="0DAC97AC"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.88</w:t>
            </w:r>
          </w:p>
        </w:tc>
        <w:tc>
          <w:tcPr>
            <w:tcW w:w="846" w:type="dxa"/>
            <w:tcBorders>
              <w:top w:val="single" w:sz="4" w:space="0" w:color="auto"/>
              <w:left w:val="nil"/>
              <w:right w:val="nil"/>
            </w:tcBorders>
            <w:shd w:val="clear" w:color="auto" w:fill="auto"/>
            <w:vAlign w:val="center"/>
            <w:hideMark/>
          </w:tcPr>
          <w:p w14:paraId="31434DD8"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single" w:sz="4" w:space="0" w:color="auto"/>
              <w:left w:val="nil"/>
              <w:right w:val="nil"/>
            </w:tcBorders>
            <w:shd w:val="clear" w:color="auto" w:fill="auto"/>
            <w:vAlign w:val="center"/>
            <w:hideMark/>
          </w:tcPr>
          <w:p w14:paraId="7E0E1F52"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val="en-GB" w:eastAsia="fr-FR"/>
              </w:rPr>
              <w:t>.91</w:t>
            </w:r>
          </w:p>
        </w:tc>
        <w:tc>
          <w:tcPr>
            <w:tcW w:w="893" w:type="dxa"/>
            <w:tcBorders>
              <w:top w:val="single" w:sz="4" w:space="0" w:color="auto"/>
              <w:left w:val="nil"/>
              <w:right w:val="nil"/>
            </w:tcBorders>
            <w:shd w:val="clear" w:color="auto" w:fill="auto"/>
            <w:vAlign w:val="center"/>
            <w:hideMark/>
          </w:tcPr>
          <w:p w14:paraId="7ED49468"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val="en-GB" w:eastAsia="fr-FR"/>
              </w:rPr>
              <w:t>.88</w:t>
            </w:r>
          </w:p>
        </w:tc>
      </w:tr>
      <w:tr w:rsidR="000F25DF" w:rsidRPr="00127ECC" w14:paraId="6A67DEF5" w14:textId="77777777" w:rsidTr="00BE1FB1">
        <w:trPr>
          <w:trHeight w:val="300"/>
        </w:trPr>
        <w:tc>
          <w:tcPr>
            <w:tcW w:w="1254" w:type="dxa"/>
            <w:vMerge/>
            <w:tcBorders>
              <w:left w:val="nil"/>
              <w:right w:val="nil"/>
            </w:tcBorders>
            <w:shd w:val="clear" w:color="auto" w:fill="auto"/>
            <w:vAlign w:val="center"/>
          </w:tcPr>
          <w:p w14:paraId="2391794C" w14:textId="77777777" w:rsidR="00C10174" w:rsidRPr="00127ECC" w:rsidRDefault="00C10174" w:rsidP="004068E0">
            <w:pPr>
              <w:spacing w:after="0" w:line="480" w:lineRule="auto"/>
              <w:rPr>
                <w:rFonts w:ascii="Calibri" w:eastAsia="Times New Roman" w:hAnsi="Calibri" w:cs="Times New Roman"/>
                <w:color w:val="000000"/>
                <w:lang w:val="fr-FR" w:eastAsia="fr-FR"/>
              </w:rPr>
            </w:pPr>
          </w:p>
        </w:tc>
        <w:tc>
          <w:tcPr>
            <w:tcW w:w="1617" w:type="dxa"/>
            <w:tcBorders>
              <w:top w:val="nil"/>
              <w:left w:val="nil"/>
              <w:right w:val="nil"/>
            </w:tcBorders>
            <w:shd w:val="clear" w:color="auto" w:fill="auto"/>
            <w:vAlign w:val="center"/>
            <w:hideMark/>
          </w:tcPr>
          <w:p w14:paraId="1EE7244A"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Spec.</w:t>
            </w:r>
          </w:p>
        </w:tc>
        <w:tc>
          <w:tcPr>
            <w:tcW w:w="836" w:type="dxa"/>
            <w:tcBorders>
              <w:top w:val="nil"/>
              <w:left w:val="nil"/>
              <w:right w:val="nil"/>
            </w:tcBorders>
            <w:shd w:val="clear" w:color="auto" w:fill="auto"/>
            <w:vAlign w:val="center"/>
            <w:hideMark/>
          </w:tcPr>
          <w:p w14:paraId="2467EFE5"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.91</w:t>
            </w:r>
          </w:p>
        </w:tc>
        <w:tc>
          <w:tcPr>
            <w:tcW w:w="846" w:type="dxa"/>
            <w:tcBorders>
              <w:top w:val="nil"/>
              <w:left w:val="nil"/>
              <w:right w:val="nil"/>
            </w:tcBorders>
            <w:shd w:val="clear" w:color="auto" w:fill="auto"/>
            <w:vAlign w:val="center"/>
            <w:hideMark/>
          </w:tcPr>
          <w:p w14:paraId="426AE2D5"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.91</w:t>
            </w:r>
          </w:p>
        </w:tc>
        <w:tc>
          <w:tcPr>
            <w:tcW w:w="836" w:type="dxa"/>
            <w:tcBorders>
              <w:top w:val="nil"/>
              <w:left w:val="nil"/>
              <w:right w:val="nil"/>
            </w:tcBorders>
            <w:shd w:val="clear" w:color="auto" w:fill="auto"/>
            <w:vAlign w:val="center"/>
            <w:hideMark/>
          </w:tcPr>
          <w:p w14:paraId="198CD987"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.91</w:t>
            </w:r>
          </w:p>
        </w:tc>
        <w:tc>
          <w:tcPr>
            <w:tcW w:w="846" w:type="dxa"/>
            <w:tcBorders>
              <w:top w:val="nil"/>
              <w:left w:val="nil"/>
              <w:right w:val="nil"/>
            </w:tcBorders>
            <w:shd w:val="clear" w:color="auto" w:fill="auto"/>
            <w:vAlign w:val="center"/>
            <w:hideMark/>
          </w:tcPr>
          <w:p w14:paraId="4B81C2D8"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.88</w:t>
            </w:r>
          </w:p>
        </w:tc>
        <w:tc>
          <w:tcPr>
            <w:tcW w:w="846" w:type="dxa"/>
            <w:tcBorders>
              <w:top w:val="nil"/>
              <w:left w:val="nil"/>
              <w:right w:val="nil"/>
            </w:tcBorders>
            <w:shd w:val="clear" w:color="auto" w:fill="auto"/>
            <w:vAlign w:val="center"/>
            <w:hideMark/>
          </w:tcPr>
          <w:p w14:paraId="4C1CB827"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.97</w:t>
            </w:r>
          </w:p>
        </w:tc>
        <w:tc>
          <w:tcPr>
            <w:tcW w:w="846" w:type="dxa"/>
            <w:tcBorders>
              <w:top w:val="nil"/>
              <w:left w:val="nil"/>
              <w:right w:val="nil"/>
            </w:tcBorders>
            <w:shd w:val="clear" w:color="auto" w:fill="auto"/>
            <w:vAlign w:val="center"/>
            <w:hideMark/>
          </w:tcPr>
          <w:p w14:paraId="04D1884A"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val="en-GB" w:eastAsia="fr-FR"/>
              </w:rPr>
              <w:t>.91</w:t>
            </w:r>
          </w:p>
        </w:tc>
        <w:tc>
          <w:tcPr>
            <w:tcW w:w="893" w:type="dxa"/>
            <w:tcBorders>
              <w:top w:val="nil"/>
              <w:left w:val="nil"/>
              <w:right w:val="nil"/>
            </w:tcBorders>
            <w:shd w:val="clear" w:color="auto" w:fill="auto"/>
            <w:vAlign w:val="center"/>
            <w:hideMark/>
          </w:tcPr>
          <w:p w14:paraId="7566235F" w14:textId="77777777" w:rsidR="00C10174" w:rsidRPr="00127ECC" w:rsidRDefault="00C10174" w:rsidP="004068E0">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val="en-GB" w:eastAsia="fr-FR"/>
              </w:rPr>
              <w:t>.94</w:t>
            </w:r>
          </w:p>
        </w:tc>
      </w:tr>
      <w:tr w:rsidR="000F25DF" w:rsidRPr="00127ECC" w14:paraId="106D4026" w14:textId="77777777" w:rsidTr="00BE1FB1">
        <w:trPr>
          <w:trHeight w:val="600"/>
        </w:trPr>
        <w:tc>
          <w:tcPr>
            <w:tcW w:w="1254" w:type="dxa"/>
            <w:vMerge/>
            <w:tcBorders>
              <w:left w:val="nil"/>
              <w:bottom w:val="single" w:sz="4" w:space="0" w:color="auto"/>
              <w:right w:val="nil"/>
            </w:tcBorders>
            <w:shd w:val="clear" w:color="auto" w:fill="auto"/>
            <w:vAlign w:val="center"/>
          </w:tcPr>
          <w:p w14:paraId="2DE14920" w14:textId="77777777" w:rsidR="00C10174" w:rsidRPr="00127ECC" w:rsidRDefault="00C10174" w:rsidP="00C10174">
            <w:pPr>
              <w:spacing w:after="0" w:line="480" w:lineRule="auto"/>
              <w:jc w:val="right"/>
              <w:rPr>
                <w:rFonts w:ascii="Calibri" w:eastAsia="Times New Roman" w:hAnsi="Calibri" w:cs="Times New Roman"/>
                <w:color w:val="000000"/>
                <w:lang w:val="fr-FR" w:eastAsia="fr-FR"/>
              </w:rPr>
            </w:pPr>
          </w:p>
        </w:tc>
        <w:tc>
          <w:tcPr>
            <w:tcW w:w="1617" w:type="dxa"/>
            <w:tcBorders>
              <w:left w:val="nil"/>
              <w:bottom w:val="single" w:sz="4" w:space="0" w:color="auto"/>
              <w:right w:val="nil"/>
            </w:tcBorders>
            <w:shd w:val="clear" w:color="auto" w:fill="auto"/>
            <w:vAlign w:val="center"/>
          </w:tcPr>
          <w:p w14:paraId="36BF2E96" w14:textId="77777777" w:rsidR="00C10174" w:rsidRPr="00127ECC" w:rsidRDefault="00C10174" w:rsidP="00C10174">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val="en-GB" w:eastAsia="fr-FR"/>
              </w:rPr>
              <w:t>Optimal cut-off</w:t>
            </w:r>
          </w:p>
        </w:tc>
        <w:tc>
          <w:tcPr>
            <w:tcW w:w="836" w:type="dxa"/>
            <w:tcBorders>
              <w:left w:val="nil"/>
              <w:bottom w:val="single" w:sz="4" w:space="0" w:color="auto"/>
              <w:right w:val="nil"/>
            </w:tcBorders>
            <w:shd w:val="clear" w:color="auto" w:fill="auto"/>
            <w:vAlign w:val="center"/>
            <w:hideMark/>
          </w:tcPr>
          <w:p w14:paraId="5F6B01CA" w14:textId="77777777" w:rsidR="00C10174" w:rsidRPr="00127ECC" w:rsidRDefault="00C10174"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-1.31</w:t>
            </w:r>
          </w:p>
        </w:tc>
        <w:tc>
          <w:tcPr>
            <w:tcW w:w="846" w:type="dxa"/>
            <w:tcBorders>
              <w:left w:val="nil"/>
              <w:bottom w:val="single" w:sz="4" w:space="0" w:color="auto"/>
              <w:right w:val="nil"/>
            </w:tcBorders>
            <w:shd w:val="clear" w:color="auto" w:fill="auto"/>
            <w:vAlign w:val="center"/>
            <w:hideMark/>
          </w:tcPr>
          <w:p w14:paraId="27307F4C" w14:textId="77777777" w:rsidR="00C10174" w:rsidRPr="00127ECC" w:rsidRDefault="00C10174"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-1.38</w:t>
            </w:r>
          </w:p>
        </w:tc>
        <w:tc>
          <w:tcPr>
            <w:tcW w:w="836" w:type="dxa"/>
            <w:tcBorders>
              <w:left w:val="nil"/>
              <w:bottom w:val="single" w:sz="4" w:space="0" w:color="auto"/>
              <w:right w:val="nil"/>
            </w:tcBorders>
            <w:shd w:val="clear" w:color="auto" w:fill="auto"/>
            <w:vAlign w:val="center"/>
            <w:hideMark/>
          </w:tcPr>
          <w:p w14:paraId="0A904315" w14:textId="77777777" w:rsidR="00C10174" w:rsidRPr="00127ECC" w:rsidRDefault="00C10174"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-2</w:t>
            </w:r>
          </w:p>
        </w:tc>
        <w:tc>
          <w:tcPr>
            <w:tcW w:w="846" w:type="dxa"/>
            <w:tcBorders>
              <w:left w:val="nil"/>
              <w:bottom w:val="single" w:sz="4" w:space="0" w:color="auto"/>
              <w:right w:val="nil"/>
            </w:tcBorders>
            <w:shd w:val="clear" w:color="auto" w:fill="auto"/>
            <w:vAlign w:val="center"/>
            <w:hideMark/>
          </w:tcPr>
          <w:p w14:paraId="5B6A2025" w14:textId="77777777" w:rsidR="00C10174" w:rsidRPr="00127ECC" w:rsidRDefault="00C10174"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-1.57</w:t>
            </w:r>
          </w:p>
        </w:tc>
        <w:tc>
          <w:tcPr>
            <w:tcW w:w="846" w:type="dxa"/>
            <w:tcBorders>
              <w:left w:val="nil"/>
              <w:bottom w:val="single" w:sz="4" w:space="0" w:color="auto"/>
              <w:right w:val="nil"/>
            </w:tcBorders>
            <w:shd w:val="clear" w:color="auto" w:fill="auto"/>
            <w:vAlign w:val="center"/>
            <w:hideMark/>
          </w:tcPr>
          <w:p w14:paraId="11600908" w14:textId="77777777" w:rsidR="00C10174" w:rsidRPr="00127ECC" w:rsidRDefault="00C10174"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eastAsia="fr-FR"/>
              </w:rPr>
              <w:t>-1.92</w:t>
            </w:r>
          </w:p>
        </w:tc>
        <w:tc>
          <w:tcPr>
            <w:tcW w:w="846" w:type="dxa"/>
            <w:tcBorders>
              <w:left w:val="nil"/>
              <w:bottom w:val="single" w:sz="4" w:space="0" w:color="auto"/>
              <w:right w:val="nil"/>
            </w:tcBorders>
            <w:shd w:val="clear" w:color="auto" w:fill="auto"/>
            <w:vAlign w:val="center"/>
            <w:hideMark/>
          </w:tcPr>
          <w:p w14:paraId="2C47265D" w14:textId="77777777" w:rsidR="00C10174" w:rsidRPr="00127ECC" w:rsidRDefault="00C10174"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val="en-GB" w:eastAsia="fr-FR"/>
              </w:rPr>
              <w:t>-1.43</w:t>
            </w:r>
          </w:p>
        </w:tc>
        <w:tc>
          <w:tcPr>
            <w:tcW w:w="893" w:type="dxa"/>
            <w:tcBorders>
              <w:left w:val="nil"/>
              <w:bottom w:val="single" w:sz="4" w:space="0" w:color="auto"/>
              <w:right w:val="nil"/>
            </w:tcBorders>
            <w:shd w:val="clear" w:color="auto" w:fill="auto"/>
            <w:vAlign w:val="center"/>
            <w:hideMark/>
          </w:tcPr>
          <w:p w14:paraId="409788F0" w14:textId="77777777" w:rsidR="00C10174" w:rsidRPr="00127ECC" w:rsidRDefault="00C10174" w:rsidP="005F28F9">
            <w:pPr>
              <w:spacing w:after="0" w:line="480" w:lineRule="auto"/>
              <w:rPr>
                <w:rFonts w:ascii="Calibri" w:eastAsia="Times New Roman" w:hAnsi="Calibri" w:cs="Times New Roman"/>
                <w:color w:val="000000"/>
                <w:lang w:val="fr-FR" w:eastAsia="fr-FR"/>
              </w:rPr>
            </w:pPr>
            <w:r w:rsidRPr="00127ECC">
              <w:rPr>
                <w:rFonts w:ascii="Calibri" w:eastAsia="Times New Roman" w:hAnsi="Calibri" w:cs="Times New Roman"/>
                <w:color w:val="000000"/>
                <w:lang w:val="en-GB" w:eastAsia="fr-FR"/>
              </w:rPr>
              <w:t>-1.7</w:t>
            </w:r>
          </w:p>
        </w:tc>
      </w:tr>
    </w:tbl>
    <w:p w14:paraId="4A42A6EE" w14:textId="77777777" w:rsidR="00121B1E" w:rsidRPr="005A55A8" w:rsidRDefault="00121B1E">
      <w:pPr>
        <w:rPr>
          <w:lang w:val="en-GB"/>
        </w:rPr>
      </w:pPr>
      <w:r w:rsidRPr="005A55A8">
        <w:rPr>
          <w:lang w:val="en-GB"/>
        </w:rPr>
        <w:br w:type="page"/>
      </w:r>
    </w:p>
    <w:p w14:paraId="7A0AC9FB" w14:textId="7B7AA667" w:rsidR="00121B1E" w:rsidRPr="005A55A8" w:rsidRDefault="00121B1E" w:rsidP="00BE1FB1">
      <w:pPr>
        <w:rPr>
          <w:lang w:val="en-GB"/>
        </w:rPr>
      </w:pPr>
      <w:r w:rsidRPr="005A55A8">
        <w:rPr>
          <w:lang w:val="en-GB"/>
        </w:rPr>
        <w:lastRenderedPageBreak/>
        <w:t xml:space="preserve">Table </w:t>
      </w:r>
      <w:r w:rsidR="00500001">
        <w:rPr>
          <w:lang w:val="en-GB"/>
        </w:rPr>
        <w:t>4</w:t>
      </w:r>
      <w:r w:rsidRPr="005A55A8">
        <w:rPr>
          <w:lang w:val="en-GB"/>
        </w:rPr>
        <w:t xml:space="preserve"> </w:t>
      </w:r>
    </w:p>
    <w:p w14:paraId="0AF39401" w14:textId="2B4EAF50" w:rsidR="00121B1E" w:rsidRPr="005A55A8" w:rsidRDefault="00121B1E" w:rsidP="00902154">
      <w:pPr>
        <w:spacing w:after="0" w:line="480" w:lineRule="auto"/>
        <w:rPr>
          <w:i/>
          <w:lang w:val="en-GB"/>
        </w:rPr>
      </w:pPr>
      <w:r w:rsidRPr="005A55A8">
        <w:rPr>
          <w:i/>
          <w:lang w:val="en-GB"/>
        </w:rPr>
        <w:t xml:space="preserve">Correlations </w:t>
      </w:r>
      <w:proofErr w:type="gramStart"/>
      <w:r w:rsidR="00902154">
        <w:rPr>
          <w:i/>
          <w:lang w:val="en-GB"/>
        </w:rPr>
        <w:t>B</w:t>
      </w:r>
      <w:r w:rsidR="00902154" w:rsidRPr="005A55A8">
        <w:rPr>
          <w:i/>
          <w:lang w:val="en-GB"/>
        </w:rPr>
        <w:t>etween</w:t>
      </w:r>
      <w:proofErr w:type="gramEnd"/>
      <w:r w:rsidR="00902154" w:rsidRPr="005A55A8">
        <w:rPr>
          <w:i/>
          <w:lang w:val="en-GB"/>
        </w:rPr>
        <w:t xml:space="preserve"> </w:t>
      </w:r>
      <w:r w:rsidRPr="005A55A8">
        <w:rPr>
          <w:i/>
          <w:lang w:val="en-GB"/>
        </w:rPr>
        <w:t xml:space="preserve">All Scoring Measures in the SLI Group </w:t>
      </w:r>
      <w:r w:rsidR="00E967AA">
        <w:rPr>
          <w:i/>
          <w:lang w:val="en-GB"/>
        </w:rPr>
        <w:t>(</w:t>
      </w:r>
      <w:r w:rsidR="00E967AA" w:rsidRPr="005A55A8">
        <w:rPr>
          <w:i/>
          <w:lang w:val="en-GB"/>
        </w:rPr>
        <w:t>Age Control Group</w:t>
      </w:r>
      <w:r w:rsidR="00E967AA">
        <w:rPr>
          <w:i/>
          <w:lang w:val="en-GB"/>
        </w:rPr>
        <w:t xml:space="preserve"> in </w:t>
      </w:r>
      <w:r w:rsidR="00727732">
        <w:rPr>
          <w:i/>
          <w:lang w:val="en-GB"/>
        </w:rPr>
        <w:t>P</w:t>
      </w:r>
      <w:r w:rsidR="00E967AA">
        <w:rPr>
          <w:i/>
          <w:lang w:val="en-GB"/>
        </w:rPr>
        <w:t>arentheses)</w:t>
      </w:r>
    </w:p>
    <w:tbl>
      <w:tblPr>
        <w:tblStyle w:val="Grilledutableau"/>
        <w:tblW w:w="0" w:type="auto"/>
        <w:tblLook w:val="04A0" w:firstRow="1" w:lastRow="0" w:firstColumn="1" w:lastColumn="0" w:noHBand="0" w:noVBand="1"/>
      </w:tblPr>
      <w:tblGrid>
        <w:gridCol w:w="1166"/>
        <w:gridCol w:w="1151"/>
        <w:gridCol w:w="1123"/>
        <w:gridCol w:w="1150"/>
        <w:gridCol w:w="1128"/>
        <w:gridCol w:w="1166"/>
        <w:gridCol w:w="1099"/>
        <w:gridCol w:w="1021"/>
      </w:tblGrid>
      <w:tr w:rsidR="00121B1E" w:rsidRPr="005A55A8" w14:paraId="3286D168" w14:textId="77777777" w:rsidTr="00FC111B">
        <w:trPr>
          <w:trHeight w:val="529"/>
        </w:trPr>
        <w:tc>
          <w:tcPr>
            <w:tcW w:w="1166" w:type="dxa"/>
            <w:tcBorders>
              <w:left w:val="nil"/>
              <w:bottom w:val="nil"/>
              <w:right w:val="nil"/>
            </w:tcBorders>
          </w:tcPr>
          <w:p w14:paraId="3D819A8B" w14:textId="77777777" w:rsidR="00121B1E" w:rsidRPr="005A55A8" w:rsidRDefault="00121B1E" w:rsidP="00902154">
            <w:pPr>
              <w:spacing w:line="480" w:lineRule="auto"/>
              <w:rPr>
                <w:lang w:val="en-GB"/>
              </w:rPr>
            </w:pPr>
            <w:r w:rsidRPr="005A55A8">
              <w:rPr>
                <w:lang w:val="en-GB"/>
              </w:rPr>
              <w:br w:type="page"/>
            </w:r>
          </w:p>
        </w:tc>
        <w:tc>
          <w:tcPr>
            <w:tcW w:w="1151" w:type="dxa"/>
            <w:tcBorders>
              <w:left w:val="nil"/>
              <w:right w:val="nil"/>
            </w:tcBorders>
          </w:tcPr>
          <w:p w14:paraId="30129878" w14:textId="77777777" w:rsidR="00121B1E" w:rsidRPr="005A55A8" w:rsidRDefault="00121B1E" w:rsidP="00902154">
            <w:pPr>
              <w:spacing w:line="480" w:lineRule="auto"/>
              <w:rPr>
                <w:lang w:val="en-GB"/>
              </w:rPr>
            </w:pPr>
            <w:r w:rsidRPr="005A55A8">
              <w:rPr>
                <w:lang w:val="en-GB"/>
              </w:rPr>
              <w:t>SENT</w:t>
            </w:r>
          </w:p>
        </w:tc>
        <w:tc>
          <w:tcPr>
            <w:tcW w:w="1123" w:type="dxa"/>
            <w:tcBorders>
              <w:left w:val="nil"/>
              <w:right w:val="nil"/>
            </w:tcBorders>
          </w:tcPr>
          <w:p w14:paraId="5470027E" w14:textId="77777777" w:rsidR="00121B1E" w:rsidRPr="005A55A8" w:rsidRDefault="00121B1E" w:rsidP="00902154">
            <w:pPr>
              <w:spacing w:line="480" w:lineRule="auto"/>
              <w:rPr>
                <w:lang w:val="en-GB"/>
              </w:rPr>
            </w:pPr>
            <w:r w:rsidRPr="005A55A8">
              <w:rPr>
                <w:lang w:val="en-GB"/>
              </w:rPr>
              <w:t>NBR</w:t>
            </w:r>
          </w:p>
        </w:tc>
        <w:tc>
          <w:tcPr>
            <w:tcW w:w="1150" w:type="dxa"/>
            <w:tcBorders>
              <w:left w:val="nil"/>
              <w:right w:val="nil"/>
            </w:tcBorders>
          </w:tcPr>
          <w:p w14:paraId="681C7FE0" w14:textId="77777777" w:rsidR="00121B1E" w:rsidRPr="005A55A8" w:rsidRDefault="00121B1E" w:rsidP="00902154">
            <w:pPr>
              <w:spacing w:line="480" w:lineRule="auto"/>
              <w:rPr>
                <w:lang w:val="en-GB"/>
              </w:rPr>
            </w:pPr>
            <w:r w:rsidRPr="005A55A8">
              <w:rPr>
                <w:lang w:val="en-GB"/>
              </w:rPr>
              <w:t>SYNT</w:t>
            </w:r>
          </w:p>
        </w:tc>
        <w:tc>
          <w:tcPr>
            <w:tcW w:w="1128" w:type="dxa"/>
            <w:tcBorders>
              <w:left w:val="nil"/>
              <w:right w:val="nil"/>
            </w:tcBorders>
          </w:tcPr>
          <w:p w14:paraId="2862A7FE" w14:textId="77777777" w:rsidR="00121B1E" w:rsidRPr="005A55A8" w:rsidRDefault="00121B1E" w:rsidP="00902154">
            <w:pPr>
              <w:spacing w:line="480" w:lineRule="auto"/>
              <w:rPr>
                <w:lang w:val="en-GB"/>
              </w:rPr>
            </w:pPr>
            <w:r w:rsidRPr="005A55A8">
              <w:rPr>
                <w:lang w:val="en-GB"/>
              </w:rPr>
              <w:t>SEM</w:t>
            </w:r>
          </w:p>
        </w:tc>
        <w:tc>
          <w:tcPr>
            <w:tcW w:w="1166" w:type="dxa"/>
            <w:tcBorders>
              <w:left w:val="nil"/>
              <w:right w:val="nil"/>
            </w:tcBorders>
          </w:tcPr>
          <w:p w14:paraId="6BD37929" w14:textId="77777777" w:rsidR="00121B1E" w:rsidRPr="005A55A8" w:rsidRDefault="00121B1E" w:rsidP="00902154">
            <w:pPr>
              <w:spacing w:line="480" w:lineRule="auto"/>
              <w:rPr>
                <w:lang w:val="en-GB"/>
              </w:rPr>
            </w:pPr>
            <w:r w:rsidRPr="005A55A8">
              <w:rPr>
                <w:lang w:val="en-GB"/>
              </w:rPr>
              <w:t>FUNC</w:t>
            </w:r>
          </w:p>
        </w:tc>
        <w:tc>
          <w:tcPr>
            <w:tcW w:w="1099" w:type="dxa"/>
            <w:tcBorders>
              <w:left w:val="nil"/>
              <w:right w:val="nil"/>
            </w:tcBorders>
          </w:tcPr>
          <w:p w14:paraId="2ADC1B72" w14:textId="77777777" w:rsidR="00121B1E" w:rsidRPr="005A55A8" w:rsidRDefault="00121B1E" w:rsidP="00902154">
            <w:pPr>
              <w:spacing w:line="480" w:lineRule="auto"/>
              <w:rPr>
                <w:lang w:val="en-GB"/>
              </w:rPr>
            </w:pPr>
            <w:r w:rsidRPr="005A55A8">
              <w:rPr>
                <w:lang w:val="en-GB"/>
              </w:rPr>
              <w:t>LEX</w:t>
            </w:r>
          </w:p>
        </w:tc>
        <w:tc>
          <w:tcPr>
            <w:tcW w:w="1021" w:type="dxa"/>
            <w:tcBorders>
              <w:left w:val="nil"/>
              <w:right w:val="nil"/>
            </w:tcBorders>
          </w:tcPr>
          <w:p w14:paraId="5915C080" w14:textId="77777777" w:rsidR="00121B1E" w:rsidRPr="005A55A8" w:rsidRDefault="00121B1E" w:rsidP="00902154">
            <w:pPr>
              <w:spacing w:line="480" w:lineRule="auto"/>
              <w:rPr>
                <w:lang w:val="en-GB"/>
              </w:rPr>
            </w:pPr>
            <w:r w:rsidRPr="005A55A8">
              <w:rPr>
                <w:lang w:val="en-GB"/>
              </w:rPr>
              <w:t>MORPH</w:t>
            </w:r>
          </w:p>
        </w:tc>
      </w:tr>
      <w:tr w:rsidR="00121B1E" w:rsidRPr="005A55A8" w14:paraId="05EBF4FE" w14:textId="77777777" w:rsidTr="00FC111B">
        <w:trPr>
          <w:trHeight w:val="546"/>
        </w:trPr>
        <w:tc>
          <w:tcPr>
            <w:tcW w:w="1166" w:type="dxa"/>
            <w:tcBorders>
              <w:top w:val="nil"/>
              <w:left w:val="nil"/>
              <w:bottom w:val="nil"/>
              <w:right w:val="nil"/>
            </w:tcBorders>
          </w:tcPr>
          <w:p w14:paraId="791C53A0" w14:textId="77777777" w:rsidR="00121B1E" w:rsidRPr="005A55A8" w:rsidRDefault="00121B1E" w:rsidP="00902154">
            <w:pPr>
              <w:spacing w:line="480" w:lineRule="auto"/>
            </w:pPr>
            <w:r w:rsidRPr="005A55A8">
              <w:t>SENT</w:t>
            </w:r>
            <w:r w:rsidRPr="005A55A8">
              <w:rPr>
                <w:lang w:val="en-GB"/>
              </w:rPr>
              <w:t xml:space="preserve">                             </w:t>
            </w:r>
          </w:p>
        </w:tc>
        <w:tc>
          <w:tcPr>
            <w:tcW w:w="1151" w:type="dxa"/>
            <w:tcBorders>
              <w:left w:val="nil"/>
              <w:bottom w:val="nil"/>
              <w:right w:val="nil"/>
            </w:tcBorders>
          </w:tcPr>
          <w:p w14:paraId="4EC120F4" w14:textId="77777777" w:rsidR="00121B1E" w:rsidRPr="005A55A8" w:rsidRDefault="00121B1E" w:rsidP="00902154">
            <w:pPr>
              <w:spacing w:line="480" w:lineRule="auto"/>
              <w:rPr>
                <w:lang w:val="en-GB"/>
              </w:rPr>
            </w:pPr>
            <w:r w:rsidRPr="005A55A8">
              <w:rPr>
                <w:lang w:val="en-GB"/>
              </w:rPr>
              <w:t>-</w:t>
            </w:r>
          </w:p>
        </w:tc>
        <w:tc>
          <w:tcPr>
            <w:tcW w:w="1123" w:type="dxa"/>
            <w:tcBorders>
              <w:left w:val="nil"/>
              <w:bottom w:val="nil"/>
              <w:right w:val="nil"/>
            </w:tcBorders>
          </w:tcPr>
          <w:p w14:paraId="621A05FB" w14:textId="3AA921A7" w:rsidR="00121B1E" w:rsidRPr="005A55A8" w:rsidRDefault="00121B1E" w:rsidP="00902154">
            <w:pPr>
              <w:spacing w:line="480" w:lineRule="auto"/>
              <w:rPr>
                <w:lang w:val="en-GB"/>
              </w:rPr>
            </w:pPr>
            <w:r w:rsidRPr="005A55A8">
              <w:rPr>
                <w:lang w:val="en-GB"/>
              </w:rPr>
              <w:t>.38</w:t>
            </w:r>
            <w:r w:rsidR="00F5219E">
              <w:rPr>
                <w:lang w:val="en-GB"/>
              </w:rPr>
              <w:t xml:space="preserve">* </w:t>
            </w:r>
            <w:r w:rsidR="00E967AA">
              <w:rPr>
                <w:lang w:val="en-GB"/>
              </w:rPr>
              <w:t>(.81</w:t>
            </w:r>
            <w:r w:rsidR="00F5219E">
              <w:rPr>
                <w:lang w:val="en-GB"/>
              </w:rPr>
              <w:t>***</w:t>
            </w:r>
            <w:r w:rsidR="00E967AA">
              <w:rPr>
                <w:lang w:val="en-GB"/>
              </w:rPr>
              <w:t>)</w:t>
            </w:r>
          </w:p>
        </w:tc>
        <w:tc>
          <w:tcPr>
            <w:tcW w:w="1150" w:type="dxa"/>
            <w:tcBorders>
              <w:left w:val="nil"/>
              <w:bottom w:val="nil"/>
              <w:right w:val="nil"/>
            </w:tcBorders>
          </w:tcPr>
          <w:p w14:paraId="1B646A1E" w14:textId="057CCD1A" w:rsidR="00121B1E" w:rsidRPr="005A55A8" w:rsidRDefault="00121B1E" w:rsidP="00902154">
            <w:pPr>
              <w:spacing w:line="480" w:lineRule="auto"/>
              <w:rPr>
                <w:lang w:val="en-GB"/>
              </w:rPr>
            </w:pPr>
            <w:r w:rsidRPr="005A55A8">
              <w:rPr>
                <w:lang w:val="en-GB"/>
              </w:rPr>
              <w:t>.59</w:t>
            </w:r>
            <w:r w:rsidR="00F5219E">
              <w:rPr>
                <w:lang w:val="en-GB"/>
              </w:rPr>
              <w:t>***</w:t>
            </w:r>
            <w:r w:rsidR="00E967AA">
              <w:rPr>
                <w:lang w:val="en-GB"/>
              </w:rPr>
              <w:t xml:space="preserve"> (.72</w:t>
            </w:r>
            <w:r w:rsidR="00F5219E">
              <w:rPr>
                <w:lang w:val="en-GB"/>
              </w:rPr>
              <w:t>***</w:t>
            </w:r>
            <w:r w:rsidR="00E967AA">
              <w:rPr>
                <w:lang w:val="en-GB"/>
              </w:rPr>
              <w:t>)</w:t>
            </w:r>
          </w:p>
        </w:tc>
        <w:tc>
          <w:tcPr>
            <w:tcW w:w="1128" w:type="dxa"/>
            <w:tcBorders>
              <w:left w:val="nil"/>
              <w:bottom w:val="nil"/>
              <w:right w:val="nil"/>
            </w:tcBorders>
          </w:tcPr>
          <w:p w14:paraId="7647C501" w14:textId="28B3DA3A" w:rsidR="00121B1E" w:rsidRPr="005A55A8" w:rsidRDefault="00121B1E" w:rsidP="00902154">
            <w:pPr>
              <w:spacing w:line="480" w:lineRule="auto"/>
              <w:rPr>
                <w:lang w:val="en-GB"/>
              </w:rPr>
            </w:pPr>
            <w:r w:rsidRPr="005A55A8">
              <w:rPr>
                <w:lang w:val="en-GB"/>
              </w:rPr>
              <w:t>.17</w:t>
            </w:r>
            <w:r w:rsidR="00E967AA">
              <w:rPr>
                <w:lang w:val="en-GB"/>
              </w:rPr>
              <w:t xml:space="preserve"> (.68</w:t>
            </w:r>
            <w:r w:rsidR="00F5219E">
              <w:rPr>
                <w:lang w:val="en-GB"/>
              </w:rPr>
              <w:t>***</w:t>
            </w:r>
            <w:r w:rsidR="00E967AA">
              <w:rPr>
                <w:lang w:val="en-GB"/>
              </w:rPr>
              <w:t>)</w:t>
            </w:r>
          </w:p>
        </w:tc>
        <w:tc>
          <w:tcPr>
            <w:tcW w:w="1166" w:type="dxa"/>
            <w:tcBorders>
              <w:left w:val="nil"/>
              <w:bottom w:val="nil"/>
              <w:right w:val="nil"/>
            </w:tcBorders>
          </w:tcPr>
          <w:p w14:paraId="3A5DBBD6" w14:textId="1FD51239" w:rsidR="00121B1E" w:rsidRPr="005A55A8" w:rsidRDefault="00121B1E" w:rsidP="00902154">
            <w:pPr>
              <w:spacing w:line="480" w:lineRule="auto"/>
              <w:rPr>
                <w:lang w:val="en-GB"/>
              </w:rPr>
            </w:pPr>
            <w:r w:rsidRPr="005A55A8">
              <w:rPr>
                <w:lang w:val="en-GB"/>
              </w:rPr>
              <w:t>.42</w:t>
            </w:r>
            <w:r w:rsidR="00F5219E">
              <w:rPr>
                <w:lang w:val="en-GB"/>
              </w:rPr>
              <w:t>*</w:t>
            </w:r>
            <w:r w:rsidR="00E967AA">
              <w:rPr>
                <w:lang w:val="en-GB"/>
              </w:rPr>
              <w:t xml:space="preserve"> (.77</w:t>
            </w:r>
            <w:r w:rsidR="00F5219E">
              <w:rPr>
                <w:lang w:val="en-GB"/>
              </w:rPr>
              <w:t>***</w:t>
            </w:r>
            <w:r w:rsidR="00E967AA">
              <w:rPr>
                <w:lang w:val="en-GB"/>
              </w:rPr>
              <w:t>)</w:t>
            </w:r>
          </w:p>
        </w:tc>
        <w:tc>
          <w:tcPr>
            <w:tcW w:w="1099" w:type="dxa"/>
            <w:tcBorders>
              <w:left w:val="nil"/>
              <w:bottom w:val="nil"/>
              <w:right w:val="nil"/>
            </w:tcBorders>
          </w:tcPr>
          <w:p w14:paraId="38FBDFFA" w14:textId="0542C3DE" w:rsidR="00121B1E" w:rsidRPr="005A55A8" w:rsidRDefault="00121B1E" w:rsidP="00902154">
            <w:pPr>
              <w:spacing w:line="480" w:lineRule="auto"/>
              <w:rPr>
                <w:lang w:val="en-GB"/>
              </w:rPr>
            </w:pPr>
            <w:r w:rsidRPr="005A55A8">
              <w:rPr>
                <w:lang w:val="en-GB"/>
              </w:rPr>
              <w:t>.32</w:t>
            </w:r>
            <w:r w:rsidR="00E967AA">
              <w:rPr>
                <w:lang w:val="en-GB"/>
              </w:rPr>
              <w:t xml:space="preserve"> (.74</w:t>
            </w:r>
            <w:r w:rsidR="00F5219E">
              <w:rPr>
                <w:lang w:val="en-GB"/>
              </w:rPr>
              <w:t>***</w:t>
            </w:r>
            <w:r w:rsidR="00E967AA">
              <w:rPr>
                <w:lang w:val="en-GB"/>
              </w:rPr>
              <w:t>)</w:t>
            </w:r>
          </w:p>
        </w:tc>
        <w:tc>
          <w:tcPr>
            <w:tcW w:w="1021" w:type="dxa"/>
            <w:tcBorders>
              <w:left w:val="nil"/>
              <w:bottom w:val="nil"/>
              <w:right w:val="nil"/>
            </w:tcBorders>
          </w:tcPr>
          <w:p w14:paraId="31CC4E7E" w14:textId="4C28DBE3" w:rsidR="00121B1E" w:rsidRPr="005A55A8" w:rsidRDefault="00121B1E" w:rsidP="00902154">
            <w:pPr>
              <w:spacing w:line="480" w:lineRule="auto"/>
              <w:rPr>
                <w:lang w:val="en-GB"/>
              </w:rPr>
            </w:pPr>
            <w:r w:rsidRPr="005A55A8">
              <w:rPr>
                <w:lang w:val="en-GB"/>
              </w:rPr>
              <w:t>.54</w:t>
            </w:r>
            <w:r w:rsidR="00F5219E">
              <w:rPr>
                <w:lang w:val="en-GB"/>
              </w:rPr>
              <w:t>**</w:t>
            </w:r>
            <w:r w:rsidR="00E967AA">
              <w:rPr>
                <w:lang w:val="en-GB"/>
              </w:rPr>
              <w:t xml:space="preserve"> (.80</w:t>
            </w:r>
            <w:r w:rsidR="00F5219E">
              <w:rPr>
                <w:lang w:val="en-GB"/>
              </w:rPr>
              <w:t>***</w:t>
            </w:r>
            <w:r w:rsidR="00E967AA">
              <w:rPr>
                <w:lang w:val="en-GB"/>
              </w:rPr>
              <w:t>)</w:t>
            </w:r>
          </w:p>
        </w:tc>
      </w:tr>
      <w:tr w:rsidR="00121B1E" w:rsidRPr="005A55A8" w14:paraId="3B9AAADD" w14:textId="77777777" w:rsidTr="00FC111B">
        <w:trPr>
          <w:trHeight w:val="529"/>
        </w:trPr>
        <w:tc>
          <w:tcPr>
            <w:tcW w:w="1166" w:type="dxa"/>
            <w:tcBorders>
              <w:top w:val="nil"/>
              <w:left w:val="nil"/>
              <w:bottom w:val="nil"/>
              <w:right w:val="nil"/>
            </w:tcBorders>
          </w:tcPr>
          <w:p w14:paraId="4822771C" w14:textId="77777777" w:rsidR="00121B1E" w:rsidRPr="005A55A8" w:rsidRDefault="00121B1E" w:rsidP="00902154">
            <w:pPr>
              <w:spacing w:line="480" w:lineRule="auto"/>
            </w:pPr>
            <w:r w:rsidRPr="005A55A8">
              <w:t>NBR</w:t>
            </w:r>
          </w:p>
        </w:tc>
        <w:tc>
          <w:tcPr>
            <w:tcW w:w="1151" w:type="dxa"/>
            <w:tcBorders>
              <w:top w:val="nil"/>
              <w:left w:val="nil"/>
              <w:bottom w:val="nil"/>
              <w:right w:val="nil"/>
            </w:tcBorders>
          </w:tcPr>
          <w:p w14:paraId="6D4047E8" w14:textId="77777777" w:rsidR="00121B1E" w:rsidRPr="005A55A8" w:rsidRDefault="00121B1E" w:rsidP="00902154">
            <w:pPr>
              <w:spacing w:line="480" w:lineRule="auto"/>
              <w:rPr>
                <w:lang w:val="en-GB"/>
              </w:rPr>
            </w:pPr>
          </w:p>
        </w:tc>
        <w:tc>
          <w:tcPr>
            <w:tcW w:w="1123" w:type="dxa"/>
            <w:tcBorders>
              <w:top w:val="nil"/>
              <w:left w:val="nil"/>
              <w:bottom w:val="nil"/>
              <w:right w:val="nil"/>
            </w:tcBorders>
          </w:tcPr>
          <w:p w14:paraId="56138E35" w14:textId="77777777" w:rsidR="00121B1E" w:rsidRPr="005A55A8" w:rsidRDefault="00121B1E" w:rsidP="00902154">
            <w:pPr>
              <w:spacing w:line="480" w:lineRule="auto"/>
              <w:rPr>
                <w:lang w:val="en-GB"/>
              </w:rPr>
            </w:pPr>
            <w:r w:rsidRPr="005A55A8">
              <w:rPr>
                <w:lang w:val="en-GB"/>
              </w:rPr>
              <w:t>-</w:t>
            </w:r>
          </w:p>
        </w:tc>
        <w:tc>
          <w:tcPr>
            <w:tcW w:w="1150" w:type="dxa"/>
            <w:tcBorders>
              <w:top w:val="nil"/>
              <w:left w:val="nil"/>
              <w:bottom w:val="nil"/>
              <w:right w:val="nil"/>
            </w:tcBorders>
          </w:tcPr>
          <w:p w14:paraId="47437C11" w14:textId="568882BB" w:rsidR="00121B1E" w:rsidRPr="005A55A8" w:rsidRDefault="00121B1E" w:rsidP="00902154">
            <w:pPr>
              <w:spacing w:line="480" w:lineRule="auto"/>
              <w:rPr>
                <w:lang w:val="en-GB"/>
              </w:rPr>
            </w:pPr>
            <w:r w:rsidRPr="005A55A8">
              <w:rPr>
                <w:lang w:val="en-GB"/>
              </w:rPr>
              <w:t>.81</w:t>
            </w:r>
            <w:r w:rsidR="00F5219E">
              <w:rPr>
                <w:lang w:val="en-GB"/>
              </w:rPr>
              <w:t>***</w:t>
            </w:r>
            <w:r w:rsidR="00E967AA">
              <w:rPr>
                <w:lang w:val="en-GB"/>
              </w:rPr>
              <w:t xml:space="preserve"> (.84</w:t>
            </w:r>
            <w:r w:rsidR="00F5219E">
              <w:rPr>
                <w:lang w:val="en-GB"/>
              </w:rPr>
              <w:t>***</w:t>
            </w:r>
            <w:r w:rsidR="00E967AA">
              <w:rPr>
                <w:lang w:val="en-GB"/>
              </w:rPr>
              <w:t>)</w:t>
            </w:r>
          </w:p>
        </w:tc>
        <w:tc>
          <w:tcPr>
            <w:tcW w:w="1128" w:type="dxa"/>
            <w:tcBorders>
              <w:top w:val="nil"/>
              <w:left w:val="nil"/>
              <w:bottom w:val="nil"/>
              <w:right w:val="nil"/>
            </w:tcBorders>
          </w:tcPr>
          <w:p w14:paraId="02FB78D6" w14:textId="4E0C3605" w:rsidR="00121B1E" w:rsidRPr="005A55A8" w:rsidRDefault="00121B1E" w:rsidP="00902154">
            <w:pPr>
              <w:spacing w:line="480" w:lineRule="auto"/>
              <w:rPr>
                <w:lang w:val="en-GB"/>
              </w:rPr>
            </w:pPr>
            <w:r w:rsidRPr="005A55A8">
              <w:rPr>
                <w:lang w:val="en-GB"/>
              </w:rPr>
              <w:t>.86</w:t>
            </w:r>
            <w:r w:rsidR="00F5219E">
              <w:rPr>
                <w:lang w:val="en-GB"/>
              </w:rPr>
              <w:t>***</w:t>
            </w:r>
            <w:r w:rsidR="00E967AA">
              <w:rPr>
                <w:lang w:val="en-GB"/>
              </w:rPr>
              <w:t xml:space="preserve"> (.79</w:t>
            </w:r>
            <w:r w:rsidR="00F5219E">
              <w:rPr>
                <w:lang w:val="en-GB"/>
              </w:rPr>
              <w:t>***</w:t>
            </w:r>
            <w:r w:rsidR="00E967AA">
              <w:rPr>
                <w:lang w:val="en-GB"/>
              </w:rPr>
              <w:t>)</w:t>
            </w:r>
          </w:p>
        </w:tc>
        <w:tc>
          <w:tcPr>
            <w:tcW w:w="1166" w:type="dxa"/>
            <w:tcBorders>
              <w:top w:val="nil"/>
              <w:left w:val="nil"/>
              <w:bottom w:val="nil"/>
              <w:right w:val="nil"/>
            </w:tcBorders>
          </w:tcPr>
          <w:p w14:paraId="0457695C" w14:textId="458141D8" w:rsidR="00121B1E" w:rsidRPr="005A55A8" w:rsidRDefault="00121B1E" w:rsidP="00902154">
            <w:pPr>
              <w:spacing w:line="480" w:lineRule="auto"/>
              <w:rPr>
                <w:lang w:val="en-GB"/>
              </w:rPr>
            </w:pPr>
            <w:r w:rsidRPr="005A55A8">
              <w:rPr>
                <w:lang w:val="en-GB"/>
              </w:rPr>
              <w:t>.89</w:t>
            </w:r>
            <w:r w:rsidR="00F5219E">
              <w:rPr>
                <w:lang w:val="en-GB"/>
              </w:rPr>
              <w:t>***</w:t>
            </w:r>
            <w:r w:rsidR="00E967AA">
              <w:rPr>
                <w:lang w:val="en-GB"/>
              </w:rPr>
              <w:t xml:space="preserve"> (.90</w:t>
            </w:r>
            <w:r w:rsidR="00F5219E">
              <w:rPr>
                <w:lang w:val="en-GB"/>
              </w:rPr>
              <w:t>***</w:t>
            </w:r>
            <w:r w:rsidR="00E967AA">
              <w:rPr>
                <w:lang w:val="en-GB"/>
              </w:rPr>
              <w:t>)</w:t>
            </w:r>
          </w:p>
        </w:tc>
        <w:tc>
          <w:tcPr>
            <w:tcW w:w="1099" w:type="dxa"/>
            <w:tcBorders>
              <w:top w:val="nil"/>
              <w:left w:val="nil"/>
              <w:bottom w:val="nil"/>
              <w:right w:val="nil"/>
            </w:tcBorders>
          </w:tcPr>
          <w:p w14:paraId="2871AA12" w14:textId="0AC7E81E" w:rsidR="00121B1E" w:rsidRPr="005A55A8" w:rsidRDefault="00121B1E" w:rsidP="00902154">
            <w:pPr>
              <w:spacing w:line="480" w:lineRule="auto"/>
              <w:rPr>
                <w:lang w:val="en-GB"/>
              </w:rPr>
            </w:pPr>
            <w:r w:rsidRPr="005A55A8">
              <w:rPr>
                <w:lang w:val="en-GB"/>
              </w:rPr>
              <w:t>.96</w:t>
            </w:r>
            <w:r w:rsidR="00F5219E">
              <w:rPr>
                <w:lang w:val="en-GB"/>
              </w:rPr>
              <w:t>***</w:t>
            </w:r>
            <w:r w:rsidR="00E967AA">
              <w:rPr>
                <w:lang w:val="en-GB"/>
              </w:rPr>
              <w:t xml:space="preserve"> (.97</w:t>
            </w:r>
            <w:r w:rsidR="00F5219E">
              <w:rPr>
                <w:lang w:val="en-GB"/>
              </w:rPr>
              <w:t>***</w:t>
            </w:r>
            <w:r w:rsidR="00E967AA">
              <w:rPr>
                <w:lang w:val="en-GB"/>
              </w:rPr>
              <w:t>)</w:t>
            </w:r>
          </w:p>
        </w:tc>
        <w:tc>
          <w:tcPr>
            <w:tcW w:w="1021" w:type="dxa"/>
            <w:tcBorders>
              <w:top w:val="nil"/>
              <w:left w:val="nil"/>
              <w:bottom w:val="nil"/>
              <w:right w:val="nil"/>
            </w:tcBorders>
          </w:tcPr>
          <w:p w14:paraId="2B962F20" w14:textId="322088E9" w:rsidR="00121B1E" w:rsidRPr="005A55A8" w:rsidRDefault="00121B1E" w:rsidP="00902154">
            <w:pPr>
              <w:spacing w:line="480" w:lineRule="auto"/>
              <w:rPr>
                <w:lang w:val="en-GB"/>
              </w:rPr>
            </w:pPr>
            <w:r w:rsidRPr="005A55A8">
              <w:rPr>
                <w:lang w:val="en-GB"/>
              </w:rPr>
              <w:t>.86</w:t>
            </w:r>
            <w:r w:rsidR="00F5219E">
              <w:rPr>
                <w:lang w:val="en-GB"/>
              </w:rPr>
              <w:t>***</w:t>
            </w:r>
            <w:r w:rsidR="00E967AA">
              <w:rPr>
                <w:lang w:val="en-GB"/>
              </w:rPr>
              <w:t xml:space="preserve"> (.85</w:t>
            </w:r>
            <w:r w:rsidR="00F5219E">
              <w:rPr>
                <w:lang w:val="en-GB"/>
              </w:rPr>
              <w:t>***</w:t>
            </w:r>
            <w:r w:rsidR="00E967AA">
              <w:rPr>
                <w:lang w:val="en-GB"/>
              </w:rPr>
              <w:t>)</w:t>
            </w:r>
          </w:p>
        </w:tc>
      </w:tr>
      <w:tr w:rsidR="00121B1E" w:rsidRPr="005A55A8" w14:paraId="598FD81D" w14:textId="77777777" w:rsidTr="00FC111B">
        <w:trPr>
          <w:trHeight w:val="546"/>
        </w:trPr>
        <w:tc>
          <w:tcPr>
            <w:tcW w:w="1166" w:type="dxa"/>
            <w:tcBorders>
              <w:top w:val="nil"/>
              <w:left w:val="nil"/>
              <w:bottom w:val="nil"/>
              <w:right w:val="nil"/>
            </w:tcBorders>
          </w:tcPr>
          <w:p w14:paraId="3799C660" w14:textId="77777777" w:rsidR="00121B1E" w:rsidRPr="005A55A8" w:rsidRDefault="00121B1E" w:rsidP="00902154">
            <w:pPr>
              <w:spacing w:line="480" w:lineRule="auto"/>
            </w:pPr>
            <w:r w:rsidRPr="005A55A8">
              <w:t>SYNT</w:t>
            </w:r>
          </w:p>
        </w:tc>
        <w:tc>
          <w:tcPr>
            <w:tcW w:w="1151" w:type="dxa"/>
            <w:tcBorders>
              <w:top w:val="nil"/>
              <w:left w:val="nil"/>
              <w:bottom w:val="nil"/>
              <w:right w:val="nil"/>
            </w:tcBorders>
          </w:tcPr>
          <w:p w14:paraId="215C2A31" w14:textId="77777777" w:rsidR="00121B1E" w:rsidRPr="005A55A8" w:rsidRDefault="00121B1E" w:rsidP="00902154">
            <w:pPr>
              <w:spacing w:line="480" w:lineRule="auto"/>
              <w:rPr>
                <w:lang w:val="en-GB"/>
              </w:rPr>
            </w:pPr>
          </w:p>
        </w:tc>
        <w:tc>
          <w:tcPr>
            <w:tcW w:w="1123" w:type="dxa"/>
            <w:tcBorders>
              <w:top w:val="nil"/>
              <w:left w:val="nil"/>
              <w:bottom w:val="nil"/>
              <w:right w:val="nil"/>
            </w:tcBorders>
          </w:tcPr>
          <w:p w14:paraId="67CB610E" w14:textId="77777777" w:rsidR="00121B1E" w:rsidRPr="005A55A8" w:rsidRDefault="00121B1E" w:rsidP="00902154">
            <w:pPr>
              <w:spacing w:line="480" w:lineRule="auto"/>
              <w:rPr>
                <w:lang w:val="en-GB"/>
              </w:rPr>
            </w:pPr>
          </w:p>
        </w:tc>
        <w:tc>
          <w:tcPr>
            <w:tcW w:w="1150" w:type="dxa"/>
            <w:tcBorders>
              <w:top w:val="nil"/>
              <w:left w:val="nil"/>
              <w:bottom w:val="nil"/>
              <w:right w:val="nil"/>
            </w:tcBorders>
          </w:tcPr>
          <w:p w14:paraId="00574C54" w14:textId="77777777" w:rsidR="00121B1E" w:rsidRPr="005A55A8" w:rsidRDefault="00121B1E" w:rsidP="00902154">
            <w:pPr>
              <w:spacing w:line="480" w:lineRule="auto"/>
              <w:rPr>
                <w:lang w:val="en-GB"/>
              </w:rPr>
            </w:pPr>
            <w:r w:rsidRPr="005A55A8">
              <w:rPr>
                <w:lang w:val="en-GB"/>
              </w:rPr>
              <w:t>-</w:t>
            </w:r>
          </w:p>
        </w:tc>
        <w:tc>
          <w:tcPr>
            <w:tcW w:w="1128" w:type="dxa"/>
            <w:tcBorders>
              <w:top w:val="nil"/>
              <w:left w:val="nil"/>
              <w:bottom w:val="nil"/>
              <w:right w:val="nil"/>
            </w:tcBorders>
          </w:tcPr>
          <w:p w14:paraId="3017D7C2" w14:textId="25312D76" w:rsidR="00121B1E" w:rsidRPr="005A55A8" w:rsidRDefault="00121B1E" w:rsidP="00902154">
            <w:pPr>
              <w:spacing w:line="480" w:lineRule="auto"/>
              <w:rPr>
                <w:lang w:val="en-GB"/>
              </w:rPr>
            </w:pPr>
            <w:r w:rsidRPr="005A55A8">
              <w:rPr>
                <w:lang w:val="en-GB"/>
              </w:rPr>
              <w:t>.63</w:t>
            </w:r>
            <w:r w:rsidR="00F5219E">
              <w:rPr>
                <w:lang w:val="en-GB"/>
              </w:rPr>
              <w:t>***</w:t>
            </w:r>
            <w:r w:rsidR="00E967AA">
              <w:rPr>
                <w:lang w:val="en-GB"/>
              </w:rPr>
              <w:t xml:space="preserve"> (.82</w:t>
            </w:r>
            <w:r w:rsidR="00F5219E">
              <w:rPr>
                <w:lang w:val="en-GB"/>
              </w:rPr>
              <w:t>***</w:t>
            </w:r>
            <w:r w:rsidR="00E967AA">
              <w:rPr>
                <w:lang w:val="en-GB"/>
              </w:rPr>
              <w:t>)</w:t>
            </w:r>
          </w:p>
        </w:tc>
        <w:tc>
          <w:tcPr>
            <w:tcW w:w="1166" w:type="dxa"/>
            <w:tcBorders>
              <w:top w:val="nil"/>
              <w:left w:val="nil"/>
              <w:bottom w:val="nil"/>
              <w:right w:val="nil"/>
            </w:tcBorders>
          </w:tcPr>
          <w:p w14:paraId="1DBCEB85" w14:textId="6AA9C109" w:rsidR="00121B1E" w:rsidRPr="005A55A8" w:rsidRDefault="00121B1E" w:rsidP="00902154">
            <w:pPr>
              <w:spacing w:line="480" w:lineRule="auto"/>
              <w:rPr>
                <w:lang w:val="en-GB"/>
              </w:rPr>
            </w:pPr>
            <w:r w:rsidRPr="005A55A8">
              <w:rPr>
                <w:lang w:val="en-GB"/>
              </w:rPr>
              <w:t>.76</w:t>
            </w:r>
            <w:r w:rsidR="00F5219E">
              <w:rPr>
                <w:lang w:val="en-GB"/>
              </w:rPr>
              <w:t>***</w:t>
            </w:r>
            <w:r w:rsidR="00E967AA">
              <w:rPr>
                <w:lang w:val="en-GB"/>
              </w:rPr>
              <w:t xml:space="preserve"> (.80</w:t>
            </w:r>
            <w:r w:rsidR="00F5219E">
              <w:rPr>
                <w:lang w:val="en-GB"/>
              </w:rPr>
              <w:t>***</w:t>
            </w:r>
            <w:r w:rsidR="00E967AA">
              <w:rPr>
                <w:lang w:val="en-GB"/>
              </w:rPr>
              <w:t>)</w:t>
            </w:r>
          </w:p>
        </w:tc>
        <w:tc>
          <w:tcPr>
            <w:tcW w:w="1099" w:type="dxa"/>
            <w:tcBorders>
              <w:top w:val="nil"/>
              <w:left w:val="nil"/>
              <w:bottom w:val="nil"/>
              <w:right w:val="nil"/>
            </w:tcBorders>
          </w:tcPr>
          <w:p w14:paraId="73A41E76" w14:textId="0D5F66D1" w:rsidR="00121B1E" w:rsidRPr="005A55A8" w:rsidRDefault="00121B1E" w:rsidP="00902154">
            <w:pPr>
              <w:spacing w:line="480" w:lineRule="auto"/>
              <w:rPr>
                <w:lang w:val="en-GB"/>
              </w:rPr>
            </w:pPr>
            <w:r w:rsidRPr="005A55A8">
              <w:rPr>
                <w:lang w:val="en-GB"/>
              </w:rPr>
              <w:t>.77</w:t>
            </w:r>
            <w:r w:rsidR="00F5219E">
              <w:rPr>
                <w:lang w:val="en-GB"/>
              </w:rPr>
              <w:t>***</w:t>
            </w:r>
            <w:r w:rsidR="00E967AA">
              <w:rPr>
                <w:lang w:val="en-GB"/>
              </w:rPr>
              <w:t xml:space="preserve"> (.83</w:t>
            </w:r>
            <w:r w:rsidR="00F5219E">
              <w:rPr>
                <w:lang w:val="en-GB"/>
              </w:rPr>
              <w:t>***</w:t>
            </w:r>
            <w:r w:rsidR="00E967AA">
              <w:rPr>
                <w:lang w:val="en-GB"/>
              </w:rPr>
              <w:t>)</w:t>
            </w:r>
          </w:p>
        </w:tc>
        <w:tc>
          <w:tcPr>
            <w:tcW w:w="1021" w:type="dxa"/>
            <w:tcBorders>
              <w:top w:val="nil"/>
              <w:left w:val="nil"/>
              <w:bottom w:val="nil"/>
              <w:right w:val="nil"/>
            </w:tcBorders>
          </w:tcPr>
          <w:p w14:paraId="7A318A34" w14:textId="1FF80CA9" w:rsidR="00121B1E" w:rsidRPr="005A55A8" w:rsidRDefault="00121B1E" w:rsidP="00902154">
            <w:pPr>
              <w:spacing w:line="480" w:lineRule="auto"/>
              <w:rPr>
                <w:lang w:val="en-GB"/>
              </w:rPr>
            </w:pPr>
            <w:r w:rsidRPr="005A55A8">
              <w:rPr>
                <w:lang w:val="en-GB"/>
              </w:rPr>
              <w:t>.81</w:t>
            </w:r>
            <w:r w:rsidR="00F5219E">
              <w:rPr>
                <w:lang w:val="en-GB"/>
              </w:rPr>
              <w:t>***</w:t>
            </w:r>
            <w:r w:rsidR="00E967AA">
              <w:rPr>
                <w:lang w:val="en-GB"/>
              </w:rPr>
              <w:t xml:space="preserve"> (.76</w:t>
            </w:r>
            <w:r w:rsidR="00F5219E">
              <w:rPr>
                <w:lang w:val="en-GB"/>
              </w:rPr>
              <w:t>***</w:t>
            </w:r>
            <w:r w:rsidR="00E967AA">
              <w:rPr>
                <w:lang w:val="en-GB"/>
              </w:rPr>
              <w:t>)</w:t>
            </w:r>
          </w:p>
        </w:tc>
      </w:tr>
      <w:tr w:rsidR="00121B1E" w:rsidRPr="005A55A8" w14:paraId="0E521A8A" w14:textId="77777777" w:rsidTr="00FC111B">
        <w:trPr>
          <w:trHeight w:val="529"/>
        </w:trPr>
        <w:tc>
          <w:tcPr>
            <w:tcW w:w="1166" w:type="dxa"/>
            <w:tcBorders>
              <w:top w:val="nil"/>
              <w:left w:val="nil"/>
              <w:bottom w:val="nil"/>
              <w:right w:val="nil"/>
            </w:tcBorders>
          </w:tcPr>
          <w:p w14:paraId="7E62A7AC" w14:textId="77777777" w:rsidR="00121B1E" w:rsidRPr="005A55A8" w:rsidRDefault="00121B1E" w:rsidP="00902154">
            <w:pPr>
              <w:spacing w:line="480" w:lineRule="auto"/>
            </w:pPr>
            <w:r w:rsidRPr="005A55A8">
              <w:t>SEM</w:t>
            </w:r>
          </w:p>
        </w:tc>
        <w:tc>
          <w:tcPr>
            <w:tcW w:w="1151" w:type="dxa"/>
            <w:tcBorders>
              <w:top w:val="nil"/>
              <w:left w:val="nil"/>
              <w:bottom w:val="nil"/>
              <w:right w:val="nil"/>
            </w:tcBorders>
          </w:tcPr>
          <w:p w14:paraId="29C77B34" w14:textId="77777777" w:rsidR="00121B1E" w:rsidRPr="005A55A8" w:rsidRDefault="00121B1E" w:rsidP="00902154">
            <w:pPr>
              <w:spacing w:line="480" w:lineRule="auto"/>
              <w:rPr>
                <w:lang w:val="en-GB"/>
              </w:rPr>
            </w:pPr>
          </w:p>
        </w:tc>
        <w:tc>
          <w:tcPr>
            <w:tcW w:w="1123" w:type="dxa"/>
            <w:tcBorders>
              <w:top w:val="nil"/>
              <w:left w:val="nil"/>
              <w:bottom w:val="nil"/>
              <w:right w:val="nil"/>
            </w:tcBorders>
          </w:tcPr>
          <w:p w14:paraId="64CE4E55" w14:textId="77777777" w:rsidR="00121B1E" w:rsidRPr="005A55A8" w:rsidRDefault="00121B1E" w:rsidP="00902154">
            <w:pPr>
              <w:spacing w:line="480" w:lineRule="auto"/>
              <w:rPr>
                <w:lang w:val="en-GB"/>
              </w:rPr>
            </w:pPr>
          </w:p>
        </w:tc>
        <w:tc>
          <w:tcPr>
            <w:tcW w:w="1150" w:type="dxa"/>
            <w:tcBorders>
              <w:top w:val="nil"/>
              <w:left w:val="nil"/>
              <w:bottom w:val="nil"/>
              <w:right w:val="nil"/>
            </w:tcBorders>
          </w:tcPr>
          <w:p w14:paraId="59A007EA" w14:textId="77777777" w:rsidR="00121B1E" w:rsidRPr="005A55A8" w:rsidRDefault="00121B1E" w:rsidP="00902154">
            <w:pPr>
              <w:spacing w:line="480" w:lineRule="auto"/>
              <w:rPr>
                <w:lang w:val="en-GB"/>
              </w:rPr>
            </w:pPr>
          </w:p>
        </w:tc>
        <w:tc>
          <w:tcPr>
            <w:tcW w:w="1128" w:type="dxa"/>
            <w:tcBorders>
              <w:top w:val="nil"/>
              <w:left w:val="nil"/>
              <w:bottom w:val="nil"/>
              <w:right w:val="nil"/>
            </w:tcBorders>
          </w:tcPr>
          <w:p w14:paraId="6B5C9191" w14:textId="77777777" w:rsidR="00121B1E" w:rsidRPr="005A55A8" w:rsidRDefault="00121B1E" w:rsidP="00902154">
            <w:pPr>
              <w:spacing w:line="480" w:lineRule="auto"/>
              <w:rPr>
                <w:lang w:val="en-GB"/>
              </w:rPr>
            </w:pPr>
            <w:r w:rsidRPr="005A55A8">
              <w:rPr>
                <w:lang w:val="en-GB"/>
              </w:rPr>
              <w:t>-</w:t>
            </w:r>
          </w:p>
        </w:tc>
        <w:tc>
          <w:tcPr>
            <w:tcW w:w="1166" w:type="dxa"/>
            <w:tcBorders>
              <w:top w:val="nil"/>
              <w:left w:val="nil"/>
              <w:bottom w:val="nil"/>
              <w:right w:val="nil"/>
            </w:tcBorders>
          </w:tcPr>
          <w:p w14:paraId="594967A7" w14:textId="0A0A73BC" w:rsidR="00121B1E" w:rsidRPr="005A55A8" w:rsidRDefault="00121B1E" w:rsidP="00902154">
            <w:pPr>
              <w:spacing w:line="480" w:lineRule="auto"/>
              <w:rPr>
                <w:lang w:val="en-GB"/>
              </w:rPr>
            </w:pPr>
            <w:r w:rsidRPr="005A55A8">
              <w:rPr>
                <w:lang w:val="en-GB"/>
              </w:rPr>
              <w:t>.76</w:t>
            </w:r>
            <w:r w:rsidR="00F5219E">
              <w:rPr>
                <w:lang w:val="en-GB"/>
              </w:rPr>
              <w:t>***</w:t>
            </w:r>
            <w:r w:rsidR="00E967AA">
              <w:rPr>
                <w:lang w:val="en-GB"/>
              </w:rPr>
              <w:t xml:space="preserve"> (.82</w:t>
            </w:r>
            <w:r w:rsidR="00F5219E">
              <w:rPr>
                <w:lang w:val="en-GB"/>
              </w:rPr>
              <w:t>***</w:t>
            </w:r>
            <w:r w:rsidR="00E967AA">
              <w:rPr>
                <w:lang w:val="en-GB"/>
              </w:rPr>
              <w:t>)</w:t>
            </w:r>
          </w:p>
        </w:tc>
        <w:tc>
          <w:tcPr>
            <w:tcW w:w="1099" w:type="dxa"/>
            <w:tcBorders>
              <w:top w:val="nil"/>
              <w:left w:val="nil"/>
              <w:bottom w:val="nil"/>
              <w:right w:val="nil"/>
            </w:tcBorders>
          </w:tcPr>
          <w:p w14:paraId="701A54CC" w14:textId="4E069996" w:rsidR="00121B1E" w:rsidRPr="005A55A8" w:rsidRDefault="00121B1E" w:rsidP="00902154">
            <w:pPr>
              <w:spacing w:line="480" w:lineRule="auto"/>
              <w:rPr>
                <w:lang w:val="en-GB"/>
              </w:rPr>
            </w:pPr>
            <w:r w:rsidRPr="005A55A8">
              <w:rPr>
                <w:lang w:val="en-GB"/>
              </w:rPr>
              <w:t>.89</w:t>
            </w:r>
            <w:r w:rsidR="00F5219E">
              <w:rPr>
                <w:lang w:val="en-GB"/>
              </w:rPr>
              <w:t>***</w:t>
            </w:r>
            <w:r w:rsidR="00E967AA">
              <w:rPr>
                <w:lang w:val="en-GB"/>
              </w:rPr>
              <w:t xml:space="preserve"> (.79</w:t>
            </w:r>
            <w:r w:rsidR="00F5219E">
              <w:rPr>
                <w:lang w:val="en-GB"/>
              </w:rPr>
              <w:t>***</w:t>
            </w:r>
            <w:r w:rsidR="00E967AA">
              <w:rPr>
                <w:lang w:val="en-GB"/>
              </w:rPr>
              <w:t>)</w:t>
            </w:r>
          </w:p>
        </w:tc>
        <w:tc>
          <w:tcPr>
            <w:tcW w:w="1021" w:type="dxa"/>
            <w:tcBorders>
              <w:top w:val="nil"/>
              <w:left w:val="nil"/>
              <w:bottom w:val="nil"/>
              <w:right w:val="nil"/>
            </w:tcBorders>
          </w:tcPr>
          <w:p w14:paraId="3D33FBDD" w14:textId="6E3EE25C" w:rsidR="00121B1E" w:rsidRPr="005A55A8" w:rsidRDefault="00121B1E" w:rsidP="00902154">
            <w:pPr>
              <w:spacing w:line="480" w:lineRule="auto"/>
              <w:rPr>
                <w:lang w:val="en-GB"/>
              </w:rPr>
            </w:pPr>
            <w:r w:rsidRPr="005A55A8">
              <w:rPr>
                <w:lang w:val="en-GB"/>
              </w:rPr>
              <w:t>.75</w:t>
            </w:r>
            <w:r w:rsidR="00F5219E">
              <w:rPr>
                <w:lang w:val="en-GB"/>
              </w:rPr>
              <w:t>***</w:t>
            </w:r>
            <w:r w:rsidR="00E967AA">
              <w:rPr>
                <w:lang w:val="en-GB"/>
              </w:rPr>
              <w:t xml:space="preserve"> (.71</w:t>
            </w:r>
            <w:r w:rsidR="00F5219E">
              <w:rPr>
                <w:lang w:val="en-GB"/>
              </w:rPr>
              <w:t>***</w:t>
            </w:r>
            <w:r w:rsidR="00E967AA">
              <w:rPr>
                <w:lang w:val="en-GB"/>
              </w:rPr>
              <w:t>)</w:t>
            </w:r>
          </w:p>
        </w:tc>
      </w:tr>
      <w:tr w:rsidR="00121B1E" w:rsidRPr="005A55A8" w14:paraId="0FF94FCB" w14:textId="77777777" w:rsidTr="00FC111B">
        <w:trPr>
          <w:trHeight w:val="546"/>
        </w:trPr>
        <w:tc>
          <w:tcPr>
            <w:tcW w:w="1166" w:type="dxa"/>
            <w:tcBorders>
              <w:top w:val="nil"/>
              <w:left w:val="nil"/>
              <w:bottom w:val="nil"/>
              <w:right w:val="nil"/>
            </w:tcBorders>
          </w:tcPr>
          <w:p w14:paraId="7ED0DE05" w14:textId="77777777" w:rsidR="00121B1E" w:rsidRPr="005A55A8" w:rsidRDefault="00121B1E" w:rsidP="00902154">
            <w:pPr>
              <w:spacing w:line="480" w:lineRule="auto"/>
            </w:pPr>
            <w:r w:rsidRPr="005A55A8">
              <w:t>FUNC</w:t>
            </w:r>
          </w:p>
        </w:tc>
        <w:tc>
          <w:tcPr>
            <w:tcW w:w="1151" w:type="dxa"/>
            <w:tcBorders>
              <w:top w:val="nil"/>
              <w:left w:val="nil"/>
              <w:bottom w:val="nil"/>
              <w:right w:val="nil"/>
            </w:tcBorders>
          </w:tcPr>
          <w:p w14:paraId="2DE2675E" w14:textId="77777777" w:rsidR="00121B1E" w:rsidRPr="005A55A8" w:rsidRDefault="00121B1E" w:rsidP="00902154">
            <w:pPr>
              <w:spacing w:line="480" w:lineRule="auto"/>
              <w:rPr>
                <w:lang w:val="en-GB"/>
              </w:rPr>
            </w:pPr>
          </w:p>
        </w:tc>
        <w:tc>
          <w:tcPr>
            <w:tcW w:w="1123" w:type="dxa"/>
            <w:tcBorders>
              <w:top w:val="nil"/>
              <w:left w:val="nil"/>
              <w:bottom w:val="nil"/>
              <w:right w:val="nil"/>
            </w:tcBorders>
          </w:tcPr>
          <w:p w14:paraId="61A45D3C" w14:textId="77777777" w:rsidR="00121B1E" w:rsidRPr="005A55A8" w:rsidRDefault="00121B1E" w:rsidP="00902154">
            <w:pPr>
              <w:spacing w:line="480" w:lineRule="auto"/>
              <w:rPr>
                <w:lang w:val="en-GB"/>
              </w:rPr>
            </w:pPr>
          </w:p>
        </w:tc>
        <w:tc>
          <w:tcPr>
            <w:tcW w:w="1150" w:type="dxa"/>
            <w:tcBorders>
              <w:top w:val="nil"/>
              <w:left w:val="nil"/>
              <w:bottom w:val="nil"/>
              <w:right w:val="nil"/>
            </w:tcBorders>
          </w:tcPr>
          <w:p w14:paraId="7999A9B3" w14:textId="77777777" w:rsidR="00121B1E" w:rsidRPr="005A55A8" w:rsidRDefault="00121B1E" w:rsidP="00902154">
            <w:pPr>
              <w:spacing w:line="480" w:lineRule="auto"/>
              <w:rPr>
                <w:lang w:val="en-GB"/>
              </w:rPr>
            </w:pPr>
          </w:p>
        </w:tc>
        <w:tc>
          <w:tcPr>
            <w:tcW w:w="1128" w:type="dxa"/>
            <w:tcBorders>
              <w:top w:val="nil"/>
              <w:left w:val="nil"/>
              <w:bottom w:val="nil"/>
              <w:right w:val="nil"/>
            </w:tcBorders>
          </w:tcPr>
          <w:p w14:paraId="17102F3E" w14:textId="77777777" w:rsidR="00121B1E" w:rsidRPr="005A55A8" w:rsidRDefault="00121B1E" w:rsidP="00902154">
            <w:pPr>
              <w:spacing w:line="480" w:lineRule="auto"/>
              <w:rPr>
                <w:lang w:val="en-GB"/>
              </w:rPr>
            </w:pPr>
          </w:p>
        </w:tc>
        <w:tc>
          <w:tcPr>
            <w:tcW w:w="1166" w:type="dxa"/>
            <w:tcBorders>
              <w:top w:val="nil"/>
              <w:left w:val="nil"/>
              <w:bottom w:val="nil"/>
              <w:right w:val="nil"/>
            </w:tcBorders>
          </w:tcPr>
          <w:p w14:paraId="62F110B3" w14:textId="77777777" w:rsidR="00121B1E" w:rsidRPr="005A55A8" w:rsidRDefault="00121B1E" w:rsidP="00902154">
            <w:pPr>
              <w:spacing w:line="480" w:lineRule="auto"/>
              <w:rPr>
                <w:lang w:val="en-GB"/>
              </w:rPr>
            </w:pPr>
            <w:r w:rsidRPr="005A55A8">
              <w:rPr>
                <w:lang w:val="en-GB"/>
              </w:rPr>
              <w:t>-</w:t>
            </w:r>
          </w:p>
        </w:tc>
        <w:tc>
          <w:tcPr>
            <w:tcW w:w="1099" w:type="dxa"/>
            <w:tcBorders>
              <w:top w:val="nil"/>
              <w:left w:val="nil"/>
              <w:bottom w:val="nil"/>
              <w:right w:val="nil"/>
            </w:tcBorders>
          </w:tcPr>
          <w:p w14:paraId="551A7F30" w14:textId="7D7EDF93" w:rsidR="00121B1E" w:rsidRPr="005A55A8" w:rsidRDefault="00121B1E" w:rsidP="00902154">
            <w:pPr>
              <w:spacing w:line="480" w:lineRule="auto"/>
              <w:rPr>
                <w:lang w:val="en-GB"/>
              </w:rPr>
            </w:pPr>
            <w:r w:rsidRPr="005A55A8">
              <w:rPr>
                <w:lang w:val="en-GB"/>
              </w:rPr>
              <w:t>.86</w:t>
            </w:r>
            <w:r w:rsidR="00F5219E">
              <w:rPr>
                <w:lang w:val="en-GB"/>
              </w:rPr>
              <w:t>***</w:t>
            </w:r>
            <w:r w:rsidR="00E967AA">
              <w:rPr>
                <w:lang w:val="en-GB"/>
              </w:rPr>
              <w:t xml:space="preserve"> (.85</w:t>
            </w:r>
            <w:r w:rsidR="00F5219E">
              <w:rPr>
                <w:lang w:val="en-GB"/>
              </w:rPr>
              <w:t>***</w:t>
            </w:r>
            <w:r w:rsidR="00E967AA">
              <w:rPr>
                <w:lang w:val="en-GB"/>
              </w:rPr>
              <w:t>)</w:t>
            </w:r>
          </w:p>
        </w:tc>
        <w:tc>
          <w:tcPr>
            <w:tcW w:w="1021" w:type="dxa"/>
            <w:tcBorders>
              <w:top w:val="nil"/>
              <w:left w:val="nil"/>
              <w:bottom w:val="nil"/>
              <w:right w:val="nil"/>
            </w:tcBorders>
          </w:tcPr>
          <w:p w14:paraId="748E3E4F" w14:textId="075409DC" w:rsidR="00121B1E" w:rsidRPr="005A55A8" w:rsidRDefault="00121B1E" w:rsidP="00902154">
            <w:pPr>
              <w:spacing w:line="480" w:lineRule="auto"/>
              <w:rPr>
                <w:lang w:val="en-GB"/>
              </w:rPr>
            </w:pPr>
            <w:r w:rsidRPr="005A55A8">
              <w:rPr>
                <w:lang w:val="en-GB"/>
              </w:rPr>
              <w:t>.84</w:t>
            </w:r>
            <w:r w:rsidR="00F5219E">
              <w:rPr>
                <w:lang w:val="en-GB"/>
              </w:rPr>
              <w:t>***</w:t>
            </w:r>
            <w:r w:rsidR="00E967AA">
              <w:rPr>
                <w:lang w:val="en-GB"/>
              </w:rPr>
              <w:t xml:space="preserve"> (.70</w:t>
            </w:r>
            <w:r w:rsidR="00F5219E">
              <w:rPr>
                <w:lang w:val="en-GB"/>
              </w:rPr>
              <w:t>***</w:t>
            </w:r>
            <w:r w:rsidR="00E967AA">
              <w:rPr>
                <w:lang w:val="en-GB"/>
              </w:rPr>
              <w:t>)</w:t>
            </w:r>
          </w:p>
        </w:tc>
      </w:tr>
      <w:tr w:rsidR="00121B1E" w:rsidRPr="005A55A8" w14:paraId="696214EB" w14:textId="77777777" w:rsidTr="00FC111B">
        <w:trPr>
          <w:trHeight w:val="529"/>
        </w:trPr>
        <w:tc>
          <w:tcPr>
            <w:tcW w:w="1166" w:type="dxa"/>
            <w:tcBorders>
              <w:top w:val="nil"/>
              <w:left w:val="nil"/>
              <w:bottom w:val="nil"/>
              <w:right w:val="nil"/>
            </w:tcBorders>
          </w:tcPr>
          <w:p w14:paraId="6A76D238" w14:textId="77777777" w:rsidR="00121B1E" w:rsidRPr="005A55A8" w:rsidRDefault="00121B1E" w:rsidP="00902154">
            <w:pPr>
              <w:spacing w:line="480" w:lineRule="auto"/>
            </w:pPr>
            <w:r w:rsidRPr="005A55A8">
              <w:t>LEX</w:t>
            </w:r>
          </w:p>
        </w:tc>
        <w:tc>
          <w:tcPr>
            <w:tcW w:w="1151" w:type="dxa"/>
            <w:tcBorders>
              <w:top w:val="nil"/>
              <w:left w:val="nil"/>
              <w:bottom w:val="nil"/>
              <w:right w:val="nil"/>
            </w:tcBorders>
          </w:tcPr>
          <w:p w14:paraId="6B6BA660" w14:textId="77777777" w:rsidR="00121B1E" w:rsidRPr="005A55A8" w:rsidRDefault="00121B1E" w:rsidP="00902154">
            <w:pPr>
              <w:spacing w:line="480" w:lineRule="auto"/>
              <w:rPr>
                <w:lang w:val="en-GB"/>
              </w:rPr>
            </w:pPr>
          </w:p>
        </w:tc>
        <w:tc>
          <w:tcPr>
            <w:tcW w:w="1123" w:type="dxa"/>
            <w:tcBorders>
              <w:top w:val="nil"/>
              <w:left w:val="nil"/>
              <w:bottom w:val="nil"/>
              <w:right w:val="nil"/>
            </w:tcBorders>
          </w:tcPr>
          <w:p w14:paraId="1BDAB0A1" w14:textId="77777777" w:rsidR="00121B1E" w:rsidRPr="005A55A8" w:rsidRDefault="00121B1E" w:rsidP="00902154">
            <w:pPr>
              <w:spacing w:line="480" w:lineRule="auto"/>
              <w:rPr>
                <w:lang w:val="en-GB"/>
              </w:rPr>
            </w:pPr>
          </w:p>
        </w:tc>
        <w:tc>
          <w:tcPr>
            <w:tcW w:w="1150" w:type="dxa"/>
            <w:tcBorders>
              <w:top w:val="nil"/>
              <w:left w:val="nil"/>
              <w:bottom w:val="nil"/>
              <w:right w:val="nil"/>
            </w:tcBorders>
          </w:tcPr>
          <w:p w14:paraId="2FB6DECA" w14:textId="77777777" w:rsidR="00121B1E" w:rsidRPr="005A55A8" w:rsidRDefault="00121B1E" w:rsidP="00902154">
            <w:pPr>
              <w:spacing w:line="480" w:lineRule="auto"/>
              <w:rPr>
                <w:lang w:val="en-GB"/>
              </w:rPr>
            </w:pPr>
          </w:p>
        </w:tc>
        <w:tc>
          <w:tcPr>
            <w:tcW w:w="1128" w:type="dxa"/>
            <w:tcBorders>
              <w:top w:val="nil"/>
              <w:left w:val="nil"/>
              <w:bottom w:val="nil"/>
              <w:right w:val="nil"/>
            </w:tcBorders>
          </w:tcPr>
          <w:p w14:paraId="158DBE1B" w14:textId="77777777" w:rsidR="00121B1E" w:rsidRPr="005A55A8" w:rsidRDefault="00121B1E" w:rsidP="00902154">
            <w:pPr>
              <w:spacing w:line="480" w:lineRule="auto"/>
              <w:rPr>
                <w:lang w:val="en-GB"/>
              </w:rPr>
            </w:pPr>
          </w:p>
        </w:tc>
        <w:tc>
          <w:tcPr>
            <w:tcW w:w="1166" w:type="dxa"/>
            <w:tcBorders>
              <w:top w:val="nil"/>
              <w:left w:val="nil"/>
              <w:bottom w:val="nil"/>
              <w:right w:val="nil"/>
            </w:tcBorders>
          </w:tcPr>
          <w:p w14:paraId="79C2D9A9" w14:textId="77777777" w:rsidR="00121B1E" w:rsidRPr="005A55A8" w:rsidRDefault="00121B1E" w:rsidP="00902154">
            <w:pPr>
              <w:spacing w:line="480" w:lineRule="auto"/>
              <w:rPr>
                <w:lang w:val="en-GB"/>
              </w:rPr>
            </w:pPr>
          </w:p>
        </w:tc>
        <w:tc>
          <w:tcPr>
            <w:tcW w:w="1099" w:type="dxa"/>
            <w:tcBorders>
              <w:top w:val="nil"/>
              <w:left w:val="nil"/>
              <w:bottom w:val="nil"/>
              <w:right w:val="nil"/>
            </w:tcBorders>
          </w:tcPr>
          <w:p w14:paraId="43253004" w14:textId="77777777" w:rsidR="00121B1E" w:rsidRPr="005A55A8" w:rsidRDefault="00121B1E" w:rsidP="00902154">
            <w:pPr>
              <w:spacing w:line="480" w:lineRule="auto"/>
              <w:rPr>
                <w:lang w:val="en-GB"/>
              </w:rPr>
            </w:pPr>
            <w:r w:rsidRPr="005A55A8">
              <w:rPr>
                <w:lang w:val="en-GB"/>
              </w:rPr>
              <w:t>-</w:t>
            </w:r>
          </w:p>
        </w:tc>
        <w:tc>
          <w:tcPr>
            <w:tcW w:w="1021" w:type="dxa"/>
            <w:tcBorders>
              <w:top w:val="nil"/>
              <w:left w:val="nil"/>
              <w:bottom w:val="nil"/>
              <w:right w:val="nil"/>
            </w:tcBorders>
          </w:tcPr>
          <w:p w14:paraId="04AFDA9B" w14:textId="3E0AEF59" w:rsidR="00121B1E" w:rsidRPr="005A55A8" w:rsidRDefault="00121B1E" w:rsidP="00902154">
            <w:pPr>
              <w:spacing w:line="480" w:lineRule="auto"/>
              <w:rPr>
                <w:lang w:val="en-GB"/>
              </w:rPr>
            </w:pPr>
            <w:r w:rsidRPr="005A55A8">
              <w:rPr>
                <w:lang w:val="en-GB"/>
              </w:rPr>
              <w:t>.82</w:t>
            </w:r>
            <w:r w:rsidR="00F5219E">
              <w:rPr>
                <w:lang w:val="en-GB"/>
              </w:rPr>
              <w:t>***</w:t>
            </w:r>
            <w:r w:rsidR="00E967AA">
              <w:rPr>
                <w:lang w:val="en-GB"/>
              </w:rPr>
              <w:t xml:space="preserve"> (.79</w:t>
            </w:r>
            <w:r w:rsidR="00F5219E">
              <w:rPr>
                <w:lang w:val="en-GB"/>
              </w:rPr>
              <w:t>***</w:t>
            </w:r>
            <w:r w:rsidR="00E967AA">
              <w:rPr>
                <w:lang w:val="en-GB"/>
              </w:rPr>
              <w:t>)</w:t>
            </w:r>
          </w:p>
        </w:tc>
      </w:tr>
      <w:tr w:rsidR="00121B1E" w:rsidRPr="005A55A8" w14:paraId="0BCB60E4" w14:textId="77777777" w:rsidTr="00FC111B">
        <w:trPr>
          <w:trHeight w:val="564"/>
        </w:trPr>
        <w:tc>
          <w:tcPr>
            <w:tcW w:w="1166" w:type="dxa"/>
            <w:tcBorders>
              <w:top w:val="nil"/>
              <w:left w:val="nil"/>
              <w:right w:val="nil"/>
            </w:tcBorders>
          </w:tcPr>
          <w:p w14:paraId="72C96671" w14:textId="77777777" w:rsidR="00121B1E" w:rsidRPr="005A55A8" w:rsidRDefault="00121B1E" w:rsidP="00902154">
            <w:pPr>
              <w:spacing w:line="480" w:lineRule="auto"/>
            </w:pPr>
            <w:r w:rsidRPr="005A55A8">
              <w:t>MORPH</w:t>
            </w:r>
          </w:p>
        </w:tc>
        <w:tc>
          <w:tcPr>
            <w:tcW w:w="1151" w:type="dxa"/>
            <w:tcBorders>
              <w:top w:val="nil"/>
              <w:left w:val="nil"/>
              <w:right w:val="nil"/>
            </w:tcBorders>
          </w:tcPr>
          <w:p w14:paraId="336BEC8C" w14:textId="77777777" w:rsidR="00121B1E" w:rsidRPr="005A55A8" w:rsidRDefault="00121B1E" w:rsidP="00902154">
            <w:pPr>
              <w:spacing w:line="480" w:lineRule="auto"/>
              <w:rPr>
                <w:lang w:val="en-GB"/>
              </w:rPr>
            </w:pPr>
          </w:p>
        </w:tc>
        <w:tc>
          <w:tcPr>
            <w:tcW w:w="1123" w:type="dxa"/>
            <w:tcBorders>
              <w:top w:val="nil"/>
              <w:left w:val="nil"/>
              <w:right w:val="nil"/>
            </w:tcBorders>
          </w:tcPr>
          <w:p w14:paraId="4E5E7520" w14:textId="77777777" w:rsidR="00121B1E" w:rsidRPr="005A55A8" w:rsidRDefault="00121B1E" w:rsidP="00902154">
            <w:pPr>
              <w:spacing w:line="480" w:lineRule="auto"/>
              <w:rPr>
                <w:lang w:val="en-GB"/>
              </w:rPr>
            </w:pPr>
          </w:p>
        </w:tc>
        <w:tc>
          <w:tcPr>
            <w:tcW w:w="1150" w:type="dxa"/>
            <w:tcBorders>
              <w:top w:val="nil"/>
              <w:left w:val="nil"/>
              <w:right w:val="nil"/>
            </w:tcBorders>
          </w:tcPr>
          <w:p w14:paraId="18C0244B" w14:textId="77777777" w:rsidR="00121B1E" w:rsidRPr="005A55A8" w:rsidRDefault="00121B1E" w:rsidP="00902154">
            <w:pPr>
              <w:spacing w:line="480" w:lineRule="auto"/>
              <w:rPr>
                <w:lang w:val="en-GB"/>
              </w:rPr>
            </w:pPr>
          </w:p>
        </w:tc>
        <w:tc>
          <w:tcPr>
            <w:tcW w:w="1128" w:type="dxa"/>
            <w:tcBorders>
              <w:top w:val="nil"/>
              <w:left w:val="nil"/>
              <w:right w:val="nil"/>
            </w:tcBorders>
          </w:tcPr>
          <w:p w14:paraId="1E3D18A8" w14:textId="77777777" w:rsidR="00121B1E" w:rsidRPr="005A55A8" w:rsidRDefault="00121B1E" w:rsidP="00902154">
            <w:pPr>
              <w:spacing w:line="480" w:lineRule="auto"/>
              <w:rPr>
                <w:lang w:val="en-GB"/>
              </w:rPr>
            </w:pPr>
          </w:p>
        </w:tc>
        <w:tc>
          <w:tcPr>
            <w:tcW w:w="1166" w:type="dxa"/>
            <w:tcBorders>
              <w:top w:val="nil"/>
              <w:left w:val="nil"/>
              <w:right w:val="nil"/>
            </w:tcBorders>
          </w:tcPr>
          <w:p w14:paraId="28E79C7B" w14:textId="77777777" w:rsidR="00121B1E" w:rsidRPr="005A55A8" w:rsidRDefault="00121B1E" w:rsidP="00902154">
            <w:pPr>
              <w:spacing w:line="480" w:lineRule="auto"/>
              <w:rPr>
                <w:lang w:val="en-GB"/>
              </w:rPr>
            </w:pPr>
          </w:p>
        </w:tc>
        <w:tc>
          <w:tcPr>
            <w:tcW w:w="1099" w:type="dxa"/>
            <w:tcBorders>
              <w:top w:val="nil"/>
              <w:left w:val="nil"/>
              <w:right w:val="nil"/>
            </w:tcBorders>
          </w:tcPr>
          <w:p w14:paraId="586ADE0B" w14:textId="77777777" w:rsidR="00121B1E" w:rsidRPr="005A55A8" w:rsidRDefault="00121B1E" w:rsidP="00902154">
            <w:pPr>
              <w:spacing w:line="480" w:lineRule="auto"/>
              <w:rPr>
                <w:lang w:val="en-GB"/>
              </w:rPr>
            </w:pPr>
          </w:p>
        </w:tc>
        <w:tc>
          <w:tcPr>
            <w:tcW w:w="1021" w:type="dxa"/>
            <w:tcBorders>
              <w:top w:val="nil"/>
              <w:left w:val="nil"/>
              <w:right w:val="nil"/>
            </w:tcBorders>
          </w:tcPr>
          <w:p w14:paraId="16D53127" w14:textId="77777777" w:rsidR="00121B1E" w:rsidRPr="005A55A8" w:rsidRDefault="00121B1E" w:rsidP="00902154">
            <w:pPr>
              <w:spacing w:line="480" w:lineRule="auto"/>
              <w:rPr>
                <w:lang w:val="en-GB"/>
              </w:rPr>
            </w:pPr>
            <w:r w:rsidRPr="005A55A8">
              <w:rPr>
                <w:lang w:val="en-GB"/>
              </w:rPr>
              <w:t>-</w:t>
            </w:r>
          </w:p>
        </w:tc>
      </w:tr>
    </w:tbl>
    <w:p w14:paraId="774B7765" w14:textId="5E7FCBD6" w:rsidR="00121B1E" w:rsidRPr="005A55A8" w:rsidRDefault="00F5219E" w:rsidP="00902154">
      <w:pPr>
        <w:rPr>
          <w:lang w:val="en-GB"/>
        </w:rPr>
      </w:pPr>
      <w:r>
        <w:rPr>
          <w:i/>
          <w:lang w:val="en-GB"/>
        </w:rPr>
        <w:t>*</w:t>
      </w:r>
      <w:r w:rsidRPr="005A55A8">
        <w:rPr>
          <w:i/>
          <w:lang w:val="en-GB"/>
        </w:rPr>
        <w:t>p</w:t>
      </w:r>
      <w:r>
        <w:rPr>
          <w:i/>
          <w:lang w:val="en-GB"/>
        </w:rPr>
        <w:t xml:space="preserve"> </w:t>
      </w:r>
      <w:r w:rsidRPr="005A55A8">
        <w:rPr>
          <w:lang w:val="en-GB"/>
        </w:rPr>
        <w:t>&lt;</w:t>
      </w:r>
      <w:r>
        <w:rPr>
          <w:lang w:val="en-GB"/>
        </w:rPr>
        <w:t xml:space="preserve"> </w:t>
      </w:r>
      <w:r w:rsidRPr="005A55A8">
        <w:rPr>
          <w:lang w:val="en-GB"/>
        </w:rPr>
        <w:t>.0</w:t>
      </w:r>
      <w:r>
        <w:rPr>
          <w:lang w:val="en-GB"/>
        </w:rPr>
        <w:t>5 **</w:t>
      </w:r>
      <w:r w:rsidRPr="005A55A8">
        <w:rPr>
          <w:i/>
          <w:lang w:val="en-GB"/>
        </w:rPr>
        <w:t>p</w:t>
      </w:r>
      <w:r>
        <w:rPr>
          <w:i/>
          <w:lang w:val="en-GB"/>
        </w:rPr>
        <w:t xml:space="preserve"> </w:t>
      </w:r>
      <w:r w:rsidRPr="005A55A8">
        <w:rPr>
          <w:lang w:val="en-GB"/>
        </w:rPr>
        <w:t>&lt;</w:t>
      </w:r>
      <w:r>
        <w:rPr>
          <w:lang w:val="en-GB"/>
        </w:rPr>
        <w:t xml:space="preserve"> </w:t>
      </w:r>
      <w:r w:rsidRPr="005A55A8">
        <w:rPr>
          <w:lang w:val="en-GB"/>
        </w:rPr>
        <w:t>.01</w:t>
      </w:r>
      <w:r>
        <w:rPr>
          <w:lang w:val="en-GB"/>
        </w:rPr>
        <w:t xml:space="preserve"> </w:t>
      </w:r>
      <w:bookmarkStart w:id="36" w:name="_GoBack"/>
      <w:bookmarkEnd w:id="36"/>
      <w:r>
        <w:rPr>
          <w:lang w:val="en-GB"/>
        </w:rPr>
        <w:t>***</w:t>
      </w:r>
      <w:r w:rsidRPr="005A55A8">
        <w:rPr>
          <w:i/>
          <w:lang w:val="en-GB"/>
        </w:rPr>
        <w:t>p</w:t>
      </w:r>
      <w:r>
        <w:rPr>
          <w:i/>
          <w:lang w:val="en-GB"/>
        </w:rPr>
        <w:t xml:space="preserve"> </w:t>
      </w:r>
      <w:r w:rsidRPr="005A55A8">
        <w:rPr>
          <w:lang w:val="en-GB"/>
        </w:rPr>
        <w:t>&lt;</w:t>
      </w:r>
      <w:r>
        <w:rPr>
          <w:lang w:val="en-GB"/>
        </w:rPr>
        <w:t xml:space="preserve"> </w:t>
      </w:r>
      <w:r w:rsidRPr="005A55A8">
        <w:rPr>
          <w:lang w:val="en-GB"/>
        </w:rPr>
        <w:t>.001</w:t>
      </w:r>
    </w:p>
    <w:p w14:paraId="25305521" w14:textId="77777777" w:rsidR="00121B1E" w:rsidRPr="005A55A8" w:rsidRDefault="00121B1E" w:rsidP="00902154">
      <w:pPr>
        <w:rPr>
          <w:lang w:val="en-GB"/>
        </w:rPr>
      </w:pPr>
      <w:r w:rsidRPr="005A55A8">
        <w:rPr>
          <w:lang w:val="en-GB"/>
        </w:rPr>
        <w:br w:type="page"/>
      </w:r>
    </w:p>
    <w:p w14:paraId="4A3E9B25" w14:textId="04A84724" w:rsidR="00121B1E" w:rsidRPr="005A55A8" w:rsidRDefault="00121B1E">
      <w:pPr>
        <w:spacing w:after="0" w:line="480" w:lineRule="auto"/>
        <w:ind w:left="708" w:hanging="708"/>
        <w:rPr>
          <w:lang w:val="en-GB"/>
        </w:rPr>
      </w:pPr>
      <w:r w:rsidRPr="005A55A8">
        <w:rPr>
          <w:lang w:val="en-GB"/>
        </w:rPr>
        <w:lastRenderedPageBreak/>
        <w:t xml:space="preserve">Table </w:t>
      </w:r>
      <w:r w:rsidR="0048769C">
        <w:rPr>
          <w:lang w:val="en-GB"/>
        </w:rPr>
        <w:t>5</w:t>
      </w:r>
      <w:r w:rsidRPr="005A55A8">
        <w:rPr>
          <w:lang w:val="en-GB"/>
        </w:rPr>
        <w:t xml:space="preserve"> </w:t>
      </w:r>
    </w:p>
    <w:p w14:paraId="5ED2B135" w14:textId="46BDD099" w:rsidR="00270033" w:rsidRDefault="00121B1E" w:rsidP="00123878">
      <w:pPr>
        <w:spacing w:after="0" w:line="480" w:lineRule="auto"/>
        <w:rPr>
          <w:i/>
          <w:lang w:val="en-GB"/>
        </w:rPr>
      </w:pPr>
      <w:proofErr w:type="gramStart"/>
      <w:r w:rsidRPr="005A55A8">
        <w:rPr>
          <w:i/>
          <w:lang w:val="en-GB"/>
        </w:rPr>
        <w:t xml:space="preserve">Factor Loadings for Principal </w:t>
      </w:r>
      <w:r w:rsidR="00902154" w:rsidRPr="005A55A8">
        <w:rPr>
          <w:i/>
          <w:lang w:val="en-GB"/>
        </w:rPr>
        <w:t>Compon</w:t>
      </w:r>
      <w:r w:rsidR="00902154">
        <w:rPr>
          <w:i/>
          <w:lang w:val="en-GB"/>
        </w:rPr>
        <w:t>e</w:t>
      </w:r>
      <w:r w:rsidR="00902154" w:rsidRPr="005A55A8">
        <w:rPr>
          <w:i/>
          <w:lang w:val="en-GB"/>
        </w:rPr>
        <w:t xml:space="preserve">nt </w:t>
      </w:r>
      <w:r w:rsidRPr="005A55A8">
        <w:rPr>
          <w:i/>
          <w:lang w:val="en-GB"/>
        </w:rPr>
        <w:t xml:space="preserve">Analysis with </w:t>
      </w:r>
      <w:proofErr w:type="spellStart"/>
      <w:r w:rsidRPr="005A55A8">
        <w:rPr>
          <w:i/>
          <w:lang w:val="en-GB"/>
        </w:rPr>
        <w:t>Varimax</w:t>
      </w:r>
      <w:proofErr w:type="spellEnd"/>
      <w:r w:rsidRPr="005A55A8">
        <w:rPr>
          <w:i/>
          <w:lang w:val="en-GB"/>
        </w:rPr>
        <w:t xml:space="preserve"> Rotation of Syntax (SYNT), Semantic (SEM), Functional Words (FUNC), Lexical Words (LEX) and Verb Morphology (MORPH) scoring measures.</w:t>
      </w:r>
      <w:proofErr w:type="gramEnd"/>
      <w:r w:rsidRPr="005A55A8">
        <w:rPr>
          <w:i/>
          <w:lang w:val="en-GB"/>
        </w:rPr>
        <w:t xml:space="preserve"> </w:t>
      </w:r>
    </w:p>
    <w:tbl>
      <w:tblPr>
        <w:tblStyle w:val="Grilledutableau"/>
        <w:tblW w:w="0" w:type="auto"/>
        <w:tblInd w:w="708" w:type="dxa"/>
        <w:tblLook w:val="04A0" w:firstRow="1" w:lastRow="0" w:firstColumn="1" w:lastColumn="0" w:noHBand="0" w:noVBand="1"/>
      </w:tblPr>
      <w:tblGrid>
        <w:gridCol w:w="5070"/>
        <w:gridCol w:w="1701"/>
        <w:gridCol w:w="1809"/>
      </w:tblGrid>
      <w:tr w:rsidR="00121B1E" w:rsidRPr="005A55A8" w14:paraId="2E1FF75A" w14:textId="77777777" w:rsidTr="00E967AA">
        <w:tc>
          <w:tcPr>
            <w:tcW w:w="5070" w:type="dxa"/>
            <w:tcBorders>
              <w:left w:val="nil"/>
              <w:bottom w:val="nil"/>
              <w:right w:val="nil"/>
            </w:tcBorders>
          </w:tcPr>
          <w:p w14:paraId="53E52521" w14:textId="77777777" w:rsidR="00121B1E" w:rsidRPr="005A55A8" w:rsidRDefault="00121B1E">
            <w:pPr>
              <w:spacing w:line="480" w:lineRule="auto"/>
              <w:rPr>
                <w:b/>
                <w:lang w:val="en-GB"/>
              </w:rPr>
            </w:pPr>
          </w:p>
        </w:tc>
        <w:tc>
          <w:tcPr>
            <w:tcW w:w="1701" w:type="dxa"/>
            <w:tcBorders>
              <w:left w:val="nil"/>
              <w:right w:val="nil"/>
            </w:tcBorders>
          </w:tcPr>
          <w:p w14:paraId="18CE4BE4" w14:textId="77777777" w:rsidR="00121B1E" w:rsidRPr="005A55A8" w:rsidRDefault="00121B1E">
            <w:pPr>
              <w:spacing w:line="480" w:lineRule="auto"/>
              <w:rPr>
                <w:b/>
                <w:lang w:val="en-GB"/>
              </w:rPr>
            </w:pPr>
            <w:r w:rsidRPr="005A55A8">
              <w:rPr>
                <w:b/>
                <w:lang w:val="en-GB"/>
              </w:rPr>
              <w:t>Factor 1</w:t>
            </w:r>
          </w:p>
        </w:tc>
        <w:tc>
          <w:tcPr>
            <w:tcW w:w="1809" w:type="dxa"/>
            <w:tcBorders>
              <w:left w:val="nil"/>
              <w:right w:val="nil"/>
            </w:tcBorders>
          </w:tcPr>
          <w:p w14:paraId="3D4228B2" w14:textId="77777777" w:rsidR="00121B1E" w:rsidRPr="005A55A8" w:rsidRDefault="00121B1E">
            <w:pPr>
              <w:spacing w:line="480" w:lineRule="auto"/>
              <w:rPr>
                <w:b/>
                <w:lang w:val="en-GB"/>
              </w:rPr>
            </w:pPr>
            <w:r w:rsidRPr="005A55A8">
              <w:rPr>
                <w:b/>
                <w:lang w:val="en-GB"/>
              </w:rPr>
              <w:t>Factor 2</w:t>
            </w:r>
          </w:p>
        </w:tc>
      </w:tr>
      <w:tr w:rsidR="00121B1E" w:rsidRPr="005A55A8" w14:paraId="56D21812" w14:textId="77777777" w:rsidTr="00E967AA">
        <w:trPr>
          <w:trHeight w:val="384"/>
        </w:trPr>
        <w:tc>
          <w:tcPr>
            <w:tcW w:w="5070" w:type="dxa"/>
            <w:tcBorders>
              <w:top w:val="nil"/>
              <w:left w:val="nil"/>
              <w:bottom w:val="nil"/>
              <w:right w:val="nil"/>
            </w:tcBorders>
            <w:vAlign w:val="center"/>
          </w:tcPr>
          <w:p w14:paraId="1B610480" w14:textId="77777777" w:rsidR="00121B1E" w:rsidRPr="005A55A8" w:rsidRDefault="00121B1E" w:rsidP="00E967AA">
            <w:pPr>
              <w:spacing w:line="480" w:lineRule="auto"/>
              <w:rPr>
                <w:b/>
                <w:lang w:val="en-GB"/>
              </w:rPr>
            </w:pPr>
            <w:r w:rsidRPr="005A55A8">
              <w:rPr>
                <w:b/>
                <w:lang w:val="en-GB"/>
              </w:rPr>
              <w:t>SYNT</w:t>
            </w:r>
          </w:p>
        </w:tc>
        <w:tc>
          <w:tcPr>
            <w:tcW w:w="1701" w:type="dxa"/>
            <w:tcBorders>
              <w:left w:val="nil"/>
              <w:bottom w:val="nil"/>
              <w:right w:val="nil"/>
            </w:tcBorders>
            <w:vAlign w:val="center"/>
          </w:tcPr>
          <w:p w14:paraId="73F65CF1" w14:textId="77777777" w:rsidR="00121B1E" w:rsidRPr="005A55A8" w:rsidRDefault="00121B1E" w:rsidP="00E967AA">
            <w:pPr>
              <w:rPr>
                <w:sz w:val="24"/>
                <w:szCs w:val="24"/>
              </w:rPr>
            </w:pPr>
            <w:r w:rsidRPr="005A55A8">
              <w:rPr>
                <w:rFonts w:ascii="Arial" w:hAnsi="Arial" w:cs="Arial"/>
                <w:b/>
                <w:sz w:val="20"/>
                <w:szCs w:val="20"/>
              </w:rPr>
              <w:t>0.85</w:t>
            </w:r>
          </w:p>
        </w:tc>
        <w:tc>
          <w:tcPr>
            <w:tcW w:w="1809" w:type="dxa"/>
            <w:tcBorders>
              <w:left w:val="nil"/>
              <w:bottom w:val="nil"/>
              <w:right w:val="nil"/>
            </w:tcBorders>
            <w:vAlign w:val="center"/>
          </w:tcPr>
          <w:p w14:paraId="4D587D77" w14:textId="77777777" w:rsidR="00121B1E" w:rsidRPr="005A55A8" w:rsidRDefault="00121B1E" w:rsidP="00E967AA">
            <w:pPr>
              <w:rPr>
                <w:sz w:val="24"/>
                <w:szCs w:val="24"/>
              </w:rPr>
            </w:pPr>
            <w:r w:rsidRPr="005A55A8">
              <w:rPr>
                <w:rFonts w:ascii="Arial" w:hAnsi="Arial" w:cs="Arial"/>
                <w:color w:val="000000"/>
                <w:sz w:val="20"/>
                <w:szCs w:val="20"/>
              </w:rPr>
              <w:t>0.49</w:t>
            </w:r>
          </w:p>
        </w:tc>
      </w:tr>
      <w:tr w:rsidR="00121B1E" w:rsidRPr="005A55A8" w14:paraId="44C93365" w14:textId="77777777" w:rsidTr="00E967AA">
        <w:tc>
          <w:tcPr>
            <w:tcW w:w="5070" w:type="dxa"/>
            <w:tcBorders>
              <w:top w:val="nil"/>
              <w:left w:val="nil"/>
              <w:bottom w:val="nil"/>
              <w:right w:val="nil"/>
            </w:tcBorders>
            <w:vAlign w:val="center"/>
          </w:tcPr>
          <w:p w14:paraId="54F23C36" w14:textId="77777777" w:rsidR="00121B1E" w:rsidRPr="005A55A8" w:rsidRDefault="00121B1E" w:rsidP="00E967AA">
            <w:pPr>
              <w:spacing w:line="480" w:lineRule="auto"/>
              <w:rPr>
                <w:b/>
                <w:lang w:val="en-GB"/>
              </w:rPr>
            </w:pPr>
            <w:r w:rsidRPr="005A55A8">
              <w:rPr>
                <w:b/>
                <w:lang w:val="en-GB"/>
              </w:rPr>
              <w:t>SEM</w:t>
            </w:r>
          </w:p>
        </w:tc>
        <w:tc>
          <w:tcPr>
            <w:tcW w:w="1701" w:type="dxa"/>
            <w:tcBorders>
              <w:top w:val="nil"/>
              <w:left w:val="nil"/>
              <w:bottom w:val="nil"/>
              <w:right w:val="nil"/>
            </w:tcBorders>
            <w:vAlign w:val="center"/>
          </w:tcPr>
          <w:p w14:paraId="6BFCBD01" w14:textId="77777777" w:rsidR="00121B1E" w:rsidRPr="005A55A8" w:rsidRDefault="00121B1E" w:rsidP="00E967AA">
            <w:pPr>
              <w:rPr>
                <w:sz w:val="24"/>
                <w:szCs w:val="24"/>
              </w:rPr>
            </w:pPr>
            <w:r w:rsidRPr="005A55A8">
              <w:rPr>
                <w:rFonts w:ascii="Arial" w:hAnsi="Arial" w:cs="Arial"/>
                <w:color w:val="000000"/>
                <w:sz w:val="20"/>
                <w:szCs w:val="20"/>
              </w:rPr>
              <w:t>0.51</w:t>
            </w:r>
          </w:p>
        </w:tc>
        <w:tc>
          <w:tcPr>
            <w:tcW w:w="1809" w:type="dxa"/>
            <w:tcBorders>
              <w:top w:val="nil"/>
              <w:left w:val="nil"/>
              <w:bottom w:val="nil"/>
              <w:right w:val="nil"/>
            </w:tcBorders>
            <w:vAlign w:val="center"/>
          </w:tcPr>
          <w:p w14:paraId="59EBC3F3" w14:textId="77777777" w:rsidR="00121B1E" w:rsidRPr="005A55A8" w:rsidRDefault="00121B1E" w:rsidP="00E967AA">
            <w:pPr>
              <w:rPr>
                <w:sz w:val="24"/>
                <w:szCs w:val="24"/>
              </w:rPr>
            </w:pPr>
            <w:r w:rsidRPr="005A55A8">
              <w:rPr>
                <w:rFonts w:ascii="Arial" w:hAnsi="Arial" w:cs="Arial"/>
                <w:b/>
                <w:sz w:val="20"/>
                <w:szCs w:val="20"/>
              </w:rPr>
              <w:t>0.85</w:t>
            </w:r>
          </w:p>
        </w:tc>
      </w:tr>
      <w:tr w:rsidR="00121B1E" w:rsidRPr="005A55A8" w14:paraId="58BFF79D" w14:textId="77777777" w:rsidTr="00E967AA">
        <w:trPr>
          <w:trHeight w:val="570"/>
        </w:trPr>
        <w:tc>
          <w:tcPr>
            <w:tcW w:w="5070" w:type="dxa"/>
            <w:tcBorders>
              <w:top w:val="nil"/>
              <w:left w:val="nil"/>
              <w:bottom w:val="nil"/>
              <w:right w:val="nil"/>
            </w:tcBorders>
            <w:vAlign w:val="center"/>
          </w:tcPr>
          <w:p w14:paraId="75C575AA" w14:textId="77777777" w:rsidR="00121B1E" w:rsidRPr="005A55A8" w:rsidRDefault="00121B1E" w:rsidP="00E967AA">
            <w:pPr>
              <w:spacing w:line="480" w:lineRule="auto"/>
              <w:rPr>
                <w:rFonts w:ascii="Arial" w:hAnsi="Arial" w:cs="Arial"/>
                <w:b/>
                <w:sz w:val="20"/>
                <w:szCs w:val="20"/>
              </w:rPr>
            </w:pPr>
            <w:r w:rsidRPr="005A55A8">
              <w:rPr>
                <w:b/>
                <w:lang w:val="en-GB"/>
              </w:rPr>
              <w:t>FUNC</w:t>
            </w:r>
          </w:p>
        </w:tc>
        <w:tc>
          <w:tcPr>
            <w:tcW w:w="1701" w:type="dxa"/>
            <w:tcBorders>
              <w:top w:val="nil"/>
              <w:left w:val="nil"/>
              <w:bottom w:val="nil"/>
              <w:right w:val="nil"/>
            </w:tcBorders>
            <w:vAlign w:val="center"/>
          </w:tcPr>
          <w:p w14:paraId="33400201" w14:textId="77777777" w:rsidR="00121B1E" w:rsidRPr="005A55A8" w:rsidRDefault="00121B1E" w:rsidP="00E967AA">
            <w:pPr>
              <w:rPr>
                <w:rFonts w:ascii="Arial" w:hAnsi="Arial" w:cs="Arial"/>
                <w:b/>
                <w:sz w:val="20"/>
                <w:szCs w:val="20"/>
              </w:rPr>
            </w:pPr>
            <w:r w:rsidRPr="005A55A8">
              <w:rPr>
                <w:rFonts w:ascii="Arial" w:hAnsi="Arial" w:cs="Arial"/>
                <w:b/>
                <w:sz w:val="20"/>
                <w:szCs w:val="20"/>
              </w:rPr>
              <w:t>0.76</w:t>
            </w:r>
          </w:p>
        </w:tc>
        <w:tc>
          <w:tcPr>
            <w:tcW w:w="1809" w:type="dxa"/>
            <w:tcBorders>
              <w:top w:val="nil"/>
              <w:left w:val="nil"/>
              <w:bottom w:val="nil"/>
              <w:right w:val="nil"/>
            </w:tcBorders>
            <w:vAlign w:val="center"/>
          </w:tcPr>
          <w:p w14:paraId="3999B4F5" w14:textId="77777777" w:rsidR="00121B1E" w:rsidRPr="005A55A8" w:rsidRDefault="00121B1E" w:rsidP="00E967AA">
            <w:pPr>
              <w:rPr>
                <w:sz w:val="24"/>
                <w:szCs w:val="24"/>
              </w:rPr>
            </w:pPr>
            <w:r w:rsidRPr="005A55A8">
              <w:rPr>
                <w:rFonts w:ascii="Arial" w:hAnsi="Arial" w:cs="Arial"/>
                <w:color w:val="000000"/>
                <w:sz w:val="20"/>
                <w:szCs w:val="20"/>
              </w:rPr>
              <w:t>0.61</w:t>
            </w:r>
          </w:p>
        </w:tc>
      </w:tr>
      <w:tr w:rsidR="00121B1E" w:rsidRPr="005A55A8" w14:paraId="0CCD3BB3" w14:textId="77777777" w:rsidTr="00E967AA">
        <w:tc>
          <w:tcPr>
            <w:tcW w:w="5070" w:type="dxa"/>
            <w:tcBorders>
              <w:top w:val="nil"/>
              <w:left w:val="nil"/>
              <w:bottom w:val="nil"/>
              <w:right w:val="nil"/>
            </w:tcBorders>
            <w:vAlign w:val="center"/>
          </w:tcPr>
          <w:p w14:paraId="578B2F5B" w14:textId="77777777" w:rsidR="00121B1E" w:rsidRPr="005A55A8" w:rsidRDefault="00121B1E" w:rsidP="00E967AA">
            <w:pPr>
              <w:spacing w:line="480" w:lineRule="auto"/>
              <w:rPr>
                <w:b/>
                <w:lang w:val="en-GB"/>
              </w:rPr>
            </w:pPr>
            <w:r w:rsidRPr="005A55A8">
              <w:rPr>
                <w:b/>
                <w:lang w:val="en-GB"/>
              </w:rPr>
              <w:t>LEX</w:t>
            </w:r>
          </w:p>
        </w:tc>
        <w:tc>
          <w:tcPr>
            <w:tcW w:w="1701" w:type="dxa"/>
            <w:tcBorders>
              <w:top w:val="nil"/>
              <w:left w:val="nil"/>
              <w:bottom w:val="nil"/>
              <w:right w:val="nil"/>
            </w:tcBorders>
            <w:vAlign w:val="center"/>
          </w:tcPr>
          <w:p w14:paraId="11A4906D" w14:textId="77777777" w:rsidR="00121B1E" w:rsidRPr="005A55A8" w:rsidRDefault="00121B1E" w:rsidP="00E967AA">
            <w:pPr>
              <w:rPr>
                <w:sz w:val="24"/>
                <w:szCs w:val="24"/>
              </w:rPr>
            </w:pPr>
            <w:r w:rsidRPr="005A55A8">
              <w:rPr>
                <w:rFonts w:ascii="Arial" w:hAnsi="Arial" w:cs="Arial"/>
                <w:color w:val="000000"/>
                <w:sz w:val="20"/>
                <w:szCs w:val="20"/>
              </w:rPr>
              <w:t>0.66</w:t>
            </w:r>
          </w:p>
        </w:tc>
        <w:tc>
          <w:tcPr>
            <w:tcW w:w="1809" w:type="dxa"/>
            <w:tcBorders>
              <w:top w:val="nil"/>
              <w:left w:val="nil"/>
              <w:bottom w:val="nil"/>
              <w:right w:val="nil"/>
            </w:tcBorders>
            <w:vAlign w:val="center"/>
          </w:tcPr>
          <w:p w14:paraId="71455B52" w14:textId="77777777" w:rsidR="00121B1E" w:rsidRPr="005A55A8" w:rsidRDefault="00121B1E" w:rsidP="00E967AA">
            <w:pPr>
              <w:rPr>
                <w:sz w:val="24"/>
                <w:szCs w:val="24"/>
              </w:rPr>
            </w:pPr>
            <w:r w:rsidRPr="005A55A8">
              <w:rPr>
                <w:rFonts w:ascii="Arial" w:hAnsi="Arial" w:cs="Arial"/>
                <w:b/>
                <w:sz w:val="20"/>
                <w:szCs w:val="20"/>
              </w:rPr>
              <w:t>0.73</w:t>
            </w:r>
          </w:p>
        </w:tc>
      </w:tr>
      <w:tr w:rsidR="00121B1E" w:rsidRPr="005A55A8" w14:paraId="01DF36DE" w14:textId="77777777" w:rsidTr="00E967AA">
        <w:tc>
          <w:tcPr>
            <w:tcW w:w="5070" w:type="dxa"/>
            <w:tcBorders>
              <w:top w:val="nil"/>
              <w:left w:val="nil"/>
              <w:bottom w:val="nil"/>
              <w:right w:val="nil"/>
            </w:tcBorders>
            <w:vAlign w:val="center"/>
          </w:tcPr>
          <w:p w14:paraId="3877EC83" w14:textId="77777777" w:rsidR="00121B1E" w:rsidRPr="005A55A8" w:rsidRDefault="00121B1E" w:rsidP="00E967AA">
            <w:pPr>
              <w:spacing w:line="480" w:lineRule="auto"/>
              <w:rPr>
                <w:b/>
                <w:lang w:val="en-GB"/>
              </w:rPr>
            </w:pPr>
            <w:r w:rsidRPr="005A55A8">
              <w:rPr>
                <w:b/>
                <w:lang w:val="en-GB"/>
              </w:rPr>
              <w:t>MORPH</w:t>
            </w:r>
          </w:p>
        </w:tc>
        <w:tc>
          <w:tcPr>
            <w:tcW w:w="1701" w:type="dxa"/>
            <w:tcBorders>
              <w:top w:val="nil"/>
              <w:left w:val="nil"/>
              <w:bottom w:val="nil"/>
              <w:right w:val="nil"/>
            </w:tcBorders>
            <w:vAlign w:val="center"/>
          </w:tcPr>
          <w:p w14:paraId="6BB9370D" w14:textId="77777777" w:rsidR="00121B1E" w:rsidRPr="005A55A8" w:rsidRDefault="00121B1E" w:rsidP="00E967AA">
            <w:pPr>
              <w:rPr>
                <w:b/>
                <w:sz w:val="24"/>
                <w:szCs w:val="24"/>
              </w:rPr>
            </w:pPr>
            <w:r w:rsidRPr="005A55A8">
              <w:rPr>
                <w:rFonts w:ascii="Arial" w:hAnsi="Arial" w:cs="Arial"/>
                <w:b/>
                <w:sz w:val="20"/>
                <w:szCs w:val="20"/>
              </w:rPr>
              <w:t>0.79</w:t>
            </w:r>
          </w:p>
        </w:tc>
        <w:tc>
          <w:tcPr>
            <w:tcW w:w="1809" w:type="dxa"/>
            <w:tcBorders>
              <w:top w:val="nil"/>
              <w:left w:val="nil"/>
              <w:bottom w:val="nil"/>
              <w:right w:val="nil"/>
            </w:tcBorders>
            <w:vAlign w:val="center"/>
          </w:tcPr>
          <w:p w14:paraId="3B81E948" w14:textId="77777777" w:rsidR="00121B1E" w:rsidRPr="005A55A8" w:rsidRDefault="00121B1E" w:rsidP="00E967AA">
            <w:pPr>
              <w:rPr>
                <w:sz w:val="24"/>
                <w:szCs w:val="24"/>
              </w:rPr>
            </w:pPr>
            <w:r w:rsidRPr="005A55A8">
              <w:rPr>
                <w:rFonts w:ascii="Arial" w:hAnsi="Arial" w:cs="Arial"/>
                <w:color w:val="000000"/>
                <w:sz w:val="20"/>
                <w:szCs w:val="20"/>
              </w:rPr>
              <w:t>0.56</w:t>
            </w:r>
          </w:p>
        </w:tc>
      </w:tr>
      <w:tr w:rsidR="00121B1E" w:rsidRPr="005A55A8" w14:paraId="44C460E2" w14:textId="77777777" w:rsidTr="00E967AA">
        <w:tc>
          <w:tcPr>
            <w:tcW w:w="5070" w:type="dxa"/>
            <w:tcBorders>
              <w:top w:val="nil"/>
              <w:left w:val="nil"/>
              <w:right w:val="nil"/>
            </w:tcBorders>
            <w:vAlign w:val="center"/>
          </w:tcPr>
          <w:p w14:paraId="6B488F9A" w14:textId="77777777" w:rsidR="00121B1E" w:rsidRPr="005A55A8" w:rsidRDefault="00121B1E" w:rsidP="00E967AA">
            <w:pPr>
              <w:spacing w:line="480" w:lineRule="auto"/>
              <w:rPr>
                <w:b/>
                <w:lang w:val="en-GB"/>
              </w:rPr>
            </w:pPr>
            <w:r w:rsidRPr="005A55A8">
              <w:rPr>
                <w:b/>
                <w:lang w:val="en-GB"/>
              </w:rPr>
              <w:t>Variance explained</w:t>
            </w:r>
          </w:p>
        </w:tc>
        <w:tc>
          <w:tcPr>
            <w:tcW w:w="1701" w:type="dxa"/>
            <w:tcBorders>
              <w:top w:val="nil"/>
              <w:left w:val="nil"/>
              <w:right w:val="nil"/>
            </w:tcBorders>
            <w:vAlign w:val="center"/>
          </w:tcPr>
          <w:p w14:paraId="59BA068D" w14:textId="77777777" w:rsidR="00121B1E" w:rsidRPr="005A55A8" w:rsidRDefault="00121B1E" w:rsidP="00E967AA">
            <w:pPr>
              <w:rPr>
                <w:rFonts w:ascii="Arial" w:hAnsi="Arial" w:cs="Arial"/>
                <w:sz w:val="20"/>
                <w:szCs w:val="20"/>
              </w:rPr>
            </w:pPr>
            <w:r w:rsidRPr="005A55A8">
              <w:rPr>
                <w:rFonts w:ascii="Arial" w:hAnsi="Arial" w:cs="Arial"/>
                <w:sz w:val="20"/>
                <w:szCs w:val="20"/>
              </w:rPr>
              <w:t>52.56%</w:t>
            </w:r>
          </w:p>
        </w:tc>
        <w:tc>
          <w:tcPr>
            <w:tcW w:w="1809" w:type="dxa"/>
            <w:tcBorders>
              <w:top w:val="nil"/>
              <w:left w:val="nil"/>
              <w:right w:val="nil"/>
            </w:tcBorders>
            <w:vAlign w:val="center"/>
          </w:tcPr>
          <w:p w14:paraId="509A2683" w14:textId="77777777" w:rsidR="00121B1E" w:rsidRPr="005A55A8" w:rsidRDefault="00121B1E" w:rsidP="00E967AA">
            <w:pPr>
              <w:rPr>
                <w:rFonts w:ascii="Arial" w:hAnsi="Arial" w:cs="Arial"/>
                <w:color w:val="000000"/>
                <w:sz w:val="20"/>
                <w:szCs w:val="20"/>
              </w:rPr>
            </w:pPr>
            <w:r w:rsidRPr="005A55A8">
              <w:rPr>
                <w:rFonts w:ascii="Arial" w:hAnsi="Arial" w:cs="Arial"/>
                <w:color w:val="000000"/>
                <w:sz w:val="20"/>
                <w:szCs w:val="20"/>
              </w:rPr>
              <w:t>43.92%</w:t>
            </w:r>
          </w:p>
        </w:tc>
      </w:tr>
    </w:tbl>
    <w:p w14:paraId="3CC58A28" w14:textId="77777777" w:rsidR="00121B1E" w:rsidRPr="005A55A8" w:rsidRDefault="00121B1E">
      <w:pPr>
        <w:spacing w:after="0" w:line="480" w:lineRule="auto"/>
        <w:ind w:left="708" w:hanging="708"/>
        <w:rPr>
          <w:lang w:val="en-GB"/>
        </w:rPr>
      </w:pPr>
      <w:r w:rsidRPr="005A55A8">
        <w:rPr>
          <w:i/>
          <w:lang w:val="en-GB"/>
        </w:rPr>
        <w:t>Note</w:t>
      </w:r>
      <w:r w:rsidRPr="005A55A8">
        <w:rPr>
          <w:lang w:val="en-GB"/>
        </w:rPr>
        <w:t>. Factor loadings &gt;</w:t>
      </w:r>
      <w:r w:rsidR="00902154">
        <w:rPr>
          <w:lang w:val="en-GB"/>
        </w:rPr>
        <w:t xml:space="preserve"> </w:t>
      </w:r>
      <w:r w:rsidRPr="005A55A8">
        <w:rPr>
          <w:lang w:val="en-GB"/>
        </w:rPr>
        <w:t>.70 are in boldface</w:t>
      </w:r>
    </w:p>
    <w:p w14:paraId="0151E206" w14:textId="77777777" w:rsidR="00121B1E" w:rsidRPr="005A55A8" w:rsidRDefault="00121B1E">
      <w:pPr>
        <w:rPr>
          <w:lang w:val="en-GB"/>
        </w:rPr>
      </w:pPr>
    </w:p>
    <w:p w14:paraId="3D58AA37" w14:textId="77777777" w:rsidR="00867816" w:rsidRPr="00123878" w:rsidRDefault="00867816" w:rsidP="00BE1FB1">
      <w:pPr>
        <w:rPr>
          <w:lang w:val="en-GB"/>
        </w:rPr>
      </w:pPr>
      <w:r w:rsidRPr="00123878">
        <w:rPr>
          <w:lang w:val="en-GB"/>
        </w:rPr>
        <w:t xml:space="preserve"> </w:t>
      </w:r>
    </w:p>
    <w:sectPr w:rsidR="00867816" w:rsidRPr="00123878" w:rsidSect="00CF00B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7BB07" w14:textId="77777777" w:rsidR="007A4D71" w:rsidRDefault="007A4D71">
      <w:pPr>
        <w:spacing w:after="0" w:line="240" w:lineRule="auto"/>
      </w:pPr>
      <w:r>
        <w:separator/>
      </w:r>
    </w:p>
  </w:endnote>
  <w:endnote w:type="continuationSeparator" w:id="0">
    <w:p w14:paraId="4A32DC41" w14:textId="77777777" w:rsidR="007A4D71" w:rsidRDefault="007A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6F867" w14:textId="77777777" w:rsidR="007A4D71" w:rsidRDefault="007A4D71">
      <w:pPr>
        <w:spacing w:after="0" w:line="240" w:lineRule="auto"/>
      </w:pPr>
      <w:r>
        <w:separator/>
      </w:r>
    </w:p>
  </w:footnote>
  <w:footnote w:type="continuationSeparator" w:id="0">
    <w:p w14:paraId="1E6EEB5A" w14:textId="77777777" w:rsidR="007A4D71" w:rsidRDefault="007A4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07794"/>
      <w:docPartObj>
        <w:docPartGallery w:val="Page Numbers (Top of Page)"/>
        <w:docPartUnique/>
      </w:docPartObj>
    </w:sdtPr>
    <w:sdtContent>
      <w:p w14:paraId="3B8FD52C" w14:textId="77777777" w:rsidR="00FC111B" w:rsidRDefault="00FC111B">
        <w:pPr>
          <w:pStyle w:val="En-tte"/>
          <w:jc w:val="right"/>
        </w:pPr>
        <w:r>
          <w:fldChar w:fldCharType="begin"/>
        </w:r>
        <w:r>
          <w:instrText>PAGE   \* MERGEFORMAT</w:instrText>
        </w:r>
        <w:r>
          <w:fldChar w:fldCharType="separate"/>
        </w:r>
        <w:r w:rsidR="00F5219E" w:rsidRPr="00F5219E">
          <w:rPr>
            <w:noProof/>
            <w:lang w:val="fr-FR"/>
          </w:rPr>
          <w:t>19</w:t>
        </w:r>
        <w:r>
          <w:rPr>
            <w:noProof/>
            <w:lang w:val="fr-FR"/>
          </w:rPr>
          <w:fldChar w:fldCharType="end"/>
        </w:r>
      </w:p>
    </w:sdtContent>
  </w:sdt>
  <w:p w14:paraId="17F1BB13" w14:textId="77777777" w:rsidR="00FC111B" w:rsidRDefault="00FC111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B97"/>
    <w:multiLevelType w:val="multilevel"/>
    <w:tmpl w:val="101EB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832858"/>
    <w:multiLevelType w:val="hybridMultilevel"/>
    <w:tmpl w:val="C4BCF0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1247F4"/>
    <w:multiLevelType w:val="hybridMultilevel"/>
    <w:tmpl w:val="BD7E3D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2B25DF4"/>
    <w:multiLevelType w:val="multilevel"/>
    <w:tmpl w:val="101EB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A1A0ECD"/>
    <w:multiLevelType w:val="hybridMultilevel"/>
    <w:tmpl w:val="C1F42E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F7209EB"/>
    <w:multiLevelType w:val="hybridMultilevel"/>
    <w:tmpl w:val="874875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20B75739"/>
    <w:multiLevelType w:val="multilevel"/>
    <w:tmpl w:val="0FFA63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C64243"/>
    <w:multiLevelType w:val="multilevel"/>
    <w:tmpl w:val="C8888B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2FF75F06"/>
    <w:multiLevelType w:val="hybridMultilevel"/>
    <w:tmpl w:val="EDB4CF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60B51F1"/>
    <w:multiLevelType w:val="hybridMultilevel"/>
    <w:tmpl w:val="0352D958"/>
    <w:lvl w:ilvl="0" w:tplc="A5AEB64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7C8197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BDA31C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D700A7C"/>
    <w:multiLevelType w:val="multilevel"/>
    <w:tmpl w:val="C30049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A4647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463BF6"/>
    <w:multiLevelType w:val="multilevel"/>
    <w:tmpl w:val="0FFA63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3AC3D09"/>
    <w:multiLevelType w:val="hybridMultilevel"/>
    <w:tmpl w:val="6BE807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5C8D5A9B"/>
    <w:multiLevelType w:val="hybridMultilevel"/>
    <w:tmpl w:val="7E32A2F4"/>
    <w:lvl w:ilvl="0" w:tplc="08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D3F115D"/>
    <w:multiLevelType w:val="multilevel"/>
    <w:tmpl w:val="101EB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8"/>
  </w:num>
  <w:num w:numId="4">
    <w:abstractNumId w:val="0"/>
  </w:num>
  <w:num w:numId="5">
    <w:abstractNumId w:val="15"/>
  </w:num>
  <w:num w:numId="6">
    <w:abstractNumId w:val="5"/>
  </w:num>
  <w:num w:numId="7">
    <w:abstractNumId w:val="9"/>
  </w:num>
  <w:num w:numId="8">
    <w:abstractNumId w:val="7"/>
  </w:num>
  <w:num w:numId="9">
    <w:abstractNumId w:val="12"/>
  </w:num>
  <w:num w:numId="10">
    <w:abstractNumId w:val="1"/>
  </w:num>
  <w:num w:numId="11">
    <w:abstractNumId w:val="14"/>
  </w:num>
  <w:num w:numId="12">
    <w:abstractNumId w:val="13"/>
  </w:num>
  <w:num w:numId="13">
    <w:abstractNumId w:val="16"/>
  </w:num>
  <w:num w:numId="14">
    <w:abstractNumId w:val="10"/>
  </w:num>
  <w:num w:numId="15">
    <w:abstractNumId w:val="3"/>
  </w:num>
  <w:num w:numId="16">
    <w:abstractNumId w:val="17"/>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21B1E"/>
    <w:rsid w:val="000209F3"/>
    <w:rsid w:val="0006357B"/>
    <w:rsid w:val="00073267"/>
    <w:rsid w:val="000C4B1D"/>
    <w:rsid w:val="000F25DF"/>
    <w:rsid w:val="00101ED2"/>
    <w:rsid w:val="00110AD5"/>
    <w:rsid w:val="00121B1E"/>
    <w:rsid w:val="00123878"/>
    <w:rsid w:val="00127ECC"/>
    <w:rsid w:val="0018621F"/>
    <w:rsid w:val="001B3B7A"/>
    <w:rsid w:val="00220D4E"/>
    <w:rsid w:val="0025622A"/>
    <w:rsid w:val="00270033"/>
    <w:rsid w:val="002774D3"/>
    <w:rsid w:val="002B3C43"/>
    <w:rsid w:val="002B53DE"/>
    <w:rsid w:val="00367C85"/>
    <w:rsid w:val="00373D75"/>
    <w:rsid w:val="003B529C"/>
    <w:rsid w:val="004068E0"/>
    <w:rsid w:val="00416FAD"/>
    <w:rsid w:val="00431A78"/>
    <w:rsid w:val="0048769C"/>
    <w:rsid w:val="004B6B27"/>
    <w:rsid w:val="004C4BAA"/>
    <w:rsid w:val="004D029D"/>
    <w:rsid w:val="00500001"/>
    <w:rsid w:val="00502241"/>
    <w:rsid w:val="005A55A8"/>
    <w:rsid w:val="005F28F9"/>
    <w:rsid w:val="00617D6E"/>
    <w:rsid w:val="006D55EF"/>
    <w:rsid w:val="0070475C"/>
    <w:rsid w:val="00727732"/>
    <w:rsid w:val="0075645D"/>
    <w:rsid w:val="007763ED"/>
    <w:rsid w:val="007A4D71"/>
    <w:rsid w:val="007B67A7"/>
    <w:rsid w:val="007E5471"/>
    <w:rsid w:val="00820B7F"/>
    <w:rsid w:val="00823248"/>
    <w:rsid w:val="00867816"/>
    <w:rsid w:val="008876A4"/>
    <w:rsid w:val="0089309E"/>
    <w:rsid w:val="008B167E"/>
    <w:rsid w:val="00902154"/>
    <w:rsid w:val="00965A9A"/>
    <w:rsid w:val="009670F0"/>
    <w:rsid w:val="009842F1"/>
    <w:rsid w:val="00995A5D"/>
    <w:rsid w:val="009F411B"/>
    <w:rsid w:val="009F6328"/>
    <w:rsid w:val="00A510E9"/>
    <w:rsid w:val="00A5321C"/>
    <w:rsid w:val="00AE3ED4"/>
    <w:rsid w:val="00B258A8"/>
    <w:rsid w:val="00B6197D"/>
    <w:rsid w:val="00B915B6"/>
    <w:rsid w:val="00BE1FB1"/>
    <w:rsid w:val="00C05173"/>
    <w:rsid w:val="00C10174"/>
    <w:rsid w:val="00C33241"/>
    <w:rsid w:val="00CD62E2"/>
    <w:rsid w:val="00CF00B4"/>
    <w:rsid w:val="00D005E5"/>
    <w:rsid w:val="00D1625C"/>
    <w:rsid w:val="00D33591"/>
    <w:rsid w:val="00E30A0A"/>
    <w:rsid w:val="00E3291F"/>
    <w:rsid w:val="00E36EC3"/>
    <w:rsid w:val="00E378AB"/>
    <w:rsid w:val="00E43D51"/>
    <w:rsid w:val="00E967AA"/>
    <w:rsid w:val="00ED030C"/>
    <w:rsid w:val="00EE1907"/>
    <w:rsid w:val="00F04F0B"/>
    <w:rsid w:val="00F5219E"/>
    <w:rsid w:val="00FC111B"/>
    <w:rsid w:val="00FC7E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9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1B1E"/>
    <w:pPr>
      <w:ind w:left="720"/>
      <w:contextualSpacing/>
    </w:pPr>
  </w:style>
  <w:style w:type="paragraph" w:styleId="En-tte">
    <w:name w:val="header"/>
    <w:basedOn w:val="Normal"/>
    <w:link w:val="En-tteCar"/>
    <w:uiPriority w:val="99"/>
    <w:unhideWhenUsed/>
    <w:rsid w:val="00121B1E"/>
    <w:pPr>
      <w:tabs>
        <w:tab w:val="center" w:pos="4536"/>
        <w:tab w:val="right" w:pos="9072"/>
      </w:tabs>
      <w:spacing w:after="0" w:line="240" w:lineRule="auto"/>
    </w:pPr>
  </w:style>
  <w:style w:type="character" w:customStyle="1" w:styleId="En-tteCar">
    <w:name w:val="En-tête Car"/>
    <w:basedOn w:val="Policepardfaut"/>
    <w:link w:val="En-tte"/>
    <w:uiPriority w:val="99"/>
    <w:rsid w:val="00121B1E"/>
  </w:style>
  <w:style w:type="paragraph" w:styleId="Pieddepage">
    <w:name w:val="footer"/>
    <w:basedOn w:val="Normal"/>
    <w:link w:val="PieddepageCar"/>
    <w:uiPriority w:val="99"/>
    <w:unhideWhenUsed/>
    <w:rsid w:val="00121B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B1E"/>
  </w:style>
  <w:style w:type="table" w:styleId="Grilledutableau">
    <w:name w:val="Table Grid"/>
    <w:basedOn w:val="TableauNormal"/>
    <w:uiPriority w:val="59"/>
    <w:rsid w:val="00121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1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arquedecommentaire">
    <w:name w:val="annotation reference"/>
    <w:basedOn w:val="Policepardfaut"/>
    <w:uiPriority w:val="99"/>
    <w:semiHidden/>
    <w:unhideWhenUsed/>
    <w:rsid w:val="00121B1E"/>
    <w:rPr>
      <w:sz w:val="16"/>
      <w:szCs w:val="16"/>
    </w:rPr>
  </w:style>
  <w:style w:type="paragraph" w:styleId="Commentaire">
    <w:name w:val="annotation text"/>
    <w:basedOn w:val="Normal"/>
    <w:link w:val="CommentaireCar"/>
    <w:uiPriority w:val="99"/>
    <w:semiHidden/>
    <w:unhideWhenUsed/>
    <w:rsid w:val="00121B1E"/>
    <w:pPr>
      <w:spacing w:line="240" w:lineRule="auto"/>
    </w:pPr>
    <w:rPr>
      <w:sz w:val="20"/>
      <w:szCs w:val="20"/>
    </w:rPr>
  </w:style>
  <w:style w:type="character" w:customStyle="1" w:styleId="CommentaireCar">
    <w:name w:val="Commentaire Car"/>
    <w:basedOn w:val="Policepardfaut"/>
    <w:link w:val="Commentaire"/>
    <w:uiPriority w:val="99"/>
    <w:semiHidden/>
    <w:rsid w:val="00121B1E"/>
    <w:rPr>
      <w:sz w:val="20"/>
      <w:szCs w:val="20"/>
    </w:rPr>
  </w:style>
  <w:style w:type="paragraph" w:styleId="Objetducommentaire">
    <w:name w:val="annotation subject"/>
    <w:basedOn w:val="Commentaire"/>
    <w:next w:val="Commentaire"/>
    <w:link w:val="ObjetducommentaireCar"/>
    <w:uiPriority w:val="99"/>
    <w:semiHidden/>
    <w:unhideWhenUsed/>
    <w:rsid w:val="00121B1E"/>
    <w:rPr>
      <w:b/>
      <w:bCs/>
    </w:rPr>
  </w:style>
  <w:style w:type="character" w:customStyle="1" w:styleId="ObjetducommentaireCar">
    <w:name w:val="Objet du commentaire Car"/>
    <w:basedOn w:val="CommentaireCar"/>
    <w:link w:val="Objetducommentaire"/>
    <w:uiPriority w:val="99"/>
    <w:semiHidden/>
    <w:rsid w:val="00121B1E"/>
    <w:rPr>
      <w:b/>
      <w:bCs/>
      <w:sz w:val="20"/>
      <w:szCs w:val="20"/>
    </w:rPr>
  </w:style>
  <w:style w:type="paragraph" w:styleId="Textedebulles">
    <w:name w:val="Balloon Text"/>
    <w:basedOn w:val="Normal"/>
    <w:link w:val="TextedebullesCar"/>
    <w:uiPriority w:val="99"/>
    <w:semiHidden/>
    <w:unhideWhenUsed/>
    <w:rsid w:val="00121B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1B1E"/>
    <w:rPr>
      <w:rFonts w:ascii="Tahoma" w:hAnsi="Tahoma" w:cs="Tahoma"/>
      <w:sz w:val="16"/>
      <w:szCs w:val="16"/>
    </w:rPr>
  </w:style>
  <w:style w:type="character" w:styleId="lev">
    <w:name w:val="Strong"/>
    <w:basedOn w:val="Policepardfaut"/>
    <w:uiPriority w:val="22"/>
    <w:qFormat/>
    <w:rsid w:val="00121B1E"/>
    <w:rPr>
      <w:b/>
      <w:bCs/>
    </w:rPr>
  </w:style>
  <w:style w:type="character" w:styleId="Lienhypertexte">
    <w:name w:val="Hyperlink"/>
    <w:basedOn w:val="Policepardfaut"/>
    <w:uiPriority w:val="99"/>
    <w:unhideWhenUsed/>
    <w:rsid w:val="00121B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1B1E"/>
    <w:pPr>
      <w:ind w:left="720"/>
      <w:contextualSpacing/>
    </w:pPr>
  </w:style>
  <w:style w:type="paragraph" w:styleId="En-tte">
    <w:name w:val="header"/>
    <w:basedOn w:val="Normal"/>
    <w:link w:val="En-tteCar"/>
    <w:uiPriority w:val="99"/>
    <w:unhideWhenUsed/>
    <w:rsid w:val="00121B1E"/>
    <w:pPr>
      <w:tabs>
        <w:tab w:val="center" w:pos="4536"/>
        <w:tab w:val="right" w:pos="9072"/>
      </w:tabs>
      <w:spacing w:after="0" w:line="240" w:lineRule="auto"/>
    </w:pPr>
  </w:style>
  <w:style w:type="character" w:customStyle="1" w:styleId="En-tteCar">
    <w:name w:val="En-tête Car"/>
    <w:basedOn w:val="Policepardfaut"/>
    <w:link w:val="En-tte"/>
    <w:uiPriority w:val="99"/>
    <w:rsid w:val="00121B1E"/>
  </w:style>
  <w:style w:type="paragraph" w:styleId="Pieddepage">
    <w:name w:val="footer"/>
    <w:basedOn w:val="Normal"/>
    <w:link w:val="PieddepageCar"/>
    <w:uiPriority w:val="99"/>
    <w:unhideWhenUsed/>
    <w:rsid w:val="00121B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B1E"/>
  </w:style>
  <w:style w:type="table" w:styleId="Grilledutableau">
    <w:name w:val="Table Grid"/>
    <w:basedOn w:val="TableauNormal"/>
    <w:uiPriority w:val="59"/>
    <w:rsid w:val="00121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1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arquedecommentaire">
    <w:name w:val="annotation reference"/>
    <w:basedOn w:val="Policepardfaut"/>
    <w:uiPriority w:val="99"/>
    <w:semiHidden/>
    <w:unhideWhenUsed/>
    <w:rsid w:val="00121B1E"/>
    <w:rPr>
      <w:sz w:val="16"/>
      <w:szCs w:val="16"/>
    </w:rPr>
  </w:style>
  <w:style w:type="paragraph" w:styleId="Commentaire">
    <w:name w:val="annotation text"/>
    <w:basedOn w:val="Normal"/>
    <w:link w:val="CommentaireCar"/>
    <w:uiPriority w:val="99"/>
    <w:semiHidden/>
    <w:unhideWhenUsed/>
    <w:rsid w:val="00121B1E"/>
    <w:pPr>
      <w:spacing w:line="240" w:lineRule="auto"/>
    </w:pPr>
    <w:rPr>
      <w:sz w:val="20"/>
      <w:szCs w:val="20"/>
    </w:rPr>
  </w:style>
  <w:style w:type="character" w:customStyle="1" w:styleId="CommentaireCar">
    <w:name w:val="Commentaire Car"/>
    <w:basedOn w:val="Policepardfaut"/>
    <w:link w:val="Commentaire"/>
    <w:uiPriority w:val="99"/>
    <w:semiHidden/>
    <w:rsid w:val="00121B1E"/>
    <w:rPr>
      <w:sz w:val="20"/>
      <w:szCs w:val="20"/>
    </w:rPr>
  </w:style>
  <w:style w:type="paragraph" w:styleId="Objetducommentaire">
    <w:name w:val="annotation subject"/>
    <w:basedOn w:val="Commentaire"/>
    <w:next w:val="Commentaire"/>
    <w:link w:val="ObjetducommentaireCar"/>
    <w:uiPriority w:val="99"/>
    <w:semiHidden/>
    <w:unhideWhenUsed/>
    <w:rsid w:val="00121B1E"/>
    <w:rPr>
      <w:b/>
      <w:bCs/>
    </w:rPr>
  </w:style>
  <w:style w:type="character" w:customStyle="1" w:styleId="ObjetducommentaireCar">
    <w:name w:val="Objet du commentaire Car"/>
    <w:basedOn w:val="CommentaireCar"/>
    <w:link w:val="Objetducommentaire"/>
    <w:uiPriority w:val="99"/>
    <w:semiHidden/>
    <w:rsid w:val="00121B1E"/>
    <w:rPr>
      <w:b/>
      <w:bCs/>
      <w:sz w:val="20"/>
      <w:szCs w:val="20"/>
    </w:rPr>
  </w:style>
  <w:style w:type="paragraph" w:styleId="Textedebulles">
    <w:name w:val="Balloon Text"/>
    <w:basedOn w:val="Normal"/>
    <w:link w:val="TextedebullesCar"/>
    <w:uiPriority w:val="99"/>
    <w:semiHidden/>
    <w:unhideWhenUsed/>
    <w:rsid w:val="00121B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1B1E"/>
    <w:rPr>
      <w:rFonts w:ascii="Tahoma" w:hAnsi="Tahoma" w:cs="Tahoma"/>
      <w:sz w:val="16"/>
      <w:szCs w:val="16"/>
    </w:rPr>
  </w:style>
  <w:style w:type="character" w:styleId="lev">
    <w:name w:val="Strong"/>
    <w:basedOn w:val="Policepardfaut"/>
    <w:uiPriority w:val="22"/>
    <w:qFormat/>
    <w:rsid w:val="00121B1E"/>
    <w:rPr>
      <w:b/>
      <w:bCs/>
    </w:rPr>
  </w:style>
  <w:style w:type="character" w:styleId="Lienhypertexte">
    <w:name w:val="Hyperlink"/>
    <w:basedOn w:val="Policepardfaut"/>
    <w:uiPriority w:val="99"/>
    <w:unhideWhenUsed/>
    <w:rsid w:val="00121B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1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leclercq@ulg.ac.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52C1CBEC66C646B3FCE674C9A22C06" ma:contentTypeVersion="0" ma:contentTypeDescription="Create a new document." ma:contentTypeScope="" ma:versionID="3aecff15000a7297eedf120bceb852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1066D-4C58-448D-9714-54C6E5D66AF1}">
  <ds:schemaRefs>
    <ds:schemaRef ds:uri="http://schemas.microsoft.com/sharepoint/v3/contenttype/forms"/>
  </ds:schemaRefs>
</ds:datastoreItem>
</file>

<file path=customXml/itemProps2.xml><?xml version="1.0" encoding="utf-8"?>
<ds:datastoreItem xmlns:ds="http://schemas.openxmlformats.org/officeDocument/2006/customXml" ds:itemID="{AB2C5978-A35B-451A-A407-C0F324C970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ABA0BE-F7AE-4A99-9705-80EE1880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957E80-1F2D-4394-A035-6F1EBD86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5618</Words>
  <Characters>31633</Characters>
  <Application>Microsoft Office Word</Application>
  <DocSecurity>0</DocSecurity>
  <Lines>771</Lines>
  <Paragraphs>459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Anne-Lise Leclercq</dc:creator>
  <cp:lastModifiedBy>Anne-Lise Leclercq</cp:lastModifiedBy>
  <cp:revision>3</cp:revision>
  <dcterms:created xsi:type="dcterms:W3CDTF">2014-08-13T09:37:00Z</dcterms:created>
  <dcterms:modified xsi:type="dcterms:W3CDTF">2014-08-13T09:46:00Z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0x010100D852C1CBEC66C646B3FCE674C9A22C06</vt:lpwstr>
  </property>
</Properties>
</file>