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0F" w:rsidRPr="00AF430F" w:rsidRDefault="00AF430F" w:rsidP="00AF430F">
      <w:pPr>
        <w:pStyle w:val="Titre1"/>
        <w:rPr>
          <w:lang w:val="en-GB"/>
        </w:rPr>
      </w:pPr>
      <w:r w:rsidRPr="00AF430F">
        <w:rPr>
          <w:rStyle w:val="maintitle"/>
          <w:lang w:val="en-GB"/>
        </w:rPr>
        <w:t xml:space="preserve">Projected inhibition of platelet aggregation with ticagrelor twice daily </w:t>
      </w:r>
      <w:r w:rsidRPr="00AF430F">
        <w:rPr>
          <w:rStyle w:val="Accentuation"/>
          <w:lang w:val="en-GB"/>
        </w:rPr>
        <w:t>vs.</w:t>
      </w:r>
      <w:r w:rsidRPr="00AF430F">
        <w:rPr>
          <w:rStyle w:val="maintitle"/>
          <w:lang w:val="en-GB"/>
        </w:rPr>
        <w:t xml:space="preserve"> clopidogrel once daily based on patient adherence data (the TWICE project)</w:t>
      </w:r>
    </w:p>
    <w:p w:rsidR="00AF430F" w:rsidRDefault="00AF430F" w:rsidP="00AF430F">
      <w:pPr>
        <w:numPr>
          <w:ilvl w:val="0"/>
          <w:numId w:val="4"/>
        </w:numPr>
        <w:spacing w:before="100" w:beforeAutospacing="1" w:after="100" w:afterAutospacing="1" w:line="240" w:lineRule="auto"/>
      </w:pPr>
      <w:r>
        <w:t>Bernard Vrijens</w:t>
      </w:r>
      <w:r>
        <w:rPr>
          <w:vertAlign w:val="superscript"/>
        </w:rPr>
        <w:t>1</w:t>
      </w:r>
      <w:proofErr w:type="gramStart"/>
      <w:r>
        <w:rPr>
          <w:vertAlign w:val="superscript"/>
        </w:rPr>
        <w:t>,2</w:t>
      </w:r>
      <w:proofErr w:type="gramEnd"/>
      <w:r>
        <w:rPr>
          <w:vertAlign w:val="superscript"/>
        </w:rPr>
        <w:t>,*</w:t>
      </w:r>
      <w:r>
        <w:t xml:space="preserve">, </w:t>
      </w:r>
    </w:p>
    <w:p w:rsidR="00AF430F" w:rsidRDefault="00AF430F" w:rsidP="00AF430F">
      <w:pPr>
        <w:numPr>
          <w:ilvl w:val="0"/>
          <w:numId w:val="4"/>
        </w:numPr>
        <w:spacing w:before="100" w:beforeAutospacing="1" w:after="100" w:afterAutospacing="1" w:line="240" w:lineRule="auto"/>
      </w:pPr>
      <w:r>
        <w:t>Marc J. Claeys</w:t>
      </w:r>
      <w:r>
        <w:rPr>
          <w:vertAlign w:val="superscript"/>
        </w:rPr>
        <w:t>3</w:t>
      </w:r>
      <w:r>
        <w:t xml:space="preserve">, </w:t>
      </w:r>
    </w:p>
    <w:p w:rsidR="00AF430F" w:rsidRDefault="00AF430F" w:rsidP="00AF430F">
      <w:pPr>
        <w:numPr>
          <w:ilvl w:val="0"/>
          <w:numId w:val="4"/>
        </w:numPr>
        <w:spacing w:before="100" w:beforeAutospacing="1" w:after="100" w:afterAutospacing="1" w:line="240" w:lineRule="auto"/>
      </w:pPr>
      <w:r>
        <w:t>Victor Legrand</w:t>
      </w:r>
      <w:r>
        <w:rPr>
          <w:vertAlign w:val="superscript"/>
        </w:rPr>
        <w:t>4</w:t>
      </w:r>
      <w:r>
        <w:t xml:space="preserve">, </w:t>
      </w:r>
    </w:p>
    <w:p w:rsidR="00AF430F" w:rsidRDefault="00AF430F" w:rsidP="00AF430F">
      <w:pPr>
        <w:numPr>
          <w:ilvl w:val="0"/>
          <w:numId w:val="4"/>
        </w:numPr>
        <w:spacing w:before="100" w:beforeAutospacing="1" w:after="100" w:afterAutospacing="1" w:line="240" w:lineRule="auto"/>
      </w:pPr>
      <w:r>
        <w:t>Eef Vandendriessche</w:t>
      </w:r>
      <w:r>
        <w:rPr>
          <w:vertAlign w:val="superscript"/>
        </w:rPr>
        <w:t>5</w:t>
      </w:r>
      <w:r>
        <w:t xml:space="preserve"> and</w:t>
      </w:r>
    </w:p>
    <w:p w:rsidR="00AF430F" w:rsidRDefault="00AF430F" w:rsidP="00AF430F">
      <w:pPr>
        <w:numPr>
          <w:ilvl w:val="0"/>
          <w:numId w:val="4"/>
        </w:numPr>
        <w:spacing w:before="100" w:beforeAutospacing="1" w:after="100" w:afterAutospacing="1" w:line="240" w:lineRule="auto"/>
      </w:pPr>
      <w:r>
        <w:t>Frans Van de Werf</w:t>
      </w:r>
      <w:r>
        <w:rPr>
          <w:vertAlign w:val="superscript"/>
        </w:rPr>
        <w:t>6</w:t>
      </w:r>
    </w:p>
    <w:p w:rsidR="00AF430F" w:rsidRPr="00AF430F" w:rsidRDefault="00AF430F" w:rsidP="00AF430F">
      <w:pPr>
        <w:pStyle w:val="NormalWeb"/>
        <w:rPr>
          <w:lang w:val="en-GB"/>
        </w:rPr>
      </w:pPr>
      <w:r w:rsidRPr="00AF430F">
        <w:rPr>
          <w:lang w:val="en-GB"/>
        </w:rPr>
        <w:t>Article first published online: 22 APR 2014</w:t>
      </w:r>
    </w:p>
    <w:p w:rsidR="00AF430F" w:rsidRPr="00AF430F" w:rsidRDefault="00AF430F" w:rsidP="00AF430F">
      <w:pPr>
        <w:pStyle w:val="NormalWeb"/>
        <w:rPr>
          <w:lang w:val="en-GB"/>
        </w:rPr>
      </w:pPr>
      <w:r w:rsidRPr="00AF430F">
        <w:rPr>
          <w:lang w:val="en-GB"/>
        </w:rPr>
        <w:t>DOI: 10.1111/bcp.12275</w:t>
      </w:r>
    </w:p>
    <w:p w:rsidR="00AF430F" w:rsidRPr="00AF430F" w:rsidRDefault="00AF430F" w:rsidP="00AF430F">
      <w:pPr>
        <w:pStyle w:val="copyright"/>
        <w:rPr>
          <w:lang w:val="en-GB"/>
        </w:rPr>
      </w:pPr>
      <w:r w:rsidRPr="00AF430F">
        <w:rPr>
          <w:lang w:val="en-GB"/>
        </w:rPr>
        <w:t>© 2013 The British Pharmacological Society</w:t>
      </w:r>
    </w:p>
    <w:p w:rsidR="00AF430F" w:rsidRDefault="00AF430F" w:rsidP="00AF430F">
      <w:pPr>
        <w:pStyle w:val="articlecategory"/>
      </w:pPr>
      <w:r>
        <w:t xml:space="preserve">Issue </w:t>
      </w:r>
    </w:p>
    <w:p w:rsidR="00AF430F" w:rsidRDefault="00AF430F" w:rsidP="00AF430F">
      <w:r>
        <w:rPr>
          <w:noProof/>
          <w:lang w:eastAsia="fr-BE"/>
        </w:rPr>
        <w:drawing>
          <wp:inline distT="0" distB="0" distL="0" distR="0">
            <wp:extent cx="962025" cy="1248410"/>
            <wp:effectExtent l="0" t="0" r="9525" b="8890"/>
            <wp:docPr id="17" name="Image 17" descr="British Journal of Clinical Pharma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ritish Journal of Clinical Pharmacolog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2025" cy="1248410"/>
                    </a:xfrm>
                    <a:prstGeom prst="rect">
                      <a:avLst/>
                    </a:prstGeom>
                    <a:noFill/>
                    <a:ln>
                      <a:noFill/>
                    </a:ln>
                  </pic:spPr>
                </pic:pic>
              </a:graphicData>
            </a:graphic>
          </wp:inline>
        </w:drawing>
      </w:r>
    </w:p>
    <w:p w:rsidR="00AF430F" w:rsidRPr="00AF430F" w:rsidRDefault="00AF430F" w:rsidP="00AF430F">
      <w:pPr>
        <w:pStyle w:val="Titre2"/>
        <w:rPr>
          <w:lang w:val="en-GB"/>
        </w:rPr>
      </w:pPr>
      <w:r w:rsidRPr="00AF430F">
        <w:rPr>
          <w:lang w:val="en-GB"/>
        </w:rPr>
        <w:t>British Journal of Clinical Pharmacology</w:t>
      </w:r>
    </w:p>
    <w:p w:rsidR="00AF430F" w:rsidRPr="00AF430F" w:rsidRDefault="00AF430F" w:rsidP="00AF430F">
      <w:pPr>
        <w:pStyle w:val="articledetails"/>
        <w:rPr>
          <w:lang w:val="en-GB"/>
        </w:rPr>
      </w:pPr>
      <w:hyperlink r:id="rId7" w:history="1">
        <w:r w:rsidRPr="00AF430F">
          <w:rPr>
            <w:rStyle w:val="Lienhypertexte"/>
            <w:lang w:val="en-GB"/>
          </w:rPr>
          <w:t xml:space="preserve">Volume 77, Issue 5, </w:t>
        </w:r>
      </w:hyperlink>
      <w:r w:rsidRPr="00AF430F">
        <w:rPr>
          <w:lang w:val="en-GB"/>
        </w:rPr>
        <w:t>pages 746–755, May 2014</w:t>
      </w:r>
    </w:p>
    <w:p w:rsidR="00AF430F" w:rsidRPr="00AF430F" w:rsidRDefault="00AF430F" w:rsidP="00AF430F">
      <w:pPr>
        <w:spacing w:before="100" w:beforeAutospacing="1" w:after="100" w:afterAutospacing="1" w:line="240" w:lineRule="auto"/>
        <w:outlineLvl w:val="2"/>
        <w:rPr>
          <w:rFonts w:ascii="Times New Roman" w:eastAsia="Times New Roman" w:hAnsi="Times New Roman" w:cs="Times New Roman"/>
          <w:b/>
          <w:bCs/>
          <w:sz w:val="27"/>
          <w:szCs w:val="27"/>
          <w:lang w:val="en-GB" w:eastAsia="fr-BE"/>
        </w:rPr>
      </w:pPr>
      <w:bookmarkStart w:id="0" w:name="_GoBack"/>
      <w:bookmarkEnd w:id="0"/>
    </w:p>
    <w:p w:rsidR="00AF430F" w:rsidRPr="00AF430F" w:rsidRDefault="00AF430F" w:rsidP="00AF430F">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AF430F">
        <w:rPr>
          <w:rFonts w:ascii="Times New Roman" w:eastAsia="Times New Roman" w:hAnsi="Times New Roman" w:cs="Times New Roman"/>
          <w:b/>
          <w:bCs/>
          <w:sz w:val="27"/>
          <w:szCs w:val="27"/>
          <w:lang w:eastAsia="fr-BE"/>
        </w:rPr>
        <w:t>Keywords:</w:t>
      </w:r>
    </w:p>
    <w:p w:rsidR="00AF430F" w:rsidRPr="00AF430F" w:rsidRDefault="00AF430F" w:rsidP="00AF430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AF430F">
        <w:rPr>
          <w:rFonts w:ascii="Times New Roman" w:eastAsia="Times New Roman" w:hAnsi="Times New Roman" w:cs="Times New Roman"/>
          <w:sz w:val="24"/>
          <w:szCs w:val="24"/>
          <w:lang w:eastAsia="fr-BE"/>
        </w:rPr>
        <w:t>adherence</w:t>
      </w:r>
      <w:proofErr w:type="spellEnd"/>
      <w:r w:rsidRPr="00AF430F">
        <w:rPr>
          <w:rFonts w:ascii="Times New Roman" w:eastAsia="Times New Roman" w:hAnsi="Times New Roman" w:cs="Times New Roman"/>
          <w:sz w:val="24"/>
          <w:szCs w:val="24"/>
          <w:lang w:eastAsia="fr-BE"/>
        </w:rPr>
        <w:t>;</w:t>
      </w:r>
    </w:p>
    <w:p w:rsidR="00AF430F" w:rsidRPr="00AF430F" w:rsidRDefault="00AF430F" w:rsidP="00AF430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AF430F">
        <w:rPr>
          <w:rFonts w:ascii="Times New Roman" w:eastAsia="Times New Roman" w:hAnsi="Times New Roman" w:cs="Times New Roman"/>
          <w:sz w:val="24"/>
          <w:szCs w:val="24"/>
          <w:lang w:eastAsia="fr-BE"/>
        </w:rPr>
        <w:t>antiplatelet</w:t>
      </w:r>
      <w:proofErr w:type="spellEnd"/>
      <w:r w:rsidRPr="00AF430F">
        <w:rPr>
          <w:rFonts w:ascii="Times New Roman" w:eastAsia="Times New Roman" w:hAnsi="Times New Roman" w:cs="Times New Roman"/>
          <w:sz w:val="24"/>
          <w:szCs w:val="24"/>
          <w:lang w:eastAsia="fr-BE"/>
        </w:rPr>
        <w:t xml:space="preserve"> </w:t>
      </w:r>
      <w:proofErr w:type="spellStart"/>
      <w:r w:rsidRPr="00AF430F">
        <w:rPr>
          <w:rFonts w:ascii="Times New Roman" w:eastAsia="Times New Roman" w:hAnsi="Times New Roman" w:cs="Times New Roman"/>
          <w:sz w:val="24"/>
          <w:szCs w:val="24"/>
          <w:lang w:eastAsia="fr-BE"/>
        </w:rPr>
        <w:t>therapy</w:t>
      </w:r>
      <w:proofErr w:type="spellEnd"/>
      <w:r w:rsidRPr="00AF430F">
        <w:rPr>
          <w:rFonts w:ascii="Times New Roman" w:eastAsia="Times New Roman" w:hAnsi="Times New Roman" w:cs="Times New Roman"/>
          <w:sz w:val="24"/>
          <w:szCs w:val="24"/>
          <w:lang w:eastAsia="fr-BE"/>
        </w:rPr>
        <w:t>;</w:t>
      </w:r>
    </w:p>
    <w:p w:rsidR="00AF430F" w:rsidRPr="00AF430F" w:rsidRDefault="00AF430F" w:rsidP="00AF430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AF430F">
        <w:rPr>
          <w:rFonts w:ascii="Times New Roman" w:eastAsia="Times New Roman" w:hAnsi="Times New Roman" w:cs="Times New Roman"/>
          <w:sz w:val="24"/>
          <w:szCs w:val="24"/>
          <w:lang w:eastAsia="fr-BE"/>
        </w:rPr>
        <w:t>twice</w:t>
      </w:r>
      <w:proofErr w:type="spellEnd"/>
      <w:r w:rsidRPr="00AF430F">
        <w:rPr>
          <w:rFonts w:ascii="Times New Roman" w:eastAsia="Times New Roman" w:hAnsi="Times New Roman" w:cs="Times New Roman"/>
          <w:sz w:val="24"/>
          <w:szCs w:val="24"/>
          <w:lang w:eastAsia="fr-BE"/>
        </w:rPr>
        <w:t xml:space="preserve"> </w:t>
      </w:r>
      <w:proofErr w:type="spellStart"/>
      <w:r w:rsidRPr="00AF430F">
        <w:rPr>
          <w:rFonts w:ascii="Times New Roman" w:eastAsia="Times New Roman" w:hAnsi="Times New Roman" w:cs="Times New Roman"/>
          <w:sz w:val="24"/>
          <w:szCs w:val="24"/>
          <w:lang w:eastAsia="fr-BE"/>
        </w:rPr>
        <w:t>daily</w:t>
      </w:r>
      <w:proofErr w:type="spellEnd"/>
      <w:r w:rsidRPr="00AF430F">
        <w:rPr>
          <w:rFonts w:ascii="Times New Roman" w:eastAsia="Times New Roman" w:hAnsi="Times New Roman" w:cs="Times New Roman"/>
          <w:sz w:val="24"/>
          <w:szCs w:val="24"/>
          <w:lang w:eastAsia="fr-BE"/>
        </w:rPr>
        <w:t>;</w:t>
      </w:r>
    </w:p>
    <w:p w:rsidR="00AF430F" w:rsidRPr="00AF430F" w:rsidRDefault="00AF430F" w:rsidP="00AF430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AF430F">
        <w:rPr>
          <w:rFonts w:ascii="Times New Roman" w:eastAsia="Times New Roman" w:hAnsi="Times New Roman" w:cs="Times New Roman"/>
          <w:sz w:val="24"/>
          <w:szCs w:val="24"/>
          <w:lang w:eastAsia="fr-BE"/>
        </w:rPr>
        <w:t>clopidogrel</w:t>
      </w:r>
      <w:proofErr w:type="spellEnd"/>
      <w:r w:rsidRPr="00AF430F">
        <w:rPr>
          <w:rFonts w:ascii="Times New Roman" w:eastAsia="Times New Roman" w:hAnsi="Times New Roman" w:cs="Times New Roman"/>
          <w:sz w:val="24"/>
          <w:szCs w:val="24"/>
          <w:lang w:eastAsia="fr-BE"/>
        </w:rPr>
        <w:t>;</w:t>
      </w:r>
    </w:p>
    <w:p w:rsidR="00AF430F" w:rsidRPr="00AF430F" w:rsidRDefault="00AF430F" w:rsidP="00AF430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r w:rsidRPr="00AF430F">
        <w:rPr>
          <w:rFonts w:ascii="Times New Roman" w:eastAsia="Times New Roman" w:hAnsi="Times New Roman" w:cs="Times New Roman"/>
          <w:sz w:val="24"/>
          <w:szCs w:val="24"/>
          <w:lang w:eastAsia="fr-BE"/>
        </w:rPr>
        <w:t xml:space="preserve">once </w:t>
      </w:r>
      <w:proofErr w:type="spellStart"/>
      <w:r w:rsidRPr="00AF430F">
        <w:rPr>
          <w:rFonts w:ascii="Times New Roman" w:eastAsia="Times New Roman" w:hAnsi="Times New Roman" w:cs="Times New Roman"/>
          <w:sz w:val="24"/>
          <w:szCs w:val="24"/>
          <w:lang w:eastAsia="fr-BE"/>
        </w:rPr>
        <w:t>daily</w:t>
      </w:r>
      <w:proofErr w:type="spellEnd"/>
      <w:r w:rsidRPr="00AF430F">
        <w:rPr>
          <w:rFonts w:ascii="Times New Roman" w:eastAsia="Times New Roman" w:hAnsi="Times New Roman" w:cs="Times New Roman"/>
          <w:sz w:val="24"/>
          <w:szCs w:val="24"/>
          <w:lang w:eastAsia="fr-BE"/>
        </w:rPr>
        <w:t>;</w:t>
      </w:r>
    </w:p>
    <w:p w:rsidR="00AF430F" w:rsidRPr="00AF430F" w:rsidRDefault="00AF430F" w:rsidP="00AF430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BE"/>
        </w:rPr>
      </w:pPr>
      <w:proofErr w:type="spellStart"/>
      <w:r w:rsidRPr="00AF430F">
        <w:rPr>
          <w:rFonts w:ascii="Times New Roman" w:eastAsia="Times New Roman" w:hAnsi="Times New Roman" w:cs="Times New Roman"/>
          <w:sz w:val="24"/>
          <w:szCs w:val="24"/>
          <w:lang w:eastAsia="fr-BE"/>
        </w:rPr>
        <w:t>ticagrelor</w:t>
      </w:r>
      <w:proofErr w:type="spellEnd"/>
    </w:p>
    <w:p w:rsidR="00AF430F" w:rsidRPr="00AF430F" w:rsidRDefault="00AF430F" w:rsidP="00AF430F">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r w:rsidRPr="00AF430F">
        <w:rPr>
          <w:rFonts w:ascii="Times New Roman" w:eastAsia="Times New Roman" w:hAnsi="Times New Roman" w:cs="Times New Roman"/>
          <w:b/>
          <w:bCs/>
          <w:sz w:val="27"/>
          <w:szCs w:val="27"/>
          <w:lang w:eastAsia="fr-BE"/>
        </w:rPr>
        <w:t>Abstract</w:t>
      </w:r>
    </w:p>
    <w:p w:rsidR="00AF430F" w:rsidRPr="00AF430F" w:rsidRDefault="00AF430F" w:rsidP="00AF430F">
      <w:pPr>
        <w:spacing w:before="100" w:beforeAutospacing="1" w:after="100" w:afterAutospacing="1" w:line="240" w:lineRule="auto"/>
        <w:outlineLvl w:val="3"/>
        <w:rPr>
          <w:rFonts w:ascii="Times New Roman" w:eastAsia="Times New Roman" w:hAnsi="Times New Roman" w:cs="Times New Roman"/>
          <w:b/>
          <w:bCs/>
          <w:sz w:val="24"/>
          <w:szCs w:val="24"/>
          <w:lang w:eastAsia="fr-BE"/>
        </w:rPr>
      </w:pPr>
      <w:proofErr w:type="spellStart"/>
      <w:r w:rsidRPr="00AF430F">
        <w:rPr>
          <w:rFonts w:ascii="Times New Roman" w:eastAsia="Times New Roman" w:hAnsi="Times New Roman" w:cs="Times New Roman"/>
          <w:b/>
          <w:bCs/>
          <w:sz w:val="24"/>
          <w:szCs w:val="24"/>
          <w:lang w:eastAsia="fr-BE"/>
        </w:rPr>
        <w:t>Aim</w:t>
      </w:r>
      <w:proofErr w:type="spellEnd"/>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Twice daily dosing is often perceived as inferior to once daily dosing due to a higher likelihood of missing a dose. However, more important is the extent to which drug action is </w:t>
      </w:r>
      <w:r w:rsidRPr="00AF430F">
        <w:rPr>
          <w:rFonts w:ascii="Times New Roman" w:eastAsia="Times New Roman" w:hAnsi="Times New Roman" w:cs="Times New Roman"/>
          <w:sz w:val="24"/>
          <w:szCs w:val="24"/>
          <w:lang w:val="en-GB" w:eastAsia="fr-BE"/>
        </w:rPr>
        <w:lastRenderedPageBreak/>
        <w:t>maintained when doses are delayed or missed. We compared the estimated inhibition of platelet aggregation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and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based on their pharmacokinetic/</w:t>
      </w:r>
      <w:proofErr w:type="spellStart"/>
      <w:r w:rsidRPr="00AF430F">
        <w:rPr>
          <w:rFonts w:ascii="Times New Roman" w:eastAsia="Times New Roman" w:hAnsi="Times New Roman" w:cs="Times New Roman"/>
          <w:sz w:val="24"/>
          <w:szCs w:val="24"/>
          <w:lang w:val="en-GB" w:eastAsia="fr-BE"/>
        </w:rPr>
        <w:t>pharmacodynamic</w:t>
      </w:r>
      <w:proofErr w:type="spellEnd"/>
      <w:r w:rsidRPr="00AF430F">
        <w:rPr>
          <w:rFonts w:ascii="Times New Roman" w:eastAsia="Times New Roman" w:hAnsi="Times New Roman" w:cs="Times New Roman"/>
          <w:sz w:val="24"/>
          <w:szCs w:val="24"/>
          <w:lang w:val="en-GB" w:eastAsia="fr-BE"/>
        </w:rPr>
        <w:t xml:space="preserve"> relationships and patient dosing history data.</w:t>
      </w:r>
    </w:p>
    <w:p w:rsidR="00AF430F" w:rsidRPr="00AF430F" w:rsidRDefault="00AF430F" w:rsidP="00AF430F">
      <w:pPr>
        <w:spacing w:before="100" w:beforeAutospacing="1" w:after="100" w:afterAutospacing="1" w:line="240" w:lineRule="auto"/>
        <w:outlineLvl w:val="3"/>
        <w:rPr>
          <w:rFonts w:ascii="Times New Roman" w:eastAsia="Times New Roman" w:hAnsi="Times New Roman" w:cs="Times New Roman"/>
          <w:b/>
          <w:bCs/>
          <w:sz w:val="24"/>
          <w:szCs w:val="24"/>
          <w:lang w:val="en-GB" w:eastAsia="fr-BE"/>
        </w:rPr>
      </w:pPr>
      <w:r w:rsidRPr="00AF430F">
        <w:rPr>
          <w:rFonts w:ascii="Times New Roman" w:eastAsia="Times New Roman" w:hAnsi="Times New Roman" w:cs="Times New Roman"/>
          <w:b/>
          <w:bCs/>
          <w:sz w:val="24"/>
          <w:szCs w:val="24"/>
          <w:lang w:val="en-GB" w:eastAsia="fr-BE"/>
        </w:rPr>
        <w:t>Methods</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Drug dosing histories of 5014 patients prescribed cardiovascular medications (primarily antihypertensive medicines) were extracted from an electronically compiled dosing history database. </w:t>
      </w:r>
      <w:proofErr w:type="spellStart"/>
      <w:proofErr w:type="gramStart"/>
      <w:r w:rsidRPr="00AF430F">
        <w:rPr>
          <w:rFonts w:ascii="Times New Roman" w:eastAsia="Times New Roman" w:hAnsi="Times New Roman" w:cs="Times New Roman"/>
          <w:sz w:val="24"/>
          <w:szCs w:val="24"/>
          <w:lang w:val="en-GB" w:eastAsia="fr-BE"/>
        </w:rPr>
        <w:t>eIPA</w:t>
      </w:r>
      <w:proofErr w:type="spellEnd"/>
      <w:proofErr w:type="gramEnd"/>
      <w:r w:rsidRPr="00AF430F">
        <w:rPr>
          <w:rFonts w:ascii="Times New Roman" w:eastAsia="Times New Roman" w:hAnsi="Times New Roman" w:cs="Times New Roman"/>
          <w:sz w:val="24"/>
          <w:szCs w:val="24"/>
          <w:lang w:val="en-GB" w:eastAsia="fr-BE"/>
        </w:rPr>
        <w:t xml:space="preserve"> levels were simulated for 677 twice daily and 677 once daily dosing histories over a 30 day period, based on published onset/offset models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and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IPA characteristics.</w:t>
      </w:r>
    </w:p>
    <w:p w:rsidR="00AF430F" w:rsidRPr="00AF430F" w:rsidRDefault="00AF430F" w:rsidP="00AF430F">
      <w:pPr>
        <w:spacing w:before="100" w:beforeAutospacing="1" w:after="100" w:afterAutospacing="1" w:line="240" w:lineRule="auto"/>
        <w:outlineLvl w:val="3"/>
        <w:rPr>
          <w:rFonts w:ascii="Times New Roman" w:eastAsia="Times New Roman" w:hAnsi="Times New Roman" w:cs="Times New Roman"/>
          <w:b/>
          <w:bCs/>
          <w:sz w:val="24"/>
          <w:szCs w:val="24"/>
          <w:lang w:val="en-GB" w:eastAsia="fr-BE"/>
        </w:rPr>
      </w:pPr>
      <w:r w:rsidRPr="00AF430F">
        <w:rPr>
          <w:rFonts w:ascii="Times New Roman" w:eastAsia="Times New Roman" w:hAnsi="Times New Roman" w:cs="Times New Roman"/>
          <w:b/>
          <w:bCs/>
          <w:sz w:val="24"/>
          <w:szCs w:val="24"/>
          <w:lang w:val="en-GB" w:eastAsia="fr-BE"/>
        </w:rPr>
        <w:t>Results</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While many patients treated twice daily missed at least one dose in 30 days, only 25.7% missed two consecutive doses. By comparison, 46.8% of patients treated once daily missed at least one dose. Simulations based on patient adherence over time showed that the average mean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remained significantly higher than for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(81.1% </w:t>
      </w:r>
      <w:r w:rsidRPr="00AF430F">
        <w:rPr>
          <w:rFonts w:ascii="Times New Roman" w:eastAsia="Times New Roman" w:hAnsi="Times New Roman" w:cs="Times New Roman"/>
          <w:i/>
          <w:iCs/>
          <w:sz w:val="24"/>
          <w:szCs w:val="24"/>
          <w:lang w:val="en-GB" w:eastAsia="fr-BE"/>
        </w:rPr>
        <w:t>vs</w:t>
      </w:r>
      <w:r w:rsidRPr="00AF430F">
        <w:rPr>
          <w:rFonts w:ascii="Times New Roman" w:eastAsia="Times New Roman" w:hAnsi="Times New Roman" w:cs="Times New Roman"/>
          <w:sz w:val="24"/>
          <w:szCs w:val="24"/>
          <w:lang w:val="en-GB" w:eastAsia="fr-BE"/>
        </w:rPr>
        <w:t xml:space="preserve">. 55.0%, </w:t>
      </w:r>
      <w:r w:rsidRPr="00AF430F">
        <w:rPr>
          <w:rFonts w:ascii="Times New Roman" w:eastAsia="Times New Roman" w:hAnsi="Times New Roman" w:cs="Times New Roman"/>
          <w:i/>
          <w:iCs/>
          <w:sz w:val="24"/>
          <w:szCs w:val="24"/>
          <w:lang w:val="en-GB" w:eastAsia="fr-BE"/>
        </w:rPr>
        <w:t>P</w:t>
      </w:r>
      <w:r w:rsidRPr="00AF430F">
        <w:rPr>
          <w:rFonts w:ascii="Times New Roman" w:eastAsia="Times New Roman" w:hAnsi="Times New Roman" w:cs="Times New Roman"/>
          <w:sz w:val="24"/>
          <w:szCs w:val="24"/>
          <w:lang w:val="en-GB" w:eastAsia="fr-BE"/>
        </w:rPr>
        <w:t xml:space="preserve"> &lt; 0.001).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patients had an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below 10% for 0.20% of the 30 day period compared with 2.05% for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w:t>
      </w:r>
      <w:r w:rsidRPr="00AF430F">
        <w:rPr>
          <w:rFonts w:ascii="Times New Roman" w:eastAsia="Times New Roman" w:hAnsi="Times New Roman" w:cs="Times New Roman"/>
          <w:i/>
          <w:iCs/>
          <w:sz w:val="24"/>
          <w:szCs w:val="24"/>
          <w:lang w:val="en-GB" w:eastAsia="fr-BE"/>
        </w:rPr>
        <w:t>P</w:t>
      </w:r>
      <w:r w:rsidRPr="00AF430F">
        <w:rPr>
          <w:rFonts w:ascii="Times New Roman" w:eastAsia="Times New Roman" w:hAnsi="Times New Roman" w:cs="Times New Roman"/>
          <w:sz w:val="24"/>
          <w:szCs w:val="24"/>
          <w:lang w:val="en-GB" w:eastAsia="fr-BE"/>
        </w:rPr>
        <w:t xml:space="preserve"> = 0.0001).</w:t>
      </w:r>
    </w:p>
    <w:p w:rsidR="00AF430F" w:rsidRPr="00AF430F" w:rsidRDefault="00AF430F" w:rsidP="00AF430F">
      <w:pPr>
        <w:spacing w:before="100" w:beforeAutospacing="1" w:after="100" w:afterAutospacing="1" w:line="240" w:lineRule="auto"/>
        <w:outlineLvl w:val="3"/>
        <w:rPr>
          <w:rFonts w:ascii="Times New Roman" w:eastAsia="Times New Roman" w:hAnsi="Times New Roman" w:cs="Times New Roman"/>
          <w:b/>
          <w:bCs/>
          <w:sz w:val="24"/>
          <w:szCs w:val="24"/>
          <w:lang w:val="en-GB" w:eastAsia="fr-BE"/>
        </w:rPr>
      </w:pPr>
      <w:r w:rsidRPr="00AF430F">
        <w:rPr>
          <w:rFonts w:ascii="Times New Roman" w:eastAsia="Times New Roman" w:hAnsi="Times New Roman" w:cs="Times New Roman"/>
          <w:b/>
          <w:bCs/>
          <w:sz w:val="24"/>
          <w:szCs w:val="24"/>
          <w:lang w:val="en-GB" w:eastAsia="fr-BE"/>
        </w:rPr>
        <w:t>Conclusions</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The projected level of platelet inhibition remained higher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than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mainly due to the higher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 achieved with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and the relatively low likelihood of missing two consecutive twice daily doses. This modelling and simulation study suggests a therapeutic benefit of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over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when taking into account the most common dosing omissions.</w:t>
      </w:r>
    </w:p>
    <w:p w:rsidR="00AF430F" w:rsidRPr="00AF430F" w:rsidRDefault="00AF430F" w:rsidP="00AF430F">
      <w:pPr>
        <w:spacing w:after="0" w:line="240" w:lineRule="auto"/>
        <w:rPr>
          <w:rFonts w:ascii="Times New Roman" w:eastAsia="Times New Roman" w:hAnsi="Times New Roman" w:cs="Times New Roman"/>
          <w:sz w:val="24"/>
          <w:szCs w:val="24"/>
          <w:lang w:val="en-GB" w:eastAsia="fr-BE"/>
        </w:rPr>
      </w:pPr>
    </w:p>
    <w:p w:rsidR="00AF430F" w:rsidRPr="00AF430F" w:rsidRDefault="00AF430F" w:rsidP="00AF430F">
      <w:pPr>
        <w:spacing w:before="100" w:beforeAutospacing="1" w:after="100" w:afterAutospacing="1" w:line="240" w:lineRule="auto"/>
        <w:outlineLvl w:val="2"/>
        <w:rPr>
          <w:rFonts w:ascii="Times New Roman" w:eastAsia="Times New Roman" w:hAnsi="Times New Roman" w:cs="Times New Roman"/>
          <w:b/>
          <w:bCs/>
          <w:sz w:val="27"/>
          <w:szCs w:val="27"/>
          <w:lang w:val="en-GB" w:eastAsia="fr-BE"/>
        </w:rPr>
      </w:pPr>
      <w:r w:rsidRPr="00AF430F">
        <w:rPr>
          <w:rFonts w:ascii="Times New Roman" w:eastAsia="Times New Roman" w:hAnsi="Times New Roman" w:cs="Times New Roman"/>
          <w:b/>
          <w:bCs/>
          <w:sz w:val="27"/>
          <w:szCs w:val="27"/>
          <w:lang w:val="en-GB" w:eastAsia="fr-BE"/>
        </w:rPr>
        <w:t xml:space="preserve">What is Already Known about this </w:t>
      </w:r>
      <w:proofErr w:type="gramStart"/>
      <w:r w:rsidRPr="00AF430F">
        <w:rPr>
          <w:rFonts w:ascii="Times New Roman" w:eastAsia="Times New Roman" w:hAnsi="Times New Roman" w:cs="Times New Roman"/>
          <w:b/>
          <w:bCs/>
          <w:sz w:val="27"/>
          <w:szCs w:val="27"/>
          <w:lang w:val="en-GB" w:eastAsia="fr-BE"/>
        </w:rPr>
        <w:t>Subject</w:t>
      </w:r>
      <w:proofErr w:type="gramEnd"/>
    </w:p>
    <w:p w:rsidR="00AF430F" w:rsidRPr="00AF430F" w:rsidRDefault="00AF430F" w:rsidP="00AF430F">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Twice daily dosing is often perceived as inferior to once daily dosing due to a higher likelihood of missing a dose.</w:t>
      </w:r>
    </w:p>
    <w:p w:rsidR="00AF430F" w:rsidRPr="00AF430F" w:rsidRDefault="00AF430F" w:rsidP="00AF430F">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However, analysis of the percentages of doses taken is not suitable to predict the real therapeutic consequences of non-adherence.</w:t>
      </w:r>
    </w:p>
    <w:p w:rsidR="00AF430F" w:rsidRPr="00AF430F" w:rsidRDefault="00AF430F" w:rsidP="00AF430F">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spellStart"/>
      <w:r w:rsidRPr="00AF430F">
        <w:rPr>
          <w:rFonts w:ascii="Times New Roman" w:eastAsia="Times New Roman" w:hAnsi="Times New Roman" w:cs="Times New Roman"/>
          <w:b/>
          <w:bCs/>
          <w:sz w:val="27"/>
          <w:szCs w:val="27"/>
          <w:lang w:eastAsia="fr-BE"/>
        </w:rPr>
        <w:t>What</w:t>
      </w:r>
      <w:proofErr w:type="spellEnd"/>
      <w:r w:rsidRPr="00AF430F">
        <w:rPr>
          <w:rFonts w:ascii="Times New Roman" w:eastAsia="Times New Roman" w:hAnsi="Times New Roman" w:cs="Times New Roman"/>
          <w:b/>
          <w:bCs/>
          <w:sz w:val="27"/>
          <w:szCs w:val="27"/>
          <w:lang w:eastAsia="fr-BE"/>
        </w:rPr>
        <w:t xml:space="preserve"> </w:t>
      </w:r>
      <w:proofErr w:type="spellStart"/>
      <w:r w:rsidRPr="00AF430F">
        <w:rPr>
          <w:rFonts w:ascii="Times New Roman" w:eastAsia="Times New Roman" w:hAnsi="Times New Roman" w:cs="Times New Roman"/>
          <w:b/>
          <w:bCs/>
          <w:sz w:val="27"/>
          <w:szCs w:val="27"/>
          <w:lang w:eastAsia="fr-BE"/>
        </w:rPr>
        <w:t>this</w:t>
      </w:r>
      <w:proofErr w:type="spellEnd"/>
      <w:r w:rsidRPr="00AF430F">
        <w:rPr>
          <w:rFonts w:ascii="Times New Roman" w:eastAsia="Times New Roman" w:hAnsi="Times New Roman" w:cs="Times New Roman"/>
          <w:b/>
          <w:bCs/>
          <w:sz w:val="27"/>
          <w:szCs w:val="27"/>
          <w:lang w:eastAsia="fr-BE"/>
        </w:rPr>
        <w:t xml:space="preserve"> </w:t>
      </w:r>
      <w:proofErr w:type="spellStart"/>
      <w:r w:rsidRPr="00AF430F">
        <w:rPr>
          <w:rFonts w:ascii="Times New Roman" w:eastAsia="Times New Roman" w:hAnsi="Times New Roman" w:cs="Times New Roman"/>
          <w:b/>
          <w:bCs/>
          <w:sz w:val="27"/>
          <w:szCs w:val="27"/>
          <w:lang w:eastAsia="fr-BE"/>
        </w:rPr>
        <w:t>Study</w:t>
      </w:r>
      <w:proofErr w:type="spellEnd"/>
      <w:r w:rsidRPr="00AF430F">
        <w:rPr>
          <w:rFonts w:ascii="Times New Roman" w:eastAsia="Times New Roman" w:hAnsi="Times New Roman" w:cs="Times New Roman"/>
          <w:b/>
          <w:bCs/>
          <w:sz w:val="27"/>
          <w:szCs w:val="27"/>
          <w:lang w:eastAsia="fr-BE"/>
        </w:rPr>
        <w:t xml:space="preserve"> </w:t>
      </w:r>
      <w:proofErr w:type="spellStart"/>
      <w:r w:rsidRPr="00AF430F">
        <w:rPr>
          <w:rFonts w:ascii="Times New Roman" w:eastAsia="Times New Roman" w:hAnsi="Times New Roman" w:cs="Times New Roman"/>
          <w:b/>
          <w:bCs/>
          <w:sz w:val="27"/>
          <w:szCs w:val="27"/>
          <w:lang w:eastAsia="fr-BE"/>
        </w:rPr>
        <w:t>Adds</w:t>
      </w:r>
      <w:proofErr w:type="spellEnd"/>
    </w:p>
    <w:p w:rsidR="00AF430F" w:rsidRPr="00AF430F" w:rsidRDefault="00AF430F" w:rsidP="00AF430F">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We found that although patients treated twice daily more frequently miss single doses compared with patients treated once daily, the calculated level of platelet inhibition remains higher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compared with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w:t>
      </w:r>
    </w:p>
    <w:p w:rsidR="00AF430F" w:rsidRPr="00AF430F" w:rsidRDefault="00AF430F" w:rsidP="00AF430F">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This study underlines the need to shift focus from percentages of prescribed doses taken to </w:t>
      </w:r>
      <w:proofErr w:type="spellStart"/>
      <w:r w:rsidRPr="00AF430F">
        <w:rPr>
          <w:rFonts w:ascii="Times New Roman" w:eastAsia="Times New Roman" w:hAnsi="Times New Roman" w:cs="Times New Roman"/>
          <w:sz w:val="24"/>
          <w:szCs w:val="24"/>
          <w:lang w:val="en-GB" w:eastAsia="fr-BE"/>
        </w:rPr>
        <w:t>pharmacometrically</w:t>
      </w:r>
      <w:proofErr w:type="spellEnd"/>
      <w:r w:rsidRPr="00AF430F">
        <w:rPr>
          <w:rFonts w:ascii="Times New Roman" w:eastAsia="Times New Roman" w:hAnsi="Times New Roman" w:cs="Times New Roman"/>
          <w:sz w:val="24"/>
          <w:szCs w:val="24"/>
          <w:lang w:val="en-GB" w:eastAsia="fr-BE"/>
        </w:rPr>
        <w:t xml:space="preserve"> equivalent dosing errors, which is better suited to predict therapeutic consequences of missed doses.</w:t>
      </w:r>
    </w:p>
    <w:p w:rsidR="00AF430F" w:rsidRPr="00AF430F" w:rsidRDefault="00AF430F" w:rsidP="00AF430F">
      <w:pPr>
        <w:spacing w:before="100" w:beforeAutospacing="1" w:after="100" w:afterAutospacing="1" w:line="240" w:lineRule="auto"/>
        <w:outlineLvl w:val="2"/>
        <w:rPr>
          <w:rFonts w:ascii="Times New Roman" w:eastAsia="Times New Roman" w:hAnsi="Times New Roman" w:cs="Times New Roman"/>
          <w:b/>
          <w:bCs/>
          <w:sz w:val="27"/>
          <w:szCs w:val="27"/>
          <w:lang w:val="en-GB" w:eastAsia="fr-BE"/>
        </w:rPr>
      </w:pPr>
      <w:r w:rsidRPr="00AF430F">
        <w:rPr>
          <w:rFonts w:ascii="Times New Roman" w:eastAsia="Times New Roman" w:hAnsi="Times New Roman" w:cs="Times New Roman"/>
          <w:b/>
          <w:bCs/>
          <w:sz w:val="27"/>
          <w:szCs w:val="27"/>
          <w:lang w:val="en-GB" w:eastAsia="fr-BE"/>
        </w:rPr>
        <w:t>Introduction</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lastRenderedPageBreak/>
        <w:t xml:space="preserve">Vascular damage such as rupture or erosion of an atherosclerotic plaque can trigger platelet aggregation. The resultant thrombus may lead to vascular occlusion, causing hypoxia and tissue damage </w:t>
      </w:r>
      <w:hyperlink r:id="rId8" w:anchor="bcp12275-bib-0001" w:tooltip="Link to bibliographic citation" w:history="1">
        <w:r w:rsidRPr="00AF430F">
          <w:rPr>
            <w:rFonts w:ascii="Times New Roman" w:eastAsia="Times New Roman" w:hAnsi="Times New Roman" w:cs="Times New Roman"/>
            <w:color w:val="0000FF"/>
            <w:sz w:val="24"/>
            <w:szCs w:val="24"/>
            <w:u w:val="single"/>
            <w:lang w:val="en-GB" w:eastAsia="fr-BE"/>
          </w:rPr>
          <w:t>[1]</w:t>
        </w:r>
      </w:hyperlink>
      <w:r w:rsidRPr="00AF430F">
        <w:rPr>
          <w:rFonts w:ascii="Times New Roman" w:eastAsia="Times New Roman" w:hAnsi="Times New Roman" w:cs="Times New Roman"/>
          <w:sz w:val="24"/>
          <w:szCs w:val="24"/>
          <w:lang w:val="en-GB" w:eastAsia="fr-BE"/>
        </w:rPr>
        <w:t xml:space="preserve">. Thrombus occlusion of a coronary artery, which may result in an acute myocardial infarction, is the proximate cause of acute coronary syndrome (ACS). With platelets thus playing a central role in </w:t>
      </w:r>
      <w:proofErr w:type="spellStart"/>
      <w:r w:rsidRPr="00AF430F">
        <w:rPr>
          <w:rFonts w:ascii="Times New Roman" w:eastAsia="Times New Roman" w:hAnsi="Times New Roman" w:cs="Times New Roman"/>
          <w:sz w:val="24"/>
          <w:szCs w:val="24"/>
          <w:lang w:val="en-GB" w:eastAsia="fr-BE"/>
        </w:rPr>
        <w:t>atherothrombosis</w:t>
      </w:r>
      <w:proofErr w:type="spellEnd"/>
      <w:r w:rsidRPr="00AF430F">
        <w:rPr>
          <w:rFonts w:ascii="Times New Roman" w:eastAsia="Times New Roman" w:hAnsi="Times New Roman" w:cs="Times New Roman"/>
          <w:sz w:val="24"/>
          <w:szCs w:val="24"/>
          <w:lang w:val="en-GB" w:eastAsia="fr-BE"/>
        </w:rPr>
        <w:t xml:space="preserve"> and consequent pathologies, antiplatelet therapy has emerged as a cornerstone of treatment for ACS patients </w:t>
      </w:r>
      <w:hyperlink r:id="rId9" w:anchor="bcp12275-bib-0001" w:tooltip="Link to bibliographic citations" w:history="1">
        <w:r w:rsidRPr="00AF430F">
          <w:rPr>
            <w:rFonts w:ascii="Times New Roman" w:eastAsia="Times New Roman" w:hAnsi="Times New Roman" w:cs="Times New Roman"/>
            <w:color w:val="0000FF"/>
            <w:sz w:val="24"/>
            <w:szCs w:val="24"/>
            <w:u w:val="single"/>
            <w:lang w:val="en-GB" w:eastAsia="fr-BE"/>
          </w:rPr>
          <w:t>[1-3]</w:t>
        </w:r>
      </w:hyperlink>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The current standard antiplatelet therapy consists of aspirin, targeting the thromboxane-induced pathway of platelet activation, combined with a P2Y</w:t>
      </w:r>
      <w:r w:rsidRPr="00AF430F">
        <w:rPr>
          <w:rFonts w:ascii="Times New Roman" w:eastAsia="Times New Roman" w:hAnsi="Times New Roman" w:cs="Times New Roman"/>
          <w:sz w:val="24"/>
          <w:szCs w:val="24"/>
          <w:vertAlign w:val="subscript"/>
          <w:lang w:val="en-GB" w:eastAsia="fr-BE"/>
        </w:rPr>
        <w:t>12</w:t>
      </w:r>
      <w:r w:rsidRPr="00AF430F">
        <w:rPr>
          <w:rFonts w:ascii="Times New Roman" w:eastAsia="Times New Roman" w:hAnsi="Times New Roman" w:cs="Times New Roman"/>
          <w:sz w:val="24"/>
          <w:szCs w:val="24"/>
          <w:lang w:val="en-GB" w:eastAsia="fr-BE"/>
        </w:rPr>
        <w:t xml:space="preserve"> receptor antagonist that inhibits the ADP-induced platelet activation. The most frequently used P2Y</w:t>
      </w:r>
      <w:r w:rsidRPr="00AF430F">
        <w:rPr>
          <w:rFonts w:ascii="Times New Roman" w:eastAsia="Times New Roman" w:hAnsi="Times New Roman" w:cs="Times New Roman"/>
          <w:sz w:val="24"/>
          <w:szCs w:val="24"/>
          <w:vertAlign w:val="subscript"/>
          <w:lang w:val="en-GB" w:eastAsia="fr-BE"/>
        </w:rPr>
        <w:t>12</w:t>
      </w:r>
      <w:r w:rsidRPr="00AF430F">
        <w:rPr>
          <w:rFonts w:ascii="Times New Roman" w:eastAsia="Times New Roman" w:hAnsi="Times New Roman" w:cs="Times New Roman"/>
          <w:sz w:val="24"/>
          <w:szCs w:val="24"/>
          <w:lang w:val="en-GB" w:eastAsia="fr-BE"/>
        </w:rPr>
        <w:t xml:space="preserve"> receptor antagonist is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a </w:t>
      </w:r>
      <w:proofErr w:type="spellStart"/>
      <w:r w:rsidRPr="00AF430F">
        <w:rPr>
          <w:rFonts w:ascii="Times New Roman" w:eastAsia="Times New Roman" w:hAnsi="Times New Roman" w:cs="Times New Roman"/>
          <w:sz w:val="24"/>
          <w:szCs w:val="24"/>
          <w:lang w:val="en-GB" w:eastAsia="fr-BE"/>
        </w:rPr>
        <w:t>thienopyridine</w:t>
      </w:r>
      <w:proofErr w:type="spellEnd"/>
      <w:r w:rsidRPr="00AF430F">
        <w:rPr>
          <w:rFonts w:ascii="Times New Roman" w:eastAsia="Times New Roman" w:hAnsi="Times New Roman" w:cs="Times New Roman"/>
          <w:sz w:val="24"/>
          <w:szCs w:val="24"/>
          <w:lang w:val="en-GB" w:eastAsia="fr-BE"/>
        </w:rPr>
        <w:t xml:space="preserve">, administered at a daily dose of 75 mg. However,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has drawbacks such as delayed onset of action, interpatient variability in response or even resistance to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and irreversibility of its inhibitory effect, which increases the risk of bleeding in patients requiring surgery </w:t>
      </w:r>
      <w:hyperlink r:id="rId10" w:anchor="bcp12275-bib-0004" w:tooltip="Link to bibliographic citations" w:history="1">
        <w:r w:rsidRPr="00AF430F">
          <w:rPr>
            <w:rFonts w:ascii="Times New Roman" w:eastAsia="Times New Roman" w:hAnsi="Times New Roman" w:cs="Times New Roman"/>
            <w:color w:val="0000FF"/>
            <w:sz w:val="24"/>
            <w:szCs w:val="24"/>
            <w:u w:val="single"/>
            <w:lang w:val="en-GB" w:eastAsia="fr-BE"/>
          </w:rPr>
          <w:t>[4-6]</w:t>
        </w:r>
      </w:hyperlink>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Recently, more potent antiplatelet drugs have been developed, such as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which is the first of a new chemical class of oral </w:t>
      </w:r>
      <w:proofErr w:type="spellStart"/>
      <w:r w:rsidRPr="00AF430F">
        <w:rPr>
          <w:rFonts w:ascii="Times New Roman" w:eastAsia="Times New Roman" w:hAnsi="Times New Roman" w:cs="Times New Roman"/>
          <w:sz w:val="24"/>
          <w:szCs w:val="24"/>
          <w:lang w:val="en-GB" w:eastAsia="fr-BE"/>
        </w:rPr>
        <w:t>cyclopentyl</w:t>
      </w:r>
      <w:proofErr w:type="spellEnd"/>
      <w:r w:rsidRPr="00AF430F">
        <w:rPr>
          <w:rFonts w:ascii="Times New Roman" w:eastAsia="Times New Roman" w:hAnsi="Times New Roman" w:cs="Times New Roman"/>
          <w:sz w:val="24"/>
          <w:szCs w:val="24"/>
          <w:lang w:val="en-GB" w:eastAsia="fr-BE"/>
        </w:rPr>
        <w:t>-</w:t>
      </w:r>
      <w:proofErr w:type="spellStart"/>
      <w:r w:rsidRPr="00AF430F">
        <w:rPr>
          <w:rFonts w:ascii="Times New Roman" w:eastAsia="Times New Roman" w:hAnsi="Times New Roman" w:cs="Times New Roman"/>
          <w:sz w:val="24"/>
          <w:szCs w:val="24"/>
          <w:lang w:val="en-GB" w:eastAsia="fr-BE"/>
        </w:rPr>
        <w:t>triazolo</w:t>
      </w:r>
      <w:proofErr w:type="spellEnd"/>
      <w:r w:rsidRPr="00AF430F">
        <w:rPr>
          <w:rFonts w:ascii="Times New Roman" w:eastAsia="Times New Roman" w:hAnsi="Times New Roman" w:cs="Times New Roman"/>
          <w:sz w:val="24"/>
          <w:szCs w:val="24"/>
          <w:lang w:val="en-GB" w:eastAsia="fr-BE"/>
        </w:rPr>
        <w:t xml:space="preserve">-pyrimidine antiplatelet agents.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is a direct acting and reversibly binding P2Y</w:t>
      </w:r>
      <w:r w:rsidRPr="00AF430F">
        <w:rPr>
          <w:rFonts w:ascii="Times New Roman" w:eastAsia="Times New Roman" w:hAnsi="Times New Roman" w:cs="Times New Roman"/>
          <w:sz w:val="24"/>
          <w:szCs w:val="24"/>
          <w:vertAlign w:val="subscript"/>
          <w:lang w:val="en-GB" w:eastAsia="fr-BE"/>
        </w:rPr>
        <w:t>12</w:t>
      </w:r>
      <w:r w:rsidRPr="00AF430F">
        <w:rPr>
          <w:rFonts w:ascii="Times New Roman" w:eastAsia="Times New Roman" w:hAnsi="Times New Roman" w:cs="Times New Roman"/>
          <w:sz w:val="24"/>
          <w:szCs w:val="24"/>
          <w:lang w:val="en-GB" w:eastAsia="fr-BE"/>
        </w:rPr>
        <w:t xml:space="preserve"> antagonist that is able to overcome non-responsiveness to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w:t>
      </w:r>
      <w:hyperlink r:id="rId11" w:anchor="bcp12275-bib-0007" w:tooltip="Link to bibliographic citations" w:history="1">
        <w:r w:rsidRPr="00AF430F">
          <w:rPr>
            <w:rFonts w:ascii="Times New Roman" w:eastAsia="Times New Roman" w:hAnsi="Times New Roman" w:cs="Times New Roman"/>
            <w:color w:val="0000FF"/>
            <w:sz w:val="24"/>
            <w:szCs w:val="24"/>
            <w:u w:val="single"/>
            <w:lang w:val="en-GB" w:eastAsia="fr-BE"/>
          </w:rPr>
          <w:t>[7, 8]</w:t>
        </w:r>
      </w:hyperlink>
      <w:r w:rsidRPr="00AF430F">
        <w:rPr>
          <w:rFonts w:ascii="Times New Roman" w:eastAsia="Times New Roman" w:hAnsi="Times New Roman" w:cs="Times New Roman"/>
          <w:sz w:val="24"/>
          <w:szCs w:val="24"/>
          <w:lang w:val="en-GB" w:eastAsia="fr-BE"/>
        </w:rPr>
        <w:t xml:space="preserve">. Treatment with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as compared with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has been shown to reduce significantly the rate of death from vascular causes, myocardial infarction or stroke in ACS patients. These beneficial effects were achieved without a significant increase in the rate of overall major bleeding, although an increase in the rate of non-procedure-related bleeding was noted </w:t>
      </w:r>
      <w:hyperlink r:id="rId12" w:anchor="bcp12275-bib-0009" w:tooltip="Link to bibliographic citation" w:history="1">
        <w:r w:rsidRPr="00AF430F">
          <w:rPr>
            <w:rFonts w:ascii="Times New Roman" w:eastAsia="Times New Roman" w:hAnsi="Times New Roman" w:cs="Times New Roman"/>
            <w:color w:val="0000FF"/>
            <w:sz w:val="24"/>
            <w:szCs w:val="24"/>
            <w:u w:val="single"/>
            <w:lang w:val="en-GB" w:eastAsia="fr-BE"/>
          </w:rPr>
          <w:t>[9]</w:t>
        </w:r>
      </w:hyperlink>
      <w:r w:rsidRPr="00AF430F">
        <w:rPr>
          <w:rFonts w:ascii="Times New Roman" w:eastAsia="Times New Roman" w:hAnsi="Times New Roman" w:cs="Times New Roman"/>
          <w:sz w:val="24"/>
          <w:szCs w:val="24"/>
          <w:lang w:val="en-GB" w:eastAsia="fr-BE"/>
        </w:rPr>
        <w:t xml:space="preserve">. </w:t>
      </w:r>
      <w:proofErr w:type="gramStart"/>
      <w:r w:rsidRPr="00AF430F">
        <w:rPr>
          <w:rFonts w:ascii="Times New Roman" w:eastAsia="Times New Roman" w:hAnsi="Times New Roman" w:cs="Times New Roman"/>
          <w:sz w:val="24"/>
          <w:szCs w:val="24"/>
          <w:lang w:val="en-GB" w:eastAsia="fr-BE"/>
        </w:rPr>
        <w:t xml:space="preserve">The reversible binding of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and its plasma half-life of 7–8.5 h mandate twice daily dosing (usually 90 mg per dose) </w:t>
      </w:r>
      <w:hyperlink r:id="rId13" w:anchor="bcp12275-bib-0010" w:tooltip="Link to bibliographic citations" w:history="1">
        <w:r w:rsidRPr="00AF430F">
          <w:rPr>
            <w:rFonts w:ascii="Times New Roman" w:eastAsia="Times New Roman" w:hAnsi="Times New Roman" w:cs="Times New Roman"/>
            <w:color w:val="0000FF"/>
            <w:sz w:val="24"/>
            <w:szCs w:val="24"/>
            <w:u w:val="single"/>
            <w:lang w:val="en-GB" w:eastAsia="fr-BE"/>
          </w:rPr>
          <w:t>[10-13]</w:t>
        </w:r>
      </w:hyperlink>
      <w:r w:rsidRPr="00AF430F">
        <w:rPr>
          <w:rFonts w:ascii="Times New Roman" w:eastAsia="Times New Roman" w:hAnsi="Times New Roman" w:cs="Times New Roman"/>
          <w:sz w:val="24"/>
          <w:szCs w:val="24"/>
          <w:lang w:val="en-GB" w:eastAsia="fr-BE"/>
        </w:rPr>
        <w:t>.</w:t>
      </w:r>
      <w:proofErr w:type="gramEnd"/>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Many studies have shown that patients on a once daily dosing regimen take a somewhat higher percentage of prescribed doses than patients on a twice daily dosing regimen </w:t>
      </w:r>
      <w:hyperlink r:id="rId14" w:anchor="bcp12275-bib-0014" w:tooltip="Link to bibliographic citations" w:history="1">
        <w:r w:rsidRPr="00AF430F">
          <w:rPr>
            <w:rFonts w:ascii="Times New Roman" w:eastAsia="Times New Roman" w:hAnsi="Times New Roman" w:cs="Times New Roman"/>
            <w:color w:val="0000FF"/>
            <w:sz w:val="24"/>
            <w:szCs w:val="24"/>
            <w:u w:val="single"/>
            <w:lang w:val="en-GB" w:eastAsia="fr-BE"/>
          </w:rPr>
          <w:t>[14-17]</w:t>
        </w:r>
      </w:hyperlink>
      <w:r w:rsidRPr="00AF430F">
        <w:rPr>
          <w:rFonts w:ascii="Times New Roman" w:eastAsia="Times New Roman" w:hAnsi="Times New Roman" w:cs="Times New Roman"/>
          <w:sz w:val="24"/>
          <w:szCs w:val="24"/>
          <w:lang w:val="en-GB" w:eastAsia="fr-BE"/>
        </w:rPr>
        <w:t xml:space="preserve">. However, the pertinent therapeutic question to be addressed is how these missed doses affect the clinical benefits of the drug. One intermediate endpoint that can be assessed is the extent to which drug action, i.e. platelet inhibition, is maintained in the face of occasionally delayed or missed doses during twice daily or once daily dosing. The ability of drugs to maintain therapeutic activity in patients with non-adherent dosing behaviour is referred to as ‘drug forgiveness’, whereby drugs with </w:t>
      </w:r>
      <w:proofErr w:type="gramStart"/>
      <w:r w:rsidRPr="00AF430F">
        <w:rPr>
          <w:rFonts w:ascii="Times New Roman" w:eastAsia="Times New Roman" w:hAnsi="Times New Roman" w:cs="Times New Roman"/>
          <w:sz w:val="24"/>
          <w:szCs w:val="24"/>
          <w:lang w:val="en-GB" w:eastAsia="fr-BE"/>
        </w:rPr>
        <w:t>a duration</w:t>
      </w:r>
      <w:proofErr w:type="gramEnd"/>
      <w:r w:rsidRPr="00AF430F">
        <w:rPr>
          <w:rFonts w:ascii="Times New Roman" w:eastAsia="Times New Roman" w:hAnsi="Times New Roman" w:cs="Times New Roman"/>
          <w:sz w:val="24"/>
          <w:szCs w:val="24"/>
          <w:lang w:val="en-GB" w:eastAsia="fr-BE"/>
        </w:rPr>
        <w:t xml:space="preserve"> of action far exceeding their dosing interval are considered more ‘forgiving’ </w:t>
      </w:r>
      <w:hyperlink r:id="rId15" w:anchor="bcp12275-bib-0018" w:tooltip="Link to bibliographic citation" w:history="1">
        <w:r w:rsidRPr="00AF430F">
          <w:rPr>
            <w:rFonts w:ascii="Times New Roman" w:eastAsia="Times New Roman" w:hAnsi="Times New Roman" w:cs="Times New Roman"/>
            <w:color w:val="0000FF"/>
            <w:sz w:val="24"/>
            <w:szCs w:val="24"/>
            <w:u w:val="single"/>
            <w:lang w:val="en-GB" w:eastAsia="fr-BE"/>
          </w:rPr>
          <w:t>[18]</w:t>
        </w:r>
      </w:hyperlink>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Assessment of the continuity of platelet inhibition requires an integrated analysis of dosing history data together with the pharmacokinetic (PK) and </w:t>
      </w:r>
      <w:proofErr w:type="spellStart"/>
      <w:r w:rsidRPr="00AF430F">
        <w:rPr>
          <w:rFonts w:ascii="Times New Roman" w:eastAsia="Times New Roman" w:hAnsi="Times New Roman" w:cs="Times New Roman"/>
          <w:sz w:val="24"/>
          <w:szCs w:val="24"/>
          <w:lang w:val="en-GB" w:eastAsia="fr-BE"/>
        </w:rPr>
        <w:t>pharmacodynamic</w:t>
      </w:r>
      <w:proofErr w:type="spellEnd"/>
      <w:r w:rsidRPr="00AF430F">
        <w:rPr>
          <w:rFonts w:ascii="Times New Roman" w:eastAsia="Times New Roman" w:hAnsi="Times New Roman" w:cs="Times New Roman"/>
          <w:sz w:val="24"/>
          <w:szCs w:val="24"/>
          <w:lang w:val="en-GB" w:eastAsia="fr-BE"/>
        </w:rPr>
        <w:t xml:space="preserve"> (PD) properties of the drugs being compared </w:t>
      </w:r>
      <w:hyperlink r:id="rId16" w:anchor="bcp12275-bib-0019" w:tooltip="Link to bibliographic citations" w:history="1">
        <w:r w:rsidRPr="00AF430F">
          <w:rPr>
            <w:rFonts w:ascii="Times New Roman" w:eastAsia="Times New Roman" w:hAnsi="Times New Roman" w:cs="Times New Roman"/>
            <w:color w:val="0000FF"/>
            <w:sz w:val="24"/>
            <w:szCs w:val="24"/>
            <w:u w:val="single"/>
            <w:lang w:val="en-GB" w:eastAsia="fr-BE"/>
          </w:rPr>
          <w:t>[19, 20]</w:t>
        </w:r>
      </w:hyperlink>
      <w:r w:rsidRPr="00AF430F">
        <w:rPr>
          <w:rFonts w:ascii="Times New Roman" w:eastAsia="Times New Roman" w:hAnsi="Times New Roman" w:cs="Times New Roman"/>
          <w:sz w:val="24"/>
          <w:szCs w:val="24"/>
          <w:lang w:val="en-GB" w:eastAsia="fr-BE"/>
        </w:rPr>
        <w:t xml:space="preserve">. Electronic methods for compiling drug dosing histories are now the recognized standard for quantifying adherence </w:t>
      </w:r>
      <w:hyperlink r:id="rId17" w:anchor="bcp12275-bib-0021" w:tooltip="Link to bibliographic citations" w:history="1">
        <w:r w:rsidRPr="00AF430F">
          <w:rPr>
            <w:rFonts w:ascii="Times New Roman" w:eastAsia="Times New Roman" w:hAnsi="Times New Roman" w:cs="Times New Roman"/>
            <w:color w:val="0000FF"/>
            <w:sz w:val="24"/>
            <w:szCs w:val="24"/>
            <w:u w:val="single"/>
            <w:lang w:val="en-GB" w:eastAsia="fr-BE"/>
          </w:rPr>
          <w:t>[21, 22]</w:t>
        </w:r>
      </w:hyperlink>
      <w:r w:rsidRPr="00AF430F">
        <w:rPr>
          <w:rFonts w:ascii="Times New Roman" w:eastAsia="Times New Roman" w:hAnsi="Times New Roman" w:cs="Times New Roman"/>
          <w:sz w:val="24"/>
          <w:szCs w:val="24"/>
          <w:lang w:val="en-GB" w:eastAsia="fr-BE"/>
        </w:rPr>
        <w:t xml:space="preserve"> and they provide a high temporal resolution. When combined with established </w:t>
      </w:r>
      <w:proofErr w:type="spellStart"/>
      <w:r w:rsidRPr="00AF430F">
        <w:rPr>
          <w:rFonts w:ascii="Times New Roman" w:eastAsia="Times New Roman" w:hAnsi="Times New Roman" w:cs="Times New Roman"/>
          <w:sz w:val="24"/>
          <w:szCs w:val="24"/>
          <w:lang w:val="en-GB" w:eastAsia="fr-BE"/>
        </w:rPr>
        <w:t>pharmacometric</w:t>
      </w:r>
      <w:proofErr w:type="spellEnd"/>
      <w:r w:rsidRPr="00AF430F">
        <w:rPr>
          <w:rFonts w:ascii="Times New Roman" w:eastAsia="Times New Roman" w:hAnsi="Times New Roman" w:cs="Times New Roman"/>
          <w:sz w:val="24"/>
          <w:szCs w:val="24"/>
          <w:lang w:val="en-GB" w:eastAsia="fr-BE"/>
        </w:rPr>
        <w:t xml:space="preserve"> methods, these dosing histories allow the projection of drug concentration levels and of drug action in the body </w:t>
      </w:r>
      <w:hyperlink r:id="rId18" w:anchor="bcp12275-bib-0023" w:tooltip="Link to bibliographic citations" w:history="1">
        <w:r w:rsidRPr="00AF430F">
          <w:rPr>
            <w:rFonts w:ascii="Times New Roman" w:eastAsia="Times New Roman" w:hAnsi="Times New Roman" w:cs="Times New Roman"/>
            <w:color w:val="0000FF"/>
            <w:sz w:val="24"/>
            <w:szCs w:val="24"/>
            <w:u w:val="single"/>
            <w:lang w:val="en-GB" w:eastAsia="fr-BE"/>
          </w:rPr>
          <w:t>[23-25]</w:t>
        </w:r>
      </w:hyperlink>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In this study, we compared the estimated percentage inhibition of platelet aggregation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and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based on electronically compiled dosing history data and the respective PK/PD properties of these two drugs. This hypothesis-generating analysis of patient adherence patterns and their consequences for antiplatelet therapy thus provides further insight into the consequences of non-adherence with either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Additionally, our results shed new light on some prejudices regarding once daily and twice daily dosing. Our analyses, together with data from clinical </w:t>
      </w:r>
      <w:r w:rsidRPr="00AF430F">
        <w:rPr>
          <w:rFonts w:ascii="Times New Roman" w:eastAsia="Times New Roman" w:hAnsi="Times New Roman" w:cs="Times New Roman"/>
          <w:sz w:val="24"/>
          <w:szCs w:val="24"/>
          <w:lang w:val="en-GB" w:eastAsia="fr-BE"/>
        </w:rPr>
        <w:lastRenderedPageBreak/>
        <w:t>trials assessing the clinical benefits of these drugs, may be informative for healthcare providers in determining the most effective treatments and treatment schedules for their patients.</w:t>
      </w:r>
    </w:p>
    <w:p w:rsidR="00AF430F" w:rsidRPr="00AF430F" w:rsidRDefault="00AF430F" w:rsidP="00AF430F">
      <w:pPr>
        <w:spacing w:before="100" w:beforeAutospacing="1" w:after="100" w:afterAutospacing="1" w:line="240" w:lineRule="auto"/>
        <w:outlineLvl w:val="2"/>
        <w:rPr>
          <w:rFonts w:ascii="Times New Roman" w:eastAsia="Times New Roman" w:hAnsi="Times New Roman" w:cs="Times New Roman"/>
          <w:b/>
          <w:bCs/>
          <w:sz w:val="27"/>
          <w:szCs w:val="27"/>
          <w:lang w:val="en-GB" w:eastAsia="fr-BE"/>
        </w:rPr>
      </w:pPr>
      <w:r w:rsidRPr="00AF430F">
        <w:rPr>
          <w:rFonts w:ascii="Times New Roman" w:eastAsia="Times New Roman" w:hAnsi="Times New Roman" w:cs="Times New Roman"/>
          <w:b/>
          <w:bCs/>
          <w:sz w:val="27"/>
          <w:szCs w:val="27"/>
          <w:lang w:val="en-GB" w:eastAsia="fr-BE"/>
        </w:rPr>
        <w:t>Methods</w:t>
      </w:r>
    </w:p>
    <w:p w:rsidR="00AF430F" w:rsidRPr="00AF430F" w:rsidRDefault="00AF430F" w:rsidP="00AF430F">
      <w:pPr>
        <w:spacing w:before="100" w:beforeAutospacing="1" w:after="100" w:afterAutospacing="1" w:line="240" w:lineRule="auto"/>
        <w:outlineLvl w:val="3"/>
        <w:rPr>
          <w:rFonts w:ascii="Times New Roman" w:eastAsia="Times New Roman" w:hAnsi="Times New Roman" w:cs="Times New Roman"/>
          <w:b/>
          <w:bCs/>
          <w:sz w:val="24"/>
          <w:szCs w:val="24"/>
          <w:lang w:val="en-GB" w:eastAsia="fr-BE"/>
        </w:rPr>
      </w:pPr>
      <w:r w:rsidRPr="00AF430F">
        <w:rPr>
          <w:rFonts w:ascii="Times New Roman" w:eastAsia="Times New Roman" w:hAnsi="Times New Roman" w:cs="Times New Roman"/>
          <w:b/>
          <w:bCs/>
          <w:sz w:val="24"/>
          <w:szCs w:val="24"/>
          <w:lang w:val="en-GB" w:eastAsia="fr-BE"/>
        </w:rPr>
        <w:t>Study design</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Adherence to medication is based on three elements, initiation, implementation (execution) and discontinuation </w:t>
      </w:r>
      <w:hyperlink r:id="rId19" w:anchor="bcp12275-bib-0026" w:tooltip="Link to bibliographic citation" w:history="1">
        <w:r w:rsidRPr="00AF430F">
          <w:rPr>
            <w:rFonts w:ascii="Times New Roman" w:eastAsia="Times New Roman" w:hAnsi="Times New Roman" w:cs="Times New Roman"/>
            <w:color w:val="0000FF"/>
            <w:sz w:val="24"/>
            <w:szCs w:val="24"/>
            <w:u w:val="single"/>
            <w:lang w:val="en-GB" w:eastAsia="fr-BE"/>
          </w:rPr>
          <w:t>[26]</w:t>
        </w:r>
      </w:hyperlink>
      <w:r w:rsidRPr="00AF430F">
        <w:rPr>
          <w:rFonts w:ascii="Times New Roman" w:eastAsia="Times New Roman" w:hAnsi="Times New Roman" w:cs="Times New Roman"/>
          <w:sz w:val="24"/>
          <w:szCs w:val="24"/>
          <w:lang w:val="en-GB" w:eastAsia="fr-BE"/>
        </w:rPr>
        <w:t xml:space="preserve">. A distinction between these three elements can be made using the detailed dosing histories compiled by electronic package entries, allowing a thorough characterization of adherence </w:t>
      </w:r>
      <w:hyperlink r:id="rId20" w:anchor="bcp12275-bib-0024" w:tooltip="Link to bibliographic citation" w:history="1">
        <w:r w:rsidRPr="00AF430F">
          <w:rPr>
            <w:rFonts w:ascii="Times New Roman" w:eastAsia="Times New Roman" w:hAnsi="Times New Roman" w:cs="Times New Roman"/>
            <w:color w:val="0000FF"/>
            <w:sz w:val="24"/>
            <w:szCs w:val="24"/>
            <w:u w:val="single"/>
            <w:lang w:val="en-GB" w:eastAsia="fr-BE"/>
          </w:rPr>
          <w:t>[24]</w:t>
        </w:r>
      </w:hyperlink>
      <w:r w:rsidRPr="00AF430F">
        <w:rPr>
          <w:rFonts w:ascii="Times New Roman" w:eastAsia="Times New Roman" w:hAnsi="Times New Roman" w:cs="Times New Roman"/>
          <w:sz w:val="24"/>
          <w:szCs w:val="24"/>
          <w:lang w:val="en-GB" w:eastAsia="fr-BE"/>
        </w:rPr>
        <w:t xml:space="preserve">. In this modelling and simulation study, we focussed on implementation of the dosing regimen, i.e. the extent to which a patient's actual dosing corresponds to the prescribed dosing regimen, from initiation until the last dose taken. We selected the first 30 days of dosing history from anonymized adherence data as a proxy for implementation. These data were used to simulate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levels in the patients to investigate the effect of implementation and missed doses on drug action.</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The anonymized adherence data, in the form of dosing histories of patients prescribed various cardiovascular drugs with either a once daily or twice daily regimen, were extracted from the MWV Adherence Database </w:t>
      </w:r>
      <w:hyperlink r:id="rId21" w:anchor="bcp12275-bib-0022" w:tooltip="Link to bibliographic citations" w:history="1">
        <w:r w:rsidRPr="00AF430F">
          <w:rPr>
            <w:rFonts w:ascii="Times New Roman" w:eastAsia="Times New Roman" w:hAnsi="Times New Roman" w:cs="Times New Roman"/>
            <w:color w:val="0000FF"/>
            <w:sz w:val="24"/>
            <w:szCs w:val="24"/>
            <w:u w:val="single"/>
            <w:lang w:val="en-GB" w:eastAsia="fr-BE"/>
          </w:rPr>
          <w:t>[22, 27]</w:t>
        </w:r>
      </w:hyperlink>
      <w:r w:rsidRPr="00AF430F">
        <w:rPr>
          <w:rFonts w:ascii="Times New Roman" w:eastAsia="Times New Roman" w:hAnsi="Times New Roman" w:cs="Times New Roman"/>
          <w:sz w:val="24"/>
          <w:szCs w:val="24"/>
          <w:lang w:val="en-GB" w:eastAsia="fr-BE"/>
        </w:rPr>
        <w:t xml:space="preserve">. This database contains dosing history data from almost 19000 patients in 95 clinical studies that have been electronically compiled by a Medication Event Monitoring System (MEMS®, MWV, </w:t>
      </w:r>
      <w:proofErr w:type="gramStart"/>
      <w:r w:rsidRPr="00AF430F">
        <w:rPr>
          <w:rFonts w:ascii="Times New Roman" w:eastAsia="Times New Roman" w:hAnsi="Times New Roman" w:cs="Times New Roman"/>
          <w:sz w:val="24"/>
          <w:szCs w:val="24"/>
          <w:lang w:val="en-GB" w:eastAsia="fr-BE"/>
        </w:rPr>
        <w:t>Sion</w:t>
      </w:r>
      <w:proofErr w:type="gramEnd"/>
      <w:r w:rsidRPr="00AF430F">
        <w:rPr>
          <w:rFonts w:ascii="Times New Roman" w:eastAsia="Times New Roman" w:hAnsi="Times New Roman" w:cs="Times New Roman"/>
          <w:sz w:val="24"/>
          <w:szCs w:val="24"/>
          <w:lang w:val="en-GB" w:eastAsia="fr-BE"/>
        </w:rPr>
        <w:t xml:space="preserve">, Switzerland). This monitoring system automatically registers the date and time of each opening of the medication container through micro-circuitry integrated in the closure of the container </w:t>
      </w:r>
      <w:hyperlink r:id="rId22" w:anchor="bcp12275-bib-0022" w:tooltip="Link to bibliographic citation" w:history="1">
        <w:r w:rsidRPr="00AF430F">
          <w:rPr>
            <w:rFonts w:ascii="Times New Roman" w:eastAsia="Times New Roman" w:hAnsi="Times New Roman" w:cs="Times New Roman"/>
            <w:color w:val="0000FF"/>
            <w:sz w:val="24"/>
            <w:szCs w:val="24"/>
            <w:u w:val="single"/>
            <w:lang w:val="en-GB" w:eastAsia="fr-BE"/>
          </w:rPr>
          <w:t>[22]</w:t>
        </w:r>
      </w:hyperlink>
      <w:r w:rsidRPr="00AF430F">
        <w:rPr>
          <w:rFonts w:ascii="Times New Roman" w:eastAsia="Times New Roman" w:hAnsi="Times New Roman" w:cs="Times New Roman"/>
          <w:sz w:val="24"/>
          <w:szCs w:val="24"/>
          <w:lang w:val="en-GB" w:eastAsia="fr-BE"/>
        </w:rPr>
        <w:t xml:space="preserve">. Most of the patients were receiving treatment for hypertension, while some were prescribed anticoagulants or drugs to treat angina, heart failure and </w:t>
      </w:r>
      <w:proofErr w:type="spellStart"/>
      <w:r w:rsidRPr="00AF430F">
        <w:rPr>
          <w:rFonts w:ascii="Times New Roman" w:eastAsia="Times New Roman" w:hAnsi="Times New Roman" w:cs="Times New Roman"/>
          <w:sz w:val="24"/>
          <w:szCs w:val="24"/>
          <w:lang w:val="en-GB" w:eastAsia="fr-BE"/>
        </w:rPr>
        <w:t>hypercholesterolaemia</w:t>
      </w:r>
      <w:proofErr w:type="spellEnd"/>
      <w:r w:rsidRPr="00AF430F">
        <w:rPr>
          <w:rFonts w:ascii="Times New Roman" w:eastAsia="Times New Roman" w:hAnsi="Times New Roman" w:cs="Times New Roman"/>
          <w:sz w:val="24"/>
          <w:szCs w:val="24"/>
          <w:lang w:val="en-GB" w:eastAsia="fr-BE"/>
        </w:rPr>
        <w:t xml:space="preserve"> (Supporting information </w:t>
      </w:r>
      <w:hyperlink r:id="rId23" w:tooltip="Link to external resource: http://onlinelibrary.wiley.com/doi/10.1111/bcp.12275/suppinfo" w:history="1">
        <w:r w:rsidRPr="00AF430F">
          <w:rPr>
            <w:rFonts w:ascii="Times New Roman" w:eastAsia="Times New Roman" w:hAnsi="Times New Roman" w:cs="Times New Roman"/>
            <w:color w:val="0000FF"/>
            <w:sz w:val="24"/>
            <w:szCs w:val="24"/>
            <w:u w:val="single"/>
            <w:lang w:val="en-GB" w:eastAsia="fr-BE"/>
          </w:rPr>
          <w:t>Table S1</w:t>
        </w:r>
      </w:hyperlink>
      <w:r w:rsidRPr="00AF430F">
        <w:rPr>
          <w:rFonts w:ascii="Times New Roman" w:eastAsia="Times New Roman" w:hAnsi="Times New Roman" w:cs="Times New Roman"/>
          <w:sz w:val="24"/>
          <w:szCs w:val="24"/>
          <w:lang w:val="en-GB" w:eastAsia="fr-BE"/>
        </w:rPr>
        <w:t>). The owners of each dataset gave consent for the use of these depersonalized data for retrospective analyses. Each patient gave informed consent regarding the use of the container.</w:t>
      </w:r>
    </w:p>
    <w:p w:rsidR="00AF430F" w:rsidRPr="00AF430F" w:rsidRDefault="00AF430F" w:rsidP="00AF430F">
      <w:pPr>
        <w:spacing w:before="100" w:beforeAutospacing="1" w:after="100" w:afterAutospacing="1" w:line="240" w:lineRule="auto"/>
        <w:outlineLvl w:val="3"/>
        <w:rPr>
          <w:rFonts w:ascii="Times New Roman" w:eastAsia="Times New Roman" w:hAnsi="Times New Roman" w:cs="Times New Roman"/>
          <w:b/>
          <w:bCs/>
          <w:sz w:val="24"/>
          <w:szCs w:val="24"/>
          <w:lang w:val="en-GB" w:eastAsia="fr-BE"/>
        </w:rPr>
      </w:pPr>
      <w:r w:rsidRPr="00AF430F">
        <w:rPr>
          <w:rFonts w:ascii="Times New Roman" w:eastAsia="Times New Roman" w:hAnsi="Times New Roman" w:cs="Times New Roman"/>
          <w:b/>
          <w:bCs/>
          <w:sz w:val="24"/>
          <w:szCs w:val="24"/>
          <w:lang w:val="en-GB" w:eastAsia="fr-BE"/>
        </w:rPr>
        <w:t xml:space="preserve">Simulation of </w:t>
      </w:r>
      <w:proofErr w:type="spellStart"/>
      <w:r w:rsidRPr="00AF430F">
        <w:rPr>
          <w:rFonts w:ascii="Times New Roman" w:eastAsia="Times New Roman" w:hAnsi="Times New Roman" w:cs="Times New Roman"/>
          <w:b/>
          <w:bCs/>
          <w:sz w:val="24"/>
          <w:szCs w:val="24"/>
          <w:lang w:val="en-GB" w:eastAsia="fr-BE"/>
        </w:rPr>
        <w:t>eIPA</w:t>
      </w:r>
      <w:proofErr w:type="spellEnd"/>
      <w:r w:rsidRPr="00AF430F">
        <w:rPr>
          <w:rFonts w:ascii="Times New Roman" w:eastAsia="Times New Roman" w:hAnsi="Times New Roman" w:cs="Times New Roman"/>
          <w:b/>
          <w:bCs/>
          <w:sz w:val="24"/>
          <w:szCs w:val="24"/>
          <w:lang w:val="en-GB" w:eastAsia="fr-BE"/>
        </w:rPr>
        <w:t xml:space="preserve"> levels</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proofErr w:type="spellStart"/>
      <w:proofErr w:type="gramStart"/>
      <w:r w:rsidRPr="00AF430F">
        <w:rPr>
          <w:rFonts w:ascii="Times New Roman" w:eastAsia="Times New Roman" w:hAnsi="Times New Roman" w:cs="Times New Roman"/>
          <w:sz w:val="24"/>
          <w:szCs w:val="24"/>
          <w:lang w:val="en-GB" w:eastAsia="fr-BE"/>
        </w:rPr>
        <w:t>eIPA</w:t>
      </w:r>
      <w:proofErr w:type="spellEnd"/>
      <w:proofErr w:type="gramEnd"/>
      <w:r w:rsidRPr="00AF430F">
        <w:rPr>
          <w:rFonts w:ascii="Times New Roman" w:eastAsia="Times New Roman" w:hAnsi="Times New Roman" w:cs="Times New Roman"/>
          <w:sz w:val="24"/>
          <w:szCs w:val="24"/>
          <w:lang w:val="en-GB" w:eastAsia="fr-BE"/>
        </w:rPr>
        <w:t xml:space="preserve"> traces were simulated based on the patient dosing histories from day 1 to day 30. We simulated the final extent IPA, which is determined 6 min after the addition of 20 </w:t>
      </w:r>
      <w:r w:rsidRPr="00AF430F">
        <w:rPr>
          <w:rFonts w:ascii="Times New Roman" w:eastAsia="Times New Roman" w:hAnsi="Times New Roman" w:cs="Times New Roman"/>
          <w:sz w:val="24"/>
          <w:szCs w:val="24"/>
          <w:lang w:eastAsia="fr-BE"/>
        </w:rPr>
        <w:t>μ</w:t>
      </w:r>
      <w:r w:rsidRPr="00AF430F">
        <w:rPr>
          <w:rFonts w:ascii="Times New Roman" w:eastAsia="Times New Roman" w:hAnsi="Times New Roman" w:cs="Times New Roman"/>
          <w:sz w:val="24"/>
          <w:szCs w:val="24"/>
          <w:lang w:val="en-GB" w:eastAsia="fr-BE"/>
        </w:rPr>
        <w:t>m ADP and is mediated primarily by the P2Y</w:t>
      </w:r>
      <w:r w:rsidRPr="00AF430F">
        <w:rPr>
          <w:rFonts w:ascii="Times New Roman" w:eastAsia="Times New Roman" w:hAnsi="Times New Roman" w:cs="Times New Roman"/>
          <w:sz w:val="24"/>
          <w:szCs w:val="24"/>
          <w:vertAlign w:val="subscript"/>
          <w:lang w:val="en-GB" w:eastAsia="fr-BE"/>
        </w:rPr>
        <w:t>12</w:t>
      </w:r>
      <w:r w:rsidRPr="00AF430F">
        <w:rPr>
          <w:rFonts w:ascii="Times New Roman" w:eastAsia="Times New Roman" w:hAnsi="Times New Roman" w:cs="Times New Roman"/>
          <w:sz w:val="24"/>
          <w:szCs w:val="24"/>
          <w:lang w:val="en-GB" w:eastAsia="fr-BE"/>
        </w:rPr>
        <w:t xml:space="preserve"> receptor. For this analysis, all patients were assumed to have taken the loading dose at 09.00 h of day 0 (600 mg for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180 mg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Piecewise linear functions were used to depict onset and offset IPA trajectories. Those functions were empirically derived from two different sources for the onset trajectory. For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trajectory after the first dose, the onset was based on the IPA data obtained by </w:t>
      </w:r>
      <w:proofErr w:type="spellStart"/>
      <w:r w:rsidRPr="00AF430F">
        <w:rPr>
          <w:rFonts w:ascii="Times New Roman" w:eastAsia="Times New Roman" w:hAnsi="Times New Roman" w:cs="Times New Roman"/>
          <w:sz w:val="24"/>
          <w:szCs w:val="24"/>
          <w:lang w:val="en-GB" w:eastAsia="fr-BE"/>
        </w:rPr>
        <w:t>Gurbel</w:t>
      </w:r>
      <w:proofErr w:type="spellEnd"/>
      <w:r w:rsidRPr="00AF430F">
        <w:rPr>
          <w:rFonts w:ascii="Times New Roman" w:eastAsia="Times New Roman" w:hAnsi="Times New Roman" w:cs="Times New Roman"/>
          <w:sz w:val="24"/>
          <w:szCs w:val="24"/>
          <w:lang w:val="en-GB" w:eastAsia="fr-BE"/>
        </w:rPr>
        <w:t xml:space="preserve"> and colleagues during the onset period following the loading dose (600 mg for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180 mg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w:t>
      </w:r>
      <w:hyperlink r:id="rId24" w:anchor="bcp12275-bib-0012" w:tooltip="Link to bibliographic citation" w:history="1">
        <w:r w:rsidRPr="00AF430F">
          <w:rPr>
            <w:rFonts w:ascii="Times New Roman" w:eastAsia="Times New Roman" w:hAnsi="Times New Roman" w:cs="Times New Roman"/>
            <w:color w:val="0000FF"/>
            <w:sz w:val="24"/>
            <w:szCs w:val="24"/>
            <w:u w:val="single"/>
            <w:lang w:val="en-GB" w:eastAsia="fr-BE"/>
          </w:rPr>
          <w:t>[12]</w:t>
        </w:r>
      </w:hyperlink>
      <w:r w:rsidRPr="00AF430F">
        <w:rPr>
          <w:rFonts w:ascii="Times New Roman" w:eastAsia="Times New Roman" w:hAnsi="Times New Roman" w:cs="Times New Roman"/>
          <w:sz w:val="24"/>
          <w:szCs w:val="24"/>
          <w:lang w:val="en-GB" w:eastAsia="fr-BE"/>
        </w:rPr>
        <w:t xml:space="preserve">. For the maintenance trajectory, the onset was based on IPA data obtained by Husted and colleagues in patients receiving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100 mg 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75 mg </w:t>
      </w:r>
      <w:hyperlink r:id="rId25" w:anchor="bcp12275-bib-0010" w:tooltip="Link to bibliographic citation" w:history="1">
        <w:r w:rsidRPr="00AF430F">
          <w:rPr>
            <w:rFonts w:ascii="Times New Roman" w:eastAsia="Times New Roman" w:hAnsi="Times New Roman" w:cs="Times New Roman"/>
            <w:color w:val="0000FF"/>
            <w:sz w:val="24"/>
            <w:szCs w:val="24"/>
            <w:u w:val="single"/>
            <w:lang w:val="en-GB" w:eastAsia="fr-BE"/>
          </w:rPr>
          <w:t>[10]</w:t>
        </w:r>
      </w:hyperlink>
      <w:r w:rsidRPr="00AF430F">
        <w:rPr>
          <w:rFonts w:ascii="Times New Roman" w:eastAsia="Times New Roman" w:hAnsi="Times New Roman" w:cs="Times New Roman"/>
          <w:sz w:val="24"/>
          <w:szCs w:val="24"/>
          <w:lang w:val="en-GB" w:eastAsia="fr-BE"/>
        </w:rPr>
        <w:t xml:space="preserve">. In both studies,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and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were given in association with aspirin. The offset IPA trajectory was derived from the above mentioned study by </w:t>
      </w:r>
      <w:proofErr w:type="spellStart"/>
      <w:r w:rsidRPr="00AF430F">
        <w:rPr>
          <w:rFonts w:ascii="Times New Roman" w:eastAsia="Times New Roman" w:hAnsi="Times New Roman" w:cs="Times New Roman"/>
          <w:sz w:val="24"/>
          <w:szCs w:val="24"/>
          <w:lang w:val="en-GB" w:eastAsia="fr-BE"/>
        </w:rPr>
        <w:t>Gurbel</w:t>
      </w:r>
      <w:proofErr w:type="spellEnd"/>
      <w:r w:rsidRPr="00AF430F">
        <w:rPr>
          <w:rFonts w:ascii="Times New Roman" w:eastAsia="Times New Roman" w:hAnsi="Times New Roman" w:cs="Times New Roman"/>
          <w:sz w:val="24"/>
          <w:szCs w:val="24"/>
          <w:lang w:val="en-GB" w:eastAsia="fr-BE"/>
        </w:rPr>
        <w:t xml:space="preserve"> and colleagues </w:t>
      </w:r>
      <w:hyperlink r:id="rId26" w:anchor="bcp12275-bib-0012" w:tooltip="Link to bibliographic citation" w:history="1">
        <w:r w:rsidRPr="00AF430F">
          <w:rPr>
            <w:rFonts w:ascii="Times New Roman" w:eastAsia="Times New Roman" w:hAnsi="Times New Roman" w:cs="Times New Roman"/>
            <w:color w:val="0000FF"/>
            <w:sz w:val="24"/>
            <w:szCs w:val="24"/>
            <w:u w:val="single"/>
            <w:lang w:val="en-GB" w:eastAsia="fr-BE"/>
          </w:rPr>
          <w:t>[12]</w:t>
        </w:r>
      </w:hyperlink>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Piecewise linear functions were then used to simulate deterministically hourly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trajectories. Since between or within patient variability was </w:t>
      </w:r>
      <w:proofErr w:type="gramStart"/>
      <w:r w:rsidRPr="00AF430F">
        <w:rPr>
          <w:rFonts w:ascii="Times New Roman" w:eastAsia="Times New Roman" w:hAnsi="Times New Roman" w:cs="Times New Roman"/>
          <w:sz w:val="24"/>
          <w:szCs w:val="24"/>
          <w:lang w:val="en-GB" w:eastAsia="fr-BE"/>
        </w:rPr>
        <w:t xml:space="preserve">not directly available from the </w:t>
      </w:r>
      <w:r w:rsidRPr="00AF430F">
        <w:rPr>
          <w:rFonts w:ascii="Times New Roman" w:eastAsia="Times New Roman" w:hAnsi="Times New Roman" w:cs="Times New Roman"/>
          <w:sz w:val="24"/>
          <w:szCs w:val="24"/>
          <w:lang w:val="en-GB" w:eastAsia="fr-BE"/>
        </w:rPr>
        <w:lastRenderedPageBreak/>
        <w:t>published papers, no stochastic modelling approach could be performed</w:t>
      </w:r>
      <w:proofErr w:type="gramEnd"/>
      <w:r w:rsidRPr="00AF430F">
        <w:rPr>
          <w:rFonts w:ascii="Times New Roman" w:eastAsia="Times New Roman" w:hAnsi="Times New Roman" w:cs="Times New Roman"/>
          <w:sz w:val="24"/>
          <w:szCs w:val="24"/>
          <w:lang w:val="en-GB" w:eastAsia="fr-BE"/>
        </w:rPr>
        <w:t xml:space="preserve">. We ensured that the simulated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trajectory did not exceed the maximum IPA described under steady-state conditions (88%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and 62% for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w:t>
      </w:r>
      <w:hyperlink r:id="rId27" w:anchor="bcp12275-bib-0012" w:tooltip="Link to bibliographic citation" w:history="1">
        <w:r w:rsidRPr="00AF430F">
          <w:rPr>
            <w:rFonts w:ascii="Times New Roman" w:eastAsia="Times New Roman" w:hAnsi="Times New Roman" w:cs="Times New Roman"/>
            <w:color w:val="0000FF"/>
            <w:sz w:val="24"/>
            <w:szCs w:val="24"/>
            <w:u w:val="single"/>
            <w:lang w:val="en-GB" w:eastAsia="fr-BE"/>
          </w:rPr>
          <w:t>[12]</w:t>
        </w:r>
      </w:hyperlink>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outlineLvl w:val="3"/>
        <w:rPr>
          <w:rFonts w:ascii="Times New Roman" w:eastAsia="Times New Roman" w:hAnsi="Times New Roman" w:cs="Times New Roman"/>
          <w:b/>
          <w:bCs/>
          <w:sz w:val="24"/>
          <w:szCs w:val="24"/>
          <w:lang w:val="en-GB" w:eastAsia="fr-BE"/>
        </w:rPr>
      </w:pPr>
      <w:r w:rsidRPr="00AF430F">
        <w:rPr>
          <w:rFonts w:ascii="Times New Roman" w:eastAsia="Times New Roman" w:hAnsi="Times New Roman" w:cs="Times New Roman"/>
          <w:b/>
          <w:bCs/>
          <w:sz w:val="24"/>
          <w:szCs w:val="24"/>
          <w:lang w:val="en-GB" w:eastAsia="fr-BE"/>
        </w:rPr>
        <w:t>Statistical methods</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The analysis of once daily dosing was based on a randomly selected sample of 677 patients, whereas the twice daily analysis was performed for all available 677 twice daily dosing histories extracted from the database. One-dimensional Monte Carlo simulation through re-sampling of adherence profiles was used to estimate within and between patient variability in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resulting from variable drug exposure. Deterministic onset/offset models for IPA characteristics of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and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were taken from the literature.</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Descriptive statistics were used to summarize the results of the simulations. Numerical data were summarized with standard statistics (i.e. mean, SD, minimum, median, maximum and lower and upper quartile). Comparisons between the once daily and twice daily groups were tested by two-sided Wilcoxon Rank Sum test at a 5% level of significance.</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We also performed a sensitivity analysis by repeating the simulation using the onset characteristics of the maintenance dose as reported by Storey and colleagues for patients on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90 mg </w:t>
      </w:r>
      <w:hyperlink r:id="rId28" w:anchor="bcp12275-bib-0028" w:tooltip="Link to bibliographic citation" w:history="1">
        <w:r w:rsidRPr="00AF430F">
          <w:rPr>
            <w:rFonts w:ascii="Times New Roman" w:eastAsia="Times New Roman" w:hAnsi="Times New Roman" w:cs="Times New Roman"/>
            <w:color w:val="0000FF"/>
            <w:sz w:val="24"/>
            <w:szCs w:val="24"/>
            <w:u w:val="single"/>
            <w:lang w:val="en-GB" w:eastAsia="fr-BE"/>
          </w:rPr>
          <w:t>[28]</w:t>
        </w:r>
      </w:hyperlink>
      <w:r w:rsidRPr="00AF430F">
        <w:rPr>
          <w:rFonts w:ascii="Times New Roman" w:eastAsia="Times New Roman" w:hAnsi="Times New Roman" w:cs="Times New Roman"/>
          <w:sz w:val="24"/>
          <w:szCs w:val="24"/>
          <w:lang w:val="en-GB" w:eastAsia="fr-BE"/>
        </w:rPr>
        <w:t>. In a second sensitivity analysis, once daily dosing histories were derived from the twice daily dosing histories by deleting the twice daily evening doses and using only the data from the morning doses.</w:t>
      </w:r>
    </w:p>
    <w:p w:rsidR="00AF430F" w:rsidRPr="00AF430F" w:rsidRDefault="00AF430F" w:rsidP="00AF430F">
      <w:pPr>
        <w:spacing w:before="100" w:beforeAutospacing="1" w:after="100" w:afterAutospacing="1" w:line="240" w:lineRule="auto"/>
        <w:outlineLvl w:val="2"/>
        <w:rPr>
          <w:rFonts w:ascii="Times New Roman" w:eastAsia="Times New Roman" w:hAnsi="Times New Roman" w:cs="Times New Roman"/>
          <w:b/>
          <w:bCs/>
          <w:sz w:val="27"/>
          <w:szCs w:val="27"/>
          <w:lang w:val="en-GB" w:eastAsia="fr-BE"/>
        </w:rPr>
      </w:pPr>
      <w:r w:rsidRPr="00AF430F">
        <w:rPr>
          <w:rFonts w:ascii="Times New Roman" w:eastAsia="Times New Roman" w:hAnsi="Times New Roman" w:cs="Times New Roman"/>
          <w:b/>
          <w:bCs/>
          <w:sz w:val="27"/>
          <w:szCs w:val="27"/>
          <w:lang w:val="en-GB" w:eastAsia="fr-BE"/>
        </w:rPr>
        <w:t>Results</w:t>
      </w:r>
    </w:p>
    <w:p w:rsidR="00AF430F" w:rsidRPr="00AF430F" w:rsidRDefault="00AF430F" w:rsidP="00AF430F">
      <w:pPr>
        <w:spacing w:before="100" w:beforeAutospacing="1" w:after="100" w:afterAutospacing="1" w:line="240" w:lineRule="auto"/>
        <w:outlineLvl w:val="3"/>
        <w:rPr>
          <w:rFonts w:ascii="Times New Roman" w:eastAsia="Times New Roman" w:hAnsi="Times New Roman" w:cs="Times New Roman"/>
          <w:b/>
          <w:bCs/>
          <w:sz w:val="24"/>
          <w:szCs w:val="24"/>
          <w:lang w:val="en-GB" w:eastAsia="fr-BE"/>
        </w:rPr>
      </w:pPr>
      <w:r w:rsidRPr="00AF430F">
        <w:rPr>
          <w:rFonts w:ascii="Times New Roman" w:eastAsia="Times New Roman" w:hAnsi="Times New Roman" w:cs="Times New Roman"/>
          <w:b/>
          <w:bCs/>
          <w:sz w:val="24"/>
          <w:szCs w:val="24"/>
          <w:lang w:val="en-GB" w:eastAsia="fr-BE"/>
        </w:rPr>
        <w:t xml:space="preserve">Effect of dosing errors on </w:t>
      </w:r>
      <w:proofErr w:type="spellStart"/>
      <w:r w:rsidRPr="00AF430F">
        <w:rPr>
          <w:rFonts w:ascii="Times New Roman" w:eastAsia="Times New Roman" w:hAnsi="Times New Roman" w:cs="Times New Roman"/>
          <w:b/>
          <w:bCs/>
          <w:sz w:val="24"/>
          <w:szCs w:val="24"/>
          <w:lang w:val="en-GB" w:eastAsia="fr-BE"/>
        </w:rPr>
        <w:t>eIPA</w:t>
      </w:r>
      <w:proofErr w:type="spellEnd"/>
      <w:r w:rsidRPr="00AF430F">
        <w:rPr>
          <w:rFonts w:ascii="Times New Roman" w:eastAsia="Times New Roman" w:hAnsi="Times New Roman" w:cs="Times New Roman"/>
          <w:b/>
          <w:bCs/>
          <w:sz w:val="24"/>
          <w:szCs w:val="24"/>
          <w:lang w:val="en-GB" w:eastAsia="fr-BE"/>
        </w:rPr>
        <w:t xml:space="preserve"> levels in twice daily and once daily regimen</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By simulating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trace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and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based on IPA trace slopes described in literature </w:t>
      </w:r>
      <w:hyperlink r:id="rId29" w:anchor="bcp12275-bib-0010" w:tooltip="Link to bibliographic citations" w:history="1">
        <w:r w:rsidRPr="00AF430F">
          <w:rPr>
            <w:rFonts w:ascii="Times New Roman" w:eastAsia="Times New Roman" w:hAnsi="Times New Roman" w:cs="Times New Roman"/>
            <w:color w:val="0000FF"/>
            <w:sz w:val="24"/>
            <w:szCs w:val="24"/>
            <w:u w:val="single"/>
            <w:lang w:val="en-GB" w:eastAsia="fr-BE"/>
          </w:rPr>
          <w:t>[10, 12]</w:t>
        </w:r>
      </w:hyperlink>
      <w:r w:rsidRPr="00AF430F">
        <w:rPr>
          <w:rFonts w:ascii="Times New Roman" w:eastAsia="Times New Roman" w:hAnsi="Times New Roman" w:cs="Times New Roman"/>
          <w:sz w:val="24"/>
          <w:szCs w:val="24"/>
          <w:lang w:val="en-GB" w:eastAsia="fr-BE"/>
        </w:rPr>
        <w:t xml:space="preserve">, we investigated the consequences for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levels when one or more doses were missed. Missing a single dose of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did not lower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below the 24 h trough concentrations of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(Figure </w:t>
      </w:r>
      <w:hyperlink r:id="rId30" w:anchor="bcp12275-fig-0001" w:tooltip="Link to figure" w:history="1">
        <w:r w:rsidRPr="00AF430F">
          <w:rPr>
            <w:rFonts w:ascii="Times New Roman" w:eastAsia="Times New Roman" w:hAnsi="Times New Roman" w:cs="Times New Roman"/>
            <w:color w:val="0000FF"/>
            <w:sz w:val="24"/>
            <w:szCs w:val="24"/>
            <w:u w:val="single"/>
            <w:lang w:val="en-GB" w:eastAsia="fr-BE"/>
          </w:rPr>
          <w:t>1</w:t>
        </w:r>
      </w:hyperlink>
      <w:r w:rsidRPr="00AF430F">
        <w:rPr>
          <w:rFonts w:ascii="Times New Roman" w:eastAsia="Times New Roman" w:hAnsi="Times New Roman" w:cs="Times New Roman"/>
          <w:sz w:val="24"/>
          <w:szCs w:val="24"/>
          <w:lang w:val="en-GB" w:eastAsia="fr-BE"/>
        </w:rPr>
        <w:t xml:space="preserve">). Additionally, missing two sequential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doses resulted in comparable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levels with those observed after missing one dose of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(Figure </w:t>
      </w:r>
      <w:hyperlink r:id="rId31" w:anchor="bcp12275-fig-0001" w:tooltip="Link to figure" w:history="1">
        <w:r w:rsidRPr="00AF430F">
          <w:rPr>
            <w:rFonts w:ascii="Times New Roman" w:eastAsia="Times New Roman" w:hAnsi="Times New Roman" w:cs="Times New Roman"/>
            <w:color w:val="0000FF"/>
            <w:sz w:val="24"/>
            <w:szCs w:val="24"/>
            <w:u w:val="single"/>
            <w:lang w:val="en-GB" w:eastAsia="fr-BE"/>
          </w:rPr>
          <w:t>1</w:t>
        </w:r>
      </w:hyperlink>
      <w:r w:rsidRPr="00AF430F">
        <w:rPr>
          <w:rFonts w:ascii="Times New Roman" w:eastAsia="Times New Roman" w:hAnsi="Times New Roman" w:cs="Times New Roman"/>
          <w:sz w:val="24"/>
          <w:szCs w:val="24"/>
          <w:lang w:val="en-GB" w:eastAsia="fr-BE"/>
        </w:rPr>
        <w:t xml:space="preserve">). Consequently, the </w:t>
      </w:r>
      <w:proofErr w:type="spellStart"/>
      <w:r w:rsidRPr="00AF430F">
        <w:rPr>
          <w:rFonts w:ascii="Times New Roman" w:eastAsia="Times New Roman" w:hAnsi="Times New Roman" w:cs="Times New Roman"/>
          <w:sz w:val="24"/>
          <w:szCs w:val="24"/>
          <w:lang w:val="en-GB" w:eastAsia="fr-BE"/>
        </w:rPr>
        <w:t>pharmacometrically</w:t>
      </w:r>
      <w:proofErr w:type="spellEnd"/>
      <w:r w:rsidRPr="00AF430F">
        <w:rPr>
          <w:rFonts w:ascii="Times New Roman" w:eastAsia="Times New Roman" w:hAnsi="Times New Roman" w:cs="Times New Roman"/>
          <w:sz w:val="24"/>
          <w:szCs w:val="24"/>
          <w:lang w:val="en-GB" w:eastAsia="fr-BE"/>
        </w:rPr>
        <w:t xml:space="preserve"> equivalent dosing error of a single missed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dose was two sequentially omitted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doses.</w:t>
      </w:r>
    </w:p>
    <w:p w:rsidR="00AF430F" w:rsidRPr="00AF430F" w:rsidRDefault="00AF430F" w:rsidP="00AF430F">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color w:val="0000FF"/>
          <w:sz w:val="24"/>
          <w:szCs w:val="24"/>
          <w:lang w:eastAsia="fr-BE"/>
        </w:rPr>
        <w:drawing>
          <wp:inline distT="0" distB="0" distL="0" distR="0">
            <wp:extent cx="1144905" cy="628015"/>
            <wp:effectExtent l="0" t="0" r="0" b="635"/>
            <wp:docPr id="16" name="Image 16" descr="figure">
              <a:hlinkClick xmlns:a="http://schemas.openxmlformats.org/drawingml/2006/main" r:id="rId32" tooltip="&quot;Link to full-size 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p12275-fig-0001_img" descr="figure">
                      <a:hlinkClick r:id="rId32" tooltip="&quot;Link to full-size figur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4905" cy="628015"/>
                    </a:xfrm>
                    <a:prstGeom prst="rect">
                      <a:avLst/>
                    </a:prstGeom>
                    <a:noFill/>
                    <a:ln>
                      <a:noFill/>
                    </a:ln>
                  </pic:spPr>
                </pic:pic>
              </a:graphicData>
            </a:graphic>
          </wp:inline>
        </w:drawing>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proofErr w:type="gramStart"/>
      <w:r w:rsidRPr="00AF430F">
        <w:rPr>
          <w:rFonts w:ascii="Times New Roman" w:eastAsia="Times New Roman" w:hAnsi="Times New Roman" w:cs="Times New Roman"/>
          <w:sz w:val="24"/>
          <w:szCs w:val="24"/>
          <w:lang w:val="en-GB" w:eastAsia="fr-BE"/>
        </w:rPr>
        <w:t>Figure 1.</w:t>
      </w:r>
      <w:proofErr w:type="gramEnd"/>
      <w:r w:rsidRPr="00AF430F">
        <w:rPr>
          <w:rFonts w:ascii="Times New Roman" w:eastAsia="Times New Roman" w:hAnsi="Times New Roman" w:cs="Times New Roman"/>
          <w:sz w:val="24"/>
          <w:szCs w:val="24"/>
          <w:lang w:val="en-GB" w:eastAsia="fr-BE"/>
        </w:rPr>
        <w:t xml:space="preserve"> Comparison of projected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levels in the presence of non-adherence.</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Missing one dose of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does not lower the IPA below the 24 trough levels of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w:t>
      </w:r>
      <w:proofErr w:type="gramStart"/>
      <w:r w:rsidRPr="00AF430F">
        <w:rPr>
          <w:rFonts w:ascii="Times New Roman" w:eastAsia="Times New Roman" w:hAnsi="Times New Roman" w:cs="Times New Roman"/>
          <w:sz w:val="24"/>
          <w:szCs w:val="24"/>
          <w:lang w:val="en-GB" w:eastAsia="fr-BE"/>
        </w:rPr>
        <w:t xml:space="preserve">Missing two sequential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doses results in comparable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levels as seen after missing one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dose.</w:t>
      </w:r>
      <w:proofErr w:type="gramEnd"/>
      <w:r w:rsidRPr="00AF430F">
        <w:rPr>
          <w:rFonts w:ascii="Times New Roman" w:eastAsia="Times New Roman" w:hAnsi="Times New Roman" w:cs="Times New Roman"/>
          <w:sz w:val="24"/>
          <w:szCs w:val="24"/>
          <w:lang w:val="en-GB" w:eastAsia="fr-BE"/>
        </w:rPr>
        <w:t xml:space="preserve"> </w:t>
      </w:r>
      <w:proofErr w:type="spellStart"/>
      <w:proofErr w:type="gramStart"/>
      <w:r w:rsidRPr="00AF430F">
        <w:rPr>
          <w:rFonts w:ascii="Times New Roman" w:eastAsia="Times New Roman" w:hAnsi="Times New Roman" w:cs="Times New Roman"/>
          <w:sz w:val="24"/>
          <w:szCs w:val="24"/>
          <w:lang w:val="en-GB" w:eastAsia="fr-BE"/>
        </w:rPr>
        <w:t>eIPA</w:t>
      </w:r>
      <w:proofErr w:type="spellEnd"/>
      <w:proofErr w:type="gramEnd"/>
      <w:r w:rsidRPr="00AF430F">
        <w:rPr>
          <w:rFonts w:ascii="Times New Roman" w:eastAsia="Times New Roman" w:hAnsi="Times New Roman" w:cs="Times New Roman"/>
          <w:sz w:val="24"/>
          <w:szCs w:val="24"/>
          <w:lang w:val="en-GB" w:eastAsia="fr-BE"/>
        </w:rPr>
        <w:t xml:space="preserve"> = estimated inhibition of platelet aggregation</w:t>
      </w:r>
    </w:p>
    <w:p w:rsidR="00AF430F" w:rsidRPr="00AF430F" w:rsidRDefault="00AF430F" w:rsidP="00AF430F">
      <w:pPr>
        <w:spacing w:before="100" w:beforeAutospacing="1" w:after="100" w:afterAutospacing="1" w:line="240" w:lineRule="auto"/>
        <w:outlineLvl w:val="3"/>
        <w:rPr>
          <w:rFonts w:ascii="Times New Roman" w:eastAsia="Times New Roman" w:hAnsi="Times New Roman" w:cs="Times New Roman"/>
          <w:b/>
          <w:bCs/>
          <w:sz w:val="24"/>
          <w:szCs w:val="24"/>
          <w:lang w:val="en-GB" w:eastAsia="fr-BE"/>
        </w:rPr>
      </w:pPr>
      <w:r w:rsidRPr="00AF430F">
        <w:rPr>
          <w:rFonts w:ascii="Times New Roman" w:eastAsia="Times New Roman" w:hAnsi="Times New Roman" w:cs="Times New Roman"/>
          <w:b/>
          <w:bCs/>
          <w:sz w:val="24"/>
          <w:szCs w:val="24"/>
          <w:lang w:val="en-GB" w:eastAsia="fr-BE"/>
        </w:rPr>
        <w:lastRenderedPageBreak/>
        <w:t>Frequency of dosing errors in twice daily and once daily regimen</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A total of 5014 dosing histories from patients treated for cardiovascular disease could be retrieved from the MWV Adherence database, among which 677 were prescribed a twice daily regimen and 4337 were prescribed a once daily regimen. Most patients (90% of twice daily and 81.5% of once daily) were receiving treatment for hypertension. A random sample of 677 patients from the once daily regimen group was selected for further analysis.</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The frequency of dosing errors was calculated based on the dosing intervals of the selected dosing histories (Figure </w:t>
      </w:r>
      <w:hyperlink r:id="rId34" w:anchor="bcp12275-fig-0002" w:tooltip="Link to figure" w:history="1">
        <w:r w:rsidRPr="00AF430F">
          <w:rPr>
            <w:rFonts w:ascii="Times New Roman" w:eastAsia="Times New Roman" w:hAnsi="Times New Roman" w:cs="Times New Roman"/>
            <w:color w:val="0000FF"/>
            <w:sz w:val="24"/>
            <w:szCs w:val="24"/>
            <w:u w:val="single"/>
            <w:lang w:val="en-GB" w:eastAsia="fr-BE"/>
          </w:rPr>
          <w:t>2</w:t>
        </w:r>
      </w:hyperlink>
      <w:r w:rsidRPr="00AF430F">
        <w:rPr>
          <w:rFonts w:ascii="Times New Roman" w:eastAsia="Times New Roman" w:hAnsi="Times New Roman" w:cs="Times New Roman"/>
          <w:sz w:val="24"/>
          <w:szCs w:val="24"/>
          <w:lang w:val="en-GB" w:eastAsia="fr-BE"/>
        </w:rPr>
        <w:t xml:space="preserve">). During month 1 of prescribed once daily dosing, 46.8% of patients missed at least one dose, compared with 75.2% of patients prescribed twice daily dosing. However, only 25.7% of patients on a twice daily dosing regimen missed two consecutive doses, which is the </w:t>
      </w:r>
      <w:proofErr w:type="spellStart"/>
      <w:r w:rsidRPr="00AF430F">
        <w:rPr>
          <w:rFonts w:ascii="Times New Roman" w:eastAsia="Times New Roman" w:hAnsi="Times New Roman" w:cs="Times New Roman"/>
          <w:sz w:val="24"/>
          <w:szCs w:val="24"/>
          <w:lang w:val="en-GB" w:eastAsia="fr-BE"/>
        </w:rPr>
        <w:t>pharmacometrically</w:t>
      </w:r>
      <w:proofErr w:type="spellEnd"/>
      <w:r w:rsidRPr="00AF430F">
        <w:rPr>
          <w:rFonts w:ascii="Times New Roman" w:eastAsia="Times New Roman" w:hAnsi="Times New Roman" w:cs="Times New Roman"/>
          <w:sz w:val="24"/>
          <w:szCs w:val="24"/>
          <w:lang w:val="en-GB" w:eastAsia="fr-BE"/>
        </w:rPr>
        <w:t xml:space="preserve"> equivalent dosing error in the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regimen for a single missed dose in the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regimen (Figure </w:t>
      </w:r>
      <w:hyperlink r:id="rId35" w:anchor="bcp12275-fig-0002" w:tooltip="Link to figure" w:history="1">
        <w:r w:rsidRPr="00AF430F">
          <w:rPr>
            <w:rFonts w:ascii="Times New Roman" w:eastAsia="Times New Roman" w:hAnsi="Times New Roman" w:cs="Times New Roman"/>
            <w:color w:val="0000FF"/>
            <w:sz w:val="24"/>
            <w:szCs w:val="24"/>
            <w:u w:val="single"/>
            <w:lang w:val="en-GB" w:eastAsia="fr-BE"/>
          </w:rPr>
          <w:t>2</w:t>
        </w:r>
      </w:hyperlink>
      <w:r w:rsidRPr="00AF430F">
        <w:rPr>
          <w:rFonts w:ascii="Times New Roman" w:eastAsia="Times New Roman" w:hAnsi="Times New Roman" w:cs="Times New Roman"/>
          <w:sz w:val="24"/>
          <w:szCs w:val="24"/>
          <w:lang w:val="en-GB" w:eastAsia="fr-BE"/>
        </w:rPr>
        <w:t>).</w:t>
      </w:r>
    </w:p>
    <w:p w:rsidR="00AF430F" w:rsidRPr="00AF430F" w:rsidRDefault="00AF430F" w:rsidP="00AF430F">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color w:val="0000FF"/>
          <w:sz w:val="24"/>
          <w:szCs w:val="24"/>
          <w:lang w:eastAsia="fr-BE"/>
        </w:rPr>
        <w:drawing>
          <wp:inline distT="0" distB="0" distL="0" distR="0">
            <wp:extent cx="1144905" cy="906145"/>
            <wp:effectExtent l="0" t="0" r="0" b="8255"/>
            <wp:docPr id="15" name="Image 15" descr="figure">
              <a:hlinkClick xmlns:a="http://schemas.openxmlformats.org/drawingml/2006/main" r:id="rId36" tooltip="&quot;Link to full-size 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p12275-fig-0002_img" descr="figure">
                      <a:hlinkClick r:id="rId36" tooltip="&quot;Link to full-size figure&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44905" cy="906145"/>
                    </a:xfrm>
                    <a:prstGeom prst="rect">
                      <a:avLst/>
                    </a:prstGeom>
                    <a:noFill/>
                    <a:ln>
                      <a:noFill/>
                    </a:ln>
                  </pic:spPr>
                </pic:pic>
              </a:graphicData>
            </a:graphic>
          </wp:inline>
        </w:drawing>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proofErr w:type="gramStart"/>
      <w:r w:rsidRPr="00AF430F">
        <w:rPr>
          <w:rFonts w:ascii="Times New Roman" w:eastAsia="Times New Roman" w:hAnsi="Times New Roman" w:cs="Times New Roman"/>
          <w:sz w:val="24"/>
          <w:szCs w:val="24"/>
          <w:lang w:val="en-GB" w:eastAsia="fr-BE"/>
        </w:rPr>
        <w:t>Figure 2.</w:t>
      </w:r>
      <w:proofErr w:type="gramEnd"/>
      <w:r w:rsidRPr="00AF430F">
        <w:rPr>
          <w:rFonts w:ascii="Times New Roman" w:eastAsia="Times New Roman" w:hAnsi="Times New Roman" w:cs="Times New Roman"/>
          <w:sz w:val="24"/>
          <w:szCs w:val="24"/>
          <w:lang w:val="en-GB" w:eastAsia="fr-BE"/>
        </w:rPr>
        <w:t xml:space="preserve"> Frequency of dosing errors based on dosing intervals. </w:t>
      </w:r>
      <w:r>
        <w:rPr>
          <w:rFonts w:ascii="Times New Roman" w:eastAsia="Times New Roman" w:hAnsi="Times New Roman" w:cs="Times New Roman"/>
          <w:noProof/>
          <w:sz w:val="24"/>
          <w:szCs w:val="24"/>
          <w:lang w:eastAsia="fr-BE"/>
        </w:rPr>
        <w:drawing>
          <wp:inline distT="0" distB="0" distL="0" distR="0">
            <wp:extent cx="151130" cy="55880"/>
            <wp:effectExtent l="0" t="0" r="1270" b="1270"/>
            <wp:docPr id="14" name="Imag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1130" cy="55880"/>
                    </a:xfrm>
                    <a:prstGeom prst="rect">
                      <a:avLst/>
                    </a:prstGeom>
                    <a:noFill/>
                    <a:ln>
                      <a:noFill/>
                    </a:ln>
                  </pic:spPr>
                </pic:pic>
              </a:graphicData>
            </a:graphic>
          </wp:inline>
        </w:drawing>
      </w:r>
      <w:r w:rsidRPr="00AF430F">
        <w:rPr>
          <w:rFonts w:ascii="Times New Roman" w:eastAsia="Times New Roman" w:hAnsi="Times New Roman" w:cs="Times New Roman"/>
          <w:sz w:val="24"/>
          <w:szCs w:val="24"/>
          <w:lang w:val="en-GB" w:eastAsia="fr-BE"/>
        </w:rPr>
        <w:t>, &gt;18 h</w:t>
      </w:r>
      <w:proofErr w:type="gramStart"/>
      <w:r w:rsidRPr="00AF430F">
        <w:rPr>
          <w:rFonts w:ascii="Times New Roman" w:eastAsia="Times New Roman" w:hAnsi="Times New Roman" w:cs="Times New Roman"/>
          <w:sz w:val="24"/>
          <w:szCs w:val="24"/>
          <w:lang w:val="en-GB" w:eastAsia="fr-BE"/>
        </w:rPr>
        <w:t xml:space="preserve">; </w:t>
      </w:r>
      <w:proofErr w:type="gramEnd"/>
      <w:r>
        <w:rPr>
          <w:rFonts w:ascii="Times New Roman" w:eastAsia="Times New Roman" w:hAnsi="Times New Roman" w:cs="Times New Roman"/>
          <w:noProof/>
          <w:sz w:val="24"/>
          <w:szCs w:val="24"/>
          <w:lang w:eastAsia="fr-BE"/>
        </w:rPr>
        <w:drawing>
          <wp:inline distT="0" distB="0" distL="0" distR="0">
            <wp:extent cx="151130" cy="55880"/>
            <wp:effectExtent l="0" t="0" r="1270" b="1270"/>
            <wp:docPr id="13" name="Imag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130" cy="55880"/>
                    </a:xfrm>
                    <a:prstGeom prst="rect">
                      <a:avLst/>
                    </a:prstGeom>
                    <a:noFill/>
                    <a:ln>
                      <a:noFill/>
                    </a:ln>
                  </pic:spPr>
                </pic:pic>
              </a:graphicData>
            </a:graphic>
          </wp:inline>
        </w:drawing>
      </w:r>
      <w:r w:rsidRPr="00AF430F">
        <w:rPr>
          <w:rFonts w:ascii="Times New Roman" w:eastAsia="Times New Roman" w:hAnsi="Times New Roman" w:cs="Times New Roman"/>
          <w:sz w:val="24"/>
          <w:szCs w:val="24"/>
          <w:lang w:val="en-GB" w:eastAsia="fr-BE"/>
        </w:rPr>
        <w:t xml:space="preserve">, &gt;30 h; </w:t>
      </w:r>
      <w:r>
        <w:rPr>
          <w:rFonts w:ascii="Times New Roman" w:eastAsia="Times New Roman" w:hAnsi="Times New Roman" w:cs="Times New Roman"/>
          <w:noProof/>
          <w:sz w:val="24"/>
          <w:szCs w:val="24"/>
          <w:lang w:eastAsia="fr-BE"/>
        </w:rPr>
        <w:drawing>
          <wp:inline distT="0" distB="0" distL="0" distR="0">
            <wp:extent cx="151130" cy="55880"/>
            <wp:effectExtent l="0" t="0" r="1270" b="1270"/>
            <wp:docPr id="12" name="Imag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1130" cy="55880"/>
                    </a:xfrm>
                    <a:prstGeom prst="rect">
                      <a:avLst/>
                    </a:prstGeom>
                    <a:noFill/>
                    <a:ln>
                      <a:noFill/>
                    </a:ln>
                  </pic:spPr>
                </pic:pic>
              </a:graphicData>
            </a:graphic>
          </wp:inline>
        </w:drawing>
      </w:r>
      <w:r w:rsidRPr="00AF430F">
        <w:rPr>
          <w:rFonts w:ascii="Times New Roman" w:eastAsia="Times New Roman" w:hAnsi="Times New Roman" w:cs="Times New Roman"/>
          <w:sz w:val="24"/>
          <w:szCs w:val="24"/>
          <w:lang w:val="en-GB" w:eastAsia="fr-BE"/>
        </w:rPr>
        <w:t xml:space="preserve">, &gt;42 h; </w:t>
      </w:r>
      <w:r>
        <w:rPr>
          <w:rFonts w:ascii="Times New Roman" w:eastAsia="Times New Roman" w:hAnsi="Times New Roman" w:cs="Times New Roman"/>
          <w:noProof/>
          <w:sz w:val="24"/>
          <w:szCs w:val="24"/>
          <w:lang w:eastAsia="fr-BE"/>
        </w:rPr>
        <w:drawing>
          <wp:inline distT="0" distB="0" distL="0" distR="0">
            <wp:extent cx="151130" cy="55880"/>
            <wp:effectExtent l="0" t="0" r="1270" b="1270"/>
            <wp:docPr id="11" name="Imag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130" cy="55880"/>
                    </a:xfrm>
                    <a:prstGeom prst="rect">
                      <a:avLst/>
                    </a:prstGeom>
                    <a:noFill/>
                    <a:ln>
                      <a:noFill/>
                    </a:ln>
                  </pic:spPr>
                </pic:pic>
              </a:graphicData>
            </a:graphic>
          </wp:inline>
        </w:drawing>
      </w:r>
      <w:r w:rsidRPr="00AF430F">
        <w:rPr>
          <w:rFonts w:ascii="Times New Roman" w:eastAsia="Times New Roman" w:hAnsi="Times New Roman" w:cs="Times New Roman"/>
          <w:sz w:val="24"/>
          <w:szCs w:val="24"/>
          <w:lang w:val="en-GB" w:eastAsia="fr-BE"/>
        </w:rPr>
        <w:t xml:space="preserve">, &gt;54 h; </w:t>
      </w:r>
      <w:r>
        <w:rPr>
          <w:rFonts w:ascii="Times New Roman" w:eastAsia="Times New Roman" w:hAnsi="Times New Roman" w:cs="Times New Roman"/>
          <w:noProof/>
          <w:sz w:val="24"/>
          <w:szCs w:val="24"/>
          <w:lang w:eastAsia="fr-BE"/>
        </w:rPr>
        <w:drawing>
          <wp:inline distT="0" distB="0" distL="0" distR="0">
            <wp:extent cx="151130" cy="55880"/>
            <wp:effectExtent l="0" t="0" r="1270" b="1270"/>
            <wp:docPr id="10" name="Imag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130" cy="55880"/>
                    </a:xfrm>
                    <a:prstGeom prst="rect">
                      <a:avLst/>
                    </a:prstGeom>
                    <a:noFill/>
                    <a:ln>
                      <a:noFill/>
                    </a:ln>
                  </pic:spPr>
                </pic:pic>
              </a:graphicData>
            </a:graphic>
          </wp:inline>
        </w:drawing>
      </w:r>
      <w:r w:rsidRPr="00AF430F">
        <w:rPr>
          <w:rFonts w:ascii="Times New Roman" w:eastAsia="Times New Roman" w:hAnsi="Times New Roman" w:cs="Times New Roman"/>
          <w:sz w:val="24"/>
          <w:szCs w:val="24"/>
          <w:lang w:val="en-GB" w:eastAsia="fr-BE"/>
        </w:rPr>
        <w:t xml:space="preserve">, &gt;56 h; </w:t>
      </w:r>
      <w:r>
        <w:rPr>
          <w:rFonts w:ascii="Times New Roman" w:eastAsia="Times New Roman" w:hAnsi="Times New Roman" w:cs="Times New Roman"/>
          <w:noProof/>
          <w:sz w:val="24"/>
          <w:szCs w:val="24"/>
          <w:lang w:eastAsia="fr-BE"/>
        </w:rPr>
        <w:drawing>
          <wp:inline distT="0" distB="0" distL="0" distR="0">
            <wp:extent cx="151130" cy="47625"/>
            <wp:effectExtent l="0" t="0" r="1270" b="9525"/>
            <wp:docPr id="9" name="Imag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1130" cy="47625"/>
                    </a:xfrm>
                    <a:prstGeom prst="rect">
                      <a:avLst/>
                    </a:prstGeom>
                    <a:noFill/>
                    <a:ln>
                      <a:noFill/>
                    </a:ln>
                  </pic:spPr>
                </pic:pic>
              </a:graphicData>
            </a:graphic>
          </wp:inline>
        </w:drawing>
      </w:r>
      <w:r w:rsidRPr="00AF430F">
        <w:rPr>
          <w:rFonts w:ascii="Times New Roman" w:eastAsia="Times New Roman" w:hAnsi="Times New Roman" w:cs="Times New Roman"/>
          <w:sz w:val="24"/>
          <w:szCs w:val="24"/>
          <w:lang w:val="en-GB" w:eastAsia="fr-BE"/>
        </w:rPr>
        <w:t xml:space="preserve">&gt;66 h; </w:t>
      </w:r>
      <w:r>
        <w:rPr>
          <w:rFonts w:ascii="Times New Roman" w:eastAsia="Times New Roman" w:hAnsi="Times New Roman" w:cs="Times New Roman"/>
          <w:noProof/>
          <w:sz w:val="24"/>
          <w:szCs w:val="24"/>
          <w:lang w:eastAsia="fr-BE"/>
        </w:rPr>
        <w:drawing>
          <wp:inline distT="0" distB="0" distL="0" distR="0">
            <wp:extent cx="151130" cy="47625"/>
            <wp:effectExtent l="0" t="0" r="1270" b="9525"/>
            <wp:docPr id="8" name="Imag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1130" cy="47625"/>
                    </a:xfrm>
                    <a:prstGeom prst="rect">
                      <a:avLst/>
                    </a:prstGeom>
                    <a:noFill/>
                    <a:ln>
                      <a:noFill/>
                    </a:ln>
                  </pic:spPr>
                </pic:pic>
              </a:graphicData>
            </a:graphic>
          </wp:inline>
        </w:drawing>
      </w:r>
      <w:r w:rsidRPr="00AF430F">
        <w:rPr>
          <w:rFonts w:ascii="Times New Roman" w:eastAsia="Times New Roman" w:hAnsi="Times New Roman" w:cs="Times New Roman"/>
          <w:sz w:val="24"/>
          <w:szCs w:val="24"/>
          <w:lang w:val="en-GB" w:eastAsia="fr-BE"/>
        </w:rPr>
        <w:t>, &gt;78 h. Lines show the frequency at which patients miss one or more twice daily or once daily doses, presented as specified intervals of time between doses (e.g. an interval of &gt;18 h corresponds to missing one twice daily dose; an interval of &gt;30 h corresponds to missing two consecutive twice daily doses or one once daily dose)</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The random sample of 677 patients from the once daily population had similar dosing error characteristics as the entire group, indicating that this selected sample was representative for the entire population (data not shown).</w:t>
      </w:r>
    </w:p>
    <w:p w:rsidR="00AF430F" w:rsidRPr="00AF430F" w:rsidRDefault="00AF430F" w:rsidP="00AF430F">
      <w:pPr>
        <w:spacing w:before="100" w:beforeAutospacing="1" w:after="100" w:afterAutospacing="1" w:line="240" w:lineRule="auto"/>
        <w:outlineLvl w:val="3"/>
        <w:rPr>
          <w:rFonts w:ascii="Times New Roman" w:eastAsia="Times New Roman" w:hAnsi="Times New Roman" w:cs="Times New Roman"/>
          <w:b/>
          <w:bCs/>
          <w:sz w:val="24"/>
          <w:szCs w:val="24"/>
          <w:lang w:val="en-GB" w:eastAsia="fr-BE"/>
        </w:rPr>
      </w:pPr>
      <w:r w:rsidRPr="00AF430F">
        <w:rPr>
          <w:rFonts w:ascii="Times New Roman" w:eastAsia="Times New Roman" w:hAnsi="Times New Roman" w:cs="Times New Roman"/>
          <w:b/>
          <w:bCs/>
          <w:sz w:val="24"/>
          <w:szCs w:val="24"/>
          <w:lang w:val="en-GB" w:eastAsia="fr-BE"/>
        </w:rPr>
        <w:t xml:space="preserve">Simulation of </w:t>
      </w:r>
      <w:proofErr w:type="spellStart"/>
      <w:r w:rsidRPr="00AF430F">
        <w:rPr>
          <w:rFonts w:ascii="Times New Roman" w:eastAsia="Times New Roman" w:hAnsi="Times New Roman" w:cs="Times New Roman"/>
          <w:b/>
          <w:bCs/>
          <w:sz w:val="24"/>
          <w:szCs w:val="24"/>
          <w:lang w:val="en-GB" w:eastAsia="fr-BE"/>
        </w:rPr>
        <w:t>eIPA</w:t>
      </w:r>
      <w:proofErr w:type="spellEnd"/>
      <w:r w:rsidRPr="00AF430F">
        <w:rPr>
          <w:rFonts w:ascii="Times New Roman" w:eastAsia="Times New Roman" w:hAnsi="Times New Roman" w:cs="Times New Roman"/>
          <w:b/>
          <w:bCs/>
          <w:sz w:val="24"/>
          <w:szCs w:val="24"/>
          <w:lang w:val="en-GB" w:eastAsia="fr-BE"/>
        </w:rPr>
        <w:t xml:space="preserve"> levels based on twice daily and once daily patient adherence data</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The simulations based on patient adherence over time showed that the average mean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remained significantly higher than for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(81.1% ± 5.9% for twice daily, 55.0% ± 8.1% for once daily, </w:t>
      </w:r>
      <w:r w:rsidRPr="00AF430F">
        <w:rPr>
          <w:rFonts w:ascii="Times New Roman" w:eastAsia="Times New Roman" w:hAnsi="Times New Roman" w:cs="Times New Roman"/>
          <w:i/>
          <w:iCs/>
          <w:sz w:val="24"/>
          <w:szCs w:val="24"/>
          <w:lang w:val="en-GB" w:eastAsia="fr-BE"/>
        </w:rPr>
        <w:t>P</w:t>
      </w:r>
      <w:r w:rsidRPr="00AF430F">
        <w:rPr>
          <w:rFonts w:ascii="Times New Roman" w:eastAsia="Times New Roman" w:hAnsi="Times New Roman" w:cs="Times New Roman"/>
          <w:sz w:val="24"/>
          <w:szCs w:val="24"/>
          <w:lang w:val="en-GB" w:eastAsia="fr-BE"/>
        </w:rPr>
        <w:t xml:space="preserve"> &lt; 0.001) (Figure </w:t>
      </w:r>
      <w:hyperlink r:id="rId44" w:anchor="bcp12275-fig-0003" w:tooltip="Link to figure" w:history="1">
        <w:r w:rsidRPr="00AF430F">
          <w:rPr>
            <w:rFonts w:ascii="Times New Roman" w:eastAsia="Times New Roman" w:hAnsi="Times New Roman" w:cs="Times New Roman"/>
            <w:color w:val="0000FF"/>
            <w:sz w:val="24"/>
            <w:szCs w:val="24"/>
            <w:u w:val="single"/>
            <w:lang w:val="en-GB" w:eastAsia="fr-BE"/>
          </w:rPr>
          <w:t>3</w:t>
        </w:r>
      </w:hyperlink>
      <w:r w:rsidRPr="00AF430F">
        <w:rPr>
          <w:rFonts w:ascii="Times New Roman" w:eastAsia="Times New Roman" w:hAnsi="Times New Roman" w:cs="Times New Roman"/>
          <w:sz w:val="24"/>
          <w:szCs w:val="24"/>
          <w:lang w:val="en-GB" w:eastAsia="fr-BE"/>
        </w:rPr>
        <w:t xml:space="preserve">A). Also the average minimum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values remained higher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compared with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(53.3% ± 16.1% for twice daily, 36.7% ± 11.9% for once daily, </w:t>
      </w:r>
      <w:r w:rsidRPr="00AF430F">
        <w:rPr>
          <w:rFonts w:ascii="Times New Roman" w:eastAsia="Times New Roman" w:hAnsi="Times New Roman" w:cs="Times New Roman"/>
          <w:i/>
          <w:iCs/>
          <w:sz w:val="24"/>
          <w:szCs w:val="24"/>
          <w:lang w:val="en-GB" w:eastAsia="fr-BE"/>
        </w:rPr>
        <w:t>P</w:t>
      </w:r>
      <w:r w:rsidRPr="00AF430F">
        <w:rPr>
          <w:rFonts w:ascii="Times New Roman" w:eastAsia="Times New Roman" w:hAnsi="Times New Roman" w:cs="Times New Roman"/>
          <w:sz w:val="24"/>
          <w:szCs w:val="24"/>
          <w:lang w:val="en-GB" w:eastAsia="fr-BE"/>
        </w:rPr>
        <w:t xml:space="preserve"> &lt; 0.0001) (Figure </w:t>
      </w:r>
      <w:hyperlink r:id="rId45" w:anchor="bcp12275-fig-0003" w:tooltip="Link to figure" w:history="1">
        <w:r w:rsidRPr="00AF430F">
          <w:rPr>
            <w:rFonts w:ascii="Times New Roman" w:eastAsia="Times New Roman" w:hAnsi="Times New Roman" w:cs="Times New Roman"/>
            <w:color w:val="0000FF"/>
            <w:sz w:val="24"/>
            <w:szCs w:val="24"/>
            <w:u w:val="single"/>
            <w:lang w:val="en-GB" w:eastAsia="fr-BE"/>
          </w:rPr>
          <w:t>3</w:t>
        </w:r>
      </w:hyperlink>
      <w:r w:rsidRPr="00AF430F">
        <w:rPr>
          <w:rFonts w:ascii="Times New Roman" w:eastAsia="Times New Roman" w:hAnsi="Times New Roman" w:cs="Times New Roman"/>
          <w:sz w:val="24"/>
          <w:szCs w:val="24"/>
          <w:lang w:val="en-GB" w:eastAsia="fr-BE"/>
        </w:rPr>
        <w:t>B).</w:t>
      </w:r>
    </w:p>
    <w:p w:rsidR="00AF430F" w:rsidRPr="00AF430F" w:rsidRDefault="00AF430F" w:rsidP="00AF430F">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color w:val="0000FF"/>
          <w:sz w:val="24"/>
          <w:szCs w:val="24"/>
          <w:lang w:eastAsia="fr-BE"/>
        </w:rPr>
        <w:drawing>
          <wp:inline distT="0" distB="0" distL="0" distR="0">
            <wp:extent cx="628015" cy="1144905"/>
            <wp:effectExtent l="0" t="0" r="635" b="0"/>
            <wp:docPr id="7" name="Image 7" descr="figure">
              <a:hlinkClick xmlns:a="http://schemas.openxmlformats.org/drawingml/2006/main" r:id="rId46" tooltip="&quot;Link to full-size 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p12275-fig-0003_img" descr="figure">
                      <a:hlinkClick r:id="rId46" tooltip="&quot;Link to full-size figur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28015" cy="1144905"/>
                    </a:xfrm>
                    <a:prstGeom prst="rect">
                      <a:avLst/>
                    </a:prstGeom>
                    <a:noFill/>
                    <a:ln>
                      <a:noFill/>
                    </a:ln>
                  </pic:spPr>
                </pic:pic>
              </a:graphicData>
            </a:graphic>
          </wp:inline>
        </w:drawing>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proofErr w:type="gramStart"/>
      <w:r w:rsidRPr="00AF430F">
        <w:rPr>
          <w:rFonts w:ascii="Times New Roman" w:eastAsia="Times New Roman" w:hAnsi="Times New Roman" w:cs="Times New Roman"/>
          <w:sz w:val="24"/>
          <w:szCs w:val="24"/>
          <w:lang w:val="en-GB" w:eastAsia="fr-BE"/>
        </w:rPr>
        <w:t>Figure 3.</w:t>
      </w:r>
      <w:proofErr w:type="gramEnd"/>
      <w:r w:rsidRPr="00AF430F">
        <w:rPr>
          <w:rFonts w:ascii="Times New Roman" w:eastAsia="Times New Roman" w:hAnsi="Times New Roman" w:cs="Times New Roman"/>
          <w:sz w:val="24"/>
          <w:szCs w:val="24"/>
          <w:lang w:val="en-GB" w:eastAsia="fr-BE"/>
        </w:rPr>
        <w:t xml:space="preserve"> </w:t>
      </w:r>
      <w:proofErr w:type="gramStart"/>
      <w:r w:rsidRPr="00AF430F">
        <w:rPr>
          <w:rFonts w:ascii="Times New Roman" w:eastAsia="Times New Roman" w:hAnsi="Times New Roman" w:cs="Times New Roman"/>
          <w:sz w:val="24"/>
          <w:szCs w:val="24"/>
          <w:lang w:val="en-GB" w:eastAsia="fr-BE"/>
        </w:rPr>
        <w:t xml:space="preserve">The twice </w:t>
      </w:r>
      <w:proofErr w:type="spellStart"/>
      <w:r w:rsidRPr="00AF430F">
        <w:rPr>
          <w:rFonts w:ascii="Times New Roman" w:eastAsia="Times New Roman" w:hAnsi="Times New Roman" w:cs="Times New Roman"/>
          <w:sz w:val="24"/>
          <w:szCs w:val="24"/>
          <w:lang w:val="en-GB" w:eastAsia="fr-BE"/>
        </w:rPr>
        <w:t>dailyadvantage</w:t>
      </w:r>
      <w:proofErr w:type="spellEnd"/>
      <w:r w:rsidRPr="00AF430F">
        <w:rPr>
          <w:rFonts w:ascii="Times New Roman" w:eastAsia="Times New Roman" w:hAnsi="Times New Roman" w:cs="Times New Roman"/>
          <w:sz w:val="24"/>
          <w:szCs w:val="24"/>
          <w:lang w:val="en-GB" w:eastAsia="fr-BE"/>
        </w:rPr>
        <w:t>.</w:t>
      </w:r>
      <w:proofErr w:type="gramEnd"/>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lastRenderedPageBreak/>
        <w:t xml:space="preserve">(A) Box whisker plot of the mean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between patients for both regimens. The central box represents the 25th to 75th percentile; the middle line represents the median. The ends of the whiskers represent the 10th and 90th percentile of the distribution. (B) The box whisker plot represents the minimum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value of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trajectory projection over 30 days of each patient. The central box represents the 25th to 75th percentile; the middle line represents the median. The ends of the whiskers represent the 10th and 90th percentile of the distribution. </w:t>
      </w:r>
      <w:proofErr w:type="spellStart"/>
      <w:proofErr w:type="gramStart"/>
      <w:r w:rsidRPr="00AF430F">
        <w:rPr>
          <w:rFonts w:ascii="Times New Roman" w:eastAsia="Times New Roman" w:hAnsi="Times New Roman" w:cs="Times New Roman"/>
          <w:sz w:val="24"/>
          <w:szCs w:val="24"/>
          <w:lang w:val="en-GB" w:eastAsia="fr-BE"/>
        </w:rPr>
        <w:t>eIPA</w:t>
      </w:r>
      <w:proofErr w:type="spellEnd"/>
      <w:proofErr w:type="gramEnd"/>
      <w:r w:rsidRPr="00AF430F">
        <w:rPr>
          <w:rFonts w:ascii="Times New Roman" w:eastAsia="Times New Roman" w:hAnsi="Times New Roman" w:cs="Times New Roman"/>
          <w:sz w:val="24"/>
          <w:szCs w:val="24"/>
          <w:lang w:val="en-GB" w:eastAsia="fr-BE"/>
        </w:rPr>
        <w:t xml:space="preserve"> = estimated inhibition of platelet aggregation</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For each patient, we also calculated the percentage of time over the 30 day period for which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 was below a pre-defined cut-off.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time spent below the cut-off was comparable for each cut-off value. For each of the IPA cut-offs,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was below the cut-off for a significantly shorter amount of time than for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patients had an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below 10% for 0.20% of the 30 day period, compared with 2.05% for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w:t>
      </w:r>
      <w:r w:rsidRPr="00AF430F">
        <w:rPr>
          <w:rFonts w:ascii="Times New Roman" w:eastAsia="Times New Roman" w:hAnsi="Times New Roman" w:cs="Times New Roman"/>
          <w:i/>
          <w:iCs/>
          <w:sz w:val="24"/>
          <w:szCs w:val="24"/>
          <w:lang w:val="en-GB" w:eastAsia="fr-BE"/>
        </w:rPr>
        <w:t>P</w:t>
      </w:r>
      <w:r w:rsidRPr="00AF430F">
        <w:rPr>
          <w:rFonts w:ascii="Times New Roman" w:eastAsia="Times New Roman" w:hAnsi="Times New Roman" w:cs="Times New Roman"/>
          <w:sz w:val="24"/>
          <w:szCs w:val="24"/>
          <w:lang w:val="en-GB" w:eastAsia="fr-BE"/>
        </w:rPr>
        <w:t xml:space="preserve"> = 0.0001). The mean percentage of time spent below the predefined cut-off increased considerably at the IPA cut-off of 60% for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(Figure </w:t>
      </w:r>
      <w:hyperlink r:id="rId48" w:anchor="bcp12275-fig-0004" w:tooltip="Link to figure" w:history="1">
        <w:r w:rsidRPr="00AF430F">
          <w:rPr>
            <w:rFonts w:ascii="Times New Roman" w:eastAsia="Times New Roman" w:hAnsi="Times New Roman" w:cs="Times New Roman"/>
            <w:color w:val="0000FF"/>
            <w:sz w:val="24"/>
            <w:szCs w:val="24"/>
            <w:u w:val="single"/>
            <w:lang w:val="en-GB" w:eastAsia="fr-BE"/>
          </w:rPr>
          <w:t>4</w:t>
        </w:r>
      </w:hyperlink>
      <w:r w:rsidRPr="00AF430F">
        <w:rPr>
          <w:rFonts w:ascii="Times New Roman" w:eastAsia="Times New Roman" w:hAnsi="Times New Roman" w:cs="Times New Roman"/>
          <w:sz w:val="24"/>
          <w:szCs w:val="24"/>
          <w:lang w:val="en-GB" w:eastAsia="fr-BE"/>
        </w:rPr>
        <w:t>).</w:t>
      </w:r>
    </w:p>
    <w:p w:rsidR="00AF430F" w:rsidRPr="00AF430F" w:rsidRDefault="00AF430F" w:rsidP="00AF430F">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color w:val="0000FF"/>
          <w:sz w:val="24"/>
          <w:szCs w:val="24"/>
          <w:lang w:eastAsia="fr-BE"/>
        </w:rPr>
        <w:drawing>
          <wp:inline distT="0" distB="0" distL="0" distR="0">
            <wp:extent cx="1144905" cy="882650"/>
            <wp:effectExtent l="0" t="0" r="0" b="0"/>
            <wp:docPr id="6" name="Image 6" descr="figure">
              <a:hlinkClick xmlns:a="http://schemas.openxmlformats.org/drawingml/2006/main" r:id="rId49" tooltip="&quot;Link to full-size 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p12275-fig-0004_img" descr="figure">
                      <a:hlinkClick r:id="rId49" tooltip="&quot;Link to full-size figur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44905" cy="882650"/>
                    </a:xfrm>
                    <a:prstGeom prst="rect">
                      <a:avLst/>
                    </a:prstGeom>
                    <a:noFill/>
                    <a:ln>
                      <a:noFill/>
                    </a:ln>
                  </pic:spPr>
                </pic:pic>
              </a:graphicData>
            </a:graphic>
          </wp:inline>
        </w:drawing>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proofErr w:type="gramStart"/>
      <w:r w:rsidRPr="00AF430F">
        <w:rPr>
          <w:rFonts w:ascii="Times New Roman" w:eastAsia="Times New Roman" w:hAnsi="Times New Roman" w:cs="Times New Roman"/>
          <w:sz w:val="24"/>
          <w:szCs w:val="24"/>
          <w:lang w:val="en-GB" w:eastAsia="fr-BE"/>
        </w:rPr>
        <w:t>Figure 4.</w:t>
      </w:r>
      <w:proofErr w:type="gramEnd"/>
      <w:r w:rsidRPr="00AF430F">
        <w:rPr>
          <w:rFonts w:ascii="Times New Roman" w:eastAsia="Times New Roman" w:hAnsi="Times New Roman" w:cs="Times New Roman"/>
          <w:sz w:val="24"/>
          <w:szCs w:val="24"/>
          <w:lang w:val="en-GB" w:eastAsia="fr-BE"/>
        </w:rPr>
        <w:t xml:space="preserve"> Comparison of percentage of time spent under a certain IPA cut-off. </w:t>
      </w:r>
      <w:r>
        <w:rPr>
          <w:rFonts w:ascii="Times New Roman" w:eastAsia="Times New Roman" w:hAnsi="Times New Roman" w:cs="Times New Roman"/>
          <w:noProof/>
          <w:sz w:val="24"/>
          <w:szCs w:val="24"/>
          <w:lang w:eastAsia="fr-BE"/>
        </w:rPr>
        <w:drawing>
          <wp:inline distT="0" distB="0" distL="0" distR="0">
            <wp:extent cx="151130" cy="55880"/>
            <wp:effectExtent l="0" t="0" r="1270" b="1270"/>
            <wp:docPr id="5" name="Imag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1130" cy="55880"/>
                    </a:xfrm>
                    <a:prstGeom prst="rect">
                      <a:avLst/>
                    </a:prstGeom>
                    <a:noFill/>
                    <a:ln>
                      <a:noFill/>
                    </a:ln>
                  </pic:spPr>
                </pic:pic>
              </a:graphicData>
            </a:graphic>
          </wp:inline>
        </w:drawing>
      </w:r>
      <w:r w:rsidRPr="00AF430F">
        <w:rPr>
          <w:rFonts w:ascii="Times New Roman" w:eastAsia="Times New Roman" w:hAnsi="Times New Roman" w:cs="Times New Roman"/>
          <w:sz w:val="24"/>
          <w:szCs w:val="24"/>
          <w:lang w:val="en-GB" w:eastAsia="fr-BE"/>
        </w:rPr>
        <w:t xml:space="preserve">, </w:t>
      </w:r>
      <w:proofErr w:type="spellStart"/>
      <w:r w:rsidRPr="00AF430F">
        <w:rPr>
          <w:rFonts w:ascii="Times New Roman" w:eastAsia="Times New Roman" w:hAnsi="Times New Roman" w:cs="Times New Roman"/>
          <w:sz w:val="24"/>
          <w:szCs w:val="24"/>
          <w:lang w:val="en-GB" w:eastAsia="fr-BE"/>
        </w:rPr>
        <w:t>clopidogrelonce</w:t>
      </w:r>
      <w:proofErr w:type="spellEnd"/>
      <w:r w:rsidRPr="00AF430F">
        <w:rPr>
          <w:rFonts w:ascii="Times New Roman" w:eastAsia="Times New Roman" w:hAnsi="Times New Roman" w:cs="Times New Roman"/>
          <w:sz w:val="24"/>
          <w:szCs w:val="24"/>
          <w:lang w:val="en-GB" w:eastAsia="fr-BE"/>
        </w:rPr>
        <w:t xml:space="preserve"> daily</w:t>
      </w:r>
      <w:proofErr w:type="gramStart"/>
      <w:r w:rsidRPr="00AF430F">
        <w:rPr>
          <w:rFonts w:ascii="Times New Roman" w:eastAsia="Times New Roman" w:hAnsi="Times New Roman" w:cs="Times New Roman"/>
          <w:sz w:val="24"/>
          <w:szCs w:val="24"/>
          <w:lang w:val="en-GB" w:eastAsia="fr-BE"/>
        </w:rPr>
        <w:t xml:space="preserve">; </w:t>
      </w:r>
      <w:proofErr w:type="gramEnd"/>
      <w:r>
        <w:rPr>
          <w:rFonts w:ascii="Times New Roman" w:eastAsia="Times New Roman" w:hAnsi="Times New Roman" w:cs="Times New Roman"/>
          <w:noProof/>
          <w:sz w:val="24"/>
          <w:szCs w:val="24"/>
          <w:lang w:eastAsia="fr-BE"/>
        </w:rPr>
        <w:drawing>
          <wp:inline distT="0" distB="0" distL="0" distR="0">
            <wp:extent cx="151130" cy="55880"/>
            <wp:effectExtent l="0" t="0" r="1270" b="1270"/>
            <wp:docPr id="4" name="Imag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1130" cy="55880"/>
                    </a:xfrm>
                    <a:prstGeom prst="rect">
                      <a:avLst/>
                    </a:prstGeom>
                    <a:noFill/>
                    <a:ln>
                      <a:noFill/>
                    </a:ln>
                  </pic:spPr>
                </pic:pic>
              </a:graphicData>
            </a:graphic>
          </wp:inline>
        </w:drawing>
      </w:r>
      <w:r w:rsidRPr="00AF430F">
        <w:rPr>
          <w:rFonts w:ascii="Times New Roman" w:eastAsia="Times New Roman" w:hAnsi="Times New Roman" w:cs="Times New Roman"/>
          <w:sz w:val="24"/>
          <w:szCs w:val="24"/>
          <w:lang w:val="en-GB" w:eastAsia="fr-BE"/>
        </w:rPr>
        <w:t xml:space="preserve">,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The mean percentage of time below the various cut-offs was fairly stable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and was always lower than for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which had a considerable increase in time spent below cut-off at 60% IPA. </w:t>
      </w:r>
      <w:proofErr w:type="spellStart"/>
      <w:proofErr w:type="gramStart"/>
      <w:r w:rsidRPr="00AF430F">
        <w:rPr>
          <w:rFonts w:ascii="Times New Roman" w:eastAsia="Times New Roman" w:hAnsi="Times New Roman" w:cs="Times New Roman"/>
          <w:sz w:val="24"/>
          <w:szCs w:val="24"/>
          <w:lang w:val="en-GB" w:eastAsia="fr-BE"/>
        </w:rPr>
        <w:t>eIPA</w:t>
      </w:r>
      <w:proofErr w:type="spellEnd"/>
      <w:proofErr w:type="gramEnd"/>
      <w:r w:rsidRPr="00AF430F">
        <w:rPr>
          <w:rFonts w:ascii="Times New Roman" w:eastAsia="Times New Roman" w:hAnsi="Times New Roman" w:cs="Times New Roman"/>
          <w:sz w:val="24"/>
          <w:szCs w:val="24"/>
          <w:lang w:val="en-GB" w:eastAsia="fr-BE"/>
        </w:rPr>
        <w:t> = estimated inhibition of platelet aggregation. *</w:t>
      </w:r>
      <w:r w:rsidRPr="00AF430F">
        <w:rPr>
          <w:rFonts w:ascii="Times New Roman" w:eastAsia="Times New Roman" w:hAnsi="Times New Roman" w:cs="Times New Roman"/>
          <w:i/>
          <w:iCs/>
          <w:sz w:val="24"/>
          <w:szCs w:val="24"/>
          <w:lang w:val="en-GB" w:eastAsia="fr-BE"/>
        </w:rPr>
        <w:t>P</w:t>
      </w:r>
      <w:r w:rsidRPr="00AF430F">
        <w:rPr>
          <w:rFonts w:ascii="Times New Roman" w:eastAsia="Times New Roman" w:hAnsi="Times New Roman" w:cs="Times New Roman"/>
          <w:sz w:val="24"/>
          <w:szCs w:val="24"/>
          <w:lang w:val="en-GB" w:eastAsia="fr-BE"/>
        </w:rPr>
        <w:t> = 0.005; **</w:t>
      </w:r>
      <w:r w:rsidRPr="00AF430F">
        <w:rPr>
          <w:rFonts w:ascii="Times New Roman" w:eastAsia="Times New Roman" w:hAnsi="Times New Roman" w:cs="Times New Roman"/>
          <w:i/>
          <w:iCs/>
          <w:sz w:val="24"/>
          <w:szCs w:val="24"/>
          <w:lang w:val="en-GB" w:eastAsia="fr-BE"/>
        </w:rPr>
        <w:t>P</w:t>
      </w:r>
      <w:r w:rsidRPr="00AF430F">
        <w:rPr>
          <w:rFonts w:ascii="Times New Roman" w:eastAsia="Times New Roman" w:hAnsi="Times New Roman" w:cs="Times New Roman"/>
          <w:sz w:val="24"/>
          <w:szCs w:val="24"/>
          <w:lang w:val="en-GB" w:eastAsia="fr-BE"/>
        </w:rPr>
        <w:t> = 0.0003; ***</w:t>
      </w:r>
      <w:r w:rsidRPr="00AF430F">
        <w:rPr>
          <w:rFonts w:ascii="Times New Roman" w:eastAsia="Times New Roman" w:hAnsi="Times New Roman" w:cs="Times New Roman"/>
          <w:i/>
          <w:iCs/>
          <w:sz w:val="24"/>
          <w:szCs w:val="24"/>
          <w:lang w:val="en-GB" w:eastAsia="fr-BE"/>
        </w:rPr>
        <w:t>P</w:t>
      </w:r>
      <w:r w:rsidRPr="00AF430F">
        <w:rPr>
          <w:rFonts w:ascii="Times New Roman" w:eastAsia="Times New Roman" w:hAnsi="Times New Roman" w:cs="Times New Roman"/>
          <w:sz w:val="24"/>
          <w:szCs w:val="24"/>
          <w:lang w:val="en-GB" w:eastAsia="fr-BE"/>
        </w:rPr>
        <w:t> ≤ 0.0001</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In the literature, hypo-responsiveness to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has been defined by a variety of IPA thresholds, ranging from 10% to 40% IPA, with different platelet function assays used to measure these IPA levels </w:t>
      </w:r>
      <w:hyperlink r:id="rId51" w:anchor="bcp12275-bib-0007" w:tooltip="Link to bibliographic citations" w:history="1">
        <w:r w:rsidRPr="00AF430F">
          <w:rPr>
            <w:rFonts w:ascii="Times New Roman" w:eastAsia="Times New Roman" w:hAnsi="Times New Roman" w:cs="Times New Roman"/>
            <w:color w:val="0000FF"/>
            <w:sz w:val="24"/>
            <w:szCs w:val="24"/>
            <w:u w:val="single"/>
            <w:lang w:val="en-GB" w:eastAsia="fr-BE"/>
          </w:rPr>
          <w:t xml:space="preserve">[7, 29, </w:t>
        </w:r>
        <w:proofErr w:type="gramStart"/>
        <w:r w:rsidRPr="00AF430F">
          <w:rPr>
            <w:rFonts w:ascii="Times New Roman" w:eastAsia="Times New Roman" w:hAnsi="Times New Roman" w:cs="Times New Roman"/>
            <w:color w:val="0000FF"/>
            <w:sz w:val="24"/>
            <w:szCs w:val="24"/>
            <w:u w:val="single"/>
            <w:lang w:val="en-GB" w:eastAsia="fr-BE"/>
          </w:rPr>
          <w:t>30</w:t>
        </w:r>
        <w:proofErr w:type="gramEnd"/>
        <w:r w:rsidRPr="00AF430F">
          <w:rPr>
            <w:rFonts w:ascii="Times New Roman" w:eastAsia="Times New Roman" w:hAnsi="Times New Roman" w:cs="Times New Roman"/>
            <w:color w:val="0000FF"/>
            <w:sz w:val="24"/>
            <w:szCs w:val="24"/>
            <w:u w:val="single"/>
            <w:lang w:val="en-GB" w:eastAsia="fr-BE"/>
          </w:rPr>
          <w:t>]</w:t>
        </w:r>
      </w:hyperlink>
      <w:r w:rsidRPr="00AF430F">
        <w:rPr>
          <w:rFonts w:ascii="Times New Roman" w:eastAsia="Times New Roman" w:hAnsi="Times New Roman" w:cs="Times New Roman"/>
          <w:sz w:val="24"/>
          <w:szCs w:val="24"/>
          <w:lang w:val="en-GB" w:eastAsia="fr-BE"/>
        </w:rPr>
        <w:t xml:space="preserve">. In our simulations, 97.8% of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patients and 93.9% of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patients never had an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 below 10%. No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patients had a simulated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below 10% for more than half of the 30 day period, compared with 1.6% of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patients. In addition, 86.9% of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patients and 74.4% of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patients never had an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below 40%. The percentage of patients with an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below 40% for more than 50% of the 30 day period was 0.6%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and 4% for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(Figure </w:t>
      </w:r>
      <w:hyperlink r:id="rId52" w:anchor="bcp12275-fig-0005" w:tooltip="Link to figure" w:history="1">
        <w:r w:rsidRPr="00AF430F">
          <w:rPr>
            <w:rFonts w:ascii="Times New Roman" w:eastAsia="Times New Roman" w:hAnsi="Times New Roman" w:cs="Times New Roman"/>
            <w:color w:val="0000FF"/>
            <w:sz w:val="24"/>
            <w:szCs w:val="24"/>
            <w:u w:val="single"/>
            <w:lang w:val="en-GB" w:eastAsia="fr-BE"/>
          </w:rPr>
          <w:t>5</w:t>
        </w:r>
      </w:hyperlink>
      <w:r w:rsidRPr="00AF430F">
        <w:rPr>
          <w:rFonts w:ascii="Times New Roman" w:eastAsia="Times New Roman" w:hAnsi="Times New Roman" w:cs="Times New Roman"/>
          <w:sz w:val="24"/>
          <w:szCs w:val="24"/>
          <w:lang w:val="en-GB" w:eastAsia="fr-BE"/>
        </w:rPr>
        <w:t>).</w:t>
      </w:r>
    </w:p>
    <w:p w:rsidR="00AF430F" w:rsidRPr="00AF430F" w:rsidRDefault="00AF430F" w:rsidP="00AF430F">
      <w:pPr>
        <w:spacing w:after="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noProof/>
          <w:color w:val="0000FF"/>
          <w:sz w:val="24"/>
          <w:szCs w:val="24"/>
          <w:lang w:eastAsia="fr-BE"/>
        </w:rPr>
        <w:drawing>
          <wp:inline distT="0" distB="0" distL="0" distR="0">
            <wp:extent cx="1144905" cy="755650"/>
            <wp:effectExtent l="0" t="0" r="0" b="6350"/>
            <wp:docPr id="3" name="Image 3" descr="figure">
              <a:hlinkClick xmlns:a="http://schemas.openxmlformats.org/drawingml/2006/main" r:id="rId53" tooltip="&quot;Link to full-size 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p12275-fig-0005_img" descr="figure">
                      <a:hlinkClick r:id="rId53" tooltip="&quot;Link to full-size figure&quot;"/>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44905" cy="755650"/>
                    </a:xfrm>
                    <a:prstGeom prst="rect">
                      <a:avLst/>
                    </a:prstGeom>
                    <a:noFill/>
                    <a:ln>
                      <a:noFill/>
                    </a:ln>
                  </pic:spPr>
                </pic:pic>
              </a:graphicData>
            </a:graphic>
          </wp:inline>
        </w:drawing>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proofErr w:type="gramStart"/>
      <w:r w:rsidRPr="00AF430F">
        <w:rPr>
          <w:rFonts w:ascii="Times New Roman" w:eastAsia="Times New Roman" w:hAnsi="Times New Roman" w:cs="Times New Roman"/>
          <w:sz w:val="24"/>
          <w:szCs w:val="24"/>
          <w:lang w:val="en-GB" w:eastAsia="fr-BE"/>
        </w:rPr>
        <w:t>Figure 5.</w:t>
      </w:r>
      <w:proofErr w:type="gramEnd"/>
      <w:r w:rsidRPr="00AF430F">
        <w:rPr>
          <w:rFonts w:ascii="Times New Roman" w:eastAsia="Times New Roman" w:hAnsi="Times New Roman" w:cs="Times New Roman"/>
          <w:sz w:val="24"/>
          <w:szCs w:val="24"/>
          <w:lang w:val="en-GB" w:eastAsia="fr-BE"/>
        </w:rPr>
        <w:t xml:space="preserve"> Cumulative percentage of patients with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levels below 10% and below 40% for a defined percentage of time. </w:t>
      </w:r>
      <w:r>
        <w:rPr>
          <w:rFonts w:ascii="Times New Roman" w:eastAsia="Times New Roman" w:hAnsi="Times New Roman" w:cs="Times New Roman"/>
          <w:noProof/>
          <w:sz w:val="24"/>
          <w:szCs w:val="24"/>
          <w:lang w:eastAsia="fr-BE"/>
        </w:rPr>
        <w:drawing>
          <wp:inline distT="0" distB="0" distL="0" distR="0">
            <wp:extent cx="174625" cy="8255"/>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4625" cy="8255"/>
                    </a:xfrm>
                    <a:prstGeom prst="rect">
                      <a:avLst/>
                    </a:prstGeom>
                    <a:noFill/>
                    <a:ln>
                      <a:noFill/>
                    </a:ln>
                  </pic:spPr>
                </pic:pic>
              </a:graphicData>
            </a:graphic>
          </wp:inline>
        </w:drawing>
      </w:r>
      <w:r w:rsidRPr="00AF430F">
        <w:rPr>
          <w:rFonts w:ascii="Times New Roman" w:eastAsia="Times New Roman" w:hAnsi="Times New Roman" w:cs="Times New Roman"/>
          <w:sz w:val="24"/>
          <w:szCs w:val="24"/>
          <w:lang w:val="en-GB" w:eastAsia="fr-BE"/>
        </w:rPr>
        <w:t xml:space="preserve">,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w:t>
      </w:r>
      <w:proofErr w:type="gramStart"/>
      <w:r w:rsidRPr="00AF430F">
        <w:rPr>
          <w:rFonts w:ascii="Times New Roman" w:eastAsia="Times New Roman" w:hAnsi="Times New Roman" w:cs="Times New Roman"/>
          <w:sz w:val="24"/>
          <w:szCs w:val="24"/>
          <w:lang w:val="en-GB" w:eastAsia="fr-BE"/>
        </w:rPr>
        <w:t xml:space="preserve">; </w:t>
      </w:r>
      <w:proofErr w:type="gramEnd"/>
      <w:r>
        <w:rPr>
          <w:rFonts w:ascii="Times New Roman" w:eastAsia="Times New Roman" w:hAnsi="Times New Roman" w:cs="Times New Roman"/>
          <w:noProof/>
          <w:sz w:val="24"/>
          <w:szCs w:val="24"/>
          <w:lang w:eastAsia="fr-BE"/>
        </w:rPr>
        <w:drawing>
          <wp:inline distT="0" distB="0" distL="0" distR="0">
            <wp:extent cx="182880" cy="8255"/>
            <wp:effectExtent l="0" t="0" r="0" b="0"/>
            <wp:docPr id="1" name="Imag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82880" cy="8255"/>
                    </a:xfrm>
                    <a:prstGeom prst="rect">
                      <a:avLst/>
                    </a:prstGeom>
                    <a:noFill/>
                    <a:ln>
                      <a:noFill/>
                    </a:ln>
                  </pic:spPr>
                </pic:pic>
              </a:graphicData>
            </a:graphic>
          </wp:inline>
        </w:drawing>
      </w:r>
      <w:r w:rsidRPr="00AF430F">
        <w:rPr>
          <w:rFonts w:ascii="Times New Roman" w:eastAsia="Times New Roman" w:hAnsi="Times New Roman" w:cs="Times New Roman"/>
          <w:sz w:val="24"/>
          <w:szCs w:val="24"/>
          <w:lang w:val="en-GB" w:eastAsia="fr-BE"/>
        </w:rPr>
        <w:t xml:space="preserve">, </w:t>
      </w:r>
      <w:proofErr w:type="spellStart"/>
      <w:r w:rsidRPr="00AF430F">
        <w:rPr>
          <w:rFonts w:ascii="Times New Roman" w:eastAsia="Times New Roman" w:hAnsi="Times New Roman" w:cs="Times New Roman"/>
          <w:sz w:val="24"/>
          <w:szCs w:val="24"/>
          <w:lang w:val="en-GB" w:eastAsia="fr-BE"/>
        </w:rPr>
        <w:t>clopidogrelonce</w:t>
      </w:r>
      <w:proofErr w:type="spellEnd"/>
      <w:r w:rsidRPr="00AF430F">
        <w:rPr>
          <w:rFonts w:ascii="Times New Roman" w:eastAsia="Times New Roman" w:hAnsi="Times New Roman" w:cs="Times New Roman"/>
          <w:sz w:val="24"/>
          <w:szCs w:val="24"/>
          <w:lang w:val="en-GB" w:eastAsia="fr-BE"/>
        </w:rPr>
        <w:t xml:space="preserve"> daily. The cumulative percentages of patients with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levels below 10% and 40% for a defined period </w:t>
      </w:r>
      <w:r w:rsidRPr="00AF430F">
        <w:rPr>
          <w:rFonts w:ascii="Times New Roman" w:eastAsia="Times New Roman" w:hAnsi="Times New Roman" w:cs="Times New Roman"/>
          <w:sz w:val="24"/>
          <w:szCs w:val="24"/>
          <w:lang w:val="en-GB" w:eastAsia="fr-BE"/>
        </w:rPr>
        <w:lastRenderedPageBreak/>
        <w:t xml:space="preserve">of time are shown, for time periods up to 50% of the 30 day period. </w:t>
      </w:r>
      <w:proofErr w:type="spellStart"/>
      <w:proofErr w:type="gramStart"/>
      <w:r w:rsidRPr="00AF430F">
        <w:rPr>
          <w:rFonts w:ascii="Times New Roman" w:eastAsia="Times New Roman" w:hAnsi="Times New Roman" w:cs="Times New Roman"/>
          <w:sz w:val="24"/>
          <w:szCs w:val="24"/>
          <w:lang w:val="en-GB" w:eastAsia="fr-BE"/>
        </w:rPr>
        <w:t>eIPA</w:t>
      </w:r>
      <w:proofErr w:type="spellEnd"/>
      <w:proofErr w:type="gramEnd"/>
      <w:r w:rsidRPr="00AF430F">
        <w:rPr>
          <w:rFonts w:ascii="Times New Roman" w:eastAsia="Times New Roman" w:hAnsi="Times New Roman" w:cs="Times New Roman"/>
          <w:sz w:val="24"/>
          <w:szCs w:val="24"/>
          <w:lang w:val="en-GB" w:eastAsia="fr-BE"/>
        </w:rPr>
        <w:t xml:space="preserve"> = estimated inhibition of platelet aggregation</w:t>
      </w:r>
    </w:p>
    <w:p w:rsidR="00AF430F" w:rsidRPr="00AF430F" w:rsidRDefault="00AF430F" w:rsidP="00AF430F">
      <w:pPr>
        <w:spacing w:before="100" w:beforeAutospacing="1" w:after="100" w:afterAutospacing="1" w:line="240" w:lineRule="auto"/>
        <w:outlineLvl w:val="3"/>
        <w:rPr>
          <w:rFonts w:ascii="Times New Roman" w:eastAsia="Times New Roman" w:hAnsi="Times New Roman" w:cs="Times New Roman"/>
          <w:b/>
          <w:bCs/>
          <w:sz w:val="24"/>
          <w:szCs w:val="24"/>
          <w:lang w:val="en-GB" w:eastAsia="fr-BE"/>
        </w:rPr>
      </w:pPr>
      <w:r w:rsidRPr="00AF430F">
        <w:rPr>
          <w:rFonts w:ascii="Times New Roman" w:eastAsia="Times New Roman" w:hAnsi="Times New Roman" w:cs="Times New Roman"/>
          <w:b/>
          <w:bCs/>
          <w:sz w:val="24"/>
          <w:szCs w:val="24"/>
          <w:lang w:val="en-GB" w:eastAsia="fr-BE"/>
        </w:rPr>
        <w:t>Sensitivity analysis</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We performed two sensitivity analyses. First, we simulated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trace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based on Storey </w:t>
      </w:r>
      <w:r w:rsidRPr="00AF430F">
        <w:rPr>
          <w:rFonts w:ascii="Times New Roman" w:eastAsia="Times New Roman" w:hAnsi="Times New Roman" w:cs="Times New Roman"/>
          <w:i/>
          <w:iCs/>
          <w:sz w:val="24"/>
          <w:szCs w:val="24"/>
          <w:lang w:val="en-GB" w:eastAsia="fr-BE"/>
        </w:rPr>
        <w:t>et al</w:t>
      </w:r>
      <w:r w:rsidRPr="00AF430F">
        <w:rPr>
          <w:rFonts w:ascii="Times New Roman" w:eastAsia="Times New Roman" w:hAnsi="Times New Roman" w:cs="Times New Roman"/>
          <w:sz w:val="24"/>
          <w:szCs w:val="24"/>
          <w:lang w:val="en-GB" w:eastAsia="fr-BE"/>
        </w:rPr>
        <w:t xml:space="preserve">., who studied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90 mg in patients with ACS </w:t>
      </w:r>
      <w:hyperlink r:id="rId57" w:anchor="bcp12275-bib-0028" w:tooltip="Link to bibliographic citation" w:history="1">
        <w:r w:rsidRPr="00AF430F">
          <w:rPr>
            <w:rFonts w:ascii="Times New Roman" w:eastAsia="Times New Roman" w:hAnsi="Times New Roman" w:cs="Times New Roman"/>
            <w:color w:val="0000FF"/>
            <w:sz w:val="24"/>
            <w:szCs w:val="24"/>
            <w:u w:val="single"/>
            <w:lang w:val="en-GB" w:eastAsia="fr-BE"/>
          </w:rPr>
          <w:t>[28]</w:t>
        </w:r>
      </w:hyperlink>
      <w:r w:rsidRPr="00AF430F">
        <w:rPr>
          <w:rFonts w:ascii="Times New Roman" w:eastAsia="Times New Roman" w:hAnsi="Times New Roman" w:cs="Times New Roman"/>
          <w:sz w:val="24"/>
          <w:szCs w:val="24"/>
          <w:lang w:val="en-GB" w:eastAsia="fr-BE"/>
        </w:rPr>
        <w:t xml:space="preserve">. This simulation gave a similar trajectory as the trace based on Husted </w:t>
      </w:r>
      <w:r w:rsidRPr="00AF430F">
        <w:rPr>
          <w:rFonts w:ascii="Times New Roman" w:eastAsia="Times New Roman" w:hAnsi="Times New Roman" w:cs="Times New Roman"/>
          <w:i/>
          <w:iCs/>
          <w:sz w:val="24"/>
          <w:szCs w:val="24"/>
          <w:lang w:val="en-GB" w:eastAsia="fr-BE"/>
        </w:rPr>
        <w:t>et al</w:t>
      </w:r>
      <w:r w:rsidRPr="00AF430F">
        <w:rPr>
          <w:rFonts w:ascii="Times New Roman" w:eastAsia="Times New Roman" w:hAnsi="Times New Roman" w:cs="Times New Roman"/>
          <w:sz w:val="24"/>
          <w:szCs w:val="24"/>
          <w:lang w:val="en-GB" w:eastAsia="fr-BE"/>
        </w:rPr>
        <w:t xml:space="preserve">. who investigated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100 mg in patients with atherosclerotic disease </w:t>
      </w:r>
      <w:hyperlink r:id="rId58" w:anchor="bcp12275-bib-0010" w:tooltip="Link to bibliographic citation" w:history="1">
        <w:r w:rsidRPr="00AF430F">
          <w:rPr>
            <w:rFonts w:ascii="Times New Roman" w:eastAsia="Times New Roman" w:hAnsi="Times New Roman" w:cs="Times New Roman"/>
            <w:color w:val="0000FF"/>
            <w:sz w:val="24"/>
            <w:szCs w:val="24"/>
            <w:u w:val="single"/>
            <w:lang w:val="en-GB" w:eastAsia="fr-BE"/>
          </w:rPr>
          <w:t>[10]</w:t>
        </w:r>
      </w:hyperlink>
      <w:r w:rsidRPr="00AF430F">
        <w:rPr>
          <w:rFonts w:ascii="Times New Roman" w:eastAsia="Times New Roman" w:hAnsi="Times New Roman" w:cs="Times New Roman"/>
          <w:sz w:val="24"/>
          <w:szCs w:val="24"/>
          <w:lang w:val="en-GB" w:eastAsia="fr-BE"/>
        </w:rPr>
        <w:t>, with only a small difference in onset after a drug holiday (i.e. 3 days or more without a dose).</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Secondly,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trace of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was simulated using a twice daily dosing history in which all evening doses were omitted. This allowed us to compare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traces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and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in the same patient. The once daily dosing history data created by eliminating evening doses from the twice daily dosing history had similar dosing error characteristics as the sampled once daily dosing history (data not shown). Average mean and minimum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values for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based on the twice daily dosing history without the evening dose were very similar to the traces based on sampled once daily dosing history data (mean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54.7% </w:t>
      </w:r>
      <w:r w:rsidRPr="00AF430F">
        <w:rPr>
          <w:rFonts w:ascii="Times New Roman" w:eastAsia="Times New Roman" w:hAnsi="Times New Roman" w:cs="Times New Roman"/>
          <w:i/>
          <w:iCs/>
          <w:sz w:val="24"/>
          <w:szCs w:val="24"/>
          <w:lang w:val="en-GB" w:eastAsia="fr-BE"/>
        </w:rPr>
        <w:t>vs</w:t>
      </w:r>
      <w:r w:rsidRPr="00AF430F">
        <w:rPr>
          <w:rFonts w:ascii="Times New Roman" w:eastAsia="Times New Roman" w:hAnsi="Times New Roman" w:cs="Times New Roman"/>
          <w:sz w:val="24"/>
          <w:szCs w:val="24"/>
          <w:lang w:val="en-GB" w:eastAsia="fr-BE"/>
        </w:rPr>
        <w:t xml:space="preserve">. 55.0%, </w:t>
      </w:r>
      <w:r w:rsidRPr="00AF430F">
        <w:rPr>
          <w:rFonts w:ascii="Times New Roman" w:eastAsia="Times New Roman" w:hAnsi="Times New Roman" w:cs="Times New Roman"/>
          <w:i/>
          <w:iCs/>
          <w:sz w:val="24"/>
          <w:szCs w:val="24"/>
          <w:lang w:val="en-GB" w:eastAsia="fr-BE"/>
        </w:rPr>
        <w:t>P</w:t>
      </w:r>
      <w:r w:rsidRPr="00AF430F">
        <w:rPr>
          <w:rFonts w:ascii="Times New Roman" w:eastAsia="Times New Roman" w:hAnsi="Times New Roman" w:cs="Times New Roman"/>
          <w:sz w:val="24"/>
          <w:szCs w:val="24"/>
          <w:lang w:val="en-GB" w:eastAsia="fr-BE"/>
        </w:rPr>
        <w:t xml:space="preserve"> = 0.06; minimum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37.3% </w:t>
      </w:r>
      <w:r w:rsidRPr="00AF430F">
        <w:rPr>
          <w:rFonts w:ascii="Times New Roman" w:eastAsia="Times New Roman" w:hAnsi="Times New Roman" w:cs="Times New Roman"/>
          <w:i/>
          <w:iCs/>
          <w:sz w:val="24"/>
          <w:szCs w:val="24"/>
          <w:lang w:val="en-GB" w:eastAsia="fr-BE"/>
        </w:rPr>
        <w:t>vs</w:t>
      </w:r>
      <w:r w:rsidRPr="00AF430F">
        <w:rPr>
          <w:rFonts w:ascii="Times New Roman" w:eastAsia="Times New Roman" w:hAnsi="Times New Roman" w:cs="Times New Roman"/>
          <w:sz w:val="24"/>
          <w:szCs w:val="24"/>
          <w:lang w:val="en-GB" w:eastAsia="fr-BE"/>
        </w:rPr>
        <w:t xml:space="preserve">. 36.7%, </w:t>
      </w:r>
      <w:r w:rsidRPr="00AF430F">
        <w:rPr>
          <w:rFonts w:ascii="Times New Roman" w:eastAsia="Times New Roman" w:hAnsi="Times New Roman" w:cs="Times New Roman"/>
          <w:i/>
          <w:iCs/>
          <w:sz w:val="24"/>
          <w:szCs w:val="24"/>
          <w:lang w:val="en-GB" w:eastAsia="fr-BE"/>
        </w:rPr>
        <w:t>P</w:t>
      </w:r>
      <w:r w:rsidRPr="00AF430F">
        <w:rPr>
          <w:rFonts w:ascii="Times New Roman" w:eastAsia="Times New Roman" w:hAnsi="Times New Roman" w:cs="Times New Roman"/>
          <w:sz w:val="24"/>
          <w:szCs w:val="24"/>
          <w:lang w:val="en-GB" w:eastAsia="fr-BE"/>
        </w:rPr>
        <w:t xml:space="preserve"> = 0.04), and thus remained considerably lower than the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traces (</w:t>
      </w:r>
      <w:r w:rsidRPr="00AF430F">
        <w:rPr>
          <w:rFonts w:ascii="Times New Roman" w:eastAsia="Times New Roman" w:hAnsi="Times New Roman" w:cs="Times New Roman"/>
          <w:i/>
          <w:iCs/>
          <w:sz w:val="24"/>
          <w:szCs w:val="24"/>
          <w:lang w:val="en-GB" w:eastAsia="fr-BE"/>
        </w:rPr>
        <w:t>P</w:t>
      </w:r>
      <w:r w:rsidRPr="00AF430F">
        <w:rPr>
          <w:rFonts w:ascii="Times New Roman" w:eastAsia="Times New Roman" w:hAnsi="Times New Roman" w:cs="Times New Roman"/>
          <w:sz w:val="24"/>
          <w:szCs w:val="24"/>
          <w:lang w:val="en-GB" w:eastAsia="fr-BE"/>
        </w:rPr>
        <w:t xml:space="preserve"> &lt; 0.0001 for mean and minimum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values) (data not shown).</w:t>
      </w:r>
    </w:p>
    <w:p w:rsidR="00AF430F" w:rsidRPr="00AF430F" w:rsidRDefault="00AF430F" w:rsidP="00AF430F">
      <w:pPr>
        <w:spacing w:before="100" w:beforeAutospacing="1" w:after="100" w:afterAutospacing="1" w:line="240" w:lineRule="auto"/>
        <w:outlineLvl w:val="2"/>
        <w:rPr>
          <w:rFonts w:ascii="Times New Roman" w:eastAsia="Times New Roman" w:hAnsi="Times New Roman" w:cs="Times New Roman"/>
          <w:b/>
          <w:bCs/>
          <w:sz w:val="27"/>
          <w:szCs w:val="27"/>
          <w:lang w:val="en-GB" w:eastAsia="fr-BE"/>
        </w:rPr>
      </w:pPr>
      <w:r w:rsidRPr="00AF430F">
        <w:rPr>
          <w:rFonts w:ascii="Times New Roman" w:eastAsia="Times New Roman" w:hAnsi="Times New Roman" w:cs="Times New Roman"/>
          <w:b/>
          <w:bCs/>
          <w:sz w:val="27"/>
          <w:szCs w:val="27"/>
          <w:lang w:val="en-GB" w:eastAsia="fr-BE"/>
        </w:rPr>
        <w:t>Discussion</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It has been previously shown that patients appear to be more </w:t>
      </w:r>
      <w:proofErr w:type="gramStart"/>
      <w:r w:rsidRPr="00AF430F">
        <w:rPr>
          <w:rFonts w:ascii="Times New Roman" w:eastAsia="Times New Roman" w:hAnsi="Times New Roman" w:cs="Times New Roman"/>
          <w:sz w:val="24"/>
          <w:szCs w:val="24"/>
          <w:lang w:val="en-GB" w:eastAsia="fr-BE"/>
        </w:rPr>
        <w:t>adherent</w:t>
      </w:r>
      <w:proofErr w:type="gramEnd"/>
      <w:r w:rsidRPr="00AF430F">
        <w:rPr>
          <w:rFonts w:ascii="Times New Roman" w:eastAsia="Times New Roman" w:hAnsi="Times New Roman" w:cs="Times New Roman"/>
          <w:sz w:val="24"/>
          <w:szCs w:val="24"/>
          <w:lang w:val="en-GB" w:eastAsia="fr-BE"/>
        </w:rPr>
        <w:t xml:space="preserve"> to medication with once daily dosing than with twice daily dosing </w:t>
      </w:r>
      <w:hyperlink r:id="rId59" w:anchor="bcp12275-bib-0014" w:tooltip="Link to bibliographic citations" w:history="1">
        <w:r w:rsidRPr="00AF430F">
          <w:rPr>
            <w:rFonts w:ascii="Times New Roman" w:eastAsia="Times New Roman" w:hAnsi="Times New Roman" w:cs="Times New Roman"/>
            <w:color w:val="0000FF"/>
            <w:sz w:val="24"/>
            <w:szCs w:val="24"/>
            <w:u w:val="single"/>
            <w:lang w:val="en-GB" w:eastAsia="fr-BE"/>
          </w:rPr>
          <w:t>[14-16]</w:t>
        </w:r>
      </w:hyperlink>
      <w:r w:rsidRPr="00AF430F">
        <w:rPr>
          <w:rFonts w:ascii="Times New Roman" w:eastAsia="Times New Roman" w:hAnsi="Times New Roman" w:cs="Times New Roman"/>
          <w:sz w:val="24"/>
          <w:szCs w:val="24"/>
          <w:lang w:val="en-GB" w:eastAsia="fr-BE"/>
        </w:rPr>
        <w:t xml:space="preserve">. Consistent with this, the compiled dosing histories of patients prescribed various cardiovascular drugs, extracted from the MWV Adherence Database, showed that a higher percentage of patients treated twice daily than patients treated once daily missed at least one dose during the 30 day period. Such observations have frequently led to the conclusion that once daily dosing is superior to twice daily dosing. However, rather than considering the percentages of prescribed doses taken, these evaluations should be based on </w:t>
      </w:r>
      <w:proofErr w:type="spellStart"/>
      <w:r w:rsidRPr="00AF430F">
        <w:rPr>
          <w:rFonts w:ascii="Times New Roman" w:eastAsia="Times New Roman" w:hAnsi="Times New Roman" w:cs="Times New Roman"/>
          <w:sz w:val="24"/>
          <w:szCs w:val="24"/>
          <w:lang w:val="en-GB" w:eastAsia="fr-BE"/>
        </w:rPr>
        <w:t>pharmacometrically</w:t>
      </w:r>
      <w:proofErr w:type="spellEnd"/>
      <w:r w:rsidRPr="00AF430F">
        <w:rPr>
          <w:rFonts w:ascii="Times New Roman" w:eastAsia="Times New Roman" w:hAnsi="Times New Roman" w:cs="Times New Roman"/>
          <w:sz w:val="24"/>
          <w:szCs w:val="24"/>
          <w:lang w:val="en-GB" w:eastAsia="fr-BE"/>
        </w:rPr>
        <w:t xml:space="preserve"> equivalent dosing errors, taking into account the effect of the omitted doses on the pharmacodynamics of the drug. Our simulations of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levels showed that the </w:t>
      </w:r>
      <w:proofErr w:type="spellStart"/>
      <w:r w:rsidRPr="00AF430F">
        <w:rPr>
          <w:rFonts w:ascii="Times New Roman" w:eastAsia="Times New Roman" w:hAnsi="Times New Roman" w:cs="Times New Roman"/>
          <w:sz w:val="24"/>
          <w:szCs w:val="24"/>
          <w:lang w:val="en-GB" w:eastAsia="fr-BE"/>
        </w:rPr>
        <w:t>pharmacometrically</w:t>
      </w:r>
      <w:proofErr w:type="spellEnd"/>
      <w:r w:rsidRPr="00AF430F">
        <w:rPr>
          <w:rFonts w:ascii="Times New Roman" w:eastAsia="Times New Roman" w:hAnsi="Times New Roman" w:cs="Times New Roman"/>
          <w:sz w:val="24"/>
          <w:szCs w:val="24"/>
          <w:lang w:val="en-GB" w:eastAsia="fr-BE"/>
        </w:rPr>
        <w:t xml:space="preserve"> equivalent dosing error of a single missed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dose is two sequentially omitted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doses. The higher drug forgiveness of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compared with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results from a combination of three elements (efficacy, onset and offset). While the offset in IPA is slightly faster with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it has a steady-state IPA of 81% which is much higher than the 55% steady-state level of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Moreover, the much faster onset of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once dosing resumes, allows the IPA to normalize faster after a missed dose. This faster restoration of </w:t>
      </w:r>
      <w:proofErr w:type="spellStart"/>
      <w:r w:rsidRPr="00AF430F">
        <w:rPr>
          <w:rFonts w:ascii="Times New Roman" w:eastAsia="Times New Roman" w:hAnsi="Times New Roman" w:cs="Times New Roman"/>
          <w:sz w:val="24"/>
          <w:szCs w:val="24"/>
          <w:lang w:val="en-GB" w:eastAsia="fr-BE"/>
        </w:rPr>
        <w:t>ticagrelor's</w:t>
      </w:r>
      <w:proofErr w:type="spellEnd"/>
      <w:r w:rsidRPr="00AF430F">
        <w:rPr>
          <w:rFonts w:ascii="Times New Roman" w:eastAsia="Times New Roman" w:hAnsi="Times New Roman" w:cs="Times New Roman"/>
          <w:sz w:val="24"/>
          <w:szCs w:val="24"/>
          <w:lang w:val="en-GB" w:eastAsia="fr-BE"/>
        </w:rPr>
        <w:t xml:space="preserve"> action contributes to the greater forgiveness of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than of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Additionally, the likelihood of omitting two consecutive twice daily doses was almost half that of missing one once daily dose in the analysed dosing histories. These findings suggest that a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regimen could be superior to a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regimen in maintaining antiplatelet activity within a therapeutically desirable range. Indeed, we found that the level of platelet inhibition calculated for patient dosing histories remained higher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compared with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even though patients more frequently missed a twice daily dose. This can be explained by the higher IPA level achieved with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and the relatively low likelihood of missing two consecutive twice daily doses. </w:t>
      </w:r>
      <w:r w:rsidRPr="00AF430F">
        <w:rPr>
          <w:rFonts w:ascii="Times New Roman" w:eastAsia="Times New Roman" w:hAnsi="Times New Roman" w:cs="Times New Roman"/>
          <w:sz w:val="24"/>
          <w:szCs w:val="24"/>
          <w:lang w:val="en-GB" w:eastAsia="fr-BE"/>
        </w:rPr>
        <w:lastRenderedPageBreak/>
        <w:t xml:space="preserve">Also the percentage of time where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is below a certain cut-off was lower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compared with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The superiority of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to maintain antiplatelet activity within a therapeutically desirable range seems to be in accordance with results from the PLATO trial, which showed a significantly decreased rate of death from vascular causes, myocardial infarction or stroke in patients treated with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compared with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w:t>
      </w:r>
      <w:hyperlink r:id="rId60" w:anchor="bcp12275-bib-0009" w:tooltip="Link to bibliographic citation" w:history="1">
        <w:r w:rsidRPr="00AF430F">
          <w:rPr>
            <w:rFonts w:ascii="Times New Roman" w:eastAsia="Times New Roman" w:hAnsi="Times New Roman" w:cs="Times New Roman"/>
            <w:color w:val="0000FF"/>
            <w:sz w:val="24"/>
            <w:szCs w:val="24"/>
            <w:u w:val="single"/>
            <w:lang w:val="en-GB" w:eastAsia="fr-BE"/>
          </w:rPr>
          <w:t>[9]</w:t>
        </w:r>
      </w:hyperlink>
      <w:r w:rsidRPr="00AF430F">
        <w:rPr>
          <w:rFonts w:ascii="Times New Roman" w:eastAsia="Times New Roman" w:hAnsi="Times New Roman" w:cs="Times New Roman"/>
          <w:sz w:val="24"/>
          <w:szCs w:val="24"/>
          <w:lang w:val="en-GB" w:eastAsia="fr-BE"/>
        </w:rPr>
        <w:t>. Adherence reported for the PLATO study was relatively high (82.8%). However, this was assessed using pill counts and could thus be biased upward, in addition to mixing two elements of non-adherence (poor implementation and early discontinuation). It is thus difficult to assess if and to what extent the difference in drug forgiveness, combined with the low likelihood of missing two consecutive twice daily doses, contributed to the observed difference in clinical outcome, on top of the more intense P2Y</w:t>
      </w:r>
      <w:r w:rsidRPr="00AF430F">
        <w:rPr>
          <w:rFonts w:ascii="Times New Roman" w:eastAsia="Times New Roman" w:hAnsi="Times New Roman" w:cs="Times New Roman"/>
          <w:sz w:val="24"/>
          <w:szCs w:val="24"/>
          <w:vertAlign w:val="subscript"/>
          <w:lang w:val="en-GB" w:eastAsia="fr-BE"/>
        </w:rPr>
        <w:t>12</w:t>
      </w:r>
      <w:r w:rsidRPr="00AF430F">
        <w:rPr>
          <w:rFonts w:ascii="Times New Roman" w:eastAsia="Times New Roman" w:hAnsi="Times New Roman" w:cs="Times New Roman"/>
          <w:sz w:val="24"/>
          <w:szCs w:val="24"/>
          <w:lang w:val="en-GB" w:eastAsia="fr-BE"/>
        </w:rPr>
        <w:t xml:space="preserve"> inhibition that is reached with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Simulation of both the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and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trace in the same patient suggested that the observed differences were not caused by differences between the two patient groups. Additionally, these simulations indicate that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is likely to give a more consistently high IPA level than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in patients who are not fully compliant. They also provide insight into the effect on IPA levels when a patient is switched from one drug regimen to another.</w:t>
      </w:r>
    </w:p>
    <w:p w:rsidR="00AF430F" w:rsidRPr="00AF430F" w:rsidRDefault="00AF430F" w:rsidP="00AF430F">
      <w:pPr>
        <w:spacing w:before="100" w:beforeAutospacing="1" w:after="100" w:afterAutospacing="1" w:line="240" w:lineRule="auto"/>
        <w:outlineLvl w:val="3"/>
        <w:rPr>
          <w:rFonts w:ascii="Times New Roman" w:eastAsia="Times New Roman" w:hAnsi="Times New Roman" w:cs="Times New Roman"/>
          <w:b/>
          <w:bCs/>
          <w:sz w:val="24"/>
          <w:szCs w:val="24"/>
          <w:lang w:val="en-GB" w:eastAsia="fr-BE"/>
        </w:rPr>
      </w:pPr>
      <w:r w:rsidRPr="00AF430F">
        <w:rPr>
          <w:rFonts w:ascii="Times New Roman" w:eastAsia="Times New Roman" w:hAnsi="Times New Roman" w:cs="Times New Roman"/>
          <w:b/>
          <w:bCs/>
          <w:sz w:val="24"/>
          <w:szCs w:val="24"/>
          <w:lang w:val="en-GB" w:eastAsia="fr-BE"/>
        </w:rPr>
        <w:t>Strengths and weaknesses</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Although this study was based on real-life patient adherence data,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levels were simulated and only the first 30 days of dosing history were used for simulation. Nevertheless, this is an appropriate time period to study patient implementation of the two dosing regimens unconfused by treatment discontinuation, which was the scope of this study. We should also take into account that the dosing histories were obtained from patients participating in clinical trials, which may have led to better adherence. In addition, the direct translation of IPA data into clinical outcomes should be interpreted with some caution. Some studies have suggested that a correlation with clinical outcomes exists </w:t>
      </w:r>
      <w:hyperlink r:id="rId61" w:anchor="bcp12275-bib-0031" w:tooltip="Link to bibliographic citations" w:history="1">
        <w:r w:rsidRPr="00AF430F">
          <w:rPr>
            <w:rFonts w:ascii="Times New Roman" w:eastAsia="Times New Roman" w:hAnsi="Times New Roman" w:cs="Times New Roman"/>
            <w:color w:val="0000FF"/>
            <w:sz w:val="24"/>
            <w:szCs w:val="24"/>
            <w:u w:val="single"/>
            <w:lang w:val="en-GB" w:eastAsia="fr-BE"/>
          </w:rPr>
          <w:t>[31, 32]</w:t>
        </w:r>
      </w:hyperlink>
      <w:r w:rsidRPr="00AF430F">
        <w:rPr>
          <w:rFonts w:ascii="Times New Roman" w:eastAsia="Times New Roman" w:hAnsi="Times New Roman" w:cs="Times New Roman"/>
          <w:sz w:val="24"/>
          <w:szCs w:val="24"/>
          <w:lang w:val="en-GB" w:eastAsia="fr-BE"/>
        </w:rPr>
        <w:t xml:space="preserve">. However, a recent study found no predictive value in aggregation-based assays concerning recurrent ischaemic events in stable cardiovascular patients </w:t>
      </w:r>
      <w:hyperlink r:id="rId62" w:anchor="bcp12275-bib-0033" w:tooltip="Link to bibliographic citation" w:history="1">
        <w:r w:rsidRPr="00AF430F">
          <w:rPr>
            <w:rFonts w:ascii="Times New Roman" w:eastAsia="Times New Roman" w:hAnsi="Times New Roman" w:cs="Times New Roman"/>
            <w:color w:val="0000FF"/>
            <w:sz w:val="24"/>
            <w:szCs w:val="24"/>
            <w:u w:val="single"/>
            <w:lang w:val="en-GB" w:eastAsia="fr-BE"/>
          </w:rPr>
          <w:t>[33]</w:t>
        </w:r>
      </w:hyperlink>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ACS is currently the only indication for use of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However, due to the limited number of ACS patients in the MWV database, we also included data from patients with other cardiovascular diseases. Adherence is composed of three elements, initiation, implementation (execution) and discontinuation. While it has been shown that initiation and discontinuation are very different across diseases </w:t>
      </w:r>
      <w:hyperlink r:id="rId63" w:anchor="bcp12275-bib-0022" w:tooltip="Link to bibliographic citation" w:history="1">
        <w:r w:rsidRPr="00AF430F">
          <w:rPr>
            <w:rFonts w:ascii="Times New Roman" w:eastAsia="Times New Roman" w:hAnsi="Times New Roman" w:cs="Times New Roman"/>
            <w:color w:val="0000FF"/>
            <w:sz w:val="24"/>
            <w:szCs w:val="24"/>
            <w:u w:val="single"/>
            <w:lang w:val="en-GB" w:eastAsia="fr-BE"/>
          </w:rPr>
          <w:t>[22]</w:t>
        </w:r>
      </w:hyperlink>
      <w:r w:rsidRPr="00AF430F">
        <w:rPr>
          <w:rFonts w:ascii="Times New Roman" w:eastAsia="Times New Roman" w:hAnsi="Times New Roman" w:cs="Times New Roman"/>
          <w:sz w:val="24"/>
          <w:szCs w:val="24"/>
          <w:lang w:val="en-GB" w:eastAsia="fr-BE"/>
        </w:rPr>
        <w:t xml:space="preserve">, the implementation is strikingly consistent across diseases for matching dosing regimens </w:t>
      </w:r>
      <w:hyperlink r:id="rId64" w:anchor="bcp12275-bib-0034" w:tooltip="Link to bibliographic citations" w:history="1">
        <w:r w:rsidRPr="00AF430F">
          <w:rPr>
            <w:rFonts w:ascii="Times New Roman" w:eastAsia="Times New Roman" w:hAnsi="Times New Roman" w:cs="Times New Roman"/>
            <w:color w:val="0000FF"/>
            <w:sz w:val="24"/>
            <w:szCs w:val="24"/>
            <w:u w:val="single"/>
            <w:lang w:val="en-GB" w:eastAsia="fr-BE"/>
          </w:rPr>
          <w:t>[34-36]</w:t>
        </w:r>
      </w:hyperlink>
      <w:r w:rsidRPr="00AF430F">
        <w:rPr>
          <w:rFonts w:ascii="Times New Roman" w:eastAsia="Times New Roman" w:hAnsi="Times New Roman" w:cs="Times New Roman"/>
          <w:sz w:val="24"/>
          <w:szCs w:val="24"/>
          <w:lang w:val="en-GB" w:eastAsia="fr-BE"/>
        </w:rPr>
        <w:t>. Therefore, we are confident that the dosing history data used are meaningful for the ACS patient population, as we limited our analysis to the implementation phase.</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Also the IPA trace slopes were based on </w:t>
      </w:r>
      <w:proofErr w:type="spellStart"/>
      <w:r w:rsidRPr="00AF430F">
        <w:rPr>
          <w:rFonts w:ascii="Times New Roman" w:eastAsia="Times New Roman" w:hAnsi="Times New Roman" w:cs="Times New Roman"/>
          <w:sz w:val="24"/>
          <w:szCs w:val="24"/>
          <w:lang w:val="en-GB" w:eastAsia="fr-BE"/>
        </w:rPr>
        <w:t>pharmacodynamic</w:t>
      </w:r>
      <w:proofErr w:type="spellEnd"/>
      <w:r w:rsidRPr="00AF430F">
        <w:rPr>
          <w:rFonts w:ascii="Times New Roman" w:eastAsia="Times New Roman" w:hAnsi="Times New Roman" w:cs="Times New Roman"/>
          <w:sz w:val="24"/>
          <w:szCs w:val="24"/>
          <w:lang w:val="en-GB" w:eastAsia="fr-BE"/>
        </w:rPr>
        <w:t xml:space="preserve"> studies in patients with other cardiovascular diseases such as stable coronary artery disease </w:t>
      </w:r>
      <w:hyperlink r:id="rId65" w:anchor="bcp12275-bib-0012" w:tooltip="Link to bibliographic citation" w:history="1">
        <w:r w:rsidRPr="00AF430F">
          <w:rPr>
            <w:rFonts w:ascii="Times New Roman" w:eastAsia="Times New Roman" w:hAnsi="Times New Roman" w:cs="Times New Roman"/>
            <w:color w:val="0000FF"/>
            <w:sz w:val="24"/>
            <w:szCs w:val="24"/>
            <w:u w:val="single"/>
            <w:lang w:val="en-GB" w:eastAsia="fr-BE"/>
          </w:rPr>
          <w:t>[12]</w:t>
        </w:r>
      </w:hyperlink>
      <w:r w:rsidRPr="00AF430F">
        <w:rPr>
          <w:rFonts w:ascii="Times New Roman" w:eastAsia="Times New Roman" w:hAnsi="Times New Roman" w:cs="Times New Roman"/>
          <w:sz w:val="24"/>
          <w:szCs w:val="24"/>
          <w:lang w:val="en-GB" w:eastAsia="fr-BE"/>
        </w:rPr>
        <w:t xml:space="preserve"> and atherosclerotic disease </w:t>
      </w:r>
      <w:hyperlink r:id="rId66" w:anchor="bcp12275-bib-0010" w:tooltip="Link to bibliographic citation" w:history="1">
        <w:r w:rsidRPr="00AF430F">
          <w:rPr>
            <w:rFonts w:ascii="Times New Roman" w:eastAsia="Times New Roman" w:hAnsi="Times New Roman" w:cs="Times New Roman"/>
            <w:color w:val="0000FF"/>
            <w:sz w:val="24"/>
            <w:szCs w:val="24"/>
            <w:u w:val="single"/>
            <w:lang w:val="en-GB" w:eastAsia="fr-BE"/>
          </w:rPr>
          <w:t>[10]</w:t>
        </w:r>
      </w:hyperlink>
      <w:r w:rsidRPr="00AF430F">
        <w:rPr>
          <w:rFonts w:ascii="Times New Roman" w:eastAsia="Times New Roman" w:hAnsi="Times New Roman" w:cs="Times New Roman"/>
          <w:sz w:val="24"/>
          <w:szCs w:val="24"/>
          <w:lang w:val="en-GB" w:eastAsia="fr-BE"/>
        </w:rPr>
        <w:t xml:space="preserve">, in addition to ACS patients </w:t>
      </w:r>
      <w:hyperlink r:id="rId67" w:anchor="bcp12275-bib-0028" w:tooltip="Link to bibliographic citation" w:history="1">
        <w:r w:rsidRPr="00AF430F">
          <w:rPr>
            <w:rFonts w:ascii="Times New Roman" w:eastAsia="Times New Roman" w:hAnsi="Times New Roman" w:cs="Times New Roman"/>
            <w:color w:val="0000FF"/>
            <w:sz w:val="24"/>
            <w:szCs w:val="24"/>
            <w:u w:val="single"/>
            <w:lang w:val="en-GB" w:eastAsia="fr-BE"/>
          </w:rPr>
          <w:t>[28]</w:t>
        </w:r>
      </w:hyperlink>
      <w:r w:rsidRPr="00AF430F">
        <w:rPr>
          <w:rFonts w:ascii="Times New Roman" w:eastAsia="Times New Roman" w:hAnsi="Times New Roman" w:cs="Times New Roman"/>
          <w:sz w:val="24"/>
          <w:szCs w:val="24"/>
          <w:lang w:val="en-GB" w:eastAsia="fr-BE"/>
        </w:rPr>
        <w:t xml:space="preserve">. Nevertheless, PK/PD findings in ACS seem comparable with those obtained in stable CAD and atherosclerotic patients </w:t>
      </w:r>
      <w:hyperlink r:id="rId68" w:anchor="bcp12275-bib-0037" w:tooltip="Link to bibliographic citation" w:history="1">
        <w:r w:rsidRPr="00AF430F">
          <w:rPr>
            <w:rFonts w:ascii="Times New Roman" w:eastAsia="Times New Roman" w:hAnsi="Times New Roman" w:cs="Times New Roman"/>
            <w:color w:val="0000FF"/>
            <w:sz w:val="24"/>
            <w:szCs w:val="24"/>
            <w:u w:val="single"/>
            <w:lang w:val="en-GB" w:eastAsia="fr-BE"/>
          </w:rPr>
          <w:t>[37]</w:t>
        </w:r>
      </w:hyperlink>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lastRenderedPageBreak/>
        <w:t xml:space="preserve">In addition to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and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the </w:t>
      </w:r>
      <w:proofErr w:type="spellStart"/>
      <w:r w:rsidRPr="00AF430F">
        <w:rPr>
          <w:rFonts w:ascii="Times New Roman" w:eastAsia="Times New Roman" w:hAnsi="Times New Roman" w:cs="Times New Roman"/>
          <w:sz w:val="24"/>
          <w:szCs w:val="24"/>
          <w:lang w:val="en-GB" w:eastAsia="fr-BE"/>
        </w:rPr>
        <w:t>thienopyridine</w:t>
      </w:r>
      <w:proofErr w:type="spellEnd"/>
      <w:r w:rsidRPr="00AF430F">
        <w:rPr>
          <w:rFonts w:ascii="Times New Roman" w:eastAsia="Times New Roman" w:hAnsi="Times New Roman" w:cs="Times New Roman"/>
          <w:sz w:val="24"/>
          <w:szCs w:val="24"/>
          <w:lang w:val="en-GB" w:eastAsia="fr-BE"/>
        </w:rPr>
        <w:t xml:space="preserve"> prodrug </w:t>
      </w:r>
      <w:proofErr w:type="spellStart"/>
      <w:r w:rsidRPr="00AF430F">
        <w:rPr>
          <w:rFonts w:ascii="Times New Roman" w:eastAsia="Times New Roman" w:hAnsi="Times New Roman" w:cs="Times New Roman"/>
          <w:sz w:val="24"/>
          <w:szCs w:val="24"/>
          <w:lang w:val="en-GB" w:eastAsia="fr-BE"/>
        </w:rPr>
        <w:t>prasugrel</w:t>
      </w:r>
      <w:proofErr w:type="spellEnd"/>
      <w:r w:rsidRPr="00AF430F">
        <w:rPr>
          <w:rFonts w:ascii="Times New Roman" w:eastAsia="Times New Roman" w:hAnsi="Times New Roman" w:cs="Times New Roman"/>
          <w:sz w:val="24"/>
          <w:szCs w:val="24"/>
          <w:lang w:val="en-GB" w:eastAsia="fr-BE"/>
        </w:rPr>
        <w:t xml:space="preserve"> is also used in the treatment of ACS, more specifically in those patients undergoing percutaneous coronary intervention. However, since head-to-head data to perform the </w:t>
      </w:r>
      <w:proofErr w:type="spellStart"/>
      <w:r w:rsidRPr="00AF430F">
        <w:rPr>
          <w:rFonts w:ascii="Times New Roman" w:eastAsia="Times New Roman" w:hAnsi="Times New Roman" w:cs="Times New Roman"/>
          <w:sz w:val="24"/>
          <w:szCs w:val="24"/>
          <w:lang w:val="en-GB" w:eastAsia="fr-BE"/>
        </w:rPr>
        <w:t>eIPA</w:t>
      </w:r>
      <w:proofErr w:type="spellEnd"/>
      <w:r w:rsidRPr="00AF430F">
        <w:rPr>
          <w:rFonts w:ascii="Times New Roman" w:eastAsia="Times New Roman" w:hAnsi="Times New Roman" w:cs="Times New Roman"/>
          <w:sz w:val="24"/>
          <w:szCs w:val="24"/>
          <w:lang w:val="en-GB" w:eastAsia="fr-BE"/>
        </w:rPr>
        <w:t xml:space="preserve"> trace simulation were not available, we were unable to include this drug in the analysis.</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Our study focused on implementation without taking into account initiation and discontinuation, which are also important parts of drug adherence. In the PLATO trial, premature discontinuation of the study drug was slightly more common in the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group than in the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group (23.4% of patients </w:t>
      </w:r>
      <w:r w:rsidRPr="00AF430F">
        <w:rPr>
          <w:rFonts w:ascii="Times New Roman" w:eastAsia="Times New Roman" w:hAnsi="Times New Roman" w:cs="Times New Roman"/>
          <w:i/>
          <w:iCs/>
          <w:sz w:val="24"/>
          <w:szCs w:val="24"/>
          <w:lang w:val="en-GB" w:eastAsia="fr-BE"/>
        </w:rPr>
        <w:t>vs</w:t>
      </w:r>
      <w:r w:rsidRPr="00AF430F">
        <w:rPr>
          <w:rFonts w:ascii="Times New Roman" w:eastAsia="Times New Roman" w:hAnsi="Times New Roman" w:cs="Times New Roman"/>
          <w:sz w:val="24"/>
          <w:szCs w:val="24"/>
          <w:lang w:val="en-GB" w:eastAsia="fr-BE"/>
        </w:rPr>
        <w:t xml:space="preserve">. 21.5%) </w:t>
      </w:r>
      <w:hyperlink r:id="rId69" w:anchor="bcp12275-bib-0009" w:tooltip="Link to bibliographic citation" w:history="1">
        <w:r w:rsidRPr="00AF430F">
          <w:rPr>
            <w:rFonts w:ascii="Times New Roman" w:eastAsia="Times New Roman" w:hAnsi="Times New Roman" w:cs="Times New Roman"/>
            <w:color w:val="0000FF"/>
            <w:sz w:val="24"/>
            <w:szCs w:val="24"/>
            <w:u w:val="single"/>
            <w:lang w:val="en-GB" w:eastAsia="fr-BE"/>
          </w:rPr>
          <w:t>[9]</w:t>
        </w:r>
      </w:hyperlink>
      <w:r w:rsidRPr="00AF430F">
        <w:rPr>
          <w:rFonts w:ascii="Times New Roman" w:eastAsia="Times New Roman" w:hAnsi="Times New Roman" w:cs="Times New Roman"/>
          <w:sz w:val="24"/>
          <w:szCs w:val="24"/>
          <w:lang w:val="en-GB"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Finally, there are other differences between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and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such as potential side effects, that should also be taken into account when determining the most effective therapy for a certain patient.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 xml:space="preserve">In </w:t>
      </w:r>
      <w:proofErr w:type="spellStart"/>
      <w:r w:rsidRPr="00AF430F">
        <w:rPr>
          <w:rFonts w:ascii="Times New Roman" w:eastAsia="Times New Roman" w:hAnsi="Times New Roman" w:cs="Times New Roman"/>
          <w:sz w:val="24"/>
          <w:szCs w:val="24"/>
          <w:lang w:val="en-GB" w:eastAsia="fr-BE"/>
        </w:rPr>
        <w:t>coclusion</w:t>
      </w:r>
      <w:proofErr w:type="spellEnd"/>
      <w:r w:rsidRPr="00AF430F">
        <w:rPr>
          <w:rFonts w:ascii="Times New Roman" w:eastAsia="Times New Roman" w:hAnsi="Times New Roman" w:cs="Times New Roman"/>
          <w:sz w:val="24"/>
          <w:szCs w:val="24"/>
          <w:lang w:val="en-GB" w:eastAsia="fr-BE"/>
        </w:rPr>
        <w:t xml:space="preserve">, although patients treated twice daily more frequently miss single doses than patients treated once daily, the simulated levels of platelet inhibition remain consistently higher for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as compared with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The findings of this hypothesis-generating study suggest that </w:t>
      </w:r>
      <w:proofErr w:type="spellStart"/>
      <w:r w:rsidRPr="00AF430F">
        <w:rPr>
          <w:rFonts w:ascii="Times New Roman" w:eastAsia="Times New Roman" w:hAnsi="Times New Roman" w:cs="Times New Roman"/>
          <w:sz w:val="24"/>
          <w:szCs w:val="24"/>
          <w:lang w:val="en-GB" w:eastAsia="fr-BE"/>
        </w:rPr>
        <w:t>ticagrelor</w:t>
      </w:r>
      <w:proofErr w:type="spellEnd"/>
      <w:r w:rsidRPr="00AF430F">
        <w:rPr>
          <w:rFonts w:ascii="Times New Roman" w:eastAsia="Times New Roman" w:hAnsi="Times New Roman" w:cs="Times New Roman"/>
          <w:sz w:val="24"/>
          <w:szCs w:val="24"/>
          <w:lang w:val="en-GB" w:eastAsia="fr-BE"/>
        </w:rPr>
        <w:t xml:space="preserve"> twice daily is superior to </w:t>
      </w:r>
      <w:proofErr w:type="spellStart"/>
      <w:r w:rsidRPr="00AF430F">
        <w:rPr>
          <w:rFonts w:ascii="Times New Roman" w:eastAsia="Times New Roman" w:hAnsi="Times New Roman" w:cs="Times New Roman"/>
          <w:sz w:val="24"/>
          <w:szCs w:val="24"/>
          <w:lang w:val="en-GB" w:eastAsia="fr-BE"/>
        </w:rPr>
        <w:t>clopidogrel</w:t>
      </w:r>
      <w:proofErr w:type="spellEnd"/>
      <w:r w:rsidRPr="00AF430F">
        <w:rPr>
          <w:rFonts w:ascii="Times New Roman" w:eastAsia="Times New Roman" w:hAnsi="Times New Roman" w:cs="Times New Roman"/>
          <w:sz w:val="24"/>
          <w:szCs w:val="24"/>
          <w:lang w:val="en-GB" w:eastAsia="fr-BE"/>
        </w:rPr>
        <w:t xml:space="preserve"> once daily in terms of pharmacodynamics when taking into account the most common dosing omissions seen in ambulatory patients on chronic cardiovascular medication.</w:t>
      </w:r>
    </w:p>
    <w:p w:rsidR="00AF430F" w:rsidRPr="00AF430F" w:rsidRDefault="00AF430F" w:rsidP="00AF430F">
      <w:pPr>
        <w:spacing w:before="100" w:beforeAutospacing="1" w:after="100" w:afterAutospacing="1" w:line="240" w:lineRule="auto"/>
        <w:outlineLvl w:val="2"/>
        <w:rPr>
          <w:rFonts w:ascii="Times New Roman" w:eastAsia="Times New Roman" w:hAnsi="Times New Roman" w:cs="Times New Roman"/>
          <w:b/>
          <w:bCs/>
          <w:sz w:val="27"/>
          <w:szCs w:val="27"/>
          <w:lang w:val="en-GB" w:eastAsia="fr-BE"/>
        </w:rPr>
      </w:pPr>
      <w:r w:rsidRPr="00AF430F">
        <w:rPr>
          <w:rFonts w:ascii="Times New Roman" w:eastAsia="Times New Roman" w:hAnsi="Times New Roman" w:cs="Times New Roman"/>
          <w:b/>
          <w:bCs/>
          <w:sz w:val="27"/>
          <w:szCs w:val="27"/>
          <w:lang w:val="en-GB" w:eastAsia="fr-BE"/>
        </w:rPr>
        <w:t>Funding</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sz w:val="24"/>
          <w:szCs w:val="24"/>
          <w:lang w:val="en-GB" w:eastAsia="fr-BE"/>
        </w:rPr>
        <w:t>This study was funded by AstraZeneca.</w:t>
      </w:r>
    </w:p>
    <w:p w:rsidR="00AF430F" w:rsidRPr="00AF430F" w:rsidRDefault="00AF430F" w:rsidP="00AF430F">
      <w:pPr>
        <w:spacing w:before="100" w:beforeAutospacing="1" w:after="100" w:afterAutospacing="1" w:line="240" w:lineRule="auto"/>
        <w:outlineLvl w:val="2"/>
        <w:rPr>
          <w:rFonts w:ascii="Times New Roman" w:eastAsia="Times New Roman" w:hAnsi="Times New Roman" w:cs="Times New Roman"/>
          <w:b/>
          <w:bCs/>
          <w:sz w:val="27"/>
          <w:szCs w:val="27"/>
          <w:lang w:val="en-GB" w:eastAsia="fr-BE"/>
        </w:rPr>
      </w:pPr>
      <w:r w:rsidRPr="00AF430F">
        <w:rPr>
          <w:rFonts w:ascii="Times New Roman" w:eastAsia="Times New Roman" w:hAnsi="Times New Roman" w:cs="Times New Roman"/>
          <w:b/>
          <w:bCs/>
          <w:sz w:val="27"/>
          <w:szCs w:val="27"/>
          <w:lang w:val="en-GB" w:eastAsia="fr-BE"/>
        </w:rPr>
        <w:t>Competing Interests</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eastAsia="fr-BE"/>
        </w:rPr>
      </w:pPr>
      <w:r w:rsidRPr="00AF430F">
        <w:rPr>
          <w:rFonts w:ascii="Times New Roman" w:eastAsia="Times New Roman" w:hAnsi="Times New Roman" w:cs="Times New Roman"/>
          <w:sz w:val="24"/>
          <w:szCs w:val="24"/>
          <w:lang w:val="en-GB" w:eastAsia="fr-BE"/>
        </w:rPr>
        <w:t xml:space="preserve">Bernard </w:t>
      </w:r>
      <w:proofErr w:type="spellStart"/>
      <w:r w:rsidRPr="00AF430F">
        <w:rPr>
          <w:rFonts w:ascii="Times New Roman" w:eastAsia="Times New Roman" w:hAnsi="Times New Roman" w:cs="Times New Roman"/>
          <w:sz w:val="24"/>
          <w:szCs w:val="24"/>
          <w:lang w:val="en-GB" w:eastAsia="fr-BE"/>
        </w:rPr>
        <w:t>Vrijens</w:t>
      </w:r>
      <w:proofErr w:type="spellEnd"/>
      <w:r w:rsidRPr="00AF430F">
        <w:rPr>
          <w:rFonts w:ascii="Times New Roman" w:eastAsia="Times New Roman" w:hAnsi="Times New Roman" w:cs="Times New Roman"/>
          <w:sz w:val="24"/>
          <w:szCs w:val="24"/>
          <w:lang w:val="en-GB" w:eastAsia="fr-BE"/>
        </w:rPr>
        <w:t xml:space="preserve"> is an employee of AARDEX Group, an MWV Healthcare Company. Marc J. </w:t>
      </w:r>
      <w:proofErr w:type="spellStart"/>
      <w:r w:rsidRPr="00AF430F">
        <w:rPr>
          <w:rFonts w:ascii="Times New Roman" w:eastAsia="Times New Roman" w:hAnsi="Times New Roman" w:cs="Times New Roman"/>
          <w:sz w:val="24"/>
          <w:szCs w:val="24"/>
          <w:lang w:val="en-GB" w:eastAsia="fr-BE"/>
        </w:rPr>
        <w:t>Claeys</w:t>
      </w:r>
      <w:proofErr w:type="spellEnd"/>
      <w:r w:rsidRPr="00AF430F">
        <w:rPr>
          <w:rFonts w:ascii="Times New Roman" w:eastAsia="Times New Roman" w:hAnsi="Times New Roman" w:cs="Times New Roman"/>
          <w:sz w:val="24"/>
          <w:szCs w:val="24"/>
          <w:lang w:val="en-GB" w:eastAsia="fr-BE"/>
        </w:rPr>
        <w:t xml:space="preserve"> received speakers/</w:t>
      </w:r>
      <w:proofErr w:type="spellStart"/>
      <w:r w:rsidRPr="00AF430F">
        <w:rPr>
          <w:rFonts w:ascii="Times New Roman" w:eastAsia="Times New Roman" w:hAnsi="Times New Roman" w:cs="Times New Roman"/>
          <w:sz w:val="24"/>
          <w:szCs w:val="24"/>
          <w:lang w:val="en-GB" w:eastAsia="fr-BE"/>
        </w:rPr>
        <w:t>consultance</w:t>
      </w:r>
      <w:proofErr w:type="spellEnd"/>
      <w:r w:rsidRPr="00AF430F">
        <w:rPr>
          <w:rFonts w:ascii="Times New Roman" w:eastAsia="Times New Roman" w:hAnsi="Times New Roman" w:cs="Times New Roman"/>
          <w:sz w:val="24"/>
          <w:szCs w:val="24"/>
          <w:lang w:val="en-GB" w:eastAsia="fr-BE"/>
        </w:rPr>
        <w:t xml:space="preserve"> fees from Eli Lilly, AstraZeneca and Medicines </w:t>
      </w:r>
      <w:proofErr w:type="gramStart"/>
      <w:r w:rsidRPr="00AF430F">
        <w:rPr>
          <w:rFonts w:ascii="Times New Roman" w:eastAsia="Times New Roman" w:hAnsi="Times New Roman" w:cs="Times New Roman"/>
          <w:sz w:val="24"/>
          <w:szCs w:val="24"/>
          <w:lang w:val="en-GB" w:eastAsia="fr-BE"/>
        </w:rPr>
        <w:t>company</w:t>
      </w:r>
      <w:proofErr w:type="gramEnd"/>
      <w:r w:rsidRPr="00AF430F">
        <w:rPr>
          <w:rFonts w:ascii="Times New Roman" w:eastAsia="Times New Roman" w:hAnsi="Times New Roman" w:cs="Times New Roman"/>
          <w:sz w:val="24"/>
          <w:szCs w:val="24"/>
          <w:lang w:val="en-GB" w:eastAsia="fr-BE"/>
        </w:rPr>
        <w:t xml:space="preserve">. </w:t>
      </w:r>
      <w:proofErr w:type="spellStart"/>
      <w:r w:rsidRPr="00AF430F">
        <w:rPr>
          <w:rFonts w:ascii="Times New Roman" w:eastAsia="Times New Roman" w:hAnsi="Times New Roman" w:cs="Times New Roman"/>
          <w:sz w:val="24"/>
          <w:szCs w:val="24"/>
          <w:lang w:val="en-GB" w:eastAsia="fr-BE"/>
        </w:rPr>
        <w:t>Frans</w:t>
      </w:r>
      <w:proofErr w:type="spellEnd"/>
      <w:r w:rsidRPr="00AF430F">
        <w:rPr>
          <w:rFonts w:ascii="Times New Roman" w:eastAsia="Times New Roman" w:hAnsi="Times New Roman" w:cs="Times New Roman"/>
          <w:sz w:val="24"/>
          <w:szCs w:val="24"/>
          <w:lang w:val="en-GB" w:eastAsia="fr-BE"/>
        </w:rPr>
        <w:t xml:space="preserve"> Van de </w:t>
      </w:r>
      <w:proofErr w:type="spellStart"/>
      <w:r w:rsidRPr="00AF430F">
        <w:rPr>
          <w:rFonts w:ascii="Times New Roman" w:eastAsia="Times New Roman" w:hAnsi="Times New Roman" w:cs="Times New Roman"/>
          <w:sz w:val="24"/>
          <w:szCs w:val="24"/>
          <w:lang w:val="en-GB" w:eastAsia="fr-BE"/>
        </w:rPr>
        <w:t>Werf</w:t>
      </w:r>
      <w:proofErr w:type="spellEnd"/>
      <w:r w:rsidRPr="00AF430F">
        <w:rPr>
          <w:rFonts w:ascii="Times New Roman" w:eastAsia="Times New Roman" w:hAnsi="Times New Roman" w:cs="Times New Roman"/>
          <w:sz w:val="24"/>
          <w:szCs w:val="24"/>
          <w:lang w:val="en-GB" w:eastAsia="fr-BE"/>
        </w:rPr>
        <w:t xml:space="preserve"> received advisory board and lecture fees from AstraZeneca. </w:t>
      </w:r>
      <w:r w:rsidRPr="00AF430F">
        <w:rPr>
          <w:rFonts w:ascii="Times New Roman" w:eastAsia="Times New Roman" w:hAnsi="Times New Roman" w:cs="Times New Roman"/>
          <w:sz w:val="24"/>
          <w:szCs w:val="24"/>
          <w:lang w:eastAsia="fr-BE"/>
        </w:rPr>
        <w:t xml:space="preserve">Eef </w:t>
      </w:r>
      <w:proofErr w:type="spellStart"/>
      <w:r w:rsidRPr="00AF430F">
        <w:rPr>
          <w:rFonts w:ascii="Times New Roman" w:eastAsia="Times New Roman" w:hAnsi="Times New Roman" w:cs="Times New Roman"/>
          <w:sz w:val="24"/>
          <w:szCs w:val="24"/>
          <w:lang w:eastAsia="fr-BE"/>
        </w:rPr>
        <w:t>Vandendriessche</w:t>
      </w:r>
      <w:proofErr w:type="spellEnd"/>
      <w:r w:rsidRPr="00AF430F">
        <w:rPr>
          <w:rFonts w:ascii="Times New Roman" w:eastAsia="Times New Roman" w:hAnsi="Times New Roman" w:cs="Times New Roman"/>
          <w:sz w:val="24"/>
          <w:szCs w:val="24"/>
          <w:lang w:eastAsia="fr-BE"/>
        </w:rPr>
        <w:t xml:space="preserve"> </w:t>
      </w:r>
      <w:proofErr w:type="spellStart"/>
      <w:r w:rsidRPr="00AF430F">
        <w:rPr>
          <w:rFonts w:ascii="Times New Roman" w:eastAsia="Times New Roman" w:hAnsi="Times New Roman" w:cs="Times New Roman"/>
          <w:sz w:val="24"/>
          <w:szCs w:val="24"/>
          <w:lang w:eastAsia="fr-BE"/>
        </w:rPr>
        <w:t>is</w:t>
      </w:r>
      <w:proofErr w:type="spellEnd"/>
      <w:r w:rsidRPr="00AF430F">
        <w:rPr>
          <w:rFonts w:ascii="Times New Roman" w:eastAsia="Times New Roman" w:hAnsi="Times New Roman" w:cs="Times New Roman"/>
          <w:sz w:val="24"/>
          <w:szCs w:val="24"/>
          <w:lang w:eastAsia="fr-BE"/>
        </w:rPr>
        <w:t xml:space="preserve"> an </w:t>
      </w:r>
      <w:proofErr w:type="spellStart"/>
      <w:r w:rsidRPr="00AF430F">
        <w:rPr>
          <w:rFonts w:ascii="Times New Roman" w:eastAsia="Times New Roman" w:hAnsi="Times New Roman" w:cs="Times New Roman"/>
          <w:sz w:val="24"/>
          <w:szCs w:val="24"/>
          <w:lang w:eastAsia="fr-BE"/>
        </w:rPr>
        <w:t>employee</w:t>
      </w:r>
      <w:proofErr w:type="spellEnd"/>
      <w:r w:rsidRPr="00AF430F">
        <w:rPr>
          <w:rFonts w:ascii="Times New Roman" w:eastAsia="Times New Roman" w:hAnsi="Times New Roman" w:cs="Times New Roman"/>
          <w:sz w:val="24"/>
          <w:szCs w:val="24"/>
          <w:lang w:eastAsia="fr-BE"/>
        </w:rPr>
        <w:t xml:space="preserve"> of </w:t>
      </w:r>
      <w:proofErr w:type="spellStart"/>
      <w:r w:rsidRPr="00AF430F">
        <w:rPr>
          <w:rFonts w:ascii="Times New Roman" w:eastAsia="Times New Roman" w:hAnsi="Times New Roman" w:cs="Times New Roman"/>
          <w:sz w:val="24"/>
          <w:szCs w:val="24"/>
          <w:lang w:eastAsia="fr-BE"/>
        </w:rPr>
        <w:t>AstraZeneca</w:t>
      </w:r>
      <w:proofErr w:type="spellEnd"/>
      <w:r w:rsidRPr="00AF430F">
        <w:rPr>
          <w:rFonts w:ascii="Times New Roman" w:eastAsia="Times New Roman" w:hAnsi="Times New Roman" w:cs="Times New Roman"/>
          <w:sz w:val="24"/>
          <w:szCs w:val="24"/>
          <w:lang w:eastAsia="fr-BE"/>
        </w:rPr>
        <w:t>.</w:t>
      </w:r>
    </w:p>
    <w:p w:rsidR="00AF430F" w:rsidRPr="00AF430F" w:rsidRDefault="00AF430F" w:rsidP="00AF430F">
      <w:pPr>
        <w:spacing w:before="100" w:beforeAutospacing="1" w:after="100" w:afterAutospacing="1" w:line="240" w:lineRule="auto"/>
        <w:rPr>
          <w:rFonts w:ascii="Times New Roman" w:eastAsia="Times New Roman" w:hAnsi="Times New Roman" w:cs="Times New Roman"/>
          <w:sz w:val="24"/>
          <w:szCs w:val="24"/>
          <w:lang w:val="en-GB" w:eastAsia="fr-BE"/>
        </w:rPr>
      </w:pPr>
      <w:r w:rsidRPr="00AF430F">
        <w:rPr>
          <w:rFonts w:ascii="Times New Roman" w:eastAsia="Times New Roman" w:hAnsi="Times New Roman" w:cs="Times New Roman"/>
          <w:i/>
          <w:iCs/>
          <w:sz w:val="24"/>
          <w:szCs w:val="24"/>
          <w:lang w:val="en-GB" w:eastAsia="fr-BE"/>
        </w:rPr>
        <w:t xml:space="preserve">The authors wish to thank Paulus </w:t>
      </w:r>
      <w:proofErr w:type="spellStart"/>
      <w:r w:rsidRPr="00AF430F">
        <w:rPr>
          <w:rFonts w:ascii="Times New Roman" w:eastAsia="Times New Roman" w:hAnsi="Times New Roman" w:cs="Times New Roman"/>
          <w:i/>
          <w:iCs/>
          <w:sz w:val="24"/>
          <w:szCs w:val="24"/>
          <w:lang w:val="en-GB" w:eastAsia="fr-BE"/>
        </w:rPr>
        <w:t>Kristanto</w:t>
      </w:r>
      <w:proofErr w:type="spellEnd"/>
      <w:r w:rsidRPr="00AF430F">
        <w:rPr>
          <w:rFonts w:ascii="Times New Roman" w:eastAsia="Times New Roman" w:hAnsi="Times New Roman" w:cs="Times New Roman"/>
          <w:i/>
          <w:iCs/>
          <w:sz w:val="24"/>
          <w:szCs w:val="24"/>
          <w:lang w:val="en-GB" w:eastAsia="fr-BE"/>
        </w:rPr>
        <w:t xml:space="preserve"> and John Urquhart from AARDEX Group for technical assistance and analysis support, and Joke </w:t>
      </w:r>
      <w:proofErr w:type="spellStart"/>
      <w:r w:rsidRPr="00AF430F">
        <w:rPr>
          <w:rFonts w:ascii="Times New Roman" w:eastAsia="Times New Roman" w:hAnsi="Times New Roman" w:cs="Times New Roman"/>
          <w:i/>
          <w:iCs/>
          <w:sz w:val="24"/>
          <w:szCs w:val="24"/>
          <w:lang w:val="en-GB" w:eastAsia="fr-BE"/>
        </w:rPr>
        <w:t>Vandewalle</w:t>
      </w:r>
      <w:proofErr w:type="spellEnd"/>
      <w:r w:rsidRPr="00AF430F">
        <w:rPr>
          <w:rFonts w:ascii="Times New Roman" w:eastAsia="Times New Roman" w:hAnsi="Times New Roman" w:cs="Times New Roman"/>
          <w:i/>
          <w:iCs/>
          <w:sz w:val="24"/>
          <w:szCs w:val="24"/>
          <w:lang w:val="en-GB" w:eastAsia="fr-BE"/>
        </w:rPr>
        <w:t xml:space="preserve"> and Melissa McNeely (XPE Pharma &amp; Science, on behalf of AstraZeneca) for writing assistance and coordination of manuscript development.</w:t>
      </w:r>
    </w:p>
    <w:p w:rsidR="00AF430F" w:rsidRPr="00AF430F" w:rsidRDefault="00AF430F" w:rsidP="00AF430F">
      <w:pPr>
        <w:spacing w:before="100" w:beforeAutospacing="1" w:after="100" w:afterAutospacing="1" w:line="240" w:lineRule="auto"/>
        <w:outlineLvl w:val="2"/>
        <w:rPr>
          <w:rFonts w:ascii="Times New Roman" w:eastAsia="Times New Roman" w:hAnsi="Times New Roman" w:cs="Times New Roman"/>
          <w:b/>
          <w:bCs/>
          <w:sz w:val="27"/>
          <w:szCs w:val="27"/>
          <w:lang w:eastAsia="fr-BE"/>
        </w:rPr>
      </w:pPr>
      <w:proofErr w:type="spellStart"/>
      <w:r w:rsidRPr="00AF430F">
        <w:rPr>
          <w:rFonts w:ascii="Times New Roman" w:eastAsia="Times New Roman" w:hAnsi="Times New Roman" w:cs="Times New Roman"/>
          <w:b/>
          <w:bCs/>
          <w:sz w:val="27"/>
          <w:szCs w:val="27"/>
          <w:lang w:eastAsia="fr-BE"/>
        </w:rPr>
        <w:t>References</w:t>
      </w:r>
      <w:proofErr w:type="spellEnd"/>
    </w:p>
    <w:p w:rsidR="00A412F5" w:rsidRDefault="00A412F5"/>
    <w:sectPr w:rsidR="00A412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E2C16"/>
    <w:multiLevelType w:val="multilevel"/>
    <w:tmpl w:val="FE6E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227CC"/>
    <w:multiLevelType w:val="multilevel"/>
    <w:tmpl w:val="06F6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9E7B67"/>
    <w:multiLevelType w:val="multilevel"/>
    <w:tmpl w:val="E80E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4B682E"/>
    <w:multiLevelType w:val="multilevel"/>
    <w:tmpl w:val="DF6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30F"/>
    <w:rsid w:val="00005F9A"/>
    <w:rsid w:val="00011044"/>
    <w:rsid w:val="0002178F"/>
    <w:rsid w:val="00053ABD"/>
    <w:rsid w:val="00070118"/>
    <w:rsid w:val="00072991"/>
    <w:rsid w:val="00073370"/>
    <w:rsid w:val="0007507D"/>
    <w:rsid w:val="000771BB"/>
    <w:rsid w:val="000870CC"/>
    <w:rsid w:val="00090A06"/>
    <w:rsid w:val="000B6FE0"/>
    <w:rsid w:val="000B7957"/>
    <w:rsid w:val="000C4699"/>
    <w:rsid w:val="000D28CA"/>
    <w:rsid w:val="000E4871"/>
    <w:rsid w:val="000E789C"/>
    <w:rsid w:val="000F6B07"/>
    <w:rsid w:val="000F73C3"/>
    <w:rsid w:val="00100482"/>
    <w:rsid w:val="001169A0"/>
    <w:rsid w:val="001173DA"/>
    <w:rsid w:val="00122362"/>
    <w:rsid w:val="00142F04"/>
    <w:rsid w:val="00144503"/>
    <w:rsid w:val="00151185"/>
    <w:rsid w:val="001771E9"/>
    <w:rsid w:val="00184E84"/>
    <w:rsid w:val="001851C0"/>
    <w:rsid w:val="001B295E"/>
    <w:rsid w:val="001B350B"/>
    <w:rsid w:val="001B76B3"/>
    <w:rsid w:val="001C7752"/>
    <w:rsid w:val="001D4B35"/>
    <w:rsid w:val="001D760F"/>
    <w:rsid w:val="001D7967"/>
    <w:rsid w:val="001F7821"/>
    <w:rsid w:val="002166E6"/>
    <w:rsid w:val="00222E55"/>
    <w:rsid w:val="0022389F"/>
    <w:rsid w:val="00231067"/>
    <w:rsid w:val="00232BC3"/>
    <w:rsid w:val="00235874"/>
    <w:rsid w:val="002579E9"/>
    <w:rsid w:val="00273FC3"/>
    <w:rsid w:val="002813F5"/>
    <w:rsid w:val="00283E28"/>
    <w:rsid w:val="00286E42"/>
    <w:rsid w:val="00291F6A"/>
    <w:rsid w:val="002923F6"/>
    <w:rsid w:val="002A3E34"/>
    <w:rsid w:val="002A7374"/>
    <w:rsid w:val="002A7945"/>
    <w:rsid w:val="002C019C"/>
    <w:rsid w:val="002C3A3A"/>
    <w:rsid w:val="002D24AA"/>
    <w:rsid w:val="002D43DD"/>
    <w:rsid w:val="002D4B7B"/>
    <w:rsid w:val="002D5891"/>
    <w:rsid w:val="002D5A05"/>
    <w:rsid w:val="002E1C46"/>
    <w:rsid w:val="002F3D57"/>
    <w:rsid w:val="00301692"/>
    <w:rsid w:val="00324AA0"/>
    <w:rsid w:val="00335B8E"/>
    <w:rsid w:val="00342989"/>
    <w:rsid w:val="00346566"/>
    <w:rsid w:val="003557FF"/>
    <w:rsid w:val="00362153"/>
    <w:rsid w:val="00370201"/>
    <w:rsid w:val="00384030"/>
    <w:rsid w:val="00390096"/>
    <w:rsid w:val="003A108D"/>
    <w:rsid w:val="003B0388"/>
    <w:rsid w:val="003D21C3"/>
    <w:rsid w:val="003D3A61"/>
    <w:rsid w:val="003D6688"/>
    <w:rsid w:val="003E27AA"/>
    <w:rsid w:val="003F4226"/>
    <w:rsid w:val="003F67D2"/>
    <w:rsid w:val="00402F60"/>
    <w:rsid w:val="00404C82"/>
    <w:rsid w:val="00425C51"/>
    <w:rsid w:val="004432CF"/>
    <w:rsid w:val="004500DA"/>
    <w:rsid w:val="00451598"/>
    <w:rsid w:val="004520DB"/>
    <w:rsid w:val="00472F79"/>
    <w:rsid w:val="00486AA5"/>
    <w:rsid w:val="0049498A"/>
    <w:rsid w:val="004B02D2"/>
    <w:rsid w:val="004B5D77"/>
    <w:rsid w:val="004B7FF9"/>
    <w:rsid w:val="004C20D7"/>
    <w:rsid w:val="004C37B1"/>
    <w:rsid w:val="004C6195"/>
    <w:rsid w:val="004D4DB6"/>
    <w:rsid w:val="004F5AE0"/>
    <w:rsid w:val="00510677"/>
    <w:rsid w:val="00530D6F"/>
    <w:rsid w:val="00545527"/>
    <w:rsid w:val="00583AC3"/>
    <w:rsid w:val="00584D22"/>
    <w:rsid w:val="00593F3C"/>
    <w:rsid w:val="00594385"/>
    <w:rsid w:val="005A1105"/>
    <w:rsid w:val="005B12C5"/>
    <w:rsid w:val="005C1490"/>
    <w:rsid w:val="005C6061"/>
    <w:rsid w:val="005D20E6"/>
    <w:rsid w:val="005D7D35"/>
    <w:rsid w:val="005E50BC"/>
    <w:rsid w:val="005E7544"/>
    <w:rsid w:val="005F3CA2"/>
    <w:rsid w:val="005F5482"/>
    <w:rsid w:val="00612BBF"/>
    <w:rsid w:val="00616C0A"/>
    <w:rsid w:val="00620050"/>
    <w:rsid w:val="00622B43"/>
    <w:rsid w:val="00640B42"/>
    <w:rsid w:val="00640D57"/>
    <w:rsid w:val="00640FF7"/>
    <w:rsid w:val="00643F4D"/>
    <w:rsid w:val="0065577A"/>
    <w:rsid w:val="0066295D"/>
    <w:rsid w:val="00663D42"/>
    <w:rsid w:val="00683BCE"/>
    <w:rsid w:val="006858FF"/>
    <w:rsid w:val="006A4052"/>
    <w:rsid w:val="006A4285"/>
    <w:rsid w:val="006B133A"/>
    <w:rsid w:val="006B2AFC"/>
    <w:rsid w:val="006D0F29"/>
    <w:rsid w:val="006D67F1"/>
    <w:rsid w:val="006E27A3"/>
    <w:rsid w:val="006E566E"/>
    <w:rsid w:val="00700340"/>
    <w:rsid w:val="0070297B"/>
    <w:rsid w:val="007066D4"/>
    <w:rsid w:val="00706C81"/>
    <w:rsid w:val="007330AE"/>
    <w:rsid w:val="007416E6"/>
    <w:rsid w:val="00750BBC"/>
    <w:rsid w:val="0075752E"/>
    <w:rsid w:val="0079642B"/>
    <w:rsid w:val="007A2E34"/>
    <w:rsid w:val="007A6FB1"/>
    <w:rsid w:val="007C0F0D"/>
    <w:rsid w:val="007C6EC3"/>
    <w:rsid w:val="007D1ACC"/>
    <w:rsid w:val="007D24B4"/>
    <w:rsid w:val="007E4288"/>
    <w:rsid w:val="007E5F2A"/>
    <w:rsid w:val="007F219D"/>
    <w:rsid w:val="007F3A48"/>
    <w:rsid w:val="00803E9A"/>
    <w:rsid w:val="00804128"/>
    <w:rsid w:val="0080669D"/>
    <w:rsid w:val="00824531"/>
    <w:rsid w:val="00833DCC"/>
    <w:rsid w:val="008741DE"/>
    <w:rsid w:val="00882437"/>
    <w:rsid w:val="00885395"/>
    <w:rsid w:val="008A3571"/>
    <w:rsid w:val="008A3EB7"/>
    <w:rsid w:val="008C7AAD"/>
    <w:rsid w:val="008D37E0"/>
    <w:rsid w:val="008E59B9"/>
    <w:rsid w:val="008F474B"/>
    <w:rsid w:val="008F5DF5"/>
    <w:rsid w:val="008F75B7"/>
    <w:rsid w:val="009143CB"/>
    <w:rsid w:val="0091564A"/>
    <w:rsid w:val="00915909"/>
    <w:rsid w:val="009310F3"/>
    <w:rsid w:val="00931AF0"/>
    <w:rsid w:val="0095341F"/>
    <w:rsid w:val="009612B1"/>
    <w:rsid w:val="0096614C"/>
    <w:rsid w:val="00976EE8"/>
    <w:rsid w:val="00991FE3"/>
    <w:rsid w:val="00997984"/>
    <w:rsid w:val="009A1EEB"/>
    <w:rsid w:val="009A3172"/>
    <w:rsid w:val="009A3D23"/>
    <w:rsid w:val="009B1D6C"/>
    <w:rsid w:val="009D0CCC"/>
    <w:rsid w:val="009D13B9"/>
    <w:rsid w:val="009D5275"/>
    <w:rsid w:val="009E62C3"/>
    <w:rsid w:val="009F03D7"/>
    <w:rsid w:val="00A10830"/>
    <w:rsid w:val="00A20654"/>
    <w:rsid w:val="00A249D2"/>
    <w:rsid w:val="00A36AC7"/>
    <w:rsid w:val="00A412F5"/>
    <w:rsid w:val="00A74CEE"/>
    <w:rsid w:val="00A83421"/>
    <w:rsid w:val="00A842C4"/>
    <w:rsid w:val="00A84EFC"/>
    <w:rsid w:val="00A9029F"/>
    <w:rsid w:val="00A92070"/>
    <w:rsid w:val="00A92314"/>
    <w:rsid w:val="00A95372"/>
    <w:rsid w:val="00A9733B"/>
    <w:rsid w:val="00AA357E"/>
    <w:rsid w:val="00AA4E91"/>
    <w:rsid w:val="00AC1723"/>
    <w:rsid w:val="00AC33E6"/>
    <w:rsid w:val="00AD1279"/>
    <w:rsid w:val="00AE379F"/>
    <w:rsid w:val="00AF31E1"/>
    <w:rsid w:val="00AF430F"/>
    <w:rsid w:val="00B06E59"/>
    <w:rsid w:val="00B077E4"/>
    <w:rsid w:val="00B10E18"/>
    <w:rsid w:val="00B171F7"/>
    <w:rsid w:val="00B43379"/>
    <w:rsid w:val="00B43383"/>
    <w:rsid w:val="00B47625"/>
    <w:rsid w:val="00B57C1D"/>
    <w:rsid w:val="00B619E2"/>
    <w:rsid w:val="00B63166"/>
    <w:rsid w:val="00B67191"/>
    <w:rsid w:val="00B67A15"/>
    <w:rsid w:val="00B80870"/>
    <w:rsid w:val="00B8638A"/>
    <w:rsid w:val="00BA0D65"/>
    <w:rsid w:val="00BA64DF"/>
    <w:rsid w:val="00BB12AD"/>
    <w:rsid w:val="00BB1484"/>
    <w:rsid w:val="00BC1E42"/>
    <w:rsid w:val="00BD2C10"/>
    <w:rsid w:val="00BD4A65"/>
    <w:rsid w:val="00BD62D5"/>
    <w:rsid w:val="00BE0A0C"/>
    <w:rsid w:val="00BF2EAD"/>
    <w:rsid w:val="00BF4AE3"/>
    <w:rsid w:val="00C00748"/>
    <w:rsid w:val="00C1001D"/>
    <w:rsid w:val="00C208EB"/>
    <w:rsid w:val="00C22823"/>
    <w:rsid w:val="00C22F59"/>
    <w:rsid w:val="00C23750"/>
    <w:rsid w:val="00C5658B"/>
    <w:rsid w:val="00C57ACD"/>
    <w:rsid w:val="00C57D2D"/>
    <w:rsid w:val="00C57F0F"/>
    <w:rsid w:val="00C64B70"/>
    <w:rsid w:val="00C7025D"/>
    <w:rsid w:val="00C75A54"/>
    <w:rsid w:val="00C827EA"/>
    <w:rsid w:val="00C82E6D"/>
    <w:rsid w:val="00C87B6F"/>
    <w:rsid w:val="00CA4AFD"/>
    <w:rsid w:val="00CB52F0"/>
    <w:rsid w:val="00CD262E"/>
    <w:rsid w:val="00CD300F"/>
    <w:rsid w:val="00CD5228"/>
    <w:rsid w:val="00D11551"/>
    <w:rsid w:val="00D12105"/>
    <w:rsid w:val="00D17B3D"/>
    <w:rsid w:val="00D24091"/>
    <w:rsid w:val="00D34BE8"/>
    <w:rsid w:val="00D41D93"/>
    <w:rsid w:val="00D72B5D"/>
    <w:rsid w:val="00D80FA1"/>
    <w:rsid w:val="00D80FFD"/>
    <w:rsid w:val="00D958CD"/>
    <w:rsid w:val="00D9792E"/>
    <w:rsid w:val="00DA3C04"/>
    <w:rsid w:val="00DA4450"/>
    <w:rsid w:val="00DB71EF"/>
    <w:rsid w:val="00DC0238"/>
    <w:rsid w:val="00DC47A5"/>
    <w:rsid w:val="00DC4B6C"/>
    <w:rsid w:val="00DC5B02"/>
    <w:rsid w:val="00DD1478"/>
    <w:rsid w:val="00DD44CB"/>
    <w:rsid w:val="00DE73C5"/>
    <w:rsid w:val="00E05F91"/>
    <w:rsid w:val="00E22136"/>
    <w:rsid w:val="00E27D03"/>
    <w:rsid w:val="00E408DF"/>
    <w:rsid w:val="00E647A8"/>
    <w:rsid w:val="00E73DD1"/>
    <w:rsid w:val="00E757B2"/>
    <w:rsid w:val="00E80397"/>
    <w:rsid w:val="00EA2064"/>
    <w:rsid w:val="00EA4B03"/>
    <w:rsid w:val="00EB68F9"/>
    <w:rsid w:val="00EC06F9"/>
    <w:rsid w:val="00EC1FF3"/>
    <w:rsid w:val="00EC6E9A"/>
    <w:rsid w:val="00EC7E34"/>
    <w:rsid w:val="00EE34B1"/>
    <w:rsid w:val="00EF58DC"/>
    <w:rsid w:val="00F0250C"/>
    <w:rsid w:val="00F20ABD"/>
    <w:rsid w:val="00F261BC"/>
    <w:rsid w:val="00F45113"/>
    <w:rsid w:val="00F45E36"/>
    <w:rsid w:val="00F50625"/>
    <w:rsid w:val="00F5169C"/>
    <w:rsid w:val="00F605A9"/>
    <w:rsid w:val="00F736B0"/>
    <w:rsid w:val="00F8475F"/>
    <w:rsid w:val="00FB4D48"/>
    <w:rsid w:val="00FC2FFC"/>
    <w:rsid w:val="00FC6CA8"/>
    <w:rsid w:val="00FE1A21"/>
    <w:rsid w:val="00FF55D3"/>
    <w:rsid w:val="00FF58E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F43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AF43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AF430F"/>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Titre4">
    <w:name w:val="heading 4"/>
    <w:basedOn w:val="Normal"/>
    <w:link w:val="Titre4Car"/>
    <w:uiPriority w:val="9"/>
    <w:qFormat/>
    <w:rsid w:val="00AF430F"/>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F430F"/>
    <w:rPr>
      <w:rFonts w:ascii="Times New Roman" w:eastAsia="Times New Roman" w:hAnsi="Times New Roman" w:cs="Times New Roman"/>
      <w:b/>
      <w:bCs/>
      <w:sz w:val="27"/>
      <w:szCs w:val="27"/>
      <w:lang w:eastAsia="fr-BE"/>
    </w:rPr>
  </w:style>
  <w:style w:type="character" w:customStyle="1" w:styleId="Titre4Car">
    <w:name w:val="Titre 4 Car"/>
    <w:basedOn w:val="Policepardfaut"/>
    <w:link w:val="Titre4"/>
    <w:uiPriority w:val="9"/>
    <w:rsid w:val="00AF430F"/>
    <w:rPr>
      <w:rFonts w:ascii="Times New Roman" w:eastAsia="Times New Roman" w:hAnsi="Times New Roman" w:cs="Times New Roman"/>
      <w:b/>
      <w:bCs/>
      <w:sz w:val="24"/>
      <w:szCs w:val="24"/>
      <w:lang w:eastAsia="fr-BE"/>
    </w:rPr>
  </w:style>
  <w:style w:type="paragraph" w:styleId="NormalWeb">
    <w:name w:val="Normal (Web)"/>
    <w:basedOn w:val="Normal"/>
    <w:uiPriority w:val="99"/>
    <w:semiHidden/>
    <w:unhideWhenUsed/>
    <w:rsid w:val="00AF430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AF430F"/>
    <w:rPr>
      <w:i/>
      <w:iCs/>
    </w:rPr>
  </w:style>
  <w:style w:type="character" w:styleId="Lienhypertexte">
    <w:name w:val="Hyperlink"/>
    <w:basedOn w:val="Policepardfaut"/>
    <w:uiPriority w:val="99"/>
    <w:semiHidden/>
    <w:unhideWhenUsed/>
    <w:rsid w:val="00AF430F"/>
    <w:rPr>
      <w:color w:val="0000FF"/>
      <w:u w:val="single"/>
    </w:rPr>
  </w:style>
  <w:style w:type="character" w:customStyle="1" w:styleId="smallcaps">
    <w:name w:val="smallcaps"/>
    <w:basedOn w:val="Policepardfaut"/>
    <w:rsid w:val="00AF430F"/>
  </w:style>
  <w:style w:type="character" w:customStyle="1" w:styleId="label">
    <w:name w:val="label"/>
    <w:basedOn w:val="Policepardfaut"/>
    <w:rsid w:val="00AF430F"/>
  </w:style>
  <w:style w:type="paragraph" w:styleId="Textedebulles">
    <w:name w:val="Balloon Text"/>
    <w:basedOn w:val="Normal"/>
    <w:link w:val="TextedebullesCar"/>
    <w:uiPriority w:val="99"/>
    <w:semiHidden/>
    <w:unhideWhenUsed/>
    <w:rsid w:val="00AF43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430F"/>
    <w:rPr>
      <w:rFonts w:ascii="Tahoma" w:hAnsi="Tahoma" w:cs="Tahoma"/>
      <w:sz w:val="16"/>
      <w:szCs w:val="16"/>
    </w:rPr>
  </w:style>
  <w:style w:type="character" w:customStyle="1" w:styleId="Titre1Car">
    <w:name w:val="Titre 1 Car"/>
    <w:basedOn w:val="Policepardfaut"/>
    <w:link w:val="Titre1"/>
    <w:uiPriority w:val="9"/>
    <w:rsid w:val="00AF430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AF430F"/>
    <w:rPr>
      <w:rFonts w:asciiTheme="majorHAnsi" w:eastAsiaTheme="majorEastAsia" w:hAnsiTheme="majorHAnsi" w:cstheme="majorBidi"/>
      <w:b/>
      <w:bCs/>
      <w:color w:val="4F81BD" w:themeColor="accent1"/>
      <w:sz w:val="26"/>
      <w:szCs w:val="26"/>
    </w:rPr>
  </w:style>
  <w:style w:type="character" w:customStyle="1" w:styleId="maintitle">
    <w:name w:val="maintitle"/>
    <w:basedOn w:val="Policepardfaut"/>
    <w:rsid w:val="00AF430F"/>
  </w:style>
  <w:style w:type="paragraph" w:customStyle="1" w:styleId="copyright">
    <w:name w:val="copyright"/>
    <w:basedOn w:val="Normal"/>
    <w:rsid w:val="00AF430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rticlecategory">
    <w:name w:val="articlecategory"/>
    <w:basedOn w:val="Normal"/>
    <w:rsid w:val="00AF430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rticledetails">
    <w:name w:val="articledetails"/>
    <w:basedOn w:val="Normal"/>
    <w:rsid w:val="00AF430F"/>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AF43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AF43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AF430F"/>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Titre4">
    <w:name w:val="heading 4"/>
    <w:basedOn w:val="Normal"/>
    <w:link w:val="Titre4Car"/>
    <w:uiPriority w:val="9"/>
    <w:qFormat/>
    <w:rsid w:val="00AF430F"/>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F430F"/>
    <w:rPr>
      <w:rFonts w:ascii="Times New Roman" w:eastAsia="Times New Roman" w:hAnsi="Times New Roman" w:cs="Times New Roman"/>
      <w:b/>
      <w:bCs/>
      <w:sz w:val="27"/>
      <w:szCs w:val="27"/>
      <w:lang w:eastAsia="fr-BE"/>
    </w:rPr>
  </w:style>
  <w:style w:type="character" w:customStyle="1" w:styleId="Titre4Car">
    <w:name w:val="Titre 4 Car"/>
    <w:basedOn w:val="Policepardfaut"/>
    <w:link w:val="Titre4"/>
    <w:uiPriority w:val="9"/>
    <w:rsid w:val="00AF430F"/>
    <w:rPr>
      <w:rFonts w:ascii="Times New Roman" w:eastAsia="Times New Roman" w:hAnsi="Times New Roman" w:cs="Times New Roman"/>
      <w:b/>
      <w:bCs/>
      <w:sz w:val="24"/>
      <w:szCs w:val="24"/>
      <w:lang w:eastAsia="fr-BE"/>
    </w:rPr>
  </w:style>
  <w:style w:type="paragraph" w:styleId="NormalWeb">
    <w:name w:val="Normal (Web)"/>
    <w:basedOn w:val="Normal"/>
    <w:uiPriority w:val="99"/>
    <w:semiHidden/>
    <w:unhideWhenUsed/>
    <w:rsid w:val="00AF430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AF430F"/>
    <w:rPr>
      <w:i/>
      <w:iCs/>
    </w:rPr>
  </w:style>
  <w:style w:type="character" w:styleId="Lienhypertexte">
    <w:name w:val="Hyperlink"/>
    <w:basedOn w:val="Policepardfaut"/>
    <w:uiPriority w:val="99"/>
    <w:semiHidden/>
    <w:unhideWhenUsed/>
    <w:rsid w:val="00AF430F"/>
    <w:rPr>
      <w:color w:val="0000FF"/>
      <w:u w:val="single"/>
    </w:rPr>
  </w:style>
  <w:style w:type="character" w:customStyle="1" w:styleId="smallcaps">
    <w:name w:val="smallcaps"/>
    <w:basedOn w:val="Policepardfaut"/>
    <w:rsid w:val="00AF430F"/>
  </w:style>
  <w:style w:type="character" w:customStyle="1" w:styleId="label">
    <w:name w:val="label"/>
    <w:basedOn w:val="Policepardfaut"/>
    <w:rsid w:val="00AF430F"/>
  </w:style>
  <w:style w:type="paragraph" w:styleId="Textedebulles">
    <w:name w:val="Balloon Text"/>
    <w:basedOn w:val="Normal"/>
    <w:link w:val="TextedebullesCar"/>
    <w:uiPriority w:val="99"/>
    <w:semiHidden/>
    <w:unhideWhenUsed/>
    <w:rsid w:val="00AF43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430F"/>
    <w:rPr>
      <w:rFonts w:ascii="Tahoma" w:hAnsi="Tahoma" w:cs="Tahoma"/>
      <w:sz w:val="16"/>
      <w:szCs w:val="16"/>
    </w:rPr>
  </w:style>
  <w:style w:type="character" w:customStyle="1" w:styleId="Titre1Car">
    <w:name w:val="Titre 1 Car"/>
    <w:basedOn w:val="Policepardfaut"/>
    <w:link w:val="Titre1"/>
    <w:uiPriority w:val="9"/>
    <w:rsid w:val="00AF430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AF430F"/>
    <w:rPr>
      <w:rFonts w:asciiTheme="majorHAnsi" w:eastAsiaTheme="majorEastAsia" w:hAnsiTheme="majorHAnsi" w:cstheme="majorBidi"/>
      <w:b/>
      <w:bCs/>
      <w:color w:val="4F81BD" w:themeColor="accent1"/>
      <w:sz w:val="26"/>
      <w:szCs w:val="26"/>
    </w:rPr>
  </w:style>
  <w:style w:type="character" w:customStyle="1" w:styleId="maintitle">
    <w:name w:val="maintitle"/>
    <w:basedOn w:val="Policepardfaut"/>
    <w:rsid w:val="00AF430F"/>
  </w:style>
  <w:style w:type="paragraph" w:customStyle="1" w:styleId="copyright">
    <w:name w:val="copyright"/>
    <w:basedOn w:val="Normal"/>
    <w:rsid w:val="00AF430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rticlecategory">
    <w:name w:val="articlecategory"/>
    <w:basedOn w:val="Normal"/>
    <w:rsid w:val="00AF430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rticledetails">
    <w:name w:val="articledetails"/>
    <w:basedOn w:val="Normal"/>
    <w:rsid w:val="00AF430F"/>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976792">
      <w:bodyDiv w:val="1"/>
      <w:marLeft w:val="0"/>
      <w:marRight w:val="0"/>
      <w:marTop w:val="0"/>
      <w:marBottom w:val="0"/>
      <w:divBdr>
        <w:top w:val="none" w:sz="0" w:space="0" w:color="auto"/>
        <w:left w:val="none" w:sz="0" w:space="0" w:color="auto"/>
        <w:bottom w:val="none" w:sz="0" w:space="0" w:color="auto"/>
        <w:right w:val="none" w:sz="0" w:space="0" w:color="auto"/>
      </w:divBdr>
      <w:divsChild>
        <w:div w:id="39983504">
          <w:marLeft w:val="0"/>
          <w:marRight w:val="0"/>
          <w:marTop w:val="0"/>
          <w:marBottom w:val="0"/>
          <w:divBdr>
            <w:top w:val="none" w:sz="0" w:space="0" w:color="auto"/>
            <w:left w:val="none" w:sz="0" w:space="0" w:color="auto"/>
            <w:bottom w:val="none" w:sz="0" w:space="0" w:color="auto"/>
            <w:right w:val="none" w:sz="0" w:space="0" w:color="auto"/>
          </w:divBdr>
        </w:div>
        <w:div w:id="402064497">
          <w:marLeft w:val="0"/>
          <w:marRight w:val="0"/>
          <w:marTop w:val="0"/>
          <w:marBottom w:val="0"/>
          <w:divBdr>
            <w:top w:val="none" w:sz="0" w:space="0" w:color="auto"/>
            <w:left w:val="none" w:sz="0" w:space="0" w:color="auto"/>
            <w:bottom w:val="none" w:sz="0" w:space="0" w:color="auto"/>
            <w:right w:val="none" w:sz="0" w:space="0" w:color="auto"/>
          </w:divBdr>
        </w:div>
        <w:div w:id="1595825256">
          <w:marLeft w:val="0"/>
          <w:marRight w:val="0"/>
          <w:marTop w:val="0"/>
          <w:marBottom w:val="0"/>
          <w:divBdr>
            <w:top w:val="none" w:sz="0" w:space="0" w:color="auto"/>
            <w:left w:val="none" w:sz="0" w:space="0" w:color="auto"/>
            <w:bottom w:val="none" w:sz="0" w:space="0" w:color="auto"/>
            <w:right w:val="none" w:sz="0" w:space="0" w:color="auto"/>
          </w:divBdr>
          <w:divsChild>
            <w:div w:id="1336224042">
              <w:marLeft w:val="0"/>
              <w:marRight w:val="0"/>
              <w:marTop w:val="0"/>
              <w:marBottom w:val="0"/>
              <w:divBdr>
                <w:top w:val="none" w:sz="0" w:space="0" w:color="auto"/>
                <w:left w:val="none" w:sz="0" w:space="0" w:color="auto"/>
                <w:bottom w:val="none" w:sz="0" w:space="0" w:color="auto"/>
                <w:right w:val="none" w:sz="0" w:space="0" w:color="auto"/>
              </w:divBdr>
              <w:divsChild>
                <w:div w:id="2029137839">
                  <w:marLeft w:val="0"/>
                  <w:marRight w:val="0"/>
                  <w:marTop w:val="0"/>
                  <w:marBottom w:val="0"/>
                  <w:divBdr>
                    <w:top w:val="none" w:sz="0" w:space="0" w:color="auto"/>
                    <w:left w:val="none" w:sz="0" w:space="0" w:color="auto"/>
                    <w:bottom w:val="none" w:sz="0" w:space="0" w:color="auto"/>
                    <w:right w:val="none" w:sz="0" w:space="0" w:color="auto"/>
                  </w:divBdr>
                </w:div>
              </w:divsChild>
            </w:div>
            <w:div w:id="1754546877">
              <w:marLeft w:val="0"/>
              <w:marRight w:val="0"/>
              <w:marTop w:val="0"/>
              <w:marBottom w:val="0"/>
              <w:divBdr>
                <w:top w:val="none" w:sz="0" w:space="0" w:color="auto"/>
                <w:left w:val="none" w:sz="0" w:space="0" w:color="auto"/>
                <w:bottom w:val="none" w:sz="0" w:space="0" w:color="auto"/>
                <w:right w:val="none" w:sz="0" w:space="0" w:color="auto"/>
              </w:divBdr>
              <w:divsChild>
                <w:div w:id="1106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82207">
      <w:bodyDiv w:val="1"/>
      <w:marLeft w:val="0"/>
      <w:marRight w:val="0"/>
      <w:marTop w:val="0"/>
      <w:marBottom w:val="0"/>
      <w:divBdr>
        <w:top w:val="none" w:sz="0" w:space="0" w:color="auto"/>
        <w:left w:val="none" w:sz="0" w:space="0" w:color="auto"/>
        <w:bottom w:val="none" w:sz="0" w:space="0" w:color="auto"/>
        <w:right w:val="none" w:sz="0" w:space="0" w:color="auto"/>
      </w:divBdr>
      <w:divsChild>
        <w:div w:id="2101293144">
          <w:marLeft w:val="0"/>
          <w:marRight w:val="0"/>
          <w:marTop w:val="0"/>
          <w:marBottom w:val="0"/>
          <w:divBdr>
            <w:top w:val="none" w:sz="0" w:space="0" w:color="auto"/>
            <w:left w:val="none" w:sz="0" w:space="0" w:color="auto"/>
            <w:bottom w:val="none" w:sz="0" w:space="0" w:color="auto"/>
            <w:right w:val="none" w:sz="0" w:space="0" w:color="auto"/>
          </w:divBdr>
          <w:divsChild>
            <w:div w:id="1822504433">
              <w:marLeft w:val="0"/>
              <w:marRight w:val="0"/>
              <w:marTop w:val="0"/>
              <w:marBottom w:val="0"/>
              <w:divBdr>
                <w:top w:val="none" w:sz="0" w:space="0" w:color="auto"/>
                <w:left w:val="none" w:sz="0" w:space="0" w:color="auto"/>
                <w:bottom w:val="none" w:sz="0" w:space="0" w:color="auto"/>
                <w:right w:val="none" w:sz="0" w:space="0" w:color="auto"/>
              </w:divBdr>
            </w:div>
          </w:divsChild>
        </w:div>
        <w:div w:id="2039963145">
          <w:marLeft w:val="0"/>
          <w:marRight w:val="0"/>
          <w:marTop w:val="0"/>
          <w:marBottom w:val="0"/>
          <w:divBdr>
            <w:top w:val="none" w:sz="0" w:space="0" w:color="auto"/>
            <w:left w:val="none" w:sz="0" w:space="0" w:color="auto"/>
            <w:bottom w:val="none" w:sz="0" w:space="0" w:color="auto"/>
            <w:right w:val="none" w:sz="0" w:space="0" w:color="auto"/>
          </w:divBdr>
          <w:divsChild>
            <w:div w:id="724066178">
              <w:marLeft w:val="0"/>
              <w:marRight w:val="0"/>
              <w:marTop w:val="0"/>
              <w:marBottom w:val="0"/>
              <w:divBdr>
                <w:top w:val="none" w:sz="0" w:space="0" w:color="auto"/>
                <w:left w:val="none" w:sz="0" w:space="0" w:color="auto"/>
                <w:bottom w:val="none" w:sz="0" w:space="0" w:color="auto"/>
                <w:right w:val="none" w:sz="0" w:space="0" w:color="auto"/>
              </w:divBdr>
            </w:div>
            <w:div w:id="1681666317">
              <w:marLeft w:val="0"/>
              <w:marRight w:val="0"/>
              <w:marTop w:val="0"/>
              <w:marBottom w:val="0"/>
              <w:divBdr>
                <w:top w:val="none" w:sz="0" w:space="0" w:color="auto"/>
                <w:left w:val="none" w:sz="0" w:space="0" w:color="auto"/>
                <w:bottom w:val="none" w:sz="0" w:space="0" w:color="auto"/>
                <w:right w:val="none" w:sz="0" w:space="0" w:color="auto"/>
              </w:divBdr>
              <w:divsChild>
                <w:div w:id="345908619">
                  <w:marLeft w:val="0"/>
                  <w:marRight w:val="0"/>
                  <w:marTop w:val="0"/>
                  <w:marBottom w:val="0"/>
                  <w:divBdr>
                    <w:top w:val="none" w:sz="0" w:space="0" w:color="auto"/>
                    <w:left w:val="none" w:sz="0" w:space="0" w:color="auto"/>
                    <w:bottom w:val="none" w:sz="0" w:space="0" w:color="auto"/>
                    <w:right w:val="none" w:sz="0" w:space="0" w:color="auto"/>
                  </w:divBdr>
                </w:div>
              </w:divsChild>
            </w:div>
            <w:div w:id="1527019828">
              <w:marLeft w:val="0"/>
              <w:marRight w:val="0"/>
              <w:marTop w:val="0"/>
              <w:marBottom w:val="0"/>
              <w:divBdr>
                <w:top w:val="none" w:sz="0" w:space="0" w:color="auto"/>
                <w:left w:val="none" w:sz="0" w:space="0" w:color="auto"/>
                <w:bottom w:val="none" w:sz="0" w:space="0" w:color="auto"/>
                <w:right w:val="none" w:sz="0" w:space="0" w:color="auto"/>
              </w:divBdr>
              <w:divsChild>
                <w:div w:id="1172060440">
                  <w:marLeft w:val="0"/>
                  <w:marRight w:val="0"/>
                  <w:marTop w:val="0"/>
                  <w:marBottom w:val="0"/>
                  <w:divBdr>
                    <w:top w:val="none" w:sz="0" w:space="0" w:color="auto"/>
                    <w:left w:val="none" w:sz="0" w:space="0" w:color="auto"/>
                    <w:bottom w:val="none" w:sz="0" w:space="0" w:color="auto"/>
                    <w:right w:val="none" w:sz="0" w:space="0" w:color="auto"/>
                  </w:divBdr>
                </w:div>
              </w:divsChild>
            </w:div>
            <w:div w:id="1717510694">
              <w:marLeft w:val="0"/>
              <w:marRight w:val="0"/>
              <w:marTop w:val="0"/>
              <w:marBottom w:val="0"/>
              <w:divBdr>
                <w:top w:val="none" w:sz="0" w:space="0" w:color="auto"/>
                <w:left w:val="none" w:sz="0" w:space="0" w:color="auto"/>
                <w:bottom w:val="none" w:sz="0" w:space="0" w:color="auto"/>
                <w:right w:val="none" w:sz="0" w:space="0" w:color="auto"/>
              </w:divBdr>
              <w:divsChild>
                <w:div w:id="1639188516">
                  <w:marLeft w:val="0"/>
                  <w:marRight w:val="0"/>
                  <w:marTop w:val="0"/>
                  <w:marBottom w:val="0"/>
                  <w:divBdr>
                    <w:top w:val="none" w:sz="0" w:space="0" w:color="auto"/>
                    <w:left w:val="none" w:sz="0" w:space="0" w:color="auto"/>
                    <w:bottom w:val="none" w:sz="0" w:space="0" w:color="auto"/>
                    <w:right w:val="none" w:sz="0" w:space="0" w:color="auto"/>
                  </w:divBdr>
                </w:div>
              </w:divsChild>
            </w:div>
            <w:div w:id="1172835932">
              <w:marLeft w:val="0"/>
              <w:marRight w:val="0"/>
              <w:marTop w:val="0"/>
              <w:marBottom w:val="0"/>
              <w:divBdr>
                <w:top w:val="none" w:sz="0" w:space="0" w:color="auto"/>
                <w:left w:val="none" w:sz="0" w:space="0" w:color="auto"/>
                <w:bottom w:val="none" w:sz="0" w:space="0" w:color="auto"/>
                <w:right w:val="none" w:sz="0" w:space="0" w:color="auto"/>
              </w:divBdr>
              <w:divsChild>
                <w:div w:id="7869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4549">
          <w:marLeft w:val="0"/>
          <w:marRight w:val="0"/>
          <w:marTop w:val="0"/>
          <w:marBottom w:val="0"/>
          <w:divBdr>
            <w:top w:val="none" w:sz="0" w:space="0" w:color="auto"/>
            <w:left w:val="none" w:sz="0" w:space="0" w:color="auto"/>
            <w:bottom w:val="none" w:sz="0" w:space="0" w:color="auto"/>
            <w:right w:val="none" w:sz="0" w:space="0" w:color="auto"/>
          </w:divBdr>
          <w:divsChild>
            <w:div w:id="784159859">
              <w:marLeft w:val="0"/>
              <w:marRight w:val="0"/>
              <w:marTop w:val="0"/>
              <w:marBottom w:val="0"/>
              <w:divBdr>
                <w:top w:val="none" w:sz="0" w:space="0" w:color="auto"/>
                <w:left w:val="none" w:sz="0" w:space="0" w:color="auto"/>
                <w:bottom w:val="none" w:sz="0" w:space="0" w:color="auto"/>
                <w:right w:val="none" w:sz="0" w:space="0" w:color="auto"/>
              </w:divBdr>
            </w:div>
            <w:div w:id="1737043587">
              <w:marLeft w:val="0"/>
              <w:marRight w:val="0"/>
              <w:marTop w:val="0"/>
              <w:marBottom w:val="0"/>
              <w:divBdr>
                <w:top w:val="none" w:sz="0" w:space="0" w:color="auto"/>
                <w:left w:val="none" w:sz="0" w:space="0" w:color="auto"/>
                <w:bottom w:val="none" w:sz="0" w:space="0" w:color="auto"/>
                <w:right w:val="none" w:sz="0" w:space="0" w:color="auto"/>
              </w:divBdr>
            </w:div>
          </w:divsChild>
        </w:div>
        <w:div w:id="970942111">
          <w:marLeft w:val="0"/>
          <w:marRight w:val="0"/>
          <w:marTop w:val="0"/>
          <w:marBottom w:val="0"/>
          <w:divBdr>
            <w:top w:val="none" w:sz="0" w:space="0" w:color="auto"/>
            <w:left w:val="none" w:sz="0" w:space="0" w:color="auto"/>
            <w:bottom w:val="none" w:sz="0" w:space="0" w:color="auto"/>
            <w:right w:val="none" w:sz="0" w:space="0" w:color="auto"/>
          </w:divBdr>
          <w:divsChild>
            <w:div w:id="1402868131">
              <w:marLeft w:val="0"/>
              <w:marRight w:val="0"/>
              <w:marTop w:val="0"/>
              <w:marBottom w:val="0"/>
              <w:divBdr>
                <w:top w:val="none" w:sz="0" w:space="0" w:color="auto"/>
                <w:left w:val="none" w:sz="0" w:space="0" w:color="auto"/>
                <w:bottom w:val="none" w:sz="0" w:space="0" w:color="auto"/>
                <w:right w:val="none" w:sz="0" w:space="0" w:color="auto"/>
              </w:divBdr>
            </w:div>
            <w:div w:id="11957554">
              <w:marLeft w:val="0"/>
              <w:marRight w:val="0"/>
              <w:marTop w:val="0"/>
              <w:marBottom w:val="0"/>
              <w:divBdr>
                <w:top w:val="none" w:sz="0" w:space="0" w:color="auto"/>
                <w:left w:val="none" w:sz="0" w:space="0" w:color="auto"/>
                <w:bottom w:val="none" w:sz="0" w:space="0" w:color="auto"/>
                <w:right w:val="none" w:sz="0" w:space="0" w:color="auto"/>
              </w:divBdr>
            </w:div>
          </w:divsChild>
        </w:div>
        <w:div w:id="555050004">
          <w:marLeft w:val="0"/>
          <w:marRight w:val="0"/>
          <w:marTop w:val="0"/>
          <w:marBottom w:val="0"/>
          <w:divBdr>
            <w:top w:val="none" w:sz="0" w:space="0" w:color="auto"/>
            <w:left w:val="none" w:sz="0" w:space="0" w:color="auto"/>
            <w:bottom w:val="none" w:sz="0" w:space="0" w:color="auto"/>
            <w:right w:val="none" w:sz="0" w:space="0" w:color="auto"/>
          </w:divBdr>
          <w:divsChild>
            <w:div w:id="256602119">
              <w:marLeft w:val="0"/>
              <w:marRight w:val="0"/>
              <w:marTop w:val="0"/>
              <w:marBottom w:val="0"/>
              <w:divBdr>
                <w:top w:val="none" w:sz="0" w:space="0" w:color="auto"/>
                <w:left w:val="none" w:sz="0" w:space="0" w:color="auto"/>
                <w:bottom w:val="none" w:sz="0" w:space="0" w:color="auto"/>
                <w:right w:val="none" w:sz="0" w:space="0" w:color="auto"/>
              </w:divBdr>
            </w:div>
            <w:div w:id="1888759967">
              <w:marLeft w:val="0"/>
              <w:marRight w:val="0"/>
              <w:marTop w:val="0"/>
              <w:marBottom w:val="0"/>
              <w:divBdr>
                <w:top w:val="none" w:sz="0" w:space="0" w:color="auto"/>
                <w:left w:val="none" w:sz="0" w:space="0" w:color="auto"/>
                <w:bottom w:val="none" w:sz="0" w:space="0" w:color="auto"/>
                <w:right w:val="none" w:sz="0" w:space="0" w:color="auto"/>
              </w:divBdr>
            </w:div>
            <w:div w:id="1436972915">
              <w:marLeft w:val="0"/>
              <w:marRight w:val="0"/>
              <w:marTop w:val="0"/>
              <w:marBottom w:val="0"/>
              <w:divBdr>
                <w:top w:val="none" w:sz="0" w:space="0" w:color="auto"/>
                <w:left w:val="none" w:sz="0" w:space="0" w:color="auto"/>
                <w:bottom w:val="none" w:sz="0" w:space="0" w:color="auto"/>
                <w:right w:val="none" w:sz="0" w:space="0" w:color="auto"/>
              </w:divBdr>
            </w:div>
            <w:div w:id="510726982">
              <w:marLeft w:val="0"/>
              <w:marRight w:val="0"/>
              <w:marTop w:val="0"/>
              <w:marBottom w:val="0"/>
              <w:divBdr>
                <w:top w:val="none" w:sz="0" w:space="0" w:color="auto"/>
                <w:left w:val="none" w:sz="0" w:space="0" w:color="auto"/>
                <w:bottom w:val="none" w:sz="0" w:space="0" w:color="auto"/>
                <w:right w:val="none" w:sz="0" w:space="0" w:color="auto"/>
              </w:divBdr>
            </w:div>
            <w:div w:id="1683044302">
              <w:marLeft w:val="0"/>
              <w:marRight w:val="0"/>
              <w:marTop w:val="0"/>
              <w:marBottom w:val="0"/>
              <w:divBdr>
                <w:top w:val="none" w:sz="0" w:space="0" w:color="auto"/>
                <w:left w:val="none" w:sz="0" w:space="0" w:color="auto"/>
                <w:bottom w:val="none" w:sz="0" w:space="0" w:color="auto"/>
                <w:right w:val="none" w:sz="0" w:space="0" w:color="auto"/>
              </w:divBdr>
            </w:div>
            <w:div w:id="2044553455">
              <w:marLeft w:val="0"/>
              <w:marRight w:val="0"/>
              <w:marTop w:val="0"/>
              <w:marBottom w:val="0"/>
              <w:divBdr>
                <w:top w:val="none" w:sz="0" w:space="0" w:color="auto"/>
                <w:left w:val="none" w:sz="0" w:space="0" w:color="auto"/>
                <w:bottom w:val="none" w:sz="0" w:space="0" w:color="auto"/>
                <w:right w:val="none" w:sz="0" w:space="0" w:color="auto"/>
              </w:divBdr>
            </w:div>
            <w:div w:id="1149245636">
              <w:marLeft w:val="0"/>
              <w:marRight w:val="0"/>
              <w:marTop w:val="0"/>
              <w:marBottom w:val="0"/>
              <w:divBdr>
                <w:top w:val="none" w:sz="0" w:space="0" w:color="auto"/>
                <w:left w:val="none" w:sz="0" w:space="0" w:color="auto"/>
                <w:bottom w:val="none" w:sz="0" w:space="0" w:color="auto"/>
                <w:right w:val="none" w:sz="0" w:space="0" w:color="auto"/>
              </w:divBdr>
            </w:div>
          </w:divsChild>
        </w:div>
        <w:div w:id="1668439675">
          <w:marLeft w:val="0"/>
          <w:marRight w:val="0"/>
          <w:marTop w:val="0"/>
          <w:marBottom w:val="0"/>
          <w:divBdr>
            <w:top w:val="none" w:sz="0" w:space="0" w:color="auto"/>
            <w:left w:val="none" w:sz="0" w:space="0" w:color="auto"/>
            <w:bottom w:val="none" w:sz="0" w:space="0" w:color="auto"/>
            <w:right w:val="none" w:sz="0" w:space="0" w:color="auto"/>
          </w:divBdr>
          <w:divsChild>
            <w:div w:id="1921983347">
              <w:marLeft w:val="0"/>
              <w:marRight w:val="0"/>
              <w:marTop w:val="0"/>
              <w:marBottom w:val="0"/>
              <w:divBdr>
                <w:top w:val="none" w:sz="0" w:space="0" w:color="auto"/>
                <w:left w:val="none" w:sz="0" w:space="0" w:color="auto"/>
                <w:bottom w:val="none" w:sz="0" w:space="0" w:color="auto"/>
                <w:right w:val="none" w:sz="0" w:space="0" w:color="auto"/>
              </w:divBdr>
            </w:div>
            <w:div w:id="2059474405">
              <w:marLeft w:val="0"/>
              <w:marRight w:val="0"/>
              <w:marTop w:val="0"/>
              <w:marBottom w:val="0"/>
              <w:divBdr>
                <w:top w:val="none" w:sz="0" w:space="0" w:color="auto"/>
                <w:left w:val="none" w:sz="0" w:space="0" w:color="auto"/>
                <w:bottom w:val="none" w:sz="0" w:space="0" w:color="auto"/>
                <w:right w:val="none" w:sz="0" w:space="0" w:color="auto"/>
              </w:divBdr>
              <w:divsChild>
                <w:div w:id="2059082830">
                  <w:marLeft w:val="0"/>
                  <w:marRight w:val="0"/>
                  <w:marTop w:val="0"/>
                  <w:marBottom w:val="0"/>
                  <w:divBdr>
                    <w:top w:val="none" w:sz="0" w:space="0" w:color="auto"/>
                    <w:left w:val="none" w:sz="0" w:space="0" w:color="auto"/>
                    <w:bottom w:val="none" w:sz="0" w:space="0" w:color="auto"/>
                    <w:right w:val="none" w:sz="0" w:space="0" w:color="auto"/>
                  </w:divBdr>
                </w:div>
                <w:div w:id="1613585915">
                  <w:marLeft w:val="0"/>
                  <w:marRight w:val="0"/>
                  <w:marTop w:val="0"/>
                  <w:marBottom w:val="0"/>
                  <w:divBdr>
                    <w:top w:val="none" w:sz="0" w:space="0" w:color="auto"/>
                    <w:left w:val="none" w:sz="0" w:space="0" w:color="auto"/>
                    <w:bottom w:val="none" w:sz="0" w:space="0" w:color="auto"/>
                    <w:right w:val="none" w:sz="0" w:space="0" w:color="auto"/>
                  </w:divBdr>
                </w:div>
              </w:divsChild>
            </w:div>
            <w:div w:id="1845240339">
              <w:marLeft w:val="0"/>
              <w:marRight w:val="0"/>
              <w:marTop w:val="0"/>
              <w:marBottom w:val="0"/>
              <w:divBdr>
                <w:top w:val="none" w:sz="0" w:space="0" w:color="auto"/>
                <w:left w:val="none" w:sz="0" w:space="0" w:color="auto"/>
                <w:bottom w:val="none" w:sz="0" w:space="0" w:color="auto"/>
                <w:right w:val="none" w:sz="0" w:space="0" w:color="auto"/>
              </w:divBdr>
              <w:divsChild>
                <w:div w:id="258684716">
                  <w:marLeft w:val="0"/>
                  <w:marRight w:val="0"/>
                  <w:marTop w:val="0"/>
                  <w:marBottom w:val="0"/>
                  <w:divBdr>
                    <w:top w:val="none" w:sz="0" w:space="0" w:color="auto"/>
                    <w:left w:val="none" w:sz="0" w:space="0" w:color="auto"/>
                    <w:bottom w:val="none" w:sz="0" w:space="0" w:color="auto"/>
                    <w:right w:val="none" w:sz="0" w:space="0" w:color="auto"/>
                  </w:divBdr>
                </w:div>
                <w:div w:id="954101420">
                  <w:marLeft w:val="0"/>
                  <w:marRight w:val="0"/>
                  <w:marTop w:val="0"/>
                  <w:marBottom w:val="0"/>
                  <w:divBdr>
                    <w:top w:val="none" w:sz="0" w:space="0" w:color="auto"/>
                    <w:left w:val="none" w:sz="0" w:space="0" w:color="auto"/>
                    <w:bottom w:val="none" w:sz="0" w:space="0" w:color="auto"/>
                    <w:right w:val="none" w:sz="0" w:space="0" w:color="auto"/>
                  </w:divBdr>
                </w:div>
                <w:div w:id="1600214382">
                  <w:marLeft w:val="0"/>
                  <w:marRight w:val="0"/>
                  <w:marTop w:val="0"/>
                  <w:marBottom w:val="0"/>
                  <w:divBdr>
                    <w:top w:val="none" w:sz="0" w:space="0" w:color="auto"/>
                    <w:left w:val="none" w:sz="0" w:space="0" w:color="auto"/>
                    <w:bottom w:val="none" w:sz="0" w:space="0" w:color="auto"/>
                    <w:right w:val="none" w:sz="0" w:space="0" w:color="auto"/>
                  </w:divBdr>
                </w:div>
              </w:divsChild>
            </w:div>
            <w:div w:id="820078622">
              <w:marLeft w:val="0"/>
              <w:marRight w:val="0"/>
              <w:marTop w:val="0"/>
              <w:marBottom w:val="0"/>
              <w:divBdr>
                <w:top w:val="none" w:sz="0" w:space="0" w:color="auto"/>
                <w:left w:val="none" w:sz="0" w:space="0" w:color="auto"/>
                <w:bottom w:val="none" w:sz="0" w:space="0" w:color="auto"/>
                <w:right w:val="none" w:sz="0" w:space="0" w:color="auto"/>
              </w:divBdr>
              <w:divsChild>
                <w:div w:id="958225283">
                  <w:marLeft w:val="0"/>
                  <w:marRight w:val="0"/>
                  <w:marTop w:val="0"/>
                  <w:marBottom w:val="0"/>
                  <w:divBdr>
                    <w:top w:val="none" w:sz="0" w:space="0" w:color="auto"/>
                    <w:left w:val="none" w:sz="0" w:space="0" w:color="auto"/>
                    <w:bottom w:val="none" w:sz="0" w:space="0" w:color="auto"/>
                    <w:right w:val="none" w:sz="0" w:space="0" w:color="auto"/>
                  </w:divBdr>
                </w:div>
                <w:div w:id="1434201507">
                  <w:marLeft w:val="0"/>
                  <w:marRight w:val="0"/>
                  <w:marTop w:val="0"/>
                  <w:marBottom w:val="0"/>
                  <w:divBdr>
                    <w:top w:val="none" w:sz="0" w:space="0" w:color="auto"/>
                    <w:left w:val="none" w:sz="0" w:space="0" w:color="auto"/>
                    <w:bottom w:val="none" w:sz="0" w:space="0" w:color="auto"/>
                    <w:right w:val="none" w:sz="0" w:space="0" w:color="auto"/>
                  </w:divBdr>
                </w:div>
                <w:div w:id="18381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8004">
          <w:marLeft w:val="0"/>
          <w:marRight w:val="0"/>
          <w:marTop w:val="0"/>
          <w:marBottom w:val="0"/>
          <w:divBdr>
            <w:top w:val="none" w:sz="0" w:space="0" w:color="auto"/>
            <w:left w:val="none" w:sz="0" w:space="0" w:color="auto"/>
            <w:bottom w:val="none" w:sz="0" w:space="0" w:color="auto"/>
            <w:right w:val="none" w:sz="0" w:space="0" w:color="auto"/>
          </w:divBdr>
          <w:divsChild>
            <w:div w:id="933704524">
              <w:marLeft w:val="0"/>
              <w:marRight w:val="0"/>
              <w:marTop w:val="0"/>
              <w:marBottom w:val="0"/>
              <w:divBdr>
                <w:top w:val="none" w:sz="0" w:space="0" w:color="auto"/>
                <w:left w:val="none" w:sz="0" w:space="0" w:color="auto"/>
                <w:bottom w:val="none" w:sz="0" w:space="0" w:color="auto"/>
                <w:right w:val="none" w:sz="0" w:space="0" w:color="auto"/>
              </w:divBdr>
            </w:div>
            <w:div w:id="2035616467">
              <w:marLeft w:val="0"/>
              <w:marRight w:val="0"/>
              <w:marTop w:val="0"/>
              <w:marBottom w:val="0"/>
              <w:divBdr>
                <w:top w:val="none" w:sz="0" w:space="0" w:color="auto"/>
                <w:left w:val="none" w:sz="0" w:space="0" w:color="auto"/>
                <w:bottom w:val="none" w:sz="0" w:space="0" w:color="auto"/>
                <w:right w:val="none" w:sz="0" w:space="0" w:color="auto"/>
              </w:divBdr>
              <w:divsChild>
                <w:div w:id="17436024">
                  <w:marLeft w:val="0"/>
                  <w:marRight w:val="0"/>
                  <w:marTop w:val="0"/>
                  <w:marBottom w:val="0"/>
                  <w:divBdr>
                    <w:top w:val="none" w:sz="0" w:space="0" w:color="auto"/>
                    <w:left w:val="none" w:sz="0" w:space="0" w:color="auto"/>
                    <w:bottom w:val="none" w:sz="0" w:space="0" w:color="auto"/>
                    <w:right w:val="none" w:sz="0" w:space="0" w:color="auto"/>
                  </w:divBdr>
                </w:div>
                <w:div w:id="742799640">
                  <w:marLeft w:val="0"/>
                  <w:marRight w:val="0"/>
                  <w:marTop w:val="0"/>
                  <w:marBottom w:val="0"/>
                  <w:divBdr>
                    <w:top w:val="none" w:sz="0" w:space="0" w:color="auto"/>
                    <w:left w:val="none" w:sz="0" w:space="0" w:color="auto"/>
                    <w:bottom w:val="none" w:sz="0" w:space="0" w:color="auto"/>
                    <w:right w:val="none" w:sz="0" w:space="0" w:color="auto"/>
                  </w:divBdr>
                  <w:divsChild>
                    <w:div w:id="7635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5540">
              <w:marLeft w:val="0"/>
              <w:marRight w:val="0"/>
              <w:marTop w:val="0"/>
              <w:marBottom w:val="0"/>
              <w:divBdr>
                <w:top w:val="none" w:sz="0" w:space="0" w:color="auto"/>
                <w:left w:val="none" w:sz="0" w:space="0" w:color="auto"/>
                <w:bottom w:val="none" w:sz="0" w:space="0" w:color="auto"/>
                <w:right w:val="none" w:sz="0" w:space="0" w:color="auto"/>
              </w:divBdr>
              <w:divsChild>
                <w:div w:id="1366710917">
                  <w:marLeft w:val="0"/>
                  <w:marRight w:val="0"/>
                  <w:marTop w:val="0"/>
                  <w:marBottom w:val="0"/>
                  <w:divBdr>
                    <w:top w:val="none" w:sz="0" w:space="0" w:color="auto"/>
                    <w:left w:val="none" w:sz="0" w:space="0" w:color="auto"/>
                    <w:bottom w:val="none" w:sz="0" w:space="0" w:color="auto"/>
                    <w:right w:val="none" w:sz="0" w:space="0" w:color="auto"/>
                  </w:divBdr>
                </w:div>
                <w:div w:id="1202472930">
                  <w:marLeft w:val="0"/>
                  <w:marRight w:val="0"/>
                  <w:marTop w:val="0"/>
                  <w:marBottom w:val="0"/>
                  <w:divBdr>
                    <w:top w:val="none" w:sz="0" w:space="0" w:color="auto"/>
                    <w:left w:val="none" w:sz="0" w:space="0" w:color="auto"/>
                    <w:bottom w:val="none" w:sz="0" w:space="0" w:color="auto"/>
                    <w:right w:val="none" w:sz="0" w:space="0" w:color="auto"/>
                  </w:divBdr>
                </w:div>
                <w:div w:id="1659924076">
                  <w:marLeft w:val="0"/>
                  <w:marRight w:val="0"/>
                  <w:marTop w:val="0"/>
                  <w:marBottom w:val="0"/>
                  <w:divBdr>
                    <w:top w:val="none" w:sz="0" w:space="0" w:color="auto"/>
                    <w:left w:val="none" w:sz="0" w:space="0" w:color="auto"/>
                    <w:bottom w:val="none" w:sz="0" w:space="0" w:color="auto"/>
                    <w:right w:val="none" w:sz="0" w:space="0" w:color="auto"/>
                  </w:divBdr>
                  <w:divsChild>
                    <w:div w:id="1141579087">
                      <w:marLeft w:val="0"/>
                      <w:marRight w:val="0"/>
                      <w:marTop w:val="0"/>
                      <w:marBottom w:val="0"/>
                      <w:divBdr>
                        <w:top w:val="none" w:sz="0" w:space="0" w:color="auto"/>
                        <w:left w:val="none" w:sz="0" w:space="0" w:color="auto"/>
                        <w:bottom w:val="none" w:sz="0" w:space="0" w:color="auto"/>
                        <w:right w:val="none" w:sz="0" w:space="0" w:color="auto"/>
                      </w:divBdr>
                    </w:div>
                  </w:divsChild>
                </w:div>
                <w:div w:id="1273246216">
                  <w:marLeft w:val="0"/>
                  <w:marRight w:val="0"/>
                  <w:marTop w:val="0"/>
                  <w:marBottom w:val="0"/>
                  <w:divBdr>
                    <w:top w:val="none" w:sz="0" w:space="0" w:color="auto"/>
                    <w:left w:val="none" w:sz="0" w:space="0" w:color="auto"/>
                    <w:bottom w:val="none" w:sz="0" w:space="0" w:color="auto"/>
                    <w:right w:val="none" w:sz="0" w:space="0" w:color="auto"/>
                  </w:divBdr>
                </w:div>
              </w:divsChild>
            </w:div>
            <w:div w:id="903218191">
              <w:marLeft w:val="0"/>
              <w:marRight w:val="0"/>
              <w:marTop w:val="0"/>
              <w:marBottom w:val="0"/>
              <w:divBdr>
                <w:top w:val="none" w:sz="0" w:space="0" w:color="auto"/>
                <w:left w:val="none" w:sz="0" w:space="0" w:color="auto"/>
                <w:bottom w:val="none" w:sz="0" w:space="0" w:color="auto"/>
                <w:right w:val="none" w:sz="0" w:space="0" w:color="auto"/>
              </w:divBdr>
              <w:divsChild>
                <w:div w:id="1564751506">
                  <w:marLeft w:val="0"/>
                  <w:marRight w:val="0"/>
                  <w:marTop w:val="0"/>
                  <w:marBottom w:val="0"/>
                  <w:divBdr>
                    <w:top w:val="none" w:sz="0" w:space="0" w:color="auto"/>
                    <w:left w:val="none" w:sz="0" w:space="0" w:color="auto"/>
                    <w:bottom w:val="none" w:sz="0" w:space="0" w:color="auto"/>
                    <w:right w:val="none" w:sz="0" w:space="0" w:color="auto"/>
                  </w:divBdr>
                </w:div>
                <w:div w:id="858549700">
                  <w:marLeft w:val="0"/>
                  <w:marRight w:val="0"/>
                  <w:marTop w:val="0"/>
                  <w:marBottom w:val="0"/>
                  <w:divBdr>
                    <w:top w:val="none" w:sz="0" w:space="0" w:color="auto"/>
                    <w:left w:val="none" w:sz="0" w:space="0" w:color="auto"/>
                    <w:bottom w:val="none" w:sz="0" w:space="0" w:color="auto"/>
                    <w:right w:val="none" w:sz="0" w:space="0" w:color="auto"/>
                  </w:divBdr>
                  <w:divsChild>
                    <w:div w:id="630480003">
                      <w:marLeft w:val="0"/>
                      <w:marRight w:val="0"/>
                      <w:marTop w:val="0"/>
                      <w:marBottom w:val="0"/>
                      <w:divBdr>
                        <w:top w:val="none" w:sz="0" w:space="0" w:color="auto"/>
                        <w:left w:val="none" w:sz="0" w:space="0" w:color="auto"/>
                        <w:bottom w:val="none" w:sz="0" w:space="0" w:color="auto"/>
                        <w:right w:val="none" w:sz="0" w:space="0" w:color="auto"/>
                      </w:divBdr>
                    </w:div>
                  </w:divsChild>
                </w:div>
                <w:div w:id="404836370">
                  <w:marLeft w:val="0"/>
                  <w:marRight w:val="0"/>
                  <w:marTop w:val="0"/>
                  <w:marBottom w:val="0"/>
                  <w:divBdr>
                    <w:top w:val="none" w:sz="0" w:space="0" w:color="auto"/>
                    <w:left w:val="none" w:sz="0" w:space="0" w:color="auto"/>
                    <w:bottom w:val="none" w:sz="0" w:space="0" w:color="auto"/>
                    <w:right w:val="none" w:sz="0" w:space="0" w:color="auto"/>
                  </w:divBdr>
                </w:div>
                <w:div w:id="506752258">
                  <w:marLeft w:val="0"/>
                  <w:marRight w:val="0"/>
                  <w:marTop w:val="0"/>
                  <w:marBottom w:val="0"/>
                  <w:divBdr>
                    <w:top w:val="none" w:sz="0" w:space="0" w:color="auto"/>
                    <w:left w:val="none" w:sz="0" w:space="0" w:color="auto"/>
                    <w:bottom w:val="none" w:sz="0" w:space="0" w:color="auto"/>
                    <w:right w:val="none" w:sz="0" w:space="0" w:color="auto"/>
                  </w:divBdr>
                  <w:divsChild>
                    <w:div w:id="1537547553">
                      <w:marLeft w:val="0"/>
                      <w:marRight w:val="0"/>
                      <w:marTop w:val="0"/>
                      <w:marBottom w:val="0"/>
                      <w:divBdr>
                        <w:top w:val="none" w:sz="0" w:space="0" w:color="auto"/>
                        <w:left w:val="none" w:sz="0" w:space="0" w:color="auto"/>
                        <w:bottom w:val="none" w:sz="0" w:space="0" w:color="auto"/>
                        <w:right w:val="none" w:sz="0" w:space="0" w:color="auto"/>
                      </w:divBdr>
                    </w:div>
                  </w:divsChild>
                </w:div>
                <w:div w:id="122426365">
                  <w:marLeft w:val="0"/>
                  <w:marRight w:val="0"/>
                  <w:marTop w:val="0"/>
                  <w:marBottom w:val="0"/>
                  <w:divBdr>
                    <w:top w:val="none" w:sz="0" w:space="0" w:color="auto"/>
                    <w:left w:val="none" w:sz="0" w:space="0" w:color="auto"/>
                    <w:bottom w:val="none" w:sz="0" w:space="0" w:color="auto"/>
                    <w:right w:val="none" w:sz="0" w:space="0" w:color="auto"/>
                  </w:divBdr>
                </w:div>
                <w:div w:id="924074363">
                  <w:marLeft w:val="0"/>
                  <w:marRight w:val="0"/>
                  <w:marTop w:val="0"/>
                  <w:marBottom w:val="0"/>
                  <w:divBdr>
                    <w:top w:val="none" w:sz="0" w:space="0" w:color="auto"/>
                    <w:left w:val="none" w:sz="0" w:space="0" w:color="auto"/>
                    <w:bottom w:val="none" w:sz="0" w:space="0" w:color="auto"/>
                    <w:right w:val="none" w:sz="0" w:space="0" w:color="auto"/>
                  </w:divBdr>
                  <w:divsChild>
                    <w:div w:id="15454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2534">
              <w:marLeft w:val="0"/>
              <w:marRight w:val="0"/>
              <w:marTop w:val="0"/>
              <w:marBottom w:val="0"/>
              <w:divBdr>
                <w:top w:val="none" w:sz="0" w:space="0" w:color="auto"/>
                <w:left w:val="none" w:sz="0" w:space="0" w:color="auto"/>
                <w:bottom w:val="none" w:sz="0" w:space="0" w:color="auto"/>
                <w:right w:val="none" w:sz="0" w:space="0" w:color="auto"/>
              </w:divBdr>
              <w:divsChild>
                <w:div w:id="858934532">
                  <w:marLeft w:val="0"/>
                  <w:marRight w:val="0"/>
                  <w:marTop w:val="0"/>
                  <w:marBottom w:val="0"/>
                  <w:divBdr>
                    <w:top w:val="none" w:sz="0" w:space="0" w:color="auto"/>
                    <w:left w:val="none" w:sz="0" w:space="0" w:color="auto"/>
                    <w:bottom w:val="none" w:sz="0" w:space="0" w:color="auto"/>
                    <w:right w:val="none" w:sz="0" w:space="0" w:color="auto"/>
                  </w:divBdr>
                </w:div>
                <w:div w:id="10398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92099">
          <w:marLeft w:val="0"/>
          <w:marRight w:val="0"/>
          <w:marTop w:val="0"/>
          <w:marBottom w:val="0"/>
          <w:divBdr>
            <w:top w:val="none" w:sz="0" w:space="0" w:color="auto"/>
            <w:left w:val="none" w:sz="0" w:space="0" w:color="auto"/>
            <w:bottom w:val="none" w:sz="0" w:space="0" w:color="auto"/>
            <w:right w:val="none" w:sz="0" w:space="0" w:color="auto"/>
          </w:divBdr>
          <w:divsChild>
            <w:div w:id="1309674395">
              <w:marLeft w:val="0"/>
              <w:marRight w:val="0"/>
              <w:marTop w:val="0"/>
              <w:marBottom w:val="0"/>
              <w:divBdr>
                <w:top w:val="none" w:sz="0" w:space="0" w:color="auto"/>
                <w:left w:val="none" w:sz="0" w:space="0" w:color="auto"/>
                <w:bottom w:val="none" w:sz="0" w:space="0" w:color="auto"/>
                <w:right w:val="none" w:sz="0" w:space="0" w:color="auto"/>
              </w:divBdr>
            </w:div>
            <w:div w:id="1253778890">
              <w:marLeft w:val="0"/>
              <w:marRight w:val="0"/>
              <w:marTop w:val="0"/>
              <w:marBottom w:val="0"/>
              <w:divBdr>
                <w:top w:val="none" w:sz="0" w:space="0" w:color="auto"/>
                <w:left w:val="none" w:sz="0" w:space="0" w:color="auto"/>
                <w:bottom w:val="none" w:sz="0" w:space="0" w:color="auto"/>
                <w:right w:val="none" w:sz="0" w:space="0" w:color="auto"/>
              </w:divBdr>
            </w:div>
            <w:div w:id="1044715772">
              <w:marLeft w:val="0"/>
              <w:marRight w:val="0"/>
              <w:marTop w:val="0"/>
              <w:marBottom w:val="0"/>
              <w:divBdr>
                <w:top w:val="none" w:sz="0" w:space="0" w:color="auto"/>
                <w:left w:val="none" w:sz="0" w:space="0" w:color="auto"/>
                <w:bottom w:val="none" w:sz="0" w:space="0" w:color="auto"/>
                <w:right w:val="none" w:sz="0" w:space="0" w:color="auto"/>
              </w:divBdr>
            </w:div>
            <w:div w:id="52317277">
              <w:marLeft w:val="0"/>
              <w:marRight w:val="0"/>
              <w:marTop w:val="0"/>
              <w:marBottom w:val="0"/>
              <w:divBdr>
                <w:top w:val="none" w:sz="0" w:space="0" w:color="auto"/>
                <w:left w:val="none" w:sz="0" w:space="0" w:color="auto"/>
                <w:bottom w:val="none" w:sz="0" w:space="0" w:color="auto"/>
                <w:right w:val="none" w:sz="0" w:space="0" w:color="auto"/>
              </w:divBdr>
            </w:div>
            <w:div w:id="840194625">
              <w:marLeft w:val="0"/>
              <w:marRight w:val="0"/>
              <w:marTop w:val="0"/>
              <w:marBottom w:val="0"/>
              <w:divBdr>
                <w:top w:val="none" w:sz="0" w:space="0" w:color="auto"/>
                <w:left w:val="none" w:sz="0" w:space="0" w:color="auto"/>
                <w:bottom w:val="none" w:sz="0" w:space="0" w:color="auto"/>
                <w:right w:val="none" w:sz="0" w:space="0" w:color="auto"/>
              </w:divBdr>
            </w:div>
            <w:div w:id="2022967353">
              <w:marLeft w:val="0"/>
              <w:marRight w:val="0"/>
              <w:marTop w:val="0"/>
              <w:marBottom w:val="0"/>
              <w:divBdr>
                <w:top w:val="none" w:sz="0" w:space="0" w:color="auto"/>
                <w:left w:val="none" w:sz="0" w:space="0" w:color="auto"/>
                <w:bottom w:val="none" w:sz="0" w:space="0" w:color="auto"/>
                <w:right w:val="none" w:sz="0" w:space="0" w:color="auto"/>
              </w:divBdr>
              <w:divsChild>
                <w:div w:id="453210809">
                  <w:marLeft w:val="0"/>
                  <w:marRight w:val="0"/>
                  <w:marTop w:val="0"/>
                  <w:marBottom w:val="0"/>
                  <w:divBdr>
                    <w:top w:val="none" w:sz="0" w:space="0" w:color="auto"/>
                    <w:left w:val="none" w:sz="0" w:space="0" w:color="auto"/>
                    <w:bottom w:val="none" w:sz="0" w:space="0" w:color="auto"/>
                    <w:right w:val="none" w:sz="0" w:space="0" w:color="auto"/>
                  </w:divBdr>
                </w:div>
                <w:div w:id="1270628395">
                  <w:marLeft w:val="0"/>
                  <w:marRight w:val="0"/>
                  <w:marTop w:val="0"/>
                  <w:marBottom w:val="0"/>
                  <w:divBdr>
                    <w:top w:val="none" w:sz="0" w:space="0" w:color="auto"/>
                    <w:left w:val="none" w:sz="0" w:space="0" w:color="auto"/>
                    <w:bottom w:val="none" w:sz="0" w:space="0" w:color="auto"/>
                    <w:right w:val="none" w:sz="0" w:space="0" w:color="auto"/>
                  </w:divBdr>
                </w:div>
                <w:div w:id="1336424033">
                  <w:marLeft w:val="0"/>
                  <w:marRight w:val="0"/>
                  <w:marTop w:val="0"/>
                  <w:marBottom w:val="0"/>
                  <w:divBdr>
                    <w:top w:val="none" w:sz="0" w:space="0" w:color="auto"/>
                    <w:left w:val="none" w:sz="0" w:space="0" w:color="auto"/>
                    <w:bottom w:val="none" w:sz="0" w:space="0" w:color="auto"/>
                    <w:right w:val="none" w:sz="0" w:space="0" w:color="auto"/>
                  </w:divBdr>
                </w:div>
                <w:div w:id="1214847781">
                  <w:marLeft w:val="0"/>
                  <w:marRight w:val="0"/>
                  <w:marTop w:val="0"/>
                  <w:marBottom w:val="0"/>
                  <w:divBdr>
                    <w:top w:val="none" w:sz="0" w:space="0" w:color="auto"/>
                    <w:left w:val="none" w:sz="0" w:space="0" w:color="auto"/>
                    <w:bottom w:val="none" w:sz="0" w:space="0" w:color="auto"/>
                    <w:right w:val="none" w:sz="0" w:space="0" w:color="auto"/>
                  </w:divBdr>
                </w:div>
                <w:div w:id="1550143470">
                  <w:marLeft w:val="0"/>
                  <w:marRight w:val="0"/>
                  <w:marTop w:val="0"/>
                  <w:marBottom w:val="0"/>
                  <w:divBdr>
                    <w:top w:val="none" w:sz="0" w:space="0" w:color="auto"/>
                    <w:left w:val="none" w:sz="0" w:space="0" w:color="auto"/>
                    <w:bottom w:val="none" w:sz="0" w:space="0" w:color="auto"/>
                    <w:right w:val="none" w:sz="0" w:space="0" w:color="auto"/>
                  </w:divBdr>
                </w:div>
                <w:div w:id="1886479884">
                  <w:marLeft w:val="0"/>
                  <w:marRight w:val="0"/>
                  <w:marTop w:val="0"/>
                  <w:marBottom w:val="0"/>
                  <w:divBdr>
                    <w:top w:val="none" w:sz="0" w:space="0" w:color="auto"/>
                    <w:left w:val="none" w:sz="0" w:space="0" w:color="auto"/>
                    <w:bottom w:val="none" w:sz="0" w:space="0" w:color="auto"/>
                    <w:right w:val="none" w:sz="0" w:space="0" w:color="auto"/>
                  </w:divBdr>
                </w:div>
                <w:div w:id="2516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043">
          <w:marLeft w:val="0"/>
          <w:marRight w:val="0"/>
          <w:marTop w:val="0"/>
          <w:marBottom w:val="0"/>
          <w:divBdr>
            <w:top w:val="none" w:sz="0" w:space="0" w:color="auto"/>
            <w:left w:val="none" w:sz="0" w:space="0" w:color="auto"/>
            <w:bottom w:val="none" w:sz="0" w:space="0" w:color="auto"/>
            <w:right w:val="none" w:sz="0" w:space="0" w:color="auto"/>
          </w:divBdr>
          <w:divsChild>
            <w:div w:id="1087387151">
              <w:marLeft w:val="0"/>
              <w:marRight w:val="0"/>
              <w:marTop w:val="0"/>
              <w:marBottom w:val="0"/>
              <w:divBdr>
                <w:top w:val="none" w:sz="0" w:space="0" w:color="auto"/>
                <w:left w:val="none" w:sz="0" w:space="0" w:color="auto"/>
                <w:bottom w:val="none" w:sz="0" w:space="0" w:color="auto"/>
                <w:right w:val="none" w:sz="0" w:space="0" w:color="auto"/>
              </w:divBdr>
            </w:div>
            <w:div w:id="2081826883">
              <w:marLeft w:val="0"/>
              <w:marRight w:val="0"/>
              <w:marTop w:val="0"/>
              <w:marBottom w:val="0"/>
              <w:divBdr>
                <w:top w:val="none" w:sz="0" w:space="0" w:color="auto"/>
                <w:left w:val="none" w:sz="0" w:space="0" w:color="auto"/>
                <w:bottom w:val="none" w:sz="0" w:space="0" w:color="auto"/>
                <w:right w:val="none" w:sz="0" w:space="0" w:color="auto"/>
              </w:divBdr>
            </w:div>
          </w:divsChild>
        </w:div>
        <w:div w:id="2000841416">
          <w:marLeft w:val="0"/>
          <w:marRight w:val="0"/>
          <w:marTop w:val="0"/>
          <w:marBottom w:val="0"/>
          <w:divBdr>
            <w:top w:val="none" w:sz="0" w:space="0" w:color="auto"/>
            <w:left w:val="none" w:sz="0" w:space="0" w:color="auto"/>
            <w:bottom w:val="none" w:sz="0" w:space="0" w:color="auto"/>
            <w:right w:val="none" w:sz="0" w:space="0" w:color="auto"/>
          </w:divBdr>
          <w:divsChild>
            <w:div w:id="120222855">
              <w:marLeft w:val="0"/>
              <w:marRight w:val="0"/>
              <w:marTop w:val="0"/>
              <w:marBottom w:val="0"/>
              <w:divBdr>
                <w:top w:val="none" w:sz="0" w:space="0" w:color="auto"/>
                <w:left w:val="none" w:sz="0" w:space="0" w:color="auto"/>
                <w:bottom w:val="none" w:sz="0" w:space="0" w:color="auto"/>
                <w:right w:val="none" w:sz="0" w:space="0" w:color="auto"/>
              </w:divBdr>
            </w:div>
            <w:div w:id="2045863956">
              <w:marLeft w:val="0"/>
              <w:marRight w:val="0"/>
              <w:marTop w:val="0"/>
              <w:marBottom w:val="0"/>
              <w:divBdr>
                <w:top w:val="none" w:sz="0" w:space="0" w:color="auto"/>
                <w:left w:val="none" w:sz="0" w:space="0" w:color="auto"/>
                <w:bottom w:val="none" w:sz="0" w:space="0" w:color="auto"/>
                <w:right w:val="none" w:sz="0" w:space="0" w:color="auto"/>
              </w:divBdr>
            </w:div>
          </w:divsChild>
        </w:div>
        <w:div w:id="967735145">
          <w:marLeft w:val="0"/>
          <w:marRight w:val="0"/>
          <w:marTop w:val="0"/>
          <w:marBottom w:val="0"/>
          <w:divBdr>
            <w:top w:val="none" w:sz="0" w:space="0" w:color="auto"/>
            <w:left w:val="none" w:sz="0" w:space="0" w:color="auto"/>
            <w:bottom w:val="none" w:sz="0" w:space="0" w:color="auto"/>
            <w:right w:val="none" w:sz="0" w:space="0" w:color="auto"/>
          </w:divBdr>
          <w:divsChild>
            <w:div w:id="755714955">
              <w:marLeft w:val="0"/>
              <w:marRight w:val="0"/>
              <w:marTop w:val="0"/>
              <w:marBottom w:val="0"/>
              <w:divBdr>
                <w:top w:val="none" w:sz="0" w:space="0" w:color="auto"/>
                <w:left w:val="none" w:sz="0" w:space="0" w:color="auto"/>
                <w:bottom w:val="none" w:sz="0" w:space="0" w:color="auto"/>
                <w:right w:val="none" w:sz="0" w:space="0" w:color="auto"/>
              </w:divBdr>
            </w:div>
          </w:divsChild>
        </w:div>
        <w:div w:id="1340543763">
          <w:marLeft w:val="0"/>
          <w:marRight w:val="0"/>
          <w:marTop w:val="0"/>
          <w:marBottom w:val="0"/>
          <w:divBdr>
            <w:top w:val="none" w:sz="0" w:space="0" w:color="auto"/>
            <w:left w:val="none" w:sz="0" w:space="0" w:color="auto"/>
            <w:bottom w:val="none" w:sz="0" w:space="0" w:color="auto"/>
            <w:right w:val="none" w:sz="0" w:space="0" w:color="auto"/>
          </w:divBdr>
          <w:divsChild>
            <w:div w:id="7844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library.wiley.com/doi/10.1111/bcp.12275/full" TargetMode="External"/><Relationship Id="rId18" Type="http://schemas.openxmlformats.org/officeDocument/2006/relationships/hyperlink" Target="http://onlinelibrary.wiley.com/doi/10.1111/bcp.12275/full" TargetMode="External"/><Relationship Id="rId26" Type="http://schemas.openxmlformats.org/officeDocument/2006/relationships/hyperlink" Target="http://onlinelibrary.wiley.com/doi/10.1111/bcp.12275/full" TargetMode="External"/><Relationship Id="rId39" Type="http://schemas.openxmlformats.org/officeDocument/2006/relationships/image" Target="media/image5.png"/><Relationship Id="rId21" Type="http://schemas.openxmlformats.org/officeDocument/2006/relationships/hyperlink" Target="http://onlinelibrary.wiley.com/doi/10.1111/bcp.12275/full" TargetMode="External"/><Relationship Id="rId34" Type="http://schemas.openxmlformats.org/officeDocument/2006/relationships/hyperlink" Target="http://onlinelibrary.wiley.com/doi/10.1111/bcp.12275/full" TargetMode="External"/><Relationship Id="rId42" Type="http://schemas.openxmlformats.org/officeDocument/2006/relationships/image" Target="media/image8.png"/><Relationship Id="rId47" Type="http://schemas.openxmlformats.org/officeDocument/2006/relationships/image" Target="media/image10.gif"/><Relationship Id="rId50" Type="http://schemas.openxmlformats.org/officeDocument/2006/relationships/image" Target="media/image11.gif"/><Relationship Id="rId55" Type="http://schemas.openxmlformats.org/officeDocument/2006/relationships/image" Target="media/image13.png"/><Relationship Id="rId63" Type="http://schemas.openxmlformats.org/officeDocument/2006/relationships/hyperlink" Target="http://onlinelibrary.wiley.com/doi/10.1111/bcp.12275/full" TargetMode="External"/><Relationship Id="rId68" Type="http://schemas.openxmlformats.org/officeDocument/2006/relationships/hyperlink" Target="http://onlinelibrary.wiley.com/doi/10.1111/bcp.12275/full" TargetMode="External"/><Relationship Id="rId7" Type="http://schemas.openxmlformats.org/officeDocument/2006/relationships/hyperlink" Target="http://onlinelibrary.wiley.com/doi/10.1111/bcp.2014.77.issue-5/issuetoc"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nlinelibrary.wiley.com/doi/10.1111/bcp.12275/full" TargetMode="External"/><Relationship Id="rId29" Type="http://schemas.openxmlformats.org/officeDocument/2006/relationships/hyperlink" Target="http://onlinelibrary.wiley.com/doi/10.1111/bcp.12275/full"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onlinelibrary.wiley.com/doi/10.1111/bcp.12275/full" TargetMode="External"/><Relationship Id="rId24" Type="http://schemas.openxmlformats.org/officeDocument/2006/relationships/hyperlink" Target="http://onlinelibrary.wiley.com/doi/10.1111/bcp.12275/full" TargetMode="External"/><Relationship Id="rId32" Type="http://schemas.openxmlformats.org/officeDocument/2006/relationships/hyperlink" Target="http://onlinelibrary.wiley.com/store/10.1111/bcp.12275/asset/image_n/bcp12275-fig-0001.png?v=1&amp;t=ib6ldzyr&amp;s=dff379c611c7bc278aa2cebd5407c7cba3f3615e" TargetMode="External"/><Relationship Id="rId37" Type="http://schemas.openxmlformats.org/officeDocument/2006/relationships/image" Target="media/image3.gif"/><Relationship Id="rId40" Type="http://schemas.openxmlformats.org/officeDocument/2006/relationships/image" Target="media/image6.png"/><Relationship Id="rId45" Type="http://schemas.openxmlformats.org/officeDocument/2006/relationships/hyperlink" Target="http://onlinelibrary.wiley.com/doi/10.1111/bcp.12275/full" TargetMode="External"/><Relationship Id="rId53" Type="http://schemas.openxmlformats.org/officeDocument/2006/relationships/hyperlink" Target="http://onlinelibrary.wiley.com/store/10.1111/bcp.12275/asset/image_n/bcp12275-fig-0005.png?v=1&amp;t=ib6ldzzj&amp;s=b5ff03c3004abffb619fb77686de01bbfa81a5a9" TargetMode="External"/><Relationship Id="rId58" Type="http://schemas.openxmlformats.org/officeDocument/2006/relationships/hyperlink" Target="http://onlinelibrary.wiley.com/doi/10.1111/bcp.12275/full" TargetMode="External"/><Relationship Id="rId66" Type="http://schemas.openxmlformats.org/officeDocument/2006/relationships/hyperlink" Target="http://onlinelibrary.wiley.com/doi/10.1111/bcp.12275/full" TargetMode="External"/><Relationship Id="rId5" Type="http://schemas.openxmlformats.org/officeDocument/2006/relationships/webSettings" Target="webSettings.xml"/><Relationship Id="rId15" Type="http://schemas.openxmlformats.org/officeDocument/2006/relationships/hyperlink" Target="http://onlinelibrary.wiley.com/doi/10.1111/bcp.12275/full" TargetMode="External"/><Relationship Id="rId23" Type="http://schemas.openxmlformats.org/officeDocument/2006/relationships/hyperlink" Target="http://onlinelibrary.wiley.com/doi/10.1111/bcp.12275/suppinfo" TargetMode="External"/><Relationship Id="rId28" Type="http://schemas.openxmlformats.org/officeDocument/2006/relationships/hyperlink" Target="http://onlinelibrary.wiley.com/doi/10.1111/bcp.12275/full" TargetMode="External"/><Relationship Id="rId36" Type="http://schemas.openxmlformats.org/officeDocument/2006/relationships/hyperlink" Target="http://onlinelibrary.wiley.com/store/10.1111/bcp.12275/asset/image_n/bcp12275-fig-0002.png?v=1&amp;t=ib6ldzyx&amp;s=80c6ededb95745d65aede022c65a27e971003544" TargetMode="External"/><Relationship Id="rId49" Type="http://schemas.openxmlformats.org/officeDocument/2006/relationships/hyperlink" Target="http://onlinelibrary.wiley.com/store/10.1111/bcp.12275/asset/image_n/bcp12275-fig-0004.png?v=1&amp;t=ib6ldzzc&amp;s=03a52d5e3e2f63e1455fce8f2cc020eb896406da" TargetMode="External"/><Relationship Id="rId57" Type="http://schemas.openxmlformats.org/officeDocument/2006/relationships/hyperlink" Target="http://onlinelibrary.wiley.com/doi/10.1111/bcp.12275/full" TargetMode="External"/><Relationship Id="rId61" Type="http://schemas.openxmlformats.org/officeDocument/2006/relationships/hyperlink" Target="http://onlinelibrary.wiley.com/doi/10.1111/bcp.12275/full" TargetMode="External"/><Relationship Id="rId10" Type="http://schemas.openxmlformats.org/officeDocument/2006/relationships/hyperlink" Target="http://onlinelibrary.wiley.com/doi/10.1111/bcp.12275/full" TargetMode="External"/><Relationship Id="rId19" Type="http://schemas.openxmlformats.org/officeDocument/2006/relationships/hyperlink" Target="http://onlinelibrary.wiley.com/doi/10.1111/bcp.12275/full" TargetMode="External"/><Relationship Id="rId31" Type="http://schemas.openxmlformats.org/officeDocument/2006/relationships/hyperlink" Target="http://onlinelibrary.wiley.com/doi/10.1111/bcp.12275/full" TargetMode="External"/><Relationship Id="rId44" Type="http://schemas.openxmlformats.org/officeDocument/2006/relationships/hyperlink" Target="http://onlinelibrary.wiley.com/doi/10.1111/bcp.12275/full" TargetMode="External"/><Relationship Id="rId52" Type="http://schemas.openxmlformats.org/officeDocument/2006/relationships/hyperlink" Target="http://onlinelibrary.wiley.com/doi/10.1111/bcp.12275/full" TargetMode="External"/><Relationship Id="rId60" Type="http://schemas.openxmlformats.org/officeDocument/2006/relationships/hyperlink" Target="http://onlinelibrary.wiley.com/doi/10.1111/bcp.12275/full" TargetMode="External"/><Relationship Id="rId65" Type="http://schemas.openxmlformats.org/officeDocument/2006/relationships/hyperlink" Target="http://onlinelibrary.wiley.com/doi/10.1111/bcp.12275/full" TargetMode="External"/><Relationship Id="rId4" Type="http://schemas.openxmlformats.org/officeDocument/2006/relationships/settings" Target="settings.xml"/><Relationship Id="rId9" Type="http://schemas.openxmlformats.org/officeDocument/2006/relationships/hyperlink" Target="http://onlinelibrary.wiley.com/doi/10.1111/bcp.12275/full" TargetMode="External"/><Relationship Id="rId14" Type="http://schemas.openxmlformats.org/officeDocument/2006/relationships/hyperlink" Target="http://onlinelibrary.wiley.com/doi/10.1111/bcp.12275/full" TargetMode="External"/><Relationship Id="rId22" Type="http://schemas.openxmlformats.org/officeDocument/2006/relationships/hyperlink" Target="http://onlinelibrary.wiley.com/doi/10.1111/bcp.12275/full" TargetMode="External"/><Relationship Id="rId27" Type="http://schemas.openxmlformats.org/officeDocument/2006/relationships/hyperlink" Target="http://onlinelibrary.wiley.com/doi/10.1111/bcp.12275/full" TargetMode="External"/><Relationship Id="rId30" Type="http://schemas.openxmlformats.org/officeDocument/2006/relationships/hyperlink" Target="http://onlinelibrary.wiley.com/doi/10.1111/bcp.12275/full" TargetMode="External"/><Relationship Id="rId35" Type="http://schemas.openxmlformats.org/officeDocument/2006/relationships/hyperlink" Target="http://onlinelibrary.wiley.com/doi/10.1111/bcp.12275/full" TargetMode="External"/><Relationship Id="rId43" Type="http://schemas.openxmlformats.org/officeDocument/2006/relationships/image" Target="media/image9.png"/><Relationship Id="rId48" Type="http://schemas.openxmlformats.org/officeDocument/2006/relationships/hyperlink" Target="http://onlinelibrary.wiley.com/doi/10.1111/bcp.12275/full" TargetMode="External"/><Relationship Id="rId56" Type="http://schemas.openxmlformats.org/officeDocument/2006/relationships/image" Target="media/image14.png"/><Relationship Id="rId64" Type="http://schemas.openxmlformats.org/officeDocument/2006/relationships/hyperlink" Target="http://onlinelibrary.wiley.com/doi/10.1111/bcp.12275/full" TargetMode="External"/><Relationship Id="rId69" Type="http://schemas.openxmlformats.org/officeDocument/2006/relationships/hyperlink" Target="http://onlinelibrary.wiley.com/doi/10.1111/bcp.12275/full" TargetMode="External"/><Relationship Id="rId8" Type="http://schemas.openxmlformats.org/officeDocument/2006/relationships/hyperlink" Target="http://onlinelibrary.wiley.com/doi/10.1111/bcp.12275/full" TargetMode="External"/><Relationship Id="rId51" Type="http://schemas.openxmlformats.org/officeDocument/2006/relationships/hyperlink" Target="http://onlinelibrary.wiley.com/doi/10.1111/bcp.12275/full" TargetMode="External"/><Relationship Id="rId3" Type="http://schemas.microsoft.com/office/2007/relationships/stylesWithEffects" Target="stylesWithEffects.xml"/><Relationship Id="rId12" Type="http://schemas.openxmlformats.org/officeDocument/2006/relationships/hyperlink" Target="http://onlinelibrary.wiley.com/doi/10.1111/bcp.12275/full" TargetMode="External"/><Relationship Id="rId17" Type="http://schemas.openxmlformats.org/officeDocument/2006/relationships/hyperlink" Target="http://onlinelibrary.wiley.com/doi/10.1111/bcp.12275/full" TargetMode="External"/><Relationship Id="rId25" Type="http://schemas.openxmlformats.org/officeDocument/2006/relationships/hyperlink" Target="http://onlinelibrary.wiley.com/doi/10.1111/bcp.12275/full" TargetMode="External"/><Relationship Id="rId33" Type="http://schemas.openxmlformats.org/officeDocument/2006/relationships/image" Target="media/image2.gif"/><Relationship Id="rId38" Type="http://schemas.openxmlformats.org/officeDocument/2006/relationships/image" Target="media/image4.png"/><Relationship Id="rId46" Type="http://schemas.openxmlformats.org/officeDocument/2006/relationships/hyperlink" Target="http://onlinelibrary.wiley.com/store/10.1111/bcp.12275/asset/image_n/bcp12275-fig-0003.png?v=1&amp;t=ib6ldzz7&amp;s=7f8c12ec1e57a77e7270c6da0637abe32439a387" TargetMode="External"/><Relationship Id="rId59" Type="http://schemas.openxmlformats.org/officeDocument/2006/relationships/hyperlink" Target="http://onlinelibrary.wiley.com/doi/10.1111/bcp.12275/full" TargetMode="External"/><Relationship Id="rId67" Type="http://schemas.openxmlformats.org/officeDocument/2006/relationships/hyperlink" Target="http://onlinelibrary.wiley.com/doi/10.1111/bcp.12275/full" TargetMode="External"/><Relationship Id="rId20" Type="http://schemas.openxmlformats.org/officeDocument/2006/relationships/hyperlink" Target="http://onlinelibrary.wiley.com/doi/10.1111/bcp.12275/full" TargetMode="External"/><Relationship Id="rId41" Type="http://schemas.openxmlformats.org/officeDocument/2006/relationships/image" Target="media/image7.png"/><Relationship Id="rId54" Type="http://schemas.openxmlformats.org/officeDocument/2006/relationships/image" Target="media/image12.gif"/><Relationship Id="rId62" Type="http://schemas.openxmlformats.org/officeDocument/2006/relationships/hyperlink" Target="http://onlinelibrary.wiley.com/doi/10.1111/bcp.12275/full" TargetMode="External"/><Relationship Id="rId7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5147</Words>
  <Characters>28310</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2015-06-21T14:52:00Z</dcterms:created>
  <dcterms:modified xsi:type="dcterms:W3CDTF">2015-06-21T14:54:00Z</dcterms:modified>
</cp:coreProperties>
</file>