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4C8C7" w14:textId="77777777" w:rsidR="007C53A8" w:rsidRPr="007C53A8" w:rsidRDefault="007C53A8" w:rsidP="007C53A8">
      <w:pPr>
        <w:spacing w:line="240" w:lineRule="auto"/>
        <w:rPr>
          <w:rFonts w:cs="Times New Roman"/>
          <w:b/>
          <w:sz w:val="28"/>
          <w:szCs w:val="28"/>
          <w:lang w:val="fr-BE"/>
        </w:rPr>
      </w:pPr>
      <w:r w:rsidRPr="007C53A8">
        <w:rPr>
          <w:rFonts w:cs="Times New Roman"/>
          <w:b/>
          <w:sz w:val="28"/>
          <w:szCs w:val="28"/>
          <w:lang w:val="fr-BE"/>
        </w:rPr>
        <w:t>RÔLE ET INFLUENCE DE LA SECTION ‘BESOINS DE FINANCEMENT DES POUVOIRS PUBLICS’ DU CONSEIL SUPÉRIEUR DES FINANCES</w:t>
      </w:r>
    </w:p>
    <w:p w14:paraId="20C74B38" w14:textId="77777777" w:rsidR="00BD220D" w:rsidRPr="00BD220D" w:rsidRDefault="00BD220D" w:rsidP="006B11F4">
      <w:pPr>
        <w:spacing w:line="240" w:lineRule="auto"/>
        <w:rPr>
          <w:rFonts w:cs="Times New Roman"/>
          <w:b/>
          <w:sz w:val="22"/>
          <w:szCs w:val="22"/>
          <w:lang w:val="fr-BE"/>
        </w:rPr>
      </w:pPr>
    </w:p>
    <w:p w14:paraId="189D5D6A" w14:textId="77777777" w:rsidR="003C4D94" w:rsidRPr="004F2163" w:rsidRDefault="003C4D94" w:rsidP="006B11F4">
      <w:pPr>
        <w:spacing w:line="240" w:lineRule="auto"/>
        <w:rPr>
          <w:rFonts w:cs="Times New Roman"/>
          <w:b/>
          <w:i/>
          <w:sz w:val="22"/>
          <w:szCs w:val="22"/>
          <w:lang w:val="fr-BE"/>
        </w:rPr>
      </w:pPr>
      <w:r w:rsidRPr="004F2163">
        <w:rPr>
          <w:rFonts w:cs="Times New Roman"/>
          <w:b/>
          <w:i/>
          <w:sz w:val="22"/>
          <w:szCs w:val="22"/>
          <w:lang w:val="fr-BE"/>
        </w:rPr>
        <w:t>Damien P</w:t>
      </w:r>
      <w:r w:rsidR="006B11F4" w:rsidRPr="004F2163">
        <w:rPr>
          <w:rFonts w:cs="Times New Roman"/>
          <w:b/>
          <w:i/>
          <w:sz w:val="22"/>
          <w:szCs w:val="22"/>
          <w:lang w:val="fr-BE"/>
        </w:rPr>
        <w:t>IRON</w:t>
      </w:r>
      <w:r w:rsidRPr="004F2163">
        <w:rPr>
          <w:rStyle w:val="Appelnotedebasdep"/>
          <w:rFonts w:cs="Times New Roman"/>
          <w:lang w:val="fr-BE"/>
        </w:rPr>
        <w:footnoteReference w:id="1"/>
      </w:r>
    </w:p>
    <w:p w14:paraId="68157C94" w14:textId="77777777" w:rsidR="006B11F4" w:rsidRPr="004F2163" w:rsidRDefault="006B11F4" w:rsidP="006B11F4">
      <w:pPr>
        <w:spacing w:line="240" w:lineRule="auto"/>
        <w:rPr>
          <w:rFonts w:cs="Times New Roman"/>
          <w:sz w:val="22"/>
          <w:szCs w:val="22"/>
          <w:lang w:val="fr-BE"/>
        </w:rPr>
      </w:pPr>
    </w:p>
    <w:p w14:paraId="1B592823" w14:textId="77777777" w:rsidR="006B11F4" w:rsidRPr="004F2163" w:rsidRDefault="006B11F4" w:rsidP="006B11F4">
      <w:pPr>
        <w:spacing w:line="240" w:lineRule="auto"/>
        <w:rPr>
          <w:rFonts w:cs="Times New Roman"/>
          <w:sz w:val="22"/>
          <w:szCs w:val="22"/>
          <w:lang w:val="fr-BE"/>
        </w:rPr>
      </w:pPr>
    </w:p>
    <w:p w14:paraId="46658F8C" w14:textId="77777777" w:rsidR="006B11F4" w:rsidRPr="004F2163" w:rsidRDefault="006B11F4" w:rsidP="006B11F4">
      <w:pPr>
        <w:pBdr>
          <w:top w:val="single" w:sz="4" w:space="1" w:color="auto"/>
          <w:left w:val="single" w:sz="4" w:space="4" w:color="auto"/>
          <w:bottom w:val="single" w:sz="4" w:space="1" w:color="auto"/>
          <w:right w:val="single" w:sz="4" w:space="4" w:color="auto"/>
        </w:pBdr>
        <w:spacing w:line="240" w:lineRule="auto"/>
        <w:rPr>
          <w:rFonts w:cs="Times New Roman"/>
          <w:i/>
          <w:sz w:val="22"/>
          <w:szCs w:val="22"/>
          <w:lang w:val="fr-BE"/>
        </w:rPr>
      </w:pPr>
    </w:p>
    <w:p w14:paraId="4140B69D" w14:textId="77777777" w:rsidR="003C4D94" w:rsidRPr="004F2163" w:rsidRDefault="003C4D94" w:rsidP="006B11F4">
      <w:pPr>
        <w:pBdr>
          <w:top w:val="single" w:sz="4" w:space="1" w:color="auto"/>
          <w:left w:val="single" w:sz="4" w:space="4" w:color="auto"/>
          <w:bottom w:val="single" w:sz="4" w:space="1" w:color="auto"/>
          <w:right w:val="single" w:sz="4" w:space="4" w:color="auto"/>
        </w:pBdr>
        <w:spacing w:line="240" w:lineRule="auto"/>
        <w:rPr>
          <w:rFonts w:cs="Times New Roman"/>
          <w:b/>
          <w:i/>
          <w:sz w:val="22"/>
          <w:szCs w:val="22"/>
          <w:lang w:val="fr-BE"/>
        </w:rPr>
      </w:pPr>
      <w:r w:rsidRPr="004F2163">
        <w:rPr>
          <w:rFonts w:cs="Times New Roman"/>
          <w:b/>
          <w:i/>
          <w:sz w:val="22"/>
          <w:szCs w:val="22"/>
          <w:lang w:val="fr-BE"/>
        </w:rPr>
        <w:t>Résumé</w:t>
      </w:r>
    </w:p>
    <w:p w14:paraId="6AAA8D2F" w14:textId="77777777" w:rsidR="0011705C" w:rsidRPr="004F2163" w:rsidRDefault="0011705C" w:rsidP="006B11F4">
      <w:pPr>
        <w:pBdr>
          <w:top w:val="single" w:sz="4" w:space="1" w:color="auto"/>
          <w:left w:val="single" w:sz="4" w:space="4" w:color="auto"/>
          <w:bottom w:val="single" w:sz="4" w:space="1" w:color="auto"/>
          <w:right w:val="single" w:sz="4" w:space="4" w:color="auto"/>
        </w:pBdr>
        <w:spacing w:line="240" w:lineRule="auto"/>
        <w:rPr>
          <w:rFonts w:cs="Times New Roman"/>
          <w:sz w:val="22"/>
          <w:szCs w:val="22"/>
          <w:lang w:val="fr-BE"/>
        </w:rPr>
      </w:pPr>
    </w:p>
    <w:p w14:paraId="2BF73059" w14:textId="77777777" w:rsidR="00FA6447" w:rsidRPr="004F2163" w:rsidRDefault="00EC0AC8" w:rsidP="006B11F4">
      <w:pPr>
        <w:pBdr>
          <w:top w:val="single" w:sz="4" w:space="1" w:color="auto"/>
          <w:left w:val="single" w:sz="4" w:space="4" w:color="auto"/>
          <w:bottom w:val="single" w:sz="4" w:space="1" w:color="auto"/>
          <w:right w:val="single" w:sz="4" w:space="4" w:color="auto"/>
        </w:pBdr>
        <w:spacing w:line="240" w:lineRule="auto"/>
        <w:jc w:val="both"/>
        <w:rPr>
          <w:rFonts w:cs="Times New Roman"/>
          <w:sz w:val="22"/>
          <w:szCs w:val="22"/>
          <w:lang w:val="fr-BE"/>
        </w:rPr>
      </w:pPr>
      <w:r>
        <w:rPr>
          <w:rFonts w:cs="Times New Roman"/>
          <w:sz w:val="22"/>
          <w:szCs w:val="22"/>
          <w:lang w:val="fr-BE"/>
        </w:rPr>
        <w:t>Depuis sa création</w:t>
      </w:r>
      <w:r w:rsidRPr="004F2163">
        <w:rPr>
          <w:rFonts w:cs="Times New Roman"/>
          <w:sz w:val="22"/>
          <w:szCs w:val="22"/>
          <w:lang w:val="fr-BE"/>
        </w:rPr>
        <w:t xml:space="preserve"> </w:t>
      </w:r>
      <w:r w:rsidR="00C27037" w:rsidRPr="004F2163">
        <w:rPr>
          <w:rFonts w:cs="Times New Roman"/>
          <w:sz w:val="22"/>
          <w:szCs w:val="22"/>
          <w:lang w:val="fr-BE"/>
        </w:rPr>
        <w:t>en 1989</w:t>
      </w:r>
      <w:r>
        <w:rPr>
          <w:rFonts w:cs="Times New Roman"/>
          <w:sz w:val="22"/>
          <w:szCs w:val="22"/>
          <w:lang w:val="fr-BE"/>
        </w:rPr>
        <w:t>,</w:t>
      </w:r>
      <w:r w:rsidR="00C27037" w:rsidRPr="004F2163">
        <w:rPr>
          <w:rFonts w:cs="Times New Roman"/>
          <w:sz w:val="22"/>
          <w:szCs w:val="22"/>
          <w:lang w:val="fr-BE"/>
        </w:rPr>
        <w:t xml:space="preserve"> l</w:t>
      </w:r>
      <w:r w:rsidR="00FA6447" w:rsidRPr="004F2163">
        <w:rPr>
          <w:rFonts w:cs="Times New Roman"/>
          <w:sz w:val="22"/>
          <w:szCs w:val="22"/>
          <w:lang w:val="fr-BE"/>
        </w:rPr>
        <w:t xml:space="preserve">a section </w:t>
      </w:r>
      <w:r w:rsidR="005C109E" w:rsidRPr="004F2163">
        <w:rPr>
          <w:rFonts w:cs="Times New Roman"/>
          <w:sz w:val="22"/>
          <w:szCs w:val="22"/>
          <w:lang w:val="fr-BE"/>
        </w:rPr>
        <w:t>‘Besoins de financement des pouvoirs publics’</w:t>
      </w:r>
      <w:r w:rsidR="00FA6447" w:rsidRPr="004F2163">
        <w:rPr>
          <w:rFonts w:cs="Times New Roman"/>
          <w:sz w:val="22"/>
          <w:szCs w:val="22"/>
          <w:lang w:val="fr-BE"/>
        </w:rPr>
        <w:t xml:space="preserve"> </w:t>
      </w:r>
      <w:r w:rsidRPr="004F2163">
        <w:rPr>
          <w:rFonts w:cs="Times New Roman"/>
          <w:sz w:val="22"/>
          <w:szCs w:val="22"/>
          <w:lang w:val="fr-BE"/>
        </w:rPr>
        <w:t>du</w:t>
      </w:r>
      <w:r>
        <w:rPr>
          <w:rFonts w:cs="Times New Roman"/>
          <w:sz w:val="22"/>
          <w:szCs w:val="22"/>
          <w:lang w:val="fr-BE"/>
        </w:rPr>
        <w:t xml:space="preserve"> Conseil supérieur des Finances</w:t>
      </w:r>
      <w:r w:rsidRPr="004F2163">
        <w:rPr>
          <w:rFonts w:cs="Times New Roman"/>
          <w:sz w:val="22"/>
          <w:szCs w:val="22"/>
          <w:lang w:val="fr-BE"/>
        </w:rPr>
        <w:t xml:space="preserve"> </w:t>
      </w:r>
      <w:r w:rsidR="00AB3B30">
        <w:rPr>
          <w:rFonts w:cs="Times New Roman"/>
          <w:sz w:val="22"/>
          <w:szCs w:val="22"/>
          <w:lang w:val="fr-BE"/>
        </w:rPr>
        <w:t xml:space="preserve">a exercé une influence variable </w:t>
      </w:r>
      <w:r w:rsidR="00E55FE5">
        <w:rPr>
          <w:rFonts w:cs="Times New Roman"/>
          <w:sz w:val="22"/>
          <w:szCs w:val="22"/>
          <w:lang w:val="fr-BE"/>
        </w:rPr>
        <w:t xml:space="preserve">sur le gouvernement fédéral. </w:t>
      </w:r>
      <w:r w:rsidR="00C312CB">
        <w:rPr>
          <w:rFonts w:cs="Times New Roman"/>
          <w:sz w:val="22"/>
          <w:szCs w:val="22"/>
          <w:lang w:val="fr-BE"/>
        </w:rPr>
        <w:t>Après avoir occupé</w:t>
      </w:r>
      <w:r w:rsidR="009E657A">
        <w:rPr>
          <w:rFonts w:cs="Times New Roman"/>
          <w:sz w:val="22"/>
          <w:szCs w:val="22"/>
          <w:lang w:val="fr-BE"/>
        </w:rPr>
        <w:t xml:space="preserve"> </w:t>
      </w:r>
      <w:r w:rsidR="00E55FE5">
        <w:rPr>
          <w:rFonts w:cs="Times New Roman"/>
          <w:sz w:val="22"/>
          <w:szCs w:val="22"/>
          <w:lang w:val="fr-BE"/>
        </w:rPr>
        <w:t>un</w:t>
      </w:r>
      <w:r w:rsidR="00C312CB">
        <w:rPr>
          <w:rFonts w:cs="Times New Roman"/>
          <w:sz w:val="22"/>
          <w:szCs w:val="22"/>
          <w:lang w:val="fr-BE"/>
        </w:rPr>
        <w:t>e place de choix dans le processus</w:t>
      </w:r>
      <w:r w:rsidR="009E657A">
        <w:rPr>
          <w:rFonts w:cs="Times New Roman"/>
          <w:sz w:val="22"/>
          <w:szCs w:val="22"/>
          <w:lang w:val="fr-BE"/>
        </w:rPr>
        <w:t xml:space="preserve"> d’assainissement </w:t>
      </w:r>
      <w:r>
        <w:rPr>
          <w:rFonts w:cs="Times New Roman"/>
          <w:sz w:val="22"/>
          <w:szCs w:val="22"/>
          <w:lang w:val="fr-BE"/>
        </w:rPr>
        <w:t xml:space="preserve">budgétaire </w:t>
      </w:r>
      <w:r w:rsidR="009E657A">
        <w:rPr>
          <w:rFonts w:cs="Times New Roman"/>
          <w:sz w:val="22"/>
          <w:szCs w:val="22"/>
          <w:lang w:val="fr-BE"/>
        </w:rPr>
        <w:t>des années 1990,</w:t>
      </w:r>
      <w:r w:rsidR="00DA3AB2" w:rsidRPr="004F2163">
        <w:rPr>
          <w:rFonts w:cs="Times New Roman"/>
          <w:sz w:val="22"/>
          <w:szCs w:val="22"/>
          <w:lang w:val="fr-BE"/>
        </w:rPr>
        <w:t xml:space="preserve"> </w:t>
      </w:r>
      <w:r w:rsidR="009E657A">
        <w:rPr>
          <w:rFonts w:cs="Times New Roman"/>
          <w:sz w:val="22"/>
          <w:szCs w:val="22"/>
          <w:lang w:val="fr-BE"/>
        </w:rPr>
        <w:t xml:space="preserve">elle a </w:t>
      </w:r>
      <w:r w:rsidR="00C312CB">
        <w:rPr>
          <w:rFonts w:cs="Times New Roman"/>
          <w:sz w:val="22"/>
          <w:szCs w:val="22"/>
          <w:lang w:val="fr-BE"/>
        </w:rPr>
        <w:t xml:space="preserve">ensuite </w:t>
      </w:r>
      <w:r w:rsidR="009E657A">
        <w:rPr>
          <w:rFonts w:cs="Times New Roman"/>
          <w:sz w:val="22"/>
          <w:szCs w:val="22"/>
          <w:lang w:val="fr-BE"/>
        </w:rPr>
        <w:t>vu</w:t>
      </w:r>
      <w:r w:rsidR="009E657A" w:rsidRPr="004F2163">
        <w:rPr>
          <w:rFonts w:cs="Times New Roman"/>
          <w:sz w:val="22"/>
          <w:szCs w:val="22"/>
          <w:lang w:val="fr-BE"/>
        </w:rPr>
        <w:t xml:space="preserve"> </w:t>
      </w:r>
      <w:r w:rsidR="009E657A">
        <w:rPr>
          <w:rFonts w:cs="Times New Roman"/>
          <w:sz w:val="22"/>
          <w:szCs w:val="22"/>
          <w:lang w:val="fr-BE"/>
        </w:rPr>
        <w:t xml:space="preserve">son </w:t>
      </w:r>
      <w:r w:rsidR="00DA3AB2" w:rsidRPr="004F2163">
        <w:rPr>
          <w:rFonts w:cs="Times New Roman"/>
          <w:sz w:val="22"/>
          <w:szCs w:val="22"/>
          <w:lang w:val="fr-BE"/>
        </w:rPr>
        <w:t xml:space="preserve">aura </w:t>
      </w:r>
      <w:r w:rsidR="009E657A">
        <w:rPr>
          <w:rFonts w:cs="Times New Roman"/>
          <w:sz w:val="22"/>
          <w:szCs w:val="22"/>
          <w:lang w:val="fr-BE"/>
        </w:rPr>
        <w:t xml:space="preserve">pâlir </w:t>
      </w:r>
      <w:r w:rsidR="002C3ED1">
        <w:rPr>
          <w:rFonts w:cs="Times New Roman"/>
          <w:sz w:val="22"/>
          <w:szCs w:val="22"/>
          <w:lang w:val="fr-BE"/>
        </w:rPr>
        <w:t>au cours de</w:t>
      </w:r>
      <w:r w:rsidR="009E657A">
        <w:rPr>
          <w:rFonts w:cs="Times New Roman"/>
          <w:sz w:val="22"/>
          <w:szCs w:val="22"/>
          <w:lang w:val="fr-BE"/>
        </w:rPr>
        <w:t xml:space="preserve"> la décennie suivante</w:t>
      </w:r>
      <w:r>
        <w:rPr>
          <w:rFonts w:cs="Times New Roman"/>
          <w:sz w:val="22"/>
          <w:szCs w:val="22"/>
          <w:lang w:val="fr-BE"/>
        </w:rPr>
        <w:t xml:space="preserve">. </w:t>
      </w:r>
      <w:r w:rsidR="00C312CB">
        <w:rPr>
          <w:rFonts w:cs="Times New Roman"/>
          <w:sz w:val="22"/>
          <w:szCs w:val="22"/>
          <w:lang w:val="fr-BE"/>
        </w:rPr>
        <w:t xml:space="preserve">Depuis 2009, </w:t>
      </w:r>
      <w:r w:rsidR="00A676B2" w:rsidRPr="001B579A">
        <w:rPr>
          <w:rFonts w:cs="Times New Roman"/>
          <w:sz w:val="22"/>
          <w:szCs w:val="22"/>
        </w:rPr>
        <w:t>son impact sur la décision budgétaire s</w:t>
      </w:r>
      <w:r w:rsidR="0047776D">
        <w:rPr>
          <w:rFonts w:cs="Times New Roman"/>
          <w:sz w:val="22"/>
          <w:szCs w:val="22"/>
        </w:rPr>
        <w:t xml:space="preserve">’est </w:t>
      </w:r>
      <w:r w:rsidR="00A676B2" w:rsidRPr="001B579A">
        <w:rPr>
          <w:rFonts w:cs="Times New Roman"/>
          <w:sz w:val="22"/>
          <w:szCs w:val="22"/>
        </w:rPr>
        <w:t>toutefois renforcé</w:t>
      </w:r>
      <w:r w:rsidR="003A2839" w:rsidRPr="003A2839">
        <w:rPr>
          <w:rFonts w:cs="Times New Roman"/>
          <w:sz w:val="22"/>
          <w:szCs w:val="22"/>
          <w:lang w:val="fr-BE"/>
        </w:rPr>
        <w:t xml:space="preserve">. </w:t>
      </w:r>
      <w:r w:rsidR="00FC440C">
        <w:rPr>
          <w:rFonts w:cs="Times New Roman"/>
          <w:sz w:val="22"/>
          <w:szCs w:val="22"/>
          <w:lang w:val="fr-BE"/>
        </w:rPr>
        <w:t>À partir d’une analyse du contenu</w:t>
      </w:r>
      <w:r w:rsidR="00FC440C" w:rsidRPr="004F2163">
        <w:rPr>
          <w:rFonts w:cs="Times New Roman"/>
          <w:sz w:val="22"/>
          <w:szCs w:val="22"/>
          <w:lang w:val="fr-BE"/>
        </w:rPr>
        <w:t xml:space="preserve"> d’une quinzaine d’entretiens </w:t>
      </w:r>
      <w:r w:rsidR="00FC440C">
        <w:rPr>
          <w:rFonts w:cs="Times New Roman"/>
          <w:sz w:val="22"/>
          <w:szCs w:val="22"/>
          <w:lang w:val="fr-BE"/>
        </w:rPr>
        <w:t xml:space="preserve">semi-directifs </w:t>
      </w:r>
      <w:r w:rsidR="00FC440C" w:rsidRPr="004F2163">
        <w:rPr>
          <w:rFonts w:cs="Times New Roman"/>
          <w:sz w:val="22"/>
          <w:szCs w:val="22"/>
          <w:lang w:val="fr-BE"/>
        </w:rPr>
        <w:t>d’experts en finances publiques et d’hommes politiques</w:t>
      </w:r>
      <w:r w:rsidR="00FC440C">
        <w:rPr>
          <w:rFonts w:cs="Times New Roman"/>
          <w:sz w:val="22"/>
          <w:szCs w:val="22"/>
          <w:lang w:val="fr-BE"/>
        </w:rPr>
        <w:t xml:space="preserve"> de premier plan, cette contribution </w:t>
      </w:r>
      <w:r w:rsidR="00C312CB">
        <w:rPr>
          <w:rFonts w:cs="Times New Roman"/>
          <w:sz w:val="22"/>
          <w:szCs w:val="22"/>
          <w:lang w:val="fr-BE"/>
        </w:rPr>
        <w:t>cherche</w:t>
      </w:r>
      <w:r w:rsidR="00FC440C">
        <w:rPr>
          <w:rFonts w:cs="Times New Roman"/>
          <w:sz w:val="22"/>
          <w:szCs w:val="22"/>
          <w:lang w:val="fr-BE"/>
        </w:rPr>
        <w:t xml:space="preserve"> à déterminer les </w:t>
      </w:r>
      <w:r w:rsidR="002C3ED1">
        <w:rPr>
          <w:rFonts w:cs="Times New Roman"/>
          <w:sz w:val="22"/>
          <w:szCs w:val="22"/>
          <w:lang w:val="fr-BE"/>
        </w:rPr>
        <w:t>causes</w:t>
      </w:r>
      <w:r w:rsidR="00C312CB">
        <w:rPr>
          <w:rFonts w:cs="Times New Roman"/>
          <w:sz w:val="22"/>
          <w:szCs w:val="22"/>
          <w:lang w:val="fr-BE"/>
        </w:rPr>
        <w:t xml:space="preserve"> de ces</w:t>
      </w:r>
      <w:r w:rsidR="00FC440C">
        <w:rPr>
          <w:rFonts w:cs="Times New Roman"/>
          <w:sz w:val="22"/>
          <w:szCs w:val="22"/>
          <w:lang w:val="fr-BE"/>
        </w:rPr>
        <w:t xml:space="preserve"> </w:t>
      </w:r>
      <w:r w:rsidR="00C312CB">
        <w:rPr>
          <w:rFonts w:cs="Times New Roman"/>
          <w:sz w:val="22"/>
          <w:szCs w:val="22"/>
          <w:lang w:val="fr-BE"/>
        </w:rPr>
        <w:t>variations.</w:t>
      </w:r>
      <w:r w:rsidR="00640B20">
        <w:rPr>
          <w:rFonts w:cs="Times New Roman"/>
          <w:sz w:val="22"/>
          <w:szCs w:val="22"/>
          <w:lang w:val="fr-BE"/>
        </w:rPr>
        <w:t xml:space="preserve"> </w:t>
      </w:r>
      <w:r w:rsidR="00C07C26">
        <w:rPr>
          <w:rFonts w:cs="Times New Roman"/>
          <w:sz w:val="22"/>
          <w:szCs w:val="22"/>
          <w:lang w:val="fr-BE"/>
        </w:rPr>
        <w:t xml:space="preserve">Le modèle explicatif </w:t>
      </w:r>
      <w:r w:rsidR="00640B20">
        <w:rPr>
          <w:rFonts w:cs="Times New Roman"/>
          <w:sz w:val="22"/>
          <w:szCs w:val="22"/>
          <w:lang w:val="fr-BE"/>
        </w:rPr>
        <w:t xml:space="preserve">proposé </w:t>
      </w:r>
      <w:r w:rsidR="002C3ED1">
        <w:rPr>
          <w:rFonts w:cs="Times New Roman"/>
          <w:sz w:val="22"/>
          <w:szCs w:val="22"/>
          <w:lang w:val="fr-BE"/>
        </w:rPr>
        <w:t>insiste sur</w:t>
      </w:r>
      <w:r w:rsidR="00C07C26">
        <w:rPr>
          <w:rFonts w:cs="Times New Roman"/>
          <w:sz w:val="22"/>
          <w:szCs w:val="22"/>
          <w:lang w:val="fr-BE"/>
        </w:rPr>
        <w:t xml:space="preserve"> l</w:t>
      </w:r>
      <w:r w:rsidR="00B6084B" w:rsidRPr="004F2163">
        <w:rPr>
          <w:rFonts w:cs="Times New Roman"/>
          <w:sz w:val="22"/>
          <w:szCs w:val="22"/>
          <w:lang w:val="fr-BE"/>
        </w:rPr>
        <w:t>’importance</w:t>
      </w:r>
      <w:r w:rsidR="00DA3AB2" w:rsidRPr="004F2163">
        <w:rPr>
          <w:rFonts w:cs="Times New Roman"/>
          <w:sz w:val="22"/>
          <w:szCs w:val="22"/>
          <w:lang w:val="fr-BE"/>
        </w:rPr>
        <w:t xml:space="preserve"> des pressions externes</w:t>
      </w:r>
      <w:r w:rsidR="00C07C26">
        <w:rPr>
          <w:rFonts w:cs="Times New Roman"/>
          <w:sz w:val="22"/>
          <w:szCs w:val="22"/>
          <w:lang w:val="fr-BE"/>
        </w:rPr>
        <w:t xml:space="preserve"> dans l</w:t>
      </w:r>
      <w:r w:rsidR="00C312CB">
        <w:rPr>
          <w:rFonts w:cs="Times New Roman"/>
          <w:sz w:val="22"/>
          <w:szCs w:val="22"/>
          <w:lang w:val="fr-BE"/>
        </w:rPr>
        <w:t>’évolution de la relation entre la section et le gouvernement fédéral</w:t>
      </w:r>
      <w:r w:rsidR="002C3ED1">
        <w:rPr>
          <w:rFonts w:cs="Times New Roman"/>
          <w:sz w:val="22"/>
          <w:szCs w:val="22"/>
          <w:lang w:val="fr-BE"/>
        </w:rPr>
        <w:t>.</w:t>
      </w:r>
      <w:r w:rsidR="00640B20">
        <w:rPr>
          <w:rFonts w:cs="Times New Roman"/>
          <w:sz w:val="22"/>
          <w:szCs w:val="22"/>
          <w:lang w:val="fr-BE"/>
        </w:rPr>
        <w:t xml:space="preserve"> </w:t>
      </w:r>
      <w:r w:rsidR="002C3ED1">
        <w:rPr>
          <w:rFonts w:cs="Times New Roman"/>
          <w:sz w:val="22"/>
          <w:szCs w:val="22"/>
          <w:lang w:val="fr-BE"/>
        </w:rPr>
        <w:t>Il souligne également</w:t>
      </w:r>
      <w:r w:rsidR="00640B20">
        <w:rPr>
          <w:rFonts w:cs="Times New Roman"/>
          <w:sz w:val="22"/>
          <w:szCs w:val="22"/>
          <w:lang w:val="fr-BE"/>
        </w:rPr>
        <w:t xml:space="preserve"> </w:t>
      </w:r>
      <w:r w:rsidR="00AB3B30">
        <w:rPr>
          <w:rFonts w:cs="Times New Roman"/>
          <w:sz w:val="22"/>
          <w:szCs w:val="22"/>
          <w:lang w:val="fr-BE"/>
        </w:rPr>
        <w:t>une</w:t>
      </w:r>
      <w:r w:rsidR="00640B20">
        <w:rPr>
          <w:rFonts w:cs="Times New Roman"/>
          <w:sz w:val="22"/>
          <w:szCs w:val="22"/>
          <w:lang w:val="fr-BE"/>
        </w:rPr>
        <w:t xml:space="preserve"> transition </w:t>
      </w:r>
      <w:r w:rsidR="001B579A" w:rsidRPr="001B579A">
        <w:rPr>
          <w:rFonts w:cs="Times New Roman"/>
          <w:sz w:val="22"/>
          <w:szCs w:val="22"/>
          <w:lang w:val="fr-BE"/>
        </w:rPr>
        <w:t>d</w:t>
      </w:r>
      <w:r w:rsidR="00B6084B">
        <w:rPr>
          <w:rFonts w:cs="Times New Roman"/>
          <w:sz w:val="22"/>
          <w:szCs w:val="22"/>
          <w:lang w:val="fr-BE"/>
        </w:rPr>
        <w:t>’</w:t>
      </w:r>
      <w:r w:rsidR="00DA3AB2" w:rsidRPr="004F2163">
        <w:rPr>
          <w:rFonts w:cs="Times New Roman"/>
          <w:sz w:val="22"/>
          <w:szCs w:val="22"/>
          <w:lang w:val="fr-BE"/>
        </w:rPr>
        <w:t>u</w:t>
      </w:r>
      <w:r w:rsidR="00B6084B">
        <w:rPr>
          <w:rFonts w:cs="Times New Roman"/>
          <w:sz w:val="22"/>
          <w:szCs w:val="22"/>
          <w:lang w:val="fr-BE"/>
        </w:rPr>
        <w:t>n</w:t>
      </w:r>
      <w:r w:rsidR="00DA3AB2" w:rsidRPr="004F2163">
        <w:rPr>
          <w:rFonts w:cs="Times New Roman"/>
          <w:sz w:val="22"/>
          <w:szCs w:val="22"/>
          <w:lang w:val="fr-BE"/>
        </w:rPr>
        <w:t xml:space="preserve"> rôle de traduction des normes </w:t>
      </w:r>
      <w:r w:rsidR="00640B20">
        <w:rPr>
          <w:rFonts w:cs="Times New Roman"/>
          <w:sz w:val="22"/>
          <w:szCs w:val="22"/>
          <w:lang w:val="fr-BE"/>
        </w:rPr>
        <w:t>européennes</w:t>
      </w:r>
      <w:r w:rsidR="00DA3AB2" w:rsidRPr="004F2163">
        <w:rPr>
          <w:rFonts w:cs="Times New Roman"/>
          <w:sz w:val="22"/>
          <w:szCs w:val="22"/>
          <w:lang w:val="fr-BE"/>
        </w:rPr>
        <w:t xml:space="preserve"> vers un rôle d</w:t>
      </w:r>
      <w:r w:rsidR="001B579A" w:rsidRPr="001B579A">
        <w:rPr>
          <w:rFonts w:cs="Times New Roman"/>
          <w:sz w:val="22"/>
          <w:szCs w:val="22"/>
          <w:lang w:val="fr-BE"/>
        </w:rPr>
        <w:t>e coordination intergouvernementale</w:t>
      </w:r>
      <w:r w:rsidR="003A2839" w:rsidRPr="003A2839">
        <w:rPr>
          <w:rFonts w:cs="Times New Roman"/>
          <w:sz w:val="22"/>
          <w:szCs w:val="22"/>
          <w:lang w:val="fr-BE"/>
        </w:rPr>
        <w:t xml:space="preserve">. </w:t>
      </w:r>
      <w:r w:rsidR="00C9183B">
        <w:rPr>
          <w:rFonts w:cs="Times New Roman"/>
          <w:sz w:val="22"/>
          <w:szCs w:val="22"/>
          <w:lang w:val="fr-BE"/>
        </w:rPr>
        <w:t>L</w:t>
      </w:r>
      <w:r w:rsidR="00DA3AB2" w:rsidRPr="004F2163">
        <w:rPr>
          <w:rFonts w:cs="Times New Roman"/>
          <w:sz w:val="22"/>
          <w:szCs w:val="22"/>
          <w:lang w:val="fr-BE"/>
        </w:rPr>
        <w:t>’entrée en vigueur de la sixième réforme de l’État</w:t>
      </w:r>
      <w:r w:rsidR="0086161D">
        <w:rPr>
          <w:rFonts w:cs="Times New Roman"/>
          <w:sz w:val="22"/>
          <w:szCs w:val="22"/>
          <w:lang w:val="fr-BE"/>
        </w:rPr>
        <w:t xml:space="preserve"> et</w:t>
      </w:r>
      <w:r w:rsidR="00640B20">
        <w:rPr>
          <w:rFonts w:cs="Times New Roman"/>
          <w:sz w:val="22"/>
          <w:szCs w:val="22"/>
          <w:lang w:val="fr-BE"/>
        </w:rPr>
        <w:t xml:space="preserve"> la</w:t>
      </w:r>
      <w:r w:rsidR="00640B20" w:rsidRPr="004F2163">
        <w:rPr>
          <w:rFonts w:cs="Times New Roman"/>
          <w:sz w:val="22"/>
          <w:szCs w:val="22"/>
          <w:lang w:val="fr-BE"/>
        </w:rPr>
        <w:t xml:space="preserve"> </w:t>
      </w:r>
      <w:r w:rsidR="0086161D">
        <w:rPr>
          <w:rFonts w:cs="Times New Roman"/>
          <w:sz w:val="22"/>
          <w:szCs w:val="22"/>
          <w:lang w:val="fr-BE"/>
        </w:rPr>
        <w:t xml:space="preserve">mise en œuvre des obligations découlant de la </w:t>
      </w:r>
      <w:r w:rsidR="00DA3AB2" w:rsidRPr="004F2163">
        <w:rPr>
          <w:rFonts w:cs="Times New Roman"/>
          <w:sz w:val="22"/>
          <w:szCs w:val="22"/>
          <w:lang w:val="fr-BE"/>
        </w:rPr>
        <w:t xml:space="preserve">nouvelle gouvernance économique européenne </w:t>
      </w:r>
      <w:r w:rsidR="00640B20">
        <w:rPr>
          <w:rFonts w:cs="Times New Roman"/>
          <w:sz w:val="22"/>
          <w:szCs w:val="22"/>
          <w:lang w:val="fr-BE"/>
        </w:rPr>
        <w:t xml:space="preserve">devraient consolider </w:t>
      </w:r>
      <w:r w:rsidR="002C3ED1">
        <w:rPr>
          <w:rFonts w:cs="Times New Roman"/>
          <w:sz w:val="22"/>
          <w:szCs w:val="22"/>
          <w:lang w:val="fr-BE"/>
        </w:rPr>
        <w:t>l’assise institutionnelle de</w:t>
      </w:r>
      <w:r w:rsidR="00640B20">
        <w:rPr>
          <w:rFonts w:cs="Times New Roman"/>
          <w:sz w:val="22"/>
          <w:szCs w:val="22"/>
          <w:lang w:val="fr-BE"/>
        </w:rPr>
        <w:t xml:space="preserve"> la section</w:t>
      </w:r>
      <w:r w:rsidR="00AB3B30">
        <w:rPr>
          <w:rFonts w:cs="Times New Roman"/>
          <w:sz w:val="22"/>
          <w:szCs w:val="22"/>
          <w:lang w:val="fr-BE"/>
        </w:rPr>
        <w:t xml:space="preserve"> à l’avenir</w:t>
      </w:r>
      <w:r w:rsidR="001B579A" w:rsidRPr="001B579A">
        <w:rPr>
          <w:rFonts w:cs="Times New Roman"/>
          <w:sz w:val="22"/>
          <w:szCs w:val="22"/>
          <w:lang w:val="fr-BE"/>
        </w:rPr>
        <w:t>.</w:t>
      </w:r>
    </w:p>
    <w:p w14:paraId="45068BDE" w14:textId="77777777" w:rsidR="006B11F4" w:rsidRPr="004F2163" w:rsidRDefault="006B11F4" w:rsidP="006B11F4">
      <w:pPr>
        <w:pBdr>
          <w:top w:val="single" w:sz="4" w:space="1" w:color="auto"/>
          <w:left w:val="single" w:sz="4" w:space="4" w:color="auto"/>
          <w:bottom w:val="single" w:sz="4" w:space="1" w:color="auto"/>
          <w:right w:val="single" w:sz="4" w:space="4" w:color="auto"/>
        </w:pBdr>
        <w:spacing w:line="240" w:lineRule="auto"/>
        <w:jc w:val="both"/>
        <w:rPr>
          <w:rFonts w:cs="Times New Roman"/>
          <w:sz w:val="22"/>
          <w:szCs w:val="22"/>
          <w:lang w:val="fr-BE"/>
        </w:rPr>
      </w:pPr>
    </w:p>
    <w:p w14:paraId="27308CB5" w14:textId="77777777" w:rsidR="003C4D94" w:rsidRPr="004F2163" w:rsidRDefault="003A2839" w:rsidP="003C4D94">
      <w:pPr>
        <w:jc w:val="both"/>
        <w:rPr>
          <w:rFonts w:cs="Times New Roman"/>
          <w:lang w:val="fr-BE"/>
        </w:rPr>
      </w:pPr>
      <w:r w:rsidRPr="003A2839">
        <w:rPr>
          <w:rFonts w:cs="Times New Roman"/>
          <w:lang w:val="fr-BE"/>
        </w:rPr>
        <w:br w:type="page"/>
      </w:r>
    </w:p>
    <w:p w14:paraId="0C92B30E" w14:textId="77777777" w:rsidR="005E1DC5" w:rsidRPr="004F2163" w:rsidRDefault="008A7568" w:rsidP="006B11F4">
      <w:pPr>
        <w:rPr>
          <w:rFonts w:cs="Times New Roman"/>
          <w:b/>
          <w:sz w:val="22"/>
          <w:szCs w:val="22"/>
          <w:lang w:val="fr-BE"/>
        </w:rPr>
      </w:pPr>
      <w:r w:rsidRPr="008A7568">
        <w:rPr>
          <w:rFonts w:cs="Times New Roman"/>
          <w:b/>
          <w:sz w:val="22"/>
          <w:szCs w:val="22"/>
          <w:lang w:val="fr-BE"/>
        </w:rPr>
        <w:lastRenderedPageBreak/>
        <w:t>Introduction</w:t>
      </w:r>
    </w:p>
    <w:p w14:paraId="72EBD582" w14:textId="77777777" w:rsidR="006B11F4" w:rsidRPr="004F2163" w:rsidRDefault="006B11F4" w:rsidP="007674A2">
      <w:pPr>
        <w:spacing w:line="240" w:lineRule="auto"/>
        <w:rPr>
          <w:rFonts w:cs="Times New Roman"/>
          <w:sz w:val="22"/>
          <w:szCs w:val="22"/>
          <w:lang w:val="fr-BE"/>
        </w:rPr>
      </w:pPr>
    </w:p>
    <w:p w14:paraId="5C6AC99F" w14:textId="77777777" w:rsidR="00396479" w:rsidRPr="004F2163" w:rsidRDefault="001B579A" w:rsidP="006B11F4">
      <w:pPr>
        <w:spacing w:line="240" w:lineRule="auto"/>
        <w:jc w:val="both"/>
        <w:rPr>
          <w:rFonts w:cs="Times New Roman"/>
          <w:sz w:val="22"/>
          <w:szCs w:val="22"/>
          <w:lang w:val="fr-BE"/>
        </w:rPr>
      </w:pPr>
      <w:r>
        <w:rPr>
          <w:rFonts w:cs="Times New Roman"/>
          <w:sz w:val="22"/>
          <w:szCs w:val="22"/>
          <w:lang w:val="fr-BE"/>
        </w:rPr>
        <w:t xml:space="preserve">La crise des finances publiques qui sévit dans de nombreux États à la suite de la plus importante crise financière de l’après-guerre a engendré un regain d’intérêt pour l’étude des </w:t>
      </w:r>
      <w:r>
        <w:rPr>
          <w:rFonts w:cs="Times New Roman"/>
          <w:i/>
          <w:sz w:val="22"/>
          <w:szCs w:val="22"/>
          <w:lang w:val="fr-BE"/>
        </w:rPr>
        <w:t>conseils budgétaires</w:t>
      </w:r>
      <w:r w:rsidR="001D48D9" w:rsidRPr="004F2163">
        <w:rPr>
          <w:rStyle w:val="Appelnotedebasdep"/>
          <w:rFonts w:cs="Times New Roman"/>
          <w:i/>
          <w:sz w:val="22"/>
          <w:szCs w:val="22"/>
          <w:lang w:val="fr-BE"/>
        </w:rPr>
        <w:footnoteReference w:id="2"/>
      </w:r>
      <w:r w:rsidR="004C527F" w:rsidRPr="004F2163">
        <w:rPr>
          <w:rFonts w:cs="Times New Roman"/>
          <w:sz w:val="22"/>
          <w:szCs w:val="22"/>
          <w:lang w:val="fr-BE"/>
        </w:rPr>
        <w:t xml:space="preserve"> </w:t>
      </w:r>
      <w:r>
        <w:rPr>
          <w:rFonts w:cs="Times New Roman"/>
          <w:sz w:val="22"/>
          <w:szCs w:val="22"/>
          <w:lang w:val="fr-BE"/>
        </w:rPr>
        <w:t>nationaux (Commission européenne, 2010 ; Hagemann, 2011 ; FMI, 2013 ; Kopits, 2013). En Belgique, ce rôle échoit depuis 1989 à la section ‘Besoins de financement des pouvoirs publics’ du Cons</w:t>
      </w:r>
      <w:r w:rsidR="0086161D">
        <w:rPr>
          <w:rFonts w:cs="Times New Roman"/>
          <w:sz w:val="22"/>
          <w:szCs w:val="22"/>
          <w:lang w:val="fr-BE"/>
        </w:rPr>
        <w:t>eil supérieur des Finances</w:t>
      </w:r>
      <w:r>
        <w:rPr>
          <w:rFonts w:cs="Times New Roman"/>
          <w:sz w:val="22"/>
          <w:szCs w:val="22"/>
          <w:lang w:val="fr-BE"/>
        </w:rPr>
        <w:t xml:space="preserve">. Un quart de siècle après sa création, il apparaît opportun de s’interroger sur les </w:t>
      </w:r>
      <w:r w:rsidR="0048598F">
        <w:rPr>
          <w:rFonts w:cs="Times New Roman"/>
          <w:sz w:val="22"/>
          <w:szCs w:val="22"/>
          <w:lang w:val="fr-BE"/>
        </w:rPr>
        <w:t>paramètres qui déterminent l</w:t>
      </w:r>
      <w:r>
        <w:rPr>
          <w:rFonts w:cs="Times New Roman"/>
          <w:sz w:val="22"/>
          <w:szCs w:val="22"/>
          <w:lang w:val="fr-BE"/>
        </w:rPr>
        <w:t>’influence de cet</w:t>
      </w:r>
      <w:r w:rsidR="002C3ED1">
        <w:rPr>
          <w:rFonts w:cs="Times New Roman"/>
          <w:sz w:val="22"/>
          <w:szCs w:val="22"/>
          <w:lang w:val="fr-BE"/>
        </w:rPr>
        <w:t xml:space="preserve"> organe </w:t>
      </w:r>
      <w:r>
        <w:rPr>
          <w:rFonts w:cs="Times New Roman"/>
          <w:sz w:val="22"/>
          <w:szCs w:val="22"/>
          <w:lang w:val="fr-BE"/>
        </w:rPr>
        <w:t xml:space="preserve">sur la politique budgétaire belge. </w:t>
      </w:r>
    </w:p>
    <w:p w14:paraId="07C5BA19" w14:textId="77777777" w:rsidR="00396479" w:rsidRPr="004F2163" w:rsidRDefault="00396479" w:rsidP="006B11F4">
      <w:pPr>
        <w:spacing w:line="240" w:lineRule="auto"/>
        <w:jc w:val="both"/>
        <w:rPr>
          <w:rFonts w:cs="Times New Roman"/>
          <w:sz w:val="22"/>
          <w:szCs w:val="22"/>
          <w:lang w:val="fr-BE"/>
        </w:rPr>
      </w:pPr>
    </w:p>
    <w:p w14:paraId="478102AF" w14:textId="77777777" w:rsidR="007A5E71" w:rsidRPr="004F2163" w:rsidRDefault="001B579A" w:rsidP="006B11F4">
      <w:pPr>
        <w:spacing w:line="240" w:lineRule="auto"/>
        <w:jc w:val="both"/>
        <w:rPr>
          <w:rFonts w:cs="Times New Roman"/>
          <w:sz w:val="22"/>
          <w:szCs w:val="22"/>
          <w:lang w:val="fr-BE"/>
        </w:rPr>
      </w:pPr>
      <w:r>
        <w:rPr>
          <w:rFonts w:cs="Times New Roman"/>
          <w:sz w:val="22"/>
          <w:szCs w:val="22"/>
          <w:lang w:val="fr-BE"/>
        </w:rPr>
        <w:t xml:space="preserve">Après </w:t>
      </w:r>
      <w:r w:rsidR="002C3ED1">
        <w:rPr>
          <w:rFonts w:cs="Times New Roman"/>
          <w:sz w:val="22"/>
          <w:szCs w:val="22"/>
          <w:lang w:val="fr-BE"/>
        </w:rPr>
        <w:t>avoir rappelé</w:t>
      </w:r>
      <w:r>
        <w:rPr>
          <w:rFonts w:cs="Times New Roman"/>
          <w:sz w:val="22"/>
          <w:szCs w:val="22"/>
          <w:lang w:val="fr-BE"/>
        </w:rPr>
        <w:t xml:space="preserve"> l’historique, la composition et </w:t>
      </w:r>
      <w:r w:rsidR="002C3ED1">
        <w:rPr>
          <w:rFonts w:cs="Times New Roman"/>
          <w:sz w:val="22"/>
          <w:szCs w:val="22"/>
          <w:lang w:val="fr-BE"/>
        </w:rPr>
        <w:t>l</w:t>
      </w:r>
      <w:r>
        <w:rPr>
          <w:rFonts w:cs="Times New Roman"/>
          <w:sz w:val="22"/>
          <w:szCs w:val="22"/>
          <w:lang w:val="fr-BE"/>
        </w:rPr>
        <w:t>es missions de la</w:t>
      </w:r>
      <w:r w:rsidR="002C3ED1">
        <w:rPr>
          <w:rFonts w:cs="Times New Roman"/>
          <w:sz w:val="22"/>
          <w:szCs w:val="22"/>
          <w:lang w:val="fr-BE"/>
        </w:rPr>
        <w:t>dite</w:t>
      </w:r>
      <w:r>
        <w:rPr>
          <w:rFonts w:cs="Times New Roman"/>
          <w:sz w:val="22"/>
          <w:szCs w:val="22"/>
          <w:lang w:val="fr-BE"/>
        </w:rPr>
        <w:t xml:space="preserve"> section, cet article </w:t>
      </w:r>
      <w:r w:rsidR="0070144F">
        <w:rPr>
          <w:rFonts w:cs="Times New Roman"/>
          <w:sz w:val="22"/>
          <w:szCs w:val="22"/>
          <w:lang w:val="fr-BE"/>
        </w:rPr>
        <w:t>aborde la question de</w:t>
      </w:r>
      <w:r>
        <w:rPr>
          <w:rFonts w:cs="Times New Roman"/>
          <w:sz w:val="22"/>
          <w:szCs w:val="22"/>
          <w:lang w:val="fr-BE"/>
        </w:rPr>
        <w:t xml:space="preserve"> son impact sur la décision politique à partir d’une posture inductive. L’étude des politiques budgétaires menées en 1993, 2004 et 2012 révèle que </w:t>
      </w:r>
      <w:r w:rsidR="002C3ED1">
        <w:rPr>
          <w:rFonts w:cs="Times New Roman"/>
          <w:sz w:val="22"/>
          <w:szCs w:val="22"/>
          <w:lang w:val="fr-BE"/>
        </w:rPr>
        <w:t xml:space="preserve">son </w:t>
      </w:r>
      <w:r>
        <w:rPr>
          <w:rFonts w:cs="Times New Roman"/>
          <w:sz w:val="22"/>
          <w:szCs w:val="22"/>
          <w:lang w:val="fr-BE"/>
        </w:rPr>
        <w:t xml:space="preserve">influence a sensiblement </w:t>
      </w:r>
      <w:r w:rsidR="0048598F">
        <w:rPr>
          <w:rFonts w:cs="Times New Roman"/>
          <w:sz w:val="22"/>
          <w:szCs w:val="22"/>
          <w:lang w:val="fr-BE"/>
        </w:rPr>
        <w:t xml:space="preserve">varié au fil du temps. Afin d’expliquer cette évolution, cinq facteurs issus d’une analyse </w:t>
      </w:r>
      <w:r>
        <w:rPr>
          <w:rFonts w:cs="Times New Roman"/>
          <w:sz w:val="22"/>
          <w:szCs w:val="22"/>
          <w:lang w:val="fr-BE"/>
        </w:rPr>
        <w:t>d</w:t>
      </w:r>
      <w:r w:rsidR="00663956">
        <w:rPr>
          <w:rFonts w:cs="Times New Roman"/>
          <w:sz w:val="22"/>
          <w:szCs w:val="22"/>
          <w:lang w:val="fr-BE"/>
        </w:rPr>
        <w:t>e</w:t>
      </w:r>
      <w:r>
        <w:rPr>
          <w:rFonts w:cs="Times New Roman"/>
          <w:sz w:val="22"/>
          <w:szCs w:val="22"/>
          <w:lang w:val="fr-BE"/>
        </w:rPr>
        <w:t xml:space="preserve"> contenu de quinze entretiens semi-directifs d’experts et d’hommes politiques de premier plan</w:t>
      </w:r>
      <w:r w:rsidR="0048598F">
        <w:rPr>
          <w:rFonts w:cs="Times New Roman"/>
          <w:sz w:val="22"/>
          <w:szCs w:val="22"/>
          <w:lang w:val="fr-BE"/>
        </w:rPr>
        <w:t xml:space="preserve"> </w:t>
      </w:r>
      <w:r w:rsidR="0070144F">
        <w:rPr>
          <w:rFonts w:cs="Times New Roman"/>
          <w:sz w:val="22"/>
          <w:szCs w:val="22"/>
          <w:lang w:val="fr-BE"/>
        </w:rPr>
        <w:t>font l’objet</w:t>
      </w:r>
      <w:r w:rsidR="0048598F">
        <w:rPr>
          <w:rFonts w:cs="Times New Roman"/>
          <w:sz w:val="22"/>
          <w:szCs w:val="22"/>
          <w:lang w:val="fr-BE"/>
        </w:rPr>
        <w:t xml:space="preserve"> d’un examen approfondi. Cet exercice</w:t>
      </w:r>
      <w:r>
        <w:rPr>
          <w:rFonts w:cs="Times New Roman"/>
          <w:sz w:val="22"/>
          <w:szCs w:val="22"/>
          <w:lang w:val="fr-BE"/>
        </w:rPr>
        <w:t xml:space="preserve"> débouche sur l</w:t>
      </w:r>
      <w:r w:rsidR="0048598F">
        <w:rPr>
          <w:rFonts w:cs="Times New Roman"/>
          <w:sz w:val="22"/>
          <w:szCs w:val="22"/>
          <w:lang w:val="fr-BE"/>
        </w:rPr>
        <w:t xml:space="preserve">’élaboration </w:t>
      </w:r>
      <w:r>
        <w:rPr>
          <w:rFonts w:cs="Times New Roman"/>
          <w:sz w:val="22"/>
          <w:szCs w:val="22"/>
          <w:lang w:val="fr-BE"/>
        </w:rPr>
        <w:t>d’un modèle d’évaluation de l’influence de la section ‘Besoins de financement des pouvoirs publics’</w:t>
      </w:r>
      <w:r w:rsidR="0048598F">
        <w:rPr>
          <w:rFonts w:cs="Times New Roman"/>
          <w:sz w:val="22"/>
          <w:szCs w:val="22"/>
          <w:lang w:val="fr-BE"/>
        </w:rPr>
        <w:t xml:space="preserve">, qui </w:t>
      </w:r>
      <w:r w:rsidR="0086161D">
        <w:rPr>
          <w:rFonts w:cs="Times New Roman"/>
          <w:sz w:val="22"/>
          <w:szCs w:val="22"/>
          <w:lang w:val="fr-BE"/>
        </w:rPr>
        <w:t xml:space="preserve">sera ensuite </w:t>
      </w:r>
      <w:r>
        <w:rPr>
          <w:rFonts w:cs="Times New Roman"/>
          <w:sz w:val="22"/>
          <w:szCs w:val="22"/>
          <w:lang w:val="fr-BE"/>
        </w:rPr>
        <w:t xml:space="preserve">mis en perspective avec l’indice élaboré par </w:t>
      </w:r>
      <w:r w:rsidR="0070144F">
        <w:rPr>
          <w:rFonts w:cs="Times New Roman"/>
          <w:sz w:val="22"/>
          <w:szCs w:val="22"/>
          <w:lang w:val="fr-BE"/>
        </w:rPr>
        <w:t xml:space="preserve">L. </w:t>
      </w:r>
      <w:r>
        <w:rPr>
          <w:rFonts w:cs="Times New Roman"/>
          <w:sz w:val="22"/>
          <w:szCs w:val="22"/>
          <w:lang w:val="fr-BE"/>
        </w:rPr>
        <w:t xml:space="preserve">Coene et </w:t>
      </w:r>
      <w:r w:rsidR="0070144F">
        <w:rPr>
          <w:rFonts w:cs="Times New Roman"/>
          <w:sz w:val="22"/>
          <w:szCs w:val="22"/>
          <w:lang w:val="fr-BE"/>
        </w:rPr>
        <w:t xml:space="preserve">G. </w:t>
      </w:r>
      <w:r>
        <w:rPr>
          <w:rFonts w:cs="Times New Roman"/>
          <w:sz w:val="22"/>
          <w:szCs w:val="22"/>
          <w:lang w:val="fr-BE"/>
        </w:rPr>
        <w:t>Langenus (2011). La conclusion de cette contribution en résume les principaux apports et commente les changements à venir.</w:t>
      </w:r>
    </w:p>
    <w:p w14:paraId="3B50D6DB" w14:textId="77777777" w:rsidR="007674A2" w:rsidRPr="004F2163" w:rsidRDefault="007674A2" w:rsidP="006B11F4">
      <w:pPr>
        <w:spacing w:line="240" w:lineRule="auto"/>
        <w:jc w:val="both"/>
        <w:rPr>
          <w:rFonts w:cs="Times New Roman"/>
          <w:sz w:val="22"/>
          <w:szCs w:val="22"/>
          <w:lang w:val="fr-BE"/>
        </w:rPr>
      </w:pPr>
    </w:p>
    <w:p w14:paraId="274F5CE3" w14:textId="77777777" w:rsidR="007A5E71" w:rsidRPr="004F2163" w:rsidRDefault="001B579A" w:rsidP="007674A2">
      <w:pPr>
        <w:jc w:val="both"/>
        <w:rPr>
          <w:rFonts w:cs="Times New Roman"/>
          <w:b/>
          <w:sz w:val="22"/>
          <w:szCs w:val="22"/>
          <w:lang w:val="fr-BE"/>
        </w:rPr>
      </w:pPr>
      <w:r w:rsidRPr="001B579A">
        <w:rPr>
          <w:rFonts w:cs="Times New Roman"/>
          <w:b/>
          <w:sz w:val="22"/>
          <w:szCs w:val="22"/>
          <w:lang w:val="fr-BE"/>
        </w:rPr>
        <w:t>I. La section ‘Besoins de financement des pouvoirs publics’ du CSF</w:t>
      </w:r>
    </w:p>
    <w:p w14:paraId="2AAB3553" w14:textId="77777777" w:rsidR="007674A2" w:rsidRPr="004F2163" w:rsidRDefault="007674A2" w:rsidP="007674A2">
      <w:pPr>
        <w:spacing w:line="240" w:lineRule="auto"/>
        <w:rPr>
          <w:rFonts w:cs="Times New Roman"/>
          <w:sz w:val="22"/>
          <w:szCs w:val="22"/>
          <w:lang w:val="fr-BE"/>
        </w:rPr>
      </w:pPr>
    </w:p>
    <w:p w14:paraId="05298839" w14:textId="77777777" w:rsidR="00A60596" w:rsidRPr="004F2163" w:rsidRDefault="001B579A" w:rsidP="006B11F4">
      <w:pPr>
        <w:autoSpaceDE w:val="0"/>
        <w:autoSpaceDN w:val="0"/>
        <w:adjustRightInd w:val="0"/>
        <w:spacing w:line="240" w:lineRule="auto"/>
        <w:jc w:val="both"/>
        <w:rPr>
          <w:rFonts w:cs="Times New Roman"/>
          <w:sz w:val="22"/>
          <w:szCs w:val="22"/>
          <w:lang w:val="fr-BE"/>
        </w:rPr>
      </w:pPr>
      <w:r>
        <w:rPr>
          <w:rFonts w:cs="Times New Roman"/>
          <w:sz w:val="22"/>
          <w:szCs w:val="22"/>
          <w:lang w:val="fr-BE"/>
        </w:rPr>
        <w:t xml:space="preserve">Le </w:t>
      </w:r>
      <w:r w:rsidR="0086161D">
        <w:rPr>
          <w:rFonts w:cs="Times New Roman"/>
          <w:sz w:val="22"/>
          <w:szCs w:val="22"/>
          <w:lang w:val="fr-BE"/>
        </w:rPr>
        <w:t>Conseil supérieur des Finances (ci-après « </w:t>
      </w:r>
      <w:r>
        <w:rPr>
          <w:rFonts w:cs="Times New Roman"/>
          <w:sz w:val="22"/>
          <w:szCs w:val="22"/>
          <w:lang w:val="fr-BE"/>
        </w:rPr>
        <w:t>CSF</w:t>
      </w:r>
      <w:r w:rsidR="0086161D">
        <w:rPr>
          <w:rFonts w:cs="Times New Roman"/>
          <w:sz w:val="22"/>
          <w:szCs w:val="22"/>
          <w:lang w:val="fr-BE"/>
        </w:rPr>
        <w:t> »)</w:t>
      </w:r>
      <w:r>
        <w:rPr>
          <w:rFonts w:cs="Times New Roman"/>
          <w:sz w:val="22"/>
          <w:szCs w:val="22"/>
          <w:lang w:val="fr-BE"/>
        </w:rPr>
        <w:t xml:space="preserve"> est un organe consultatif créé en 1936. Placé sous l’autorité du ministre des Finances, qui en assume la présidence sans prendre part au vote</w:t>
      </w:r>
      <w:r w:rsidR="00ED6E34" w:rsidRPr="004F2163">
        <w:rPr>
          <w:rStyle w:val="Appelnotedebasdep"/>
          <w:rFonts w:cs="Times New Roman"/>
          <w:sz w:val="22"/>
          <w:szCs w:val="22"/>
          <w:lang w:val="fr-BE"/>
        </w:rPr>
        <w:footnoteReference w:id="3"/>
      </w:r>
      <w:r w:rsidR="00AD4625" w:rsidRPr="004F2163">
        <w:rPr>
          <w:rFonts w:cs="Times New Roman"/>
          <w:sz w:val="22"/>
          <w:szCs w:val="22"/>
          <w:lang w:val="fr-BE"/>
        </w:rPr>
        <w:t xml:space="preserve">, il n’est </w:t>
      </w:r>
      <w:r>
        <w:rPr>
          <w:rFonts w:cs="Times New Roman"/>
          <w:sz w:val="22"/>
          <w:szCs w:val="22"/>
          <w:lang w:val="fr-BE"/>
        </w:rPr>
        <w:t>pas doté d’une personnalité juridique propre. Son secrétariat est assuré par le Service d’Études et de Documentation du SPF Finances, qui est notamment chargé de préparer et d’assister à toutes les réunions ainsi que de rédiger et de conserver les procès-verbaux et décisions du CSF</w:t>
      </w:r>
      <w:r>
        <w:rPr>
          <w:rStyle w:val="Appelnotedebasdep"/>
          <w:rFonts w:cs="Times New Roman"/>
          <w:sz w:val="22"/>
          <w:szCs w:val="22"/>
          <w:lang w:val="fr-BE"/>
        </w:rPr>
        <w:t xml:space="preserve"> </w:t>
      </w:r>
      <w:r w:rsidR="00452B38" w:rsidRPr="004F2163">
        <w:rPr>
          <w:rStyle w:val="Appelnotedebasdep"/>
          <w:rFonts w:cs="Times New Roman"/>
          <w:sz w:val="22"/>
          <w:szCs w:val="22"/>
          <w:lang w:val="fr-BE"/>
        </w:rPr>
        <w:footnoteReference w:id="4"/>
      </w:r>
      <w:r w:rsidR="00452B38" w:rsidRPr="004F2163">
        <w:rPr>
          <w:rFonts w:cs="Times New Roman"/>
          <w:sz w:val="22"/>
          <w:szCs w:val="22"/>
          <w:lang w:val="fr-BE"/>
        </w:rPr>
        <w:t xml:space="preserve">. </w:t>
      </w:r>
    </w:p>
    <w:p w14:paraId="255BA8BB" w14:textId="77777777" w:rsidR="00A60596" w:rsidRPr="004F2163" w:rsidRDefault="00A60596" w:rsidP="006B11F4">
      <w:pPr>
        <w:autoSpaceDE w:val="0"/>
        <w:autoSpaceDN w:val="0"/>
        <w:adjustRightInd w:val="0"/>
        <w:spacing w:line="240" w:lineRule="auto"/>
        <w:jc w:val="both"/>
        <w:rPr>
          <w:rFonts w:cs="Times New Roman"/>
          <w:sz w:val="22"/>
          <w:szCs w:val="22"/>
          <w:lang w:val="fr-BE"/>
        </w:rPr>
      </w:pPr>
    </w:p>
    <w:p w14:paraId="4864E659" w14:textId="77777777" w:rsidR="00F20E4B" w:rsidRPr="004F2163" w:rsidRDefault="002D4472" w:rsidP="006B11F4">
      <w:pPr>
        <w:autoSpaceDE w:val="0"/>
        <w:autoSpaceDN w:val="0"/>
        <w:adjustRightInd w:val="0"/>
        <w:spacing w:line="240" w:lineRule="auto"/>
        <w:jc w:val="both"/>
        <w:rPr>
          <w:rFonts w:cs="Times New Roman"/>
          <w:sz w:val="22"/>
          <w:szCs w:val="22"/>
          <w:lang w:val="fr-BE"/>
        </w:rPr>
      </w:pPr>
      <w:r w:rsidRPr="00B246CC">
        <w:rPr>
          <w:rFonts w:cs="Times New Roman"/>
          <w:sz w:val="22"/>
          <w:szCs w:val="22"/>
          <w:lang w:val="fr-BE"/>
        </w:rPr>
        <w:lastRenderedPageBreak/>
        <w:t>Le rôle du CSF a considérablement varié au cours du temps</w:t>
      </w:r>
      <w:r w:rsidR="00BB639A" w:rsidRPr="004F2163">
        <w:rPr>
          <w:rStyle w:val="Appelnotedebasdep"/>
          <w:rFonts w:cs="Times New Roman"/>
          <w:sz w:val="22"/>
          <w:szCs w:val="22"/>
          <w:lang w:val="fr-BE"/>
        </w:rPr>
        <w:footnoteReference w:id="5"/>
      </w:r>
      <w:r w:rsidR="00595156" w:rsidRPr="004F2163">
        <w:rPr>
          <w:rFonts w:cs="Times New Roman"/>
          <w:sz w:val="22"/>
          <w:szCs w:val="22"/>
          <w:lang w:val="fr-BE"/>
        </w:rPr>
        <w:t>.</w:t>
      </w:r>
      <w:r w:rsidRPr="00B246CC">
        <w:rPr>
          <w:rFonts w:cs="Times New Roman"/>
          <w:sz w:val="22"/>
          <w:szCs w:val="22"/>
          <w:lang w:val="fr-BE"/>
        </w:rPr>
        <w:t xml:space="preserve"> </w:t>
      </w:r>
      <w:r w:rsidR="00C9183B">
        <w:rPr>
          <w:rFonts w:cs="Times New Roman"/>
          <w:sz w:val="22"/>
          <w:szCs w:val="22"/>
          <w:lang w:val="fr-BE"/>
        </w:rPr>
        <w:t>Depuis</w:t>
      </w:r>
      <w:r w:rsidRPr="00B246CC">
        <w:rPr>
          <w:rFonts w:cs="Times New Roman"/>
          <w:sz w:val="22"/>
          <w:szCs w:val="22"/>
          <w:lang w:val="fr-BE"/>
        </w:rPr>
        <w:t xml:space="preserve"> la réforme d</w:t>
      </w:r>
      <w:r w:rsidR="0093324D">
        <w:rPr>
          <w:rFonts w:cs="Times New Roman"/>
          <w:sz w:val="22"/>
          <w:szCs w:val="22"/>
          <w:lang w:val="fr-BE"/>
        </w:rPr>
        <w:t>’avril</w:t>
      </w:r>
      <w:r w:rsidRPr="00B246CC">
        <w:rPr>
          <w:rFonts w:cs="Times New Roman"/>
          <w:sz w:val="22"/>
          <w:szCs w:val="22"/>
          <w:lang w:val="fr-BE"/>
        </w:rPr>
        <w:t xml:space="preserve"> 2006, sa mission consiste </w:t>
      </w:r>
      <w:r w:rsidR="0093324D" w:rsidRPr="008A7568">
        <w:rPr>
          <w:rFonts w:cs="Times New Roman"/>
          <w:sz w:val="22"/>
          <w:szCs w:val="22"/>
          <w:lang w:val="fr-BE"/>
        </w:rPr>
        <w:t>formelle</w:t>
      </w:r>
      <w:r w:rsidR="0093324D">
        <w:rPr>
          <w:rFonts w:cs="Times New Roman"/>
          <w:sz w:val="22"/>
          <w:szCs w:val="22"/>
          <w:lang w:val="fr-BE"/>
        </w:rPr>
        <w:t>ment</w:t>
      </w:r>
      <w:r w:rsidR="0093324D" w:rsidRPr="008A7568">
        <w:rPr>
          <w:rFonts w:cs="Times New Roman"/>
          <w:sz w:val="22"/>
          <w:szCs w:val="22"/>
          <w:lang w:val="fr-BE"/>
        </w:rPr>
        <w:t xml:space="preserve"> </w:t>
      </w:r>
      <w:r w:rsidRPr="00B246CC">
        <w:rPr>
          <w:rFonts w:cs="Times New Roman"/>
          <w:sz w:val="22"/>
          <w:szCs w:val="22"/>
          <w:lang w:val="fr-BE"/>
        </w:rPr>
        <w:t xml:space="preserve">à </w:t>
      </w:r>
      <w:r w:rsidRPr="00B246CC">
        <w:rPr>
          <w:rFonts w:cs="Times New Roman"/>
          <w:i/>
          <w:sz w:val="22"/>
          <w:szCs w:val="22"/>
          <w:lang w:val="fr-BE"/>
        </w:rPr>
        <w:t>« assister le ministre des Finances et le ministre du Budget dans l’élaboration de la politique fiscale et financière et de la politique budgétaire »</w:t>
      </w:r>
      <w:r w:rsidR="00BB639A" w:rsidRPr="004F2163">
        <w:rPr>
          <w:rStyle w:val="Appelnotedebasdep"/>
          <w:rFonts w:cs="Times New Roman"/>
          <w:sz w:val="22"/>
          <w:szCs w:val="22"/>
          <w:lang w:val="fr-BE"/>
        </w:rPr>
        <w:footnoteReference w:id="6"/>
      </w:r>
      <w:r w:rsidR="00103DD6" w:rsidRPr="004F2163">
        <w:rPr>
          <w:rFonts w:cs="Times New Roman"/>
          <w:sz w:val="22"/>
          <w:szCs w:val="22"/>
          <w:lang w:val="fr-BE"/>
        </w:rPr>
        <w:t xml:space="preserve">. </w:t>
      </w:r>
      <w:r w:rsidRPr="00B246CC">
        <w:rPr>
          <w:rFonts w:cs="Times New Roman"/>
          <w:sz w:val="22"/>
          <w:szCs w:val="22"/>
          <w:lang w:val="fr-BE"/>
        </w:rPr>
        <w:t>Pour mener à bien cette tâche, les membres du CSF sont répartis en trois sections thématiques. À côté des deux sections permanentes, ‘Besoins de financement des pouvoirs publics’</w:t>
      </w:r>
      <w:r w:rsidR="007C32AD">
        <w:rPr>
          <w:rFonts w:cs="Times New Roman"/>
          <w:sz w:val="22"/>
          <w:szCs w:val="22"/>
          <w:lang w:val="fr-BE"/>
        </w:rPr>
        <w:t xml:space="preserve"> </w:t>
      </w:r>
      <w:r w:rsidRPr="00B246CC">
        <w:rPr>
          <w:rFonts w:cs="Times New Roman"/>
          <w:sz w:val="22"/>
          <w:szCs w:val="22"/>
          <w:lang w:val="fr-BE"/>
        </w:rPr>
        <w:t xml:space="preserve">et ‘Fiscalité et parafiscalité’, un Comité d’études sur le vieillissement est chargé depuis 2002 de rédiger </w:t>
      </w:r>
      <w:r w:rsidRPr="00B246CC">
        <w:rPr>
          <w:rFonts w:cs="Times New Roman"/>
          <w:i/>
          <w:sz w:val="22"/>
          <w:szCs w:val="22"/>
          <w:lang w:val="fr-BE"/>
        </w:rPr>
        <w:t>« un rapport annuel examinant les conséquences budgétaires et sociales du vieillissement »</w:t>
      </w:r>
      <w:r w:rsidR="00F802FF" w:rsidRPr="004F2163">
        <w:rPr>
          <w:rStyle w:val="Appelnotedebasdep"/>
          <w:rFonts w:cs="Times New Roman"/>
          <w:sz w:val="22"/>
          <w:szCs w:val="22"/>
          <w:lang w:val="fr-BE"/>
        </w:rPr>
        <w:footnoteReference w:id="7"/>
      </w:r>
      <w:r w:rsidR="004665F7" w:rsidRPr="004F2163">
        <w:rPr>
          <w:rFonts w:cs="Times New Roman"/>
          <w:sz w:val="22"/>
          <w:szCs w:val="22"/>
          <w:lang w:val="fr-BE"/>
        </w:rPr>
        <w:t xml:space="preserve">. </w:t>
      </w:r>
    </w:p>
    <w:p w14:paraId="61E5CB0F" w14:textId="77777777" w:rsidR="007A5E71" w:rsidRPr="004F2163" w:rsidRDefault="007A5E71" w:rsidP="006B11F4">
      <w:pPr>
        <w:spacing w:line="240" w:lineRule="auto"/>
        <w:jc w:val="both"/>
        <w:rPr>
          <w:rFonts w:cs="Times New Roman"/>
          <w:sz w:val="22"/>
          <w:szCs w:val="22"/>
          <w:lang w:val="fr-BE"/>
        </w:rPr>
      </w:pPr>
    </w:p>
    <w:p w14:paraId="47ABD969" w14:textId="77777777" w:rsidR="0086161D" w:rsidRDefault="002D4472" w:rsidP="006B11F4">
      <w:pPr>
        <w:spacing w:line="240" w:lineRule="auto"/>
        <w:jc w:val="both"/>
        <w:rPr>
          <w:rFonts w:cs="Times New Roman"/>
          <w:sz w:val="22"/>
          <w:szCs w:val="22"/>
          <w:lang w:val="fr-BE"/>
        </w:rPr>
      </w:pPr>
      <w:r w:rsidRPr="00B246CC">
        <w:rPr>
          <w:rFonts w:cs="Times New Roman"/>
          <w:sz w:val="22"/>
          <w:szCs w:val="22"/>
          <w:lang w:val="fr-BE"/>
        </w:rPr>
        <w:t xml:space="preserve">La création de la </w:t>
      </w:r>
      <w:r w:rsidR="007C32AD">
        <w:rPr>
          <w:rFonts w:cs="Times New Roman"/>
          <w:sz w:val="22"/>
          <w:szCs w:val="22"/>
          <w:lang w:val="fr-BE"/>
        </w:rPr>
        <w:t>s</w:t>
      </w:r>
      <w:r w:rsidRPr="00B246CC">
        <w:rPr>
          <w:rFonts w:cs="Times New Roman"/>
          <w:sz w:val="22"/>
          <w:szCs w:val="22"/>
          <w:lang w:val="fr-BE"/>
        </w:rPr>
        <w:t>ection</w:t>
      </w:r>
      <w:r w:rsidR="007C32AD">
        <w:rPr>
          <w:rFonts w:cs="Times New Roman"/>
          <w:sz w:val="22"/>
          <w:szCs w:val="22"/>
          <w:lang w:val="fr-BE"/>
        </w:rPr>
        <w:t xml:space="preserve"> </w:t>
      </w:r>
      <w:r w:rsidR="007C32AD" w:rsidRPr="001B579A">
        <w:rPr>
          <w:rFonts w:cs="Times New Roman"/>
          <w:sz w:val="22"/>
          <w:szCs w:val="22"/>
          <w:lang w:val="fr-BE"/>
        </w:rPr>
        <w:t>‘Besoins de financement de</w:t>
      </w:r>
      <w:r w:rsidR="0086161D">
        <w:rPr>
          <w:rFonts w:cs="Times New Roman"/>
          <w:sz w:val="22"/>
          <w:szCs w:val="22"/>
          <w:lang w:val="fr-BE"/>
        </w:rPr>
        <w:t>s pouvoirs publics’ (ci-après « la Section »)</w:t>
      </w:r>
      <w:r w:rsidRPr="00B246CC">
        <w:rPr>
          <w:rFonts w:cs="Times New Roman"/>
          <w:sz w:val="22"/>
          <w:szCs w:val="22"/>
          <w:lang w:val="fr-BE"/>
        </w:rPr>
        <w:t xml:space="preserve"> est une conséquence de la fédéralisation de l’État belge (Van Meensel &amp; Dury, 2008 : 83). Lors de la troisième réforme de l’État (1988-1989), des compétences telles que l’enseignement, les travaux publics, la politique économique et les transports ont été transférées aux entités fédérées. Cette étape majeure du processus de décentralisation a </w:t>
      </w:r>
      <w:r w:rsidR="007C32AD" w:rsidRPr="001B579A">
        <w:rPr>
          <w:rFonts w:cs="Times New Roman"/>
          <w:sz w:val="22"/>
          <w:szCs w:val="22"/>
          <w:lang w:val="fr-BE"/>
        </w:rPr>
        <w:t>substantielle</w:t>
      </w:r>
      <w:r w:rsidR="007C32AD">
        <w:rPr>
          <w:rFonts w:cs="Times New Roman"/>
          <w:sz w:val="22"/>
          <w:szCs w:val="22"/>
          <w:lang w:val="fr-BE"/>
        </w:rPr>
        <w:t>ment</w:t>
      </w:r>
      <w:r w:rsidR="007C32AD" w:rsidRPr="001B579A">
        <w:rPr>
          <w:rFonts w:cs="Times New Roman"/>
          <w:sz w:val="22"/>
          <w:szCs w:val="22"/>
          <w:lang w:val="fr-BE"/>
        </w:rPr>
        <w:t> </w:t>
      </w:r>
      <w:r w:rsidRPr="00B246CC">
        <w:rPr>
          <w:rFonts w:cs="Times New Roman"/>
          <w:sz w:val="22"/>
          <w:szCs w:val="22"/>
          <w:lang w:val="fr-BE"/>
        </w:rPr>
        <w:t>modifié les équilibres existants</w:t>
      </w:r>
      <w:r w:rsidR="007C32AD">
        <w:rPr>
          <w:rFonts w:cs="Times New Roman"/>
          <w:sz w:val="22"/>
          <w:szCs w:val="22"/>
          <w:lang w:val="fr-BE"/>
        </w:rPr>
        <w:t> </w:t>
      </w:r>
      <w:r w:rsidR="0086161D">
        <w:rPr>
          <w:rFonts w:cs="Times New Roman"/>
          <w:sz w:val="22"/>
          <w:szCs w:val="22"/>
          <w:lang w:val="fr-BE"/>
        </w:rPr>
        <w:t>jusqu’alors puisque</w:t>
      </w:r>
      <w:r w:rsidRPr="00B246CC">
        <w:rPr>
          <w:rFonts w:cs="Times New Roman"/>
          <w:sz w:val="22"/>
          <w:szCs w:val="22"/>
          <w:lang w:val="fr-BE"/>
        </w:rPr>
        <w:t xml:space="preserve"> les moyens financiers des entités fédérées ont été multipliés par qua</w:t>
      </w:r>
      <w:r w:rsidR="00350FC2">
        <w:rPr>
          <w:rFonts w:cs="Times New Roman"/>
          <w:sz w:val="22"/>
          <w:szCs w:val="22"/>
          <w:lang w:val="fr-BE"/>
        </w:rPr>
        <w:t>tre (Bayenet &amp; Pagano, 2011</w:t>
      </w:r>
      <w:r w:rsidRPr="00B246CC">
        <w:rPr>
          <w:rFonts w:cs="Times New Roman"/>
          <w:sz w:val="22"/>
          <w:szCs w:val="22"/>
          <w:lang w:val="fr-BE"/>
        </w:rPr>
        <w:t>)</w:t>
      </w:r>
      <w:r w:rsidR="0086161D">
        <w:rPr>
          <w:rFonts w:cs="Times New Roman"/>
          <w:sz w:val="22"/>
          <w:szCs w:val="22"/>
          <w:lang w:val="fr-BE"/>
        </w:rPr>
        <w:t>.</w:t>
      </w:r>
      <w:r w:rsidRPr="00B246CC">
        <w:rPr>
          <w:rFonts w:cs="Times New Roman"/>
          <w:sz w:val="22"/>
          <w:szCs w:val="22"/>
          <w:lang w:val="fr-BE"/>
        </w:rPr>
        <w:t xml:space="preserve"> </w:t>
      </w:r>
      <w:r w:rsidR="0086161D">
        <w:rPr>
          <w:rFonts w:cs="Times New Roman"/>
          <w:sz w:val="22"/>
          <w:szCs w:val="22"/>
          <w:lang w:val="fr-BE"/>
        </w:rPr>
        <w:t>L</w:t>
      </w:r>
      <w:r w:rsidRPr="00B246CC">
        <w:rPr>
          <w:rFonts w:cs="Times New Roman"/>
          <w:sz w:val="22"/>
          <w:szCs w:val="22"/>
          <w:lang w:val="fr-BE"/>
        </w:rPr>
        <w:t>e</w:t>
      </w:r>
      <w:r w:rsidR="0093324D">
        <w:rPr>
          <w:rFonts w:cs="Times New Roman"/>
          <w:sz w:val="22"/>
          <w:szCs w:val="22"/>
          <w:lang w:val="fr-BE"/>
        </w:rPr>
        <w:t>ur</w:t>
      </w:r>
      <w:r w:rsidRPr="00B246CC">
        <w:rPr>
          <w:rFonts w:cs="Times New Roman"/>
          <w:sz w:val="22"/>
          <w:szCs w:val="22"/>
          <w:lang w:val="fr-BE"/>
        </w:rPr>
        <w:t xml:space="preserve"> mode de financement a également </w:t>
      </w:r>
      <w:r w:rsidR="007C32AD">
        <w:rPr>
          <w:rFonts w:cs="Times New Roman"/>
          <w:sz w:val="22"/>
          <w:szCs w:val="22"/>
          <w:lang w:val="fr-BE"/>
        </w:rPr>
        <w:t>fait l’objet d’une révision f</w:t>
      </w:r>
      <w:r w:rsidR="0086161D">
        <w:rPr>
          <w:rFonts w:cs="Times New Roman"/>
          <w:sz w:val="22"/>
          <w:szCs w:val="22"/>
          <w:lang w:val="fr-BE"/>
        </w:rPr>
        <w:t>ondamentale : l</w:t>
      </w:r>
      <w:r w:rsidRPr="00B246CC">
        <w:rPr>
          <w:rFonts w:cs="Times New Roman"/>
          <w:sz w:val="22"/>
          <w:szCs w:val="22"/>
          <w:lang w:val="fr-BE"/>
        </w:rPr>
        <w:t xml:space="preserve">a loi spéciale de financement des Communautés et des Régions octroie en effet une responsabilité financière accrue ainsi qu’une </w:t>
      </w:r>
      <w:r w:rsidRPr="00B246CC">
        <w:rPr>
          <w:rFonts w:cs="Times New Roman"/>
          <w:i/>
          <w:sz w:val="22"/>
          <w:szCs w:val="22"/>
          <w:lang w:val="fr-BE"/>
        </w:rPr>
        <w:t>autonomie budgétaire</w:t>
      </w:r>
      <w:r w:rsidRPr="00B246CC">
        <w:rPr>
          <w:rFonts w:cs="Times New Roman"/>
          <w:sz w:val="22"/>
          <w:szCs w:val="22"/>
          <w:lang w:val="fr-BE"/>
        </w:rPr>
        <w:t xml:space="preserve"> totale aux entités fédérées (Bayenet </w:t>
      </w:r>
      <w:r w:rsidRPr="00B246CC">
        <w:rPr>
          <w:rFonts w:cs="Times New Roman"/>
          <w:i/>
          <w:sz w:val="22"/>
          <w:szCs w:val="22"/>
          <w:lang w:val="fr-BE"/>
        </w:rPr>
        <w:t xml:space="preserve">et </w:t>
      </w:r>
      <w:proofErr w:type="gramStart"/>
      <w:r w:rsidRPr="00B246CC">
        <w:rPr>
          <w:rFonts w:cs="Times New Roman"/>
          <w:i/>
          <w:sz w:val="22"/>
          <w:szCs w:val="22"/>
          <w:lang w:val="fr-BE"/>
        </w:rPr>
        <w:t>al</w:t>
      </w:r>
      <w:r w:rsidRPr="00B246CC">
        <w:rPr>
          <w:rFonts w:cs="Times New Roman"/>
          <w:sz w:val="22"/>
          <w:szCs w:val="22"/>
          <w:lang w:val="fr-BE"/>
        </w:rPr>
        <w:t>.,</w:t>
      </w:r>
      <w:proofErr w:type="gramEnd"/>
      <w:r w:rsidRPr="00B246CC">
        <w:rPr>
          <w:rFonts w:cs="Times New Roman"/>
          <w:sz w:val="22"/>
          <w:szCs w:val="22"/>
          <w:lang w:val="fr-BE"/>
        </w:rPr>
        <w:t xml:space="preserve"> 2000). </w:t>
      </w:r>
    </w:p>
    <w:p w14:paraId="26C07E9E" w14:textId="77777777" w:rsidR="0086161D" w:rsidRDefault="0086161D" w:rsidP="006B11F4">
      <w:pPr>
        <w:spacing w:line="240" w:lineRule="auto"/>
        <w:jc w:val="both"/>
        <w:rPr>
          <w:rFonts w:cs="Times New Roman"/>
          <w:sz w:val="22"/>
          <w:szCs w:val="22"/>
          <w:lang w:val="fr-BE"/>
        </w:rPr>
      </w:pPr>
    </w:p>
    <w:p w14:paraId="41C63556" w14:textId="77777777" w:rsidR="008E0816" w:rsidRPr="004F2163" w:rsidRDefault="002D4472" w:rsidP="006B11F4">
      <w:pPr>
        <w:spacing w:line="240" w:lineRule="auto"/>
        <w:jc w:val="both"/>
        <w:rPr>
          <w:rFonts w:cs="Times New Roman"/>
          <w:sz w:val="22"/>
          <w:szCs w:val="22"/>
          <w:lang w:val="fr-BE"/>
        </w:rPr>
      </w:pPr>
      <w:r w:rsidRPr="00B246CC">
        <w:rPr>
          <w:rFonts w:cs="Times New Roman"/>
          <w:sz w:val="22"/>
          <w:szCs w:val="22"/>
          <w:lang w:val="fr-BE"/>
        </w:rPr>
        <w:t>Le gouvernement fédéral de l’époque redoutait toutefois qu’un</w:t>
      </w:r>
      <w:r w:rsidR="007C32AD">
        <w:rPr>
          <w:rFonts w:cs="Times New Roman"/>
          <w:sz w:val="22"/>
          <w:szCs w:val="22"/>
          <w:lang w:val="fr-BE"/>
        </w:rPr>
        <w:t>e absence</w:t>
      </w:r>
      <w:r w:rsidRPr="00B246CC">
        <w:rPr>
          <w:rFonts w:cs="Times New Roman"/>
          <w:sz w:val="22"/>
          <w:szCs w:val="22"/>
          <w:lang w:val="fr-BE"/>
        </w:rPr>
        <w:t xml:space="preserve"> de coordination budgétaire ne mette en péril la consolidation des finances publiques entamée durant les années </w:t>
      </w:r>
      <w:r w:rsidR="0093324D">
        <w:rPr>
          <w:rFonts w:cs="Times New Roman"/>
          <w:sz w:val="22"/>
          <w:szCs w:val="22"/>
          <w:lang w:val="fr-BE"/>
        </w:rPr>
        <w:t>1980</w:t>
      </w:r>
      <w:r w:rsidRPr="00B246CC">
        <w:rPr>
          <w:rFonts w:cs="Times New Roman"/>
          <w:sz w:val="22"/>
          <w:szCs w:val="22"/>
          <w:lang w:val="fr-BE"/>
        </w:rPr>
        <w:t xml:space="preserve">. Une telle éventualité aurait en effet été préjudiciable à l’Autorité fédérale, </w:t>
      </w:r>
      <w:r w:rsidR="003A37AB">
        <w:rPr>
          <w:rFonts w:cs="Times New Roman"/>
          <w:sz w:val="22"/>
          <w:szCs w:val="22"/>
          <w:lang w:val="fr-BE"/>
        </w:rPr>
        <w:t xml:space="preserve">qui se montre </w:t>
      </w:r>
      <w:r w:rsidRPr="00B246CC">
        <w:rPr>
          <w:rFonts w:cs="Times New Roman"/>
          <w:sz w:val="22"/>
          <w:szCs w:val="22"/>
          <w:lang w:val="fr-BE"/>
        </w:rPr>
        <w:t xml:space="preserve">plus vulnérable </w:t>
      </w:r>
      <w:r w:rsidR="007C32AD" w:rsidRPr="001B579A">
        <w:rPr>
          <w:rFonts w:cs="Times New Roman"/>
          <w:sz w:val="22"/>
          <w:szCs w:val="22"/>
          <w:lang w:val="fr-BE"/>
        </w:rPr>
        <w:t>que les entités fédérées</w:t>
      </w:r>
      <w:r w:rsidR="003A2839">
        <w:rPr>
          <w:rFonts w:cs="Times New Roman"/>
          <w:sz w:val="22"/>
          <w:szCs w:val="22"/>
          <w:lang w:val="fr-BE"/>
        </w:rPr>
        <w:t xml:space="preserve"> </w:t>
      </w:r>
      <w:r w:rsidRPr="00B246CC">
        <w:rPr>
          <w:rFonts w:cs="Times New Roman"/>
          <w:sz w:val="22"/>
          <w:szCs w:val="22"/>
          <w:lang w:val="fr-BE"/>
        </w:rPr>
        <w:t xml:space="preserve">aux chocs externes et </w:t>
      </w:r>
      <w:r w:rsidR="003A37AB">
        <w:rPr>
          <w:rFonts w:cs="Times New Roman"/>
          <w:sz w:val="22"/>
          <w:szCs w:val="22"/>
          <w:lang w:val="fr-BE"/>
        </w:rPr>
        <w:t xml:space="preserve">est la </w:t>
      </w:r>
      <w:r w:rsidRPr="00B246CC">
        <w:rPr>
          <w:rFonts w:cs="Times New Roman"/>
          <w:sz w:val="22"/>
          <w:szCs w:val="22"/>
          <w:lang w:val="fr-BE"/>
        </w:rPr>
        <w:t xml:space="preserve">seule responsable de la politique budgétaire </w:t>
      </w:r>
      <w:r w:rsidR="0086161D">
        <w:rPr>
          <w:rFonts w:cs="Times New Roman"/>
          <w:sz w:val="22"/>
          <w:szCs w:val="22"/>
          <w:lang w:val="fr-BE"/>
        </w:rPr>
        <w:t xml:space="preserve">belge </w:t>
      </w:r>
      <w:r w:rsidRPr="00B246CC">
        <w:rPr>
          <w:rFonts w:cs="Times New Roman"/>
          <w:sz w:val="22"/>
          <w:szCs w:val="22"/>
          <w:lang w:val="fr-BE"/>
        </w:rPr>
        <w:t xml:space="preserve">envers les instances européennes (Van Rompuy, 2005). </w:t>
      </w:r>
    </w:p>
    <w:p w14:paraId="6BF8F816" w14:textId="77777777" w:rsidR="008E0816" w:rsidRPr="004F2163" w:rsidRDefault="008E0816" w:rsidP="006B11F4">
      <w:pPr>
        <w:tabs>
          <w:tab w:val="left" w:pos="3394"/>
        </w:tabs>
        <w:spacing w:line="240" w:lineRule="auto"/>
        <w:jc w:val="both"/>
        <w:rPr>
          <w:rFonts w:cs="Times New Roman"/>
          <w:sz w:val="22"/>
          <w:szCs w:val="22"/>
          <w:lang w:val="fr-BE"/>
        </w:rPr>
      </w:pPr>
    </w:p>
    <w:p w14:paraId="495247A6" w14:textId="77777777" w:rsidR="00B507CD" w:rsidRPr="004F2163" w:rsidRDefault="002D4472" w:rsidP="006B11F4">
      <w:pPr>
        <w:spacing w:line="240" w:lineRule="auto"/>
        <w:jc w:val="both"/>
        <w:rPr>
          <w:rFonts w:cs="Times New Roman"/>
          <w:sz w:val="22"/>
          <w:szCs w:val="22"/>
          <w:lang w:val="fr-BE"/>
        </w:rPr>
      </w:pPr>
      <w:r w:rsidRPr="00B246CC">
        <w:rPr>
          <w:rFonts w:cs="Times New Roman"/>
          <w:sz w:val="22"/>
          <w:szCs w:val="22"/>
          <w:lang w:val="fr-BE"/>
        </w:rPr>
        <w:t>La Section a donc été instituée afin de garantir un certain degré de cohérence en matière de politique budgétaire. Elle se compose de douze membres</w:t>
      </w:r>
      <w:r w:rsidR="0093324D">
        <w:rPr>
          <w:rFonts w:cs="Times New Roman"/>
          <w:sz w:val="22"/>
          <w:szCs w:val="22"/>
          <w:lang w:val="fr-BE"/>
        </w:rPr>
        <w:t>,</w:t>
      </w:r>
      <w:r w:rsidRPr="00B246CC">
        <w:rPr>
          <w:rFonts w:cs="Times New Roman"/>
          <w:sz w:val="22"/>
          <w:szCs w:val="22"/>
          <w:lang w:val="fr-BE"/>
        </w:rPr>
        <w:t xml:space="preserve"> nommés pour un mandat de cinq ans</w:t>
      </w:r>
      <w:r w:rsidR="0086161D">
        <w:rPr>
          <w:rStyle w:val="Appelnotedebasdep"/>
          <w:rFonts w:cs="Times New Roman"/>
          <w:sz w:val="22"/>
          <w:szCs w:val="22"/>
          <w:lang w:val="fr-BE"/>
        </w:rPr>
        <w:footnoteReference w:id="8"/>
      </w:r>
      <w:r w:rsidRPr="00B246CC">
        <w:rPr>
          <w:rFonts w:cs="Times New Roman"/>
          <w:sz w:val="22"/>
          <w:szCs w:val="22"/>
          <w:lang w:val="fr-BE"/>
        </w:rPr>
        <w:t xml:space="preserve"> en raison de leurs </w:t>
      </w:r>
      <w:r w:rsidRPr="00B246CC">
        <w:rPr>
          <w:rFonts w:cs="Times New Roman"/>
          <w:i/>
          <w:sz w:val="22"/>
          <w:szCs w:val="22"/>
          <w:lang w:val="fr-BE"/>
        </w:rPr>
        <w:t xml:space="preserve">« compétences particulières et [de leur] expérience dans le domaine financier et </w:t>
      </w:r>
      <w:r w:rsidRPr="00B246CC">
        <w:rPr>
          <w:rFonts w:cs="Times New Roman"/>
          <w:i/>
          <w:sz w:val="22"/>
          <w:szCs w:val="22"/>
          <w:lang w:val="fr-BE"/>
        </w:rPr>
        <w:lastRenderedPageBreak/>
        <w:t>économique »</w:t>
      </w:r>
      <w:r w:rsidR="008E0816" w:rsidRPr="004F2163">
        <w:rPr>
          <w:rStyle w:val="Appelnotedebasdep"/>
          <w:rFonts w:cs="Times New Roman"/>
          <w:sz w:val="22"/>
          <w:szCs w:val="22"/>
          <w:lang w:val="fr-BE"/>
        </w:rPr>
        <w:footnoteReference w:id="9"/>
      </w:r>
      <w:r w:rsidR="00CE6C31" w:rsidRPr="004F2163">
        <w:rPr>
          <w:rFonts w:cs="Times New Roman"/>
          <w:sz w:val="22"/>
          <w:szCs w:val="22"/>
          <w:lang w:val="fr-BE"/>
        </w:rPr>
        <w:t xml:space="preserve">. </w:t>
      </w:r>
      <w:r w:rsidRPr="00B246CC">
        <w:rPr>
          <w:rFonts w:cs="Times New Roman"/>
          <w:sz w:val="22"/>
          <w:szCs w:val="22"/>
          <w:lang w:val="fr-BE"/>
        </w:rPr>
        <w:t>La répartition de ces membres s’opère sur</w:t>
      </w:r>
      <w:r w:rsidR="0047255A">
        <w:rPr>
          <w:rFonts w:cs="Times New Roman"/>
          <w:sz w:val="22"/>
          <w:szCs w:val="22"/>
          <w:lang w:val="fr-BE"/>
        </w:rPr>
        <w:t xml:space="preserve"> la</w:t>
      </w:r>
      <w:r w:rsidRPr="00B246CC">
        <w:rPr>
          <w:rFonts w:cs="Times New Roman"/>
          <w:sz w:val="22"/>
          <w:szCs w:val="22"/>
          <w:lang w:val="fr-BE"/>
        </w:rPr>
        <w:t xml:space="preserve"> base d’une double parité puisque la parité linguistique – classique en Belgique – s’accompagne d’une parité institutionnelle. </w:t>
      </w:r>
      <w:r w:rsidR="003A37AB">
        <w:rPr>
          <w:rFonts w:cs="Times New Roman"/>
          <w:sz w:val="22"/>
          <w:szCs w:val="22"/>
          <w:lang w:val="fr-BE"/>
        </w:rPr>
        <w:t>En d’autres termes</w:t>
      </w:r>
      <w:r w:rsidRPr="00B246CC">
        <w:rPr>
          <w:rFonts w:cs="Times New Roman"/>
          <w:sz w:val="22"/>
          <w:szCs w:val="22"/>
          <w:lang w:val="fr-BE"/>
        </w:rPr>
        <w:t xml:space="preserve">, six membres sont chargés de représenter </w:t>
      </w:r>
      <w:r w:rsidR="00A127E4">
        <w:rPr>
          <w:rFonts w:cs="Times New Roman"/>
          <w:sz w:val="22"/>
          <w:szCs w:val="22"/>
          <w:lang w:val="fr-BE"/>
        </w:rPr>
        <w:t>l’</w:t>
      </w:r>
      <w:r w:rsidRPr="00B246CC">
        <w:rPr>
          <w:rFonts w:cs="Times New Roman"/>
          <w:i/>
          <w:sz w:val="22"/>
          <w:szCs w:val="22"/>
          <w:lang w:val="fr-BE"/>
        </w:rPr>
        <w:t>entité I</w:t>
      </w:r>
      <w:r w:rsidR="00A127E4">
        <w:rPr>
          <w:rFonts w:cs="Times New Roman"/>
          <w:sz w:val="22"/>
          <w:szCs w:val="22"/>
          <w:lang w:val="fr-BE"/>
        </w:rPr>
        <w:t xml:space="preserve"> (</w:t>
      </w:r>
      <w:r w:rsidRPr="00B246CC">
        <w:rPr>
          <w:rFonts w:cs="Times New Roman"/>
          <w:sz w:val="22"/>
          <w:szCs w:val="22"/>
          <w:lang w:val="fr-BE"/>
        </w:rPr>
        <w:t>l’Autorité fédérale et la Sécurité sociale</w:t>
      </w:r>
      <w:r w:rsidR="00A127E4">
        <w:rPr>
          <w:rFonts w:cs="Times New Roman"/>
          <w:sz w:val="22"/>
          <w:szCs w:val="22"/>
          <w:lang w:val="fr-BE"/>
        </w:rPr>
        <w:t>)</w:t>
      </w:r>
      <w:r w:rsidRPr="00B246CC">
        <w:rPr>
          <w:rFonts w:cs="Times New Roman"/>
          <w:sz w:val="22"/>
          <w:szCs w:val="22"/>
          <w:lang w:val="fr-BE"/>
        </w:rPr>
        <w:t xml:space="preserve">, tandis que les six autres siègent pour le compte </w:t>
      </w:r>
      <w:r w:rsidR="00A127E4">
        <w:rPr>
          <w:rFonts w:cs="Times New Roman"/>
          <w:sz w:val="22"/>
          <w:szCs w:val="22"/>
          <w:lang w:val="fr-BE"/>
        </w:rPr>
        <w:t xml:space="preserve">de </w:t>
      </w:r>
      <w:r w:rsidRPr="00B246CC">
        <w:rPr>
          <w:rFonts w:cs="Times New Roman"/>
          <w:sz w:val="22"/>
          <w:szCs w:val="22"/>
          <w:lang w:val="fr-BE"/>
        </w:rPr>
        <w:t>l’</w:t>
      </w:r>
      <w:r w:rsidR="00A127E4" w:rsidRPr="008A7568">
        <w:rPr>
          <w:rFonts w:cs="Times New Roman"/>
          <w:i/>
          <w:sz w:val="22"/>
          <w:szCs w:val="22"/>
          <w:lang w:val="fr-BE"/>
        </w:rPr>
        <w:t>entité II</w:t>
      </w:r>
      <w:r w:rsidR="00DD1451">
        <w:rPr>
          <w:rFonts w:cs="Times New Roman"/>
          <w:sz w:val="22"/>
          <w:szCs w:val="22"/>
          <w:lang w:val="fr-BE"/>
        </w:rPr>
        <w:t xml:space="preserve"> </w:t>
      </w:r>
      <w:r w:rsidR="00A127E4">
        <w:rPr>
          <w:rFonts w:cs="Times New Roman"/>
          <w:sz w:val="22"/>
          <w:szCs w:val="22"/>
          <w:lang w:val="fr-BE"/>
        </w:rPr>
        <w:t>(l</w:t>
      </w:r>
      <w:r w:rsidRPr="00B246CC">
        <w:rPr>
          <w:rFonts w:cs="Times New Roman"/>
          <w:sz w:val="22"/>
          <w:szCs w:val="22"/>
          <w:lang w:val="fr-BE"/>
        </w:rPr>
        <w:t xml:space="preserve">es Communautés, </w:t>
      </w:r>
      <w:r w:rsidR="00A127E4">
        <w:rPr>
          <w:rFonts w:cs="Times New Roman"/>
          <w:sz w:val="22"/>
          <w:szCs w:val="22"/>
          <w:lang w:val="fr-BE"/>
        </w:rPr>
        <w:t xml:space="preserve">les </w:t>
      </w:r>
      <w:r w:rsidRPr="00B246CC">
        <w:rPr>
          <w:rFonts w:cs="Times New Roman"/>
          <w:sz w:val="22"/>
          <w:szCs w:val="22"/>
          <w:lang w:val="fr-BE"/>
        </w:rPr>
        <w:t xml:space="preserve">Régions et </w:t>
      </w:r>
      <w:r w:rsidR="00A127E4">
        <w:rPr>
          <w:rFonts w:cs="Times New Roman"/>
          <w:sz w:val="22"/>
          <w:szCs w:val="22"/>
          <w:lang w:val="fr-BE"/>
        </w:rPr>
        <w:t>l</w:t>
      </w:r>
      <w:r w:rsidRPr="00B246CC">
        <w:rPr>
          <w:rFonts w:cs="Times New Roman"/>
          <w:sz w:val="22"/>
          <w:szCs w:val="22"/>
          <w:lang w:val="fr-BE"/>
        </w:rPr>
        <w:t>es Pouvoirs locaux</w:t>
      </w:r>
      <w:r w:rsidR="003A37AB">
        <w:rPr>
          <w:rFonts w:cs="Times New Roman"/>
          <w:sz w:val="22"/>
          <w:szCs w:val="22"/>
          <w:lang w:val="fr-BE"/>
        </w:rPr>
        <w:t>)</w:t>
      </w:r>
      <w:r w:rsidRPr="00B246CC">
        <w:rPr>
          <w:rFonts w:cs="Times New Roman"/>
          <w:sz w:val="22"/>
          <w:szCs w:val="22"/>
          <w:lang w:val="fr-BE"/>
        </w:rPr>
        <w:t xml:space="preserve">. </w:t>
      </w:r>
    </w:p>
    <w:p w14:paraId="74937542" w14:textId="77777777" w:rsidR="000533FE" w:rsidRPr="004F2163" w:rsidRDefault="000533FE" w:rsidP="006B11F4">
      <w:pPr>
        <w:spacing w:line="240" w:lineRule="auto"/>
        <w:jc w:val="both"/>
        <w:rPr>
          <w:rFonts w:cs="Times New Roman"/>
          <w:sz w:val="22"/>
          <w:szCs w:val="22"/>
          <w:lang w:val="fr-BE"/>
        </w:rPr>
      </w:pPr>
    </w:p>
    <w:p w14:paraId="58064987" w14:textId="77777777" w:rsidR="00C821F2" w:rsidRPr="004F2163" w:rsidRDefault="002D4472" w:rsidP="006B11F4">
      <w:pPr>
        <w:widowControl w:val="0"/>
        <w:autoSpaceDE w:val="0"/>
        <w:autoSpaceDN w:val="0"/>
        <w:adjustRightInd w:val="0"/>
        <w:spacing w:line="240" w:lineRule="auto"/>
        <w:jc w:val="both"/>
        <w:rPr>
          <w:rFonts w:cs="Times New Roman"/>
          <w:sz w:val="22"/>
          <w:szCs w:val="22"/>
          <w:lang w:val="fr-BE"/>
        </w:rPr>
      </w:pPr>
      <w:r w:rsidRPr="00B246CC">
        <w:rPr>
          <w:rFonts w:cs="Times New Roman"/>
          <w:sz w:val="22"/>
          <w:szCs w:val="22"/>
          <w:lang w:val="fr-BE"/>
        </w:rPr>
        <w:t xml:space="preserve">Afin d’assurer sa mission légale de coordination des politiques budgétaires, la Section émet annuellement un avis sur les besoins de financement des pouvoirs publics. Si elle estime que la politique </w:t>
      </w:r>
      <w:r w:rsidR="00A127E4">
        <w:rPr>
          <w:rFonts w:cs="Times New Roman"/>
          <w:sz w:val="22"/>
          <w:szCs w:val="22"/>
          <w:lang w:val="fr-BE"/>
        </w:rPr>
        <w:t>d’</w:t>
      </w:r>
      <w:r w:rsidRPr="00B246CC">
        <w:rPr>
          <w:rFonts w:cs="Times New Roman"/>
          <w:sz w:val="22"/>
          <w:szCs w:val="22"/>
          <w:lang w:val="fr-BE"/>
        </w:rPr>
        <w:t xml:space="preserve">une entité fédérée </w:t>
      </w:r>
      <w:r w:rsidR="00A127E4">
        <w:rPr>
          <w:rFonts w:cs="Times New Roman"/>
          <w:sz w:val="22"/>
          <w:szCs w:val="22"/>
          <w:lang w:val="fr-BE"/>
        </w:rPr>
        <w:t>est de nature à</w:t>
      </w:r>
      <w:r w:rsidRPr="00B246CC">
        <w:rPr>
          <w:rFonts w:cs="Times New Roman"/>
          <w:sz w:val="22"/>
          <w:szCs w:val="22"/>
          <w:lang w:val="fr-BE"/>
        </w:rPr>
        <w:t xml:space="preserve"> porter atteinte à l’union économique interne, elle peut </w:t>
      </w:r>
      <w:r w:rsidRPr="00B246CC">
        <w:rPr>
          <w:rFonts w:cs="Times New Roman"/>
          <w:color w:val="272727"/>
          <w:sz w:val="22"/>
          <w:szCs w:val="22"/>
        </w:rPr>
        <w:t xml:space="preserve">proposer au ministre fédéral des Finances de limiter </w:t>
      </w:r>
      <w:r w:rsidR="003A37AB">
        <w:rPr>
          <w:rFonts w:cs="Times New Roman"/>
          <w:color w:val="272727"/>
          <w:sz w:val="22"/>
          <w:szCs w:val="22"/>
        </w:rPr>
        <w:t>l</w:t>
      </w:r>
      <w:r w:rsidRPr="00B246CC">
        <w:rPr>
          <w:rFonts w:cs="Times New Roman"/>
          <w:color w:val="272727"/>
          <w:sz w:val="22"/>
          <w:szCs w:val="22"/>
        </w:rPr>
        <w:t>a capacité d’emprunt</w:t>
      </w:r>
      <w:r w:rsidR="003A37AB">
        <w:rPr>
          <w:rFonts w:cs="Times New Roman"/>
          <w:color w:val="272727"/>
          <w:sz w:val="22"/>
          <w:szCs w:val="22"/>
        </w:rPr>
        <w:t xml:space="preserve"> de cette dernière</w:t>
      </w:r>
      <w:r w:rsidR="00AA74F8" w:rsidRPr="004F2163">
        <w:rPr>
          <w:rStyle w:val="Appelnotedebasdep"/>
          <w:rFonts w:cs="Times New Roman"/>
          <w:sz w:val="22"/>
          <w:szCs w:val="22"/>
          <w:lang w:val="fr-BE"/>
        </w:rPr>
        <w:footnoteReference w:id="10"/>
      </w:r>
      <w:r w:rsidR="00AA74F8" w:rsidRPr="004F2163">
        <w:rPr>
          <w:rFonts w:cs="Times New Roman"/>
          <w:sz w:val="22"/>
          <w:szCs w:val="22"/>
          <w:lang w:val="fr-BE"/>
        </w:rPr>
        <w:t xml:space="preserve">. </w:t>
      </w:r>
      <w:r w:rsidRPr="00B246CC">
        <w:rPr>
          <w:rFonts w:cs="Times New Roman"/>
          <w:sz w:val="22"/>
          <w:szCs w:val="22"/>
        </w:rPr>
        <w:t xml:space="preserve">Au vu des conflits politiques qu’une telle décision ne manquerait pas de </w:t>
      </w:r>
      <w:r w:rsidR="00A127E4">
        <w:rPr>
          <w:rFonts w:cs="Times New Roman"/>
          <w:sz w:val="22"/>
          <w:szCs w:val="22"/>
        </w:rPr>
        <w:t>susciter</w:t>
      </w:r>
      <w:r w:rsidRPr="00B246CC">
        <w:rPr>
          <w:rFonts w:cs="Times New Roman"/>
          <w:sz w:val="22"/>
          <w:szCs w:val="22"/>
        </w:rPr>
        <w:t xml:space="preserve">, elle n’a cependant </w:t>
      </w:r>
      <w:r w:rsidR="00A127E4">
        <w:rPr>
          <w:rFonts w:cs="Times New Roman"/>
          <w:sz w:val="22"/>
          <w:szCs w:val="22"/>
        </w:rPr>
        <w:t xml:space="preserve">encore </w:t>
      </w:r>
      <w:r w:rsidRPr="00B246CC">
        <w:rPr>
          <w:rFonts w:cs="Times New Roman"/>
          <w:sz w:val="22"/>
          <w:szCs w:val="22"/>
        </w:rPr>
        <w:t xml:space="preserve">jamais eu recours </w:t>
      </w:r>
      <w:r w:rsidR="007C32AD">
        <w:rPr>
          <w:rFonts w:cs="Times New Roman"/>
          <w:sz w:val="22"/>
          <w:szCs w:val="22"/>
        </w:rPr>
        <w:t xml:space="preserve">à cette faculté </w:t>
      </w:r>
      <w:r w:rsidRPr="00B246CC">
        <w:rPr>
          <w:rFonts w:cs="Times New Roman"/>
          <w:sz w:val="22"/>
          <w:szCs w:val="22"/>
        </w:rPr>
        <w:t xml:space="preserve">(Coene &amp; Langenus, 2011 : 15). </w:t>
      </w:r>
      <w:r w:rsidR="00A127E4">
        <w:rPr>
          <w:rFonts w:cs="Times New Roman"/>
          <w:sz w:val="22"/>
          <w:szCs w:val="22"/>
          <w:lang w:val="fr-BE"/>
        </w:rPr>
        <w:t>Durant</w:t>
      </w:r>
      <w:r w:rsidRPr="00B246CC">
        <w:rPr>
          <w:rFonts w:cs="Times New Roman"/>
          <w:sz w:val="22"/>
          <w:szCs w:val="22"/>
          <w:lang w:val="fr-BE"/>
        </w:rPr>
        <w:t xml:space="preserve"> la </w:t>
      </w:r>
      <w:r w:rsidR="003A37AB">
        <w:rPr>
          <w:rFonts w:cs="Times New Roman"/>
          <w:sz w:val="22"/>
          <w:szCs w:val="22"/>
          <w:lang w:val="fr-BE"/>
        </w:rPr>
        <w:t xml:space="preserve">phase de </w:t>
      </w:r>
      <w:r w:rsidRPr="00B246CC">
        <w:rPr>
          <w:rFonts w:cs="Times New Roman"/>
          <w:sz w:val="22"/>
          <w:szCs w:val="22"/>
          <w:lang w:val="fr-BE"/>
        </w:rPr>
        <w:t>préparation de l’accession de la Belgique à l’</w:t>
      </w:r>
      <w:r w:rsidRPr="00B246CC">
        <w:rPr>
          <w:rFonts w:cs="Times New Roman"/>
          <w:i/>
          <w:sz w:val="22"/>
          <w:szCs w:val="22"/>
          <w:lang w:val="fr-BE"/>
        </w:rPr>
        <w:t>Union économique et monétaire</w:t>
      </w:r>
      <w:r w:rsidRPr="00B246CC">
        <w:rPr>
          <w:rFonts w:cs="Times New Roman"/>
          <w:sz w:val="22"/>
          <w:szCs w:val="22"/>
          <w:lang w:val="fr-BE"/>
        </w:rPr>
        <w:t xml:space="preserve"> européenne (UEM), le gouvernement fédéral a en </w:t>
      </w:r>
      <w:r w:rsidR="007C32AD">
        <w:rPr>
          <w:rFonts w:cs="Times New Roman"/>
          <w:sz w:val="22"/>
          <w:szCs w:val="22"/>
          <w:lang w:val="fr-BE"/>
        </w:rPr>
        <w:t>ou</w:t>
      </w:r>
      <w:r w:rsidRPr="00B246CC">
        <w:rPr>
          <w:rFonts w:cs="Times New Roman"/>
          <w:sz w:val="22"/>
          <w:szCs w:val="22"/>
          <w:lang w:val="fr-BE"/>
        </w:rPr>
        <w:t xml:space="preserve">tre chargé la Section de </w:t>
      </w:r>
      <w:r w:rsidR="007C32AD">
        <w:rPr>
          <w:rFonts w:cs="Times New Roman"/>
          <w:sz w:val="22"/>
          <w:szCs w:val="22"/>
          <w:lang w:val="fr-BE"/>
        </w:rPr>
        <w:t>s</w:t>
      </w:r>
      <w:r w:rsidRPr="00B246CC">
        <w:rPr>
          <w:rFonts w:cs="Times New Roman"/>
          <w:sz w:val="22"/>
          <w:szCs w:val="22"/>
          <w:lang w:val="fr-BE"/>
        </w:rPr>
        <w:t>urveille</w:t>
      </w:r>
      <w:r w:rsidR="007C32AD">
        <w:rPr>
          <w:rFonts w:cs="Times New Roman"/>
          <w:sz w:val="22"/>
          <w:szCs w:val="22"/>
          <w:lang w:val="fr-BE"/>
        </w:rPr>
        <w:t>r</w:t>
      </w:r>
      <w:r w:rsidRPr="00B246CC">
        <w:rPr>
          <w:rFonts w:cs="Times New Roman"/>
          <w:sz w:val="22"/>
          <w:szCs w:val="22"/>
          <w:lang w:val="fr-BE"/>
        </w:rPr>
        <w:t xml:space="preserve"> l’exécution du plan de convergence de 1992. Par un phénomène classique de </w:t>
      </w:r>
      <w:r w:rsidR="0047255A">
        <w:rPr>
          <w:rFonts w:cs="Times New Roman"/>
          <w:sz w:val="22"/>
          <w:szCs w:val="22"/>
          <w:lang w:val="fr-BE"/>
        </w:rPr>
        <w:t>« </w:t>
      </w:r>
      <w:r w:rsidRPr="00B246CC">
        <w:rPr>
          <w:rFonts w:cs="Times New Roman"/>
          <w:sz w:val="22"/>
          <w:szCs w:val="22"/>
          <w:lang w:val="fr-BE"/>
        </w:rPr>
        <w:t>dépendance au sentier</w:t>
      </w:r>
      <w:r w:rsidR="0047255A">
        <w:rPr>
          <w:rFonts w:cs="Times New Roman"/>
          <w:sz w:val="22"/>
          <w:szCs w:val="22"/>
          <w:lang w:val="fr-BE"/>
        </w:rPr>
        <w:t> »</w:t>
      </w:r>
      <w:r w:rsidRPr="00B246CC">
        <w:rPr>
          <w:rFonts w:cs="Times New Roman"/>
          <w:sz w:val="22"/>
          <w:szCs w:val="22"/>
          <w:lang w:val="fr-BE"/>
        </w:rPr>
        <w:t xml:space="preserve"> (Pierson, 2000), ce monitoring de la politique budgétaire du gouvernement fédéral est </w:t>
      </w:r>
      <w:r w:rsidR="00A127E4">
        <w:rPr>
          <w:rFonts w:cs="Times New Roman"/>
          <w:sz w:val="22"/>
          <w:szCs w:val="22"/>
          <w:lang w:val="fr-BE"/>
        </w:rPr>
        <w:t xml:space="preserve">ensuite </w:t>
      </w:r>
      <w:r w:rsidRPr="00B246CC">
        <w:rPr>
          <w:rFonts w:cs="Times New Roman"/>
          <w:sz w:val="22"/>
          <w:szCs w:val="22"/>
          <w:lang w:val="fr-BE"/>
        </w:rPr>
        <w:t>devenu coutumier et s’est prolongé jusqu’à aujourd’hui.</w:t>
      </w:r>
    </w:p>
    <w:p w14:paraId="043FB742" w14:textId="77777777" w:rsidR="00626424" w:rsidRPr="004F2163" w:rsidRDefault="00626424" w:rsidP="006B11F4">
      <w:pPr>
        <w:widowControl w:val="0"/>
        <w:autoSpaceDE w:val="0"/>
        <w:autoSpaceDN w:val="0"/>
        <w:adjustRightInd w:val="0"/>
        <w:spacing w:line="240" w:lineRule="auto"/>
        <w:jc w:val="both"/>
        <w:rPr>
          <w:rFonts w:cs="Times New Roman"/>
          <w:sz w:val="22"/>
          <w:szCs w:val="22"/>
          <w:lang w:val="fr-BE"/>
        </w:rPr>
      </w:pPr>
    </w:p>
    <w:p w14:paraId="1B661215" w14:textId="77777777" w:rsidR="00626424" w:rsidRPr="004F2163" w:rsidRDefault="002D4472" w:rsidP="006B11F4">
      <w:pPr>
        <w:widowControl w:val="0"/>
        <w:autoSpaceDE w:val="0"/>
        <w:autoSpaceDN w:val="0"/>
        <w:adjustRightInd w:val="0"/>
        <w:spacing w:line="240" w:lineRule="auto"/>
        <w:jc w:val="both"/>
        <w:rPr>
          <w:rFonts w:cs="Times New Roman"/>
          <w:sz w:val="22"/>
          <w:szCs w:val="22"/>
          <w:lang w:val="fr-BE"/>
        </w:rPr>
      </w:pPr>
      <w:r w:rsidRPr="00B246CC">
        <w:rPr>
          <w:rFonts w:cs="Times New Roman"/>
          <w:sz w:val="22"/>
          <w:szCs w:val="22"/>
          <w:lang w:val="fr-BE"/>
        </w:rPr>
        <w:t xml:space="preserve">Un quart de siècle après </w:t>
      </w:r>
      <w:r w:rsidR="00A127E4">
        <w:rPr>
          <w:rFonts w:cs="Times New Roman"/>
          <w:sz w:val="22"/>
          <w:szCs w:val="22"/>
          <w:lang w:val="fr-BE"/>
        </w:rPr>
        <w:t xml:space="preserve">la </w:t>
      </w:r>
      <w:r w:rsidRPr="00B246CC">
        <w:rPr>
          <w:rFonts w:cs="Times New Roman"/>
          <w:sz w:val="22"/>
          <w:szCs w:val="22"/>
          <w:lang w:val="fr-BE"/>
        </w:rPr>
        <w:t>création</w:t>
      </w:r>
      <w:r w:rsidR="00A127E4">
        <w:rPr>
          <w:rFonts w:cs="Times New Roman"/>
          <w:sz w:val="22"/>
          <w:szCs w:val="22"/>
          <w:lang w:val="fr-BE"/>
        </w:rPr>
        <w:t xml:space="preserve"> de</w:t>
      </w:r>
      <w:r w:rsidR="00A127E4" w:rsidRPr="00A127E4">
        <w:rPr>
          <w:rFonts w:cs="Times New Roman"/>
          <w:sz w:val="22"/>
          <w:szCs w:val="22"/>
          <w:lang w:val="fr-BE"/>
        </w:rPr>
        <w:t xml:space="preserve"> </w:t>
      </w:r>
      <w:r w:rsidR="00A127E4" w:rsidRPr="008A7568">
        <w:rPr>
          <w:rFonts w:cs="Times New Roman"/>
          <w:sz w:val="22"/>
          <w:szCs w:val="22"/>
          <w:lang w:val="fr-BE"/>
        </w:rPr>
        <w:t>la Section</w:t>
      </w:r>
      <w:r w:rsidRPr="00B246CC">
        <w:rPr>
          <w:rFonts w:cs="Times New Roman"/>
          <w:sz w:val="22"/>
          <w:szCs w:val="22"/>
          <w:lang w:val="fr-BE"/>
        </w:rPr>
        <w:t xml:space="preserve">, cette contribution vise à rendre compte de la manière dont </w:t>
      </w:r>
      <w:r w:rsidR="00A127E4">
        <w:rPr>
          <w:rFonts w:cs="Times New Roman"/>
          <w:sz w:val="22"/>
          <w:szCs w:val="22"/>
          <w:lang w:val="fr-BE"/>
        </w:rPr>
        <w:t>elle s’est</w:t>
      </w:r>
      <w:r w:rsidRPr="00B246CC">
        <w:rPr>
          <w:rFonts w:cs="Times New Roman"/>
          <w:sz w:val="22"/>
          <w:szCs w:val="22"/>
          <w:lang w:val="fr-BE"/>
        </w:rPr>
        <w:t xml:space="preserve"> acquittée de ses missions au cours du temps, à partir d’une posture résolument inductive. L’a</w:t>
      </w:r>
      <w:r w:rsidR="003A37AB">
        <w:rPr>
          <w:rFonts w:cs="Times New Roman"/>
          <w:sz w:val="22"/>
          <w:szCs w:val="22"/>
          <w:lang w:val="fr-BE"/>
        </w:rPr>
        <w:t>nalyse présentée dans le restant</w:t>
      </w:r>
      <w:r w:rsidRPr="00B246CC">
        <w:rPr>
          <w:rFonts w:cs="Times New Roman"/>
          <w:sz w:val="22"/>
          <w:szCs w:val="22"/>
          <w:lang w:val="fr-BE"/>
        </w:rPr>
        <w:t xml:space="preserve"> de cet article repose sur les données récoltées lors d’une quinzaine d’entretiens semi-directifs menés auprès d’experts en finances publiques et de personnalités politiques de premier plan. Avant d’en présenter les résultats, la prochaine section </w:t>
      </w:r>
      <w:r w:rsidR="003A37AB">
        <w:rPr>
          <w:rFonts w:cs="Times New Roman"/>
          <w:sz w:val="22"/>
          <w:szCs w:val="22"/>
          <w:lang w:val="fr-BE"/>
        </w:rPr>
        <w:t>décrit</w:t>
      </w:r>
      <w:r w:rsidRPr="00B246CC">
        <w:rPr>
          <w:rFonts w:cs="Times New Roman"/>
          <w:sz w:val="22"/>
          <w:szCs w:val="22"/>
          <w:lang w:val="fr-BE"/>
        </w:rPr>
        <w:t xml:space="preserve"> la méthodologie déployée.</w:t>
      </w:r>
    </w:p>
    <w:p w14:paraId="35D05E76" w14:textId="77777777" w:rsidR="007674A2" w:rsidRPr="004F2163" w:rsidRDefault="007674A2" w:rsidP="006B11F4">
      <w:pPr>
        <w:widowControl w:val="0"/>
        <w:autoSpaceDE w:val="0"/>
        <w:autoSpaceDN w:val="0"/>
        <w:adjustRightInd w:val="0"/>
        <w:spacing w:line="240" w:lineRule="auto"/>
        <w:jc w:val="both"/>
        <w:rPr>
          <w:rFonts w:cs="Times New Roman"/>
          <w:sz w:val="22"/>
          <w:szCs w:val="22"/>
          <w:lang w:val="fr-BE"/>
        </w:rPr>
      </w:pPr>
    </w:p>
    <w:p w14:paraId="15C49C80" w14:textId="77777777" w:rsidR="00D155C0" w:rsidRPr="004F2163" w:rsidRDefault="002D4472" w:rsidP="007674A2">
      <w:pPr>
        <w:spacing w:line="240" w:lineRule="auto"/>
        <w:rPr>
          <w:rFonts w:cs="Times New Roman"/>
          <w:b/>
          <w:sz w:val="22"/>
          <w:szCs w:val="22"/>
          <w:lang w:val="fr-BE"/>
        </w:rPr>
      </w:pPr>
      <w:r w:rsidRPr="00B246CC">
        <w:rPr>
          <w:rFonts w:cs="Times New Roman"/>
          <w:b/>
          <w:sz w:val="22"/>
          <w:szCs w:val="22"/>
          <w:lang w:val="fr-BE"/>
        </w:rPr>
        <w:t>II. Précisions méthodologiques</w:t>
      </w:r>
    </w:p>
    <w:p w14:paraId="32B4A6DA" w14:textId="77777777" w:rsidR="007674A2" w:rsidRPr="004F2163" w:rsidRDefault="007674A2" w:rsidP="007674A2">
      <w:pPr>
        <w:rPr>
          <w:rFonts w:cs="Times New Roman"/>
          <w:lang w:val="fr-BE"/>
        </w:rPr>
      </w:pPr>
    </w:p>
    <w:p w14:paraId="5771D68E" w14:textId="77777777" w:rsidR="00D155C0" w:rsidRPr="004F2163" w:rsidRDefault="002D4472" w:rsidP="006B11F4">
      <w:pPr>
        <w:spacing w:line="240" w:lineRule="auto"/>
        <w:jc w:val="both"/>
        <w:rPr>
          <w:rFonts w:cs="Times New Roman"/>
          <w:sz w:val="22"/>
          <w:szCs w:val="22"/>
        </w:rPr>
      </w:pPr>
      <w:r w:rsidRPr="00B246CC">
        <w:rPr>
          <w:rFonts w:cs="Times New Roman"/>
          <w:sz w:val="22"/>
          <w:szCs w:val="22"/>
        </w:rPr>
        <w:t xml:space="preserve">L’exigence de réflexivité par rapport à la démarche développée nécessite de préciser la méthodologie mise en œuvre (Bongrand &amp; Laborier, 2005). Il s’agit en l’espèce de la réalisation d’entretiens semi-directifs, dont la pertinence pour cette recherche s’est avérée double (Pinson &amp; Sala Pala, 2007). L’entretien forme d’une part un instrument </w:t>
      </w:r>
      <w:r w:rsidRPr="00B246CC">
        <w:rPr>
          <w:rFonts w:cs="Times New Roman"/>
          <w:i/>
          <w:sz w:val="22"/>
          <w:szCs w:val="22"/>
        </w:rPr>
        <w:t xml:space="preserve">« économique, rapide et </w:t>
      </w:r>
      <w:r w:rsidRPr="00B246CC">
        <w:rPr>
          <w:rFonts w:cs="Times New Roman"/>
          <w:i/>
          <w:sz w:val="22"/>
          <w:szCs w:val="22"/>
        </w:rPr>
        <w:lastRenderedPageBreak/>
        <w:t>riche »</w:t>
      </w:r>
      <w:r w:rsidRPr="00B246CC">
        <w:rPr>
          <w:rFonts w:cs="Times New Roman"/>
          <w:sz w:val="22"/>
          <w:szCs w:val="22"/>
        </w:rPr>
        <w:t xml:space="preserve"> (Friedberg, 1999 : 86) de collecte d’information, dont l’usage </w:t>
      </w:r>
      <w:r w:rsidR="007C32AD">
        <w:rPr>
          <w:rFonts w:cs="Times New Roman"/>
          <w:sz w:val="22"/>
          <w:szCs w:val="22"/>
        </w:rPr>
        <w:t xml:space="preserve">en </w:t>
      </w:r>
      <w:r w:rsidR="007C32AD" w:rsidRPr="001B579A">
        <w:rPr>
          <w:rFonts w:cs="Times New Roman"/>
          <w:sz w:val="22"/>
          <w:szCs w:val="22"/>
        </w:rPr>
        <w:t xml:space="preserve">analyse des politiques publiques </w:t>
      </w:r>
      <w:r w:rsidRPr="00B246CC">
        <w:rPr>
          <w:rFonts w:cs="Times New Roman"/>
          <w:sz w:val="22"/>
          <w:szCs w:val="22"/>
        </w:rPr>
        <w:t>est d’autant plus précieux que les différentes séquences d</w:t>
      </w:r>
      <w:r w:rsidR="00A127E4">
        <w:rPr>
          <w:rFonts w:cs="Times New Roman"/>
          <w:sz w:val="22"/>
          <w:szCs w:val="22"/>
        </w:rPr>
        <w:t>’un</w:t>
      </w:r>
      <w:r w:rsidRPr="00B246CC">
        <w:rPr>
          <w:rFonts w:cs="Times New Roman"/>
          <w:sz w:val="22"/>
          <w:szCs w:val="22"/>
        </w:rPr>
        <w:t xml:space="preserve">e </w:t>
      </w:r>
      <w:r w:rsidR="00A127E4">
        <w:rPr>
          <w:rFonts w:cs="Times New Roman"/>
          <w:sz w:val="22"/>
          <w:szCs w:val="22"/>
        </w:rPr>
        <w:t>politique</w:t>
      </w:r>
      <w:r w:rsidRPr="00B246CC">
        <w:rPr>
          <w:rFonts w:cs="Times New Roman"/>
          <w:sz w:val="22"/>
          <w:szCs w:val="22"/>
        </w:rPr>
        <w:t xml:space="preserve"> ne débouchent pas </w:t>
      </w:r>
      <w:r w:rsidR="003A37AB">
        <w:rPr>
          <w:rFonts w:cs="Times New Roman"/>
          <w:sz w:val="22"/>
          <w:szCs w:val="22"/>
        </w:rPr>
        <w:t>systématiquement</w:t>
      </w:r>
      <w:r w:rsidRPr="00B246CC">
        <w:rPr>
          <w:rFonts w:cs="Times New Roman"/>
          <w:sz w:val="22"/>
          <w:szCs w:val="22"/>
        </w:rPr>
        <w:t xml:space="preserve"> sur des comptes-rendus détaillés ou consultables. Cette technique d’enquête peut d’autre part être utilisée à des fins compréhensives. Sa spontanéité favorise en effet l’émergence de réponses singulières (Beaud &amp; Weber, 2010), qui révèlent chacune une des multiples facettes d’une vérité poly</w:t>
      </w:r>
      <w:r w:rsidR="00A127E4">
        <w:rPr>
          <w:rFonts w:cs="Times New Roman"/>
          <w:sz w:val="22"/>
          <w:szCs w:val="22"/>
        </w:rPr>
        <w:t>m</w:t>
      </w:r>
      <w:r w:rsidRPr="00B246CC">
        <w:rPr>
          <w:rFonts w:cs="Times New Roman"/>
          <w:sz w:val="22"/>
          <w:szCs w:val="22"/>
        </w:rPr>
        <w:t>or</w:t>
      </w:r>
      <w:r w:rsidR="00A127E4">
        <w:rPr>
          <w:rFonts w:cs="Times New Roman"/>
          <w:sz w:val="22"/>
          <w:szCs w:val="22"/>
        </w:rPr>
        <w:t>ph</w:t>
      </w:r>
      <w:r w:rsidRPr="00B246CC">
        <w:rPr>
          <w:rFonts w:cs="Times New Roman"/>
          <w:sz w:val="22"/>
          <w:szCs w:val="22"/>
        </w:rPr>
        <w:t xml:space="preserve">e (Steedman, 1996). </w:t>
      </w:r>
      <w:r w:rsidR="007C32AD" w:rsidRPr="001B579A">
        <w:rPr>
          <w:rFonts w:cs="Times New Roman"/>
          <w:sz w:val="22"/>
          <w:szCs w:val="22"/>
        </w:rPr>
        <w:t xml:space="preserve">Sa principale limite réside dans la </w:t>
      </w:r>
      <w:r w:rsidR="007C32AD" w:rsidRPr="001B579A">
        <w:rPr>
          <w:rFonts w:cs="Times New Roman"/>
          <w:i/>
          <w:sz w:val="22"/>
          <w:szCs w:val="22"/>
        </w:rPr>
        <w:t>« rationalisation rétrospective »</w:t>
      </w:r>
      <w:r w:rsidR="007C32AD" w:rsidRPr="001B579A">
        <w:rPr>
          <w:rFonts w:cs="Times New Roman"/>
          <w:sz w:val="22"/>
          <w:szCs w:val="22"/>
        </w:rPr>
        <w:t xml:space="preserve"> (Bourdieu </w:t>
      </w:r>
      <w:r w:rsidR="007C32AD" w:rsidRPr="001B579A">
        <w:rPr>
          <w:rFonts w:cs="Times New Roman"/>
          <w:i/>
          <w:sz w:val="22"/>
          <w:szCs w:val="22"/>
        </w:rPr>
        <w:t xml:space="preserve">et </w:t>
      </w:r>
      <w:proofErr w:type="gramStart"/>
      <w:r w:rsidR="007C32AD" w:rsidRPr="001B579A">
        <w:rPr>
          <w:rFonts w:cs="Times New Roman"/>
          <w:i/>
          <w:sz w:val="22"/>
          <w:szCs w:val="22"/>
        </w:rPr>
        <w:t>al.</w:t>
      </w:r>
      <w:r w:rsidR="007C32AD" w:rsidRPr="001B579A">
        <w:rPr>
          <w:rFonts w:cs="Times New Roman"/>
          <w:sz w:val="22"/>
          <w:szCs w:val="22"/>
        </w:rPr>
        <w:t>,</w:t>
      </w:r>
      <w:proofErr w:type="gramEnd"/>
      <w:r w:rsidR="007C32AD" w:rsidRPr="001B579A">
        <w:rPr>
          <w:rFonts w:cs="Times New Roman"/>
          <w:sz w:val="22"/>
          <w:szCs w:val="22"/>
        </w:rPr>
        <w:t xml:space="preserve"> 1964 : 57) que les acteurs opèrent inconsciemment vis-à-vis de leurs pratiques et comportements.</w:t>
      </w:r>
      <w:r w:rsidR="007C32AD">
        <w:rPr>
          <w:rFonts w:cs="Times New Roman"/>
          <w:sz w:val="22"/>
          <w:szCs w:val="22"/>
        </w:rPr>
        <w:t xml:space="preserve"> </w:t>
      </w:r>
      <w:r w:rsidRPr="00B246CC">
        <w:rPr>
          <w:rFonts w:cs="Times New Roman"/>
          <w:sz w:val="22"/>
          <w:szCs w:val="22"/>
        </w:rPr>
        <w:t xml:space="preserve">Idéalement, le recoupement des informations recueillies doit mener à l’élaboration d’un modèle théorique inscrit dans la pratique (Kaufmann, 2011). </w:t>
      </w:r>
    </w:p>
    <w:p w14:paraId="4540EBDD" w14:textId="77777777" w:rsidR="0099655D" w:rsidRPr="004F2163" w:rsidRDefault="0099655D" w:rsidP="006B11F4">
      <w:pPr>
        <w:spacing w:line="240" w:lineRule="auto"/>
        <w:jc w:val="both"/>
        <w:rPr>
          <w:rFonts w:cs="Times New Roman"/>
          <w:sz w:val="22"/>
          <w:szCs w:val="22"/>
        </w:rPr>
      </w:pPr>
    </w:p>
    <w:p w14:paraId="66A554CD" w14:textId="0DBCDE6C" w:rsidR="00F33019" w:rsidRPr="004F2163" w:rsidRDefault="002D4472" w:rsidP="006B11F4">
      <w:pPr>
        <w:pStyle w:val="Notedebasdepage"/>
        <w:spacing w:line="240" w:lineRule="auto"/>
        <w:rPr>
          <w:rFonts w:ascii="Times New Roman" w:hAnsi="Times New Roman"/>
          <w:sz w:val="22"/>
          <w:szCs w:val="22"/>
        </w:rPr>
      </w:pPr>
      <w:r w:rsidRPr="00B246CC">
        <w:rPr>
          <w:rFonts w:ascii="Times New Roman" w:hAnsi="Times New Roman"/>
          <w:sz w:val="22"/>
          <w:szCs w:val="22"/>
        </w:rPr>
        <w:t>Les données exploitées dans cette contribution sont issues d’un travail de fin d’études consacré à la comparaison des politiques budgétaires conduites par les gouvernements Dehaene I</w:t>
      </w:r>
      <w:r w:rsidR="001B579A">
        <w:rPr>
          <w:rFonts w:ascii="Times New Roman" w:hAnsi="Times New Roman"/>
          <w:sz w:val="22"/>
          <w:szCs w:val="22"/>
          <w:vertAlign w:val="superscript"/>
        </w:rPr>
        <w:t>er</w:t>
      </w:r>
      <w:r w:rsidRPr="00B246CC">
        <w:rPr>
          <w:rFonts w:ascii="Times New Roman" w:hAnsi="Times New Roman"/>
          <w:sz w:val="22"/>
          <w:szCs w:val="22"/>
        </w:rPr>
        <w:t xml:space="preserve"> (1992-1995) et Di Rupo (2011-2014)</w:t>
      </w:r>
      <w:r w:rsidR="001B579A">
        <w:rPr>
          <w:rStyle w:val="Appelnotedebasdep"/>
          <w:rFonts w:ascii="Times New Roman" w:hAnsi="Times New Roman"/>
          <w:sz w:val="22"/>
          <w:szCs w:val="22"/>
        </w:rPr>
        <w:footnoteReference w:id="11"/>
      </w:r>
      <w:r w:rsidRPr="00B246CC">
        <w:rPr>
          <w:rFonts w:ascii="Times New Roman" w:hAnsi="Times New Roman"/>
          <w:sz w:val="22"/>
          <w:szCs w:val="22"/>
        </w:rPr>
        <w:t>. Dans ce cadre, vingt-deux entretiens semi-directifs d’une durée comprise entre quarante-cinq minutes et deux heures ont été réalisés entre le 25 février et le 25 avril 2013 auprès de quinze hauts fonctionnaires</w:t>
      </w:r>
      <w:r w:rsidR="001B579A">
        <w:rPr>
          <w:rStyle w:val="Appelnotedebasdep"/>
          <w:rFonts w:ascii="Times New Roman" w:hAnsi="Times New Roman"/>
          <w:sz w:val="22"/>
          <w:szCs w:val="22"/>
        </w:rPr>
        <w:footnoteReference w:id="12"/>
      </w:r>
      <w:r w:rsidRPr="00B246CC">
        <w:rPr>
          <w:rFonts w:ascii="Times New Roman" w:hAnsi="Times New Roman"/>
          <w:sz w:val="22"/>
          <w:szCs w:val="22"/>
        </w:rPr>
        <w:t>, de six hommes politiques</w:t>
      </w:r>
      <w:r w:rsidR="001B579A">
        <w:rPr>
          <w:rStyle w:val="Appelnotedebasdep"/>
          <w:rFonts w:ascii="Times New Roman" w:hAnsi="Times New Roman"/>
          <w:sz w:val="22"/>
          <w:szCs w:val="22"/>
        </w:rPr>
        <w:footnoteReference w:id="13"/>
      </w:r>
      <w:r w:rsidRPr="00B246CC">
        <w:rPr>
          <w:rFonts w:ascii="Times New Roman" w:hAnsi="Times New Roman"/>
          <w:sz w:val="22"/>
          <w:szCs w:val="22"/>
        </w:rPr>
        <w:t xml:space="preserve"> et d’un journaliste politique</w:t>
      </w:r>
      <w:r w:rsidR="00A127E4">
        <w:rPr>
          <w:rFonts w:ascii="Times New Roman" w:hAnsi="Times New Roman"/>
          <w:sz w:val="22"/>
          <w:szCs w:val="22"/>
        </w:rPr>
        <w:t>,</w:t>
      </w:r>
      <w:r w:rsidRPr="00B246CC">
        <w:rPr>
          <w:rFonts w:ascii="Times New Roman" w:hAnsi="Times New Roman"/>
          <w:sz w:val="22"/>
          <w:szCs w:val="22"/>
        </w:rPr>
        <w:t xml:space="preserve"> </w:t>
      </w:r>
      <w:r w:rsidRPr="00B246CC">
        <w:rPr>
          <w:rFonts w:ascii="Times New Roman" w:hAnsi="Times New Roman"/>
          <w:sz w:val="22"/>
          <w:szCs w:val="22"/>
          <w:lang w:val="fr-FR"/>
        </w:rPr>
        <w:t>sélectionnés en fonction de critères de compétence et de représentativité politiqu</w:t>
      </w:r>
      <w:r w:rsidR="00E55FE5">
        <w:rPr>
          <w:rFonts w:ascii="Times New Roman" w:hAnsi="Times New Roman"/>
          <w:sz w:val="22"/>
          <w:szCs w:val="22"/>
          <w:lang w:val="fr-FR"/>
        </w:rPr>
        <w:t>e</w:t>
      </w:r>
      <w:r w:rsidR="001B579A">
        <w:rPr>
          <w:rStyle w:val="Appelnotedebasdep"/>
          <w:rFonts w:ascii="Times New Roman" w:hAnsi="Times New Roman"/>
          <w:sz w:val="22"/>
          <w:szCs w:val="22"/>
        </w:rPr>
        <w:footnoteReference w:id="14"/>
      </w:r>
      <w:r w:rsidRPr="00B246CC">
        <w:rPr>
          <w:rFonts w:ascii="Times New Roman" w:hAnsi="Times New Roman"/>
          <w:sz w:val="22"/>
          <w:szCs w:val="22"/>
        </w:rPr>
        <w:t xml:space="preserve">. </w:t>
      </w:r>
      <w:r w:rsidR="007C32AD">
        <w:rPr>
          <w:rFonts w:ascii="Times New Roman" w:hAnsi="Times New Roman"/>
          <w:sz w:val="22"/>
          <w:szCs w:val="22"/>
        </w:rPr>
        <w:t>Ces entretiens</w:t>
      </w:r>
      <w:r w:rsidRPr="00B246CC">
        <w:rPr>
          <w:rFonts w:ascii="Times New Roman" w:hAnsi="Times New Roman"/>
          <w:sz w:val="22"/>
          <w:szCs w:val="22"/>
        </w:rPr>
        <w:t xml:space="preserve"> débutaient invariablement par une question d’ordre général</w:t>
      </w:r>
      <w:r w:rsidR="001B579A">
        <w:rPr>
          <w:rStyle w:val="Appelnotedebasdep"/>
          <w:rFonts w:ascii="Times New Roman" w:hAnsi="Times New Roman"/>
          <w:sz w:val="22"/>
          <w:szCs w:val="22"/>
        </w:rPr>
        <w:footnoteReference w:id="15"/>
      </w:r>
      <w:r w:rsidRPr="00B246CC">
        <w:rPr>
          <w:rFonts w:ascii="Times New Roman" w:hAnsi="Times New Roman"/>
          <w:sz w:val="22"/>
          <w:szCs w:val="22"/>
        </w:rPr>
        <w:t xml:space="preserve">, de façon à ce que les interviewés relèvent les facteurs qui leur semblaient pertinents. La répétition de cet exercice a </w:t>
      </w:r>
      <w:r w:rsidR="007C32AD">
        <w:rPr>
          <w:rFonts w:ascii="Times New Roman" w:hAnsi="Times New Roman"/>
          <w:sz w:val="22"/>
          <w:szCs w:val="22"/>
        </w:rPr>
        <w:t>fait émerger</w:t>
      </w:r>
      <w:r w:rsidRPr="00B246CC">
        <w:rPr>
          <w:rFonts w:ascii="Times New Roman" w:hAnsi="Times New Roman"/>
          <w:sz w:val="22"/>
          <w:szCs w:val="22"/>
        </w:rPr>
        <w:t xml:space="preserve"> une grille d’entretien articulée autour de dimensions économiques (facteurs contextuels, parallélismes et différences) </w:t>
      </w:r>
      <w:r w:rsidR="00305F43">
        <w:rPr>
          <w:rFonts w:ascii="Times New Roman" w:hAnsi="Times New Roman"/>
          <w:sz w:val="22"/>
          <w:szCs w:val="22"/>
        </w:rPr>
        <w:t>et</w:t>
      </w:r>
      <w:r w:rsidRPr="00B246CC">
        <w:rPr>
          <w:rFonts w:ascii="Times New Roman" w:hAnsi="Times New Roman"/>
          <w:sz w:val="22"/>
          <w:szCs w:val="22"/>
        </w:rPr>
        <w:t xml:space="preserve"> politico-institutionnelles (fact</w:t>
      </w:r>
      <w:r w:rsidR="0047255A">
        <w:rPr>
          <w:rFonts w:ascii="Times New Roman" w:hAnsi="Times New Roman"/>
          <w:sz w:val="22"/>
          <w:szCs w:val="22"/>
        </w:rPr>
        <w:t xml:space="preserve">eurs contextuels, </w:t>
      </w:r>
      <w:r w:rsidR="00D80D51" w:rsidRPr="00D80D51">
        <w:rPr>
          <w:rFonts w:ascii="Times New Roman" w:hAnsi="Times New Roman"/>
          <w:sz w:val="22"/>
          <w:szCs w:val="22"/>
        </w:rPr>
        <w:t>personnalités clés</w:t>
      </w:r>
      <w:r w:rsidRPr="00B246CC">
        <w:rPr>
          <w:rFonts w:ascii="Times New Roman" w:hAnsi="Times New Roman"/>
          <w:sz w:val="22"/>
          <w:szCs w:val="22"/>
        </w:rPr>
        <w:t xml:space="preserve">, relations interpersonnelles et inter-partisanes, cohésion au sein du pilier, pressions supranationales et rôle du CSF). Si des contraintes temporelles et cognitives </w:t>
      </w:r>
      <w:r w:rsidR="00644955">
        <w:rPr>
          <w:rFonts w:ascii="Times New Roman" w:hAnsi="Times New Roman"/>
          <w:sz w:val="22"/>
          <w:szCs w:val="22"/>
        </w:rPr>
        <w:t xml:space="preserve">nous ont </w:t>
      </w:r>
      <w:proofErr w:type="gramStart"/>
      <w:r w:rsidR="00644955">
        <w:rPr>
          <w:rFonts w:ascii="Times New Roman" w:hAnsi="Times New Roman"/>
          <w:sz w:val="22"/>
          <w:szCs w:val="22"/>
        </w:rPr>
        <w:t>empêché</w:t>
      </w:r>
      <w:proofErr w:type="gramEnd"/>
      <w:r w:rsidRPr="00B246CC">
        <w:rPr>
          <w:rFonts w:ascii="Times New Roman" w:hAnsi="Times New Roman"/>
          <w:sz w:val="22"/>
          <w:szCs w:val="22"/>
        </w:rPr>
        <w:t xml:space="preserve"> d’évoquer l’intégralité de ces dimensions </w:t>
      </w:r>
      <w:r w:rsidR="003A37AB">
        <w:rPr>
          <w:rFonts w:ascii="Times New Roman" w:hAnsi="Times New Roman"/>
          <w:sz w:val="22"/>
          <w:szCs w:val="22"/>
        </w:rPr>
        <w:t>à l’occasion de</w:t>
      </w:r>
      <w:r w:rsidRPr="00B246CC">
        <w:rPr>
          <w:rFonts w:ascii="Times New Roman" w:hAnsi="Times New Roman"/>
          <w:sz w:val="22"/>
          <w:szCs w:val="22"/>
        </w:rPr>
        <w:t xml:space="preserve"> </w:t>
      </w:r>
      <w:r w:rsidRPr="00B246CC">
        <w:rPr>
          <w:rFonts w:ascii="Times New Roman" w:hAnsi="Times New Roman"/>
          <w:sz w:val="22"/>
          <w:szCs w:val="22"/>
        </w:rPr>
        <w:lastRenderedPageBreak/>
        <w:t xml:space="preserve">chaque entretien, l’action du CSF a </w:t>
      </w:r>
      <w:r w:rsidR="003A37AB">
        <w:rPr>
          <w:rFonts w:ascii="Times New Roman" w:hAnsi="Times New Roman"/>
          <w:sz w:val="22"/>
          <w:szCs w:val="22"/>
        </w:rPr>
        <w:t xml:space="preserve">néanmoins </w:t>
      </w:r>
      <w:r w:rsidRPr="00B246CC">
        <w:rPr>
          <w:rFonts w:ascii="Times New Roman" w:hAnsi="Times New Roman"/>
          <w:sz w:val="22"/>
          <w:szCs w:val="22"/>
        </w:rPr>
        <w:t>été abordée</w:t>
      </w:r>
      <w:r w:rsidR="00305F43">
        <w:rPr>
          <w:rFonts w:ascii="Times New Roman" w:hAnsi="Times New Roman"/>
          <w:sz w:val="22"/>
          <w:szCs w:val="22"/>
        </w:rPr>
        <w:t xml:space="preserve"> à de nombreuses reprises</w:t>
      </w:r>
      <w:r w:rsidR="003A37AB">
        <w:rPr>
          <w:rFonts w:ascii="Times New Roman" w:hAnsi="Times New Roman"/>
          <w:sz w:val="22"/>
          <w:szCs w:val="22"/>
        </w:rPr>
        <w:t xml:space="preserve"> au cours de ceux-ci</w:t>
      </w:r>
      <w:r w:rsidRPr="00B246CC">
        <w:rPr>
          <w:rFonts w:ascii="Times New Roman" w:hAnsi="Times New Roman"/>
          <w:sz w:val="22"/>
          <w:szCs w:val="22"/>
        </w:rPr>
        <w:t>. Cet article s’appuie</w:t>
      </w:r>
      <w:r w:rsidR="00305F43">
        <w:rPr>
          <w:rFonts w:ascii="Times New Roman" w:hAnsi="Times New Roman"/>
          <w:sz w:val="22"/>
          <w:szCs w:val="22"/>
        </w:rPr>
        <w:t xml:space="preserve"> </w:t>
      </w:r>
      <w:r w:rsidRPr="00B246CC">
        <w:rPr>
          <w:rFonts w:ascii="Times New Roman" w:hAnsi="Times New Roman"/>
          <w:sz w:val="22"/>
          <w:szCs w:val="22"/>
        </w:rPr>
        <w:t>sur le matériau recueilli lors de quinze entretiens</w:t>
      </w:r>
      <w:r w:rsidR="001B579A">
        <w:rPr>
          <w:rStyle w:val="Appelnotedebasdep"/>
          <w:rFonts w:ascii="Times New Roman" w:hAnsi="Times New Roman"/>
          <w:sz w:val="22"/>
          <w:szCs w:val="22"/>
        </w:rPr>
        <w:footnoteReference w:id="16"/>
      </w:r>
      <w:r w:rsidRPr="00B246CC">
        <w:rPr>
          <w:rFonts w:ascii="Times New Roman" w:hAnsi="Times New Roman"/>
          <w:sz w:val="22"/>
          <w:szCs w:val="22"/>
        </w:rPr>
        <w:t xml:space="preserve"> qui, après avoir </w:t>
      </w:r>
      <w:r w:rsidR="00A676B2">
        <w:rPr>
          <w:rFonts w:ascii="Times New Roman" w:hAnsi="Times New Roman"/>
          <w:sz w:val="22"/>
          <w:szCs w:val="22"/>
        </w:rPr>
        <w:t>été intégralement retranscrits</w:t>
      </w:r>
      <w:r w:rsidRPr="00B246CC">
        <w:rPr>
          <w:rFonts w:ascii="Times New Roman" w:hAnsi="Times New Roman"/>
          <w:sz w:val="22"/>
          <w:szCs w:val="22"/>
        </w:rPr>
        <w:t xml:space="preserve">, ont fait l’objet d’une analyse thématique (Ryan &amp; Bernard, 2003). </w:t>
      </w:r>
    </w:p>
    <w:p w14:paraId="6FB31C4E" w14:textId="77777777" w:rsidR="007674A2" w:rsidRPr="004F2163" w:rsidRDefault="007674A2" w:rsidP="006B11F4">
      <w:pPr>
        <w:pStyle w:val="Notedebasdepage"/>
        <w:spacing w:line="240" w:lineRule="auto"/>
        <w:rPr>
          <w:rFonts w:ascii="Times New Roman" w:hAnsi="Times New Roman"/>
          <w:sz w:val="22"/>
          <w:szCs w:val="22"/>
        </w:rPr>
      </w:pPr>
    </w:p>
    <w:p w14:paraId="4551C263" w14:textId="77777777" w:rsidR="00F33019" w:rsidRPr="004F2163" w:rsidRDefault="002D4472" w:rsidP="007674A2">
      <w:pPr>
        <w:spacing w:line="240" w:lineRule="auto"/>
        <w:rPr>
          <w:rFonts w:cs="Times New Roman"/>
          <w:b/>
          <w:sz w:val="22"/>
          <w:szCs w:val="22"/>
          <w:lang w:val="fr-BE"/>
        </w:rPr>
      </w:pPr>
      <w:r w:rsidRPr="00B246CC">
        <w:rPr>
          <w:rFonts w:cs="Times New Roman"/>
          <w:b/>
          <w:sz w:val="22"/>
          <w:szCs w:val="22"/>
          <w:lang w:val="fr-BE"/>
        </w:rPr>
        <w:t>III. Présentation des résultats de l’analyse du contenu</w:t>
      </w:r>
    </w:p>
    <w:p w14:paraId="6C9B3916" w14:textId="77777777" w:rsidR="007674A2" w:rsidRPr="004F2163" w:rsidRDefault="007674A2" w:rsidP="007674A2">
      <w:pPr>
        <w:rPr>
          <w:rFonts w:cs="Times New Roman"/>
          <w:sz w:val="22"/>
          <w:szCs w:val="22"/>
          <w:lang w:val="fr-BE"/>
        </w:rPr>
      </w:pPr>
    </w:p>
    <w:p w14:paraId="19E9FB21" w14:textId="77777777" w:rsidR="00F33019" w:rsidRPr="004F2163" w:rsidRDefault="002D4472" w:rsidP="006B11F4">
      <w:pPr>
        <w:spacing w:line="240" w:lineRule="auto"/>
        <w:jc w:val="both"/>
        <w:rPr>
          <w:rFonts w:cs="Times New Roman"/>
          <w:sz w:val="22"/>
          <w:szCs w:val="22"/>
        </w:rPr>
      </w:pPr>
      <w:r w:rsidRPr="00B246CC">
        <w:rPr>
          <w:rFonts w:cs="Times New Roman"/>
          <w:sz w:val="22"/>
          <w:szCs w:val="22"/>
        </w:rPr>
        <w:t xml:space="preserve">L’analyse du contenu des entretiens nous a amené à </w:t>
      </w:r>
      <w:r w:rsidR="00A676B2">
        <w:rPr>
          <w:rFonts w:cs="Times New Roman"/>
          <w:sz w:val="22"/>
          <w:szCs w:val="22"/>
        </w:rPr>
        <w:t>distinguer</w:t>
      </w:r>
      <w:r w:rsidRPr="00B246CC">
        <w:rPr>
          <w:rFonts w:cs="Times New Roman"/>
          <w:sz w:val="22"/>
          <w:szCs w:val="22"/>
        </w:rPr>
        <w:t xml:space="preserve"> trois périodes d’influence de la Section et à relever cinq facteurs susceptibles d’expliquer ces variations. </w:t>
      </w:r>
      <w:r w:rsidR="00A676B2">
        <w:rPr>
          <w:rFonts w:cs="Times New Roman"/>
          <w:sz w:val="22"/>
          <w:szCs w:val="22"/>
        </w:rPr>
        <w:t xml:space="preserve">Ces deux dimensions sont abordées dans cette </w:t>
      </w:r>
      <w:r w:rsidR="003A37AB">
        <w:rPr>
          <w:rFonts w:cs="Times New Roman"/>
          <w:sz w:val="22"/>
          <w:szCs w:val="22"/>
        </w:rPr>
        <w:t xml:space="preserve">troisième </w:t>
      </w:r>
      <w:r w:rsidR="00A676B2">
        <w:rPr>
          <w:rFonts w:cs="Times New Roman"/>
          <w:sz w:val="22"/>
          <w:szCs w:val="22"/>
        </w:rPr>
        <w:t>section</w:t>
      </w:r>
      <w:r w:rsidRPr="00B246CC">
        <w:rPr>
          <w:rFonts w:cs="Times New Roman"/>
          <w:sz w:val="22"/>
          <w:szCs w:val="22"/>
        </w:rPr>
        <w:t>.</w:t>
      </w:r>
    </w:p>
    <w:p w14:paraId="4053D776" w14:textId="77777777" w:rsidR="007674A2" w:rsidRPr="004F2163" w:rsidRDefault="007674A2" w:rsidP="006B11F4">
      <w:pPr>
        <w:spacing w:line="240" w:lineRule="auto"/>
        <w:jc w:val="both"/>
        <w:rPr>
          <w:rFonts w:cs="Times New Roman"/>
          <w:sz w:val="22"/>
          <w:szCs w:val="22"/>
        </w:rPr>
      </w:pPr>
    </w:p>
    <w:p w14:paraId="6B7DA5BA" w14:textId="77777777" w:rsidR="00F33019" w:rsidRPr="004F2163" w:rsidRDefault="002D4472" w:rsidP="007674A2">
      <w:pPr>
        <w:spacing w:line="240" w:lineRule="auto"/>
        <w:rPr>
          <w:rFonts w:cs="Times New Roman"/>
          <w:b/>
          <w:i/>
          <w:sz w:val="22"/>
          <w:szCs w:val="22"/>
          <w:lang w:val="fr-BE"/>
        </w:rPr>
      </w:pPr>
      <w:r w:rsidRPr="00B246CC">
        <w:rPr>
          <w:rFonts w:cs="Times New Roman"/>
          <w:b/>
          <w:i/>
          <w:sz w:val="22"/>
          <w:szCs w:val="22"/>
          <w:lang w:val="fr-BE"/>
        </w:rPr>
        <w:t xml:space="preserve">III.1. Les trois périodes d’influence de la Section </w:t>
      </w:r>
    </w:p>
    <w:p w14:paraId="4E4BC4EF" w14:textId="77777777" w:rsidR="007674A2" w:rsidRPr="004F2163" w:rsidRDefault="007674A2" w:rsidP="007674A2">
      <w:pPr>
        <w:rPr>
          <w:rFonts w:cs="Times New Roman"/>
          <w:sz w:val="22"/>
          <w:szCs w:val="22"/>
          <w:lang w:val="fr-BE"/>
        </w:rPr>
      </w:pPr>
    </w:p>
    <w:p w14:paraId="4BCEE21C" w14:textId="77777777" w:rsidR="003E0F35" w:rsidRPr="004F2163" w:rsidRDefault="002D4472" w:rsidP="006B11F4">
      <w:pPr>
        <w:spacing w:line="240" w:lineRule="auto"/>
        <w:jc w:val="both"/>
        <w:rPr>
          <w:rFonts w:cs="Times New Roman"/>
          <w:sz w:val="22"/>
          <w:szCs w:val="22"/>
        </w:rPr>
      </w:pPr>
      <w:r w:rsidRPr="00B246CC">
        <w:rPr>
          <w:rFonts w:cs="Times New Roman"/>
          <w:sz w:val="22"/>
          <w:szCs w:val="22"/>
        </w:rPr>
        <w:t xml:space="preserve">L’histoire de la Section comporte trois périodes d’influence. Durant la première d’entre elles, qui s’étend </w:t>
      </w:r>
      <w:r w:rsidR="004B25E8" w:rsidRPr="004B25E8">
        <w:rPr>
          <w:rFonts w:cs="Times New Roman"/>
          <w:i/>
          <w:sz w:val="22"/>
          <w:szCs w:val="22"/>
        </w:rPr>
        <w:t>grosso modo</w:t>
      </w:r>
      <w:r w:rsidR="004B25E8">
        <w:rPr>
          <w:rFonts w:cs="Times New Roman"/>
          <w:sz w:val="22"/>
          <w:szCs w:val="22"/>
        </w:rPr>
        <w:t xml:space="preserve"> </w:t>
      </w:r>
      <w:r w:rsidRPr="00B246CC">
        <w:rPr>
          <w:rFonts w:cs="Times New Roman"/>
          <w:sz w:val="22"/>
          <w:szCs w:val="22"/>
        </w:rPr>
        <w:t xml:space="preserve">de </w:t>
      </w:r>
      <w:r w:rsidR="004B25E8">
        <w:rPr>
          <w:rFonts w:cs="Times New Roman"/>
          <w:sz w:val="22"/>
          <w:szCs w:val="22"/>
        </w:rPr>
        <w:t>sa création</w:t>
      </w:r>
      <w:r w:rsidRPr="00B246CC">
        <w:rPr>
          <w:rFonts w:cs="Times New Roman"/>
          <w:sz w:val="22"/>
          <w:szCs w:val="22"/>
        </w:rPr>
        <w:t xml:space="preserve"> à 1999, la Section a exercé une influence notable sur le gouvernement fédéral. Cette situation contraste avec celle de la décennie suivante (2000-2009), qui a vu l’</w:t>
      </w:r>
      <w:r w:rsidR="0047255A">
        <w:rPr>
          <w:rFonts w:cs="Times New Roman"/>
          <w:sz w:val="22"/>
          <w:szCs w:val="22"/>
          <w:lang w:val="fr-BE"/>
        </w:rPr>
        <w:t>« </w:t>
      </w:r>
      <w:r w:rsidRPr="00B246CC">
        <w:rPr>
          <w:rFonts w:cs="Times New Roman"/>
          <w:sz w:val="22"/>
          <w:szCs w:val="22"/>
        </w:rPr>
        <w:t>aura</w:t>
      </w:r>
      <w:r w:rsidR="0047255A">
        <w:rPr>
          <w:rFonts w:cs="Times New Roman"/>
          <w:sz w:val="22"/>
          <w:szCs w:val="22"/>
        </w:rPr>
        <w:t> »</w:t>
      </w:r>
      <w:r w:rsidRPr="00B246CC">
        <w:rPr>
          <w:rFonts w:cs="Times New Roman"/>
          <w:sz w:val="22"/>
          <w:szCs w:val="22"/>
        </w:rPr>
        <w:t xml:space="preserve"> du CSF péricliter. Depuis lors, son impact sur la décision budgétaire semble toutefois s’être renforcé. Les exercices budgétaires 1993, 2004 et 2012 sont emblématiques de chacune de ces périodes : les dynamiques en vigueur y sont </w:t>
      </w:r>
      <w:r w:rsidR="00305F43">
        <w:rPr>
          <w:rFonts w:cs="Times New Roman"/>
          <w:sz w:val="22"/>
          <w:szCs w:val="22"/>
        </w:rPr>
        <w:t xml:space="preserve">en effet </w:t>
      </w:r>
      <w:r w:rsidRPr="00B246CC">
        <w:rPr>
          <w:rFonts w:cs="Times New Roman"/>
          <w:sz w:val="22"/>
          <w:szCs w:val="22"/>
        </w:rPr>
        <w:t>particulièrement saillant</w:t>
      </w:r>
      <w:r w:rsidR="004B25E8">
        <w:rPr>
          <w:rFonts w:cs="Times New Roman"/>
          <w:sz w:val="22"/>
          <w:szCs w:val="22"/>
        </w:rPr>
        <w:t>e</w:t>
      </w:r>
      <w:r w:rsidRPr="00B246CC">
        <w:rPr>
          <w:rFonts w:cs="Times New Roman"/>
          <w:sz w:val="22"/>
          <w:szCs w:val="22"/>
        </w:rPr>
        <w:t>s.</w:t>
      </w:r>
    </w:p>
    <w:p w14:paraId="5AC52B7B" w14:textId="77777777" w:rsidR="007674A2" w:rsidRPr="004F2163" w:rsidRDefault="007674A2" w:rsidP="006B11F4">
      <w:pPr>
        <w:spacing w:line="240" w:lineRule="auto"/>
        <w:jc w:val="both"/>
        <w:rPr>
          <w:rFonts w:cs="Times New Roman"/>
          <w:sz w:val="22"/>
          <w:szCs w:val="22"/>
        </w:rPr>
      </w:pPr>
    </w:p>
    <w:p w14:paraId="5921E952" w14:textId="77777777" w:rsidR="00F33019" w:rsidRPr="004F2163" w:rsidRDefault="002D4472" w:rsidP="007674A2">
      <w:pPr>
        <w:spacing w:line="240" w:lineRule="auto"/>
        <w:rPr>
          <w:rFonts w:cs="Times New Roman"/>
          <w:b/>
          <w:i/>
          <w:sz w:val="22"/>
          <w:szCs w:val="22"/>
        </w:rPr>
      </w:pPr>
      <w:r w:rsidRPr="00B246CC">
        <w:rPr>
          <w:rFonts w:cs="Times New Roman"/>
          <w:b/>
          <w:i/>
          <w:sz w:val="22"/>
          <w:szCs w:val="22"/>
        </w:rPr>
        <w:t>III.1.1. La politique budgétaire belge en 1993</w:t>
      </w:r>
    </w:p>
    <w:p w14:paraId="0500CE40" w14:textId="77777777" w:rsidR="007674A2" w:rsidRPr="004F2163" w:rsidRDefault="007674A2" w:rsidP="007674A2">
      <w:pPr>
        <w:rPr>
          <w:rFonts w:cs="Times New Roman"/>
          <w:sz w:val="22"/>
          <w:szCs w:val="22"/>
        </w:rPr>
      </w:pPr>
    </w:p>
    <w:p w14:paraId="0AF53077" w14:textId="77777777" w:rsidR="00B8297A" w:rsidRPr="004F2163" w:rsidRDefault="0047255A" w:rsidP="006B11F4">
      <w:pPr>
        <w:spacing w:line="240" w:lineRule="auto"/>
        <w:jc w:val="both"/>
        <w:rPr>
          <w:rFonts w:cs="Times New Roman"/>
          <w:sz w:val="22"/>
          <w:szCs w:val="22"/>
        </w:rPr>
      </w:pPr>
      <w:r>
        <w:rPr>
          <w:rFonts w:cs="Times New Roman"/>
          <w:sz w:val="22"/>
          <w:szCs w:val="22"/>
        </w:rPr>
        <w:t>Alors que près de trois</w:t>
      </w:r>
      <w:r w:rsidR="002D4472" w:rsidRPr="00B246CC">
        <w:rPr>
          <w:rFonts w:cs="Times New Roman"/>
          <w:sz w:val="22"/>
          <w:szCs w:val="22"/>
        </w:rPr>
        <w:t xml:space="preserve"> milliards d’euros de mesures de rigueur avaient déjà été adoptés dans le budget initial de 1993, le </w:t>
      </w:r>
      <w:r w:rsidR="00A676B2">
        <w:rPr>
          <w:rFonts w:cs="Times New Roman"/>
          <w:sz w:val="22"/>
          <w:szCs w:val="22"/>
        </w:rPr>
        <w:t>conclave</w:t>
      </w:r>
      <w:r w:rsidR="002D4472" w:rsidRPr="00B246CC">
        <w:rPr>
          <w:rFonts w:cs="Times New Roman"/>
          <w:sz w:val="22"/>
          <w:szCs w:val="22"/>
        </w:rPr>
        <w:t xml:space="preserve"> budgétaire de mars accentue encore cette tendance. De récentes estimations </w:t>
      </w:r>
      <w:r w:rsidR="00A676B2">
        <w:rPr>
          <w:rFonts w:cs="Times New Roman"/>
          <w:sz w:val="22"/>
          <w:szCs w:val="22"/>
        </w:rPr>
        <w:t>faisaient</w:t>
      </w:r>
      <w:r w:rsidR="002D4472" w:rsidRPr="00B246CC">
        <w:rPr>
          <w:rFonts w:cs="Times New Roman"/>
          <w:sz w:val="22"/>
          <w:szCs w:val="22"/>
        </w:rPr>
        <w:t xml:space="preserve"> alors état d’un déficit budgétaire de 6,9% du PIB, un chiffre bien supérieur aux 5,7% initialement prévus. La Section (CSF, 1993) propose en conséquence au gouvernement fédéral de réviser les étapes intermédiaires de son plan de convergence, d’adopter une perspective pluriannuelle et de préparer l’exercice budgétaire 1994 dès le contrôle budgétaire de mars 1993. L’exécutif va </w:t>
      </w:r>
      <w:r w:rsidR="00A676B2">
        <w:rPr>
          <w:rFonts w:cs="Times New Roman"/>
          <w:sz w:val="22"/>
          <w:szCs w:val="22"/>
        </w:rPr>
        <w:t xml:space="preserve">pleinement </w:t>
      </w:r>
      <w:r w:rsidR="002D4472" w:rsidRPr="00B246CC">
        <w:rPr>
          <w:rFonts w:cs="Times New Roman"/>
          <w:sz w:val="22"/>
          <w:szCs w:val="22"/>
        </w:rPr>
        <w:t xml:space="preserve">s’inscrire dans cette lignée à l’occasion du conclave de mars 1993, durant lequel il s’accorde sur un effort complémentaire d’un milliard d’euros </w:t>
      </w:r>
      <w:r w:rsidR="002D4472" w:rsidRPr="00B246CC">
        <w:rPr>
          <w:rFonts w:cs="Times New Roman"/>
          <w:sz w:val="22"/>
          <w:szCs w:val="22"/>
        </w:rPr>
        <w:lastRenderedPageBreak/>
        <w:t xml:space="preserve">en 1993 et de 2,72 milliards d’euros à l’horizon 1994. Trois mois plus tard, 750 millions d’euros d’économies </w:t>
      </w:r>
      <w:r w:rsidR="00305F43">
        <w:rPr>
          <w:rFonts w:cs="Times New Roman"/>
          <w:sz w:val="22"/>
          <w:szCs w:val="22"/>
        </w:rPr>
        <w:t xml:space="preserve">supplémentaires </w:t>
      </w:r>
      <w:r w:rsidR="002D4472" w:rsidRPr="00B246CC">
        <w:rPr>
          <w:rFonts w:cs="Times New Roman"/>
          <w:sz w:val="22"/>
          <w:szCs w:val="22"/>
        </w:rPr>
        <w:t>seront encore entérinés dans le budget initial 1994. Dans la foulée,</w:t>
      </w:r>
      <w:r w:rsidR="002D4472" w:rsidRPr="00B246CC">
        <w:rPr>
          <w:rFonts w:cs="Times New Roman"/>
          <w:sz w:val="22"/>
          <w:szCs w:val="22"/>
          <w:lang w:val="fr-BE"/>
        </w:rPr>
        <w:t xml:space="preserve"> les partenaires sociaux sont exhortés à conclure un nouveau pacte social. Alors que ces négociations aboutissent à un échec, le gouvernement </w:t>
      </w:r>
      <w:r w:rsidR="00684AFD">
        <w:rPr>
          <w:rFonts w:cs="Times New Roman"/>
          <w:sz w:val="22"/>
          <w:szCs w:val="22"/>
          <w:lang w:val="fr-BE"/>
        </w:rPr>
        <w:t xml:space="preserve">décide de </w:t>
      </w:r>
      <w:r w:rsidR="002D4472" w:rsidRPr="00B246CC">
        <w:rPr>
          <w:rFonts w:cs="Times New Roman"/>
          <w:sz w:val="22"/>
          <w:szCs w:val="22"/>
          <w:lang w:val="fr-BE"/>
        </w:rPr>
        <w:t>reprend</w:t>
      </w:r>
      <w:r w:rsidR="00684AFD">
        <w:rPr>
          <w:rFonts w:cs="Times New Roman"/>
          <w:sz w:val="22"/>
          <w:szCs w:val="22"/>
          <w:lang w:val="fr-BE"/>
        </w:rPr>
        <w:t>re</w:t>
      </w:r>
      <w:r w:rsidR="002D4472" w:rsidRPr="00B246CC">
        <w:rPr>
          <w:rFonts w:cs="Times New Roman"/>
          <w:sz w:val="22"/>
          <w:szCs w:val="22"/>
          <w:lang w:val="fr-BE"/>
        </w:rPr>
        <w:t xml:space="preserve"> la main et adopte</w:t>
      </w:r>
      <w:r w:rsidR="004B25E8">
        <w:rPr>
          <w:rFonts w:cs="Times New Roman"/>
          <w:sz w:val="22"/>
          <w:szCs w:val="22"/>
          <w:lang w:val="fr-BE"/>
        </w:rPr>
        <w:t>,</w:t>
      </w:r>
      <w:r w:rsidR="002D4472" w:rsidRPr="00B246CC">
        <w:rPr>
          <w:rFonts w:cs="Times New Roman"/>
          <w:sz w:val="22"/>
          <w:szCs w:val="22"/>
          <w:lang w:val="fr-BE"/>
        </w:rPr>
        <w:t xml:space="preserve"> </w:t>
      </w:r>
      <w:r w:rsidR="004B25E8" w:rsidRPr="00B246CC">
        <w:rPr>
          <w:rFonts w:cs="Times New Roman"/>
          <w:sz w:val="22"/>
          <w:szCs w:val="22"/>
          <w:lang w:val="fr-BE"/>
        </w:rPr>
        <w:t>le 17 novembre 1993</w:t>
      </w:r>
      <w:r w:rsidR="004B25E8">
        <w:rPr>
          <w:rFonts w:cs="Times New Roman"/>
          <w:sz w:val="22"/>
          <w:szCs w:val="22"/>
          <w:lang w:val="fr-BE"/>
        </w:rPr>
        <w:t xml:space="preserve">, </w:t>
      </w:r>
      <w:r w:rsidR="002D4472" w:rsidRPr="00B246CC">
        <w:rPr>
          <w:rFonts w:cs="Times New Roman"/>
          <w:sz w:val="22"/>
          <w:szCs w:val="22"/>
          <w:lang w:val="fr-BE"/>
        </w:rPr>
        <w:t xml:space="preserve">le « Plan global pour l’emploi, la compétitivité et la sécurité sociale ». </w:t>
      </w:r>
    </w:p>
    <w:p w14:paraId="7B50F615" w14:textId="77777777" w:rsidR="00B8297A" w:rsidRPr="004F2163" w:rsidRDefault="00B8297A" w:rsidP="006B11F4">
      <w:pPr>
        <w:spacing w:line="240" w:lineRule="auto"/>
        <w:jc w:val="both"/>
        <w:rPr>
          <w:rFonts w:cs="Times New Roman"/>
          <w:sz w:val="22"/>
          <w:szCs w:val="22"/>
          <w:lang w:val="fr-BE"/>
        </w:rPr>
      </w:pPr>
    </w:p>
    <w:p w14:paraId="6BFD6DF3" w14:textId="77777777" w:rsidR="00F33019" w:rsidRPr="004F2163" w:rsidRDefault="002D4472" w:rsidP="006B11F4">
      <w:pPr>
        <w:spacing w:line="240" w:lineRule="auto"/>
        <w:jc w:val="both"/>
        <w:rPr>
          <w:rFonts w:cs="Times New Roman"/>
          <w:sz w:val="22"/>
          <w:szCs w:val="22"/>
          <w:lang w:val="fr-BE"/>
        </w:rPr>
      </w:pPr>
      <w:r w:rsidRPr="00B246CC">
        <w:rPr>
          <w:rFonts w:cs="Times New Roman"/>
          <w:sz w:val="22"/>
          <w:szCs w:val="22"/>
          <w:lang w:val="fr-BE"/>
        </w:rPr>
        <w:t xml:space="preserve">L’introduction de l’indice-santé y fait figure d’élément central : </w:t>
      </w:r>
      <w:r w:rsidR="00684AFD">
        <w:rPr>
          <w:rFonts w:cs="Times New Roman"/>
          <w:sz w:val="22"/>
          <w:szCs w:val="22"/>
          <w:lang w:val="fr-BE"/>
        </w:rPr>
        <w:t>cette réforme</w:t>
      </w:r>
      <w:r w:rsidRPr="00B246CC">
        <w:rPr>
          <w:rFonts w:cs="Times New Roman"/>
          <w:sz w:val="22"/>
          <w:szCs w:val="22"/>
          <w:lang w:val="fr-BE"/>
        </w:rPr>
        <w:t xml:space="preserve"> permet </w:t>
      </w:r>
      <w:r w:rsidR="004B25E8">
        <w:rPr>
          <w:rFonts w:cs="Times New Roman"/>
          <w:sz w:val="22"/>
          <w:szCs w:val="22"/>
          <w:lang w:val="fr-BE"/>
        </w:rPr>
        <w:t xml:space="preserve">en effet </w:t>
      </w:r>
      <w:r w:rsidRPr="00B246CC">
        <w:rPr>
          <w:rFonts w:cs="Times New Roman"/>
          <w:sz w:val="22"/>
          <w:szCs w:val="22"/>
          <w:lang w:val="fr-BE"/>
        </w:rPr>
        <w:t xml:space="preserve">au gouvernement d’augmenter les accises sur le tabac, l’alcool, l’essence et le diesel sans </w:t>
      </w:r>
      <w:r w:rsidR="00B2580C">
        <w:rPr>
          <w:rFonts w:cs="Times New Roman"/>
          <w:sz w:val="22"/>
          <w:szCs w:val="22"/>
          <w:lang w:val="fr-BE"/>
        </w:rPr>
        <w:t>impacter</w:t>
      </w:r>
      <w:r w:rsidRPr="00B246CC">
        <w:rPr>
          <w:rFonts w:cs="Times New Roman"/>
          <w:sz w:val="22"/>
          <w:szCs w:val="22"/>
          <w:lang w:val="fr-BE"/>
        </w:rPr>
        <w:t xml:space="preserve"> </w:t>
      </w:r>
      <w:r w:rsidR="00305F43">
        <w:rPr>
          <w:rFonts w:cs="Times New Roman"/>
          <w:sz w:val="22"/>
          <w:szCs w:val="22"/>
          <w:lang w:val="fr-BE"/>
        </w:rPr>
        <w:t>le calcul de l’indexation automatique des salaires</w:t>
      </w:r>
      <w:r w:rsidRPr="00B246CC">
        <w:rPr>
          <w:rFonts w:cs="Times New Roman"/>
          <w:sz w:val="22"/>
          <w:szCs w:val="22"/>
          <w:lang w:val="fr-BE"/>
        </w:rPr>
        <w:t xml:space="preserve">. </w:t>
      </w:r>
      <w:r w:rsidR="00B2580C">
        <w:rPr>
          <w:rFonts w:cs="Times New Roman"/>
          <w:sz w:val="22"/>
          <w:szCs w:val="22"/>
          <w:lang w:val="fr-BE"/>
        </w:rPr>
        <w:t>L</w:t>
      </w:r>
      <w:r w:rsidRPr="00B246CC">
        <w:rPr>
          <w:rFonts w:cs="Times New Roman"/>
          <w:sz w:val="22"/>
          <w:szCs w:val="22"/>
          <w:lang w:val="fr-BE"/>
        </w:rPr>
        <w:t xml:space="preserve">es salaires réels </w:t>
      </w:r>
      <w:r w:rsidR="00B2580C">
        <w:rPr>
          <w:rFonts w:cs="Times New Roman"/>
          <w:sz w:val="22"/>
          <w:szCs w:val="22"/>
          <w:lang w:val="fr-BE"/>
        </w:rPr>
        <w:t xml:space="preserve">sont </w:t>
      </w:r>
      <w:r w:rsidR="00305F43">
        <w:rPr>
          <w:rFonts w:cs="Times New Roman"/>
          <w:sz w:val="22"/>
          <w:szCs w:val="22"/>
          <w:lang w:val="fr-BE"/>
        </w:rPr>
        <w:t xml:space="preserve">en outre </w:t>
      </w:r>
      <w:r w:rsidR="00B2580C">
        <w:rPr>
          <w:rFonts w:cs="Times New Roman"/>
          <w:sz w:val="22"/>
          <w:szCs w:val="22"/>
          <w:lang w:val="fr-BE"/>
        </w:rPr>
        <w:t xml:space="preserve">gelés </w:t>
      </w:r>
      <w:r w:rsidRPr="00B246CC">
        <w:rPr>
          <w:rFonts w:cs="Times New Roman"/>
          <w:sz w:val="22"/>
          <w:szCs w:val="22"/>
          <w:lang w:val="fr-BE"/>
        </w:rPr>
        <w:t>pour deux ans</w:t>
      </w:r>
      <w:r w:rsidR="00B2580C">
        <w:rPr>
          <w:rFonts w:cs="Times New Roman"/>
          <w:sz w:val="22"/>
          <w:szCs w:val="22"/>
          <w:lang w:val="fr-BE"/>
        </w:rPr>
        <w:t>, tandis qu’</w:t>
      </w:r>
      <w:r w:rsidR="00B2580C" w:rsidRPr="001B579A">
        <w:rPr>
          <w:rFonts w:cs="Times New Roman"/>
          <w:sz w:val="22"/>
          <w:szCs w:val="22"/>
          <w:lang w:val="fr-BE"/>
        </w:rPr>
        <w:t>une augmentation des accises et de la TVA</w:t>
      </w:r>
      <w:r w:rsidR="003A2839">
        <w:rPr>
          <w:rFonts w:cs="Times New Roman"/>
          <w:sz w:val="22"/>
          <w:szCs w:val="22"/>
          <w:lang w:val="fr-BE"/>
        </w:rPr>
        <w:t xml:space="preserve"> </w:t>
      </w:r>
      <w:r w:rsidR="00305F43">
        <w:rPr>
          <w:rFonts w:cs="Times New Roman"/>
          <w:sz w:val="22"/>
          <w:szCs w:val="22"/>
          <w:lang w:val="fr-BE"/>
        </w:rPr>
        <w:t>sert à compenser</w:t>
      </w:r>
      <w:r w:rsidRPr="00B246CC">
        <w:rPr>
          <w:rFonts w:cs="Times New Roman"/>
          <w:sz w:val="22"/>
          <w:szCs w:val="22"/>
          <w:lang w:val="fr-BE"/>
        </w:rPr>
        <w:t xml:space="preserve"> de</w:t>
      </w:r>
      <w:r w:rsidR="00305F43">
        <w:rPr>
          <w:rFonts w:cs="Times New Roman"/>
          <w:sz w:val="22"/>
          <w:szCs w:val="22"/>
          <w:lang w:val="fr-BE"/>
        </w:rPr>
        <w:t>s</w:t>
      </w:r>
      <w:r w:rsidRPr="00B246CC">
        <w:rPr>
          <w:rFonts w:cs="Times New Roman"/>
          <w:sz w:val="22"/>
          <w:szCs w:val="22"/>
          <w:lang w:val="fr-BE"/>
        </w:rPr>
        <w:t xml:space="preserve"> mesures de flexibilisation du marché du travail et une réduction des charges patronales. Il est enfin prévu de réduire les dépenses de sécurité sociale de 1% du PIB et d’augmenter les recettes de 0,5% du PIB entre 1994 et 1996. L’impact de ce programme est évalué à 0,9% du PIB en année pleine, ce qui porte l’incidence budgétaire des mesures adoptées en 1992 et 1993 à respectivement 1,4% et 2,2% du PIB (Savage, 2002). Ces montants, intégralement supportés par l’entité I, attestent de la volonté du gouvernement fédéral de s’inscrire dans le sillage des recommandations de la Section.</w:t>
      </w:r>
    </w:p>
    <w:p w14:paraId="746FF9E3" w14:textId="77777777" w:rsidR="00F33019" w:rsidRPr="004F2163" w:rsidRDefault="00F33019" w:rsidP="006B11F4">
      <w:pPr>
        <w:spacing w:line="240" w:lineRule="auto"/>
        <w:jc w:val="both"/>
        <w:rPr>
          <w:rFonts w:cs="Times New Roman"/>
          <w:sz w:val="22"/>
          <w:szCs w:val="22"/>
          <w:lang w:val="fr-BE"/>
        </w:rPr>
      </w:pPr>
    </w:p>
    <w:p w14:paraId="06D267FD" w14:textId="77777777" w:rsidR="00F33019" w:rsidRPr="004F2163" w:rsidRDefault="002D4472" w:rsidP="00CD3AB1">
      <w:pPr>
        <w:spacing w:line="240" w:lineRule="auto"/>
        <w:jc w:val="center"/>
        <w:rPr>
          <w:rFonts w:cs="Times New Roman"/>
          <w:i/>
          <w:sz w:val="22"/>
          <w:szCs w:val="22"/>
          <w:lang w:val="fr-BE"/>
        </w:rPr>
      </w:pPr>
      <w:r w:rsidRPr="00B246CC">
        <w:rPr>
          <w:rFonts w:cs="Times New Roman"/>
          <w:i/>
          <w:sz w:val="22"/>
          <w:szCs w:val="22"/>
          <w:lang w:val="fr-BE"/>
        </w:rPr>
        <w:t xml:space="preserve">Graphique 1 : Incidence des mesures </w:t>
      </w:r>
      <w:r w:rsidRPr="00B246CC">
        <w:rPr>
          <w:rFonts w:cs="Times New Roman"/>
          <w:sz w:val="22"/>
          <w:szCs w:val="22"/>
          <w:lang w:val="fr-BE"/>
        </w:rPr>
        <w:t>discrétionnaires</w:t>
      </w:r>
      <w:r w:rsidRPr="00B246CC">
        <w:rPr>
          <w:rFonts w:cs="Times New Roman"/>
          <w:i/>
          <w:sz w:val="22"/>
          <w:szCs w:val="22"/>
          <w:lang w:val="fr-BE"/>
        </w:rPr>
        <w:t xml:space="preserve"> adoptées entre 1992 et 1995 par l’ensemble des administrations</w:t>
      </w:r>
      <w:r w:rsidR="004452E4">
        <w:rPr>
          <w:rFonts w:cs="Times New Roman"/>
          <w:i/>
          <w:sz w:val="22"/>
          <w:szCs w:val="22"/>
          <w:lang w:val="fr-BE"/>
        </w:rPr>
        <w:t xml:space="preserve"> publiques en Belgique, en p. c.</w:t>
      </w:r>
      <w:r w:rsidRPr="00B246CC">
        <w:rPr>
          <w:rFonts w:cs="Times New Roman"/>
          <w:i/>
          <w:sz w:val="22"/>
          <w:szCs w:val="22"/>
          <w:lang w:val="fr-BE"/>
        </w:rPr>
        <w:t xml:space="preserve"> du PIB (Savage, 2002 : 39)</w:t>
      </w:r>
    </w:p>
    <w:p w14:paraId="50EC0563" w14:textId="77777777" w:rsidR="004F2163" w:rsidRPr="004F2163" w:rsidRDefault="004F2163" w:rsidP="006B11F4">
      <w:pPr>
        <w:spacing w:line="240" w:lineRule="auto"/>
        <w:jc w:val="both"/>
        <w:rPr>
          <w:rFonts w:cs="Times New Roman"/>
          <w:i/>
          <w:sz w:val="22"/>
          <w:szCs w:val="22"/>
        </w:rPr>
      </w:pPr>
    </w:p>
    <w:p w14:paraId="099794D0" w14:textId="77777777" w:rsidR="00F33019" w:rsidRDefault="00F33019" w:rsidP="00644955">
      <w:pPr>
        <w:spacing w:line="240" w:lineRule="auto"/>
        <w:jc w:val="center"/>
        <w:rPr>
          <w:rFonts w:cs="Times New Roman"/>
          <w:sz w:val="22"/>
          <w:szCs w:val="22"/>
          <w:lang w:val="fr-BE"/>
        </w:rPr>
      </w:pPr>
      <w:r w:rsidRPr="004F2163">
        <w:rPr>
          <w:rFonts w:cs="Times New Roman"/>
          <w:noProof/>
          <w:sz w:val="22"/>
          <w:szCs w:val="22"/>
          <w:lang w:val="fr-BE" w:eastAsia="fr-BE"/>
        </w:rPr>
        <w:drawing>
          <wp:inline distT="0" distB="0" distL="0" distR="0" wp14:anchorId="79DD71F4" wp14:editId="3F699753">
            <wp:extent cx="4320000" cy="16560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34ADFB" w14:textId="77777777" w:rsidR="00F33019" w:rsidRPr="004F2163" w:rsidRDefault="002D4472" w:rsidP="00BB4A94">
      <w:pPr>
        <w:spacing w:line="240" w:lineRule="auto"/>
        <w:rPr>
          <w:rFonts w:cs="Times New Roman"/>
          <w:b/>
          <w:i/>
          <w:sz w:val="22"/>
          <w:szCs w:val="22"/>
        </w:rPr>
      </w:pPr>
      <w:r w:rsidRPr="00B246CC">
        <w:rPr>
          <w:rFonts w:cs="Times New Roman"/>
          <w:b/>
          <w:i/>
          <w:sz w:val="22"/>
          <w:szCs w:val="22"/>
        </w:rPr>
        <w:t>III.1.2. La politique budgétaire belge en 2004</w:t>
      </w:r>
    </w:p>
    <w:p w14:paraId="5B03356C" w14:textId="77777777" w:rsidR="00BB4A94" w:rsidRPr="004F2163" w:rsidRDefault="00BB4A94" w:rsidP="00BB4A94">
      <w:pPr>
        <w:spacing w:line="240" w:lineRule="auto"/>
        <w:rPr>
          <w:rFonts w:cs="Times New Roman"/>
          <w:sz w:val="22"/>
          <w:szCs w:val="22"/>
        </w:rPr>
      </w:pPr>
    </w:p>
    <w:p w14:paraId="252555C4" w14:textId="363E77E5" w:rsidR="00F33019" w:rsidRPr="004F2163" w:rsidRDefault="002D4472" w:rsidP="006B11F4">
      <w:pPr>
        <w:spacing w:line="240" w:lineRule="auto"/>
        <w:jc w:val="both"/>
        <w:rPr>
          <w:rFonts w:cs="Times New Roman"/>
          <w:sz w:val="22"/>
          <w:szCs w:val="22"/>
          <w:lang w:val="fr-BE"/>
        </w:rPr>
      </w:pPr>
      <w:r w:rsidRPr="00B246CC">
        <w:rPr>
          <w:rFonts w:cs="Times New Roman"/>
          <w:sz w:val="22"/>
          <w:szCs w:val="22"/>
          <w:lang w:val="fr-BE"/>
        </w:rPr>
        <w:t xml:space="preserve">La Belgique a connu plusieurs réformes d’envergure en matière de finances publiques au début des années 2000 (Nautet &amp; Van Meensel, 2012a) : </w:t>
      </w:r>
      <w:r w:rsidR="004B25E8">
        <w:rPr>
          <w:rFonts w:cs="Times New Roman"/>
          <w:sz w:val="22"/>
          <w:szCs w:val="22"/>
          <w:lang w:val="fr-BE"/>
        </w:rPr>
        <w:t xml:space="preserve">une réduction de </w:t>
      </w:r>
      <w:r w:rsidRPr="00B246CC">
        <w:rPr>
          <w:rFonts w:cs="Times New Roman"/>
          <w:sz w:val="22"/>
          <w:szCs w:val="22"/>
          <w:lang w:val="fr-BE"/>
        </w:rPr>
        <w:t xml:space="preserve">l’impôt des personnes physiques (IPP) et </w:t>
      </w:r>
      <w:r w:rsidR="004B25E8">
        <w:rPr>
          <w:rFonts w:cs="Times New Roman"/>
          <w:sz w:val="22"/>
          <w:szCs w:val="22"/>
          <w:lang w:val="fr-BE"/>
        </w:rPr>
        <w:t>d</w:t>
      </w:r>
      <w:r w:rsidRPr="00B246CC">
        <w:rPr>
          <w:rFonts w:cs="Times New Roman"/>
          <w:sz w:val="22"/>
          <w:szCs w:val="22"/>
          <w:lang w:val="fr-BE"/>
        </w:rPr>
        <w:t>es cotisations sociales</w:t>
      </w:r>
      <w:r w:rsidR="004B25E8">
        <w:rPr>
          <w:rFonts w:cs="Times New Roman"/>
          <w:sz w:val="22"/>
          <w:szCs w:val="22"/>
          <w:lang w:val="fr-BE"/>
        </w:rPr>
        <w:t xml:space="preserve"> </w:t>
      </w:r>
      <w:r w:rsidRPr="00B246CC">
        <w:rPr>
          <w:rFonts w:cs="Times New Roman"/>
          <w:sz w:val="22"/>
          <w:szCs w:val="22"/>
          <w:lang w:val="fr-BE"/>
        </w:rPr>
        <w:lastRenderedPageBreak/>
        <w:t xml:space="preserve">; </w:t>
      </w:r>
      <w:r w:rsidR="00BC1CFF">
        <w:rPr>
          <w:rFonts w:cs="Times New Roman"/>
          <w:sz w:val="22"/>
          <w:szCs w:val="22"/>
          <w:lang w:val="fr-BE"/>
        </w:rPr>
        <w:t>le retour de la</w:t>
      </w:r>
      <w:r w:rsidR="004B25E8">
        <w:rPr>
          <w:rFonts w:cs="Times New Roman"/>
          <w:sz w:val="22"/>
          <w:szCs w:val="22"/>
          <w:lang w:val="fr-BE"/>
        </w:rPr>
        <w:t xml:space="preserve"> croissance des</w:t>
      </w:r>
      <w:r w:rsidRPr="00B246CC">
        <w:rPr>
          <w:rFonts w:cs="Times New Roman"/>
          <w:sz w:val="22"/>
          <w:szCs w:val="22"/>
          <w:lang w:val="fr-BE"/>
        </w:rPr>
        <w:t xml:space="preserve"> dépenses primaires ; e</w:t>
      </w:r>
      <w:r w:rsidR="004B25E8">
        <w:rPr>
          <w:rFonts w:cs="Times New Roman"/>
          <w:sz w:val="22"/>
          <w:szCs w:val="22"/>
          <w:lang w:val="fr-BE"/>
        </w:rPr>
        <w:t xml:space="preserve">t la signature des </w:t>
      </w:r>
      <w:r w:rsidRPr="00B246CC">
        <w:rPr>
          <w:rFonts w:cs="Times New Roman"/>
          <w:sz w:val="22"/>
          <w:szCs w:val="22"/>
          <w:lang w:val="fr-BE"/>
        </w:rPr>
        <w:t>accords du Lambermont (2001)</w:t>
      </w:r>
      <w:r w:rsidR="004B25E8">
        <w:rPr>
          <w:rFonts w:cs="Times New Roman"/>
          <w:sz w:val="22"/>
          <w:szCs w:val="22"/>
          <w:lang w:val="fr-BE"/>
        </w:rPr>
        <w:t>, qui</w:t>
      </w:r>
      <w:r w:rsidRPr="00B246CC">
        <w:rPr>
          <w:rFonts w:cs="Times New Roman"/>
          <w:sz w:val="22"/>
          <w:szCs w:val="22"/>
          <w:lang w:val="fr-BE"/>
        </w:rPr>
        <w:t xml:space="preserve"> ont </w:t>
      </w:r>
      <w:r w:rsidR="004B25E8">
        <w:rPr>
          <w:rFonts w:cs="Times New Roman"/>
          <w:sz w:val="22"/>
          <w:szCs w:val="22"/>
          <w:lang w:val="fr-BE"/>
        </w:rPr>
        <w:t>élargi</w:t>
      </w:r>
      <w:r w:rsidRPr="00B246CC">
        <w:rPr>
          <w:rFonts w:cs="Times New Roman"/>
          <w:sz w:val="22"/>
          <w:szCs w:val="22"/>
          <w:lang w:val="fr-BE"/>
        </w:rPr>
        <w:t xml:space="preserve"> la compétence fiscale des Régions en matière d’IPP et d’impôts régionaux et procédé à un refinancement structurel des entités fédérées </w:t>
      </w:r>
      <w:r w:rsidRPr="00B246CC">
        <w:rPr>
          <w:rFonts w:cs="Times New Roman"/>
          <w:sz w:val="22"/>
          <w:szCs w:val="22"/>
        </w:rPr>
        <w:t>à hauteur de 1,1 milliard d’euros entre 2002 et 2011 (Bayenet &amp; Pagano, 2011</w:t>
      </w:r>
      <w:r w:rsidR="00B2580C">
        <w:rPr>
          <w:rFonts w:cs="Times New Roman"/>
          <w:sz w:val="22"/>
          <w:szCs w:val="22"/>
        </w:rPr>
        <w:t> : 60</w:t>
      </w:r>
      <w:r w:rsidRPr="00B246CC">
        <w:rPr>
          <w:rFonts w:cs="Times New Roman"/>
          <w:sz w:val="22"/>
          <w:szCs w:val="22"/>
        </w:rPr>
        <w:t>)</w:t>
      </w:r>
      <w:r w:rsidRPr="00B246CC">
        <w:rPr>
          <w:rFonts w:cs="Times New Roman"/>
          <w:sz w:val="22"/>
          <w:szCs w:val="22"/>
          <w:lang w:val="fr-BE"/>
        </w:rPr>
        <w:t xml:space="preserve">. </w:t>
      </w:r>
    </w:p>
    <w:p w14:paraId="2457F867" w14:textId="77777777" w:rsidR="00F33019" w:rsidRPr="004F2163" w:rsidRDefault="00F33019" w:rsidP="006B11F4">
      <w:pPr>
        <w:spacing w:line="240" w:lineRule="auto"/>
        <w:jc w:val="both"/>
        <w:rPr>
          <w:rFonts w:cs="Times New Roman"/>
          <w:sz w:val="22"/>
          <w:szCs w:val="22"/>
          <w:lang w:val="fr-BE"/>
        </w:rPr>
      </w:pPr>
    </w:p>
    <w:p w14:paraId="5DE143BC" w14:textId="77777777" w:rsidR="00F33019" w:rsidRPr="004F2163" w:rsidRDefault="002D4472" w:rsidP="006B11F4">
      <w:pPr>
        <w:spacing w:line="240" w:lineRule="auto"/>
        <w:jc w:val="both"/>
        <w:rPr>
          <w:rFonts w:cs="Times New Roman"/>
          <w:sz w:val="22"/>
          <w:szCs w:val="22"/>
          <w:lang w:val="fr-BE"/>
        </w:rPr>
      </w:pPr>
      <w:r w:rsidRPr="00B246CC">
        <w:rPr>
          <w:rFonts w:cs="Times New Roman"/>
          <w:sz w:val="22"/>
          <w:szCs w:val="22"/>
          <w:lang w:val="fr-BE"/>
        </w:rPr>
        <w:t xml:space="preserve">La Section (CSF, 2004) n’a pas manqué de dénoncer l’incidence négative de ces mesures sur le </w:t>
      </w:r>
      <w:r w:rsidRPr="00B246CC">
        <w:rPr>
          <w:rFonts w:cs="Times New Roman"/>
          <w:i/>
          <w:sz w:val="22"/>
          <w:szCs w:val="22"/>
          <w:lang w:val="fr-BE"/>
        </w:rPr>
        <w:t>solde budgétaire structurel</w:t>
      </w:r>
      <w:r w:rsidRPr="00B246CC">
        <w:rPr>
          <w:rFonts w:cs="Times New Roman"/>
          <w:sz w:val="22"/>
          <w:szCs w:val="22"/>
          <w:lang w:val="fr-BE"/>
        </w:rPr>
        <w:t xml:space="preserve"> </w:t>
      </w:r>
      <w:r w:rsidR="00DA4727">
        <w:rPr>
          <w:rFonts w:cs="Times New Roman"/>
          <w:sz w:val="22"/>
          <w:szCs w:val="22"/>
          <w:lang w:val="fr-BE"/>
        </w:rPr>
        <w:t xml:space="preserve">de l’ensemble des administrations publiques </w:t>
      </w:r>
      <w:r w:rsidRPr="00B246CC">
        <w:rPr>
          <w:rFonts w:cs="Times New Roman"/>
          <w:sz w:val="22"/>
          <w:szCs w:val="22"/>
          <w:lang w:val="fr-BE"/>
        </w:rPr>
        <w:t xml:space="preserve">(-1,8% du PIB entre 2000 et 2003), de même que le caractère artificiel de l’équilibre nominal présenté en 2003. La réduction des charges d’intérêts et l’adoption de mesures non-récurrentes dissimulent en effet une détérioration constante du </w:t>
      </w:r>
      <w:r w:rsidRPr="00B246CC">
        <w:rPr>
          <w:rFonts w:cs="Times New Roman"/>
          <w:i/>
          <w:sz w:val="22"/>
          <w:szCs w:val="22"/>
          <w:lang w:val="fr-BE"/>
        </w:rPr>
        <w:t>solde primaire</w:t>
      </w:r>
      <w:r w:rsidRPr="00B246CC">
        <w:rPr>
          <w:rFonts w:cs="Times New Roman"/>
          <w:sz w:val="22"/>
          <w:szCs w:val="22"/>
          <w:lang w:val="fr-BE"/>
        </w:rPr>
        <w:t xml:space="preserve">. Dans son rapport annuel de 2004, </w:t>
      </w:r>
      <w:r w:rsidR="00B2580C">
        <w:rPr>
          <w:rFonts w:cs="Times New Roman"/>
          <w:sz w:val="22"/>
          <w:szCs w:val="22"/>
          <w:lang w:val="fr-BE"/>
        </w:rPr>
        <w:t>elle</w:t>
      </w:r>
      <w:r w:rsidRPr="00B246CC">
        <w:rPr>
          <w:rFonts w:cs="Times New Roman"/>
          <w:sz w:val="22"/>
          <w:szCs w:val="22"/>
          <w:lang w:val="fr-BE"/>
        </w:rPr>
        <w:t xml:space="preserve"> recommande donc aux pouvoirs publics de tempérer leur politique budgétaire et de s’en tenir aux objectifs du </w:t>
      </w:r>
      <w:r w:rsidRPr="00B246CC">
        <w:rPr>
          <w:rFonts w:cs="Times New Roman"/>
          <w:i/>
          <w:sz w:val="22"/>
          <w:szCs w:val="22"/>
          <w:lang w:val="fr-BE"/>
        </w:rPr>
        <w:t>programme de stabilité</w:t>
      </w:r>
      <w:r w:rsidRPr="00B246CC">
        <w:rPr>
          <w:rFonts w:cs="Times New Roman"/>
          <w:sz w:val="22"/>
          <w:szCs w:val="22"/>
          <w:lang w:val="fr-BE"/>
        </w:rPr>
        <w:t xml:space="preserve"> 2004-2007</w:t>
      </w:r>
      <w:r w:rsidR="00936483" w:rsidRPr="004F2163">
        <w:rPr>
          <w:rStyle w:val="Appelnotedebasdep"/>
          <w:rFonts w:cs="Times New Roman"/>
          <w:sz w:val="22"/>
          <w:szCs w:val="22"/>
          <w:lang w:val="fr-BE"/>
        </w:rPr>
        <w:footnoteReference w:id="17"/>
      </w:r>
      <w:r w:rsidR="00936483" w:rsidRPr="004F2163">
        <w:rPr>
          <w:rFonts w:cs="Times New Roman"/>
          <w:sz w:val="22"/>
          <w:szCs w:val="22"/>
          <w:lang w:val="fr-BE"/>
        </w:rPr>
        <w:t>.</w:t>
      </w:r>
      <w:r w:rsidRPr="00B246CC">
        <w:rPr>
          <w:rFonts w:cs="Times New Roman"/>
          <w:sz w:val="22"/>
          <w:szCs w:val="22"/>
          <w:lang w:val="fr-BE"/>
        </w:rPr>
        <w:t xml:space="preserve"> Afin d’anticiper la hausse des dépenses liées au vieillissement de la population, la Section préconise </w:t>
      </w:r>
      <w:r w:rsidR="00F773D6">
        <w:rPr>
          <w:rFonts w:cs="Times New Roman"/>
          <w:sz w:val="22"/>
          <w:szCs w:val="22"/>
          <w:lang w:val="fr-BE"/>
        </w:rPr>
        <w:t>en outre</w:t>
      </w:r>
      <w:r w:rsidRPr="00B246CC">
        <w:rPr>
          <w:rFonts w:cs="Times New Roman"/>
          <w:sz w:val="22"/>
          <w:szCs w:val="22"/>
          <w:lang w:val="fr-BE"/>
        </w:rPr>
        <w:t xml:space="preserve"> de constituer un surplus équivalent à 1,5% du PIB en 2011. </w:t>
      </w:r>
    </w:p>
    <w:p w14:paraId="25F0659B" w14:textId="77777777" w:rsidR="00F33019" w:rsidRPr="004F2163" w:rsidRDefault="00F33019" w:rsidP="006B11F4">
      <w:pPr>
        <w:spacing w:line="240" w:lineRule="auto"/>
        <w:jc w:val="both"/>
        <w:rPr>
          <w:rFonts w:cs="Times New Roman"/>
          <w:sz w:val="22"/>
          <w:szCs w:val="22"/>
          <w:lang w:val="fr-BE"/>
        </w:rPr>
      </w:pPr>
    </w:p>
    <w:p w14:paraId="1276AAC7" w14:textId="4BB5698D" w:rsidR="00F33019" w:rsidRDefault="002D4472" w:rsidP="006B11F4">
      <w:pPr>
        <w:spacing w:line="240" w:lineRule="auto"/>
        <w:jc w:val="both"/>
        <w:rPr>
          <w:rFonts w:cs="Times New Roman"/>
          <w:sz w:val="22"/>
          <w:szCs w:val="22"/>
          <w:lang w:val="fr-BE"/>
        </w:rPr>
      </w:pPr>
      <w:r w:rsidRPr="00B246CC">
        <w:rPr>
          <w:rFonts w:cs="Times New Roman"/>
          <w:sz w:val="22"/>
          <w:szCs w:val="22"/>
          <w:lang w:val="fr-BE"/>
        </w:rPr>
        <w:t xml:space="preserve">Les décideurs politiques ont cependant </w:t>
      </w:r>
      <w:r w:rsidR="00BC1CFF">
        <w:rPr>
          <w:rFonts w:cs="Times New Roman"/>
          <w:sz w:val="22"/>
          <w:szCs w:val="22"/>
          <w:lang w:val="fr-BE"/>
        </w:rPr>
        <w:t>fait le choix</w:t>
      </w:r>
      <w:r w:rsidRPr="00B246CC">
        <w:rPr>
          <w:rFonts w:cs="Times New Roman"/>
          <w:sz w:val="22"/>
          <w:szCs w:val="22"/>
          <w:lang w:val="fr-BE"/>
        </w:rPr>
        <w:t xml:space="preserve"> de ne pas s’inspirer de ces recommandations et de continuer à mener une politique budgétaire expansive. </w:t>
      </w:r>
      <w:r w:rsidR="003A2839">
        <w:rPr>
          <w:rFonts w:cs="Times New Roman"/>
          <w:sz w:val="22"/>
          <w:szCs w:val="22"/>
          <w:lang w:val="fr-BE"/>
        </w:rPr>
        <w:t>Entre 200</w:t>
      </w:r>
      <w:r w:rsidR="00B2580C">
        <w:rPr>
          <w:rFonts w:cs="Times New Roman"/>
          <w:sz w:val="22"/>
          <w:szCs w:val="22"/>
          <w:lang w:val="fr-BE"/>
        </w:rPr>
        <w:t>2</w:t>
      </w:r>
      <w:r w:rsidRPr="00B246CC">
        <w:rPr>
          <w:rFonts w:cs="Times New Roman"/>
          <w:sz w:val="22"/>
          <w:szCs w:val="22"/>
          <w:lang w:val="fr-BE"/>
        </w:rPr>
        <w:t xml:space="preserve"> et 2007, le solde primaire a en effet diminué d</w:t>
      </w:r>
      <w:r w:rsidR="00B23BC6">
        <w:rPr>
          <w:rFonts w:cs="Times New Roman"/>
          <w:sz w:val="22"/>
          <w:szCs w:val="22"/>
          <w:lang w:val="fr-BE"/>
        </w:rPr>
        <w:t>’</w:t>
      </w:r>
      <w:r w:rsidRPr="00B246CC">
        <w:rPr>
          <w:rFonts w:cs="Times New Roman"/>
          <w:sz w:val="22"/>
          <w:szCs w:val="22"/>
          <w:lang w:val="fr-BE"/>
        </w:rPr>
        <w:t>e</w:t>
      </w:r>
      <w:r w:rsidR="00B23BC6">
        <w:rPr>
          <w:rFonts w:cs="Times New Roman"/>
          <w:sz w:val="22"/>
          <w:szCs w:val="22"/>
          <w:lang w:val="fr-BE"/>
        </w:rPr>
        <w:t>nviron</w:t>
      </w:r>
      <w:r w:rsidRPr="00B246CC">
        <w:rPr>
          <w:rFonts w:cs="Times New Roman"/>
          <w:sz w:val="22"/>
          <w:szCs w:val="22"/>
          <w:lang w:val="fr-BE"/>
        </w:rPr>
        <w:t xml:space="preserve"> 2% du PIB, malgré une croissance économique </w:t>
      </w:r>
      <w:r w:rsidR="00B2580C">
        <w:rPr>
          <w:rFonts w:cs="Times New Roman"/>
          <w:sz w:val="22"/>
          <w:szCs w:val="22"/>
          <w:lang w:val="fr-BE"/>
        </w:rPr>
        <w:t>supérieure à 2%</w:t>
      </w:r>
      <w:r w:rsidR="0047255A">
        <w:rPr>
          <w:rFonts w:cs="Times New Roman"/>
          <w:sz w:val="22"/>
          <w:szCs w:val="22"/>
          <w:lang w:val="fr-BE"/>
        </w:rPr>
        <w:t xml:space="preserve"> du PIB. Les mesures non-</w:t>
      </w:r>
      <w:r w:rsidRPr="00B246CC">
        <w:rPr>
          <w:rFonts w:cs="Times New Roman"/>
          <w:sz w:val="22"/>
          <w:szCs w:val="22"/>
          <w:lang w:val="fr-BE"/>
        </w:rPr>
        <w:t>récurrentes ont quant à elles progressé dans des proportions identiques durant cette période</w:t>
      </w:r>
      <w:r w:rsidR="00F33019" w:rsidRPr="004F2163">
        <w:rPr>
          <w:rStyle w:val="Appelnotedebasdep"/>
          <w:rFonts w:cs="Times New Roman"/>
          <w:sz w:val="22"/>
          <w:szCs w:val="22"/>
          <w:lang w:val="fr-BE"/>
        </w:rPr>
        <w:footnoteReference w:id="18"/>
      </w:r>
      <w:r w:rsidRPr="00B246CC">
        <w:rPr>
          <w:rFonts w:cs="Times New Roman"/>
          <w:sz w:val="22"/>
          <w:szCs w:val="22"/>
          <w:lang w:val="fr-BE"/>
        </w:rPr>
        <w:t xml:space="preserve">. Si la majeure partie de cette dégradation est à mettre </w:t>
      </w:r>
      <w:r w:rsidR="00B23BC6">
        <w:rPr>
          <w:rFonts w:cs="Times New Roman"/>
          <w:sz w:val="22"/>
          <w:szCs w:val="22"/>
          <w:lang w:val="fr-BE"/>
        </w:rPr>
        <w:t xml:space="preserve">au passif </w:t>
      </w:r>
      <w:r w:rsidRPr="00B246CC">
        <w:rPr>
          <w:rFonts w:cs="Times New Roman"/>
          <w:sz w:val="22"/>
          <w:szCs w:val="22"/>
          <w:lang w:val="fr-BE"/>
        </w:rPr>
        <w:t xml:space="preserve">de l’entité I, l’entité </w:t>
      </w:r>
      <w:r w:rsidR="00B2580C">
        <w:rPr>
          <w:rFonts w:cs="Times New Roman"/>
          <w:sz w:val="22"/>
          <w:szCs w:val="22"/>
          <w:lang w:val="fr-BE"/>
        </w:rPr>
        <w:t xml:space="preserve">II </w:t>
      </w:r>
      <w:r w:rsidRPr="00B246CC">
        <w:rPr>
          <w:rFonts w:cs="Times New Roman"/>
          <w:sz w:val="22"/>
          <w:szCs w:val="22"/>
          <w:lang w:val="fr-BE"/>
        </w:rPr>
        <w:t xml:space="preserve">a </w:t>
      </w:r>
      <w:r w:rsidR="00F773D6">
        <w:rPr>
          <w:rFonts w:cs="Times New Roman"/>
          <w:sz w:val="22"/>
          <w:szCs w:val="22"/>
          <w:lang w:val="fr-BE"/>
        </w:rPr>
        <w:t>également</w:t>
      </w:r>
      <w:r w:rsidRPr="00B246CC">
        <w:rPr>
          <w:rFonts w:cs="Times New Roman"/>
          <w:sz w:val="22"/>
          <w:szCs w:val="22"/>
          <w:lang w:val="fr-BE"/>
        </w:rPr>
        <w:t xml:space="preserve"> vu son solde budgétaire régresser de 1,1% du PIB entre 2001 et 2008 (Savage, 2012). Le graphique 2 donne une image de l’évolution des finances publiques </w:t>
      </w:r>
      <w:r w:rsidR="00BC1CFF">
        <w:rPr>
          <w:rFonts w:cs="Times New Roman"/>
          <w:sz w:val="22"/>
          <w:szCs w:val="22"/>
          <w:lang w:val="fr-BE"/>
        </w:rPr>
        <w:t>au cours de</w:t>
      </w:r>
      <w:r w:rsidRPr="00B246CC">
        <w:rPr>
          <w:rFonts w:cs="Times New Roman"/>
          <w:sz w:val="22"/>
          <w:szCs w:val="22"/>
          <w:lang w:val="fr-BE"/>
        </w:rPr>
        <w:t xml:space="preserve"> cette période. </w:t>
      </w:r>
    </w:p>
    <w:p w14:paraId="2F76FEE2" w14:textId="77777777" w:rsidR="00637DA6" w:rsidRDefault="00637DA6" w:rsidP="00CD3AB1">
      <w:pPr>
        <w:spacing w:line="240" w:lineRule="auto"/>
        <w:jc w:val="center"/>
        <w:rPr>
          <w:rFonts w:cs="Times New Roman"/>
          <w:i/>
          <w:sz w:val="22"/>
          <w:szCs w:val="22"/>
          <w:lang w:val="fr-BE"/>
        </w:rPr>
      </w:pPr>
    </w:p>
    <w:p w14:paraId="031CE5BE" w14:textId="77777777" w:rsidR="00637DA6" w:rsidRDefault="00637DA6" w:rsidP="00CD3AB1">
      <w:pPr>
        <w:spacing w:line="240" w:lineRule="auto"/>
        <w:jc w:val="center"/>
        <w:rPr>
          <w:rFonts w:cs="Times New Roman"/>
          <w:i/>
          <w:sz w:val="22"/>
          <w:szCs w:val="22"/>
          <w:lang w:val="fr-BE"/>
        </w:rPr>
      </w:pPr>
    </w:p>
    <w:p w14:paraId="06A66200" w14:textId="77777777" w:rsidR="00637DA6" w:rsidRDefault="00637DA6" w:rsidP="00CD3AB1">
      <w:pPr>
        <w:spacing w:line="240" w:lineRule="auto"/>
        <w:jc w:val="center"/>
        <w:rPr>
          <w:rFonts w:cs="Times New Roman"/>
          <w:i/>
          <w:sz w:val="22"/>
          <w:szCs w:val="22"/>
          <w:lang w:val="fr-BE"/>
        </w:rPr>
      </w:pPr>
    </w:p>
    <w:p w14:paraId="380A416A" w14:textId="77777777" w:rsidR="00637DA6" w:rsidRDefault="00637DA6" w:rsidP="00CD3AB1">
      <w:pPr>
        <w:spacing w:line="240" w:lineRule="auto"/>
        <w:jc w:val="center"/>
        <w:rPr>
          <w:rFonts w:cs="Times New Roman"/>
          <w:i/>
          <w:sz w:val="22"/>
          <w:szCs w:val="22"/>
          <w:lang w:val="fr-BE"/>
        </w:rPr>
      </w:pPr>
    </w:p>
    <w:p w14:paraId="7C7C5ECE" w14:textId="77777777" w:rsidR="00637DA6" w:rsidRDefault="00637DA6" w:rsidP="00CD3AB1">
      <w:pPr>
        <w:spacing w:line="240" w:lineRule="auto"/>
        <w:jc w:val="center"/>
        <w:rPr>
          <w:rFonts w:cs="Times New Roman"/>
          <w:i/>
          <w:sz w:val="22"/>
          <w:szCs w:val="22"/>
          <w:lang w:val="fr-BE"/>
        </w:rPr>
      </w:pPr>
    </w:p>
    <w:p w14:paraId="4A4DF78D" w14:textId="77777777" w:rsidR="00637DA6" w:rsidRDefault="00637DA6" w:rsidP="00CD3AB1">
      <w:pPr>
        <w:spacing w:line="240" w:lineRule="auto"/>
        <w:jc w:val="center"/>
        <w:rPr>
          <w:rFonts w:cs="Times New Roman"/>
          <w:i/>
          <w:sz w:val="22"/>
          <w:szCs w:val="22"/>
          <w:lang w:val="fr-BE"/>
        </w:rPr>
      </w:pPr>
    </w:p>
    <w:p w14:paraId="6D8241FF" w14:textId="77777777" w:rsidR="00F33019" w:rsidRPr="004F2163" w:rsidRDefault="002D4472" w:rsidP="00CD3AB1">
      <w:pPr>
        <w:spacing w:line="240" w:lineRule="auto"/>
        <w:jc w:val="center"/>
        <w:rPr>
          <w:rFonts w:cs="Times New Roman"/>
          <w:i/>
          <w:sz w:val="22"/>
          <w:szCs w:val="22"/>
        </w:rPr>
      </w:pPr>
      <w:r w:rsidRPr="00B246CC">
        <w:rPr>
          <w:rFonts w:cs="Times New Roman"/>
          <w:i/>
          <w:sz w:val="22"/>
          <w:szCs w:val="22"/>
          <w:lang w:val="fr-BE"/>
        </w:rPr>
        <w:lastRenderedPageBreak/>
        <w:t>Graphique 2 : évolution du solde primaire, des facteurs non récurrents et du solde net de financement en Belgi</w:t>
      </w:r>
      <w:r w:rsidR="0047255A">
        <w:rPr>
          <w:rFonts w:cs="Times New Roman"/>
          <w:i/>
          <w:sz w:val="22"/>
          <w:szCs w:val="22"/>
          <w:lang w:val="fr-BE"/>
        </w:rPr>
        <w:t xml:space="preserve">que entre 2001 et 2008, en </w:t>
      </w:r>
      <w:r w:rsidR="004452E4">
        <w:rPr>
          <w:rFonts w:cs="Times New Roman"/>
          <w:i/>
          <w:sz w:val="22"/>
          <w:szCs w:val="22"/>
          <w:lang w:val="fr-BE"/>
        </w:rPr>
        <w:t>p. c.</w:t>
      </w:r>
      <w:r w:rsidRPr="00B246CC">
        <w:rPr>
          <w:rFonts w:cs="Times New Roman"/>
          <w:i/>
          <w:sz w:val="22"/>
          <w:szCs w:val="22"/>
          <w:lang w:val="fr-BE"/>
        </w:rPr>
        <w:t xml:space="preserve"> du PIB (Nautet &amp; Van Meensel, 2012b)</w:t>
      </w:r>
    </w:p>
    <w:p w14:paraId="392ACC32" w14:textId="77777777" w:rsidR="00F33019" w:rsidRPr="004F2163" w:rsidRDefault="00F33019" w:rsidP="006B11F4">
      <w:pPr>
        <w:spacing w:line="240" w:lineRule="auto"/>
        <w:jc w:val="both"/>
        <w:rPr>
          <w:rFonts w:cs="Times New Roman"/>
          <w:sz w:val="22"/>
          <w:szCs w:val="22"/>
        </w:rPr>
      </w:pPr>
    </w:p>
    <w:p w14:paraId="39E87E0B" w14:textId="77777777" w:rsidR="00CC5CA3" w:rsidRPr="004F2163" w:rsidRDefault="0047776D" w:rsidP="006B11F4">
      <w:pPr>
        <w:spacing w:line="240" w:lineRule="auto"/>
        <w:jc w:val="both"/>
        <w:rPr>
          <w:rFonts w:cs="Times New Roman"/>
          <w:sz w:val="22"/>
          <w:szCs w:val="22"/>
        </w:rPr>
      </w:pPr>
      <w:r w:rsidRPr="00B246CC">
        <w:rPr>
          <w:rFonts w:cs="Times New Roman"/>
          <w:noProof/>
          <w:sz w:val="22"/>
          <w:szCs w:val="22"/>
          <w:lang w:val="fr-BE" w:eastAsia="fr-BE"/>
        </w:rPr>
        <w:drawing>
          <wp:inline distT="0" distB="0" distL="0" distR="0" wp14:anchorId="50DF2464" wp14:editId="1B83F6FC">
            <wp:extent cx="4320000" cy="1733909"/>
            <wp:effectExtent l="19050" t="0" r="2340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384AB5" w14:textId="77777777" w:rsidR="00BB4A94" w:rsidRPr="004F2163" w:rsidRDefault="00BB4A94" w:rsidP="00BB4A94">
      <w:pPr>
        <w:spacing w:line="240" w:lineRule="auto"/>
        <w:rPr>
          <w:rFonts w:cs="Times New Roman"/>
          <w:sz w:val="22"/>
          <w:szCs w:val="22"/>
        </w:rPr>
      </w:pPr>
    </w:p>
    <w:p w14:paraId="3596CC02" w14:textId="77777777" w:rsidR="00F33019" w:rsidRPr="004F2163" w:rsidRDefault="002D4472" w:rsidP="00BB4A94">
      <w:pPr>
        <w:spacing w:line="240" w:lineRule="auto"/>
        <w:rPr>
          <w:rFonts w:cs="Times New Roman"/>
          <w:b/>
          <w:i/>
          <w:sz w:val="22"/>
          <w:szCs w:val="22"/>
        </w:rPr>
      </w:pPr>
      <w:r w:rsidRPr="00B246CC">
        <w:rPr>
          <w:rFonts w:cs="Times New Roman"/>
          <w:b/>
          <w:i/>
          <w:sz w:val="22"/>
          <w:szCs w:val="22"/>
        </w:rPr>
        <w:t>III.1.3. La politique</w:t>
      </w:r>
      <w:r w:rsidR="00300CAF">
        <w:rPr>
          <w:rFonts w:cs="Times New Roman"/>
          <w:b/>
          <w:i/>
          <w:sz w:val="22"/>
          <w:szCs w:val="22"/>
        </w:rPr>
        <w:t xml:space="preserve"> </w:t>
      </w:r>
      <w:r w:rsidRPr="00B246CC">
        <w:rPr>
          <w:rFonts w:cs="Times New Roman"/>
          <w:b/>
          <w:i/>
          <w:sz w:val="22"/>
          <w:szCs w:val="22"/>
        </w:rPr>
        <w:t>budgétaire belge en 2012</w:t>
      </w:r>
    </w:p>
    <w:p w14:paraId="751D42CA" w14:textId="77777777" w:rsidR="00BB4A94" w:rsidRPr="004F2163" w:rsidRDefault="00BB4A94" w:rsidP="00BB4A94">
      <w:pPr>
        <w:spacing w:line="240" w:lineRule="auto"/>
        <w:rPr>
          <w:rFonts w:cs="Times New Roman"/>
          <w:sz w:val="22"/>
          <w:szCs w:val="22"/>
        </w:rPr>
      </w:pPr>
    </w:p>
    <w:p w14:paraId="7E9825F5" w14:textId="4C86F856" w:rsidR="00E534C3" w:rsidRPr="004F2163" w:rsidRDefault="002D4472" w:rsidP="006B11F4">
      <w:pPr>
        <w:spacing w:line="240" w:lineRule="auto"/>
        <w:jc w:val="both"/>
        <w:rPr>
          <w:rFonts w:cs="Times New Roman"/>
          <w:sz w:val="22"/>
          <w:szCs w:val="22"/>
          <w:lang w:val="fr-BE"/>
        </w:rPr>
      </w:pPr>
      <w:r w:rsidRPr="00B246CC">
        <w:rPr>
          <w:rFonts w:cs="Times New Roman"/>
          <w:sz w:val="22"/>
          <w:szCs w:val="22"/>
          <w:lang w:val="fr-BE"/>
        </w:rPr>
        <w:t>Après une crise politique</w:t>
      </w:r>
      <w:r w:rsidR="00B23BC6">
        <w:rPr>
          <w:rFonts w:cs="Times New Roman"/>
          <w:sz w:val="22"/>
          <w:szCs w:val="22"/>
          <w:lang w:val="fr-BE"/>
        </w:rPr>
        <w:t xml:space="preserve"> longue</w:t>
      </w:r>
      <w:r w:rsidRPr="00B246CC">
        <w:rPr>
          <w:rFonts w:cs="Times New Roman"/>
          <w:sz w:val="22"/>
          <w:szCs w:val="22"/>
          <w:lang w:val="fr-BE"/>
        </w:rPr>
        <w:t xml:space="preserve"> de plus d’une année, la confection du budget initial de 2012 constituait le dernier obstacle à franchir avant la formation d’un nouveau gouvernement fédéral (Govaert, 2012). À la demande des </w:t>
      </w:r>
      <w:r w:rsidR="00B23BC6">
        <w:rPr>
          <w:rFonts w:cs="Times New Roman"/>
          <w:sz w:val="22"/>
          <w:szCs w:val="22"/>
          <w:lang w:val="fr-BE"/>
        </w:rPr>
        <w:t xml:space="preserve">six </w:t>
      </w:r>
      <w:r w:rsidRPr="00B246CC">
        <w:rPr>
          <w:rFonts w:cs="Times New Roman"/>
          <w:sz w:val="22"/>
          <w:szCs w:val="22"/>
          <w:lang w:val="fr-BE"/>
        </w:rPr>
        <w:t xml:space="preserve">partis engagés dans les discussions, l’avis d’octobre 2011 (CSF, 2011b) actualise les prévisions de mars (CSF, 2011a). Malgré </w:t>
      </w:r>
      <w:r w:rsidR="00BC1CFF">
        <w:rPr>
          <w:rFonts w:cs="Times New Roman"/>
          <w:sz w:val="22"/>
          <w:szCs w:val="22"/>
          <w:lang w:val="fr-BE"/>
        </w:rPr>
        <w:t xml:space="preserve">une révision à la baisse </w:t>
      </w:r>
      <w:r w:rsidRPr="00B246CC">
        <w:rPr>
          <w:rFonts w:cs="Times New Roman"/>
          <w:sz w:val="22"/>
          <w:szCs w:val="22"/>
          <w:lang w:val="fr-BE"/>
        </w:rPr>
        <w:t>des prévisions de croissance</w:t>
      </w:r>
      <w:r w:rsidR="00B2580C">
        <w:rPr>
          <w:rFonts w:cs="Times New Roman"/>
          <w:sz w:val="22"/>
          <w:szCs w:val="22"/>
          <w:lang w:val="fr-BE"/>
        </w:rPr>
        <w:t xml:space="preserve"> </w:t>
      </w:r>
      <w:r w:rsidR="00B2580C" w:rsidRPr="001B579A">
        <w:rPr>
          <w:rFonts w:cs="Times New Roman"/>
          <w:sz w:val="22"/>
          <w:szCs w:val="22"/>
          <w:lang w:val="fr-BE"/>
        </w:rPr>
        <w:t>(0,8% du PIB au lieu de 2,3%)</w:t>
      </w:r>
      <w:r w:rsidRPr="00B246CC">
        <w:rPr>
          <w:rFonts w:cs="Times New Roman"/>
          <w:sz w:val="22"/>
          <w:szCs w:val="22"/>
          <w:lang w:val="fr-BE"/>
        </w:rPr>
        <w:t xml:space="preserve">, la Section y </w:t>
      </w:r>
      <w:r w:rsidR="00B23BC6">
        <w:rPr>
          <w:rFonts w:cs="Times New Roman"/>
          <w:sz w:val="22"/>
          <w:szCs w:val="22"/>
          <w:lang w:val="fr-BE"/>
        </w:rPr>
        <w:t>réaffirme sa préférence pour</w:t>
      </w:r>
      <w:r w:rsidRPr="00B246CC">
        <w:rPr>
          <w:rFonts w:cs="Times New Roman"/>
          <w:sz w:val="22"/>
          <w:szCs w:val="22"/>
          <w:lang w:val="fr-BE"/>
        </w:rPr>
        <w:t xml:space="preserve"> </w:t>
      </w:r>
      <w:r w:rsidR="00B23BC6">
        <w:rPr>
          <w:rFonts w:cs="Times New Roman"/>
          <w:sz w:val="22"/>
          <w:szCs w:val="22"/>
          <w:lang w:val="fr-BE"/>
        </w:rPr>
        <w:t>un</w:t>
      </w:r>
      <w:r w:rsidRPr="00B246CC">
        <w:rPr>
          <w:rFonts w:cs="Times New Roman"/>
          <w:sz w:val="22"/>
          <w:szCs w:val="22"/>
          <w:lang w:val="fr-BE"/>
        </w:rPr>
        <w:t xml:space="preserve"> retour à un déficit inférieur à 3% du PIB (2,8%) avant la fin de l’année 2012. À politique inchangée, </w:t>
      </w:r>
      <w:r w:rsidR="00B2580C">
        <w:rPr>
          <w:rFonts w:cs="Times New Roman"/>
          <w:sz w:val="22"/>
          <w:szCs w:val="22"/>
          <w:lang w:val="fr-BE"/>
        </w:rPr>
        <w:t xml:space="preserve">elle évalue </w:t>
      </w:r>
      <w:r w:rsidRPr="00B246CC">
        <w:rPr>
          <w:rFonts w:cs="Times New Roman"/>
          <w:sz w:val="22"/>
          <w:szCs w:val="22"/>
          <w:lang w:val="fr-BE"/>
        </w:rPr>
        <w:t xml:space="preserve">l’effort de l’entité I à 2,1% du PIB, soit 7,9 milliards d’euros. Au terme d’une âpre négociation, les différents partenaires </w:t>
      </w:r>
      <w:r w:rsidR="00B2580C">
        <w:rPr>
          <w:rFonts w:cs="Times New Roman"/>
          <w:sz w:val="22"/>
          <w:szCs w:val="22"/>
          <w:lang w:val="fr-BE"/>
        </w:rPr>
        <w:t>s’accordent finalement</w:t>
      </w:r>
      <w:r w:rsidRPr="00B246CC">
        <w:rPr>
          <w:rFonts w:cs="Times New Roman"/>
          <w:sz w:val="22"/>
          <w:szCs w:val="22"/>
          <w:lang w:val="fr-BE"/>
        </w:rPr>
        <w:t xml:space="preserve"> sur un effort de 11,3 milliards d’euros, en raison de la prise en compte d’hypothèses de croissance </w:t>
      </w:r>
      <w:r w:rsidR="00B2580C">
        <w:rPr>
          <w:rFonts w:cs="Times New Roman"/>
          <w:sz w:val="22"/>
          <w:szCs w:val="22"/>
          <w:lang w:val="fr-BE"/>
        </w:rPr>
        <w:t>inférieures à</w:t>
      </w:r>
      <w:r w:rsidRPr="00B246CC">
        <w:rPr>
          <w:rFonts w:cs="Times New Roman"/>
          <w:sz w:val="22"/>
          <w:szCs w:val="22"/>
          <w:lang w:val="fr-BE"/>
        </w:rPr>
        <w:t xml:space="preserve"> celles avancées par la Section. </w:t>
      </w:r>
    </w:p>
    <w:p w14:paraId="2DF51B78" w14:textId="77777777" w:rsidR="00E534C3" w:rsidRPr="004F2163" w:rsidRDefault="00E534C3" w:rsidP="006B11F4">
      <w:pPr>
        <w:spacing w:line="240" w:lineRule="auto"/>
        <w:jc w:val="both"/>
        <w:rPr>
          <w:rFonts w:cs="Times New Roman"/>
          <w:sz w:val="22"/>
          <w:szCs w:val="22"/>
          <w:lang w:val="fr-BE"/>
        </w:rPr>
      </w:pPr>
    </w:p>
    <w:p w14:paraId="2F2BA0FD" w14:textId="19026934" w:rsidR="00F33019" w:rsidRPr="004F2163" w:rsidRDefault="002D4472" w:rsidP="006B11F4">
      <w:pPr>
        <w:spacing w:line="240" w:lineRule="auto"/>
        <w:jc w:val="both"/>
        <w:rPr>
          <w:rFonts w:cs="Times New Roman"/>
          <w:sz w:val="22"/>
          <w:szCs w:val="22"/>
          <w:lang w:val="fr-BE"/>
        </w:rPr>
      </w:pPr>
      <w:r w:rsidRPr="00B246CC">
        <w:rPr>
          <w:rFonts w:cs="Times New Roman"/>
          <w:sz w:val="22"/>
          <w:szCs w:val="22"/>
          <w:lang w:val="fr-BE"/>
        </w:rPr>
        <w:t xml:space="preserve">Le compromis comprend 34% de nouvelles recettes, 24% de mesures </w:t>
      </w:r>
      <w:r w:rsidR="00BC1CFF">
        <w:rPr>
          <w:rFonts w:cs="Times New Roman"/>
          <w:sz w:val="22"/>
          <w:szCs w:val="22"/>
          <w:lang w:val="fr-BE"/>
        </w:rPr>
        <w:t>diverses et 42% de réduction de</w:t>
      </w:r>
      <w:r w:rsidRPr="00B246CC">
        <w:rPr>
          <w:rFonts w:cs="Times New Roman"/>
          <w:sz w:val="22"/>
          <w:szCs w:val="22"/>
          <w:lang w:val="fr-BE"/>
        </w:rPr>
        <w:t xml:space="preserve"> dépenses. Les recettes les plus significatives proviennent d’une importante réforme du régime des intérêts notionnels (1,62 milliard) et de l’harmonisation du taux de précompte mobilier à 21%, voire 25% pour les plus hauts revenus (917 millions). Les mesures diverses ont trait à l’intensification de la lutte contre la fraude fiscale (720 millions) ainsi qu’à l’augmentation du produit de la rente nucléaire (300 millions) et de la recette prélevée sur le fonds de protection des dépôts (476 millions). Au niveau des dépenses, outre les </w:t>
      </w:r>
      <w:r w:rsidR="00B23BC6">
        <w:rPr>
          <w:rFonts w:cs="Times New Roman"/>
          <w:sz w:val="22"/>
          <w:szCs w:val="22"/>
          <w:lang w:val="fr-BE"/>
        </w:rPr>
        <w:t>économies réalisées sur le fonctionnement</w:t>
      </w:r>
      <w:r w:rsidRPr="00B246CC">
        <w:rPr>
          <w:rFonts w:cs="Times New Roman"/>
          <w:sz w:val="22"/>
          <w:szCs w:val="22"/>
          <w:lang w:val="fr-BE"/>
        </w:rPr>
        <w:t xml:space="preserve"> </w:t>
      </w:r>
      <w:r w:rsidR="00B23BC6">
        <w:rPr>
          <w:rFonts w:cs="Times New Roman"/>
          <w:sz w:val="22"/>
          <w:szCs w:val="22"/>
          <w:lang w:val="fr-BE"/>
        </w:rPr>
        <w:t>de</w:t>
      </w:r>
      <w:r w:rsidRPr="00B246CC">
        <w:rPr>
          <w:rFonts w:cs="Times New Roman"/>
          <w:sz w:val="22"/>
          <w:szCs w:val="22"/>
          <w:lang w:val="fr-BE"/>
        </w:rPr>
        <w:t xml:space="preserve"> l’administration, </w:t>
      </w:r>
      <w:r w:rsidR="00CA03D3">
        <w:rPr>
          <w:rFonts w:cs="Times New Roman"/>
          <w:sz w:val="22"/>
          <w:szCs w:val="22"/>
          <w:lang w:val="fr-BE"/>
        </w:rPr>
        <w:t>relevons</w:t>
      </w:r>
      <w:r w:rsidRPr="00B246CC">
        <w:rPr>
          <w:rFonts w:cs="Times New Roman"/>
          <w:sz w:val="22"/>
          <w:szCs w:val="22"/>
          <w:lang w:val="fr-BE"/>
        </w:rPr>
        <w:t xml:space="preserve"> un sérieux effort dans le domaine des soins de santé </w:t>
      </w:r>
      <w:r w:rsidRPr="00B246CC">
        <w:rPr>
          <w:rFonts w:cs="Times New Roman"/>
          <w:sz w:val="22"/>
          <w:szCs w:val="22"/>
          <w:lang w:val="fr-BE"/>
        </w:rPr>
        <w:lastRenderedPageBreak/>
        <w:t>(1,56 milliard), la réforme du chômage, des prépensions et des crédit-temps (300 millions) et l’arrêt du financement des compétences dites « usurpées »</w:t>
      </w:r>
      <w:r w:rsidR="00F33019" w:rsidRPr="004F2163">
        <w:rPr>
          <w:rStyle w:val="Appelnotedebasdep"/>
          <w:rFonts w:cs="Times New Roman"/>
          <w:sz w:val="22"/>
          <w:szCs w:val="22"/>
          <w:lang w:val="fr-BE"/>
        </w:rPr>
        <w:footnoteReference w:id="19"/>
      </w:r>
      <w:r w:rsidR="00F33019" w:rsidRPr="004F2163">
        <w:rPr>
          <w:rFonts w:cs="Times New Roman"/>
          <w:sz w:val="22"/>
          <w:szCs w:val="22"/>
          <w:lang w:val="fr-BE"/>
        </w:rPr>
        <w:t xml:space="preserve"> (250 millions) (Gouvern</w:t>
      </w:r>
      <w:r w:rsidRPr="00B246CC">
        <w:rPr>
          <w:rFonts w:cs="Times New Roman"/>
          <w:sz w:val="22"/>
          <w:szCs w:val="22"/>
          <w:lang w:val="fr-BE"/>
        </w:rPr>
        <w:t>ement fédéral, 2011). La base d</w:t>
      </w:r>
      <w:r w:rsidR="00F20565">
        <w:rPr>
          <w:rFonts w:cs="Times New Roman"/>
          <w:sz w:val="22"/>
          <w:szCs w:val="22"/>
          <w:lang w:val="fr-BE"/>
        </w:rPr>
        <w:t>e</w:t>
      </w:r>
      <w:r w:rsidRPr="00B246CC">
        <w:rPr>
          <w:rFonts w:cs="Times New Roman"/>
          <w:sz w:val="22"/>
          <w:szCs w:val="22"/>
          <w:lang w:val="fr-BE"/>
        </w:rPr>
        <w:t xml:space="preserve"> calcul de l’index </w:t>
      </w:r>
      <w:r w:rsidR="00F773D6">
        <w:rPr>
          <w:rFonts w:cs="Times New Roman"/>
          <w:sz w:val="22"/>
          <w:szCs w:val="22"/>
          <w:lang w:val="fr-BE"/>
        </w:rPr>
        <w:t xml:space="preserve">a </w:t>
      </w:r>
      <w:r w:rsidR="00BC1CFF">
        <w:rPr>
          <w:rFonts w:cs="Times New Roman"/>
          <w:sz w:val="22"/>
          <w:szCs w:val="22"/>
          <w:lang w:val="fr-BE"/>
        </w:rPr>
        <w:t>en outre fait l’objet d’une nouvelle modification</w:t>
      </w:r>
      <w:r w:rsidRPr="00B246CC">
        <w:rPr>
          <w:rFonts w:cs="Times New Roman"/>
          <w:sz w:val="22"/>
          <w:szCs w:val="22"/>
          <w:lang w:val="fr-BE"/>
        </w:rPr>
        <w:t>.</w:t>
      </w:r>
    </w:p>
    <w:p w14:paraId="37CBCDF2" w14:textId="77777777" w:rsidR="00F33019" w:rsidRPr="004F2163" w:rsidRDefault="00F33019" w:rsidP="006B11F4">
      <w:pPr>
        <w:spacing w:line="240" w:lineRule="auto"/>
        <w:jc w:val="both"/>
        <w:rPr>
          <w:rFonts w:cs="Times New Roman"/>
          <w:sz w:val="22"/>
          <w:szCs w:val="22"/>
          <w:lang w:val="fr-BE"/>
        </w:rPr>
      </w:pPr>
    </w:p>
    <w:p w14:paraId="20A8940F" w14:textId="0D250972" w:rsidR="00622DE0" w:rsidRPr="004F2163" w:rsidRDefault="002D4472" w:rsidP="006B11F4">
      <w:pPr>
        <w:spacing w:line="240" w:lineRule="auto"/>
        <w:jc w:val="both"/>
        <w:rPr>
          <w:rFonts w:cs="Times New Roman"/>
          <w:sz w:val="22"/>
          <w:szCs w:val="22"/>
          <w:lang w:val="fr-BE"/>
        </w:rPr>
      </w:pPr>
      <w:r w:rsidRPr="00B246CC">
        <w:rPr>
          <w:rFonts w:cs="Times New Roman"/>
          <w:sz w:val="22"/>
          <w:szCs w:val="22"/>
          <w:lang w:val="fr-BE"/>
        </w:rPr>
        <w:t xml:space="preserve">À la suite d’une nouvelle baisse des prévisions de croissance, des mesures </w:t>
      </w:r>
      <w:r w:rsidR="00CA03D3">
        <w:rPr>
          <w:rFonts w:cs="Times New Roman"/>
          <w:sz w:val="22"/>
          <w:szCs w:val="22"/>
          <w:lang w:val="fr-BE"/>
        </w:rPr>
        <w:t>supplémentaires</w:t>
      </w:r>
      <w:r w:rsidR="00BC1CFF">
        <w:rPr>
          <w:rFonts w:cs="Times New Roman"/>
          <w:sz w:val="22"/>
          <w:szCs w:val="22"/>
          <w:lang w:val="fr-BE"/>
        </w:rPr>
        <w:t xml:space="preserve"> </w:t>
      </w:r>
      <w:r w:rsidRPr="00B246CC">
        <w:rPr>
          <w:rFonts w:cs="Times New Roman"/>
          <w:sz w:val="22"/>
          <w:szCs w:val="22"/>
          <w:lang w:val="fr-BE"/>
        </w:rPr>
        <w:t xml:space="preserve">ont </w:t>
      </w:r>
      <w:r w:rsidR="00BC1CFF">
        <w:rPr>
          <w:rFonts w:cs="Times New Roman"/>
          <w:sz w:val="22"/>
          <w:szCs w:val="22"/>
          <w:lang w:val="fr-BE"/>
        </w:rPr>
        <w:t xml:space="preserve">été </w:t>
      </w:r>
      <w:r w:rsidRPr="00B246CC">
        <w:rPr>
          <w:rFonts w:cs="Times New Roman"/>
          <w:sz w:val="22"/>
          <w:szCs w:val="22"/>
          <w:lang w:val="fr-BE"/>
        </w:rPr>
        <w:t xml:space="preserve">adoptées </w:t>
      </w:r>
      <w:r w:rsidR="00BC1CFF">
        <w:rPr>
          <w:rFonts w:cs="Times New Roman"/>
          <w:sz w:val="22"/>
          <w:szCs w:val="22"/>
          <w:lang w:val="fr-BE"/>
        </w:rPr>
        <w:t xml:space="preserve">pour un montant </w:t>
      </w:r>
      <w:r w:rsidR="00CA03D3" w:rsidRPr="008A7568">
        <w:rPr>
          <w:rFonts w:cs="Times New Roman"/>
          <w:sz w:val="22"/>
          <w:szCs w:val="22"/>
          <w:lang w:val="fr-BE"/>
        </w:rPr>
        <w:t xml:space="preserve">de 1,8 milliard d’euros </w:t>
      </w:r>
      <w:r w:rsidRPr="00B246CC">
        <w:rPr>
          <w:rFonts w:cs="Times New Roman"/>
          <w:sz w:val="22"/>
          <w:szCs w:val="22"/>
          <w:lang w:val="fr-BE"/>
        </w:rPr>
        <w:t>en mars 2012. Une réserve budgétaire de 650 millions d’euros est en outre constituée afin de sécuriser l’objectif. Lors d’un troisième conclave, organisé au mois de juillet, l’ajustement est limité à 78 millions d’euros</w:t>
      </w:r>
      <w:r w:rsidR="00B2580C">
        <w:rPr>
          <w:rFonts w:cs="Times New Roman"/>
          <w:sz w:val="22"/>
          <w:szCs w:val="22"/>
          <w:lang w:val="fr-BE"/>
        </w:rPr>
        <w:t xml:space="preserve"> et u</w:t>
      </w:r>
      <w:r w:rsidRPr="00B246CC">
        <w:rPr>
          <w:rFonts w:cs="Times New Roman"/>
          <w:sz w:val="22"/>
          <w:szCs w:val="22"/>
          <w:lang w:val="fr-BE"/>
        </w:rPr>
        <w:t xml:space="preserve">n léger plan de relance est approuvé. </w:t>
      </w:r>
    </w:p>
    <w:p w14:paraId="7E44C070" w14:textId="77777777" w:rsidR="00622DE0" w:rsidRPr="004F2163" w:rsidRDefault="00622DE0" w:rsidP="006B11F4">
      <w:pPr>
        <w:spacing w:line="240" w:lineRule="auto"/>
        <w:jc w:val="both"/>
        <w:rPr>
          <w:rFonts w:cs="Times New Roman"/>
          <w:sz w:val="22"/>
          <w:szCs w:val="22"/>
          <w:lang w:val="fr-BE"/>
        </w:rPr>
      </w:pPr>
    </w:p>
    <w:p w14:paraId="2E978359" w14:textId="44B9AF59" w:rsidR="0033581C" w:rsidRDefault="002D4472">
      <w:pPr>
        <w:spacing w:line="240" w:lineRule="auto"/>
        <w:jc w:val="both"/>
        <w:rPr>
          <w:rFonts w:cs="Times New Roman"/>
          <w:sz w:val="22"/>
          <w:szCs w:val="22"/>
          <w:lang w:val="fr-BE"/>
        </w:rPr>
      </w:pPr>
      <w:r w:rsidRPr="00B246CC">
        <w:rPr>
          <w:rFonts w:cs="Times New Roman"/>
          <w:sz w:val="22"/>
          <w:szCs w:val="22"/>
          <w:lang w:val="fr-BE"/>
        </w:rPr>
        <w:t xml:space="preserve">Malgré ces efforts, la Belgique accusait un déficit de </w:t>
      </w:r>
      <w:r w:rsidR="00857BBE">
        <w:rPr>
          <w:rFonts w:cs="Times New Roman"/>
          <w:sz w:val="22"/>
          <w:szCs w:val="22"/>
          <w:lang w:val="fr-BE"/>
        </w:rPr>
        <w:t>4</w:t>
      </w:r>
      <w:r w:rsidRPr="00B246CC">
        <w:rPr>
          <w:rFonts w:cs="Times New Roman"/>
          <w:sz w:val="22"/>
          <w:szCs w:val="22"/>
          <w:lang w:val="fr-BE"/>
        </w:rPr>
        <w:t>% du PIB à la fin de l’année 2012. La recapitalisation de Dexia (0,8% du PIB) explique en grande partie cet écart de 1,</w:t>
      </w:r>
      <w:r w:rsidR="00BC1CFF">
        <w:rPr>
          <w:rFonts w:cs="Times New Roman"/>
          <w:sz w:val="22"/>
          <w:szCs w:val="22"/>
          <w:lang w:val="fr-BE"/>
        </w:rPr>
        <w:t>3</w:t>
      </w:r>
      <w:r w:rsidRPr="00B246CC">
        <w:rPr>
          <w:rFonts w:cs="Times New Roman"/>
          <w:sz w:val="22"/>
          <w:szCs w:val="22"/>
          <w:lang w:val="fr-BE"/>
        </w:rPr>
        <w:t>% du PIB par rapport à l’objectif initial. Sans cette opération exceptionnelle, le solde de financement de l’ensemble des pouvoirs publics aurait atteint 3,</w:t>
      </w:r>
      <w:r w:rsidR="00857BBE">
        <w:rPr>
          <w:rFonts w:cs="Times New Roman"/>
          <w:sz w:val="22"/>
          <w:szCs w:val="22"/>
          <w:lang w:val="fr-BE"/>
        </w:rPr>
        <w:t>2</w:t>
      </w:r>
      <w:r w:rsidRPr="00B246CC">
        <w:rPr>
          <w:rFonts w:cs="Times New Roman"/>
          <w:sz w:val="22"/>
          <w:szCs w:val="22"/>
          <w:lang w:val="fr-BE"/>
        </w:rPr>
        <w:t xml:space="preserve">% du PIB, soit un seuil légèrement supérieur aux 2,8% recommandés par la Section. L’amélioration du </w:t>
      </w:r>
      <w:r w:rsidRPr="00B246CC">
        <w:rPr>
          <w:rFonts w:cs="Times New Roman"/>
          <w:i/>
          <w:sz w:val="22"/>
          <w:szCs w:val="22"/>
          <w:lang w:val="fr-BE"/>
        </w:rPr>
        <w:t>solde structurel</w:t>
      </w:r>
      <w:r w:rsidRPr="00B246CC">
        <w:rPr>
          <w:rFonts w:cs="Times New Roman"/>
          <w:sz w:val="22"/>
          <w:szCs w:val="22"/>
          <w:lang w:val="fr-BE"/>
        </w:rPr>
        <w:t xml:space="preserve"> </w:t>
      </w:r>
      <w:r w:rsidR="005A0B55">
        <w:rPr>
          <w:rFonts w:cs="Times New Roman"/>
          <w:sz w:val="22"/>
          <w:szCs w:val="22"/>
          <w:lang w:val="fr-BE"/>
        </w:rPr>
        <w:t>de 1,</w:t>
      </w:r>
      <w:r w:rsidR="00857BBE">
        <w:rPr>
          <w:rFonts w:cs="Times New Roman"/>
          <w:sz w:val="22"/>
          <w:szCs w:val="22"/>
          <w:lang w:val="fr-BE"/>
        </w:rPr>
        <w:t>8</w:t>
      </w:r>
      <w:r w:rsidRPr="00B246CC">
        <w:rPr>
          <w:rFonts w:cs="Times New Roman"/>
          <w:sz w:val="22"/>
          <w:szCs w:val="22"/>
          <w:lang w:val="fr-BE"/>
        </w:rPr>
        <w:t xml:space="preserve">% du PIB entre 2011 et 2013 (graphique 3) témoigne de la volonté des gouvernants de s’inscrire </w:t>
      </w:r>
      <w:r w:rsidRPr="00B246CC">
        <w:rPr>
          <w:rFonts w:cs="Times New Roman"/>
          <w:sz w:val="22"/>
          <w:szCs w:val="22"/>
        </w:rPr>
        <w:t>dans le prolongement des recommandations de la Section.</w:t>
      </w:r>
    </w:p>
    <w:p w14:paraId="0596AE26" w14:textId="77777777" w:rsidR="007C53A8" w:rsidRPr="00644955" w:rsidRDefault="007C53A8" w:rsidP="00B246CC">
      <w:pPr>
        <w:spacing w:line="240" w:lineRule="auto"/>
        <w:rPr>
          <w:rFonts w:cs="Times New Roman"/>
          <w:i/>
          <w:sz w:val="22"/>
          <w:szCs w:val="22"/>
          <w:lang w:val="fr-BE"/>
        </w:rPr>
      </w:pPr>
    </w:p>
    <w:p w14:paraId="00A39FDB" w14:textId="77777777" w:rsidR="0033581C" w:rsidRDefault="002D4472" w:rsidP="00CD3AB1">
      <w:pPr>
        <w:spacing w:line="240" w:lineRule="auto"/>
        <w:jc w:val="center"/>
        <w:rPr>
          <w:rFonts w:cs="Times New Roman"/>
          <w:i/>
          <w:sz w:val="22"/>
          <w:szCs w:val="22"/>
          <w:lang w:val="fr-BE"/>
        </w:rPr>
      </w:pPr>
      <w:r w:rsidRPr="00B246CC">
        <w:rPr>
          <w:rFonts w:cs="Times New Roman"/>
          <w:i/>
          <w:sz w:val="22"/>
          <w:szCs w:val="22"/>
          <w:lang w:val="fr-BE"/>
        </w:rPr>
        <w:t>Graphique 3 : évolution du PIB, du solde structurel et du solde net de financement en Belgique entre 2009 et 2013 (CSF, 201</w:t>
      </w:r>
      <w:r w:rsidR="00857BBE">
        <w:rPr>
          <w:rFonts w:cs="Times New Roman"/>
          <w:i/>
          <w:sz w:val="22"/>
          <w:szCs w:val="22"/>
          <w:lang w:val="fr-BE"/>
        </w:rPr>
        <w:t>4</w:t>
      </w:r>
      <w:r w:rsidRPr="00B246CC">
        <w:rPr>
          <w:rFonts w:cs="Times New Roman"/>
          <w:i/>
          <w:sz w:val="22"/>
          <w:szCs w:val="22"/>
          <w:lang w:val="fr-BE"/>
        </w:rPr>
        <w:t>)</w:t>
      </w:r>
    </w:p>
    <w:p w14:paraId="203842F1" w14:textId="77777777" w:rsidR="004452E4" w:rsidRPr="00644955" w:rsidRDefault="004452E4" w:rsidP="00B246CC">
      <w:pPr>
        <w:spacing w:line="240" w:lineRule="auto"/>
        <w:rPr>
          <w:rFonts w:cs="Times New Roman"/>
          <w:i/>
          <w:sz w:val="20"/>
          <w:szCs w:val="18"/>
          <w:lang w:val="fr-BE"/>
        </w:rPr>
      </w:pPr>
    </w:p>
    <w:p w14:paraId="296CDBBD" w14:textId="77777777" w:rsidR="0033581C" w:rsidRDefault="0047776D" w:rsidP="00B246CC">
      <w:pPr>
        <w:spacing w:line="240" w:lineRule="auto"/>
        <w:rPr>
          <w:rFonts w:cs="Times New Roman"/>
          <w:i/>
          <w:sz w:val="22"/>
          <w:szCs w:val="22"/>
          <w:lang w:val="fr-BE"/>
        </w:rPr>
      </w:pPr>
      <w:r w:rsidRPr="00B246CC">
        <w:rPr>
          <w:rFonts w:cs="Times New Roman"/>
          <w:i/>
          <w:noProof/>
          <w:sz w:val="22"/>
          <w:szCs w:val="22"/>
          <w:lang w:val="fr-BE" w:eastAsia="fr-BE"/>
        </w:rPr>
        <w:drawing>
          <wp:inline distT="0" distB="0" distL="0" distR="0" wp14:anchorId="30A6CF2E" wp14:editId="0A66E2F1">
            <wp:extent cx="4352482" cy="1728000"/>
            <wp:effectExtent l="19050" t="0" r="9968" b="555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1EB9A9" w14:textId="77777777" w:rsidR="00637DA6" w:rsidRDefault="00637DA6" w:rsidP="00BB4A94">
      <w:pPr>
        <w:spacing w:line="240" w:lineRule="auto"/>
        <w:rPr>
          <w:rFonts w:cs="Times New Roman"/>
          <w:b/>
          <w:i/>
          <w:sz w:val="22"/>
          <w:szCs w:val="22"/>
        </w:rPr>
      </w:pPr>
    </w:p>
    <w:p w14:paraId="31C54F47" w14:textId="77777777" w:rsidR="00637DA6" w:rsidRDefault="00637DA6" w:rsidP="00BB4A94">
      <w:pPr>
        <w:spacing w:line="240" w:lineRule="auto"/>
        <w:rPr>
          <w:rFonts w:cs="Times New Roman"/>
          <w:b/>
          <w:i/>
          <w:sz w:val="22"/>
          <w:szCs w:val="22"/>
        </w:rPr>
      </w:pPr>
    </w:p>
    <w:p w14:paraId="5036ABE0" w14:textId="77777777" w:rsidR="00F33019" w:rsidRPr="004F2163" w:rsidRDefault="002D4472" w:rsidP="00BB4A94">
      <w:pPr>
        <w:spacing w:line="240" w:lineRule="auto"/>
        <w:rPr>
          <w:rFonts w:cs="Times New Roman"/>
          <w:b/>
          <w:i/>
          <w:sz w:val="22"/>
          <w:szCs w:val="22"/>
        </w:rPr>
      </w:pPr>
      <w:r w:rsidRPr="00B246CC">
        <w:rPr>
          <w:rFonts w:cs="Times New Roman"/>
          <w:b/>
          <w:i/>
          <w:sz w:val="22"/>
          <w:szCs w:val="22"/>
        </w:rPr>
        <w:lastRenderedPageBreak/>
        <w:t xml:space="preserve">III.2. Détermination et examen de critères d’explication potentiels </w:t>
      </w:r>
    </w:p>
    <w:p w14:paraId="5C6C9A23" w14:textId="77777777" w:rsidR="00BB4A94" w:rsidRPr="004F2163" w:rsidRDefault="00BB4A94" w:rsidP="00BB4A94">
      <w:pPr>
        <w:spacing w:line="240" w:lineRule="auto"/>
        <w:rPr>
          <w:rFonts w:cs="Times New Roman"/>
          <w:sz w:val="22"/>
          <w:szCs w:val="22"/>
        </w:rPr>
      </w:pPr>
    </w:p>
    <w:p w14:paraId="4D620622" w14:textId="2288CEA3" w:rsidR="00300CAF" w:rsidRPr="0047255A" w:rsidRDefault="002D4472" w:rsidP="006B11F4">
      <w:pPr>
        <w:spacing w:line="240" w:lineRule="auto"/>
        <w:jc w:val="both"/>
        <w:rPr>
          <w:rFonts w:cs="Times New Roman"/>
          <w:sz w:val="22"/>
          <w:szCs w:val="22"/>
        </w:rPr>
      </w:pPr>
      <w:r w:rsidRPr="00B246CC">
        <w:rPr>
          <w:rFonts w:cs="Times New Roman"/>
          <w:sz w:val="22"/>
          <w:szCs w:val="22"/>
        </w:rPr>
        <w:t xml:space="preserve">Le compte-rendu des politiques menées en 1993, 2004 et 2012 atteste du caractère </w:t>
      </w:r>
      <w:r w:rsidRPr="0047255A">
        <w:rPr>
          <w:rFonts w:cs="Times New Roman"/>
          <w:sz w:val="22"/>
          <w:szCs w:val="22"/>
        </w:rPr>
        <w:t>changeant</w:t>
      </w:r>
      <w:r w:rsidRPr="00B246CC">
        <w:rPr>
          <w:rFonts w:cs="Times New Roman"/>
          <w:sz w:val="22"/>
          <w:szCs w:val="22"/>
        </w:rPr>
        <w:t xml:space="preserve"> de l’influence de la Section. Il convient dès lors de s’interroger sur les causes de ce phénomène. L’examen </w:t>
      </w:r>
      <w:r w:rsidR="00865EF8">
        <w:rPr>
          <w:rFonts w:cs="Times New Roman"/>
          <w:sz w:val="22"/>
          <w:szCs w:val="22"/>
        </w:rPr>
        <w:t xml:space="preserve">du contenu </w:t>
      </w:r>
      <w:r w:rsidRPr="00B246CC">
        <w:rPr>
          <w:rFonts w:cs="Times New Roman"/>
          <w:sz w:val="22"/>
          <w:szCs w:val="22"/>
        </w:rPr>
        <w:t>des entretiens</w:t>
      </w:r>
      <w:r w:rsidR="00BC1CFF">
        <w:rPr>
          <w:rFonts w:cs="Times New Roman"/>
          <w:sz w:val="22"/>
          <w:szCs w:val="22"/>
        </w:rPr>
        <w:t xml:space="preserve"> réalisés</w:t>
      </w:r>
      <w:r w:rsidRPr="00B246CC">
        <w:rPr>
          <w:rFonts w:cs="Times New Roman"/>
          <w:sz w:val="22"/>
          <w:szCs w:val="22"/>
        </w:rPr>
        <w:t xml:space="preserve"> </w:t>
      </w:r>
      <w:r w:rsidR="00B2580C" w:rsidRPr="00BC1CFF">
        <w:rPr>
          <w:rFonts w:cs="Times New Roman"/>
          <w:sz w:val="22"/>
          <w:szCs w:val="22"/>
        </w:rPr>
        <w:t xml:space="preserve">révèle </w:t>
      </w:r>
      <w:r w:rsidRPr="00BC1CFF">
        <w:rPr>
          <w:rFonts w:cs="Times New Roman"/>
          <w:sz w:val="22"/>
          <w:szCs w:val="22"/>
        </w:rPr>
        <w:t>cinq critères</w:t>
      </w:r>
      <w:r w:rsidR="00300CAF" w:rsidRPr="00BC1CFF">
        <w:rPr>
          <w:rFonts w:cs="Times New Roman"/>
          <w:sz w:val="22"/>
          <w:szCs w:val="22"/>
        </w:rPr>
        <w:t xml:space="preserve"> d’explication </w:t>
      </w:r>
      <w:r w:rsidR="00300CAF" w:rsidRPr="00AC2A94">
        <w:rPr>
          <w:rFonts w:cs="Times New Roman"/>
          <w:sz w:val="22"/>
          <w:szCs w:val="22"/>
        </w:rPr>
        <w:t>potentiels</w:t>
      </w:r>
      <w:r w:rsidR="00300CAF" w:rsidRPr="00BC1CFF">
        <w:rPr>
          <w:rFonts w:cs="Times New Roman"/>
          <w:sz w:val="22"/>
          <w:szCs w:val="22"/>
        </w:rPr>
        <w:t>, qui</w:t>
      </w:r>
      <w:r w:rsidR="007E00D9" w:rsidRPr="0047255A">
        <w:rPr>
          <w:rFonts w:cs="Times New Roman"/>
          <w:sz w:val="22"/>
          <w:szCs w:val="22"/>
        </w:rPr>
        <w:t xml:space="preserve"> présentent </w:t>
      </w:r>
      <w:r w:rsidR="00B2580C" w:rsidRPr="0047255A">
        <w:rPr>
          <w:rFonts w:cs="Times New Roman"/>
          <w:sz w:val="22"/>
          <w:szCs w:val="22"/>
        </w:rPr>
        <w:t xml:space="preserve">une dynamique </w:t>
      </w:r>
      <w:r w:rsidRPr="0047255A">
        <w:rPr>
          <w:rFonts w:cs="Times New Roman"/>
          <w:sz w:val="22"/>
          <w:szCs w:val="22"/>
        </w:rPr>
        <w:t xml:space="preserve">similaire à celle de l’influence de la Section (tableau 1) : la contrainte budgétaire européenne, les risques sur les marchés financiers, les priorités gouvernementales, les compositions respectives du gouvernement et de la Section et </w:t>
      </w:r>
      <w:r w:rsidR="00300CAF" w:rsidRPr="0047255A">
        <w:rPr>
          <w:rFonts w:cs="Times New Roman"/>
          <w:sz w:val="22"/>
          <w:szCs w:val="22"/>
        </w:rPr>
        <w:t xml:space="preserve">enfin </w:t>
      </w:r>
      <w:r w:rsidRPr="0047255A">
        <w:rPr>
          <w:rFonts w:cs="Times New Roman"/>
          <w:sz w:val="22"/>
          <w:szCs w:val="22"/>
        </w:rPr>
        <w:t>le prestige de cette dernière.</w:t>
      </w:r>
      <w:r w:rsidR="00E46885" w:rsidRPr="0047255A">
        <w:rPr>
          <w:rFonts w:cs="Times New Roman"/>
          <w:sz w:val="22"/>
          <w:szCs w:val="22"/>
        </w:rPr>
        <w:t xml:space="preserve"> </w:t>
      </w:r>
    </w:p>
    <w:p w14:paraId="449222E3" w14:textId="77777777" w:rsidR="007C53A8" w:rsidRDefault="007C53A8" w:rsidP="007C53A8">
      <w:pPr>
        <w:spacing w:line="240" w:lineRule="auto"/>
        <w:rPr>
          <w:rFonts w:cs="Times New Roman"/>
          <w:sz w:val="22"/>
          <w:szCs w:val="22"/>
        </w:rPr>
      </w:pPr>
    </w:p>
    <w:p w14:paraId="28EE1F6F" w14:textId="1E91B403" w:rsidR="00BC1CFF" w:rsidRDefault="002D4472" w:rsidP="00CD3AB1">
      <w:pPr>
        <w:spacing w:line="240" w:lineRule="auto"/>
        <w:jc w:val="center"/>
        <w:rPr>
          <w:rFonts w:cs="Times New Roman"/>
          <w:i/>
          <w:sz w:val="22"/>
          <w:szCs w:val="22"/>
        </w:rPr>
      </w:pPr>
      <w:r w:rsidRPr="00BC1CFF">
        <w:rPr>
          <w:rFonts w:cs="Times New Roman"/>
          <w:i/>
          <w:sz w:val="22"/>
          <w:szCs w:val="22"/>
        </w:rPr>
        <w:t>Tableau 1</w:t>
      </w:r>
      <w:r w:rsidR="007E00D9" w:rsidRPr="00BC1CFF">
        <w:rPr>
          <w:rFonts w:cs="Times New Roman"/>
          <w:i/>
          <w:sz w:val="22"/>
          <w:szCs w:val="22"/>
        </w:rPr>
        <w:t xml:space="preserve"> </w:t>
      </w:r>
      <w:r w:rsidRPr="00BC1CFF">
        <w:rPr>
          <w:rFonts w:cs="Times New Roman"/>
          <w:i/>
          <w:sz w:val="22"/>
          <w:szCs w:val="22"/>
        </w:rPr>
        <w:t xml:space="preserve">: </w:t>
      </w:r>
      <w:r w:rsidR="0008749A" w:rsidRPr="00BC1CFF">
        <w:rPr>
          <w:rFonts w:cs="Times New Roman"/>
          <w:i/>
          <w:sz w:val="22"/>
          <w:szCs w:val="22"/>
        </w:rPr>
        <w:t xml:space="preserve">évolution des </w:t>
      </w:r>
      <w:r w:rsidR="008F3B30" w:rsidRPr="00BC1CFF">
        <w:rPr>
          <w:rFonts w:cs="Times New Roman"/>
          <w:i/>
          <w:sz w:val="22"/>
          <w:szCs w:val="22"/>
        </w:rPr>
        <w:t xml:space="preserve">cinq </w:t>
      </w:r>
      <w:r w:rsidR="0008749A" w:rsidRPr="00BC1CFF">
        <w:rPr>
          <w:rFonts w:cs="Times New Roman"/>
          <w:i/>
          <w:sz w:val="22"/>
          <w:szCs w:val="22"/>
        </w:rPr>
        <w:t>critères</w:t>
      </w:r>
      <w:r w:rsidRPr="00BC1CFF">
        <w:rPr>
          <w:rFonts w:cs="Times New Roman"/>
          <w:i/>
          <w:sz w:val="22"/>
          <w:szCs w:val="22"/>
        </w:rPr>
        <w:t xml:space="preserve"> </w:t>
      </w:r>
      <w:r w:rsidR="007E00D9" w:rsidRPr="00BC1CFF">
        <w:rPr>
          <w:rFonts w:cs="Times New Roman"/>
          <w:i/>
          <w:sz w:val="22"/>
          <w:szCs w:val="22"/>
        </w:rPr>
        <w:t xml:space="preserve">retenus </w:t>
      </w:r>
      <w:r w:rsidR="0008749A" w:rsidRPr="00BC1CFF">
        <w:rPr>
          <w:rFonts w:cs="Times New Roman"/>
          <w:i/>
          <w:sz w:val="22"/>
          <w:szCs w:val="22"/>
        </w:rPr>
        <w:t>et de l’influence de la Section</w:t>
      </w:r>
      <w:r w:rsidR="007E00D9" w:rsidRPr="00BC1CFF">
        <w:rPr>
          <w:rFonts w:cs="Times New Roman"/>
          <w:i/>
          <w:sz w:val="22"/>
          <w:szCs w:val="22"/>
        </w:rPr>
        <w:t xml:space="preserve"> au cours des trois périodes</w:t>
      </w:r>
      <w:r w:rsidR="00AC2A94">
        <w:rPr>
          <w:rFonts w:cs="Times New Roman"/>
          <w:i/>
          <w:sz w:val="22"/>
          <w:szCs w:val="22"/>
        </w:rPr>
        <w:t xml:space="preserve"> identifiées</w:t>
      </w:r>
    </w:p>
    <w:p w14:paraId="3A2451BB" w14:textId="77777777" w:rsidR="00052A55" w:rsidRPr="00BC1CFF" w:rsidRDefault="00052A55" w:rsidP="007C53A8">
      <w:pPr>
        <w:spacing w:line="240" w:lineRule="auto"/>
        <w:rPr>
          <w:rFonts w:cs="Times New Roman"/>
          <w:i/>
          <w:sz w:val="22"/>
          <w:szCs w:val="22"/>
        </w:rPr>
      </w:pPr>
    </w:p>
    <w:tbl>
      <w:tblPr>
        <w:tblStyle w:val="Grilledutableau"/>
        <w:tblW w:w="7488" w:type="dxa"/>
        <w:jc w:val="center"/>
        <w:tblLayout w:type="fixed"/>
        <w:tblLook w:val="04A0" w:firstRow="1" w:lastRow="0" w:firstColumn="1" w:lastColumn="0" w:noHBand="0" w:noVBand="1"/>
      </w:tblPr>
      <w:tblGrid>
        <w:gridCol w:w="5329"/>
        <w:gridCol w:w="697"/>
        <w:gridCol w:w="765"/>
        <w:gridCol w:w="697"/>
      </w:tblGrid>
      <w:tr w:rsidR="00AC2A94" w14:paraId="256B63B2" w14:textId="77777777" w:rsidTr="00AC2A94">
        <w:trPr>
          <w:trHeight w:val="465"/>
          <w:jc w:val="center"/>
        </w:trPr>
        <w:tc>
          <w:tcPr>
            <w:tcW w:w="5329" w:type="dxa"/>
          </w:tcPr>
          <w:p w14:paraId="7A3BE6C8" w14:textId="77777777" w:rsidR="00BC1CFF" w:rsidRPr="00052A55" w:rsidRDefault="00BC1CFF" w:rsidP="007C53A8">
            <w:pPr>
              <w:spacing w:line="240" w:lineRule="auto"/>
              <w:rPr>
                <w:rFonts w:cs="Times New Roman"/>
                <w:sz w:val="20"/>
                <w:szCs w:val="20"/>
              </w:rPr>
            </w:pPr>
          </w:p>
        </w:tc>
        <w:tc>
          <w:tcPr>
            <w:tcW w:w="697" w:type="dxa"/>
          </w:tcPr>
          <w:p w14:paraId="67117985" w14:textId="64C1A63E" w:rsidR="00BC1CFF" w:rsidRPr="00052A55" w:rsidRDefault="00BC1CFF" w:rsidP="007C53A8">
            <w:pPr>
              <w:spacing w:line="240" w:lineRule="auto"/>
              <w:rPr>
                <w:rFonts w:cs="Times New Roman"/>
                <w:sz w:val="20"/>
                <w:szCs w:val="20"/>
              </w:rPr>
            </w:pPr>
            <w:r w:rsidRPr="00052A55">
              <w:rPr>
                <w:rFonts w:cs="Times New Roman"/>
                <w:sz w:val="20"/>
                <w:szCs w:val="20"/>
              </w:rPr>
              <w:t>1989-1999</w:t>
            </w:r>
          </w:p>
        </w:tc>
        <w:tc>
          <w:tcPr>
            <w:tcW w:w="765" w:type="dxa"/>
          </w:tcPr>
          <w:p w14:paraId="246FCEB1" w14:textId="741380C0" w:rsidR="00BC1CFF" w:rsidRPr="00052A55" w:rsidRDefault="00BC1CFF" w:rsidP="007C53A8">
            <w:pPr>
              <w:spacing w:line="240" w:lineRule="auto"/>
              <w:rPr>
                <w:rFonts w:cs="Times New Roman"/>
                <w:sz w:val="20"/>
                <w:szCs w:val="20"/>
              </w:rPr>
            </w:pPr>
            <w:r w:rsidRPr="00052A55">
              <w:rPr>
                <w:rFonts w:cs="Times New Roman"/>
                <w:sz w:val="20"/>
                <w:szCs w:val="20"/>
              </w:rPr>
              <w:t>2000-2008</w:t>
            </w:r>
          </w:p>
        </w:tc>
        <w:tc>
          <w:tcPr>
            <w:tcW w:w="697" w:type="dxa"/>
          </w:tcPr>
          <w:p w14:paraId="70591AF0" w14:textId="2B3F29A2" w:rsidR="00BC1CFF" w:rsidRPr="00052A55" w:rsidRDefault="00BC1CFF" w:rsidP="007C53A8">
            <w:pPr>
              <w:spacing w:line="240" w:lineRule="auto"/>
              <w:rPr>
                <w:rFonts w:cs="Times New Roman"/>
                <w:sz w:val="20"/>
                <w:szCs w:val="20"/>
              </w:rPr>
            </w:pPr>
            <w:r w:rsidRPr="00052A55">
              <w:rPr>
                <w:rFonts w:cs="Times New Roman"/>
                <w:sz w:val="20"/>
                <w:szCs w:val="20"/>
              </w:rPr>
              <w:t>2009-2014</w:t>
            </w:r>
          </w:p>
        </w:tc>
      </w:tr>
      <w:tr w:rsidR="00AC2A94" w14:paraId="716EF10F" w14:textId="77777777" w:rsidTr="00AC2A94">
        <w:trPr>
          <w:trHeight w:val="451"/>
          <w:jc w:val="center"/>
        </w:trPr>
        <w:tc>
          <w:tcPr>
            <w:tcW w:w="5329" w:type="dxa"/>
          </w:tcPr>
          <w:p w14:paraId="6466FF54" w14:textId="77777777" w:rsidR="00052A55" w:rsidRPr="00052A55" w:rsidRDefault="00BC1CFF" w:rsidP="007C53A8">
            <w:pPr>
              <w:spacing w:line="240" w:lineRule="auto"/>
              <w:rPr>
                <w:rFonts w:cs="Times New Roman"/>
                <w:sz w:val="20"/>
                <w:szCs w:val="20"/>
              </w:rPr>
            </w:pPr>
            <w:r w:rsidRPr="00052A55">
              <w:rPr>
                <w:rFonts w:cs="Times New Roman"/>
                <w:sz w:val="20"/>
                <w:szCs w:val="20"/>
              </w:rPr>
              <w:t xml:space="preserve">Contrainte budgétaire européenne </w:t>
            </w:r>
          </w:p>
          <w:p w14:paraId="23DC7CE8" w14:textId="7E7285C5" w:rsidR="00BC1CFF" w:rsidRPr="00052A55" w:rsidRDefault="00BC1CFF" w:rsidP="00052A55">
            <w:pPr>
              <w:spacing w:line="240" w:lineRule="auto"/>
              <w:rPr>
                <w:rFonts w:cs="Times New Roman"/>
                <w:sz w:val="20"/>
                <w:szCs w:val="20"/>
              </w:rPr>
            </w:pPr>
            <w:r w:rsidRPr="00052A55">
              <w:rPr>
                <w:rFonts w:cs="Times New Roman"/>
                <w:sz w:val="20"/>
                <w:szCs w:val="20"/>
              </w:rPr>
              <w:t xml:space="preserve">(+ : </w:t>
            </w:r>
            <w:r w:rsidR="00052A55" w:rsidRPr="00052A55">
              <w:rPr>
                <w:rFonts w:cs="Times New Roman"/>
                <w:sz w:val="20"/>
                <w:szCs w:val="20"/>
              </w:rPr>
              <w:t xml:space="preserve">contrainte </w:t>
            </w:r>
            <w:r w:rsidRPr="00052A55">
              <w:rPr>
                <w:rFonts w:cs="Times New Roman"/>
                <w:sz w:val="20"/>
                <w:szCs w:val="20"/>
              </w:rPr>
              <w:t>élevée ;</w:t>
            </w:r>
            <w:r w:rsidR="00052A55" w:rsidRPr="00052A55">
              <w:rPr>
                <w:rFonts w:cs="Times New Roman"/>
                <w:sz w:val="20"/>
                <w:szCs w:val="20"/>
              </w:rPr>
              <w:t xml:space="preserve"> –</w:t>
            </w:r>
            <w:r w:rsidRPr="00052A55">
              <w:rPr>
                <w:rFonts w:cs="Times New Roman"/>
                <w:sz w:val="20"/>
                <w:szCs w:val="20"/>
              </w:rPr>
              <w:t xml:space="preserve"> : </w:t>
            </w:r>
            <w:r w:rsidR="00052A55" w:rsidRPr="00052A55">
              <w:rPr>
                <w:rFonts w:cs="Times New Roman"/>
                <w:sz w:val="20"/>
                <w:szCs w:val="20"/>
              </w:rPr>
              <w:t xml:space="preserve">contrainte </w:t>
            </w:r>
            <w:r w:rsidRPr="00052A55">
              <w:rPr>
                <w:rFonts w:cs="Times New Roman"/>
                <w:sz w:val="20"/>
                <w:szCs w:val="20"/>
              </w:rPr>
              <w:t>faible)</w:t>
            </w:r>
          </w:p>
        </w:tc>
        <w:tc>
          <w:tcPr>
            <w:tcW w:w="697" w:type="dxa"/>
          </w:tcPr>
          <w:p w14:paraId="5CB09091" w14:textId="78DB06F9"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c>
          <w:tcPr>
            <w:tcW w:w="765" w:type="dxa"/>
          </w:tcPr>
          <w:p w14:paraId="7CA70508" w14:textId="76FED798"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c>
          <w:tcPr>
            <w:tcW w:w="697" w:type="dxa"/>
          </w:tcPr>
          <w:p w14:paraId="2E78F580" w14:textId="5E97AFB9"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r>
      <w:tr w:rsidR="00AC2A94" w14:paraId="41573102" w14:textId="77777777" w:rsidTr="00AC2A94">
        <w:trPr>
          <w:trHeight w:val="465"/>
          <w:jc w:val="center"/>
        </w:trPr>
        <w:tc>
          <w:tcPr>
            <w:tcW w:w="5329" w:type="dxa"/>
          </w:tcPr>
          <w:p w14:paraId="5DFECEDA" w14:textId="77777777" w:rsidR="00052A55" w:rsidRPr="00052A55" w:rsidRDefault="00BC1CFF" w:rsidP="007C53A8">
            <w:pPr>
              <w:spacing w:line="240" w:lineRule="auto"/>
              <w:rPr>
                <w:rFonts w:cs="Times New Roman"/>
                <w:sz w:val="20"/>
                <w:szCs w:val="20"/>
              </w:rPr>
            </w:pPr>
            <w:r w:rsidRPr="00052A55">
              <w:rPr>
                <w:rFonts w:cs="Times New Roman"/>
                <w:sz w:val="20"/>
                <w:szCs w:val="20"/>
              </w:rPr>
              <w:t xml:space="preserve">Risques sur les marchés financiers </w:t>
            </w:r>
          </w:p>
          <w:p w14:paraId="4822CA2E" w14:textId="58A13372" w:rsidR="00BC1CFF" w:rsidRPr="00052A55" w:rsidRDefault="00BC1CFF" w:rsidP="007C53A8">
            <w:pPr>
              <w:spacing w:line="240" w:lineRule="auto"/>
              <w:rPr>
                <w:rFonts w:cs="Times New Roman"/>
                <w:sz w:val="20"/>
                <w:szCs w:val="20"/>
              </w:rPr>
            </w:pPr>
            <w:r w:rsidRPr="00052A55">
              <w:rPr>
                <w:rFonts w:cs="Times New Roman"/>
                <w:sz w:val="20"/>
                <w:szCs w:val="20"/>
              </w:rPr>
              <w:t xml:space="preserve">(+ : </w:t>
            </w:r>
            <w:r w:rsidR="00052A55" w:rsidRPr="00052A55">
              <w:rPr>
                <w:rFonts w:cs="Times New Roman"/>
                <w:sz w:val="20"/>
                <w:szCs w:val="20"/>
              </w:rPr>
              <w:t xml:space="preserve">risques </w:t>
            </w:r>
            <w:r w:rsidRPr="00052A55">
              <w:rPr>
                <w:rFonts w:cs="Times New Roman"/>
                <w:sz w:val="20"/>
                <w:szCs w:val="20"/>
              </w:rPr>
              <w:t xml:space="preserve">élevés ; </w:t>
            </w:r>
            <w:r w:rsidR="00052A55" w:rsidRPr="00052A55">
              <w:rPr>
                <w:rFonts w:cs="Times New Roman"/>
                <w:sz w:val="20"/>
                <w:szCs w:val="20"/>
              </w:rPr>
              <w:t>–</w:t>
            </w:r>
            <w:r w:rsidRPr="00052A55">
              <w:rPr>
                <w:rFonts w:cs="Times New Roman"/>
                <w:sz w:val="20"/>
                <w:szCs w:val="20"/>
              </w:rPr>
              <w:t xml:space="preserve"> : </w:t>
            </w:r>
            <w:r w:rsidR="00052A55" w:rsidRPr="00052A55">
              <w:rPr>
                <w:rFonts w:cs="Times New Roman"/>
                <w:sz w:val="20"/>
                <w:szCs w:val="20"/>
              </w:rPr>
              <w:t xml:space="preserve">risques </w:t>
            </w:r>
            <w:r w:rsidRPr="00052A55">
              <w:rPr>
                <w:rFonts w:cs="Times New Roman"/>
                <w:sz w:val="20"/>
                <w:szCs w:val="20"/>
              </w:rPr>
              <w:t>faibles)</w:t>
            </w:r>
          </w:p>
        </w:tc>
        <w:tc>
          <w:tcPr>
            <w:tcW w:w="697" w:type="dxa"/>
          </w:tcPr>
          <w:p w14:paraId="79B318C1" w14:textId="05A78063"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c>
          <w:tcPr>
            <w:tcW w:w="765" w:type="dxa"/>
          </w:tcPr>
          <w:p w14:paraId="66C9A058" w14:textId="3F647E6B"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c>
          <w:tcPr>
            <w:tcW w:w="697" w:type="dxa"/>
          </w:tcPr>
          <w:p w14:paraId="6019301A" w14:textId="7C3D413E"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r>
      <w:tr w:rsidR="00AC2A94" w14:paraId="0F9A5A97" w14:textId="77777777" w:rsidTr="00AC2A94">
        <w:trPr>
          <w:trHeight w:val="451"/>
          <w:jc w:val="center"/>
        </w:trPr>
        <w:tc>
          <w:tcPr>
            <w:tcW w:w="5329" w:type="dxa"/>
          </w:tcPr>
          <w:p w14:paraId="1E083402" w14:textId="77777777" w:rsidR="00052A55" w:rsidRDefault="00BC1CFF" w:rsidP="00052A55">
            <w:pPr>
              <w:spacing w:line="240" w:lineRule="auto"/>
              <w:rPr>
                <w:rFonts w:cs="Times New Roman"/>
                <w:sz w:val="20"/>
                <w:szCs w:val="20"/>
              </w:rPr>
            </w:pPr>
            <w:r w:rsidRPr="00052A55">
              <w:rPr>
                <w:rFonts w:cs="Times New Roman"/>
                <w:sz w:val="20"/>
                <w:szCs w:val="20"/>
              </w:rPr>
              <w:t>A</w:t>
            </w:r>
            <w:r w:rsidR="00052A55" w:rsidRPr="00052A55">
              <w:rPr>
                <w:rFonts w:cs="Times New Roman"/>
                <w:sz w:val="20"/>
                <w:szCs w:val="20"/>
              </w:rPr>
              <w:t xml:space="preserve">ssainissement comme priorité </w:t>
            </w:r>
            <w:r w:rsidRPr="00052A55">
              <w:rPr>
                <w:rFonts w:cs="Times New Roman"/>
                <w:sz w:val="20"/>
                <w:szCs w:val="20"/>
              </w:rPr>
              <w:t>gouvernement</w:t>
            </w:r>
            <w:r w:rsidR="00052A55" w:rsidRPr="00052A55">
              <w:rPr>
                <w:rFonts w:cs="Times New Roman"/>
                <w:sz w:val="20"/>
                <w:szCs w:val="20"/>
              </w:rPr>
              <w:t>ale</w:t>
            </w:r>
            <w:r w:rsidRPr="00052A55">
              <w:rPr>
                <w:rFonts w:cs="Times New Roman"/>
                <w:sz w:val="20"/>
                <w:szCs w:val="20"/>
              </w:rPr>
              <w:t xml:space="preserve"> </w:t>
            </w:r>
          </w:p>
          <w:p w14:paraId="48FFF237" w14:textId="43787D1C" w:rsidR="00BC1CFF" w:rsidRPr="00052A55" w:rsidRDefault="00BC1CFF" w:rsidP="00AC2A94">
            <w:pPr>
              <w:spacing w:line="240" w:lineRule="auto"/>
              <w:rPr>
                <w:rFonts w:cs="Times New Roman"/>
                <w:sz w:val="20"/>
                <w:szCs w:val="20"/>
              </w:rPr>
            </w:pPr>
            <w:r w:rsidRPr="00052A55">
              <w:rPr>
                <w:rFonts w:cs="Times New Roman"/>
                <w:sz w:val="20"/>
                <w:szCs w:val="20"/>
              </w:rPr>
              <w:t>(+ :</w:t>
            </w:r>
            <w:r w:rsidR="00052A55" w:rsidRPr="00052A55">
              <w:rPr>
                <w:rFonts w:cs="Times New Roman"/>
                <w:sz w:val="20"/>
                <w:szCs w:val="20"/>
              </w:rPr>
              <w:t xml:space="preserve"> </w:t>
            </w:r>
            <w:r w:rsidR="00AC2A94">
              <w:rPr>
                <w:rFonts w:cs="Times New Roman"/>
                <w:sz w:val="20"/>
                <w:szCs w:val="20"/>
              </w:rPr>
              <w:t>question</w:t>
            </w:r>
            <w:r w:rsidR="00052A55" w:rsidRPr="00052A55">
              <w:rPr>
                <w:rFonts w:cs="Times New Roman"/>
                <w:sz w:val="20"/>
                <w:szCs w:val="20"/>
              </w:rPr>
              <w:t xml:space="preserve"> prioritaire </w:t>
            </w:r>
            <w:r w:rsidRPr="00052A55">
              <w:rPr>
                <w:rFonts w:cs="Times New Roman"/>
                <w:sz w:val="20"/>
                <w:szCs w:val="20"/>
              </w:rPr>
              <w:t>;</w:t>
            </w:r>
            <w:r w:rsidR="00052A55" w:rsidRPr="00052A55">
              <w:rPr>
                <w:rFonts w:cs="Times New Roman"/>
                <w:sz w:val="20"/>
                <w:szCs w:val="20"/>
              </w:rPr>
              <w:t xml:space="preserve"> – :</w:t>
            </w:r>
            <w:r w:rsidRPr="00052A55">
              <w:rPr>
                <w:rFonts w:cs="Times New Roman"/>
                <w:sz w:val="20"/>
                <w:szCs w:val="20"/>
              </w:rPr>
              <w:t xml:space="preserve"> </w:t>
            </w:r>
            <w:r w:rsidR="00AC2A94">
              <w:rPr>
                <w:rFonts w:cs="Times New Roman"/>
                <w:sz w:val="20"/>
                <w:szCs w:val="20"/>
              </w:rPr>
              <w:t xml:space="preserve">question </w:t>
            </w:r>
            <w:r w:rsidRPr="00052A55">
              <w:rPr>
                <w:rFonts w:cs="Times New Roman"/>
                <w:sz w:val="20"/>
                <w:szCs w:val="20"/>
              </w:rPr>
              <w:t>non</w:t>
            </w:r>
            <w:r w:rsidR="00AC2A94">
              <w:rPr>
                <w:rFonts w:cs="Times New Roman"/>
                <w:sz w:val="20"/>
                <w:szCs w:val="20"/>
              </w:rPr>
              <w:t>-prioritaire</w:t>
            </w:r>
            <w:r w:rsidRPr="00052A55">
              <w:rPr>
                <w:rFonts w:cs="Times New Roman"/>
                <w:sz w:val="20"/>
                <w:szCs w:val="20"/>
              </w:rPr>
              <w:t>)</w:t>
            </w:r>
          </w:p>
        </w:tc>
        <w:tc>
          <w:tcPr>
            <w:tcW w:w="697" w:type="dxa"/>
          </w:tcPr>
          <w:p w14:paraId="1DFC15AE" w14:textId="05F5083F"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c>
          <w:tcPr>
            <w:tcW w:w="765" w:type="dxa"/>
          </w:tcPr>
          <w:p w14:paraId="6AD864B0" w14:textId="34D79A0B"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c>
          <w:tcPr>
            <w:tcW w:w="697" w:type="dxa"/>
          </w:tcPr>
          <w:p w14:paraId="0A9BA1C9" w14:textId="54FCDD16"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r>
      <w:tr w:rsidR="00AC2A94" w14:paraId="44097FBB" w14:textId="77777777" w:rsidTr="00AC2A94">
        <w:trPr>
          <w:trHeight w:val="511"/>
          <w:jc w:val="center"/>
        </w:trPr>
        <w:tc>
          <w:tcPr>
            <w:tcW w:w="5329" w:type="dxa"/>
          </w:tcPr>
          <w:p w14:paraId="7470FB4A" w14:textId="77777777" w:rsidR="00AC2A94" w:rsidRDefault="00BC1CFF" w:rsidP="00052A55">
            <w:pPr>
              <w:spacing w:line="240" w:lineRule="auto"/>
              <w:rPr>
                <w:rFonts w:cs="Times New Roman"/>
                <w:sz w:val="20"/>
                <w:szCs w:val="20"/>
              </w:rPr>
            </w:pPr>
            <w:r w:rsidRPr="00052A55">
              <w:rPr>
                <w:rFonts w:cs="Times New Roman"/>
                <w:sz w:val="20"/>
                <w:szCs w:val="20"/>
              </w:rPr>
              <w:t xml:space="preserve">Compositions des gouvernements et de la Section </w:t>
            </w:r>
          </w:p>
          <w:p w14:paraId="2F91F9AB" w14:textId="2D6533E1" w:rsidR="00BC1CFF" w:rsidRPr="00052A55" w:rsidRDefault="00BC1CFF" w:rsidP="00AC2A94">
            <w:pPr>
              <w:spacing w:line="240" w:lineRule="auto"/>
              <w:rPr>
                <w:rFonts w:cs="Times New Roman"/>
                <w:sz w:val="20"/>
                <w:szCs w:val="20"/>
              </w:rPr>
            </w:pPr>
            <w:r w:rsidRPr="00052A55">
              <w:rPr>
                <w:rFonts w:cs="Times New Roman"/>
                <w:sz w:val="20"/>
                <w:szCs w:val="20"/>
              </w:rPr>
              <w:t xml:space="preserve">(+ : </w:t>
            </w:r>
            <w:r w:rsidR="00052A55" w:rsidRPr="00052A55">
              <w:rPr>
                <w:rFonts w:cs="Times New Roman"/>
                <w:sz w:val="20"/>
                <w:szCs w:val="20"/>
              </w:rPr>
              <w:t xml:space="preserve">compositions </w:t>
            </w:r>
            <w:r w:rsidRPr="00052A55">
              <w:rPr>
                <w:rFonts w:cs="Times New Roman"/>
                <w:sz w:val="20"/>
                <w:szCs w:val="20"/>
              </w:rPr>
              <w:t>concordantes ;</w:t>
            </w:r>
            <w:r w:rsidR="00052A55" w:rsidRPr="00052A55">
              <w:rPr>
                <w:rFonts w:cs="Times New Roman"/>
                <w:sz w:val="20"/>
                <w:szCs w:val="20"/>
              </w:rPr>
              <w:t xml:space="preserve"> –</w:t>
            </w:r>
            <w:r w:rsidRPr="00052A55">
              <w:rPr>
                <w:rFonts w:cs="Times New Roman"/>
                <w:sz w:val="20"/>
                <w:szCs w:val="20"/>
              </w:rPr>
              <w:t xml:space="preserve"> : </w:t>
            </w:r>
            <w:r w:rsidR="00052A55" w:rsidRPr="00052A55">
              <w:rPr>
                <w:rFonts w:cs="Times New Roman"/>
                <w:sz w:val="20"/>
                <w:szCs w:val="20"/>
              </w:rPr>
              <w:t xml:space="preserve">compositions </w:t>
            </w:r>
            <w:r w:rsidRPr="00052A55">
              <w:rPr>
                <w:rFonts w:cs="Times New Roman"/>
                <w:sz w:val="20"/>
                <w:szCs w:val="20"/>
              </w:rPr>
              <w:t>dis</w:t>
            </w:r>
            <w:r w:rsidR="00052A55" w:rsidRPr="00052A55">
              <w:rPr>
                <w:rFonts w:cs="Times New Roman"/>
                <w:sz w:val="20"/>
                <w:szCs w:val="20"/>
              </w:rPr>
              <w:t>cord</w:t>
            </w:r>
            <w:r w:rsidRPr="00052A55">
              <w:rPr>
                <w:rFonts w:cs="Times New Roman"/>
                <w:sz w:val="20"/>
                <w:szCs w:val="20"/>
              </w:rPr>
              <w:t xml:space="preserve">antes) </w:t>
            </w:r>
          </w:p>
        </w:tc>
        <w:tc>
          <w:tcPr>
            <w:tcW w:w="697" w:type="dxa"/>
          </w:tcPr>
          <w:p w14:paraId="0E23F269" w14:textId="244A07CB"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c>
          <w:tcPr>
            <w:tcW w:w="765" w:type="dxa"/>
          </w:tcPr>
          <w:p w14:paraId="14175F18" w14:textId="25171DFF"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c>
          <w:tcPr>
            <w:tcW w:w="697" w:type="dxa"/>
          </w:tcPr>
          <w:p w14:paraId="5FA7D0FE" w14:textId="03BA6EAF"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r>
      <w:tr w:rsidR="00AC2A94" w14:paraId="627AE7D5" w14:textId="77777777" w:rsidTr="00AC2A94">
        <w:trPr>
          <w:trHeight w:val="451"/>
          <w:jc w:val="center"/>
        </w:trPr>
        <w:tc>
          <w:tcPr>
            <w:tcW w:w="5329" w:type="dxa"/>
          </w:tcPr>
          <w:p w14:paraId="3C9D67B2" w14:textId="77777777" w:rsidR="00052A55" w:rsidRPr="00052A55" w:rsidRDefault="00BC1CFF" w:rsidP="007C53A8">
            <w:pPr>
              <w:spacing w:line="240" w:lineRule="auto"/>
              <w:rPr>
                <w:rFonts w:cs="Times New Roman"/>
                <w:sz w:val="20"/>
                <w:szCs w:val="20"/>
              </w:rPr>
            </w:pPr>
            <w:r w:rsidRPr="00052A55">
              <w:rPr>
                <w:rFonts w:cs="Times New Roman"/>
                <w:sz w:val="20"/>
                <w:szCs w:val="20"/>
              </w:rPr>
              <w:t xml:space="preserve">Prestige de la Section </w:t>
            </w:r>
          </w:p>
          <w:p w14:paraId="3B761282" w14:textId="7D9FE01E" w:rsidR="00BC1CFF" w:rsidRPr="00052A55" w:rsidRDefault="00BC1CFF" w:rsidP="007C53A8">
            <w:pPr>
              <w:spacing w:line="240" w:lineRule="auto"/>
              <w:rPr>
                <w:rFonts w:cs="Times New Roman"/>
                <w:sz w:val="20"/>
                <w:szCs w:val="20"/>
              </w:rPr>
            </w:pPr>
            <w:r w:rsidRPr="00052A55">
              <w:rPr>
                <w:rFonts w:cs="Times New Roman"/>
                <w:sz w:val="20"/>
                <w:szCs w:val="20"/>
              </w:rPr>
              <w:t xml:space="preserve">(+ : </w:t>
            </w:r>
            <w:r w:rsidR="00052A55" w:rsidRPr="00052A55">
              <w:rPr>
                <w:rFonts w:cs="Times New Roman"/>
                <w:sz w:val="20"/>
                <w:szCs w:val="20"/>
              </w:rPr>
              <w:t xml:space="preserve">prestige </w:t>
            </w:r>
            <w:r w:rsidRPr="00052A55">
              <w:rPr>
                <w:rFonts w:cs="Times New Roman"/>
                <w:sz w:val="20"/>
                <w:szCs w:val="20"/>
              </w:rPr>
              <w:t>élevé ;</w:t>
            </w:r>
            <w:r w:rsidR="00052A55" w:rsidRPr="00052A55">
              <w:rPr>
                <w:rFonts w:cs="Times New Roman"/>
                <w:sz w:val="20"/>
                <w:szCs w:val="20"/>
              </w:rPr>
              <w:t xml:space="preserve"> –</w:t>
            </w:r>
            <w:r w:rsidRPr="00052A55">
              <w:rPr>
                <w:rFonts w:cs="Times New Roman"/>
                <w:sz w:val="20"/>
                <w:szCs w:val="20"/>
              </w:rPr>
              <w:t xml:space="preserve"> : </w:t>
            </w:r>
            <w:r w:rsidR="00052A55" w:rsidRPr="00052A55">
              <w:rPr>
                <w:rFonts w:cs="Times New Roman"/>
                <w:sz w:val="20"/>
                <w:szCs w:val="20"/>
              </w:rPr>
              <w:t xml:space="preserve">prestige </w:t>
            </w:r>
            <w:r w:rsidRPr="00052A55">
              <w:rPr>
                <w:rFonts w:cs="Times New Roman"/>
                <w:sz w:val="20"/>
                <w:szCs w:val="20"/>
              </w:rPr>
              <w:t>faible)</w:t>
            </w:r>
          </w:p>
        </w:tc>
        <w:tc>
          <w:tcPr>
            <w:tcW w:w="697" w:type="dxa"/>
          </w:tcPr>
          <w:p w14:paraId="3BB0DC72" w14:textId="4719C559"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c>
          <w:tcPr>
            <w:tcW w:w="765" w:type="dxa"/>
          </w:tcPr>
          <w:p w14:paraId="0B05C561" w14:textId="5F64BF7D"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c>
          <w:tcPr>
            <w:tcW w:w="697" w:type="dxa"/>
          </w:tcPr>
          <w:p w14:paraId="7771C40C" w14:textId="2234F350" w:rsidR="00BC1CFF" w:rsidRPr="00052A55" w:rsidRDefault="00052A55" w:rsidP="00052A55">
            <w:pPr>
              <w:spacing w:line="240" w:lineRule="auto"/>
              <w:jc w:val="center"/>
              <w:rPr>
                <w:rFonts w:cs="Times New Roman"/>
                <w:sz w:val="20"/>
                <w:szCs w:val="20"/>
              </w:rPr>
            </w:pPr>
            <w:r w:rsidRPr="00052A55">
              <w:rPr>
                <w:rFonts w:cs="Times New Roman"/>
                <w:sz w:val="20"/>
                <w:szCs w:val="20"/>
              </w:rPr>
              <w:t>+</w:t>
            </w:r>
          </w:p>
        </w:tc>
      </w:tr>
      <w:tr w:rsidR="00AC2A94" w14:paraId="0253D291" w14:textId="77777777" w:rsidTr="00AC2A94">
        <w:trPr>
          <w:trHeight w:val="247"/>
          <w:jc w:val="center"/>
        </w:trPr>
        <w:tc>
          <w:tcPr>
            <w:tcW w:w="5329" w:type="dxa"/>
          </w:tcPr>
          <w:p w14:paraId="201CD0BD" w14:textId="514A7323" w:rsidR="00BC1CFF" w:rsidRPr="00052A55" w:rsidRDefault="00BC1CFF" w:rsidP="007C53A8">
            <w:pPr>
              <w:spacing w:line="240" w:lineRule="auto"/>
              <w:rPr>
                <w:rFonts w:cs="Times New Roman"/>
                <w:b/>
                <w:sz w:val="20"/>
                <w:szCs w:val="20"/>
              </w:rPr>
            </w:pPr>
            <w:r w:rsidRPr="00052A55">
              <w:rPr>
                <w:rFonts w:cs="Times New Roman"/>
                <w:b/>
                <w:sz w:val="20"/>
                <w:szCs w:val="20"/>
              </w:rPr>
              <w:t>Influence de la Section</w:t>
            </w:r>
          </w:p>
        </w:tc>
        <w:tc>
          <w:tcPr>
            <w:tcW w:w="697" w:type="dxa"/>
          </w:tcPr>
          <w:p w14:paraId="0C80ADE4" w14:textId="4386767A" w:rsidR="00BC1CFF" w:rsidRPr="00052A55" w:rsidRDefault="00052A55" w:rsidP="00052A55">
            <w:pPr>
              <w:spacing w:line="240" w:lineRule="auto"/>
              <w:jc w:val="center"/>
              <w:rPr>
                <w:rFonts w:cs="Times New Roman"/>
                <w:b/>
                <w:sz w:val="20"/>
                <w:szCs w:val="20"/>
              </w:rPr>
            </w:pPr>
            <w:r w:rsidRPr="00052A55">
              <w:rPr>
                <w:rFonts w:cs="Times New Roman"/>
                <w:b/>
                <w:sz w:val="20"/>
                <w:szCs w:val="20"/>
              </w:rPr>
              <w:t>Forte</w:t>
            </w:r>
          </w:p>
        </w:tc>
        <w:tc>
          <w:tcPr>
            <w:tcW w:w="765" w:type="dxa"/>
          </w:tcPr>
          <w:p w14:paraId="3F9BC564" w14:textId="187C0A81" w:rsidR="00BC1CFF" w:rsidRPr="00052A55" w:rsidRDefault="00052A55" w:rsidP="00052A55">
            <w:pPr>
              <w:spacing w:line="240" w:lineRule="auto"/>
              <w:jc w:val="center"/>
              <w:rPr>
                <w:rFonts w:cs="Times New Roman"/>
                <w:b/>
                <w:sz w:val="20"/>
                <w:szCs w:val="20"/>
              </w:rPr>
            </w:pPr>
            <w:r w:rsidRPr="00052A55">
              <w:rPr>
                <w:rFonts w:cs="Times New Roman"/>
                <w:b/>
                <w:sz w:val="20"/>
                <w:szCs w:val="20"/>
              </w:rPr>
              <w:t>Faible</w:t>
            </w:r>
          </w:p>
        </w:tc>
        <w:tc>
          <w:tcPr>
            <w:tcW w:w="697" w:type="dxa"/>
          </w:tcPr>
          <w:p w14:paraId="55F064B2" w14:textId="69ABA4B8" w:rsidR="00BC1CFF" w:rsidRPr="00052A55" w:rsidRDefault="00052A55" w:rsidP="00052A55">
            <w:pPr>
              <w:spacing w:line="240" w:lineRule="auto"/>
              <w:jc w:val="center"/>
              <w:rPr>
                <w:rFonts w:cs="Times New Roman"/>
                <w:b/>
                <w:sz w:val="20"/>
                <w:szCs w:val="20"/>
              </w:rPr>
            </w:pPr>
            <w:r w:rsidRPr="00052A55">
              <w:rPr>
                <w:rFonts w:cs="Times New Roman"/>
                <w:b/>
                <w:sz w:val="20"/>
                <w:szCs w:val="20"/>
              </w:rPr>
              <w:t>Forte</w:t>
            </w:r>
          </w:p>
        </w:tc>
      </w:tr>
    </w:tbl>
    <w:p w14:paraId="355144D1" w14:textId="0D3798D0" w:rsidR="00BB4A94" w:rsidRPr="00BC1CFF" w:rsidRDefault="00BB4A94" w:rsidP="007C53A8">
      <w:pPr>
        <w:spacing w:line="240" w:lineRule="auto"/>
        <w:rPr>
          <w:rFonts w:cs="Times New Roman"/>
          <w:i/>
          <w:sz w:val="22"/>
          <w:szCs w:val="22"/>
        </w:rPr>
      </w:pPr>
    </w:p>
    <w:p w14:paraId="28F72700" w14:textId="77777777" w:rsidR="00497797" w:rsidRPr="004F2163" w:rsidRDefault="002D4472" w:rsidP="00BB4A94">
      <w:pPr>
        <w:spacing w:line="240" w:lineRule="auto"/>
        <w:rPr>
          <w:rFonts w:cs="Times New Roman"/>
          <w:b/>
          <w:i/>
          <w:sz w:val="22"/>
          <w:szCs w:val="22"/>
          <w:lang w:val="fr-BE"/>
        </w:rPr>
      </w:pPr>
      <w:r w:rsidRPr="00B246CC">
        <w:rPr>
          <w:rFonts w:cs="Times New Roman"/>
          <w:b/>
          <w:i/>
          <w:sz w:val="22"/>
          <w:szCs w:val="22"/>
          <w:lang w:val="fr-BE"/>
        </w:rPr>
        <w:t>I</w:t>
      </w:r>
      <w:r w:rsidR="00E46885">
        <w:rPr>
          <w:rFonts w:cs="Times New Roman"/>
          <w:b/>
          <w:i/>
          <w:sz w:val="22"/>
          <w:szCs w:val="22"/>
          <w:lang w:val="fr-BE"/>
        </w:rPr>
        <w:t>I</w:t>
      </w:r>
      <w:r w:rsidRPr="00B246CC">
        <w:rPr>
          <w:rFonts w:cs="Times New Roman"/>
          <w:b/>
          <w:i/>
          <w:sz w:val="22"/>
          <w:szCs w:val="22"/>
          <w:lang w:val="fr-BE"/>
        </w:rPr>
        <w:t>I.2.1. La contrainte budgétaire européenne</w:t>
      </w:r>
    </w:p>
    <w:p w14:paraId="2CA00298" w14:textId="77777777" w:rsidR="00BB4A94" w:rsidRPr="004F2163" w:rsidRDefault="00BB4A94" w:rsidP="00BB4A94">
      <w:pPr>
        <w:spacing w:line="240" w:lineRule="auto"/>
        <w:rPr>
          <w:rFonts w:cs="Times New Roman"/>
          <w:sz w:val="22"/>
          <w:szCs w:val="22"/>
          <w:lang w:val="fr-BE"/>
        </w:rPr>
      </w:pPr>
    </w:p>
    <w:p w14:paraId="119041A9" w14:textId="7FB80C07" w:rsidR="00794090" w:rsidRPr="004F2163" w:rsidRDefault="002D4472" w:rsidP="006B11F4">
      <w:pPr>
        <w:spacing w:line="240" w:lineRule="auto"/>
        <w:jc w:val="both"/>
        <w:rPr>
          <w:rFonts w:cs="Times New Roman"/>
          <w:sz w:val="22"/>
          <w:szCs w:val="22"/>
        </w:rPr>
      </w:pPr>
      <w:r w:rsidRPr="00B246CC">
        <w:rPr>
          <w:rFonts w:cs="Times New Roman"/>
          <w:sz w:val="22"/>
          <w:szCs w:val="22"/>
        </w:rPr>
        <w:t>L’intégration monétaire européenne et les contraintes budgétaires qui en découlent ont été abordées de façon récurrente lors des entretiens. Trois phases distinctes</w:t>
      </w:r>
      <w:r w:rsidR="0048598F">
        <w:rPr>
          <w:rFonts w:cs="Times New Roman"/>
          <w:sz w:val="22"/>
          <w:szCs w:val="22"/>
        </w:rPr>
        <w:t xml:space="preserve"> </w:t>
      </w:r>
      <w:r w:rsidRPr="00B246CC">
        <w:rPr>
          <w:rFonts w:cs="Times New Roman"/>
          <w:sz w:val="22"/>
          <w:szCs w:val="22"/>
        </w:rPr>
        <w:t>émanent des propos tenus par les personnes interrogées. La première d’entre elles</w:t>
      </w:r>
      <w:r w:rsidR="00E46885">
        <w:rPr>
          <w:rFonts w:cs="Times New Roman"/>
          <w:sz w:val="22"/>
          <w:szCs w:val="22"/>
        </w:rPr>
        <w:t xml:space="preserve"> </w:t>
      </w:r>
      <w:r w:rsidRPr="00B246CC">
        <w:rPr>
          <w:rFonts w:cs="Times New Roman"/>
          <w:sz w:val="22"/>
          <w:szCs w:val="22"/>
        </w:rPr>
        <w:t>débute en 1992 avec la signature du Traité de Maastricht</w:t>
      </w:r>
      <w:r w:rsidR="00E46885">
        <w:rPr>
          <w:rFonts w:cs="Times New Roman"/>
          <w:sz w:val="22"/>
          <w:szCs w:val="22"/>
        </w:rPr>
        <w:t>, qui détermine</w:t>
      </w:r>
      <w:r w:rsidRPr="00B246CC">
        <w:rPr>
          <w:rFonts w:cs="Times New Roman"/>
          <w:sz w:val="22"/>
          <w:szCs w:val="22"/>
        </w:rPr>
        <w:t xml:space="preserve"> quatre « critères de convergence » constituant autant de prérequis à l’adhésion</w:t>
      </w:r>
      <w:r w:rsidR="00E46885">
        <w:rPr>
          <w:rFonts w:cs="Times New Roman"/>
          <w:sz w:val="22"/>
          <w:szCs w:val="22"/>
        </w:rPr>
        <w:t xml:space="preserve"> à l’UEM</w:t>
      </w:r>
      <w:r w:rsidRPr="00B246CC">
        <w:rPr>
          <w:rFonts w:cs="Times New Roman"/>
          <w:sz w:val="22"/>
          <w:szCs w:val="22"/>
        </w:rPr>
        <w:t xml:space="preserve">. Si la Belgique a rapidement atteint la convergence escomptée en matière de prix, de taux de change et de taux d’intérêts, les choses ont été autrement plus </w:t>
      </w:r>
      <w:r w:rsidR="00E46885">
        <w:rPr>
          <w:rFonts w:cs="Times New Roman"/>
          <w:sz w:val="22"/>
          <w:szCs w:val="22"/>
        </w:rPr>
        <w:t>compliquées</w:t>
      </w:r>
      <w:r w:rsidRPr="00B246CC">
        <w:rPr>
          <w:rFonts w:cs="Times New Roman"/>
          <w:sz w:val="22"/>
          <w:szCs w:val="22"/>
        </w:rPr>
        <w:t xml:space="preserve"> en matière de finances publiques. En vertu de l’article 104 C du Traité, les pays désireux </w:t>
      </w:r>
      <w:r w:rsidR="00E46885">
        <w:rPr>
          <w:rFonts w:cs="Times New Roman"/>
          <w:sz w:val="22"/>
          <w:szCs w:val="22"/>
        </w:rPr>
        <w:t>d’intégrer</w:t>
      </w:r>
      <w:r w:rsidRPr="00B246CC">
        <w:rPr>
          <w:rFonts w:cs="Times New Roman"/>
          <w:sz w:val="22"/>
          <w:szCs w:val="22"/>
        </w:rPr>
        <w:t xml:space="preserve"> la zone euro étaient préalablement tenus de réduire leur déficit et leur dette à </w:t>
      </w:r>
      <w:r w:rsidRPr="00B246CC">
        <w:rPr>
          <w:rFonts w:cs="Times New Roman"/>
          <w:sz w:val="22"/>
          <w:szCs w:val="22"/>
        </w:rPr>
        <w:lastRenderedPageBreak/>
        <w:t>respectivement 3% et 60% du PIB</w:t>
      </w:r>
      <w:r w:rsidR="004F5F7B" w:rsidRPr="004F2163">
        <w:rPr>
          <w:rStyle w:val="Appelnotedebasdep"/>
          <w:rFonts w:cs="Times New Roman"/>
          <w:sz w:val="22"/>
          <w:szCs w:val="22"/>
        </w:rPr>
        <w:footnoteReference w:id="20"/>
      </w:r>
      <w:r w:rsidR="007E79C8" w:rsidRPr="004F2163">
        <w:rPr>
          <w:rFonts w:cs="Times New Roman"/>
          <w:sz w:val="22"/>
          <w:szCs w:val="22"/>
        </w:rPr>
        <w:t xml:space="preserve">. </w:t>
      </w:r>
      <w:r w:rsidRPr="00B246CC">
        <w:rPr>
          <w:rFonts w:cs="Times New Roman"/>
          <w:sz w:val="22"/>
          <w:szCs w:val="22"/>
        </w:rPr>
        <w:t xml:space="preserve">Ainsi qu’en atteste un expert, </w:t>
      </w:r>
      <w:r w:rsidRPr="00B246CC">
        <w:rPr>
          <w:rFonts w:cs="Times New Roman"/>
          <w:i/>
          <w:sz w:val="22"/>
          <w:szCs w:val="22"/>
        </w:rPr>
        <w:t xml:space="preserve">« c’était une contrainte forte parce que, si on n’y était pas, on n’était pas dans l’euro » </w:t>
      </w:r>
      <w:r w:rsidRPr="00B246CC">
        <w:rPr>
          <w:rFonts w:cs="Times New Roman"/>
          <w:sz w:val="22"/>
          <w:szCs w:val="22"/>
        </w:rPr>
        <w:t xml:space="preserve">(E4). Or, </w:t>
      </w:r>
      <w:r w:rsidR="00432DF3">
        <w:rPr>
          <w:rFonts w:cs="Times New Roman"/>
          <w:sz w:val="22"/>
          <w:szCs w:val="22"/>
        </w:rPr>
        <w:t>lors</w:t>
      </w:r>
      <w:r w:rsidRPr="00B246CC">
        <w:rPr>
          <w:rFonts w:cs="Times New Roman"/>
          <w:sz w:val="22"/>
          <w:szCs w:val="22"/>
        </w:rPr>
        <w:t xml:space="preserve"> de l’entrée en fonction du gouvernement Dehaene I</w:t>
      </w:r>
      <w:r w:rsidR="001B579A">
        <w:rPr>
          <w:rFonts w:cs="Times New Roman"/>
          <w:sz w:val="22"/>
          <w:szCs w:val="22"/>
          <w:vertAlign w:val="superscript"/>
        </w:rPr>
        <w:t>er</w:t>
      </w:r>
      <w:r w:rsidR="00432DF3">
        <w:rPr>
          <w:rFonts w:cs="Times New Roman"/>
          <w:sz w:val="22"/>
          <w:szCs w:val="22"/>
        </w:rPr>
        <w:t xml:space="preserve"> (</w:t>
      </w:r>
      <w:r w:rsidRPr="00B246CC">
        <w:rPr>
          <w:rFonts w:cs="Times New Roman"/>
          <w:sz w:val="22"/>
          <w:szCs w:val="22"/>
        </w:rPr>
        <w:t>mars 1992</w:t>
      </w:r>
      <w:r w:rsidR="00432DF3">
        <w:rPr>
          <w:rFonts w:cs="Times New Roman"/>
          <w:sz w:val="22"/>
          <w:szCs w:val="22"/>
        </w:rPr>
        <w:t>)</w:t>
      </w:r>
      <w:r w:rsidRPr="00B246CC">
        <w:rPr>
          <w:rFonts w:cs="Times New Roman"/>
          <w:sz w:val="22"/>
          <w:szCs w:val="22"/>
        </w:rPr>
        <w:t>, le déficit public belge s’élevait encore à 6,9% du PIB</w:t>
      </w:r>
      <w:r w:rsidR="00AC2A94">
        <w:rPr>
          <w:rFonts w:cs="Times New Roman"/>
          <w:sz w:val="22"/>
          <w:szCs w:val="22"/>
        </w:rPr>
        <w:t>.</w:t>
      </w:r>
      <w:r w:rsidR="00E46885">
        <w:rPr>
          <w:rFonts w:cs="Times New Roman"/>
          <w:sz w:val="22"/>
          <w:szCs w:val="22"/>
        </w:rPr>
        <w:t xml:space="preserve"> </w:t>
      </w:r>
      <w:r w:rsidR="00AC2A94">
        <w:rPr>
          <w:rFonts w:cs="Times New Roman"/>
          <w:sz w:val="22"/>
          <w:szCs w:val="22"/>
        </w:rPr>
        <w:t>L</w:t>
      </w:r>
      <w:r w:rsidRPr="00B246CC">
        <w:rPr>
          <w:rFonts w:cs="Times New Roman"/>
          <w:sz w:val="22"/>
          <w:szCs w:val="22"/>
        </w:rPr>
        <w:t xml:space="preserve">a dette publique avoisinait </w:t>
      </w:r>
      <w:r w:rsidR="00AC2A94">
        <w:rPr>
          <w:rFonts w:cs="Times New Roman"/>
          <w:sz w:val="22"/>
          <w:szCs w:val="22"/>
        </w:rPr>
        <w:t xml:space="preserve">quant à elle </w:t>
      </w:r>
      <w:r w:rsidRPr="00B246CC">
        <w:rPr>
          <w:rFonts w:cs="Times New Roman"/>
          <w:sz w:val="22"/>
          <w:szCs w:val="22"/>
        </w:rPr>
        <w:t xml:space="preserve">133% du PIB. </w:t>
      </w:r>
    </w:p>
    <w:p w14:paraId="6633ABF6" w14:textId="77777777" w:rsidR="00794090" w:rsidRPr="004F2163" w:rsidRDefault="00794090" w:rsidP="006B11F4">
      <w:pPr>
        <w:spacing w:line="240" w:lineRule="auto"/>
        <w:jc w:val="both"/>
        <w:rPr>
          <w:rFonts w:cs="Times New Roman"/>
          <w:sz w:val="22"/>
          <w:szCs w:val="22"/>
        </w:rPr>
      </w:pPr>
    </w:p>
    <w:p w14:paraId="6758E5B7" w14:textId="2657E57B" w:rsidR="00C52511" w:rsidRPr="004F2163" w:rsidRDefault="002D4472" w:rsidP="006B11F4">
      <w:pPr>
        <w:spacing w:line="240" w:lineRule="auto"/>
        <w:jc w:val="both"/>
        <w:rPr>
          <w:rFonts w:cs="Times New Roman"/>
          <w:color w:val="FF0000"/>
          <w:sz w:val="22"/>
          <w:szCs w:val="22"/>
        </w:rPr>
      </w:pPr>
      <w:r w:rsidRPr="00B246CC">
        <w:rPr>
          <w:rFonts w:cs="Times New Roman"/>
          <w:sz w:val="22"/>
          <w:szCs w:val="22"/>
        </w:rPr>
        <w:t>Bien que relativement évasives (</w:t>
      </w:r>
      <w:r w:rsidRPr="00B246CC">
        <w:rPr>
          <w:rFonts w:cs="Times New Roman"/>
          <w:i/>
          <w:sz w:val="22"/>
          <w:szCs w:val="22"/>
        </w:rPr>
        <w:t>« il y avait les 3% et c’était tout » </w:t>
      </w:r>
      <w:r w:rsidRPr="00B246CC">
        <w:rPr>
          <w:rFonts w:cs="Times New Roman"/>
          <w:sz w:val="22"/>
          <w:szCs w:val="22"/>
        </w:rPr>
        <w:t xml:space="preserve">; E4), les exigences européennes étaient néanmoins circonscrites par une contrainte temporelle bien définie : l’évaluation, en 1997, de la situation budgétaire des candidats à l’adhésion. </w:t>
      </w:r>
      <w:r w:rsidR="00AC2A94">
        <w:rPr>
          <w:rFonts w:cs="Times New Roman"/>
          <w:sz w:val="22"/>
          <w:szCs w:val="22"/>
        </w:rPr>
        <w:t>Il était attendu que c</w:t>
      </w:r>
      <w:r w:rsidRPr="00B246CC">
        <w:rPr>
          <w:rFonts w:cs="Times New Roman"/>
          <w:sz w:val="22"/>
          <w:szCs w:val="22"/>
        </w:rPr>
        <w:t xml:space="preserve">haque État </w:t>
      </w:r>
      <w:r w:rsidR="00AC2A94">
        <w:rPr>
          <w:rFonts w:cs="Times New Roman"/>
          <w:sz w:val="22"/>
          <w:szCs w:val="22"/>
        </w:rPr>
        <w:t>prenne</w:t>
      </w:r>
      <w:r w:rsidRPr="00B246CC">
        <w:rPr>
          <w:rFonts w:cs="Times New Roman"/>
          <w:sz w:val="22"/>
          <w:szCs w:val="22"/>
        </w:rPr>
        <w:t xml:space="preserve"> ses dispositions en vue d</w:t>
      </w:r>
      <w:r w:rsidR="003464F6">
        <w:rPr>
          <w:rFonts w:cs="Times New Roman"/>
          <w:sz w:val="22"/>
          <w:szCs w:val="22"/>
        </w:rPr>
        <w:t xml:space="preserve">’atteindre </w:t>
      </w:r>
      <w:r w:rsidRPr="00B246CC">
        <w:rPr>
          <w:rFonts w:cs="Times New Roman"/>
          <w:sz w:val="22"/>
          <w:szCs w:val="22"/>
        </w:rPr>
        <w:t xml:space="preserve">les objectifs européens dans les délais </w:t>
      </w:r>
      <w:r w:rsidR="006C4F9D">
        <w:rPr>
          <w:rFonts w:cs="Times New Roman"/>
          <w:sz w:val="22"/>
          <w:szCs w:val="22"/>
        </w:rPr>
        <w:t>impartis</w:t>
      </w:r>
      <w:r w:rsidRPr="00B246CC">
        <w:rPr>
          <w:rFonts w:cs="Times New Roman"/>
          <w:sz w:val="22"/>
          <w:szCs w:val="22"/>
        </w:rPr>
        <w:t>. Ce</w:t>
      </w:r>
      <w:r w:rsidR="006C4F9D">
        <w:rPr>
          <w:rFonts w:cs="Times New Roman"/>
          <w:sz w:val="22"/>
          <w:szCs w:val="22"/>
        </w:rPr>
        <w:t xml:space="preserve">tte liberté </w:t>
      </w:r>
      <w:r w:rsidRPr="00B246CC">
        <w:rPr>
          <w:rFonts w:cs="Times New Roman"/>
          <w:sz w:val="22"/>
          <w:szCs w:val="22"/>
        </w:rPr>
        <w:t xml:space="preserve">explique </w:t>
      </w:r>
      <w:r w:rsidR="00432DF3">
        <w:rPr>
          <w:rFonts w:cs="Times New Roman"/>
          <w:sz w:val="22"/>
          <w:szCs w:val="22"/>
        </w:rPr>
        <w:t>la décision d</w:t>
      </w:r>
      <w:r w:rsidRPr="00B246CC">
        <w:rPr>
          <w:rFonts w:cs="Times New Roman"/>
          <w:sz w:val="22"/>
          <w:szCs w:val="22"/>
        </w:rPr>
        <w:t>es autorités belges de s’inspirer des avis de la Section lors de la rédaction du plan de con</w:t>
      </w:r>
      <w:r w:rsidR="00432DF3">
        <w:rPr>
          <w:rFonts w:cs="Times New Roman"/>
          <w:sz w:val="22"/>
          <w:szCs w:val="22"/>
        </w:rPr>
        <w:t>vergence de 1992, mais aussi de</w:t>
      </w:r>
      <w:r w:rsidR="006C4F9D">
        <w:rPr>
          <w:rFonts w:cs="Times New Roman"/>
          <w:sz w:val="22"/>
          <w:szCs w:val="22"/>
        </w:rPr>
        <w:t xml:space="preserve"> </w:t>
      </w:r>
      <w:r w:rsidRPr="00B246CC">
        <w:rPr>
          <w:rFonts w:cs="Times New Roman"/>
          <w:sz w:val="22"/>
          <w:szCs w:val="22"/>
        </w:rPr>
        <w:t xml:space="preserve">charger </w:t>
      </w:r>
      <w:r w:rsidR="00432DF3">
        <w:rPr>
          <w:rFonts w:cs="Times New Roman"/>
          <w:sz w:val="22"/>
          <w:szCs w:val="22"/>
        </w:rPr>
        <w:t xml:space="preserve">cette dernière </w:t>
      </w:r>
      <w:r w:rsidRPr="00B246CC">
        <w:rPr>
          <w:rFonts w:cs="Times New Roman"/>
          <w:sz w:val="22"/>
          <w:szCs w:val="22"/>
        </w:rPr>
        <w:t xml:space="preserve">de </w:t>
      </w:r>
      <w:r w:rsidR="00E46885">
        <w:rPr>
          <w:rFonts w:cs="Times New Roman"/>
          <w:sz w:val="22"/>
          <w:szCs w:val="22"/>
        </w:rPr>
        <w:t xml:space="preserve">la </w:t>
      </w:r>
      <w:r w:rsidRPr="00B246CC">
        <w:rPr>
          <w:rFonts w:cs="Times New Roman"/>
          <w:sz w:val="22"/>
          <w:szCs w:val="22"/>
        </w:rPr>
        <w:t>surveill</w:t>
      </w:r>
      <w:r w:rsidR="00E46885">
        <w:rPr>
          <w:rFonts w:cs="Times New Roman"/>
          <w:sz w:val="22"/>
          <w:szCs w:val="22"/>
        </w:rPr>
        <w:t>ance</w:t>
      </w:r>
      <w:r w:rsidRPr="00B246CC">
        <w:rPr>
          <w:rFonts w:cs="Times New Roman"/>
          <w:sz w:val="22"/>
          <w:szCs w:val="22"/>
        </w:rPr>
        <w:t xml:space="preserve"> de son exécution, lui conférant ainsi une position centrale dans le dispositif d’assainissement.</w:t>
      </w:r>
    </w:p>
    <w:p w14:paraId="58718627" w14:textId="77777777" w:rsidR="0048623F" w:rsidRPr="004F2163" w:rsidRDefault="0048623F" w:rsidP="006B11F4">
      <w:pPr>
        <w:spacing w:line="240" w:lineRule="auto"/>
        <w:jc w:val="both"/>
        <w:rPr>
          <w:rFonts w:cs="Times New Roman"/>
          <w:sz w:val="22"/>
          <w:szCs w:val="22"/>
        </w:rPr>
      </w:pPr>
    </w:p>
    <w:p w14:paraId="16347CDB" w14:textId="56B5584A" w:rsidR="003464F6" w:rsidRDefault="002D4472" w:rsidP="003464F6">
      <w:pPr>
        <w:spacing w:line="240" w:lineRule="auto"/>
        <w:jc w:val="both"/>
        <w:rPr>
          <w:rFonts w:cs="Times New Roman"/>
          <w:sz w:val="22"/>
          <w:szCs w:val="22"/>
        </w:rPr>
      </w:pPr>
      <w:r w:rsidRPr="00B246CC">
        <w:rPr>
          <w:rFonts w:cs="Times New Roman"/>
          <w:sz w:val="22"/>
          <w:szCs w:val="22"/>
        </w:rPr>
        <w:t xml:space="preserve">Cette contrainte s’est estompée une fois la participation de la Belgique à l’UEM acquise : </w:t>
      </w:r>
      <w:r w:rsidRPr="00B246CC">
        <w:rPr>
          <w:rFonts w:cs="Times New Roman"/>
          <w:i/>
          <w:sz w:val="22"/>
          <w:szCs w:val="22"/>
        </w:rPr>
        <w:t xml:space="preserve">« entre 1999 et 2008, la pression manquait. Et dans pas mal de pays, y compris le nôtre, on a un peu relâché l’effort » </w:t>
      </w:r>
      <w:r w:rsidRPr="00B246CC">
        <w:rPr>
          <w:rFonts w:cs="Times New Roman"/>
          <w:sz w:val="22"/>
          <w:szCs w:val="22"/>
        </w:rPr>
        <w:t xml:space="preserve">(E7). Le graphique 4 </w:t>
      </w:r>
      <w:proofErr w:type="gramStart"/>
      <w:r w:rsidRPr="00B246CC">
        <w:rPr>
          <w:rFonts w:cs="Times New Roman"/>
          <w:sz w:val="22"/>
          <w:szCs w:val="22"/>
        </w:rPr>
        <w:t>confirme</w:t>
      </w:r>
      <w:proofErr w:type="gramEnd"/>
      <w:r w:rsidRPr="00B246CC">
        <w:rPr>
          <w:rFonts w:cs="Times New Roman"/>
          <w:sz w:val="22"/>
          <w:szCs w:val="22"/>
        </w:rPr>
        <w:t xml:space="preserve"> ces propos : la </w:t>
      </w:r>
      <w:r w:rsidR="003464F6">
        <w:rPr>
          <w:rFonts w:cs="Times New Roman"/>
          <w:sz w:val="22"/>
          <w:szCs w:val="22"/>
        </w:rPr>
        <w:t>détérioration</w:t>
      </w:r>
      <w:r w:rsidRPr="00B246CC">
        <w:rPr>
          <w:rFonts w:cs="Times New Roman"/>
          <w:sz w:val="22"/>
          <w:szCs w:val="22"/>
        </w:rPr>
        <w:t xml:space="preserve"> des soldes de financement structurels </w:t>
      </w:r>
      <w:r w:rsidR="00E46885">
        <w:rPr>
          <w:rFonts w:cs="Times New Roman"/>
          <w:sz w:val="22"/>
          <w:szCs w:val="22"/>
        </w:rPr>
        <w:t xml:space="preserve">observable dans </w:t>
      </w:r>
      <w:r w:rsidR="003464F6" w:rsidRPr="001B579A">
        <w:rPr>
          <w:rFonts w:cs="Times New Roman"/>
          <w:sz w:val="22"/>
          <w:szCs w:val="22"/>
        </w:rPr>
        <w:t xml:space="preserve">la plupart des pays d’Europe </w:t>
      </w:r>
      <w:r w:rsidRPr="00B246CC">
        <w:rPr>
          <w:rFonts w:cs="Times New Roman"/>
          <w:sz w:val="22"/>
          <w:szCs w:val="22"/>
        </w:rPr>
        <w:t>entre 1997 et 2007 contraste</w:t>
      </w:r>
      <w:r w:rsidR="00E46885">
        <w:rPr>
          <w:rFonts w:cs="Times New Roman"/>
          <w:sz w:val="22"/>
          <w:szCs w:val="22"/>
        </w:rPr>
        <w:t xml:space="preserve"> </w:t>
      </w:r>
      <w:r w:rsidR="00AC2A94">
        <w:rPr>
          <w:rFonts w:cs="Times New Roman"/>
          <w:sz w:val="22"/>
          <w:szCs w:val="22"/>
        </w:rPr>
        <w:t>en effet</w:t>
      </w:r>
      <w:r w:rsidRPr="00B246CC">
        <w:rPr>
          <w:rFonts w:cs="Times New Roman"/>
          <w:sz w:val="22"/>
          <w:szCs w:val="22"/>
        </w:rPr>
        <w:t xml:space="preserve"> avec les performances réalisées entre 1992 et 1997. </w:t>
      </w:r>
    </w:p>
    <w:p w14:paraId="76A6AC9B" w14:textId="77777777" w:rsidR="007E00D9" w:rsidRPr="004452E4" w:rsidRDefault="007E00D9" w:rsidP="003464F6">
      <w:pPr>
        <w:spacing w:line="240" w:lineRule="auto"/>
        <w:jc w:val="both"/>
        <w:rPr>
          <w:rFonts w:cs="Times New Roman"/>
          <w:sz w:val="20"/>
          <w:szCs w:val="22"/>
        </w:rPr>
      </w:pPr>
    </w:p>
    <w:p w14:paraId="7338A859" w14:textId="6E86A636" w:rsidR="003464F6" w:rsidRPr="004F2163" w:rsidRDefault="003464F6" w:rsidP="00CD3AB1">
      <w:pPr>
        <w:spacing w:line="240" w:lineRule="auto"/>
        <w:jc w:val="center"/>
        <w:rPr>
          <w:rFonts w:cs="Times New Roman"/>
          <w:i/>
          <w:sz w:val="22"/>
          <w:szCs w:val="22"/>
        </w:rPr>
      </w:pPr>
      <w:r w:rsidRPr="001B579A">
        <w:rPr>
          <w:rFonts w:cs="Times New Roman"/>
          <w:i/>
          <w:sz w:val="22"/>
          <w:szCs w:val="22"/>
        </w:rPr>
        <w:t xml:space="preserve">Graphique 4 : influence des critères de convergence </w:t>
      </w:r>
      <w:r w:rsidR="00432DF3">
        <w:rPr>
          <w:rFonts w:cs="Times New Roman"/>
          <w:i/>
          <w:sz w:val="22"/>
          <w:szCs w:val="22"/>
        </w:rPr>
        <w:t xml:space="preserve">(1992-1997) </w:t>
      </w:r>
      <w:r w:rsidRPr="001B579A">
        <w:rPr>
          <w:rFonts w:cs="Times New Roman"/>
          <w:i/>
          <w:sz w:val="22"/>
          <w:szCs w:val="22"/>
        </w:rPr>
        <w:t xml:space="preserve">et du Pacte de stabilité et de croissance </w:t>
      </w:r>
      <w:r w:rsidR="00432DF3">
        <w:rPr>
          <w:rFonts w:cs="Times New Roman"/>
          <w:i/>
          <w:sz w:val="22"/>
          <w:szCs w:val="22"/>
        </w:rPr>
        <w:t xml:space="preserve">(1997-2007) </w:t>
      </w:r>
      <w:r w:rsidRPr="001B579A">
        <w:rPr>
          <w:rFonts w:cs="Times New Roman"/>
          <w:i/>
          <w:sz w:val="22"/>
          <w:szCs w:val="22"/>
        </w:rPr>
        <w:t xml:space="preserve">sur les soldes budgétaires </w:t>
      </w:r>
      <w:r w:rsidR="00AC2A94">
        <w:rPr>
          <w:rFonts w:cs="Times New Roman"/>
          <w:i/>
          <w:sz w:val="22"/>
          <w:szCs w:val="22"/>
        </w:rPr>
        <w:t>structurels de l’UE-15, en p. c.</w:t>
      </w:r>
      <w:r w:rsidRPr="001B579A">
        <w:rPr>
          <w:rFonts w:cs="Times New Roman"/>
          <w:i/>
          <w:sz w:val="22"/>
          <w:szCs w:val="22"/>
        </w:rPr>
        <w:t xml:space="preserve"> du PIB (Van Meensel &amp; Dury, 2008 : 81)</w:t>
      </w:r>
    </w:p>
    <w:p w14:paraId="5F9F49DA" w14:textId="77777777" w:rsidR="003464F6" w:rsidRPr="004452E4" w:rsidRDefault="003464F6" w:rsidP="003464F6">
      <w:pPr>
        <w:spacing w:line="240" w:lineRule="auto"/>
        <w:jc w:val="both"/>
        <w:rPr>
          <w:rFonts w:cs="Times New Roman"/>
          <w:sz w:val="20"/>
          <w:szCs w:val="22"/>
        </w:rPr>
      </w:pPr>
    </w:p>
    <w:p w14:paraId="7CE12335" w14:textId="77777777" w:rsidR="003464F6" w:rsidRDefault="007C53A8" w:rsidP="003464F6">
      <w:pPr>
        <w:spacing w:line="240" w:lineRule="auto"/>
        <w:jc w:val="both"/>
        <w:rPr>
          <w:rFonts w:cs="Times New Roman"/>
          <w:sz w:val="22"/>
          <w:szCs w:val="22"/>
        </w:rPr>
      </w:pPr>
      <w:r>
        <w:rPr>
          <w:rFonts w:cs="Times New Roman"/>
          <w:noProof/>
          <w:sz w:val="22"/>
          <w:szCs w:val="22"/>
          <w:lang w:val="fr-BE" w:eastAsia="fr-BE"/>
        </w:rPr>
        <w:drawing>
          <wp:inline distT="0" distB="0" distL="0" distR="0" wp14:anchorId="26FC03D1" wp14:editId="4EA06759">
            <wp:extent cx="4320000" cy="1728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srcRect l="6740" t="25532" r="14255" b="8809"/>
                    <a:stretch>
                      <a:fillRect/>
                    </a:stretch>
                  </pic:blipFill>
                  <pic:spPr bwMode="auto">
                    <a:xfrm>
                      <a:off x="0" y="0"/>
                      <a:ext cx="4320000" cy="1728000"/>
                    </a:xfrm>
                    <a:prstGeom prst="rect">
                      <a:avLst/>
                    </a:prstGeom>
                    <a:ln w="228600" cap="sq" cmpd="thickThin">
                      <a:noFill/>
                      <a:prstDash val="solid"/>
                      <a:miter lim="800000"/>
                    </a:ln>
                    <a:effectLst>
                      <a:innerShdw blurRad="76200">
                        <a:srgbClr val="000000"/>
                      </a:innerShdw>
                      <a:softEdge rad="31750"/>
                    </a:effectLst>
                  </pic:spPr>
                </pic:pic>
              </a:graphicData>
            </a:graphic>
          </wp:inline>
        </w:drawing>
      </w:r>
    </w:p>
    <w:p w14:paraId="6410A17C" w14:textId="06C88016" w:rsidR="00E677A1" w:rsidRDefault="002D4472" w:rsidP="006B11F4">
      <w:pPr>
        <w:spacing w:line="240" w:lineRule="auto"/>
        <w:jc w:val="both"/>
        <w:rPr>
          <w:rFonts w:cs="Times New Roman"/>
          <w:sz w:val="22"/>
          <w:szCs w:val="22"/>
        </w:rPr>
      </w:pPr>
      <w:r w:rsidRPr="00B246CC">
        <w:rPr>
          <w:rFonts w:cs="Times New Roman"/>
          <w:sz w:val="22"/>
          <w:szCs w:val="22"/>
        </w:rPr>
        <w:lastRenderedPageBreak/>
        <w:t xml:space="preserve">La faiblesse des mécanismes chargés d’assurer la convergence budgétaire au sein de l’UEM </w:t>
      </w:r>
      <w:r w:rsidR="00211932">
        <w:rPr>
          <w:rFonts w:cs="Times New Roman"/>
          <w:sz w:val="22"/>
          <w:szCs w:val="22"/>
        </w:rPr>
        <w:t>est à l’origine de</w:t>
      </w:r>
      <w:r w:rsidRPr="00B246CC">
        <w:rPr>
          <w:rFonts w:cs="Times New Roman"/>
          <w:sz w:val="22"/>
          <w:szCs w:val="22"/>
        </w:rPr>
        <w:t xml:space="preserve"> ce relâchement </w:t>
      </w:r>
      <w:r w:rsidR="00211932">
        <w:rPr>
          <w:rFonts w:cs="Times New Roman"/>
          <w:sz w:val="22"/>
          <w:szCs w:val="22"/>
        </w:rPr>
        <w:t>des politiques budgétaires :</w:t>
      </w:r>
      <w:r w:rsidRPr="00B246CC">
        <w:rPr>
          <w:rFonts w:cs="Times New Roman"/>
          <w:sz w:val="22"/>
          <w:szCs w:val="22"/>
        </w:rPr>
        <w:t xml:space="preserve"> </w:t>
      </w:r>
      <w:r w:rsidRPr="00B246CC">
        <w:rPr>
          <w:rFonts w:cs="Times New Roman"/>
          <w:i/>
          <w:sz w:val="22"/>
          <w:szCs w:val="22"/>
        </w:rPr>
        <w:t xml:space="preserve">« c’était l’objectif du </w:t>
      </w:r>
      <w:r w:rsidRPr="00B246CC">
        <w:rPr>
          <w:rFonts w:cs="Times New Roman"/>
          <w:sz w:val="22"/>
          <w:szCs w:val="22"/>
        </w:rPr>
        <w:t>Pacte de stabilité et de croissance</w:t>
      </w:r>
      <w:r w:rsidRPr="00B246CC">
        <w:rPr>
          <w:rFonts w:cs="Times New Roman"/>
          <w:i/>
          <w:sz w:val="22"/>
          <w:szCs w:val="22"/>
        </w:rPr>
        <w:t xml:space="preserve"> mais comme ce sont l’Allemagne et la France qui ont péché en premier, c’est tombé à l’eau » </w:t>
      </w:r>
      <w:r w:rsidRPr="00B246CC">
        <w:rPr>
          <w:rFonts w:cs="Times New Roman"/>
          <w:color w:val="000000" w:themeColor="text1"/>
          <w:sz w:val="22"/>
          <w:szCs w:val="22"/>
        </w:rPr>
        <w:t>(P1).</w:t>
      </w:r>
      <w:r w:rsidRPr="00B246CC">
        <w:rPr>
          <w:rFonts w:cs="Times New Roman"/>
          <w:sz w:val="22"/>
          <w:szCs w:val="22"/>
        </w:rPr>
        <w:t xml:space="preserve"> En 2003, la France et l’Allemagne se sont en e</w:t>
      </w:r>
      <w:r w:rsidR="00432DF3">
        <w:rPr>
          <w:rFonts w:cs="Times New Roman"/>
          <w:sz w:val="22"/>
          <w:szCs w:val="22"/>
        </w:rPr>
        <w:t>ffet coalisées au</w:t>
      </w:r>
      <w:r w:rsidRPr="00B246CC">
        <w:rPr>
          <w:rFonts w:cs="Times New Roman"/>
          <w:sz w:val="22"/>
          <w:szCs w:val="22"/>
        </w:rPr>
        <w:t xml:space="preserve"> Conseil</w:t>
      </w:r>
      <w:r w:rsidR="00432DF3">
        <w:rPr>
          <w:rFonts w:cs="Times New Roman"/>
          <w:sz w:val="22"/>
          <w:szCs w:val="22"/>
        </w:rPr>
        <w:t xml:space="preserve"> des ministres</w:t>
      </w:r>
      <w:r w:rsidRPr="00B246CC">
        <w:rPr>
          <w:rFonts w:cs="Times New Roman"/>
          <w:sz w:val="22"/>
          <w:szCs w:val="22"/>
        </w:rPr>
        <w:t xml:space="preserve"> pour rejeter les recommandations de sanction émises par la Commission à leur encontre. Cet acte a conduit à la suspension du Pacte, </w:t>
      </w:r>
      <w:r w:rsidR="00432DF3">
        <w:rPr>
          <w:rFonts w:cs="Times New Roman"/>
          <w:sz w:val="22"/>
          <w:szCs w:val="22"/>
        </w:rPr>
        <w:t>qui sera</w:t>
      </w:r>
      <w:r w:rsidR="00211932">
        <w:rPr>
          <w:rFonts w:cs="Times New Roman"/>
          <w:sz w:val="22"/>
          <w:szCs w:val="22"/>
        </w:rPr>
        <w:t xml:space="preserve"> r</w:t>
      </w:r>
      <w:r w:rsidRPr="00B246CC">
        <w:rPr>
          <w:rFonts w:cs="Times New Roman"/>
          <w:sz w:val="22"/>
          <w:szCs w:val="22"/>
        </w:rPr>
        <w:t>éform</w:t>
      </w:r>
      <w:r w:rsidR="00211932">
        <w:rPr>
          <w:rFonts w:cs="Times New Roman"/>
          <w:sz w:val="22"/>
          <w:szCs w:val="22"/>
        </w:rPr>
        <w:t>é</w:t>
      </w:r>
      <w:r w:rsidRPr="00B246CC">
        <w:rPr>
          <w:rFonts w:cs="Times New Roman"/>
          <w:sz w:val="22"/>
          <w:szCs w:val="22"/>
        </w:rPr>
        <w:t xml:space="preserve"> </w:t>
      </w:r>
      <w:r w:rsidR="003464F6">
        <w:rPr>
          <w:rFonts w:cs="Times New Roman"/>
          <w:sz w:val="22"/>
          <w:szCs w:val="22"/>
        </w:rPr>
        <w:t>en</w:t>
      </w:r>
      <w:r w:rsidRPr="00B246CC">
        <w:rPr>
          <w:rFonts w:cs="Times New Roman"/>
          <w:sz w:val="22"/>
          <w:szCs w:val="22"/>
        </w:rPr>
        <w:t xml:space="preserve"> 2005. Dans de telles conditions, </w:t>
      </w:r>
      <w:r w:rsidRPr="00B246CC">
        <w:rPr>
          <w:rFonts w:cs="Times New Roman"/>
          <w:i/>
          <w:sz w:val="22"/>
          <w:szCs w:val="22"/>
        </w:rPr>
        <w:t xml:space="preserve">« il ne faut pas avoir fait Normale Sup’ pour se dire qu’on peut laisser filer la discipline budgétaire » </w:t>
      </w:r>
      <w:r w:rsidRPr="00B246CC">
        <w:rPr>
          <w:rFonts w:cs="Times New Roman"/>
          <w:sz w:val="22"/>
          <w:szCs w:val="22"/>
        </w:rPr>
        <w:t>(E1).</w:t>
      </w:r>
    </w:p>
    <w:p w14:paraId="6D100E5A" w14:textId="77777777" w:rsidR="0047255A" w:rsidRPr="004F2163" w:rsidRDefault="0047255A" w:rsidP="006B11F4">
      <w:pPr>
        <w:spacing w:line="240" w:lineRule="auto"/>
        <w:jc w:val="both"/>
        <w:rPr>
          <w:rFonts w:cs="Times New Roman"/>
          <w:sz w:val="22"/>
          <w:szCs w:val="22"/>
        </w:rPr>
      </w:pPr>
    </w:p>
    <w:p w14:paraId="1C0379A6" w14:textId="4BEAA09F" w:rsidR="009307E5" w:rsidRPr="004F2163" w:rsidRDefault="002D4472" w:rsidP="006B1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imes New Roman"/>
          <w:sz w:val="22"/>
          <w:szCs w:val="22"/>
          <w:lang w:val="fr-BE"/>
        </w:rPr>
      </w:pPr>
      <w:r w:rsidRPr="00B246CC">
        <w:rPr>
          <w:rFonts w:cs="Times New Roman"/>
          <w:sz w:val="22"/>
          <w:szCs w:val="22"/>
          <w:lang w:val="fr-BE"/>
        </w:rPr>
        <w:t xml:space="preserve">Les mesures adoptées dans le prolongement de la crise financière </w:t>
      </w:r>
      <w:r w:rsidR="001B414A">
        <w:rPr>
          <w:rFonts w:cs="Times New Roman"/>
          <w:sz w:val="22"/>
          <w:szCs w:val="22"/>
          <w:lang w:val="fr-BE"/>
        </w:rPr>
        <w:t xml:space="preserve">afin </w:t>
      </w:r>
      <w:r w:rsidRPr="00B246CC">
        <w:rPr>
          <w:rFonts w:cs="Times New Roman"/>
          <w:sz w:val="22"/>
          <w:szCs w:val="22"/>
          <w:lang w:val="fr-BE"/>
        </w:rPr>
        <w:t xml:space="preserve">de </w:t>
      </w:r>
      <w:r w:rsidRPr="00B246CC">
        <w:rPr>
          <w:rFonts w:cs="Times New Roman"/>
          <w:sz w:val="22"/>
          <w:szCs w:val="22"/>
        </w:rPr>
        <w:t>renforcer la coordination économique européenne</w:t>
      </w:r>
      <w:r w:rsidRPr="00B246CC">
        <w:rPr>
          <w:rFonts w:cs="Times New Roman"/>
          <w:sz w:val="22"/>
          <w:szCs w:val="22"/>
          <w:lang w:val="fr-BE"/>
        </w:rPr>
        <w:t xml:space="preserve"> ont toutefois mis fin à cette situation. Depuis l’entrée en vigueur de la « nouvelle gouvernance économique européenne » (Degryse, 2012 ; De Prest </w:t>
      </w:r>
      <w:r w:rsidRPr="00B246CC">
        <w:rPr>
          <w:rFonts w:cs="Times New Roman"/>
          <w:i/>
          <w:sz w:val="22"/>
          <w:szCs w:val="22"/>
          <w:lang w:val="fr-BE"/>
        </w:rPr>
        <w:t xml:space="preserve">et </w:t>
      </w:r>
      <w:proofErr w:type="gramStart"/>
      <w:r w:rsidRPr="00B246CC">
        <w:rPr>
          <w:rFonts w:cs="Times New Roman"/>
          <w:i/>
          <w:sz w:val="22"/>
          <w:szCs w:val="22"/>
          <w:lang w:val="fr-BE"/>
        </w:rPr>
        <w:t>al.</w:t>
      </w:r>
      <w:r w:rsidRPr="00B246CC">
        <w:rPr>
          <w:rFonts w:cs="Times New Roman"/>
          <w:sz w:val="22"/>
          <w:szCs w:val="22"/>
          <w:lang w:val="fr-BE"/>
        </w:rPr>
        <w:t>,</w:t>
      </w:r>
      <w:proofErr w:type="gramEnd"/>
      <w:r w:rsidRPr="00B246CC">
        <w:rPr>
          <w:rFonts w:cs="Times New Roman"/>
          <w:sz w:val="22"/>
          <w:szCs w:val="22"/>
          <w:lang w:val="fr-BE"/>
        </w:rPr>
        <w:t xml:space="preserve"> 2012), dont le </w:t>
      </w:r>
      <w:r w:rsidRPr="00B246CC">
        <w:rPr>
          <w:rFonts w:cs="Times New Roman"/>
          <w:i/>
          <w:sz w:val="22"/>
          <w:szCs w:val="22"/>
          <w:lang w:val="fr-BE"/>
        </w:rPr>
        <w:t>Six-Pack</w:t>
      </w:r>
      <w:r w:rsidRPr="00B246CC">
        <w:rPr>
          <w:rFonts w:cs="Times New Roman"/>
          <w:sz w:val="22"/>
          <w:szCs w:val="22"/>
          <w:lang w:val="fr-BE"/>
        </w:rPr>
        <w:t xml:space="preserve">, le </w:t>
      </w:r>
      <w:r w:rsidRPr="00B246CC">
        <w:rPr>
          <w:rFonts w:cs="Times New Roman"/>
          <w:i/>
          <w:sz w:val="22"/>
          <w:szCs w:val="22"/>
          <w:lang w:val="fr-BE"/>
        </w:rPr>
        <w:t>Two-Pack</w:t>
      </w:r>
      <w:r w:rsidRPr="00B246CC">
        <w:rPr>
          <w:rFonts w:cs="Times New Roman"/>
          <w:sz w:val="22"/>
          <w:szCs w:val="22"/>
          <w:lang w:val="fr-BE"/>
        </w:rPr>
        <w:t xml:space="preserve"> et le </w:t>
      </w:r>
      <w:r w:rsidRPr="00B246CC">
        <w:rPr>
          <w:rFonts w:cs="Times New Roman"/>
          <w:i/>
          <w:sz w:val="22"/>
          <w:szCs w:val="22"/>
          <w:lang w:val="fr-BE"/>
        </w:rPr>
        <w:t xml:space="preserve">Traité sur </w:t>
      </w:r>
      <w:r w:rsidRPr="00B246CC">
        <w:rPr>
          <w:rFonts w:cs="Times New Roman"/>
          <w:i/>
          <w:sz w:val="22"/>
          <w:szCs w:val="22"/>
        </w:rPr>
        <w:t>la stabilité, la coordination et la gouvernance au sein de l’UEM</w:t>
      </w:r>
      <w:r w:rsidRPr="00B246CC">
        <w:rPr>
          <w:rFonts w:cs="Times New Roman"/>
          <w:sz w:val="22"/>
          <w:szCs w:val="22"/>
        </w:rPr>
        <w:t xml:space="preserve"> (TSCG) constituent le versant budgétaire,</w:t>
      </w:r>
      <w:r w:rsidRPr="00B246CC">
        <w:rPr>
          <w:rFonts w:cs="Times New Roman"/>
          <w:i/>
          <w:sz w:val="22"/>
          <w:szCs w:val="22"/>
          <w:lang w:val="fr-BE"/>
        </w:rPr>
        <w:t xml:space="preserve"> « </w:t>
      </w:r>
      <w:r w:rsidRPr="00B246CC">
        <w:rPr>
          <w:rFonts w:cs="Times New Roman"/>
          <w:i/>
          <w:sz w:val="22"/>
          <w:szCs w:val="22"/>
          <w:lang w:val="fr-BE" w:eastAsia="en-US"/>
        </w:rPr>
        <w:t>les règles européennes sont beaucoup plus rigides. Il y a beaucoup moins de latitude laissée aux gouvernements sur l’impact et l’ampleur des réductions de déficit</w:t>
      </w:r>
      <w:r w:rsidRPr="00B246CC">
        <w:rPr>
          <w:rFonts w:cs="Times New Roman"/>
          <w:sz w:val="22"/>
          <w:szCs w:val="22"/>
          <w:lang w:val="fr-BE" w:eastAsia="en-US"/>
        </w:rPr>
        <w:t xml:space="preserve"> </w:t>
      </w:r>
      <w:r w:rsidRPr="00B246CC">
        <w:rPr>
          <w:rFonts w:cs="Times New Roman"/>
          <w:i/>
          <w:sz w:val="22"/>
          <w:szCs w:val="22"/>
          <w:lang w:val="fr-BE"/>
        </w:rPr>
        <w:t>»</w:t>
      </w:r>
      <w:r w:rsidRPr="00B246CC">
        <w:rPr>
          <w:rFonts w:cs="Times New Roman"/>
          <w:sz w:val="22"/>
          <w:szCs w:val="22"/>
          <w:lang w:val="fr-BE"/>
        </w:rPr>
        <w:t xml:space="preserve"> (E10). </w:t>
      </w:r>
    </w:p>
    <w:p w14:paraId="4C5E9EF5" w14:textId="77777777" w:rsidR="003464F6" w:rsidRDefault="003464F6" w:rsidP="006B11F4">
      <w:pPr>
        <w:spacing w:line="240" w:lineRule="auto"/>
        <w:jc w:val="both"/>
        <w:rPr>
          <w:rFonts w:cs="Times New Roman"/>
          <w:sz w:val="22"/>
          <w:szCs w:val="22"/>
          <w:lang w:val="fr-BE"/>
        </w:rPr>
      </w:pPr>
    </w:p>
    <w:p w14:paraId="65050C0C" w14:textId="77777777" w:rsidR="00BC42DD" w:rsidRDefault="00211932">
      <w:pPr>
        <w:spacing w:line="240" w:lineRule="auto"/>
        <w:jc w:val="both"/>
        <w:rPr>
          <w:rFonts w:cs="Times New Roman"/>
          <w:sz w:val="22"/>
          <w:szCs w:val="22"/>
          <w:lang w:val="fr-BE"/>
        </w:rPr>
      </w:pPr>
      <w:r>
        <w:rPr>
          <w:rFonts w:cs="Times New Roman"/>
          <w:sz w:val="22"/>
          <w:szCs w:val="22"/>
          <w:lang w:val="fr-BE"/>
        </w:rPr>
        <w:t>Aujourd’hui</w:t>
      </w:r>
      <w:r w:rsidR="007E00D9" w:rsidRPr="00B26A22">
        <w:rPr>
          <w:rFonts w:cs="Times New Roman"/>
          <w:sz w:val="22"/>
          <w:szCs w:val="22"/>
          <w:lang w:val="fr-BE"/>
        </w:rPr>
        <w:t>, alors</w:t>
      </w:r>
      <w:r w:rsidR="003464F6" w:rsidRPr="00B26A22">
        <w:rPr>
          <w:rFonts w:cs="Times New Roman"/>
          <w:sz w:val="22"/>
          <w:szCs w:val="22"/>
          <w:lang w:val="fr-BE"/>
        </w:rPr>
        <w:t xml:space="preserve"> que </w:t>
      </w:r>
      <w:r w:rsidR="003464F6" w:rsidRPr="001B579A">
        <w:rPr>
          <w:rFonts w:cs="Times New Roman"/>
          <w:sz w:val="22"/>
          <w:szCs w:val="22"/>
        </w:rPr>
        <w:t xml:space="preserve">la </w:t>
      </w:r>
      <w:r w:rsidR="003464F6" w:rsidRPr="001B579A">
        <w:rPr>
          <w:rFonts w:cs="Times New Roman"/>
          <w:i/>
          <w:sz w:val="22"/>
          <w:szCs w:val="22"/>
        </w:rPr>
        <w:t>procédure de déficit excessif</w:t>
      </w:r>
      <w:r w:rsidR="003464F6" w:rsidRPr="001B579A">
        <w:rPr>
          <w:rFonts w:cs="Times New Roman"/>
          <w:sz w:val="22"/>
          <w:szCs w:val="22"/>
          <w:lang w:val="fr-BE"/>
        </w:rPr>
        <w:t xml:space="preserve"> est détaillée avec beaucoup plus de </w:t>
      </w:r>
      <w:r>
        <w:rPr>
          <w:rFonts w:cs="Times New Roman"/>
          <w:sz w:val="22"/>
          <w:szCs w:val="22"/>
          <w:lang w:val="fr-BE"/>
        </w:rPr>
        <w:t>précision</w:t>
      </w:r>
      <w:r w:rsidR="003464F6" w:rsidRPr="001B579A">
        <w:rPr>
          <w:rFonts w:cs="Times New Roman"/>
          <w:sz w:val="22"/>
          <w:szCs w:val="22"/>
          <w:lang w:val="fr-BE"/>
        </w:rPr>
        <w:t xml:space="preserve"> et que les pouvoirs de la Commission ont été accrus</w:t>
      </w:r>
      <w:r w:rsidR="003464F6" w:rsidRPr="004F2163">
        <w:rPr>
          <w:rStyle w:val="Appelnotedebasdep"/>
          <w:rFonts w:cs="Times New Roman"/>
          <w:sz w:val="22"/>
          <w:szCs w:val="22"/>
          <w:lang w:val="fr-BE"/>
        </w:rPr>
        <w:footnoteReference w:id="21"/>
      </w:r>
      <w:r w:rsidR="003464F6">
        <w:rPr>
          <w:rFonts w:cs="Times New Roman"/>
          <w:sz w:val="22"/>
          <w:szCs w:val="22"/>
          <w:lang w:val="fr-BE"/>
        </w:rPr>
        <w:t xml:space="preserve">, </w:t>
      </w:r>
      <w:r w:rsidR="003464F6" w:rsidRPr="001B579A">
        <w:rPr>
          <w:rFonts w:cs="Times New Roman"/>
          <w:sz w:val="22"/>
          <w:szCs w:val="22"/>
          <w:lang w:val="fr-BE"/>
        </w:rPr>
        <w:t xml:space="preserve">les instances européennes disposent </w:t>
      </w:r>
      <w:r>
        <w:rPr>
          <w:rFonts w:cs="Times New Roman"/>
          <w:sz w:val="22"/>
          <w:szCs w:val="22"/>
          <w:lang w:val="fr-BE"/>
        </w:rPr>
        <w:t xml:space="preserve">effectivement </w:t>
      </w:r>
      <w:r w:rsidR="003464F6" w:rsidRPr="001B579A">
        <w:rPr>
          <w:rFonts w:cs="Times New Roman"/>
          <w:sz w:val="22"/>
          <w:szCs w:val="22"/>
          <w:lang w:val="fr-BE"/>
        </w:rPr>
        <w:t xml:space="preserve">d’un </w:t>
      </w:r>
      <w:r w:rsidR="003464F6" w:rsidRPr="001B579A">
        <w:rPr>
          <w:rFonts w:cs="Times New Roman"/>
          <w:i/>
          <w:sz w:val="22"/>
          <w:szCs w:val="22"/>
          <w:lang w:val="fr-BE"/>
        </w:rPr>
        <w:t>« bâton pour punir les mauvais élèves » </w:t>
      </w:r>
      <w:r w:rsidR="003464F6" w:rsidRPr="001B579A">
        <w:rPr>
          <w:rFonts w:cs="Times New Roman"/>
          <w:sz w:val="22"/>
          <w:szCs w:val="22"/>
          <w:lang w:val="fr-BE"/>
        </w:rPr>
        <w:t>(E5)</w:t>
      </w:r>
      <w:r>
        <w:rPr>
          <w:rFonts w:cs="Times New Roman"/>
          <w:sz w:val="22"/>
          <w:szCs w:val="22"/>
          <w:lang w:val="fr-BE"/>
        </w:rPr>
        <w:t xml:space="preserve">. </w:t>
      </w:r>
      <w:r w:rsidRPr="00DD1451">
        <w:rPr>
          <w:rFonts w:cs="Times New Roman"/>
          <w:sz w:val="22"/>
          <w:szCs w:val="22"/>
          <w:lang w:val="fr-BE"/>
        </w:rPr>
        <w:t xml:space="preserve">À la différence des années 2000, </w:t>
      </w:r>
      <w:r>
        <w:rPr>
          <w:rFonts w:cs="Times New Roman"/>
          <w:sz w:val="22"/>
          <w:szCs w:val="22"/>
          <w:lang w:val="fr-BE"/>
        </w:rPr>
        <w:t xml:space="preserve">l’effectivité de </w:t>
      </w:r>
      <w:r w:rsidRPr="001B579A">
        <w:rPr>
          <w:rFonts w:cs="Times New Roman"/>
          <w:sz w:val="22"/>
          <w:szCs w:val="22"/>
          <w:lang w:val="fr-BE"/>
        </w:rPr>
        <w:t>la contrainte budgétaire européenne</w:t>
      </w:r>
      <w:r>
        <w:rPr>
          <w:rFonts w:cs="Times New Roman"/>
          <w:sz w:val="22"/>
          <w:szCs w:val="22"/>
          <w:lang w:val="fr-BE"/>
        </w:rPr>
        <w:t xml:space="preserve"> est donc bien réelle de nos jours : </w:t>
      </w:r>
      <w:r w:rsidRPr="00211932">
        <w:rPr>
          <w:rFonts w:cs="Times New Roman"/>
          <w:i/>
          <w:sz w:val="22"/>
          <w:szCs w:val="22"/>
          <w:lang w:val="fr-BE"/>
        </w:rPr>
        <w:t>«</w:t>
      </w:r>
      <w:r>
        <w:rPr>
          <w:rFonts w:cs="Times New Roman"/>
          <w:sz w:val="22"/>
          <w:szCs w:val="22"/>
          <w:lang w:val="fr-BE"/>
        </w:rPr>
        <w:t> </w:t>
      </w:r>
      <w:r w:rsidRPr="001B579A">
        <w:rPr>
          <w:rFonts w:cs="Times New Roman"/>
          <w:i/>
          <w:sz w:val="22"/>
          <w:szCs w:val="22"/>
          <w:lang w:val="fr-BE"/>
        </w:rPr>
        <w:t xml:space="preserve">on change de monde » </w:t>
      </w:r>
      <w:r w:rsidRPr="001B579A">
        <w:rPr>
          <w:rFonts w:cs="Times New Roman"/>
          <w:sz w:val="22"/>
          <w:szCs w:val="22"/>
          <w:lang w:val="fr-BE"/>
        </w:rPr>
        <w:t xml:space="preserve">(E4) en matière de surveillance budgétaire. </w:t>
      </w:r>
    </w:p>
    <w:p w14:paraId="0DAC098B" w14:textId="77777777" w:rsidR="00BE5630" w:rsidRPr="004F2163" w:rsidRDefault="00BE5630" w:rsidP="006B11F4">
      <w:pPr>
        <w:spacing w:line="240" w:lineRule="auto"/>
        <w:jc w:val="both"/>
        <w:rPr>
          <w:rFonts w:cs="Times New Roman"/>
          <w:sz w:val="22"/>
          <w:szCs w:val="22"/>
        </w:rPr>
      </w:pPr>
    </w:p>
    <w:p w14:paraId="1BF6E387" w14:textId="77777777" w:rsidR="00211474" w:rsidRPr="004F2163" w:rsidRDefault="002D4472" w:rsidP="00BE5630">
      <w:pPr>
        <w:spacing w:line="240" w:lineRule="auto"/>
        <w:rPr>
          <w:rFonts w:cs="Times New Roman"/>
          <w:b/>
          <w:i/>
          <w:sz w:val="22"/>
          <w:szCs w:val="22"/>
          <w:lang w:val="fr-BE"/>
        </w:rPr>
      </w:pPr>
      <w:r w:rsidRPr="00B246CC">
        <w:rPr>
          <w:rFonts w:cs="Times New Roman"/>
          <w:b/>
          <w:i/>
          <w:sz w:val="22"/>
          <w:szCs w:val="22"/>
          <w:lang w:val="fr-BE"/>
        </w:rPr>
        <w:t>III.2.2. Les risques sur les marchés financiers</w:t>
      </w:r>
    </w:p>
    <w:p w14:paraId="69837733" w14:textId="77777777" w:rsidR="00BE5630" w:rsidRPr="004F2163" w:rsidRDefault="00BE5630" w:rsidP="006B11F4">
      <w:pPr>
        <w:spacing w:line="240" w:lineRule="auto"/>
        <w:jc w:val="both"/>
        <w:rPr>
          <w:rFonts w:cs="Times New Roman"/>
          <w:sz w:val="22"/>
          <w:szCs w:val="22"/>
        </w:rPr>
      </w:pPr>
    </w:p>
    <w:p w14:paraId="7380D277" w14:textId="77777777" w:rsidR="00D16C25" w:rsidRPr="004F2163" w:rsidRDefault="002D4472" w:rsidP="006B11F4">
      <w:pPr>
        <w:spacing w:line="240" w:lineRule="auto"/>
        <w:jc w:val="both"/>
        <w:rPr>
          <w:rFonts w:cs="Times New Roman"/>
          <w:sz w:val="22"/>
          <w:szCs w:val="22"/>
        </w:rPr>
      </w:pPr>
      <w:r w:rsidRPr="00B246CC">
        <w:rPr>
          <w:rFonts w:cs="Times New Roman"/>
          <w:sz w:val="22"/>
          <w:szCs w:val="22"/>
        </w:rPr>
        <w:t>En raison de l’état préoccupant de ses finances publiques, la Belgique n’a pas été épargnée par les spéculations qui ont affecté le système monétaire européen durant l’été 1993 (BNB, 1994). Afin de maintenir la parité entre le franc belge et le mark allemand, jugée indispensable à la convergence</w:t>
      </w:r>
      <w:r w:rsidR="004679D7" w:rsidRPr="004F2163">
        <w:rPr>
          <w:rStyle w:val="Appelnotedebasdep"/>
          <w:rFonts w:cs="Times New Roman"/>
          <w:sz w:val="22"/>
          <w:szCs w:val="22"/>
        </w:rPr>
        <w:footnoteReference w:id="22"/>
      </w:r>
      <w:r w:rsidR="00EF3377" w:rsidRPr="004F2163">
        <w:rPr>
          <w:rFonts w:cs="Times New Roman"/>
          <w:sz w:val="22"/>
          <w:szCs w:val="22"/>
        </w:rPr>
        <w:t xml:space="preserve">, </w:t>
      </w:r>
      <w:r w:rsidRPr="00B246CC">
        <w:rPr>
          <w:rFonts w:cs="Times New Roman"/>
          <w:sz w:val="22"/>
          <w:szCs w:val="22"/>
        </w:rPr>
        <w:t xml:space="preserve">la </w:t>
      </w:r>
      <w:r w:rsidRPr="00B246CC">
        <w:rPr>
          <w:rFonts w:cs="Times New Roman"/>
          <w:sz w:val="22"/>
          <w:szCs w:val="22"/>
        </w:rPr>
        <w:lastRenderedPageBreak/>
        <w:t>Banque nationale de Belgique a dû se résoudre à intervenir à plusieurs reprises sur les marchés</w:t>
      </w:r>
      <w:r w:rsidR="008F377E">
        <w:rPr>
          <w:rFonts w:cs="Times New Roman"/>
          <w:sz w:val="22"/>
          <w:szCs w:val="22"/>
        </w:rPr>
        <w:t xml:space="preserve"> financiers</w:t>
      </w:r>
      <w:r w:rsidRPr="00B246CC">
        <w:rPr>
          <w:rFonts w:cs="Times New Roman"/>
          <w:sz w:val="22"/>
          <w:szCs w:val="22"/>
        </w:rPr>
        <w:t xml:space="preserve">, non sans conséquences : </w:t>
      </w:r>
      <w:r w:rsidRPr="00B246CC">
        <w:rPr>
          <w:rFonts w:cs="Times New Roman"/>
          <w:i/>
          <w:sz w:val="22"/>
          <w:szCs w:val="22"/>
        </w:rPr>
        <w:t>« on perdait des réserves de change tous les jours. On était presque à court de réserves de change fin août </w:t>
      </w:r>
      <w:r w:rsidRPr="00B246CC">
        <w:rPr>
          <w:rFonts w:cs="Times New Roman"/>
          <w:sz w:val="22"/>
          <w:szCs w:val="22"/>
        </w:rPr>
        <w:t xml:space="preserve">» (E4). Dans les sphères gouvernementales, il est alors devenu </w:t>
      </w:r>
      <w:r w:rsidRPr="00B246CC">
        <w:rPr>
          <w:rFonts w:cs="Times New Roman"/>
          <w:i/>
          <w:sz w:val="22"/>
          <w:szCs w:val="22"/>
        </w:rPr>
        <w:t xml:space="preserve">« clair comme de l’eau de roche qu’il fallait vraiment un signal pour montrer qu’on voulait tout faire pour arriver à l’objectif de l’UEM, ce qui est devenu le Plan global » </w:t>
      </w:r>
      <w:r w:rsidRPr="00B246CC">
        <w:rPr>
          <w:rFonts w:cs="Times New Roman"/>
          <w:color w:val="000000" w:themeColor="text1"/>
          <w:sz w:val="22"/>
          <w:szCs w:val="22"/>
        </w:rPr>
        <w:t xml:space="preserve">(P1). </w:t>
      </w:r>
      <w:r w:rsidRPr="00B246CC">
        <w:rPr>
          <w:rFonts w:cs="Times New Roman"/>
          <w:sz w:val="22"/>
          <w:szCs w:val="22"/>
        </w:rPr>
        <w:t>La diminution des taux d’intérêts consécutive à son adoption</w:t>
      </w:r>
      <w:r w:rsidRPr="00B246CC">
        <w:rPr>
          <w:rFonts w:cs="Times New Roman"/>
          <w:color w:val="000000" w:themeColor="text1"/>
          <w:sz w:val="22"/>
          <w:szCs w:val="22"/>
        </w:rPr>
        <w:t xml:space="preserve"> reflète</w:t>
      </w:r>
      <w:r w:rsidRPr="00B246CC">
        <w:rPr>
          <w:rFonts w:cs="Times New Roman"/>
          <w:sz w:val="22"/>
          <w:szCs w:val="22"/>
        </w:rPr>
        <w:t xml:space="preserve"> </w:t>
      </w:r>
      <w:r w:rsidR="008F377E">
        <w:rPr>
          <w:rFonts w:cs="Times New Roman"/>
          <w:sz w:val="22"/>
          <w:szCs w:val="22"/>
        </w:rPr>
        <w:t>un</w:t>
      </w:r>
      <w:r w:rsidRPr="00B246CC">
        <w:rPr>
          <w:rFonts w:cs="Times New Roman"/>
          <w:sz w:val="22"/>
          <w:szCs w:val="22"/>
        </w:rPr>
        <w:t xml:space="preserve"> regain de confiance des marchés envers la Belgique. </w:t>
      </w:r>
    </w:p>
    <w:p w14:paraId="3017117F" w14:textId="77777777" w:rsidR="00D16C25" w:rsidRPr="004F2163" w:rsidRDefault="00D16C25" w:rsidP="006B11F4">
      <w:pPr>
        <w:spacing w:line="240" w:lineRule="auto"/>
        <w:jc w:val="both"/>
        <w:rPr>
          <w:rFonts w:cs="Times New Roman"/>
          <w:sz w:val="22"/>
          <w:szCs w:val="22"/>
        </w:rPr>
      </w:pPr>
    </w:p>
    <w:p w14:paraId="00070F21" w14:textId="7BFB7AC5" w:rsidR="004F2163" w:rsidRPr="004F2163" w:rsidRDefault="002D4472" w:rsidP="006B11F4">
      <w:pPr>
        <w:spacing w:line="240" w:lineRule="auto"/>
        <w:jc w:val="both"/>
        <w:rPr>
          <w:rFonts w:cs="Times New Roman"/>
          <w:sz w:val="22"/>
          <w:szCs w:val="22"/>
        </w:rPr>
      </w:pPr>
      <w:r w:rsidRPr="00B246CC">
        <w:rPr>
          <w:rFonts w:cs="Times New Roman"/>
          <w:sz w:val="22"/>
          <w:szCs w:val="22"/>
          <w:lang w:val="fr-BE"/>
        </w:rPr>
        <w:t xml:space="preserve">Le lancement de l’UEM a prolongé cette période de faibles taux d’intérêts, qui s’est étendue à l’ensemble des membres de la zone euro. </w:t>
      </w:r>
      <w:r w:rsidR="009A0751">
        <w:rPr>
          <w:rFonts w:cs="Times New Roman"/>
          <w:sz w:val="22"/>
          <w:szCs w:val="22"/>
          <w:lang w:val="fr-BE"/>
        </w:rPr>
        <w:t>Entre janvier 2001 et octobre</w:t>
      </w:r>
      <w:r w:rsidRPr="00B246CC">
        <w:rPr>
          <w:rFonts w:cs="Times New Roman"/>
          <w:sz w:val="22"/>
          <w:szCs w:val="22"/>
          <w:lang w:val="fr-BE"/>
        </w:rPr>
        <w:t xml:space="preserve"> 2008, les marchés financiers n’ont </w:t>
      </w:r>
      <w:r w:rsidR="002D259B">
        <w:rPr>
          <w:rFonts w:cs="Times New Roman"/>
          <w:sz w:val="22"/>
          <w:szCs w:val="22"/>
          <w:lang w:val="fr-BE"/>
        </w:rPr>
        <w:t xml:space="preserve">pratiquement </w:t>
      </w:r>
      <w:r w:rsidRPr="00B246CC">
        <w:rPr>
          <w:rFonts w:cs="Times New Roman"/>
          <w:sz w:val="22"/>
          <w:szCs w:val="22"/>
          <w:lang w:val="fr-BE"/>
        </w:rPr>
        <w:t xml:space="preserve">plus opéré de distinction entre </w:t>
      </w:r>
      <w:r w:rsidR="00F51E4C">
        <w:rPr>
          <w:rFonts w:cs="Times New Roman"/>
          <w:sz w:val="22"/>
          <w:szCs w:val="22"/>
          <w:lang w:val="fr-BE"/>
        </w:rPr>
        <w:t>l</w:t>
      </w:r>
      <w:r w:rsidRPr="00B246CC">
        <w:rPr>
          <w:rFonts w:cs="Times New Roman"/>
          <w:sz w:val="22"/>
          <w:szCs w:val="22"/>
          <w:lang w:val="fr-BE"/>
        </w:rPr>
        <w:t xml:space="preserve">es obligations à long terme émises par des États partageant la même monnaie, </w:t>
      </w:r>
      <w:r w:rsidR="001B414A">
        <w:rPr>
          <w:rFonts w:cs="Times New Roman"/>
          <w:sz w:val="22"/>
          <w:szCs w:val="22"/>
          <w:lang w:val="fr-BE"/>
        </w:rPr>
        <w:t>ce qui a induit</w:t>
      </w:r>
      <w:r w:rsidRPr="00B246CC">
        <w:rPr>
          <w:rFonts w:cs="Times New Roman"/>
          <w:sz w:val="22"/>
          <w:szCs w:val="22"/>
          <w:lang w:val="fr-BE"/>
        </w:rPr>
        <w:t xml:space="preserve"> une convergence à la baisse </w:t>
      </w:r>
      <w:r w:rsidR="00F51E4C">
        <w:rPr>
          <w:rFonts w:cs="Times New Roman"/>
          <w:sz w:val="22"/>
          <w:szCs w:val="22"/>
          <w:lang w:val="fr-BE"/>
        </w:rPr>
        <w:t xml:space="preserve">des taux d’intérêts </w:t>
      </w:r>
      <w:r w:rsidRPr="00B246CC">
        <w:rPr>
          <w:rFonts w:cs="Times New Roman"/>
          <w:sz w:val="22"/>
          <w:szCs w:val="22"/>
          <w:lang w:val="fr-BE"/>
        </w:rPr>
        <w:t>et une amélioration mécanique du solde budgétaire nominal</w:t>
      </w:r>
      <w:r w:rsidR="00F51E4C">
        <w:rPr>
          <w:rFonts w:cs="Times New Roman"/>
          <w:sz w:val="22"/>
          <w:szCs w:val="22"/>
          <w:lang w:val="fr-BE"/>
        </w:rPr>
        <w:t xml:space="preserve">, </w:t>
      </w:r>
      <w:r w:rsidR="00B26A22" w:rsidRPr="00B26A22">
        <w:rPr>
          <w:rFonts w:cs="Times New Roman"/>
          <w:sz w:val="22"/>
          <w:szCs w:val="22"/>
          <w:lang w:val="fr-BE"/>
        </w:rPr>
        <w:t>toutes chose</w:t>
      </w:r>
      <w:r w:rsidR="001B414A">
        <w:rPr>
          <w:rFonts w:cs="Times New Roman"/>
          <w:sz w:val="22"/>
          <w:szCs w:val="22"/>
          <w:lang w:val="fr-BE"/>
        </w:rPr>
        <w:t>s restant égales par ailleurs</w:t>
      </w:r>
      <w:r w:rsidRPr="00B246CC">
        <w:rPr>
          <w:rFonts w:cs="Times New Roman"/>
          <w:sz w:val="22"/>
          <w:szCs w:val="22"/>
          <w:lang w:val="fr-BE"/>
        </w:rPr>
        <w:t>. En conséquence, « </w:t>
      </w:r>
      <w:r w:rsidRPr="00B246CC">
        <w:rPr>
          <w:rFonts w:cs="Times New Roman"/>
          <w:i/>
          <w:sz w:val="22"/>
          <w:szCs w:val="22"/>
          <w:lang w:val="fr-BE"/>
        </w:rPr>
        <w:t>le sentiment d’urgence s’est un peu estompé </w:t>
      </w:r>
      <w:r w:rsidR="003A2839">
        <w:rPr>
          <w:rFonts w:cs="Times New Roman"/>
          <w:sz w:val="22"/>
          <w:szCs w:val="22"/>
          <w:lang w:val="fr-BE"/>
        </w:rPr>
        <w:t>» (E2) et les</w:t>
      </w:r>
      <w:r w:rsidRPr="00B246CC">
        <w:rPr>
          <w:rFonts w:cs="Times New Roman"/>
          <w:sz w:val="22"/>
          <w:szCs w:val="22"/>
          <w:lang w:val="fr-BE"/>
        </w:rPr>
        <w:t xml:space="preserve"> pressions à réformer se sont amoindries.</w:t>
      </w:r>
    </w:p>
    <w:p w14:paraId="29DC1E3C" w14:textId="77777777" w:rsidR="00B9706F" w:rsidRPr="004F2163" w:rsidRDefault="00B9706F" w:rsidP="006B11F4">
      <w:pPr>
        <w:spacing w:line="240" w:lineRule="auto"/>
        <w:jc w:val="both"/>
        <w:rPr>
          <w:rFonts w:cs="Times New Roman"/>
          <w:sz w:val="22"/>
          <w:szCs w:val="22"/>
        </w:rPr>
      </w:pPr>
    </w:p>
    <w:p w14:paraId="7C80B4F1" w14:textId="77777777" w:rsidR="00A03C9A" w:rsidRPr="004F2163" w:rsidRDefault="002D4472" w:rsidP="006B11F4">
      <w:pPr>
        <w:spacing w:line="240" w:lineRule="auto"/>
        <w:jc w:val="both"/>
        <w:rPr>
          <w:rFonts w:cs="Times New Roman"/>
          <w:sz w:val="22"/>
          <w:szCs w:val="22"/>
          <w:lang w:val="fr-BE" w:eastAsia="en-US"/>
        </w:rPr>
      </w:pPr>
      <w:r w:rsidRPr="00B246CC">
        <w:rPr>
          <w:rFonts w:cs="Times New Roman"/>
          <w:sz w:val="22"/>
          <w:szCs w:val="22"/>
        </w:rPr>
        <w:t xml:space="preserve">Le déclenchement de la crise de la zone euro a </w:t>
      </w:r>
      <w:r w:rsidR="00F51E4C">
        <w:rPr>
          <w:rFonts w:cs="Times New Roman"/>
          <w:sz w:val="22"/>
          <w:szCs w:val="22"/>
        </w:rPr>
        <w:t>brusquement</w:t>
      </w:r>
      <w:r w:rsidRPr="00B246CC">
        <w:rPr>
          <w:rFonts w:cs="Times New Roman"/>
          <w:sz w:val="22"/>
          <w:szCs w:val="22"/>
        </w:rPr>
        <w:t xml:space="preserve"> mis </w:t>
      </w:r>
      <w:r w:rsidR="00F51E4C">
        <w:rPr>
          <w:rFonts w:cs="Times New Roman"/>
          <w:sz w:val="22"/>
          <w:szCs w:val="22"/>
        </w:rPr>
        <w:t>un terme</w:t>
      </w:r>
      <w:r w:rsidRPr="00B246CC">
        <w:rPr>
          <w:rFonts w:cs="Times New Roman"/>
          <w:sz w:val="22"/>
          <w:szCs w:val="22"/>
        </w:rPr>
        <w:t xml:space="preserve"> à </w:t>
      </w:r>
      <w:r w:rsidR="00F51E4C">
        <w:rPr>
          <w:rFonts w:cs="Times New Roman"/>
          <w:sz w:val="22"/>
          <w:szCs w:val="22"/>
        </w:rPr>
        <w:t>c</w:t>
      </w:r>
      <w:r w:rsidRPr="00B246CC">
        <w:rPr>
          <w:rFonts w:cs="Times New Roman"/>
          <w:sz w:val="22"/>
          <w:szCs w:val="22"/>
        </w:rPr>
        <w:t>ette indifférenciation. Dès la fin de l’année 2008, les pays périphériques ont e</w:t>
      </w:r>
      <w:r w:rsidR="00B26A22">
        <w:rPr>
          <w:rFonts w:cs="Times New Roman"/>
          <w:sz w:val="22"/>
          <w:szCs w:val="22"/>
        </w:rPr>
        <w:t>n effet vu leurs taux d’intérêt</w:t>
      </w:r>
      <w:r w:rsidRPr="00B246CC">
        <w:rPr>
          <w:rFonts w:cs="Times New Roman"/>
          <w:sz w:val="22"/>
          <w:szCs w:val="22"/>
        </w:rPr>
        <w:t xml:space="preserve"> croître significativement. Si la spéculation sur les taux de change n’est désormais plus possible, «  </w:t>
      </w:r>
      <w:r w:rsidRPr="00B246CC">
        <w:rPr>
          <w:rFonts w:cs="Times New Roman"/>
          <w:i/>
          <w:sz w:val="22"/>
          <w:szCs w:val="22"/>
        </w:rPr>
        <w:t xml:space="preserve">les marchés </w:t>
      </w:r>
      <w:r w:rsidR="002D259B">
        <w:rPr>
          <w:rFonts w:cs="Times New Roman"/>
          <w:i/>
          <w:sz w:val="22"/>
          <w:szCs w:val="22"/>
        </w:rPr>
        <w:t>[</w:t>
      </w:r>
      <w:r w:rsidRPr="00B246CC">
        <w:rPr>
          <w:rFonts w:cs="Times New Roman"/>
          <w:i/>
          <w:sz w:val="22"/>
          <w:szCs w:val="22"/>
        </w:rPr>
        <w:t>gardent</w:t>
      </w:r>
      <w:r w:rsidR="002D259B">
        <w:rPr>
          <w:rFonts w:cs="Times New Roman"/>
          <w:i/>
          <w:sz w:val="22"/>
          <w:szCs w:val="22"/>
        </w:rPr>
        <w:t>]</w:t>
      </w:r>
      <w:r w:rsidRPr="00B246CC">
        <w:rPr>
          <w:rFonts w:cs="Times New Roman"/>
          <w:i/>
          <w:sz w:val="22"/>
          <w:szCs w:val="22"/>
        </w:rPr>
        <w:t xml:space="preserve"> la possibilité de jouer les dettes publiques les unes contre les autres en demandant des primes beaucoup plus élevées, par exemple aux pays du sud de l’Europe </w:t>
      </w:r>
      <w:r w:rsidR="00B26A22">
        <w:rPr>
          <w:rFonts w:cs="Times New Roman"/>
          <w:sz w:val="22"/>
          <w:szCs w:val="22"/>
        </w:rPr>
        <w:t>» (E3). Les taux d’intérêt</w:t>
      </w:r>
      <w:r w:rsidRPr="00B246CC">
        <w:rPr>
          <w:rFonts w:cs="Times New Roman"/>
          <w:sz w:val="22"/>
          <w:szCs w:val="22"/>
        </w:rPr>
        <w:t xml:space="preserve"> des obligations émises par l’État belge se sont eux aussi tendus à la fin de l’année 2011, malgré une situation macroéconomique plus favorable que vingt ans plus tôt. L’explication </w:t>
      </w:r>
      <w:r w:rsidR="00F51E4C">
        <w:rPr>
          <w:rFonts w:cs="Times New Roman"/>
          <w:sz w:val="22"/>
          <w:szCs w:val="22"/>
        </w:rPr>
        <w:t>réside</w:t>
      </w:r>
      <w:r w:rsidRPr="00B246CC">
        <w:rPr>
          <w:rFonts w:cs="Times New Roman"/>
          <w:sz w:val="22"/>
          <w:szCs w:val="22"/>
        </w:rPr>
        <w:t xml:space="preserve"> cette fois dans des motifs d’ordre politique : « </w:t>
      </w:r>
      <w:r w:rsidRPr="00B246CC">
        <w:rPr>
          <w:rFonts w:cs="Times New Roman"/>
          <w:i/>
          <w:sz w:val="22"/>
          <w:szCs w:val="22"/>
        </w:rPr>
        <w:t>les marchés ont commencé à avoir des doutes car l’absence de gouvernement signifiait aussi absence d’assainissement, de réformes structurelles</w:t>
      </w:r>
      <w:r w:rsidRPr="00B246CC">
        <w:rPr>
          <w:rFonts w:cs="Times New Roman"/>
          <w:sz w:val="22"/>
          <w:szCs w:val="22"/>
        </w:rPr>
        <w:t> » (E7). L’adoption d’un programme budgétaire restrictif suffira cependant à apaiser</w:t>
      </w:r>
      <w:r w:rsidR="00F51E4C">
        <w:rPr>
          <w:rFonts w:cs="Times New Roman"/>
          <w:sz w:val="22"/>
          <w:szCs w:val="22"/>
        </w:rPr>
        <w:t xml:space="preserve"> ces derniers</w:t>
      </w:r>
      <w:r w:rsidRPr="00B246CC">
        <w:rPr>
          <w:rFonts w:cs="Times New Roman"/>
          <w:sz w:val="22"/>
          <w:szCs w:val="22"/>
        </w:rPr>
        <w:t xml:space="preserve">. </w:t>
      </w:r>
      <w:r w:rsidRPr="00B246CC">
        <w:rPr>
          <w:rFonts w:cs="Times New Roman"/>
          <w:sz w:val="22"/>
          <w:szCs w:val="22"/>
          <w:lang w:val="fr-BE" w:eastAsia="en-US"/>
        </w:rPr>
        <w:t xml:space="preserve">Si les situations rencontrées en 1993 et en 2011 diffèrent quelque peu, leur dynamique est </w:t>
      </w:r>
      <w:r w:rsidR="002D259B">
        <w:rPr>
          <w:rFonts w:cs="Times New Roman"/>
          <w:sz w:val="22"/>
          <w:szCs w:val="22"/>
          <w:lang w:val="fr-BE" w:eastAsia="en-US"/>
        </w:rPr>
        <w:t xml:space="preserve">cependant </w:t>
      </w:r>
      <w:r w:rsidRPr="00B246CC">
        <w:rPr>
          <w:rFonts w:cs="Times New Roman"/>
          <w:sz w:val="22"/>
          <w:szCs w:val="22"/>
          <w:lang w:val="fr-BE" w:eastAsia="en-US"/>
        </w:rPr>
        <w:t xml:space="preserve">identique : dans les deux cas, </w:t>
      </w:r>
      <w:r w:rsidR="002D259B">
        <w:rPr>
          <w:rFonts w:cs="Times New Roman"/>
          <w:sz w:val="22"/>
          <w:szCs w:val="22"/>
          <w:lang w:val="fr-BE" w:eastAsia="en-US"/>
        </w:rPr>
        <w:t xml:space="preserve">les craintes quant à la situation </w:t>
      </w:r>
      <w:r w:rsidR="00F51E4C">
        <w:rPr>
          <w:rFonts w:cs="Times New Roman"/>
          <w:sz w:val="22"/>
          <w:szCs w:val="22"/>
          <w:lang w:val="fr-BE" w:eastAsia="en-US"/>
        </w:rPr>
        <w:t xml:space="preserve">financière </w:t>
      </w:r>
      <w:r w:rsidR="002D259B">
        <w:rPr>
          <w:rFonts w:cs="Times New Roman"/>
          <w:sz w:val="22"/>
          <w:szCs w:val="22"/>
          <w:lang w:val="fr-BE" w:eastAsia="en-US"/>
        </w:rPr>
        <w:t xml:space="preserve">de </w:t>
      </w:r>
      <w:r w:rsidRPr="00B246CC">
        <w:rPr>
          <w:rFonts w:cs="Times New Roman"/>
          <w:sz w:val="22"/>
          <w:szCs w:val="22"/>
          <w:lang w:val="fr-BE" w:eastAsia="en-US"/>
        </w:rPr>
        <w:t xml:space="preserve">la Belgique </w:t>
      </w:r>
      <w:r w:rsidR="002D259B">
        <w:rPr>
          <w:rFonts w:cs="Times New Roman"/>
          <w:sz w:val="22"/>
          <w:szCs w:val="22"/>
          <w:lang w:val="fr-BE" w:eastAsia="en-US"/>
        </w:rPr>
        <w:t>ont provoqué</w:t>
      </w:r>
      <w:r w:rsidRPr="00B246CC">
        <w:rPr>
          <w:rFonts w:cs="Times New Roman"/>
          <w:sz w:val="22"/>
          <w:szCs w:val="22"/>
          <w:lang w:val="fr-BE" w:eastAsia="en-US"/>
        </w:rPr>
        <w:t xml:space="preserve"> une réaction vigoureuse d</w:t>
      </w:r>
      <w:r w:rsidR="00F51E4C">
        <w:rPr>
          <w:rFonts w:cs="Times New Roman"/>
          <w:sz w:val="22"/>
          <w:szCs w:val="22"/>
          <w:lang w:val="fr-BE" w:eastAsia="en-US"/>
        </w:rPr>
        <w:t>u</w:t>
      </w:r>
      <w:r w:rsidRPr="00B246CC">
        <w:rPr>
          <w:rFonts w:cs="Times New Roman"/>
          <w:sz w:val="22"/>
          <w:szCs w:val="22"/>
          <w:lang w:val="fr-BE" w:eastAsia="en-US"/>
        </w:rPr>
        <w:t xml:space="preserve"> gouvernement (le Plan global et le budget initial 2012)</w:t>
      </w:r>
      <w:r w:rsidR="00F51E4C">
        <w:rPr>
          <w:rFonts w:cs="Times New Roman"/>
          <w:sz w:val="22"/>
          <w:szCs w:val="22"/>
          <w:lang w:val="fr-BE" w:eastAsia="en-US"/>
        </w:rPr>
        <w:t>,</w:t>
      </w:r>
      <w:r w:rsidRPr="00B246CC">
        <w:rPr>
          <w:rFonts w:cs="Times New Roman"/>
          <w:sz w:val="22"/>
          <w:szCs w:val="22"/>
          <w:lang w:val="fr-BE" w:eastAsia="en-US"/>
        </w:rPr>
        <w:t xml:space="preserve"> </w:t>
      </w:r>
      <w:r w:rsidR="002D259B">
        <w:rPr>
          <w:rFonts w:cs="Times New Roman"/>
          <w:sz w:val="22"/>
          <w:szCs w:val="22"/>
          <w:lang w:val="fr-BE" w:eastAsia="en-US"/>
        </w:rPr>
        <w:t xml:space="preserve">qui a </w:t>
      </w:r>
      <w:r w:rsidR="00F51E4C">
        <w:rPr>
          <w:rFonts w:cs="Times New Roman"/>
          <w:sz w:val="22"/>
          <w:szCs w:val="22"/>
          <w:lang w:val="fr-BE" w:eastAsia="en-US"/>
        </w:rPr>
        <w:t>su convaincre</w:t>
      </w:r>
      <w:r w:rsidR="002D259B">
        <w:rPr>
          <w:rFonts w:cs="Times New Roman"/>
          <w:sz w:val="22"/>
          <w:szCs w:val="22"/>
          <w:lang w:val="fr-BE" w:eastAsia="en-US"/>
        </w:rPr>
        <w:t xml:space="preserve"> </w:t>
      </w:r>
      <w:r w:rsidRPr="00B246CC">
        <w:rPr>
          <w:rFonts w:cs="Times New Roman"/>
          <w:sz w:val="22"/>
          <w:szCs w:val="22"/>
          <w:lang w:val="fr-BE" w:eastAsia="en-US"/>
        </w:rPr>
        <w:t>les marchés financiers.</w:t>
      </w:r>
    </w:p>
    <w:p w14:paraId="70AA8486" w14:textId="77777777" w:rsidR="00BE5630" w:rsidRPr="004F2163" w:rsidRDefault="00BE5630" w:rsidP="006B11F4">
      <w:pPr>
        <w:spacing w:line="240" w:lineRule="auto"/>
        <w:jc w:val="both"/>
        <w:rPr>
          <w:rFonts w:cs="Times New Roman"/>
          <w:sz w:val="22"/>
          <w:szCs w:val="22"/>
        </w:rPr>
      </w:pPr>
    </w:p>
    <w:p w14:paraId="58AAF600" w14:textId="77777777" w:rsidR="00A03C9A" w:rsidRPr="004F2163" w:rsidRDefault="002D4472" w:rsidP="00BE5630">
      <w:pPr>
        <w:spacing w:line="240" w:lineRule="auto"/>
        <w:rPr>
          <w:rFonts w:cs="Times New Roman"/>
          <w:b/>
          <w:i/>
          <w:sz w:val="22"/>
          <w:szCs w:val="22"/>
          <w:lang w:val="fr-BE"/>
        </w:rPr>
      </w:pPr>
      <w:r w:rsidRPr="00B246CC">
        <w:rPr>
          <w:rFonts w:cs="Times New Roman"/>
          <w:b/>
          <w:i/>
          <w:sz w:val="22"/>
          <w:szCs w:val="22"/>
          <w:lang w:val="fr-BE"/>
        </w:rPr>
        <w:t>III.2.3. La détermination des priorités gouvernementales</w:t>
      </w:r>
    </w:p>
    <w:p w14:paraId="31AC3871" w14:textId="77777777" w:rsidR="00BE5630" w:rsidRPr="004F2163" w:rsidRDefault="00BE5630" w:rsidP="006B11F4">
      <w:pPr>
        <w:spacing w:line="240" w:lineRule="auto"/>
        <w:jc w:val="both"/>
        <w:rPr>
          <w:rFonts w:cs="Times New Roman"/>
          <w:sz w:val="22"/>
          <w:szCs w:val="22"/>
          <w:lang w:val="fr-BE"/>
        </w:rPr>
      </w:pPr>
    </w:p>
    <w:p w14:paraId="36FE03BE" w14:textId="77777777" w:rsidR="00BB2B9B" w:rsidRPr="004F2163" w:rsidRDefault="00F20565" w:rsidP="006B11F4">
      <w:pPr>
        <w:spacing w:line="240" w:lineRule="auto"/>
        <w:jc w:val="both"/>
        <w:rPr>
          <w:rFonts w:cs="Times New Roman"/>
          <w:sz w:val="22"/>
          <w:szCs w:val="22"/>
          <w:lang w:val="fr-BE"/>
        </w:rPr>
      </w:pPr>
      <w:r w:rsidRPr="00DD1451">
        <w:rPr>
          <w:rFonts w:cs="Times New Roman"/>
          <w:sz w:val="22"/>
          <w:szCs w:val="22"/>
          <w:lang w:val="fr-BE"/>
        </w:rPr>
        <w:t>Au cours du dernier quart de siècle</w:t>
      </w:r>
      <w:r>
        <w:rPr>
          <w:rFonts w:cs="Times New Roman"/>
          <w:sz w:val="22"/>
          <w:szCs w:val="22"/>
          <w:lang w:val="fr-BE"/>
        </w:rPr>
        <w:t>,</w:t>
      </w:r>
      <w:r w:rsidR="009A0751">
        <w:rPr>
          <w:rFonts w:cs="Times New Roman"/>
          <w:sz w:val="22"/>
          <w:szCs w:val="22"/>
          <w:lang w:val="fr-BE"/>
        </w:rPr>
        <w:t xml:space="preserve"> </w:t>
      </w:r>
      <w:r>
        <w:rPr>
          <w:rFonts w:cs="Times New Roman"/>
          <w:sz w:val="22"/>
          <w:szCs w:val="22"/>
          <w:lang w:val="fr-BE"/>
        </w:rPr>
        <w:t xml:space="preserve">les préoccupations budgétaires ont occupé une </w:t>
      </w:r>
      <w:r w:rsidR="002D4472" w:rsidRPr="00B246CC">
        <w:rPr>
          <w:rFonts w:cs="Times New Roman"/>
          <w:sz w:val="22"/>
          <w:szCs w:val="22"/>
          <w:lang w:val="fr-BE"/>
        </w:rPr>
        <w:t xml:space="preserve">place </w:t>
      </w:r>
      <w:r>
        <w:rPr>
          <w:rFonts w:cs="Times New Roman"/>
          <w:sz w:val="22"/>
          <w:szCs w:val="22"/>
          <w:lang w:val="fr-BE"/>
        </w:rPr>
        <w:t>variable</w:t>
      </w:r>
      <w:r w:rsidR="002D4472" w:rsidRPr="00B246CC">
        <w:rPr>
          <w:rFonts w:cs="Times New Roman"/>
          <w:sz w:val="22"/>
          <w:szCs w:val="22"/>
          <w:lang w:val="fr-BE"/>
        </w:rPr>
        <w:t xml:space="preserve"> sur l’agenda politique. Sur le plan politique, la majeure </w:t>
      </w:r>
      <w:r w:rsidR="002D4472" w:rsidRPr="00B246CC">
        <w:rPr>
          <w:rFonts w:cs="Times New Roman"/>
          <w:sz w:val="22"/>
          <w:szCs w:val="22"/>
          <w:lang w:val="fr-BE"/>
        </w:rPr>
        <w:lastRenderedPageBreak/>
        <w:t xml:space="preserve">partie de la décennie 1990 a été dominée par la </w:t>
      </w:r>
      <w:r w:rsidR="00EA7052">
        <w:rPr>
          <w:rFonts w:cs="Times New Roman"/>
          <w:sz w:val="22"/>
          <w:szCs w:val="22"/>
          <w:lang w:val="fr-BE"/>
        </w:rPr>
        <w:t>préparation de</w:t>
      </w:r>
      <w:r w:rsidR="002D4472" w:rsidRPr="00B246CC">
        <w:rPr>
          <w:rFonts w:cs="Times New Roman"/>
          <w:sz w:val="22"/>
          <w:szCs w:val="22"/>
          <w:lang w:val="fr-BE"/>
        </w:rPr>
        <w:t xml:space="preserve"> </w:t>
      </w:r>
      <w:r w:rsidR="00EA7052">
        <w:rPr>
          <w:rFonts w:cs="Times New Roman"/>
          <w:sz w:val="22"/>
          <w:szCs w:val="22"/>
          <w:lang w:val="fr-BE"/>
        </w:rPr>
        <w:t>l</w:t>
      </w:r>
      <w:r w:rsidR="002D4472" w:rsidRPr="00B246CC">
        <w:rPr>
          <w:rFonts w:cs="Times New Roman"/>
          <w:sz w:val="22"/>
          <w:szCs w:val="22"/>
          <w:lang w:val="fr-BE"/>
        </w:rPr>
        <w:t>’accession à l’UEM, en raison « </w:t>
      </w:r>
      <w:r w:rsidR="002D4472" w:rsidRPr="00B246CC">
        <w:rPr>
          <w:rFonts w:cs="Times New Roman"/>
          <w:i/>
          <w:sz w:val="22"/>
          <w:szCs w:val="22"/>
          <w:lang w:val="fr-BE"/>
        </w:rPr>
        <w:t xml:space="preserve">du caractère impérieux […] d’en être » </w:t>
      </w:r>
      <w:r w:rsidR="002D4472" w:rsidRPr="00B246CC">
        <w:rPr>
          <w:rFonts w:cs="Times New Roman"/>
          <w:sz w:val="22"/>
          <w:szCs w:val="22"/>
          <w:lang w:val="fr-BE"/>
        </w:rPr>
        <w:t xml:space="preserve">(E8). </w:t>
      </w:r>
      <w:r>
        <w:rPr>
          <w:rFonts w:cs="Times New Roman"/>
          <w:sz w:val="22"/>
          <w:szCs w:val="22"/>
          <w:lang w:val="fr-BE"/>
        </w:rPr>
        <w:t xml:space="preserve">Il régnait en effet au sein de l’opinion publique </w:t>
      </w:r>
      <w:r w:rsidR="00EA7052">
        <w:rPr>
          <w:rFonts w:cs="Times New Roman"/>
          <w:sz w:val="22"/>
          <w:szCs w:val="22"/>
          <w:lang w:val="fr-BE"/>
        </w:rPr>
        <w:t>une conviction</w:t>
      </w:r>
      <w:r>
        <w:rPr>
          <w:rFonts w:cs="Times New Roman"/>
          <w:sz w:val="22"/>
          <w:szCs w:val="22"/>
          <w:lang w:val="fr-BE"/>
        </w:rPr>
        <w:t xml:space="preserve"> </w:t>
      </w:r>
      <w:r w:rsidR="00EA7052">
        <w:rPr>
          <w:rFonts w:cs="Times New Roman"/>
          <w:sz w:val="22"/>
          <w:szCs w:val="22"/>
          <w:lang w:val="fr-BE"/>
        </w:rPr>
        <w:t>que</w:t>
      </w:r>
      <w:r>
        <w:rPr>
          <w:rFonts w:cs="Times New Roman"/>
          <w:sz w:val="22"/>
          <w:szCs w:val="22"/>
          <w:lang w:val="fr-BE"/>
        </w:rPr>
        <w:t xml:space="preserve"> </w:t>
      </w:r>
      <w:r w:rsidR="002D4472" w:rsidRPr="00B246CC">
        <w:rPr>
          <w:rFonts w:cs="Times New Roman"/>
          <w:sz w:val="22"/>
          <w:szCs w:val="22"/>
          <w:lang w:val="fr-BE"/>
        </w:rPr>
        <w:t>«</w:t>
      </w:r>
      <w:r w:rsidR="002D4472" w:rsidRPr="00B246CC">
        <w:rPr>
          <w:rFonts w:cs="Times New Roman"/>
          <w:i/>
          <w:sz w:val="22"/>
          <w:szCs w:val="22"/>
          <w:lang w:val="fr-BE"/>
        </w:rPr>
        <w:t xml:space="preserve"> la Belgique, petite économie très ouverte, ne pouvait que bénéficier d’une union monétaire</w:t>
      </w:r>
      <w:r w:rsidR="002D4472" w:rsidRPr="00B246CC">
        <w:rPr>
          <w:rFonts w:cs="Times New Roman"/>
          <w:sz w:val="22"/>
          <w:szCs w:val="22"/>
          <w:lang w:val="fr-BE"/>
        </w:rPr>
        <w:t xml:space="preserve"> » (E2). Soucieux de ne pas </w:t>
      </w:r>
      <w:r w:rsidR="00EA7052">
        <w:rPr>
          <w:rFonts w:cs="Times New Roman"/>
          <w:sz w:val="22"/>
          <w:szCs w:val="22"/>
          <w:lang w:val="fr-BE"/>
        </w:rPr>
        <w:t xml:space="preserve">avoir à </w:t>
      </w:r>
      <w:r w:rsidR="002D4472" w:rsidRPr="00B246CC">
        <w:rPr>
          <w:rFonts w:cs="Times New Roman"/>
          <w:sz w:val="22"/>
          <w:szCs w:val="22"/>
          <w:lang w:val="fr-BE"/>
        </w:rPr>
        <w:t>porter la responsabilité d’un éventuel échec, le gouvernement a donc érigé l’assainissement en priorité absolue</w:t>
      </w:r>
      <w:r w:rsidR="001B579A">
        <w:rPr>
          <w:rStyle w:val="Appelnotedebasdep"/>
          <w:rFonts w:cs="Times New Roman"/>
          <w:sz w:val="22"/>
          <w:szCs w:val="22"/>
          <w:lang w:val="fr-BE"/>
        </w:rPr>
        <w:footnoteReference w:id="23"/>
      </w:r>
      <w:r w:rsidR="002D4472" w:rsidRPr="00B246CC">
        <w:rPr>
          <w:rFonts w:cs="Times New Roman"/>
          <w:sz w:val="22"/>
          <w:szCs w:val="22"/>
          <w:lang w:val="fr-BE"/>
        </w:rPr>
        <w:t>. Un ancien ministre nuance toutefois : « </w:t>
      </w:r>
      <w:r w:rsidR="002D4472" w:rsidRPr="00B246CC">
        <w:rPr>
          <w:rFonts w:cs="Times New Roman"/>
          <w:bCs/>
          <w:i/>
          <w:sz w:val="22"/>
          <w:szCs w:val="22"/>
          <w:lang w:val="fr-BE" w:eastAsia="en-US"/>
        </w:rPr>
        <w:t xml:space="preserve">on a parfois donné l’image que c’était à cause de Maastricht qu’il fallait faire ces efforts alors qu’il fallait les faire de toute façon. Mais on ne les aurait pas faits au même rythme </w:t>
      </w:r>
      <w:r w:rsidR="002D4472" w:rsidRPr="00B246CC">
        <w:rPr>
          <w:rFonts w:cs="Times New Roman"/>
          <w:i/>
          <w:sz w:val="22"/>
          <w:szCs w:val="22"/>
          <w:lang w:val="fr-BE"/>
        </w:rPr>
        <w:t>[…]</w:t>
      </w:r>
      <w:r w:rsidR="002D4472" w:rsidRPr="00B246CC">
        <w:rPr>
          <w:rFonts w:cs="Times New Roman"/>
          <w:bCs/>
          <w:i/>
          <w:sz w:val="22"/>
          <w:szCs w:val="22"/>
          <w:lang w:val="fr-BE" w:eastAsia="en-US"/>
        </w:rPr>
        <w:t>. Maastricht nous a aidés à le faire plus rapidement </w:t>
      </w:r>
      <w:r w:rsidR="002D4472" w:rsidRPr="00B246CC">
        <w:rPr>
          <w:rFonts w:cs="Times New Roman"/>
          <w:bCs/>
          <w:sz w:val="22"/>
          <w:szCs w:val="22"/>
          <w:lang w:val="fr-BE" w:eastAsia="en-US"/>
        </w:rPr>
        <w:t>» (</w:t>
      </w:r>
      <w:r w:rsidR="002D4472" w:rsidRPr="00B246CC">
        <w:rPr>
          <w:rFonts w:cs="Times New Roman"/>
          <w:bCs/>
          <w:color w:val="000000" w:themeColor="text1"/>
          <w:sz w:val="22"/>
          <w:szCs w:val="22"/>
          <w:lang w:val="fr-BE" w:eastAsia="en-US"/>
        </w:rPr>
        <w:t>P2</w:t>
      </w:r>
      <w:r w:rsidR="002D4472" w:rsidRPr="00B246CC">
        <w:rPr>
          <w:rFonts w:cs="Times New Roman"/>
          <w:bCs/>
          <w:sz w:val="22"/>
          <w:szCs w:val="22"/>
          <w:lang w:val="fr-BE" w:eastAsia="en-US"/>
        </w:rPr>
        <w:t>).</w:t>
      </w:r>
      <w:r w:rsidR="002D4472" w:rsidRPr="00B246CC">
        <w:rPr>
          <w:rFonts w:cs="Times New Roman"/>
          <w:b/>
          <w:bCs/>
          <w:color w:val="FF0000"/>
          <w:sz w:val="22"/>
          <w:szCs w:val="22"/>
          <w:lang w:val="fr-BE" w:eastAsia="en-US"/>
        </w:rPr>
        <w:t xml:space="preserve"> </w:t>
      </w:r>
      <w:r w:rsidR="002D4472" w:rsidRPr="00B246CC">
        <w:rPr>
          <w:rFonts w:cs="Times New Roman"/>
          <w:sz w:val="22"/>
          <w:szCs w:val="22"/>
          <w:lang w:val="fr-BE"/>
        </w:rPr>
        <w:t xml:space="preserve">Il semble donc </w:t>
      </w:r>
      <w:r w:rsidR="00EA7052">
        <w:rPr>
          <w:rFonts w:cs="Times New Roman"/>
          <w:sz w:val="22"/>
          <w:szCs w:val="22"/>
          <w:lang w:val="fr-BE"/>
        </w:rPr>
        <w:t>approprié</w:t>
      </w:r>
      <w:r w:rsidR="002D4472" w:rsidRPr="00B246CC">
        <w:rPr>
          <w:rFonts w:cs="Times New Roman"/>
          <w:sz w:val="22"/>
          <w:szCs w:val="22"/>
          <w:lang w:val="fr-BE"/>
        </w:rPr>
        <w:t xml:space="preserve"> de conclure que </w:t>
      </w:r>
      <w:r w:rsidR="002D4472" w:rsidRPr="00B246CC">
        <w:rPr>
          <w:rFonts w:cs="Times New Roman"/>
          <w:i/>
          <w:sz w:val="22"/>
          <w:szCs w:val="22"/>
          <w:lang w:val="fr-BE"/>
        </w:rPr>
        <w:t>« Dehaene et son équipe ont utilisé l’opportunité européenne pour vendre ce qu’ils avaient l’intuition qu’il fallait de toute façon faire »</w:t>
      </w:r>
      <w:r w:rsidR="002D4472" w:rsidRPr="00B246CC">
        <w:rPr>
          <w:rFonts w:cs="Times New Roman"/>
          <w:sz w:val="22"/>
          <w:szCs w:val="22"/>
          <w:lang w:val="fr-BE"/>
        </w:rPr>
        <w:t xml:space="preserve"> (E1).</w:t>
      </w:r>
    </w:p>
    <w:p w14:paraId="49E26ECF" w14:textId="77777777" w:rsidR="00FC7291" w:rsidRPr="004F2163" w:rsidRDefault="00FC7291" w:rsidP="006B11F4">
      <w:pPr>
        <w:spacing w:line="240" w:lineRule="auto"/>
        <w:jc w:val="both"/>
        <w:rPr>
          <w:rFonts w:cs="Times New Roman"/>
          <w:sz w:val="22"/>
          <w:szCs w:val="22"/>
          <w:lang w:val="fr-BE"/>
        </w:rPr>
      </w:pPr>
    </w:p>
    <w:p w14:paraId="0EC1CC6D" w14:textId="77777777" w:rsidR="00BB01B1" w:rsidRPr="004F2163" w:rsidRDefault="002D4472" w:rsidP="006B1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imes New Roman"/>
          <w:sz w:val="22"/>
          <w:szCs w:val="22"/>
          <w:lang w:val="fr-BE"/>
        </w:rPr>
      </w:pPr>
      <w:r w:rsidRPr="00B246CC">
        <w:rPr>
          <w:rFonts w:cs="Times New Roman"/>
          <w:sz w:val="22"/>
          <w:szCs w:val="22"/>
          <w:lang w:val="fr-BE"/>
        </w:rPr>
        <w:t xml:space="preserve">Durant les années 2000, la soutenabilité budgétaire </w:t>
      </w:r>
      <w:r w:rsidR="00EA7052">
        <w:rPr>
          <w:rFonts w:cs="Times New Roman"/>
          <w:sz w:val="22"/>
          <w:szCs w:val="22"/>
          <w:lang w:val="fr-BE"/>
        </w:rPr>
        <w:t xml:space="preserve">est </w:t>
      </w:r>
      <w:r w:rsidRPr="00B246CC">
        <w:rPr>
          <w:rFonts w:cs="Times New Roman"/>
          <w:sz w:val="22"/>
          <w:szCs w:val="22"/>
          <w:lang w:val="fr-BE"/>
        </w:rPr>
        <w:t>rest</w:t>
      </w:r>
      <w:r w:rsidR="00EA7052">
        <w:rPr>
          <w:rFonts w:cs="Times New Roman"/>
          <w:sz w:val="22"/>
          <w:szCs w:val="22"/>
          <w:lang w:val="fr-BE"/>
        </w:rPr>
        <w:t>é</w:t>
      </w:r>
      <w:r w:rsidRPr="00B246CC">
        <w:rPr>
          <w:rFonts w:cs="Times New Roman"/>
          <w:sz w:val="22"/>
          <w:szCs w:val="22"/>
          <w:lang w:val="fr-BE"/>
        </w:rPr>
        <w:t>e un sujet d</w:t>
      </w:r>
      <w:r w:rsidR="00EA7052">
        <w:rPr>
          <w:rFonts w:cs="Times New Roman"/>
          <w:sz w:val="22"/>
          <w:szCs w:val="22"/>
          <w:lang w:val="fr-BE"/>
        </w:rPr>
        <w:t xml:space="preserve">’attention </w:t>
      </w:r>
      <w:r w:rsidRPr="00B246CC">
        <w:rPr>
          <w:rFonts w:cs="Times New Roman"/>
          <w:sz w:val="22"/>
          <w:szCs w:val="22"/>
          <w:lang w:val="fr-BE"/>
        </w:rPr>
        <w:t xml:space="preserve">du gouvernement, qui </w:t>
      </w:r>
      <w:r w:rsidR="00EA7052">
        <w:rPr>
          <w:rFonts w:cs="Times New Roman"/>
          <w:sz w:val="22"/>
          <w:szCs w:val="22"/>
          <w:lang w:val="fr-BE"/>
        </w:rPr>
        <w:t>souhaitait</w:t>
      </w:r>
      <w:r w:rsidRPr="00B246CC">
        <w:rPr>
          <w:rFonts w:cs="Times New Roman"/>
          <w:sz w:val="22"/>
          <w:szCs w:val="22"/>
          <w:lang w:val="fr-BE"/>
        </w:rPr>
        <w:t xml:space="preserve"> anticiper les conséquences budgétaires du vieillissement de la population grâce à la création, en 2001, du Fonds de vieillissement. L’absence de contrainte européenne, la « fatigue de la consolidation » et la </w:t>
      </w:r>
      <w:r w:rsidR="00EA7052">
        <w:rPr>
          <w:rFonts w:cs="Times New Roman"/>
          <w:sz w:val="22"/>
          <w:szCs w:val="22"/>
          <w:lang w:val="fr-BE"/>
        </w:rPr>
        <w:t>détermination</w:t>
      </w:r>
      <w:r w:rsidRPr="00B246CC">
        <w:rPr>
          <w:rFonts w:cs="Times New Roman"/>
          <w:sz w:val="22"/>
          <w:szCs w:val="22"/>
          <w:lang w:val="fr-BE"/>
        </w:rPr>
        <w:t xml:space="preserve"> d’autres priorités de politique économique</w:t>
      </w:r>
      <w:r w:rsidR="001B579A">
        <w:rPr>
          <w:rStyle w:val="Appelnotedebasdep"/>
          <w:rFonts w:cs="Times New Roman"/>
          <w:sz w:val="22"/>
          <w:szCs w:val="22"/>
          <w:lang w:val="fr-BE"/>
        </w:rPr>
        <w:footnoteReference w:id="24"/>
      </w:r>
      <w:r w:rsidRPr="00B246CC">
        <w:rPr>
          <w:rFonts w:cs="Times New Roman"/>
          <w:sz w:val="22"/>
          <w:szCs w:val="22"/>
          <w:lang w:val="fr-BE"/>
        </w:rPr>
        <w:t xml:space="preserve"> ont cependant relégué cet objectif initial au second plan</w:t>
      </w:r>
      <w:r w:rsidRPr="00B246CC">
        <w:rPr>
          <w:rFonts w:cs="Times New Roman"/>
          <w:sz w:val="22"/>
          <w:szCs w:val="22"/>
          <w:lang w:val="fr-BE" w:eastAsia="en-US"/>
        </w:rPr>
        <w:t>. L’heure était à l’optimisme : « </w:t>
      </w:r>
      <w:r w:rsidRPr="00B246CC">
        <w:rPr>
          <w:rFonts w:cs="Times New Roman"/>
          <w:i/>
          <w:sz w:val="22"/>
          <w:szCs w:val="22"/>
          <w:lang w:val="fr-BE" w:eastAsia="en-US"/>
        </w:rPr>
        <w:t>on pensait qu’il était moins essentiel d’assainir, que la croissance allait solutionner les problèmes </w:t>
      </w:r>
      <w:r w:rsidRPr="00B246CC">
        <w:rPr>
          <w:rFonts w:cs="Times New Roman"/>
          <w:sz w:val="22"/>
          <w:szCs w:val="22"/>
          <w:lang w:val="fr-BE" w:eastAsia="en-US"/>
        </w:rPr>
        <w:t xml:space="preserve">» (E2). </w:t>
      </w:r>
    </w:p>
    <w:p w14:paraId="3BCC212D" w14:textId="77777777" w:rsidR="00B75423" w:rsidRPr="004F2163" w:rsidRDefault="00B75423" w:rsidP="006B1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imes New Roman"/>
          <w:sz w:val="22"/>
          <w:szCs w:val="22"/>
          <w:lang w:val="fr-BE" w:eastAsia="en-US"/>
        </w:rPr>
      </w:pPr>
    </w:p>
    <w:p w14:paraId="2121A24D" w14:textId="6BCE334D" w:rsidR="00EA7052" w:rsidRPr="00B246CC" w:rsidRDefault="002D4472" w:rsidP="006B11F4">
      <w:pPr>
        <w:pStyle w:val="Notedebasdepage"/>
        <w:spacing w:line="240" w:lineRule="auto"/>
        <w:rPr>
          <w:rFonts w:ascii="Times New Roman" w:hAnsi="Times New Roman"/>
          <w:sz w:val="22"/>
          <w:szCs w:val="22"/>
        </w:rPr>
      </w:pPr>
      <w:r w:rsidRPr="00B246CC">
        <w:rPr>
          <w:rFonts w:ascii="Times New Roman" w:hAnsi="Times New Roman"/>
          <w:sz w:val="22"/>
          <w:szCs w:val="22"/>
        </w:rPr>
        <w:t xml:space="preserve">Depuis </w:t>
      </w:r>
      <w:r w:rsidR="0028481B">
        <w:rPr>
          <w:rFonts w:ascii="Times New Roman" w:hAnsi="Times New Roman"/>
          <w:sz w:val="22"/>
          <w:szCs w:val="22"/>
        </w:rPr>
        <w:t xml:space="preserve">qu’une procédure de déficit excessif a été déclenchée à l’encontre de la Belgique </w:t>
      </w:r>
      <w:r w:rsidRPr="00B246CC">
        <w:rPr>
          <w:rFonts w:ascii="Times New Roman" w:hAnsi="Times New Roman"/>
          <w:sz w:val="22"/>
          <w:szCs w:val="22"/>
        </w:rPr>
        <w:t>en novembre 2009</w:t>
      </w:r>
      <w:r w:rsidRPr="00B246CC">
        <w:rPr>
          <w:rStyle w:val="Appelnotedebasdep"/>
          <w:rFonts w:ascii="Times New Roman" w:hAnsi="Times New Roman"/>
          <w:sz w:val="22"/>
          <w:szCs w:val="22"/>
        </w:rPr>
        <w:footnoteReference w:id="25"/>
      </w:r>
      <w:r w:rsidRPr="00B246CC">
        <w:rPr>
          <w:rFonts w:ascii="Times New Roman" w:hAnsi="Times New Roman"/>
          <w:sz w:val="22"/>
          <w:szCs w:val="22"/>
        </w:rPr>
        <w:t xml:space="preserve">, les considérations budgétaires ont retrouvé une place en vue sur l’agenda politique. Elles occupent, </w:t>
      </w:r>
      <w:r w:rsidR="001B414A">
        <w:rPr>
          <w:rFonts w:ascii="Times New Roman" w:hAnsi="Times New Roman"/>
          <w:sz w:val="22"/>
          <w:szCs w:val="22"/>
        </w:rPr>
        <w:t>à côté de</w:t>
      </w:r>
      <w:r w:rsidRPr="00B246CC">
        <w:rPr>
          <w:rFonts w:ascii="Times New Roman" w:hAnsi="Times New Roman"/>
          <w:sz w:val="22"/>
          <w:szCs w:val="22"/>
        </w:rPr>
        <w:t xml:space="preserve"> la réforme de l’État, une place significative dans l’accord de gouvernement Di Rupo (Gouvernement fédéral, 2011 : 76-84). Plusieurs observateurs témoignent d’ailleurs de la « </w:t>
      </w:r>
      <w:r w:rsidRPr="00B246CC">
        <w:rPr>
          <w:rFonts w:ascii="Times New Roman" w:hAnsi="Times New Roman"/>
          <w:i/>
          <w:sz w:val="22"/>
          <w:szCs w:val="22"/>
        </w:rPr>
        <w:t>volonté sincère </w:t>
      </w:r>
      <w:r w:rsidRPr="00B246CC">
        <w:rPr>
          <w:rFonts w:ascii="Times New Roman" w:hAnsi="Times New Roman"/>
          <w:sz w:val="22"/>
          <w:szCs w:val="22"/>
        </w:rPr>
        <w:t>» (J) de retour à l’équilibre budgétaire qui anime aujourd’hui la coalition fédérale. Des divergences subsistent toutefois en ce qui concerne le rythme à adopter. En dissociant les dates de retour à l’équilibre structurel (prévu pour 2015) et nominal (qui est pour sa part reporté à 2016), le programme de stabilité 2013-2016 fait un usage habile de l’ambivalence du concept d’équilibre budgétaire pour clore – de façon provisoire</w:t>
      </w:r>
      <w:r w:rsidR="0080098B">
        <w:rPr>
          <w:rStyle w:val="Appelnotedebasdep"/>
          <w:rFonts w:ascii="Times New Roman" w:hAnsi="Times New Roman"/>
          <w:sz w:val="22"/>
          <w:szCs w:val="22"/>
        </w:rPr>
        <w:footnoteReference w:id="26"/>
      </w:r>
      <w:r w:rsidRPr="00B246CC">
        <w:rPr>
          <w:rFonts w:ascii="Times New Roman" w:hAnsi="Times New Roman"/>
          <w:sz w:val="22"/>
          <w:szCs w:val="22"/>
        </w:rPr>
        <w:t xml:space="preserve"> – cette controverse.</w:t>
      </w:r>
    </w:p>
    <w:p w14:paraId="225C2D7B" w14:textId="77777777" w:rsidR="00BE5630" w:rsidRPr="004F2163" w:rsidRDefault="00BE5630" w:rsidP="006B11F4">
      <w:pPr>
        <w:pStyle w:val="Notedebasdepage"/>
        <w:spacing w:line="240" w:lineRule="auto"/>
        <w:rPr>
          <w:rFonts w:ascii="Times New Roman" w:hAnsi="Times New Roman"/>
          <w:sz w:val="22"/>
          <w:szCs w:val="22"/>
        </w:rPr>
      </w:pPr>
    </w:p>
    <w:p w14:paraId="4549826D" w14:textId="77777777" w:rsidR="008537AD" w:rsidRPr="004F2163" w:rsidRDefault="002D4472" w:rsidP="00BE5630">
      <w:pPr>
        <w:spacing w:line="240" w:lineRule="auto"/>
        <w:rPr>
          <w:rFonts w:cs="Times New Roman"/>
          <w:b/>
          <w:i/>
          <w:sz w:val="22"/>
          <w:szCs w:val="22"/>
          <w:lang w:val="fr-BE"/>
        </w:rPr>
      </w:pPr>
      <w:r w:rsidRPr="00B246CC">
        <w:rPr>
          <w:rFonts w:cs="Times New Roman"/>
          <w:b/>
          <w:i/>
          <w:sz w:val="22"/>
          <w:szCs w:val="22"/>
          <w:lang w:val="fr-BE"/>
        </w:rPr>
        <w:t>III.2.4. Les compositions respectives du gouvernement et de la Section</w:t>
      </w:r>
    </w:p>
    <w:p w14:paraId="301D7906" w14:textId="77777777" w:rsidR="00BE5630" w:rsidRPr="004F2163" w:rsidRDefault="00BE5630" w:rsidP="006B11F4">
      <w:pPr>
        <w:spacing w:line="240" w:lineRule="auto"/>
        <w:jc w:val="both"/>
        <w:rPr>
          <w:rFonts w:cs="Times New Roman"/>
          <w:sz w:val="22"/>
          <w:szCs w:val="22"/>
          <w:lang w:val="fr-BE"/>
        </w:rPr>
      </w:pPr>
    </w:p>
    <w:p w14:paraId="75B8A475" w14:textId="17F734B4" w:rsidR="00A86F13" w:rsidRPr="004F2163" w:rsidRDefault="002D4472" w:rsidP="006B11F4">
      <w:pPr>
        <w:spacing w:line="240" w:lineRule="auto"/>
        <w:jc w:val="both"/>
        <w:rPr>
          <w:rFonts w:cs="Times New Roman"/>
          <w:sz w:val="22"/>
          <w:szCs w:val="22"/>
        </w:rPr>
      </w:pPr>
      <w:r w:rsidRPr="00B246CC">
        <w:rPr>
          <w:rFonts w:cs="Times New Roman"/>
          <w:sz w:val="22"/>
          <w:szCs w:val="22"/>
          <w:lang w:val="fr-BE"/>
        </w:rPr>
        <w:t>Durant les années 1990, la légitimité technocratique de la Section se doubl</w:t>
      </w:r>
      <w:r w:rsidR="00BC42DD">
        <w:rPr>
          <w:rFonts w:cs="Times New Roman"/>
          <w:sz w:val="22"/>
          <w:szCs w:val="22"/>
          <w:lang w:val="fr-BE"/>
        </w:rPr>
        <w:t>ait</w:t>
      </w:r>
      <w:r w:rsidRPr="00B246CC">
        <w:rPr>
          <w:rFonts w:cs="Times New Roman"/>
          <w:sz w:val="22"/>
          <w:szCs w:val="22"/>
          <w:lang w:val="fr-BE"/>
        </w:rPr>
        <w:t xml:space="preserve"> d’une incontestable légitimité politique car sa composition </w:t>
      </w:r>
      <w:r w:rsidR="001B414A">
        <w:rPr>
          <w:rFonts w:cs="Times New Roman"/>
          <w:sz w:val="22"/>
          <w:szCs w:val="22"/>
          <w:lang w:val="fr-BE"/>
        </w:rPr>
        <w:t>reflétait</w:t>
      </w:r>
      <w:r w:rsidRPr="00B246CC">
        <w:rPr>
          <w:rFonts w:cs="Times New Roman"/>
          <w:sz w:val="22"/>
          <w:szCs w:val="22"/>
          <w:lang w:val="fr-BE"/>
        </w:rPr>
        <w:t xml:space="preserve"> celle </w:t>
      </w:r>
      <w:proofErr w:type="gramStart"/>
      <w:r w:rsidRPr="00B246CC">
        <w:rPr>
          <w:rFonts w:cs="Times New Roman"/>
          <w:sz w:val="22"/>
          <w:szCs w:val="22"/>
          <w:lang w:val="fr-BE"/>
        </w:rPr>
        <w:t>des gouvernements fédéral et régionaux</w:t>
      </w:r>
      <w:proofErr w:type="gramEnd"/>
      <w:r w:rsidR="001B579A">
        <w:rPr>
          <w:rStyle w:val="Appelnotedebasdep"/>
          <w:rFonts w:cs="Times New Roman"/>
          <w:sz w:val="22"/>
          <w:szCs w:val="22"/>
          <w:lang w:val="fr-BE"/>
        </w:rPr>
        <w:footnoteReference w:id="27"/>
      </w:r>
      <w:r w:rsidRPr="00B246CC">
        <w:rPr>
          <w:rFonts w:cs="Times New Roman"/>
          <w:sz w:val="22"/>
          <w:szCs w:val="22"/>
          <w:lang w:val="fr-BE"/>
        </w:rPr>
        <w:t xml:space="preserve">. Cette proximité était en outre accentuée par les liens étroits unissant d’influents membres de la Section à d’éminents hommes politiques. À titre d’illustration, </w:t>
      </w:r>
      <w:r w:rsidRPr="00B246CC">
        <w:rPr>
          <w:rFonts w:cs="Times New Roman"/>
          <w:i/>
          <w:sz w:val="22"/>
          <w:szCs w:val="22"/>
          <w:lang w:val="fr-BE"/>
        </w:rPr>
        <w:t>« </w:t>
      </w:r>
      <w:r w:rsidRPr="00B246CC">
        <w:rPr>
          <w:rFonts w:cs="Times New Roman"/>
          <w:i/>
          <w:sz w:val="22"/>
          <w:szCs w:val="22"/>
          <w:lang w:val="fr-BE" w:eastAsia="en-US"/>
        </w:rPr>
        <w:t xml:space="preserve">la relation personnelle entre le Premier ministre et le gouverneur de la Banque nationale de l’époque, A. Verplaetse, était très bonne et </w:t>
      </w:r>
      <w:r w:rsidRPr="00B246CC">
        <w:rPr>
          <w:rFonts w:cs="Times New Roman"/>
          <w:i/>
          <w:sz w:val="22"/>
          <w:szCs w:val="22"/>
          <w:lang w:val="fr-BE"/>
        </w:rPr>
        <w:t>[…]</w:t>
      </w:r>
      <w:r w:rsidRPr="00B246CC">
        <w:rPr>
          <w:rFonts w:cs="Times New Roman"/>
          <w:i/>
          <w:sz w:val="22"/>
          <w:szCs w:val="22"/>
          <w:lang w:val="fr-BE" w:eastAsia="en-US"/>
        </w:rPr>
        <w:t xml:space="preserve"> englobait aussi le président de la Section, P. Van Rompuy »</w:t>
      </w:r>
      <w:r w:rsidRPr="00B246CC">
        <w:rPr>
          <w:rFonts w:cs="Times New Roman"/>
          <w:sz w:val="22"/>
          <w:szCs w:val="22"/>
          <w:lang w:val="fr-BE" w:eastAsia="en-US"/>
        </w:rPr>
        <w:t xml:space="preserve"> (E5).</w:t>
      </w:r>
      <w:r w:rsidRPr="00B246CC">
        <w:rPr>
          <w:rFonts w:cs="Times New Roman"/>
          <w:sz w:val="22"/>
          <w:szCs w:val="22"/>
        </w:rPr>
        <w:t xml:space="preserve"> Les autres partis y disposaient </w:t>
      </w:r>
      <w:r w:rsidR="00F773D6">
        <w:rPr>
          <w:rFonts w:cs="Times New Roman"/>
          <w:sz w:val="22"/>
          <w:szCs w:val="22"/>
        </w:rPr>
        <w:t>eux aussi</w:t>
      </w:r>
      <w:r w:rsidRPr="00B246CC">
        <w:rPr>
          <w:rFonts w:cs="Times New Roman"/>
          <w:sz w:val="22"/>
          <w:szCs w:val="22"/>
        </w:rPr>
        <w:t xml:space="preserve"> de relais privilégiés, à l’instar de J.-P. Pauwels (SP, ancien chef de cabinet du ministre des Affaires étrangères), R. Tollet (PS) ou encore G. Brouhns (PSC, représentant du ministre des Finances). </w:t>
      </w:r>
    </w:p>
    <w:p w14:paraId="478A0F12" w14:textId="77777777" w:rsidR="00567B74" w:rsidRPr="004F2163" w:rsidRDefault="00567B74" w:rsidP="006B11F4">
      <w:pPr>
        <w:spacing w:line="240" w:lineRule="auto"/>
        <w:jc w:val="both"/>
        <w:rPr>
          <w:rFonts w:cs="Times New Roman"/>
          <w:sz w:val="22"/>
          <w:szCs w:val="22"/>
        </w:rPr>
      </w:pPr>
    </w:p>
    <w:p w14:paraId="1670F50A" w14:textId="5A5320B2" w:rsidR="00567B74" w:rsidRPr="004F2163" w:rsidRDefault="002D4472" w:rsidP="006B1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imes New Roman"/>
          <w:bCs/>
          <w:sz w:val="22"/>
          <w:szCs w:val="22"/>
          <w:lang w:val="fr-BE" w:eastAsia="en-US"/>
        </w:rPr>
      </w:pPr>
      <w:r w:rsidRPr="00B246CC">
        <w:rPr>
          <w:rFonts w:cs="Times New Roman"/>
          <w:sz w:val="22"/>
          <w:szCs w:val="22"/>
          <w:lang w:val="fr-BE"/>
        </w:rPr>
        <w:t>Le mandat conféré aux membres de la Section était relativement lâche</w:t>
      </w:r>
      <w:r w:rsidR="001B414A">
        <w:rPr>
          <w:rFonts w:cs="Times New Roman"/>
          <w:sz w:val="22"/>
          <w:szCs w:val="22"/>
          <w:lang w:val="fr-BE"/>
        </w:rPr>
        <w:t>, ainsi qu’en témoigne la réaction suivante</w:t>
      </w:r>
      <w:r w:rsidRPr="00B246CC">
        <w:rPr>
          <w:rFonts w:cs="Times New Roman"/>
          <w:sz w:val="22"/>
          <w:szCs w:val="22"/>
          <w:lang w:val="fr-BE"/>
        </w:rPr>
        <w:t> : « </w:t>
      </w:r>
      <w:r w:rsidRPr="00B246CC">
        <w:rPr>
          <w:rFonts w:cs="Times New Roman"/>
          <w:i/>
          <w:sz w:val="22"/>
          <w:szCs w:val="22"/>
          <w:lang w:val="fr-BE"/>
        </w:rPr>
        <w:t>moi</w:t>
      </w:r>
      <w:r w:rsidR="001B414A">
        <w:rPr>
          <w:rFonts w:cs="Times New Roman"/>
          <w:i/>
          <w:sz w:val="22"/>
          <w:szCs w:val="22"/>
          <w:lang w:val="fr-BE"/>
        </w:rPr>
        <w:t>,</w:t>
      </w:r>
      <w:r w:rsidRPr="00B246CC">
        <w:rPr>
          <w:rFonts w:cs="Times New Roman"/>
          <w:i/>
          <w:sz w:val="22"/>
          <w:szCs w:val="22"/>
          <w:lang w:val="fr-BE"/>
        </w:rPr>
        <w:t xml:space="preserve"> j’avais un mandat à la Région wallonne à l’époque. Mais on se disait : ‘tiens, je suis à la Région wallonne mais bon, on va discuter de macroéconomie</w:t>
      </w:r>
      <w:r w:rsidRPr="00B246CC">
        <w:rPr>
          <w:rFonts w:cs="Times New Roman"/>
          <w:sz w:val="22"/>
          <w:szCs w:val="22"/>
          <w:lang w:val="fr-BE"/>
        </w:rPr>
        <w:t xml:space="preserve">’ » (E9). </w:t>
      </w:r>
      <w:r w:rsidR="001B414A">
        <w:rPr>
          <w:rFonts w:cs="Times New Roman"/>
          <w:sz w:val="22"/>
          <w:szCs w:val="22"/>
          <w:lang w:val="fr-BE"/>
        </w:rPr>
        <w:t>D</w:t>
      </w:r>
      <w:r w:rsidRPr="00B246CC">
        <w:rPr>
          <w:rFonts w:cs="Times New Roman"/>
          <w:sz w:val="22"/>
          <w:szCs w:val="22"/>
          <w:lang w:val="fr-BE"/>
        </w:rPr>
        <w:t xml:space="preserve">urant les négociations </w:t>
      </w:r>
      <w:r w:rsidR="00BC42DD">
        <w:rPr>
          <w:rFonts w:cs="Times New Roman"/>
          <w:sz w:val="22"/>
          <w:szCs w:val="22"/>
          <w:lang w:val="fr-BE"/>
        </w:rPr>
        <w:t>relatives à la fixation des</w:t>
      </w:r>
      <w:r w:rsidRPr="00B246CC">
        <w:rPr>
          <w:rFonts w:cs="Times New Roman"/>
          <w:sz w:val="22"/>
          <w:szCs w:val="22"/>
          <w:lang w:val="fr-BE"/>
        </w:rPr>
        <w:t xml:space="preserve"> objectifs budgétaires</w:t>
      </w:r>
      <w:r w:rsidR="001B414A">
        <w:rPr>
          <w:rFonts w:cs="Times New Roman"/>
          <w:sz w:val="22"/>
          <w:szCs w:val="22"/>
          <w:lang w:val="fr-BE"/>
        </w:rPr>
        <w:t>, les membres de la Section jouissaient donc d’une grande latitude</w:t>
      </w:r>
      <w:r w:rsidRPr="00B246CC">
        <w:rPr>
          <w:rFonts w:cs="Times New Roman"/>
          <w:sz w:val="22"/>
          <w:szCs w:val="22"/>
          <w:lang w:val="fr-BE"/>
        </w:rPr>
        <w:t> : « </w:t>
      </w:r>
      <w:r w:rsidRPr="00B246CC">
        <w:rPr>
          <w:rFonts w:cs="Times New Roman"/>
          <w:bCs/>
          <w:i/>
          <w:sz w:val="22"/>
          <w:szCs w:val="22"/>
          <w:lang w:val="fr-BE" w:eastAsia="en-US"/>
        </w:rPr>
        <w:t>tout le monde a sa couleur politique mais il y avait des universitaires, des gens qui avaient un statut suffisamment fort que pour avoir leur propre pensée</w:t>
      </w:r>
      <w:r w:rsidRPr="00B246CC">
        <w:rPr>
          <w:rFonts w:cs="Times New Roman"/>
          <w:bCs/>
          <w:sz w:val="22"/>
          <w:szCs w:val="22"/>
          <w:lang w:val="fr-BE" w:eastAsia="en-US"/>
        </w:rPr>
        <w:t xml:space="preserve"> » (E3). </w:t>
      </w:r>
      <w:r w:rsidRPr="00B246CC">
        <w:rPr>
          <w:rFonts w:cs="Times New Roman"/>
          <w:sz w:val="22"/>
          <w:szCs w:val="22"/>
          <w:lang w:val="fr-BE"/>
        </w:rPr>
        <w:t>Le fonctionnement de la Section était donc régi par un subtil équilibre entre représentation politique et appréciation personnelle des enjeux.</w:t>
      </w:r>
    </w:p>
    <w:p w14:paraId="797F2A2F" w14:textId="77777777" w:rsidR="00637DA6" w:rsidRDefault="00637DA6" w:rsidP="006B11F4">
      <w:pPr>
        <w:tabs>
          <w:tab w:val="left" w:pos="6917"/>
        </w:tabs>
        <w:spacing w:line="240" w:lineRule="auto"/>
        <w:jc w:val="both"/>
        <w:rPr>
          <w:rFonts w:cs="Times New Roman"/>
          <w:sz w:val="22"/>
          <w:szCs w:val="22"/>
        </w:rPr>
      </w:pPr>
    </w:p>
    <w:p w14:paraId="06754FC3" w14:textId="77777777" w:rsidR="00013735" w:rsidRPr="004F2163" w:rsidRDefault="00BC42DD" w:rsidP="006B11F4">
      <w:pPr>
        <w:tabs>
          <w:tab w:val="left" w:pos="6917"/>
        </w:tabs>
        <w:spacing w:line="240" w:lineRule="auto"/>
        <w:jc w:val="both"/>
        <w:rPr>
          <w:rFonts w:cs="Times New Roman"/>
          <w:sz w:val="22"/>
          <w:szCs w:val="22"/>
        </w:rPr>
      </w:pPr>
      <w:r>
        <w:rPr>
          <w:rFonts w:cs="Times New Roman"/>
          <w:sz w:val="22"/>
          <w:szCs w:val="22"/>
        </w:rPr>
        <w:t>Alors</w:t>
      </w:r>
      <w:r w:rsidR="002D4472" w:rsidRPr="00B246CC">
        <w:rPr>
          <w:rFonts w:cs="Times New Roman"/>
          <w:sz w:val="22"/>
          <w:szCs w:val="22"/>
        </w:rPr>
        <w:t xml:space="preserve"> que la composition de la Section avait très peu évolué entre 1989 et 2000</w:t>
      </w:r>
      <w:r w:rsidR="001B579A">
        <w:rPr>
          <w:rStyle w:val="Appelnotedebasdep"/>
          <w:rFonts w:cs="Times New Roman"/>
          <w:sz w:val="22"/>
          <w:szCs w:val="22"/>
        </w:rPr>
        <w:footnoteReference w:id="28"/>
      </w:r>
      <w:r w:rsidR="002D4472" w:rsidRPr="00B246CC">
        <w:rPr>
          <w:rFonts w:cs="Times New Roman"/>
          <w:sz w:val="22"/>
          <w:szCs w:val="22"/>
        </w:rPr>
        <w:t>, sept de ses membres ont été remplacés au mois de février 2000. Ce changement de cycle s’explique par le renvoi des sociaux-chrétiens dans l’opposition</w:t>
      </w:r>
      <w:r>
        <w:rPr>
          <w:rFonts w:cs="Times New Roman"/>
          <w:sz w:val="22"/>
          <w:szCs w:val="22"/>
        </w:rPr>
        <w:t>,</w:t>
      </w:r>
      <w:r w:rsidRPr="00BC42DD">
        <w:rPr>
          <w:rFonts w:cs="Times New Roman"/>
          <w:sz w:val="22"/>
          <w:szCs w:val="22"/>
        </w:rPr>
        <w:t xml:space="preserve"> </w:t>
      </w:r>
      <w:r>
        <w:rPr>
          <w:rFonts w:cs="Times New Roman"/>
          <w:sz w:val="22"/>
          <w:szCs w:val="22"/>
        </w:rPr>
        <w:t>à tous les niveaux de pouvoir</w:t>
      </w:r>
      <w:r w:rsidR="002D4472" w:rsidRPr="00B246CC">
        <w:rPr>
          <w:rFonts w:cs="Times New Roman"/>
          <w:sz w:val="22"/>
          <w:szCs w:val="22"/>
        </w:rPr>
        <w:t xml:space="preserve">. Cet événement, inédit en quarante ans, a eu de sérieuses répercussions sur le fonctionnement de l’instance : </w:t>
      </w:r>
      <w:r w:rsidR="002D4472" w:rsidRPr="00B246CC">
        <w:rPr>
          <w:rFonts w:cs="Times New Roman"/>
          <w:sz w:val="22"/>
          <w:szCs w:val="22"/>
          <w:lang w:val="fr-BE"/>
        </w:rPr>
        <w:t>« </w:t>
      </w:r>
      <w:r w:rsidR="002D4472" w:rsidRPr="00B246CC">
        <w:rPr>
          <w:rFonts w:cs="Times New Roman"/>
          <w:i/>
          <w:sz w:val="22"/>
          <w:szCs w:val="22"/>
          <w:lang w:val="fr-BE"/>
        </w:rPr>
        <w:t xml:space="preserve">les partis sociaux-chrétiens ont disparu de la majorité […] alors que le président de la Section était CVP. On lui a fait un procès à l’époque de tenir un langage </w:t>
      </w:r>
      <w:r w:rsidR="002D4472" w:rsidRPr="00B246CC">
        <w:rPr>
          <w:rFonts w:cs="Times New Roman"/>
          <w:i/>
          <w:sz w:val="22"/>
          <w:szCs w:val="22"/>
          <w:lang w:val="fr-BE"/>
        </w:rPr>
        <w:lastRenderedPageBreak/>
        <w:t>de rigueur qu’il n’aurait pas tenu à ce point si le CVP était encore aux affaires </w:t>
      </w:r>
      <w:r w:rsidR="002D4472" w:rsidRPr="00B246CC">
        <w:rPr>
          <w:rFonts w:cs="Times New Roman"/>
          <w:sz w:val="22"/>
          <w:szCs w:val="22"/>
          <w:lang w:val="fr-BE"/>
        </w:rPr>
        <w:t xml:space="preserve">» (E5). </w:t>
      </w:r>
      <w:r>
        <w:rPr>
          <w:rFonts w:cs="Times New Roman"/>
          <w:sz w:val="22"/>
          <w:szCs w:val="22"/>
          <w:lang w:val="fr-BE"/>
        </w:rPr>
        <w:t>L</w:t>
      </w:r>
      <w:r w:rsidR="002D4472" w:rsidRPr="00B246CC">
        <w:rPr>
          <w:rFonts w:cs="Times New Roman"/>
          <w:sz w:val="22"/>
          <w:szCs w:val="22"/>
          <w:lang w:val="fr-BE"/>
        </w:rPr>
        <w:t xml:space="preserve">e manque de relais du ministre des Finances au sein de la Section a </w:t>
      </w:r>
      <w:r>
        <w:rPr>
          <w:rFonts w:cs="Times New Roman"/>
          <w:sz w:val="22"/>
          <w:szCs w:val="22"/>
          <w:lang w:val="fr-BE"/>
        </w:rPr>
        <w:t xml:space="preserve">également </w:t>
      </w:r>
      <w:r w:rsidR="002D4472" w:rsidRPr="00B246CC">
        <w:rPr>
          <w:rFonts w:cs="Times New Roman"/>
          <w:sz w:val="22"/>
          <w:szCs w:val="22"/>
          <w:lang w:val="fr-BE"/>
        </w:rPr>
        <w:t xml:space="preserve">entamé sa confiance dans l’institution. </w:t>
      </w:r>
    </w:p>
    <w:p w14:paraId="5D81981F" w14:textId="77777777" w:rsidR="00013735" w:rsidRPr="004F2163" w:rsidRDefault="00013735" w:rsidP="006B11F4">
      <w:pPr>
        <w:tabs>
          <w:tab w:val="left" w:pos="6917"/>
        </w:tabs>
        <w:spacing w:line="240" w:lineRule="auto"/>
        <w:jc w:val="both"/>
        <w:rPr>
          <w:rFonts w:cs="Times New Roman"/>
          <w:sz w:val="22"/>
          <w:szCs w:val="22"/>
          <w:lang w:val="fr-BE"/>
        </w:rPr>
      </w:pPr>
    </w:p>
    <w:p w14:paraId="4FB5C483" w14:textId="0493012C" w:rsidR="00D404A5" w:rsidRPr="004F2163" w:rsidRDefault="002D4472" w:rsidP="006B11F4">
      <w:pPr>
        <w:tabs>
          <w:tab w:val="left" w:pos="6917"/>
        </w:tabs>
        <w:spacing w:line="240" w:lineRule="auto"/>
        <w:jc w:val="both"/>
        <w:rPr>
          <w:rFonts w:cs="Times New Roman"/>
          <w:sz w:val="22"/>
          <w:szCs w:val="22"/>
          <w:lang w:val="fr-BE"/>
        </w:rPr>
      </w:pPr>
      <w:r w:rsidRPr="00B246CC">
        <w:rPr>
          <w:rFonts w:cs="Times New Roman"/>
          <w:sz w:val="22"/>
          <w:szCs w:val="22"/>
          <w:lang w:val="fr-BE"/>
        </w:rPr>
        <w:t>La conjugaison de ces deux facteurs a généré un certain « </w:t>
      </w:r>
      <w:r w:rsidRPr="00B246CC">
        <w:rPr>
          <w:rFonts w:cs="Times New Roman"/>
          <w:i/>
          <w:sz w:val="22"/>
          <w:szCs w:val="22"/>
          <w:lang w:val="fr-BE"/>
        </w:rPr>
        <w:t>malaise </w:t>
      </w:r>
      <w:r w:rsidRPr="00B246CC">
        <w:rPr>
          <w:rFonts w:cs="Times New Roman"/>
          <w:sz w:val="22"/>
          <w:szCs w:val="22"/>
          <w:lang w:val="fr-BE"/>
        </w:rPr>
        <w:t xml:space="preserve">» (E2) au sein de la Section, que son non-renouvellement en 2005 n’a fait qu’accentuer : cette (non-)décision signifiait </w:t>
      </w:r>
      <w:r w:rsidRPr="00B246CC">
        <w:rPr>
          <w:rFonts w:cs="Times New Roman"/>
          <w:i/>
          <w:sz w:val="22"/>
          <w:szCs w:val="22"/>
          <w:lang w:val="fr-BE"/>
        </w:rPr>
        <w:t>de facto</w:t>
      </w:r>
      <w:r w:rsidRPr="00B246CC">
        <w:rPr>
          <w:rFonts w:cs="Times New Roman"/>
          <w:sz w:val="22"/>
          <w:szCs w:val="22"/>
          <w:lang w:val="fr-BE"/>
        </w:rPr>
        <w:t xml:space="preserve"> la « </w:t>
      </w:r>
      <w:r w:rsidRPr="00B246CC">
        <w:rPr>
          <w:rFonts w:cs="Times New Roman"/>
          <w:i/>
          <w:sz w:val="22"/>
          <w:szCs w:val="22"/>
          <w:lang w:val="fr-BE"/>
        </w:rPr>
        <w:t>mise en veilleuse </w:t>
      </w:r>
      <w:r w:rsidRPr="00B246CC">
        <w:rPr>
          <w:rFonts w:cs="Times New Roman"/>
          <w:sz w:val="22"/>
          <w:szCs w:val="22"/>
          <w:lang w:val="fr-BE"/>
        </w:rPr>
        <w:t xml:space="preserve">» (E3) du CSF pour une durée indéterminée. Si cette période agitée s’est achevée </w:t>
      </w:r>
      <w:r w:rsidR="00BC42DD">
        <w:rPr>
          <w:rFonts w:cs="Times New Roman"/>
          <w:sz w:val="22"/>
          <w:szCs w:val="22"/>
          <w:lang w:val="fr-BE"/>
        </w:rPr>
        <w:t>lors</w:t>
      </w:r>
      <w:r w:rsidRPr="00B246CC">
        <w:rPr>
          <w:rFonts w:cs="Times New Roman"/>
          <w:sz w:val="22"/>
          <w:szCs w:val="22"/>
          <w:lang w:val="fr-BE"/>
        </w:rPr>
        <w:t xml:space="preserve"> </w:t>
      </w:r>
      <w:r w:rsidR="00BC42DD">
        <w:rPr>
          <w:rFonts w:cs="Times New Roman"/>
          <w:sz w:val="22"/>
          <w:szCs w:val="22"/>
          <w:lang w:val="fr-BE"/>
        </w:rPr>
        <w:t>du</w:t>
      </w:r>
      <w:r w:rsidRPr="00B246CC">
        <w:rPr>
          <w:rFonts w:cs="Times New Roman"/>
          <w:sz w:val="22"/>
          <w:szCs w:val="22"/>
          <w:lang w:val="fr-BE"/>
        </w:rPr>
        <w:t xml:space="preserve"> renouvellement intégral de la Section</w:t>
      </w:r>
      <w:r w:rsidR="00BC42DD">
        <w:rPr>
          <w:rFonts w:cs="Times New Roman"/>
          <w:sz w:val="22"/>
          <w:szCs w:val="22"/>
          <w:lang w:val="fr-BE"/>
        </w:rPr>
        <w:t xml:space="preserve"> en 2006</w:t>
      </w:r>
      <w:r w:rsidR="00A174E9" w:rsidRPr="004F2163">
        <w:rPr>
          <w:rStyle w:val="Appelnotedebasdep"/>
          <w:rFonts w:cs="Times New Roman"/>
          <w:sz w:val="22"/>
          <w:szCs w:val="22"/>
          <w:lang w:val="fr-BE"/>
        </w:rPr>
        <w:footnoteReference w:id="29"/>
      </w:r>
      <w:r w:rsidR="00705E3D" w:rsidRPr="004F2163">
        <w:rPr>
          <w:rFonts w:cs="Times New Roman"/>
          <w:sz w:val="22"/>
          <w:szCs w:val="22"/>
          <w:lang w:val="fr-BE"/>
        </w:rPr>
        <w:t xml:space="preserve">, </w:t>
      </w:r>
      <w:r w:rsidRPr="00B246CC">
        <w:rPr>
          <w:rFonts w:cs="Times New Roman"/>
          <w:sz w:val="22"/>
          <w:szCs w:val="22"/>
          <w:lang w:val="fr-BE"/>
        </w:rPr>
        <w:t xml:space="preserve">elle n’en a pas moins </w:t>
      </w:r>
      <w:r w:rsidR="00BC42DD">
        <w:rPr>
          <w:rFonts w:cs="Times New Roman"/>
          <w:sz w:val="22"/>
          <w:szCs w:val="22"/>
          <w:lang w:val="fr-BE"/>
        </w:rPr>
        <w:t xml:space="preserve">durablement </w:t>
      </w:r>
      <w:r w:rsidRPr="00B246CC">
        <w:rPr>
          <w:rFonts w:cs="Times New Roman"/>
          <w:sz w:val="22"/>
          <w:szCs w:val="22"/>
          <w:lang w:val="fr-BE"/>
        </w:rPr>
        <w:t xml:space="preserve">infléchi </w:t>
      </w:r>
      <w:r w:rsidR="00BC42DD">
        <w:rPr>
          <w:rFonts w:cs="Times New Roman"/>
          <w:sz w:val="22"/>
          <w:szCs w:val="22"/>
          <w:lang w:val="fr-BE"/>
        </w:rPr>
        <w:t>son</w:t>
      </w:r>
      <w:r w:rsidRPr="00B246CC">
        <w:rPr>
          <w:rFonts w:cs="Times New Roman"/>
          <w:sz w:val="22"/>
          <w:szCs w:val="22"/>
          <w:lang w:val="fr-BE"/>
        </w:rPr>
        <w:t xml:space="preserve"> </w:t>
      </w:r>
      <w:r w:rsidR="005D6A39">
        <w:rPr>
          <w:rFonts w:cs="Times New Roman"/>
          <w:sz w:val="22"/>
          <w:szCs w:val="22"/>
          <w:lang w:val="fr-BE"/>
        </w:rPr>
        <w:t xml:space="preserve">mode de </w:t>
      </w:r>
      <w:r w:rsidRPr="00B246CC">
        <w:rPr>
          <w:rFonts w:cs="Times New Roman"/>
          <w:sz w:val="22"/>
          <w:szCs w:val="22"/>
          <w:lang w:val="fr-BE"/>
        </w:rPr>
        <w:t xml:space="preserve">fonctionnement. La virulence de l’avis de juillet 2004 a en effet </w:t>
      </w:r>
      <w:r w:rsidR="005D6A39">
        <w:rPr>
          <w:rFonts w:cs="Times New Roman"/>
          <w:sz w:val="22"/>
          <w:szCs w:val="22"/>
          <w:lang w:val="fr-BE"/>
        </w:rPr>
        <w:t>rendu</w:t>
      </w:r>
      <w:r w:rsidRPr="00B246CC">
        <w:rPr>
          <w:rFonts w:cs="Times New Roman"/>
          <w:sz w:val="22"/>
          <w:szCs w:val="22"/>
          <w:lang w:val="fr-BE"/>
        </w:rPr>
        <w:t xml:space="preserve"> </w:t>
      </w:r>
      <w:r w:rsidR="00C6125A">
        <w:rPr>
          <w:rFonts w:cs="Times New Roman"/>
          <w:sz w:val="22"/>
          <w:szCs w:val="22"/>
          <w:lang w:val="fr-BE"/>
        </w:rPr>
        <w:t>les</w:t>
      </w:r>
      <w:r w:rsidRPr="00B246CC">
        <w:rPr>
          <w:rFonts w:cs="Times New Roman"/>
          <w:sz w:val="22"/>
          <w:szCs w:val="22"/>
          <w:lang w:val="fr-BE"/>
        </w:rPr>
        <w:t xml:space="preserve"> partis </w:t>
      </w:r>
      <w:r w:rsidRPr="00B26A22">
        <w:rPr>
          <w:rFonts w:cs="Times New Roman"/>
          <w:sz w:val="22"/>
          <w:szCs w:val="22"/>
          <w:lang w:val="fr-BE"/>
        </w:rPr>
        <w:t xml:space="preserve">politiques </w:t>
      </w:r>
      <w:r w:rsidR="005D6A39">
        <w:rPr>
          <w:rFonts w:cs="Times New Roman"/>
          <w:sz w:val="22"/>
          <w:szCs w:val="22"/>
          <w:lang w:val="fr-BE"/>
        </w:rPr>
        <w:t xml:space="preserve">conscients </w:t>
      </w:r>
      <w:r w:rsidRPr="00B26A22">
        <w:rPr>
          <w:rFonts w:cs="Times New Roman"/>
          <w:sz w:val="22"/>
          <w:szCs w:val="22"/>
          <w:lang w:val="fr-BE"/>
        </w:rPr>
        <w:t xml:space="preserve">du pouvoir de nuisance </w:t>
      </w:r>
      <w:r w:rsidR="005D6A39">
        <w:rPr>
          <w:rFonts w:cs="Times New Roman"/>
          <w:sz w:val="22"/>
          <w:szCs w:val="22"/>
          <w:lang w:val="fr-BE"/>
        </w:rPr>
        <w:t>potentiel de</w:t>
      </w:r>
      <w:r w:rsidR="00C6125A" w:rsidRPr="00B26A22">
        <w:rPr>
          <w:rFonts w:cs="Times New Roman"/>
          <w:sz w:val="22"/>
          <w:szCs w:val="22"/>
          <w:lang w:val="fr-BE"/>
        </w:rPr>
        <w:t xml:space="preserve"> la Section</w:t>
      </w:r>
      <w:r w:rsidRPr="00B26A22">
        <w:rPr>
          <w:rFonts w:cs="Times New Roman"/>
          <w:sz w:val="22"/>
          <w:szCs w:val="22"/>
          <w:lang w:val="fr-BE"/>
        </w:rPr>
        <w:t xml:space="preserve">. Pour éviter </w:t>
      </w:r>
      <w:r w:rsidR="00C6125A" w:rsidRPr="00B26A22">
        <w:rPr>
          <w:rFonts w:cs="Times New Roman"/>
          <w:sz w:val="22"/>
          <w:szCs w:val="22"/>
          <w:lang w:val="fr-BE"/>
        </w:rPr>
        <w:t xml:space="preserve">la reproduction </w:t>
      </w:r>
      <w:r w:rsidR="00C6125A">
        <w:rPr>
          <w:rFonts w:cs="Times New Roman"/>
          <w:sz w:val="22"/>
          <w:szCs w:val="22"/>
          <w:lang w:val="fr-BE"/>
        </w:rPr>
        <w:t>d’u</w:t>
      </w:r>
      <w:r w:rsidRPr="00B246CC">
        <w:rPr>
          <w:rFonts w:cs="Times New Roman"/>
          <w:sz w:val="22"/>
          <w:szCs w:val="22"/>
          <w:lang w:val="fr-BE"/>
        </w:rPr>
        <w:t>n tel scénario à l’avenir, ils ont donc décidé d’accroître leur emprise sur les membres du CSF, que certains comparent aujourd’hui à un « </w:t>
      </w:r>
      <w:r w:rsidRPr="00B246CC">
        <w:rPr>
          <w:rFonts w:cs="Times New Roman"/>
          <w:i/>
          <w:iCs/>
          <w:sz w:val="22"/>
          <w:szCs w:val="22"/>
          <w:lang w:val="fr-BE" w:eastAsia="en-US"/>
        </w:rPr>
        <w:t>working group</w:t>
      </w:r>
      <w:r w:rsidRPr="00B246CC">
        <w:rPr>
          <w:rFonts w:cs="Times New Roman"/>
          <w:i/>
          <w:sz w:val="22"/>
          <w:szCs w:val="22"/>
          <w:lang w:val="fr-BE" w:eastAsia="en-US"/>
        </w:rPr>
        <w:t xml:space="preserve"> de cabinettards</w:t>
      </w:r>
      <w:r w:rsidRPr="00B246CC">
        <w:rPr>
          <w:rFonts w:cs="Times New Roman"/>
          <w:sz w:val="22"/>
          <w:szCs w:val="22"/>
          <w:lang w:val="fr-BE" w:eastAsia="en-US"/>
        </w:rPr>
        <w:t> »</w:t>
      </w:r>
      <w:r w:rsidRPr="00B246CC">
        <w:rPr>
          <w:rFonts w:cs="Times New Roman"/>
          <w:sz w:val="22"/>
          <w:szCs w:val="22"/>
          <w:lang w:val="fr-BE"/>
        </w:rPr>
        <w:t xml:space="preserve"> (E1). En tant qu’anciens chefs de cabinet de Premier ministre, les deux derniers présidents de la Section </w:t>
      </w:r>
      <w:r w:rsidR="00C6125A">
        <w:rPr>
          <w:rFonts w:cs="Times New Roman"/>
          <w:sz w:val="22"/>
          <w:szCs w:val="22"/>
          <w:lang w:val="fr-BE"/>
        </w:rPr>
        <w:t xml:space="preserve">sont </w:t>
      </w:r>
      <w:r w:rsidR="005D6A39">
        <w:rPr>
          <w:rFonts w:cs="Times New Roman"/>
          <w:sz w:val="22"/>
          <w:szCs w:val="22"/>
          <w:lang w:val="fr-BE"/>
        </w:rPr>
        <w:t>par exemple</w:t>
      </w:r>
      <w:r w:rsidRPr="00B246CC">
        <w:rPr>
          <w:rFonts w:cs="Times New Roman"/>
          <w:sz w:val="22"/>
          <w:szCs w:val="22"/>
          <w:lang w:val="fr-BE"/>
        </w:rPr>
        <w:t xml:space="preserve"> « </w:t>
      </w:r>
      <w:r w:rsidRPr="00B246CC">
        <w:rPr>
          <w:rFonts w:cs="Times New Roman"/>
          <w:i/>
          <w:sz w:val="22"/>
          <w:szCs w:val="22"/>
          <w:lang w:val="fr-BE"/>
        </w:rPr>
        <w:t>des figures plus politiques </w:t>
      </w:r>
      <w:r w:rsidRPr="00B246CC">
        <w:rPr>
          <w:rFonts w:cs="Times New Roman"/>
          <w:sz w:val="22"/>
          <w:szCs w:val="22"/>
          <w:lang w:val="fr-BE"/>
        </w:rPr>
        <w:t>» que leur prédécesseur (E2).</w:t>
      </w:r>
    </w:p>
    <w:p w14:paraId="0B40BAF9" w14:textId="77777777" w:rsidR="00D404A5" w:rsidRPr="004F2163" w:rsidRDefault="00D404A5" w:rsidP="006B11F4">
      <w:pPr>
        <w:tabs>
          <w:tab w:val="left" w:pos="6917"/>
        </w:tabs>
        <w:spacing w:line="240" w:lineRule="auto"/>
        <w:jc w:val="both"/>
        <w:rPr>
          <w:rFonts w:cs="Times New Roman"/>
          <w:sz w:val="22"/>
          <w:szCs w:val="22"/>
          <w:lang w:val="fr-BE"/>
        </w:rPr>
      </w:pPr>
    </w:p>
    <w:p w14:paraId="4D518CB7" w14:textId="1A278E43" w:rsidR="00915B62" w:rsidRDefault="002D4472" w:rsidP="006B11F4">
      <w:pPr>
        <w:tabs>
          <w:tab w:val="left" w:pos="6917"/>
        </w:tabs>
        <w:spacing w:line="240" w:lineRule="auto"/>
        <w:jc w:val="both"/>
        <w:rPr>
          <w:rFonts w:cs="Times New Roman"/>
          <w:sz w:val="22"/>
          <w:szCs w:val="22"/>
          <w:lang w:val="fr-BE" w:eastAsia="en-US"/>
        </w:rPr>
      </w:pPr>
      <w:r w:rsidRPr="00B246CC">
        <w:rPr>
          <w:rFonts w:cs="Times New Roman"/>
          <w:sz w:val="22"/>
          <w:szCs w:val="22"/>
          <w:lang w:val="fr-BE"/>
        </w:rPr>
        <w:t xml:space="preserve">Cette évolution n’est pas nécessairement regrettable. Elle est au contraire susceptible de générer des effets fonctionnels féconds </w:t>
      </w:r>
      <w:r w:rsidR="005D6A39">
        <w:rPr>
          <w:rFonts w:cs="Times New Roman"/>
          <w:sz w:val="22"/>
          <w:szCs w:val="22"/>
          <w:lang w:val="fr-BE"/>
        </w:rPr>
        <w:t>car l</w:t>
      </w:r>
      <w:r w:rsidR="005D6A39" w:rsidRPr="00B246CC">
        <w:rPr>
          <w:rFonts w:cs="Times New Roman"/>
          <w:bCs/>
          <w:sz w:val="22"/>
          <w:szCs w:val="22"/>
          <w:lang w:val="fr-BE" w:eastAsia="en-US"/>
        </w:rPr>
        <w:t>a consolidation de l’autorité des partis politiques sur les membres de la Section peut faciliter les contacts et la transmission d’idées entre la Section et les gouvernants</w:t>
      </w:r>
      <w:r w:rsidR="005D6A39">
        <w:rPr>
          <w:rFonts w:cs="Times New Roman"/>
          <w:bCs/>
          <w:sz w:val="22"/>
          <w:szCs w:val="22"/>
          <w:lang w:val="fr-BE" w:eastAsia="en-US"/>
        </w:rPr>
        <w:t> </w:t>
      </w:r>
      <w:r w:rsidR="005D6A39">
        <w:rPr>
          <w:rFonts w:cs="Times New Roman"/>
          <w:sz w:val="22"/>
          <w:szCs w:val="22"/>
          <w:lang w:val="fr-BE"/>
        </w:rPr>
        <w:t>:</w:t>
      </w:r>
      <w:r w:rsidRPr="00B246CC">
        <w:rPr>
          <w:rFonts w:cs="Times New Roman"/>
          <w:sz w:val="22"/>
          <w:szCs w:val="22"/>
          <w:lang w:val="fr-BE"/>
        </w:rPr>
        <w:t xml:space="preserve"> </w:t>
      </w:r>
      <w:r w:rsidRPr="00B246CC">
        <w:rPr>
          <w:rFonts w:cs="Times New Roman"/>
          <w:i/>
          <w:sz w:val="22"/>
          <w:szCs w:val="22"/>
          <w:lang w:val="fr-BE"/>
        </w:rPr>
        <w:t>« </w:t>
      </w:r>
      <w:r w:rsidRPr="00B246CC">
        <w:rPr>
          <w:rFonts w:cs="Times New Roman"/>
          <w:bCs/>
          <w:i/>
          <w:sz w:val="22"/>
          <w:szCs w:val="22"/>
          <w:lang w:val="fr-BE" w:eastAsia="en-US"/>
        </w:rPr>
        <w:t>si tu as des gens qui peuvent tester à gauche et à droite jusqu’où on peut aller politiquement, c’est de l’expérience »</w:t>
      </w:r>
      <w:r w:rsidRPr="00B246CC">
        <w:rPr>
          <w:rFonts w:cs="Times New Roman"/>
          <w:bCs/>
          <w:sz w:val="22"/>
          <w:szCs w:val="22"/>
          <w:lang w:val="fr-BE" w:eastAsia="en-US"/>
        </w:rPr>
        <w:t xml:space="preserve"> (E6). Il s’agit toutefois d’un équilibre précaire car </w:t>
      </w:r>
      <w:r w:rsidRPr="00B246CC">
        <w:rPr>
          <w:rFonts w:cs="Times New Roman"/>
          <w:sz w:val="22"/>
          <w:szCs w:val="22"/>
          <w:lang w:val="fr-BE" w:eastAsia="en-US"/>
        </w:rPr>
        <w:t>«</w:t>
      </w:r>
      <w:r w:rsidRPr="00B246CC">
        <w:rPr>
          <w:rFonts w:cs="Times New Roman"/>
          <w:i/>
          <w:sz w:val="22"/>
          <w:szCs w:val="22"/>
          <w:lang w:val="fr-BE" w:eastAsia="en-US"/>
        </w:rPr>
        <w:t xml:space="preserve"> entre être influencé et influent, la marge est fine </w:t>
      </w:r>
      <w:r w:rsidRPr="00B246CC">
        <w:rPr>
          <w:rFonts w:cs="Times New Roman"/>
          <w:sz w:val="22"/>
          <w:szCs w:val="22"/>
          <w:lang w:val="fr-BE" w:eastAsia="en-US"/>
        </w:rPr>
        <w:t>» (E6).</w:t>
      </w:r>
    </w:p>
    <w:p w14:paraId="7A8956BC" w14:textId="77777777" w:rsidR="005D6A39" w:rsidRPr="004F2163" w:rsidRDefault="005D6A39" w:rsidP="006B11F4">
      <w:pPr>
        <w:tabs>
          <w:tab w:val="left" w:pos="6917"/>
        </w:tabs>
        <w:spacing w:line="240" w:lineRule="auto"/>
        <w:jc w:val="both"/>
        <w:rPr>
          <w:rFonts w:cs="Times New Roman"/>
          <w:sz w:val="22"/>
          <w:szCs w:val="22"/>
          <w:lang w:val="fr-BE" w:eastAsia="en-US"/>
        </w:rPr>
      </w:pPr>
    </w:p>
    <w:p w14:paraId="4C903367" w14:textId="77777777" w:rsidR="005A35F7" w:rsidRPr="004F2163" w:rsidRDefault="006D280D" w:rsidP="006D280D">
      <w:pPr>
        <w:spacing w:line="240" w:lineRule="auto"/>
        <w:rPr>
          <w:rFonts w:cs="Times New Roman"/>
          <w:b/>
          <w:i/>
          <w:sz w:val="22"/>
          <w:szCs w:val="22"/>
        </w:rPr>
      </w:pPr>
      <w:r w:rsidRPr="004F2163">
        <w:rPr>
          <w:rFonts w:cs="Times New Roman"/>
          <w:b/>
          <w:i/>
          <w:sz w:val="22"/>
          <w:szCs w:val="22"/>
        </w:rPr>
        <w:t>III</w:t>
      </w:r>
      <w:r w:rsidR="002D4472" w:rsidRPr="00B246CC">
        <w:rPr>
          <w:rFonts w:cs="Times New Roman"/>
          <w:b/>
          <w:i/>
          <w:sz w:val="22"/>
          <w:szCs w:val="22"/>
        </w:rPr>
        <w:t>.2.5. Le prestige de la Section</w:t>
      </w:r>
    </w:p>
    <w:p w14:paraId="5310D7F9" w14:textId="77777777" w:rsidR="006D280D" w:rsidRPr="004F2163" w:rsidRDefault="006D280D" w:rsidP="006B11F4">
      <w:pPr>
        <w:spacing w:line="240" w:lineRule="auto"/>
        <w:jc w:val="both"/>
        <w:rPr>
          <w:rFonts w:cs="Times New Roman"/>
          <w:sz w:val="22"/>
          <w:szCs w:val="22"/>
        </w:rPr>
      </w:pPr>
    </w:p>
    <w:p w14:paraId="483A5854" w14:textId="55DF55B5" w:rsidR="00C06887" w:rsidRPr="004F2163" w:rsidRDefault="00562A32" w:rsidP="006B11F4">
      <w:pPr>
        <w:spacing w:line="240" w:lineRule="auto"/>
        <w:jc w:val="both"/>
        <w:rPr>
          <w:rFonts w:cs="Times New Roman"/>
          <w:sz w:val="22"/>
          <w:szCs w:val="22"/>
        </w:rPr>
      </w:pPr>
      <w:r w:rsidRPr="005D6A39">
        <w:rPr>
          <w:rFonts w:cs="Times New Roman"/>
          <w:sz w:val="22"/>
          <w:szCs w:val="22"/>
        </w:rPr>
        <w:t>L</w:t>
      </w:r>
      <w:r w:rsidR="006770FF" w:rsidRPr="005D6A39">
        <w:rPr>
          <w:rFonts w:cs="Times New Roman"/>
          <w:sz w:val="22"/>
          <w:szCs w:val="22"/>
        </w:rPr>
        <w:t xml:space="preserve">e concept </w:t>
      </w:r>
      <w:r w:rsidRPr="005D6A39">
        <w:rPr>
          <w:rFonts w:cs="Times New Roman"/>
          <w:sz w:val="22"/>
          <w:szCs w:val="22"/>
        </w:rPr>
        <w:t>de « prestige</w:t>
      </w:r>
      <w:r w:rsidR="006770FF" w:rsidRPr="005D6A39">
        <w:rPr>
          <w:rFonts w:cs="Times New Roman"/>
          <w:sz w:val="22"/>
          <w:szCs w:val="22"/>
        </w:rPr>
        <w:t> » fait référence aux</w:t>
      </w:r>
      <w:r w:rsidRPr="005D6A39">
        <w:rPr>
          <w:rFonts w:cs="Times New Roman"/>
          <w:sz w:val="22"/>
          <w:szCs w:val="22"/>
        </w:rPr>
        <w:t xml:space="preserve"> représentations véhiculées </w:t>
      </w:r>
      <w:r w:rsidR="006770FF" w:rsidRPr="005D6A39">
        <w:rPr>
          <w:rFonts w:cs="Times New Roman"/>
          <w:sz w:val="22"/>
          <w:szCs w:val="22"/>
        </w:rPr>
        <w:t xml:space="preserve">à </w:t>
      </w:r>
      <w:r w:rsidR="005D6A39" w:rsidRPr="005D6A39">
        <w:rPr>
          <w:rFonts w:cs="Times New Roman"/>
          <w:sz w:val="22"/>
          <w:szCs w:val="22"/>
        </w:rPr>
        <w:t>propose</w:t>
      </w:r>
      <w:r w:rsidRPr="005D6A39">
        <w:rPr>
          <w:rFonts w:cs="Times New Roman"/>
          <w:sz w:val="22"/>
          <w:szCs w:val="22"/>
        </w:rPr>
        <w:t xml:space="preserve"> </w:t>
      </w:r>
      <w:r w:rsidR="006770FF" w:rsidRPr="005D6A39">
        <w:rPr>
          <w:rFonts w:cs="Times New Roman"/>
          <w:sz w:val="22"/>
          <w:szCs w:val="22"/>
        </w:rPr>
        <w:t xml:space="preserve">de la Section </w:t>
      </w:r>
      <w:r w:rsidRPr="005D6A39">
        <w:rPr>
          <w:rFonts w:cs="Times New Roman"/>
          <w:sz w:val="22"/>
          <w:szCs w:val="22"/>
        </w:rPr>
        <w:t xml:space="preserve">au cours d’une période </w:t>
      </w:r>
      <w:r w:rsidR="002D4472" w:rsidRPr="005D6A39">
        <w:rPr>
          <w:rFonts w:cs="Times New Roman"/>
          <w:sz w:val="22"/>
          <w:szCs w:val="22"/>
        </w:rPr>
        <w:t xml:space="preserve">donnée. </w:t>
      </w:r>
      <w:r w:rsidR="006770FF" w:rsidRPr="005D6A39">
        <w:rPr>
          <w:rFonts w:cs="Times New Roman"/>
          <w:sz w:val="22"/>
          <w:szCs w:val="22"/>
        </w:rPr>
        <w:t>Certaines expressions employées pour caractériser son action s’avèrent à cet égard révélatrices</w:t>
      </w:r>
      <w:r w:rsidR="002D4472" w:rsidRPr="005D6A39">
        <w:rPr>
          <w:rFonts w:cs="Times New Roman"/>
          <w:sz w:val="22"/>
          <w:szCs w:val="22"/>
        </w:rPr>
        <w:t>. L’enjeu tiendrait en ces termes : « </w:t>
      </w:r>
      <w:r w:rsidR="002D4472" w:rsidRPr="005D6A39">
        <w:rPr>
          <w:rFonts w:cs="Times New Roman"/>
          <w:i/>
          <w:sz w:val="22"/>
          <w:szCs w:val="22"/>
        </w:rPr>
        <w:t>si le gouvernement dit que l’avis du CSF</w:t>
      </w:r>
      <w:r w:rsidR="002D4472" w:rsidRPr="00B246CC">
        <w:rPr>
          <w:rFonts w:cs="Times New Roman"/>
          <w:i/>
          <w:sz w:val="22"/>
          <w:szCs w:val="22"/>
        </w:rPr>
        <w:t xml:space="preserve"> est irréaliste, c’en est fini de sa crédibilité. S’il dit par contre constamment qu’il a fait ceci ou cela parce que le CSF le préconisait, alors sa crédibilité est forte </w:t>
      </w:r>
      <w:r w:rsidR="002D4472" w:rsidRPr="00B246CC">
        <w:rPr>
          <w:rFonts w:cs="Times New Roman"/>
          <w:sz w:val="22"/>
          <w:szCs w:val="22"/>
        </w:rPr>
        <w:t xml:space="preserve">» (E2). </w:t>
      </w:r>
    </w:p>
    <w:p w14:paraId="015B6570" w14:textId="77777777" w:rsidR="00C06887" w:rsidRPr="004F2163" w:rsidRDefault="00C06887" w:rsidP="006B11F4">
      <w:pPr>
        <w:spacing w:line="240" w:lineRule="auto"/>
        <w:jc w:val="both"/>
        <w:rPr>
          <w:rFonts w:cs="Times New Roman"/>
          <w:sz w:val="22"/>
          <w:szCs w:val="22"/>
        </w:rPr>
      </w:pPr>
    </w:p>
    <w:p w14:paraId="2A4F21C7" w14:textId="0E7CB4F0" w:rsidR="00C06887" w:rsidRPr="004F2163" w:rsidRDefault="002D4472" w:rsidP="006B11F4">
      <w:pPr>
        <w:spacing w:line="240" w:lineRule="auto"/>
        <w:jc w:val="both"/>
        <w:rPr>
          <w:rFonts w:cs="Times New Roman"/>
          <w:sz w:val="22"/>
          <w:szCs w:val="22"/>
        </w:rPr>
      </w:pPr>
      <w:r w:rsidRPr="00B246CC">
        <w:rPr>
          <w:rFonts w:cs="Times New Roman"/>
          <w:sz w:val="22"/>
          <w:szCs w:val="22"/>
        </w:rPr>
        <w:lastRenderedPageBreak/>
        <w:t>Durant les années 1990, la Section</w:t>
      </w:r>
      <w:r w:rsidR="00C6125A">
        <w:rPr>
          <w:rFonts w:cs="Times New Roman"/>
          <w:sz w:val="22"/>
          <w:szCs w:val="22"/>
        </w:rPr>
        <w:t>,</w:t>
      </w:r>
      <w:r w:rsidRPr="00B246CC">
        <w:rPr>
          <w:rFonts w:cs="Times New Roman"/>
          <w:sz w:val="22"/>
          <w:szCs w:val="22"/>
        </w:rPr>
        <w:t xml:space="preserve"> </w:t>
      </w:r>
      <w:r w:rsidR="005D6A39">
        <w:rPr>
          <w:rFonts w:cs="Times New Roman"/>
          <w:sz w:val="22"/>
          <w:szCs w:val="22"/>
        </w:rPr>
        <w:t xml:space="preserve">qui était </w:t>
      </w:r>
      <w:r w:rsidRPr="00B246CC">
        <w:rPr>
          <w:rFonts w:cs="Times New Roman"/>
          <w:sz w:val="22"/>
          <w:szCs w:val="22"/>
        </w:rPr>
        <w:t>régulièrement présentée comme le « </w:t>
      </w:r>
      <w:r w:rsidRPr="00B246CC">
        <w:rPr>
          <w:rFonts w:cs="Times New Roman"/>
          <w:i/>
          <w:sz w:val="22"/>
          <w:szCs w:val="22"/>
        </w:rPr>
        <w:t>chien de garde </w:t>
      </w:r>
      <w:r w:rsidRPr="00B246CC">
        <w:rPr>
          <w:rFonts w:cs="Times New Roman"/>
          <w:sz w:val="22"/>
          <w:szCs w:val="22"/>
        </w:rPr>
        <w:t>» (E2) du gouvernement en matière budgétaire</w:t>
      </w:r>
      <w:r w:rsidR="00C6125A">
        <w:rPr>
          <w:rFonts w:cs="Times New Roman"/>
          <w:sz w:val="22"/>
          <w:szCs w:val="22"/>
        </w:rPr>
        <w:t>,</w:t>
      </w:r>
      <w:r w:rsidRPr="00B246CC">
        <w:rPr>
          <w:rFonts w:cs="Times New Roman"/>
          <w:sz w:val="22"/>
          <w:szCs w:val="22"/>
          <w:lang w:val="fr-BE"/>
        </w:rPr>
        <w:t xml:space="preserve"> jouissait d’une indéniable « </w:t>
      </w:r>
      <w:r w:rsidRPr="00B246CC">
        <w:rPr>
          <w:rFonts w:cs="Times New Roman"/>
          <w:i/>
          <w:sz w:val="22"/>
          <w:szCs w:val="22"/>
          <w:lang w:val="fr-BE"/>
        </w:rPr>
        <w:t>autorité morale </w:t>
      </w:r>
      <w:r w:rsidRPr="00B246CC">
        <w:rPr>
          <w:rFonts w:cs="Times New Roman"/>
          <w:sz w:val="22"/>
          <w:szCs w:val="22"/>
          <w:lang w:val="fr-BE"/>
        </w:rPr>
        <w:t>» (E1)</w:t>
      </w:r>
      <w:r w:rsidR="00C6125A">
        <w:rPr>
          <w:rFonts w:cs="Times New Roman"/>
          <w:sz w:val="22"/>
          <w:szCs w:val="22"/>
          <w:lang w:val="fr-BE"/>
        </w:rPr>
        <w:t>. En d’autres termes,</w:t>
      </w:r>
      <w:r w:rsidRPr="00B246CC">
        <w:rPr>
          <w:rFonts w:cs="Times New Roman"/>
          <w:sz w:val="22"/>
          <w:szCs w:val="22"/>
        </w:rPr>
        <w:t xml:space="preserve"> « </w:t>
      </w:r>
      <w:r w:rsidRPr="00B246CC">
        <w:rPr>
          <w:rFonts w:cs="Times New Roman"/>
          <w:i/>
          <w:sz w:val="22"/>
          <w:szCs w:val="22"/>
        </w:rPr>
        <w:t xml:space="preserve">si le </w:t>
      </w:r>
      <w:r w:rsidRPr="00B246CC">
        <w:rPr>
          <w:rFonts w:cs="Times New Roman"/>
          <w:i/>
          <w:sz w:val="22"/>
          <w:szCs w:val="22"/>
          <w:lang w:val="fr-BE" w:eastAsia="en-US"/>
        </w:rPr>
        <w:t>CSF disait quelque chose au gouvernement, il le faisait</w:t>
      </w:r>
      <w:r w:rsidRPr="00B246CC">
        <w:rPr>
          <w:rFonts w:cs="Times New Roman"/>
          <w:sz w:val="22"/>
          <w:szCs w:val="22"/>
          <w:lang w:val="fr-BE" w:eastAsia="en-US"/>
        </w:rPr>
        <w:t xml:space="preserve"> » (E6). </w:t>
      </w:r>
      <w:r w:rsidRPr="00B246CC">
        <w:rPr>
          <w:rFonts w:cs="Times New Roman"/>
          <w:sz w:val="22"/>
          <w:szCs w:val="22"/>
          <w:lang w:val="fr-BE"/>
        </w:rPr>
        <w:t xml:space="preserve">Le choix du gouvernement de </w:t>
      </w:r>
      <w:r w:rsidR="005D6A39">
        <w:rPr>
          <w:rFonts w:cs="Times New Roman"/>
          <w:sz w:val="22"/>
          <w:szCs w:val="22"/>
          <w:lang w:val="fr-BE"/>
        </w:rPr>
        <w:t>lui confier</w:t>
      </w:r>
      <w:r w:rsidRPr="00B246CC">
        <w:rPr>
          <w:rFonts w:cs="Times New Roman"/>
          <w:sz w:val="22"/>
          <w:szCs w:val="22"/>
          <w:lang w:val="fr-BE"/>
        </w:rPr>
        <w:t xml:space="preserve"> la surveillance de la trajectoire budgétaire de l’entité I a </w:t>
      </w:r>
      <w:r w:rsidR="00C6125A">
        <w:rPr>
          <w:rFonts w:cs="Times New Roman"/>
          <w:sz w:val="22"/>
          <w:szCs w:val="22"/>
          <w:lang w:val="fr-BE"/>
        </w:rPr>
        <w:t>évidemment contribué à</w:t>
      </w:r>
      <w:r w:rsidRPr="00B246CC">
        <w:rPr>
          <w:rFonts w:cs="Times New Roman"/>
          <w:sz w:val="22"/>
          <w:szCs w:val="22"/>
          <w:lang w:val="fr-BE"/>
        </w:rPr>
        <w:t xml:space="preserve"> renforc</w:t>
      </w:r>
      <w:r w:rsidR="00C6125A">
        <w:rPr>
          <w:rFonts w:cs="Times New Roman"/>
          <w:sz w:val="22"/>
          <w:szCs w:val="22"/>
          <w:lang w:val="fr-BE"/>
        </w:rPr>
        <w:t>er</w:t>
      </w:r>
      <w:r w:rsidRPr="00B246CC">
        <w:rPr>
          <w:rFonts w:cs="Times New Roman"/>
          <w:sz w:val="22"/>
          <w:szCs w:val="22"/>
          <w:lang w:val="fr-BE"/>
        </w:rPr>
        <w:t xml:space="preserve"> sa légitimité. </w:t>
      </w:r>
    </w:p>
    <w:p w14:paraId="38CF8997" w14:textId="77777777" w:rsidR="002C6B77" w:rsidRPr="004F2163" w:rsidRDefault="002C6B77" w:rsidP="006B11F4">
      <w:pPr>
        <w:spacing w:line="240" w:lineRule="auto"/>
        <w:jc w:val="both"/>
        <w:rPr>
          <w:rFonts w:cs="Times New Roman"/>
          <w:sz w:val="22"/>
          <w:szCs w:val="22"/>
        </w:rPr>
      </w:pPr>
    </w:p>
    <w:p w14:paraId="0CDE30F9" w14:textId="7427C70B" w:rsidR="00C72CC1" w:rsidRDefault="006B1C55" w:rsidP="006B1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imes New Roman"/>
          <w:sz w:val="22"/>
          <w:szCs w:val="22"/>
          <w:lang w:val="fr-BE" w:eastAsia="en-US"/>
        </w:rPr>
      </w:pPr>
      <w:r w:rsidRPr="009A0751">
        <w:rPr>
          <w:rFonts w:cs="Times New Roman"/>
          <w:sz w:val="22"/>
          <w:szCs w:val="22"/>
        </w:rPr>
        <w:t>À partir d</w:t>
      </w:r>
      <w:r>
        <w:rPr>
          <w:rFonts w:cs="Times New Roman"/>
          <w:sz w:val="22"/>
          <w:szCs w:val="22"/>
        </w:rPr>
        <w:t>u début des années</w:t>
      </w:r>
      <w:r w:rsidRPr="009A0751">
        <w:rPr>
          <w:rFonts w:cs="Times New Roman"/>
          <w:sz w:val="22"/>
          <w:szCs w:val="22"/>
        </w:rPr>
        <w:t xml:space="preserve"> 2000</w:t>
      </w:r>
      <w:r>
        <w:rPr>
          <w:rFonts w:cs="Times New Roman"/>
          <w:sz w:val="22"/>
          <w:szCs w:val="22"/>
        </w:rPr>
        <w:t>, l</w:t>
      </w:r>
      <w:r w:rsidR="002D4472" w:rsidRPr="00B246CC">
        <w:rPr>
          <w:rFonts w:cs="Times New Roman"/>
          <w:sz w:val="22"/>
          <w:szCs w:val="22"/>
        </w:rPr>
        <w:t>es avis du CSF ont commencé à perdre de leur prestige</w:t>
      </w:r>
      <w:r>
        <w:rPr>
          <w:rFonts w:cs="Times New Roman"/>
          <w:sz w:val="22"/>
          <w:szCs w:val="22"/>
        </w:rPr>
        <w:t> :</w:t>
      </w:r>
      <w:r w:rsidR="002D4472" w:rsidRPr="00B246CC">
        <w:rPr>
          <w:rFonts w:cs="Times New Roman"/>
          <w:sz w:val="22"/>
          <w:szCs w:val="22"/>
        </w:rPr>
        <w:t xml:space="preserve"> </w:t>
      </w:r>
      <w:r w:rsidR="002D4472" w:rsidRPr="00B246CC">
        <w:rPr>
          <w:rFonts w:cs="Times New Roman"/>
          <w:sz w:val="22"/>
          <w:szCs w:val="22"/>
          <w:lang w:val="fr-BE" w:eastAsia="en-US"/>
        </w:rPr>
        <w:t>« </w:t>
      </w:r>
      <w:r>
        <w:rPr>
          <w:rFonts w:cs="Times New Roman"/>
          <w:i/>
          <w:sz w:val="22"/>
          <w:szCs w:val="22"/>
          <w:lang w:val="fr-BE" w:eastAsia="en-US"/>
        </w:rPr>
        <w:t>v</w:t>
      </w:r>
      <w:r w:rsidR="002D4472" w:rsidRPr="00B246CC">
        <w:rPr>
          <w:rFonts w:cs="Times New Roman"/>
          <w:i/>
          <w:sz w:val="22"/>
          <w:szCs w:val="22"/>
          <w:lang w:val="fr-BE" w:eastAsia="en-US"/>
        </w:rPr>
        <w:t>ous savez, c’est comme tout rapport : on le critique s’il ne conforte pas nos thèses</w:t>
      </w:r>
      <w:r w:rsidR="002D4472" w:rsidRPr="00B246CC">
        <w:rPr>
          <w:rFonts w:cs="Times New Roman"/>
          <w:sz w:val="22"/>
          <w:szCs w:val="22"/>
          <w:lang w:val="fr-BE" w:eastAsia="en-US"/>
        </w:rPr>
        <w:t> » (J). Or</w:t>
      </w:r>
      <w:r w:rsidR="002D4472" w:rsidRPr="00B246CC">
        <w:rPr>
          <w:rFonts w:cs="Times New Roman"/>
          <w:sz w:val="22"/>
          <w:szCs w:val="22"/>
        </w:rPr>
        <w:t xml:space="preserve"> « </w:t>
      </w:r>
      <w:r w:rsidR="002D4472" w:rsidRPr="00B246CC">
        <w:rPr>
          <w:rFonts w:cs="Times New Roman"/>
          <w:i/>
          <w:sz w:val="22"/>
          <w:szCs w:val="22"/>
          <w:lang w:val="fr-BE" w:eastAsia="en-US"/>
        </w:rPr>
        <w:t>il y a eu deux, trois ans où le gouvernement a dit qu’il n’était pas d’accord avec les recommandations du CSF et qu’il ajusterait les objectifs de façon plus réaliste, plus politique. Donc je crois qu’ils ont perdu de leur poids </w:t>
      </w:r>
      <w:r w:rsidR="002D4472" w:rsidRPr="00B246CC">
        <w:rPr>
          <w:rFonts w:cs="Times New Roman"/>
          <w:sz w:val="22"/>
          <w:szCs w:val="22"/>
          <w:lang w:val="fr-BE" w:eastAsia="en-US"/>
        </w:rPr>
        <w:t xml:space="preserve">» (E6). Cette impression est confirmée par un </w:t>
      </w:r>
      <w:r w:rsidR="002D4472" w:rsidRPr="00B246CC">
        <w:rPr>
          <w:rFonts w:cs="Times New Roman"/>
          <w:i/>
          <w:sz w:val="22"/>
          <w:szCs w:val="22"/>
          <w:lang w:val="fr-BE" w:eastAsia="en-US"/>
        </w:rPr>
        <w:t>insider</w:t>
      </w:r>
      <w:r w:rsidR="002D4472" w:rsidRPr="00B246CC">
        <w:rPr>
          <w:rFonts w:cs="Times New Roman"/>
          <w:sz w:val="22"/>
          <w:szCs w:val="22"/>
          <w:lang w:val="fr-BE" w:eastAsia="en-US"/>
        </w:rPr>
        <w:t xml:space="preserve">, qui </w:t>
      </w:r>
      <w:r>
        <w:rPr>
          <w:rFonts w:cs="Times New Roman"/>
          <w:sz w:val="22"/>
          <w:szCs w:val="22"/>
          <w:lang w:val="fr-BE" w:eastAsia="en-US"/>
        </w:rPr>
        <w:t>estime</w:t>
      </w:r>
      <w:r w:rsidR="002D4472" w:rsidRPr="00B246CC">
        <w:rPr>
          <w:rFonts w:cs="Times New Roman"/>
          <w:sz w:val="22"/>
          <w:szCs w:val="22"/>
          <w:lang w:val="fr-BE" w:eastAsia="en-US"/>
        </w:rPr>
        <w:t xml:space="preserve"> qu’« </w:t>
      </w:r>
      <w:r w:rsidR="002D4472" w:rsidRPr="00B246CC">
        <w:rPr>
          <w:rFonts w:cs="Times New Roman"/>
          <w:i/>
          <w:sz w:val="22"/>
          <w:szCs w:val="22"/>
          <w:lang w:val="fr-BE" w:eastAsia="en-US"/>
        </w:rPr>
        <w:t>on ne voulait pas entendre notre message </w:t>
      </w:r>
      <w:r w:rsidR="002D4472" w:rsidRPr="00B246CC">
        <w:rPr>
          <w:rFonts w:cs="Times New Roman"/>
          <w:sz w:val="22"/>
          <w:szCs w:val="22"/>
          <w:lang w:val="fr-BE" w:eastAsia="en-US"/>
        </w:rPr>
        <w:t xml:space="preserve">» (E3). Le non-renouvellement évoqué au point précédent a </w:t>
      </w:r>
      <w:r w:rsidR="00F773D6">
        <w:rPr>
          <w:rFonts w:cs="Times New Roman"/>
          <w:sz w:val="22"/>
          <w:szCs w:val="22"/>
          <w:lang w:val="fr-BE" w:eastAsia="en-US"/>
        </w:rPr>
        <w:t>également</w:t>
      </w:r>
      <w:r w:rsidR="002D4472" w:rsidRPr="00B246CC">
        <w:rPr>
          <w:rFonts w:cs="Times New Roman"/>
          <w:sz w:val="22"/>
          <w:szCs w:val="22"/>
          <w:lang w:val="fr-BE" w:eastAsia="en-US"/>
        </w:rPr>
        <w:t xml:space="preserve"> nui à </w:t>
      </w:r>
      <w:r w:rsidR="005D6A39">
        <w:rPr>
          <w:rFonts w:cs="Times New Roman"/>
          <w:sz w:val="22"/>
          <w:szCs w:val="22"/>
          <w:lang w:val="fr-BE" w:eastAsia="en-US"/>
        </w:rPr>
        <w:t xml:space="preserve">la crédibilité de </w:t>
      </w:r>
      <w:r w:rsidR="002D4472" w:rsidRPr="00B246CC">
        <w:rPr>
          <w:rFonts w:cs="Times New Roman"/>
          <w:sz w:val="22"/>
          <w:szCs w:val="22"/>
          <w:lang w:val="fr-BE" w:eastAsia="en-US"/>
        </w:rPr>
        <w:t>l’organe, dont « </w:t>
      </w:r>
      <w:r w:rsidR="002D4472" w:rsidRPr="00B246CC">
        <w:rPr>
          <w:rFonts w:cs="Times New Roman"/>
          <w:i/>
          <w:sz w:val="22"/>
          <w:szCs w:val="22"/>
          <w:lang w:val="fr-BE" w:eastAsia="en-US"/>
        </w:rPr>
        <w:t>l’influence a été amputée </w:t>
      </w:r>
      <w:r w:rsidR="002D4472" w:rsidRPr="00B246CC">
        <w:rPr>
          <w:rFonts w:cs="Times New Roman"/>
          <w:sz w:val="22"/>
          <w:szCs w:val="22"/>
          <w:lang w:val="fr-BE" w:eastAsia="en-US"/>
        </w:rPr>
        <w:t>» (E3).</w:t>
      </w:r>
    </w:p>
    <w:p w14:paraId="43098AC9" w14:textId="77777777" w:rsidR="00B26A22" w:rsidRPr="004F2163" w:rsidRDefault="00B26A22" w:rsidP="006B1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imes New Roman"/>
          <w:sz w:val="22"/>
          <w:szCs w:val="22"/>
          <w:lang w:val="fr-BE" w:eastAsia="en-US"/>
        </w:rPr>
      </w:pPr>
    </w:p>
    <w:p w14:paraId="601E220D" w14:textId="6F307732" w:rsidR="001C632B" w:rsidRPr="004F2163" w:rsidRDefault="006B1C55" w:rsidP="006B1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imes New Roman"/>
          <w:sz w:val="22"/>
          <w:szCs w:val="22"/>
          <w:lang w:val="fr-BE" w:eastAsia="en-US"/>
        </w:rPr>
      </w:pPr>
      <w:r w:rsidRPr="009A0751">
        <w:rPr>
          <w:rFonts w:cs="Times New Roman"/>
          <w:sz w:val="22"/>
          <w:szCs w:val="22"/>
          <w:lang w:val="fr-BE" w:eastAsia="en-US"/>
        </w:rPr>
        <w:t xml:space="preserve">Depuis lors, </w:t>
      </w:r>
      <w:r>
        <w:rPr>
          <w:rFonts w:cs="Times New Roman"/>
          <w:sz w:val="22"/>
          <w:szCs w:val="22"/>
          <w:lang w:val="fr-BE" w:eastAsia="en-US"/>
        </w:rPr>
        <w:t>l</w:t>
      </w:r>
      <w:r w:rsidR="002D4472" w:rsidRPr="00B246CC">
        <w:rPr>
          <w:rFonts w:cs="Times New Roman"/>
          <w:sz w:val="22"/>
          <w:szCs w:val="22"/>
          <w:lang w:val="fr-BE" w:eastAsia="en-US"/>
        </w:rPr>
        <w:t xml:space="preserve">e CSF </w:t>
      </w:r>
      <w:r w:rsidR="009A1DDA" w:rsidRPr="00B26A22">
        <w:rPr>
          <w:rFonts w:cs="Times New Roman"/>
          <w:sz w:val="22"/>
          <w:szCs w:val="22"/>
          <w:lang w:val="fr-BE" w:eastAsia="en-US"/>
        </w:rPr>
        <w:t>semble avoir</w:t>
      </w:r>
      <w:r w:rsidRPr="00B26A22">
        <w:rPr>
          <w:rFonts w:cs="Times New Roman"/>
          <w:sz w:val="22"/>
          <w:szCs w:val="22"/>
          <w:lang w:val="fr-BE" w:eastAsia="en-US"/>
        </w:rPr>
        <w:t xml:space="preserve"> </w:t>
      </w:r>
      <w:r w:rsidR="002D4472" w:rsidRPr="00B26A22">
        <w:rPr>
          <w:rFonts w:cs="Times New Roman"/>
          <w:sz w:val="22"/>
          <w:szCs w:val="22"/>
          <w:lang w:val="fr-BE" w:eastAsia="en-US"/>
        </w:rPr>
        <w:t>regagné une partie de son crédit</w:t>
      </w:r>
      <w:r w:rsidRPr="00B26A22">
        <w:rPr>
          <w:rFonts w:cs="Times New Roman"/>
          <w:sz w:val="22"/>
          <w:szCs w:val="22"/>
          <w:lang w:val="fr-BE" w:eastAsia="en-US"/>
        </w:rPr>
        <w:t>,</w:t>
      </w:r>
      <w:r w:rsidR="002D4472" w:rsidRPr="00B26A22">
        <w:rPr>
          <w:rFonts w:cs="Times New Roman"/>
          <w:sz w:val="22"/>
          <w:szCs w:val="22"/>
          <w:lang w:val="fr-BE" w:eastAsia="en-US"/>
        </w:rPr>
        <w:t xml:space="preserve"> sans nécessairement égaler les sommets atteints il y a vingt </w:t>
      </w:r>
      <w:r w:rsidR="002D4472" w:rsidRPr="00B246CC">
        <w:rPr>
          <w:rFonts w:cs="Times New Roman"/>
          <w:sz w:val="22"/>
          <w:szCs w:val="22"/>
          <w:lang w:val="fr-BE" w:eastAsia="en-US"/>
        </w:rPr>
        <w:t>ans : « </w:t>
      </w:r>
      <w:r w:rsidR="002D4472" w:rsidRPr="00B246CC">
        <w:rPr>
          <w:rFonts w:cs="Times New Roman"/>
          <w:i/>
          <w:sz w:val="22"/>
          <w:szCs w:val="22"/>
          <w:lang w:val="fr-BE" w:eastAsia="en-US"/>
        </w:rPr>
        <w:t>si je regarde le rôle du CSF, je crois qu’il a, pendant une période, perdu de l’impact sur la décision politique. J’ai l’impression qu’ils essaient à nouveau de se mettre un peu plus sur le terrain maintenant</w:t>
      </w:r>
      <w:r w:rsidR="002D4472" w:rsidRPr="00B246CC">
        <w:rPr>
          <w:rFonts w:cs="Times New Roman"/>
          <w:sz w:val="22"/>
          <w:szCs w:val="22"/>
          <w:lang w:val="fr-BE" w:eastAsia="en-US"/>
        </w:rPr>
        <w:t> » (E6). Les nouvelles réglementations budgétaires européennes pourraient consolider son rôle</w:t>
      </w:r>
      <w:r>
        <w:rPr>
          <w:rFonts w:cs="Times New Roman"/>
          <w:sz w:val="22"/>
          <w:szCs w:val="22"/>
          <w:lang w:val="fr-BE" w:eastAsia="en-US"/>
        </w:rPr>
        <w:t xml:space="preserve"> à l’avenir</w:t>
      </w:r>
      <w:r w:rsidR="002D4472" w:rsidRPr="00B246CC">
        <w:rPr>
          <w:rFonts w:cs="Times New Roman"/>
          <w:sz w:val="22"/>
          <w:szCs w:val="22"/>
          <w:lang w:val="fr-BE" w:eastAsia="en-US"/>
        </w:rPr>
        <w:t>. L’accord de coopération transposant les dispositions du TSCG en droit belge consacre en effet la Section en tant qu’organisme indépendant chargé du suivi des règles budgétaires</w:t>
      </w:r>
      <w:r w:rsidR="000E289A" w:rsidRPr="004F2163">
        <w:rPr>
          <w:rStyle w:val="Appelnotedebasdep"/>
          <w:rFonts w:cs="Times New Roman"/>
          <w:sz w:val="22"/>
          <w:szCs w:val="22"/>
          <w:lang w:val="fr-BE" w:eastAsia="en-US"/>
        </w:rPr>
        <w:footnoteReference w:id="30"/>
      </w:r>
      <w:r w:rsidR="000E289A" w:rsidRPr="004F2163">
        <w:rPr>
          <w:rFonts w:cs="Times New Roman"/>
          <w:sz w:val="22"/>
          <w:szCs w:val="22"/>
          <w:lang w:val="fr-BE" w:eastAsia="en-US"/>
        </w:rPr>
        <w:t>.</w:t>
      </w:r>
      <w:r w:rsidR="002D4472" w:rsidRPr="00B246CC">
        <w:rPr>
          <w:rFonts w:cs="Times New Roman"/>
          <w:sz w:val="22"/>
          <w:szCs w:val="22"/>
          <w:lang w:val="fr-BE" w:eastAsia="en-US"/>
        </w:rPr>
        <w:t xml:space="preserve"> Il lui confie</w:t>
      </w:r>
      <w:r>
        <w:rPr>
          <w:rFonts w:cs="Times New Roman"/>
          <w:sz w:val="22"/>
          <w:szCs w:val="22"/>
          <w:lang w:val="fr-BE" w:eastAsia="en-US"/>
        </w:rPr>
        <w:t xml:space="preserve"> notamment</w:t>
      </w:r>
      <w:r w:rsidR="002D4472" w:rsidRPr="00B246CC">
        <w:rPr>
          <w:rFonts w:cs="Times New Roman"/>
          <w:sz w:val="22"/>
          <w:szCs w:val="22"/>
          <w:lang w:val="fr-BE" w:eastAsia="en-US"/>
        </w:rPr>
        <w:t xml:space="preserve"> le soin d’évaluer </w:t>
      </w:r>
      <w:r w:rsidR="002D4472" w:rsidRPr="00B246CC">
        <w:rPr>
          <w:rFonts w:cs="Times New Roman"/>
          <w:i/>
          <w:sz w:val="22"/>
          <w:szCs w:val="22"/>
          <w:lang w:val="fr-BE" w:eastAsia="en-US"/>
        </w:rPr>
        <w:t>a posteriori</w:t>
      </w:r>
      <w:r w:rsidR="002D4472" w:rsidRPr="00B246CC">
        <w:rPr>
          <w:rFonts w:cs="Times New Roman"/>
          <w:sz w:val="22"/>
          <w:szCs w:val="22"/>
          <w:lang w:val="fr-BE" w:eastAsia="en-US"/>
        </w:rPr>
        <w:t xml:space="preserve"> si les différentes collectivités publiques belges ont respecté leurs engagements budgétaires ; de constater l’existence ou non d’écarts importants ; de déterminer les cas de circonstances exceptionnelles ; d’émettre un avis sur d’éventuelles mesures de correction et de vérifier la mise en œuvre de ces mesures</w:t>
      </w:r>
      <w:r w:rsidR="006B453E" w:rsidRPr="004F2163">
        <w:rPr>
          <w:rStyle w:val="Appelnotedebasdep"/>
          <w:rFonts w:cs="Times New Roman"/>
          <w:sz w:val="22"/>
          <w:szCs w:val="22"/>
          <w:lang w:val="fr-BE" w:eastAsia="en-US"/>
        </w:rPr>
        <w:footnoteReference w:id="31"/>
      </w:r>
      <w:r w:rsidR="006B453E" w:rsidRPr="004F2163">
        <w:rPr>
          <w:rFonts w:cs="Times New Roman"/>
          <w:sz w:val="22"/>
          <w:szCs w:val="22"/>
          <w:lang w:val="fr-BE" w:eastAsia="en-US"/>
        </w:rPr>
        <w:t xml:space="preserve">. </w:t>
      </w:r>
      <w:r w:rsidR="005D6A39">
        <w:rPr>
          <w:rFonts w:cs="Times New Roman"/>
          <w:sz w:val="22"/>
          <w:szCs w:val="22"/>
          <w:lang w:val="fr-BE" w:eastAsia="en-US"/>
        </w:rPr>
        <w:t>Dorénavant,</w:t>
      </w:r>
      <w:r w:rsidR="002D4472" w:rsidRPr="00B246CC">
        <w:rPr>
          <w:rFonts w:cs="Times New Roman"/>
          <w:sz w:val="22"/>
          <w:szCs w:val="22"/>
          <w:lang w:val="fr-BE" w:eastAsia="en-US"/>
        </w:rPr>
        <w:t xml:space="preserve"> la tâche de la Section ne se limite</w:t>
      </w:r>
      <w:r>
        <w:rPr>
          <w:rFonts w:cs="Times New Roman"/>
          <w:sz w:val="22"/>
          <w:szCs w:val="22"/>
          <w:lang w:val="fr-BE" w:eastAsia="en-US"/>
        </w:rPr>
        <w:t>ra</w:t>
      </w:r>
      <w:r w:rsidR="002D4472" w:rsidRPr="00B246CC">
        <w:rPr>
          <w:rFonts w:cs="Times New Roman"/>
          <w:sz w:val="22"/>
          <w:szCs w:val="22"/>
          <w:lang w:val="fr-BE" w:eastAsia="en-US"/>
        </w:rPr>
        <w:t xml:space="preserve"> </w:t>
      </w:r>
      <w:r w:rsidR="005D6A39">
        <w:rPr>
          <w:rFonts w:cs="Times New Roman"/>
          <w:sz w:val="22"/>
          <w:szCs w:val="22"/>
          <w:lang w:val="fr-BE" w:eastAsia="en-US"/>
        </w:rPr>
        <w:t xml:space="preserve">donc </w:t>
      </w:r>
      <w:r w:rsidR="002D4472" w:rsidRPr="00B246CC">
        <w:rPr>
          <w:rFonts w:cs="Times New Roman"/>
          <w:sz w:val="22"/>
          <w:szCs w:val="22"/>
          <w:lang w:val="fr-BE" w:eastAsia="en-US"/>
        </w:rPr>
        <w:t xml:space="preserve">plus uniquement à l’émission de recommandations </w:t>
      </w:r>
      <w:r w:rsidR="002D4472" w:rsidRPr="00B246CC">
        <w:rPr>
          <w:rFonts w:cs="Times New Roman"/>
          <w:i/>
          <w:sz w:val="22"/>
          <w:szCs w:val="22"/>
          <w:lang w:val="fr-BE" w:eastAsia="en-US"/>
        </w:rPr>
        <w:t xml:space="preserve">ex-ante </w:t>
      </w:r>
      <w:r w:rsidR="002D4472" w:rsidRPr="00B246CC">
        <w:rPr>
          <w:rFonts w:cs="Times New Roman"/>
          <w:sz w:val="22"/>
          <w:szCs w:val="22"/>
          <w:lang w:val="fr-BE" w:eastAsia="en-US"/>
        </w:rPr>
        <w:t xml:space="preserve">mais </w:t>
      </w:r>
      <w:r>
        <w:rPr>
          <w:rFonts w:cs="Times New Roman"/>
          <w:sz w:val="22"/>
          <w:szCs w:val="22"/>
          <w:lang w:val="fr-BE" w:eastAsia="en-US"/>
        </w:rPr>
        <w:t>aussi</w:t>
      </w:r>
      <w:r w:rsidR="002D4472" w:rsidRPr="00B246CC">
        <w:rPr>
          <w:rFonts w:cs="Times New Roman"/>
          <w:sz w:val="22"/>
          <w:szCs w:val="22"/>
          <w:lang w:val="fr-BE" w:eastAsia="en-US"/>
        </w:rPr>
        <w:t xml:space="preserve"> à l’évaluation </w:t>
      </w:r>
      <w:r w:rsidR="002D4472" w:rsidRPr="00B246CC">
        <w:rPr>
          <w:rFonts w:cs="Times New Roman"/>
          <w:i/>
          <w:sz w:val="22"/>
          <w:szCs w:val="22"/>
          <w:lang w:val="fr-BE" w:eastAsia="en-US"/>
        </w:rPr>
        <w:t>ex-post</w:t>
      </w:r>
      <w:r w:rsidR="002D4472" w:rsidRPr="00B246CC">
        <w:rPr>
          <w:rFonts w:cs="Times New Roman"/>
          <w:sz w:val="22"/>
          <w:szCs w:val="22"/>
          <w:lang w:val="fr-BE" w:eastAsia="en-US"/>
        </w:rPr>
        <w:t xml:space="preserve"> de la politique menée aux différents niveaux de pouvoir. </w:t>
      </w:r>
      <w:r w:rsidR="005D6A39">
        <w:rPr>
          <w:rFonts w:cs="Times New Roman"/>
          <w:sz w:val="22"/>
          <w:szCs w:val="22"/>
          <w:lang w:val="fr-BE" w:eastAsia="en-US"/>
        </w:rPr>
        <w:lastRenderedPageBreak/>
        <w:t xml:space="preserve">Ces </w:t>
      </w:r>
      <w:r w:rsidR="002D4472" w:rsidRPr="00B246CC">
        <w:rPr>
          <w:rFonts w:cs="Times New Roman"/>
          <w:sz w:val="22"/>
          <w:szCs w:val="22"/>
          <w:lang w:val="fr-BE" w:eastAsia="en-US"/>
        </w:rPr>
        <w:t xml:space="preserve">nouvelles attributions </w:t>
      </w:r>
      <w:r w:rsidR="005D6A39">
        <w:rPr>
          <w:rFonts w:cs="Times New Roman"/>
          <w:sz w:val="22"/>
          <w:szCs w:val="22"/>
          <w:lang w:val="fr-BE" w:eastAsia="en-US"/>
        </w:rPr>
        <w:t xml:space="preserve">impacteront plus que probablement </w:t>
      </w:r>
      <w:r w:rsidR="00E0466C">
        <w:rPr>
          <w:rFonts w:cs="Times New Roman"/>
          <w:sz w:val="22"/>
          <w:szCs w:val="22"/>
          <w:lang w:val="fr-BE" w:eastAsia="en-US"/>
        </w:rPr>
        <w:t>sa relation</w:t>
      </w:r>
      <w:r w:rsidR="002D4472" w:rsidRPr="00B246CC">
        <w:rPr>
          <w:rFonts w:cs="Times New Roman"/>
          <w:sz w:val="22"/>
          <w:szCs w:val="22"/>
          <w:lang w:val="fr-BE" w:eastAsia="en-US"/>
        </w:rPr>
        <w:t xml:space="preserve"> avec les pouvoirs publics.</w:t>
      </w:r>
    </w:p>
    <w:p w14:paraId="7F0D2F2D" w14:textId="77777777" w:rsidR="006D280D" w:rsidRPr="004F2163" w:rsidRDefault="006D280D" w:rsidP="006B1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cs="Times New Roman"/>
          <w:sz w:val="22"/>
          <w:szCs w:val="22"/>
          <w:lang w:val="fr-BE" w:eastAsia="en-US"/>
        </w:rPr>
      </w:pPr>
    </w:p>
    <w:p w14:paraId="37D7C51D" w14:textId="77777777" w:rsidR="005A35F7" w:rsidRPr="004F2163" w:rsidRDefault="002D4472" w:rsidP="006D280D">
      <w:pPr>
        <w:spacing w:line="240" w:lineRule="auto"/>
        <w:jc w:val="both"/>
        <w:rPr>
          <w:rFonts w:cs="Times New Roman"/>
          <w:b/>
          <w:sz w:val="22"/>
          <w:szCs w:val="22"/>
        </w:rPr>
      </w:pPr>
      <w:r w:rsidRPr="00B246CC">
        <w:rPr>
          <w:rFonts w:cs="Times New Roman"/>
          <w:b/>
          <w:sz w:val="22"/>
          <w:szCs w:val="22"/>
        </w:rPr>
        <w:t xml:space="preserve">IV. </w:t>
      </w:r>
      <w:r w:rsidR="00465B17">
        <w:rPr>
          <w:rFonts w:cs="Times New Roman"/>
          <w:b/>
          <w:sz w:val="22"/>
          <w:szCs w:val="22"/>
        </w:rPr>
        <w:t>É</w:t>
      </w:r>
      <w:r w:rsidRPr="00B246CC">
        <w:rPr>
          <w:rFonts w:cs="Times New Roman"/>
          <w:b/>
          <w:sz w:val="22"/>
          <w:szCs w:val="22"/>
        </w:rPr>
        <w:t>laboration d’un modèle explicatif</w:t>
      </w:r>
    </w:p>
    <w:p w14:paraId="6BB1B56F" w14:textId="77777777" w:rsidR="006D280D" w:rsidRPr="004F2163" w:rsidRDefault="006D280D" w:rsidP="006B11F4">
      <w:pPr>
        <w:spacing w:line="240" w:lineRule="auto"/>
        <w:jc w:val="both"/>
        <w:rPr>
          <w:rFonts w:cs="Times New Roman"/>
          <w:sz w:val="22"/>
          <w:szCs w:val="22"/>
        </w:rPr>
      </w:pPr>
    </w:p>
    <w:p w14:paraId="1B8A639B" w14:textId="44A96C18" w:rsidR="00F53C31" w:rsidRPr="004F2163" w:rsidRDefault="00E0466C" w:rsidP="006B11F4">
      <w:pPr>
        <w:spacing w:line="240" w:lineRule="auto"/>
        <w:jc w:val="both"/>
        <w:rPr>
          <w:rFonts w:cs="Times New Roman"/>
          <w:sz w:val="22"/>
          <w:szCs w:val="22"/>
        </w:rPr>
      </w:pPr>
      <w:r>
        <w:rPr>
          <w:rFonts w:cs="Times New Roman"/>
          <w:sz w:val="22"/>
          <w:szCs w:val="22"/>
        </w:rPr>
        <w:t>Cet exercice d’</w:t>
      </w:r>
      <w:r w:rsidR="002D4472" w:rsidRPr="00B246CC">
        <w:rPr>
          <w:rFonts w:cs="Times New Roman"/>
          <w:sz w:val="22"/>
          <w:szCs w:val="22"/>
        </w:rPr>
        <w:t xml:space="preserve">analyse </w:t>
      </w:r>
      <w:r>
        <w:rPr>
          <w:rFonts w:cs="Times New Roman"/>
          <w:sz w:val="22"/>
          <w:szCs w:val="22"/>
        </w:rPr>
        <w:t xml:space="preserve">du contenu </w:t>
      </w:r>
      <w:r w:rsidR="002D4472" w:rsidRPr="00B246CC">
        <w:rPr>
          <w:rFonts w:cs="Times New Roman"/>
          <w:sz w:val="22"/>
          <w:szCs w:val="22"/>
        </w:rPr>
        <w:t xml:space="preserve">des entretiens nous a </w:t>
      </w:r>
      <w:proofErr w:type="gramStart"/>
      <w:r w:rsidR="00CD3AB1">
        <w:rPr>
          <w:rFonts w:cs="Times New Roman"/>
          <w:sz w:val="22"/>
          <w:szCs w:val="22"/>
        </w:rPr>
        <w:t>conduit</w:t>
      </w:r>
      <w:proofErr w:type="gramEnd"/>
      <w:r w:rsidR="002D4472" w:rsidRPr="00B246CC">
        <w:rPr>
          <w:rFonts w:cs="Times New Roman"/>
          <w:sz w:val="22"/>
          <w:szCs w:val="22"/>
        </w:rPr>
        <w:t xml:space="preserve"> à l’élaboration d’un modèle explicatif</w:t>
      </w:r>
      <w:r w:rsidR="00CD3AB1">
        <w:rPr>
          <w:rFonts w:cs="Times New Roman"/>
          <w:sz w:val="22"/>
          <w:szCs w:val="22"/>
        </w:rPr>
        <w:t xml:space="preserve"> (schéma 1)</w:t>
      </w:r>
      <w:r>
        <w:rPr>
          <w:rFonts w:cs="Times New Roman"/>
          <w:sz w:val="22"/>
          <w:szCs w:val="22"/>
        </w:rPr>
        <w:t>,</w:t>
      </w:r>
      <w:r w:rsidR="002D4472" w:rsidRPr="00B246CC">
        <w:rPr>
          <w:rFonts w:cs="Times New Roman"/>
          <w:sz w:val="22"/>
          <w:szCs w:val="22"/>
        </w:rPr>
        <w:t xml:space="preserve"> qui </w:t>
      </w:r>
      <w:r>
        <w:rPr>
          <w:rFonts w:cs="Times New Roman"/>
          <w:sz w:val="22"/>
          <w:szCs w:val="22"/>
        </w:rPr>
        <w:t xml:space="preserve">forme le cœur </w:t>
      </w:r>
      <w:r w:rsidR="002D4472" w:rsidRPr="00B246CC">
        <w:rPr>
          <w:rFonts w:cs="Times New Roman"/>
          <w:sz w:val="22"/>
          <w:szCs w:val="22"/>
        </w:rPr>
        <w:t>d</w:t>
      </w:r>
      <w:r>
        <w:rPr>
          <w:rFonts w:cs="Times New Roman"/>
          <w:sz w:val="22"/>
          <w:szCs w:val="22"/>
        </w:rPr>
        <w:t>e</w:t>
      </w:r>
      <w:r w:rsidR="002D4472" w:rsidRPr="00B246CC">
        <w:rPr>
          <w:rFonts w:cs="Times New Roman"/>
          <w:sz w:val="22"/>
          <w:szCs w:val="22"/>
        </w:rPr>
        <w:t xml:space="preserve"> cette quatrième partie. Il montre que l’influence de la Section est principalement tributaire de la volonté des autorités gouvernementales </w:t>
      </w:r>
      <w:r>
        <w:rPr>
          <w:rFonts w:cs="Times New Roman"/>
          <w:sz w:val="22"/>
          <w:szCs w:val="22"/>
        </w:rPr>
        <w:t>d’</w:t>
      </w:r>
      <w:r w:rsidR="002D4472" w:rsidRPr="00B246CC">
        <w:rPr>
          <w:rFonts w:cs="Times New Roman"/>
          <w:sz w:val="22"/>
          <w:szCs w:val="22"/>
        </w:rPr>
        <w:t>assainir les finances publiques, elle-même dérivée d</w:t>
      </w:r>
      <w:r>
        <w:rPr>
          <w:rFonts w:cs="Times New Roman"/>
          <w:sz w:val="22"/>
          <w:szCs w:val="22"/>
        </w:rPr>
        <w:t xml:space="preserve">u caractère </w:t>
      </w:r>
      <w:r w:rsidR="002D4472" w:rsidRPr="00B246CC">
        <w:rPr>
          <w:rFonts w:cs="Times New Roman"/>
          <w:sz w:val="22"/>
          <w:szCs w:val="22"/>
        </w:rPr>
        <w:t>tangib</w:t>
      </w:r>
      <w:r>
        <w:rPr>
          <w:rFonts w:cs="Times New Roman"/>
          <w:sz w:val="22"/>
          <w:szCs w:val="22"/>
        </w:rPr>
        <w:t>le</w:t>
      </w:r>
      <w:r w:rsidR="002D4472" w:rsidRPr="00B246CC">
        <w:rPr>
          <w:rFonts w:cs="Times New Roman"/>
          <w:sz w:val="22"/>
          <w:szCs w:val="22"/>
        </w:rPr>
        <w:t xml:space="preserve"> de la contrainte eur</w:t>
      </w:r>
      <w:r w:rsidR="00B26A22">
        <w:rPr>
          <w:rFonts w:cs="Times New Roman"/>
          <w:sz w:val="22"/>
          <w:szCs w:val="22"/>
        </w:rPr>
        <w:t>opéenne (flèche</w:t>
      </w:r>
      <w:r w:rsidR="002D4472" w:rsidRPr="00B246CC">
        <w:rPr>
          <w:rFonts w:cs="Times New Roman"/>
          <w:sz w:val="22"/>
          <w:szCs w:val="22"/>
        </w:rPr>
        <w:t xml:space="preserve"> 1</w:t>
      </w:r>
      <w:r w:rsidR="00CD3AB1">
        <w:rPr>
          <w:rFonts w:cs="Times New Roman"/>
          <w:sz w:val="22"/>
          <w:szCs w:val="22"/>
        </w:rPr>
        <w:t xml:space="preserve"> du schéma</w:t>
      </w:r>
      <w:r w:rsidR="002D4472" w:rsidRPr="00B246CC">
        <w:rPr>
          <w:rFonts w:cs="Times New Roman"/>
          <w:sz w:val="22"/>
          <w:szCs w:val="22"/>
        </w:rPr>
        <w:t xml:space="preserve">) et, plus ponctuellement, des risques de sanctions sur les marchés financiers (tirets). Si les menaces de ces derniers ne catalysent </w:t>
      </w:r>
      <w:r>
        <w:rPr>
          <w:rFonts w:cs="Times New Roman"/>
          <w:sz w:val="22"/>
          <w:szCs w:val="22"/>
        </w:rPr>
        <w:t xml:space="preserve">généralement </w:t>
      </w:r>
      <w:r w:rsidR="002D4472" w:rsidRPr="00B246CC">
        <w:rPr>
          <w:rFonts w:cs="Times New Roman"/>
          <w:sz w:val="22"/>
          <w:szCs w:val="22"/>
        </w:rPr>
        <w:t xml:space="preserve">l’action des pouvoirs publics que pour un court laps de temps, la portée à moyen terme des obligations européennes renforce considérablement la Section dans sa mission de pilotage budgétaire. La détermination des gouvernants </w:t>
      </w:r>
      <w:r w:rsidR="00CD3AB1">
        <w:rPr>
          <w:rFonts w:cs="Times New Roman"/>
          <w:sz w:val="22"/>
          <w:szCs w:val="22"/>
        </w:rPr>
        <w:t xml:space="preserve">à </w:t>
      </w:r>
      <w:r w:rsidR="002D4472" w:rsidRPr="00B246CC">
        <w:rPr>
          <w:rFonts w:cs="Times New Roman"/>
          <w:sz w:val="22"/>
          <w:szCs w:val="22"/>
        </w:rPr>
        <w:t xml:space="preserve">assainir les finances publiques, </w:t>
      </w:r>
      <w:r>
        <w:rPr>
          <w:rFonts w:cs="Times New Roman"/>
          <w:sz w:val="22"/>
          <w:szCs w:val="22"/>
        </w:rPr>
        <w:t>indispensable</w:t>
      </w:r>
      <w:r w:rsidR="002D4472" w:rsidRPr="00B246CC">
        <w:rPr>
          <w:rFonts w:cs="Times New Roman"/>
          <w:sz w:val="22"/>
          <w:szCs w:val="22"/>
        </w:rPr>
        <w:t xml:space="preserve"> à l’</w:t>
      </w:r>
      <w:r>
        <w:rPr>
          <w:rFonts w:cs="Times New Roman"/>
          <w:sz w:val="22"/>
          <w:szCs w:val="22"/>
        </w:rPr>
        <w:t>accroissement de l’</w:t>
      </w:r>
      <w:r w:rsidR="002D4472" w:rsidRPr="00B246CC">
        <w:rPr>
          <w:rFonts w:cs="Times New Roman"/>
          <w:sz w:val="22"/>
          <w:szCs w:val="22"/>
        </w:rPr>
        <w:t xml:space="preserve">influence de la Section, </w:t>
      </w:r>
      <w:r>
        <w:rPr>
          <w:rFonts w:cs="Times New Roman"/>
          <w:sz w:val="22"/>
          <w:szCs w:val="22"/>
        </w:rPr>
        <w:t>dérive</w:t>
      </w:r>
      <w:r w:rsidR="002D4472" w:rsidRPr="00B246CC">
        <w:rPr>
          <w:rFonts w:cs="Times New Roman"/>
          <w:sz w:val="22"/>
          <w:szCs w:val="22"/>
        </w:rPr>
        <w:t xml:space="preserve"> donc dans une large mesure de la contrainte externe : « </w:t>
      </w:r>
      <w:r w:rsidR="002D4472" w:rsidRPr="00B246CC">
        <w:rPr>
          <w:rFonts w:cs="Times New Roman"/>
          <w:i/>
          <w:sz w:val="22"/>
          <w:szCs w:val="22"/>
        </w:rPr>
        <w:t>au-delà de la politique menée par les partis à l’intérieur de la maison Belgique, il y a cette espèce d’imposition extérieure, qui est fondamentale </w:t>
      </w:r>
      <w:r w:rsidR="002D4472" w:rsidRPr="00B246CC">
        <w:rPr>
          <w:rFonts w:cs="Times New Roman"/>
          <w:sz w:val="22"/>
          <w:szCs w:val="22"/>
        </w:rPr>
        <w:t xml:space="preserve">» (P4). Les premières années de la Belgique au sein de l’UEM ont </w:t>
      </w:r>
      <w:r>
        <w:rPr>
          <w:rFonts w:cs="Times New Roman"/>
          <w:sz w:val="22"/>
          <w:szCs w:val="22"/>
        </w:rPr>
        <w:t>d’ailleurs</w:t>
      </w:r>
      <w:r w:rsidR="002D4472" w:rsidRPr="00B246CC">
        <w:rPr>
          <w:rFonts w:cs="Times New Roman"/>
          <w:sz w:val="22"/>
          <w:szCs w:val="22"/>
        </w:rPr>
        <w:t xml:space="preserve"> prouvé</w:t>
      </w:r>
      <w:r w:rsidR="002D4472" w:rsidRPr="00B246CC">
        <w:rPr>
          <w:rFonts w:cs="Times New Roman"/>
          <w:sz w:val="22"/>
          <w:szCs w:val="22"/>
          <w:lang w:val="fr-BE" w:eastAsia="en-US"/>
        </w:rPr>
        <w:t xml:space="preserve"> en creux que «</w:t>
      </w:r>
      <w:r w:rsidR="002D4472" w:rsidRPr="00B246CC">
        <w:rPr>
          <w:rFonts w:cs="Times New Roman"/>
          <w:i/>
          <w:sz w:val="22"/>
          <w:szCs w:val="22"/>
          <w:lang w:val="fr-BE" w:eastAsia="en-US"/>
        </w:rPr>
        <w:t> s’il faut réaliser quelque chose de moins sympathique, on a chaque fois besoin d’un peu de pression de l’extérieur </w:t>
      </w:r>
      <w:r w:rsidR="002D4472" w:rsidRPr="00B246CC">
        <w:rPr>
          <w:rFonts w:cs="Times New Roman"/>
          <w:sz w:val="22"/>
          <w:szCs w:val="22"/>
          <w:lang w:val="fr-BE" w:eastAsia="en-US"/>
        </w:rPr>
        <w:t>» (E7).</w:t>
      </w:r>
    </w:p>
    <w:p w14:paraId="271BE396" w14:textId="77777777" w:rsidR="00F53C31" w:rsidRPr="004F2163" w:rsidRDefault="00F53C31" w:rsidP="006B11F4">
      <w:pPr>
        <w:spacing w:line="240" w:lineRule="auto"/>
        <w:jc w:val="both"/>
        <w:rPr>
          <w:rFonts w:cs="Times New Roman"/>
          <w:sz w:val="22"/>
          <w:szCs w:val="22"/>
        </w:rPr>
      </w:pPr>
    </w:p>
    <w:p w14:paraId="73F6C6C2" w14:textId="48332E5E" w:rsidR="00465B17" w:rsidRPr="00B26A22" w:rsidRDefault="002D4472" w:rsidP="006B11F4">
      <w:pPr>
        <w:spacing w:line="240" w:lineRule="auto"/>
        <w:jc w:val="both"/>
        <w:rPr>
          <w:rFonts w:cs="Times New Roman"/>
          <w:sz w:val="22"/>
          <w:szCs w:val="22"/>
        </w:rPr>
      </w:pPr>
      <w:r w:rsidRPr="00B246CC">
        <w:rPr>
          <w:rFonts w:cs="Times New Roman"/>
          <w:sz w:val="22"/>
          <w:szCs w:val="22"/>
        </w:rPr>
        <w:t xml:space="preserve">Lorsque ces conditions sont réunies, le gouvernement considère les recommandations de la Section avec le plus grand soin et s’en inspire pour conduire une politique budgétaire restrictive (flèche 4). Il accorde en conséquence une attention particulière à la composition de l’organe et n’hésite pas </w:t>
      </w:r>
      <w:r w:rsidR="002532BF">
        <w:rPr>
          <w:rFonts w:cs="Times New Roman"/>
          <w:sz w:val="22"/>
          <w:szCs w:val="22"/>
        </w:rPr>
        <w:t xml:space="preserve">non plus </w:t>
      </w:r>
      <w:r w:rsidRPr="00B246CC">
        <w:rPr>
          <w:rFonts w:cs="Times New Roman"/>
          <w:sz w:val="22"/>
          <w:szCs w:val="22"/>
        </w:rPr>
        <w:t xml:space="preserve">à le mettre en valeur par </w:t>
      </w:r>
      <w:r w:rsidR="00CD3AB1">
        <w:rPr>
          <w:rFonts w:cs="Times New Roman"/>
          <w:sz w:val="22"/>
          <w:szCs w:val="22"/>
        </w:rPr>
        <w:t>diverses gratifications, telles que</w:t>
      </w:r>
      <w:r w:rsidRPr="00B246CC">
        <w:rPr>
          <w:rFonts w:cs="Times New Roman"/>
          <w:sz w:val="22"/>
          <w:szCs w:val="22"/>
        </w:rPr>
        <w:t xml:space="preserve"> l’élargissement de sa mission ou des références appuyées à ses travaux (flèche 2). Ce procédé lui procure </w:t>
      </w:r>
      <w:r w:rsidR="00CD3AB1">
        <w:rPr>
          <w:rFonts w:cs="Times New Roman"/>
          <w:sz w:val="22"/>
          <w:szCs w:val="22"/>
        </w:rPr>
        <w:t xml:space="preserve">en retour </w:t>
      </w:r>
      <w:r w:rsidRPr="00B246CC">
        <w:rPr>
          <w:rFonts w:cs="Times New Roman"/>
          <w:sz w:val="22"/>
          <w:szCs w:val="22"/>
        </w:rPr>
        <w:t xml:space="preserve">deux avantages </w:t>
      </w:r>
      <w:r w:rsidR="002532BF">
        <w:rPr>
          <w:rFonts w:cs="Times New Roman"/>
          <w:sz w:val="22"/>
          <w:szCs w:val="22"/>
        </w:rPr>
        <w:t>majeurs</w:t>
      </w:r>
      <w:r w:rsidRPr="00B246CC">
        <w:rPr>
          <w:rFonts w:cs="Times New Roman"/>
          <w:sz w:val="22"/>
          <w:szCs w:val="22"/>
        </w:rPr>
        <w:t xml:space="preserve">. </w:t>
      </w:r>
      <w:r w:rsidR="00CD3AB1" w:rsidRPr="00B246CC">
        <w:rPr>
          <w:rFonts w:cs="Times New Roman"/>
          <w:sz w:val="22"/>
          <w:szCs w:val="22"/>
        </w:rPr>
        <w:t>D’une part</w:t>
      </w:r>
      <w:r w:rsidR="00CD3AB1">
        <w:rPr>
          <w:rFonts w:cs="Times New Roman"/>
          <w:sz w:val="22"/>
          <w:szCs w:val="22"/>
        </w:rPr>
        <w:t>,</w:t>
      </w:r>
      <w:r w:rsidR="00CD3AB1" w:rsidRPr="00B246CC">
        <w:rPr>
          <w:rFonts w:cs="Times New Roman"/>
          <w:sz w:val="22"/>
          <w:szCs w:val="22"/>
        </w:rPr>
        <w:t xml:space="preserve"> </w:t>
      </w:r>
      <w:r w:rsidR="00CD3AB1">
        <w:rPr>
          <w:rFonts w:cs="Times New Roman"/>
          <w:sz w:val="22"/>
          <w:szCs w:val="22"/>
        </w:rPr>
        <w:t>l</w:t>
      </w:r>
      <w:r w:rsidRPr="00B246CC">
        <w:rPr>
          <w:rFonts w:cs="Times New Roman"/>
          <w:sz w:val="22"/>
          <w:szCs w:val="22"/>
        </w:rPr>
        <w:t>e mode de sélection des membres lui permet de disposer de recommandations politiquement acceptables</w:t>
      </w:r>
      <w:r w:rsidR="00F53C31" w:rsidRPr="004F2163">
        <w:rPr>
          <w:rStyle w:val="Appelnotedebasdep"/>
          <w:rFonts w:cs="Times New Roman"/>
          <w:sz w:val="22"/>
          <w:szCs w:val="22"/>
        </w:rPr>
        <w:footnoteReference w:id="32"/>
      </w:r>
      <w:r w:rsidR="009A73B8" w:rsidRPr="004F2163">
        <w:rPr>
          <w:rFonts w:cs="Times New Roman"/>
          <w:sz w:val="22"/>
          <w:szCs w:val="22"/>
        </w:rPr>
        <w:t xml:space="preserve"> (flèche 3), tandis que </w:t>
      </w:r>
      <w:r w:rsidR="00CD3AB1">
        <w:rPr>
          <w:rFonts w:cs="Times New Roman"/>
          <w:sz w:val="22"/>
          <w:szCs w:val="22"/>
        </w:rPr>
        <w:t xml:space="preserve">d’autre part, </w:t>
      </w:r>
      <w:r w:rsidR="009A73B8" w:rsidRPr="004F2163">
        <w:rPr>
          <w:rFonts w:cs="Times New Roman"/>
          <w:sz w:val="22"/>
          <w:szCs w:val="22"/>
        </w:rPr>
        <w:t>l</w:t>
      </w:r>
      <w:r w:rsidRPr="00B246CC">
        <w:rPr>
          <w:rFonts w:cs="Times New Roman"/>
          <w:sz w:val="22"/>
          <w:szCs w:val="22"/>
        </w:rPr>
        <w:t xml:space="preserve">e recours à une instance d’expertise externe apporte </w:t>
      </w:r>
      <w:r w:rsidR="00CD3AB1">
        <w:rPr>
          <w:rFonts w:cs="Times New Roman"/>
          <w:sz w:val="22"/>
          <w:szCs w:val="22"/>
        </w:rPr>
        <w:t>u</w:t>
      </w:r>
      <w:r w:rsidRPr="00B246CC">
        <w:rPr>
          <w:rFonts w:cs="Times New Roman"/>
          <w:sz w:val="22"/>
          <w:szCs w:val="22"/>
        </w:rPr>
        <w:t xml:space="preserve">ne </w:t>
      </w:r>
      <w:r w:rsidRPr="00B26A22">
        <w:rPr>
          <w:rFonts w:cs="Times New Roman"/>
          <w:sz w:val="22"/>
          <w:szCs w:val="22"/>
        </w:rPr>
        <w:t>caution scientifique</w:t>
      </w:r>
      <w:r w:rsidR="00465B17" w:rsidRPr="00B26A22">
        <w:rPr>
          <w:rFonts w:cs="Times New Roman"/>
          <w:sz w:val="22"/>
          <w:szCs w:val="22"/>
        </w:rPr>
        <w:t xml:space="preserve"> </w:t>
      </w:r>
      <w:r w:rsidRPr="00B26A22">
        <w:rPr>
          <w:rFonts w:cs="Times New Roman"/>
          <w:sz w:val="22"/>
          <w:szCs w:val="22"/>
        </w:rPr>
        <w:t>à son action vis-à-vis des instances européennes, des marchés financiers et de l’opinion publique (flèches pointillées) : « </w:t>
      </w:r>
      <w:r w:rsidRPr="00B26A22">
        <w:rPr>
          <w:rFonts w:cs="Times New Roman"/>
          <w:i/>
          <w:sz w:val="22"/>
          <w:szCs w:val="22"/>
        </w:rPr>
        <w:t>il fallait avoir une instance qui cautionne, par rapport à l’Europe aussi. [Les avis du CSF, c</w:t>
      </w:r>
      <w:r w:rsidR="002532BF" w:rsidRPr="00B26A22">
        <w:rPr>
          <w:rFonts w:cs="Times New Roman"/>
          <w:i/>
          <w:sz w:val="22"/>
          <w:szCs w:val="22"/>
        </w:rPr>
        <w:t>’</w:t>
      </w:r>
      <w:proofErr w:type="gramStart"/>
      <w:r w:rsidRPr="00B26A22">
        <w:rPr>
          <w:rFonts w:cs="Times New Roman"/>
          <w:i/>
          <w:sz w:val="22"/>
          <w:szCs w:val="22"/>
        </w:rPr>
        <w:t>]était</w:t>
      </w:r>
      <w:proofErr w:type="gramEnd"/>
      <w:r w:rsidRPr="00B26A22">
        <w:rPr>
          <w:rFonts w:cs="Times New Roman"/>
          <w:i/>
          <w:sz w:val="22"/>
          <w:szCs w:val="22"/>
        </w:rPr>
        <w:t xml:space="preserve"> autant pour l’Europe que pour nous. Cela faisait parte d’une légitimité externe </w:t>
      </w:r>
      <w:r w:rsidRPr="00B26A22">
        <w:rPr>
          <w:rFonts w:cs="Times New Roman"/>
          <w:sz w:val="22"/>
          <w:szCs w:val="22"/>
        </w:rPr>
        <w:t>» (P3).</w:t>
      </w:r>
    </w:p>
    <w:p w14:paraId="5D33F570" w14:textId="77777777" w:rsidR="00465B17" w:rsidRPr="00B26A22" w:rsidRDefault="00465B17" w:rsidP="006B11F4">
      <w:pPr>
        <w:spacing w:line="240" w:lineRule="auto"/>
        <w:jc w:val="both"/>
        <w:rPr>
          <w:rFonts w:cs="Times New Roman"/>
          <w:sz w:val="22"/>
          <w:szCs w:val="22"/>
        </w:rPr>
      </w:pPr>
    </w:p>
    <w:p w14:paraId="2D5BB85C" w14:textId="77777777" w:rsidR="00465B17" w:rsidRPr="00CD3AB1" w:rsidRDefault="002D4472" w:rsidP="00CD3AB1">
      <w:pPr>
        <w:spacing w:line="240" w:lineRule="auto"/>
        <w:jc w:val="center"/>
        <w:rPr>
          <w:rFonts w:cs="Times New Roman"/>
          <w:i/>
          <w:sz w:val="22"/>
          <w:szCs w:val="22"/>
        </w:rPr>
      </w:pPr>
      <w:r w:rsidRPr="00CD3AB1">
        <w:rPr>
          <w:rFonts w:cs="Times New Roman"/>
          <w:i/>
          <w:sz w:val="22"/>
          <w:szCs w:val="22"/>
        </w:rPr>
        <w:t>Schéma 1 : modèle explicatif de l’influence de la Section</w:t>
      </w:r>
    </w:p>
    <w:p w14:paraId="32BC5FC3" w14:textId="77777777" w:rsidR="003E5B56" w:rsidRPr="00B26A22" w:rsidRDefault="003E5B56" w:rsidP="006B11F4">
      <w:pPr>
        <w:spacing w:line="240" w:lineRule="auto"/>
        <w:jc w:val="both"/>
        <w:rPr>
          <w:rFonts w:cs="Times New Roman"/>
          <w:sz w:val="22"/>
          <w:szCs w:val="22"/>
        </w:rPr>
      </w:pPr>
    </w:p>
    <w:p w14:paraId="7FB29A79" w14:textId="77777777" w:rsidR="0033581C" w:rsidRDefault="0047776D" w:rsidP="00B246CC">
      <w:pPr>
        <w:spacing w:line="240" w:lineRule="auto"/>
        <w:jc w:val="center"/>
        <w:rPr>
          <w:rFonts w:cs="Times New Roman"/>
          <w:sz w:val="22"/>
          <w:szCs w:val="22"/>
        </w:rPr>
      </w:pPr>
      <w:r w:rsidRPr="00B246CC">
        <w:rPr>
          <w:rFonts w:cs="Times New Roman"/>
          <w:noProof/>
          <w:sz w:val="22"/>
          <w:szCs w:val="22"/>
          <w:lang w:val="fr-BE" w:eastAsia="fr-BE"/>
        </w:rPr>
        <w:drawing>
          <wp:inline distT="0" distB="0" distL="0" distR="0" wp14:anchorId="6D0109A7" wp14:editId="1DE661EB">
            <wp:extent cx="3600000" cy="2052000"/>
            <wp:effectExtent l="0" t="0" r="0" b="0"/>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2"/>
                    <a:srcRect l="19457" t="21224" r="13303" b="8916"/>
                    <a:stretch>
                      <a:fillRect/>
                    </a:stretch>
                  </pic:blipFill>
                  <pic:spPr bwMode="auto">
                    <a:xfrm>
                      <a:off x="0" y="0"/>
                      <a:ext cx="3600000" cy="2052000"/>
                    </a:xfrm>
                    <a:prstGeom prst="rect">
                      <a:avLst/>
                    </a:prstGeom>
                    <a:ln w="228600" cap="sq" cmpd="thickThin">
                      <a:noFill/>
                      <a:prstDash val="solid"/>
                      <a:miter lim="800000"/>
                    </a:ln>
                    <a:effectLst>
                      <a:innerShdw blurRad="76200">
                        <a:srgbClr val="000000"/>
                      </a:innerShdw>
                      <a:softEdge rad="31750"/>
                    </a:effectLst>
                  </pic:spPr>
                </pic:pic>
              </a:graphicData>
            </a:graphic>
          </wp:inline>
        </w:drawing>
      </w:r>
    </w:p>
    <w:p w14:paraId="01DCFD9C" w14:textId="77777777" w:rsidR="004452E4" w:rsidRDefault="004452E4" w:rsidP="009F2947">
      <w:pPr>
        <w:spacing w:line="240" w:lineRule="auto"/>
        <w:rPr>
          <w:rFonts w:cs="Times New Roman"/>
          <w:sz w:val="22"/>
          <w:szCs w:val="22"/>
        </w:rPr>
      </w:pPr>
    </w:p>
    <w:p w14:paraId="15FA01A5" w14:textId="2E26E5CA" w:rsidR="00644955" w:rsidRDefault="002D4472" w:rsidP="006B11F4">
      <w:pPr>
        <w:spacing w:line="240" w:lineRule="auto"/>
        <w:jc w:val="both"/>
        <w:rPr>
          <w:rFonts w:cs="Times New Roman"/>
          <w:sz w:val="22"/>
          <w:szCs w:val="22"/>
        </w:rPr>
      </w:pPr>
      <w:r w:rsidRPr="00B246CC">
        <w:rPr>
          <w:rFonts w:cs="Times New Roman"/>
          <w:sz w:val="22"/>
          <w:szCs w:val="22"/>
        </w:rPr>
        <w:t xml:space="preserve">Ce schéma général occulte toutefois une transformation fondamentale du rôle joué par la Section. Durant les années 1990, la souplesse du cadre budgétaire </w:t>
      </w:r>
      <w:r w:rsidR="00026885">
        <w:rPr>
          <w:rFonts w:cs="Times New Roman"/>
          <w:sz w:val="22"/>
          <w:szCs w:val="22"/>
        </w:rPr>
        <w:t>européen</w:t>
      </w:r>
      <w:r w:rsidRPr="00B246CC">
        <w:rPr>
          <w:rFonts w:cs="Times New Roman"/>
          <w:sz w:val="22"/>
          <w:szCs w:val="22"/>
        </w:rPr>
        <w:t xml:space="preserve"> l’a avant tout amenée à « traduire » (Callon, 1986) les exigences européennes en des termes opératoires au sein de l’espace politique belge. Dans la pratique, la Section s’est donc principalement chargée de l’élaboration et du suivi de la trajectoire budgétaire devant ouvrir les portes de l’UEM à la Belgique. Le caractère extrêmement détaillé de la réglementation budgétaire européenne </w:t>
      </w:r>
      <w:r w:rsidR="00026885">
        <w:rPr>
          <w:rFonts w:cs="Times New Roman"/>
          <w:sz w:val="22"/>
          <w:szCs w:val="22"/>
        </w:rPr>
        <w:t>atténue</w:t>
      </w:r>
      <w:r w:rsidRPr="00B246CC">
        <w:rPr>
          <w:rFonts w:cs="Times New Roman"/>
          <w:sz w:val="22"/>
          <w:szCs w:val="22"/>
        </w:rPr>
        <w:t xml:space="preserve"> désormais </w:t>
      </w:r>
      <w:r w:rsidR="00026885">
        <w:rPr>
          <w:rFonts w:cs="Times New Roman"/>
          <w:sz w:val="22"/>
          <w:szCs w:val="22"/>
        </w:rPr>
        <w:t xml:space="preserve">la nécessité de cette </w:t>
      </w:r>
      <w:r w:rsidR="00CD3AB1">
        <w:rPr>
          <w:rFonts w:cs="Times New Roman"/>
          <w:sz w:val="22"/>
          <w:szCs w:val="22"/>
        </w:rPr>
        <w:t>tâche</w:t>
      </w:r>
      <w:r w:rsidRPr="00B246CC">
        <w:rPr>
          <w:rFonts w:cs="Times New Roman"/>
          <w:sz w:val="22"/>
          <w:szCs w:val="22"/>
        </w:rPr>
        <w:t xml:space="preserve">. </w:t>
      </w:r>
    </w:p>
    <w:p w14:paraId="331DE4B8" w14:textId="77777777" w:rsidR="00644955" w:rsidRDefault="00644955" w:rsidP="006B11F4">
      <w:pPr>
        <w:spacing w:line="240" w:lineRule="auto"/>
        <w:jc w:val="both"/>
        <w:rPr>
          <w:rFonts w:cs="Times New Roman"/>
          <w:sz w:val="22"/>
          <w:szCs w:val="22"/>
        </w:rPr>
      </w:pPr>
    </w:p>
    <w:p w14:paraId="1CDC4628" w14:textId="5C6BB9C6" w:rsidR="009061C7" w:rsidRPr="004F2163" w:rsidRDefault="002D4472" w:rsidP="006B11F4">
      <w:pPr>
        <w:spacing w:line="240" w:lineRule="auto"/>
        <w:jc w:val="both"/>
        <w:rPr>
          <w:rFonts w:cs="Times New Roman"/>
          <w:sz w:val="22"/>
          <w:szCs w:val="22"/>
          <w:lang w:val="fr-BE"/>
        </w:rPr>
      </w:pPr>
      <w:r w:rsidRPr="00B246CC">
        <w:rPr>
          <w:rFonts w:cs="Times New Roman"/>
          <w:sz w:val="22"/>
          <w:szCs w:val="22"/>
        </w:rPr>
        <w:t xml:space="preserve">L’influence de la Section </w:t>
      </w:r>
      <w:r w:rsidR="00026885">
        <w:rPr>
          <w:rFonts w:cs="Times New Roman"/>
          <w:sz w:val="22"/>
          <w:szCs w:val="22"/>
        </w:rPr>
        <w:t>s’est donc déplacée vers</w:t>
      </w:r>
      <w:r w:rsidRPr="00B246CC">
        <w:rPr>
          <w:rFonts w:cs="Times New Roman"/>
          <w:sz w:val="22"/>
          <w:szCs w:val="22"/>
        </w:rPr>
        <w:t xml:space="preserve"> </w:t>
      </w:r>
      <w:r w:rsidR="00CD3AB1">
        <w:rPr>
          <w:rFonts w:cs="Times New Roman"/>
          <w:sz w:val="22"/>
          <w:szCs w:val="22"/>
        </w:rPr>
        <w:t>sa mission</w:t>
      </w:r>
      <w:r w:rsidRPr="00B246CC">
        <w:rPr>
          <w:rFonts w:cs="Times New Roman"/>
          <w:sz w:val="22"/>
          <w:szCs w:val="22"/>
        </w:rPr>
        <w:t xml:space="preserve"> </w:t>
      </w:r>
      <w:r w:rsidR="00CD3AB1">
        <w:rPr>
          <w:rFonts w:cs="Times New Roman"/>
          <w:sz w:val="22"/>
          <w:szCs w:val="22"/>
        </w:rPr>
        <w:t xml:space="preserve">initiale </w:t>
      </w:r>
      <w:r w:rsidRPr="00B246CC">
        <w:rPr>
          <w:rFonts w:cs="Times New Roman"/>
          <w:sz w:val="22"/>
          <w:szCs w:val="22"/>
        </w:rPr>
        <w:t xml:space="preserve">de coordination des politiques budgétaires. La décentralisation d’importants moyens financiers a en effet </w:t>
      </w:r>
      <w:r w:rsidRPr="00B246CC">
        <w:rPr>
          <w:rFonts w:cs="Times New Roman"/>
          <w:sz w:val="22"/>
          <w:szCs w:val="22"/>
          <w:lang w:val="fr-BE"/>
        </w:rPr>
        <w:t xml:space="preserve">renforcé l’acuité de </w:t>
      </w:r>
      <w:r w:rsidR="00660066">
        <w:rPr>
          <w:rFonts w:cs="Times New Roman"/>
          <w:sz w:val="22"/>
          <w:szCs w:val="22"/>
          <w:lang w:val="fr-BE"/>
        </w:rPr>
        <w:t xml:space="preserve">la </w:t>
      </w:r>
      <w:r w:rsidRPr="00B246CC">
        <w:rPr>
          <w:rFonts w:cs="Times New Roman"/>
          <w:sz w:val="22"/>
          <w:szCs w:val="22"/>
          <w:lang w:val="fr-BE"/>
        </w:rPr>
        <w:t>répartition de</w:t>
      </w:r>
      <w:r w:rsidR="00026885">
        <w:rPr>
          <w:rFonts w:cs="Times New Roman"/>
          <w:sz w:val="22"/>
          <w:szCs w:val="22"/>
          <w:lang w:val="fr-BE"/>
        </w:rPr>
        <w:t>s</w:t>
      </w:r>
      <w:r w:rsidRPr="00B246CC">
        <w:rPr>
          <w:rFonts w:cs="Times New Roman"/>
          <w:sz w:val="22"/>
          <w:szCs w:val="22"/>
          <w:lang w:val="fr-BE"/>
        </w:rPr>
        <w:t xml:space="preserve"> effort</w:t>
      </w:r>
      <w:r w:rsidR="00026885">
        <w:rPr>
          <w:rFonts w:cs="Times New Roman"/>
          <w:sz w:val="22"/>
          <w:szCs w:val="22"/>
          <w:lang w:val="fr-BE"/>
        </w:rPr>
        <w:t>s</w:t>
      </w:r>
      <w:r w:rsidRPr="00B246CC">
        <w:rPr>
          <w:rFonts w:cs="Times New Roman"/>
          <w:sz w:val="22"/>
          <w:szCs w:val="22"/>
          <w:lang w:val="fr-BE"/>
        </w:rPr>
        <w:t xml:space="preserve"> budgétaire</w:t>
      </w:r>
      <w:r w:rsidR="00026885">
        <w:rPr>
          <w:rFonts w:cs="Times New Roman"/>
          <w:sz w:val="22"/>
          <w:szCs w:val="22"/>
          <w:lang w:val="fr-BE"/>
        </w:rPr>
        <w:t>s</w:t>
      </w:r>
      <w:r w:rsidRPr="00B246CC">
        <w:rPr>
          <w:rFonts w:cs="Times New Roman"/>
          <w:sz w:val="22"/>
          <w:szCs w:val="22"/>
          <w:lang w:val="fr-BE"/>
        </w:rPr>
        <w:t xml:space="preserve"> au sein de la fédération belge. </w:t>
      </w:r>
      <w:r w:rsidR="00660066">
        <w:rPr>
          <w:rFonts w:cs="Times New Roman"/>
          <w:sz w:val="22"/>
          <w:szCs w:val="22"/>
          <w:lang w:val="fr-BE"/>
        </w:rPr>
        <w:t>Or, l’in</w:t>
      </w:r>
      <w:r w:rsidRPr="00B246CC">
        <w:rPr>
          <w:rFonts w:cs="Times New Roman"/>
          <w:sz w:val="22"/>
          <w:szCs w:val="22"/>
          <w:lang w:val="fr-BE"/>
        </w:rPr>
        <w:t xml:space="preserve">congruence partielle des exécutifs </w:t>
      </w:r>
      <w:r w:rsidRPr="00B246CC">
        <w:rPr>
          <w:rFonts w:cs="Times New Roman"/>
          <w:sz w:val="22"/>
          <w:szCs w:val="22"/>
        </w:rPr>
        <w:t>en place aux différents niveaux de pouvoir</w:t>
      </w:r>
      <w:r w:rsidRPr="00B246CC">
        <w:rPr>
          <w:rFonts w:cs="Times New Roman"/>
          <w:sz w:val="22"/>
          <w:szCs w:val="22"/>
          <w:lang w:val="fr-BE"/>
        </w:rPr>
        <w:t xml:space="preserve"> </w:t>
      </w:r>
      <w:r w:rsidR="00660066">
        <w:rPr>
          <w:rFonts w:cs="Times New Roman"/>
          <w:sz w:val="22"/>
          <w:szCs w:val="22"/>
          <w:lang w:val="fr-BE"/>
        </w:rPr>
        <w:t>est loin de</w:t>
      </w:r>
      <w:r w:rsidRPr="00B246CC">
        <w:rPr>
          <w:rFonts w:cs="Times New Roman"/>
          <w:sz w:val="22"/>
          <w:szCs w:val="22"/>
          <w:lang w:val="fr-BE"/>
        </w:rPr>
        <w:t xml:space="preserve"> facilite</w:t>
      </w:r>
      <w:r w:rsidR="00660066">
        <w:rPr>
          <w:rFonts w:cs="Times New Roman"/>
          <w:sz w:val="22"/>
          <w:szCs w:val="22"/>
          <w:lang w:val="fr-BE"/>
        </w:rPr>
        <w:t>r</w:t>
      </w:r>
      <w:r w:rsidRPr="00B246CC">
        <w:rPr>
          <w:rFonts w:cs="Times New Roman"/>
          <w:sz w:val="22"/>
          <w:szCs w:val="22"/>
          <w:lang w:val="fr-BE"/>
        </w:rPr>
        <w:t xml:space="preserve"> le rapprochement des positions, ainsi que l’ont mis en exergue les controverses relatives aux compétences usurpées (Piron &amp; Verjans, 2014) ou à la prise en charge du déficit des pouvoirs locaux. </w:t>
      </w:r>
      <w:r w:rsidR="00660066">
        <w:rPr>
          <w:rFonts w:cs="Times New Roman"/>
          <w:sz w:val="22"/>
          <w:szCs w:val="22"/>
          <w:lang w:val="fr-BE"/>
        </w:rPr>
        <w:t>Grâce au</w:t>
      </w:r>
      <w:r w:rsidRPr="00B246CC">
        <w:rPr>
          <w:rFonts w:cs="Times New Roman"/>
          <w:sz w:val="22"/>
          <w:szCs w:val="22"/>
          <w:lang w:val="fr-BE"/>
        </w:rPr>
        <w:t xml:space="preserve"> travail préparatoire de la Section</w:t>
      </w:r>
      <w:r w:rsidR="00660066">
        <w:rPr>
          <w:rFonts w:cs="Times New Roman"/>
          <w:sz w:val="22"/>
          <w:szCs w:val="22"/>
          <w:lang w:val="fr-BE"/>
        </w:rPr>
        <w:t>,</w:t>
      </w:r>
      <w:r w:rsidRPr="00B246CC">
        <w:rPr>
          <w:rFonts w:cs="Times New Roman"/>
          <w:sz w:val="22"/>
          <w:szCs w:val="22"/>
          <w:lang w:val="fr-BE"/>
        </w:rPr>
        <w:t xml:space="preserve"> un accord de coopération budgétaire</w:t>
      </w:r>
      <w:r w:rsidR="00660066">
        <w:rPr>
          <w:rFonts w:cs="Times New Roman"/>
          <w:sz w:val="22"/>
          <w:szCs w:val="22"/>
          <w:lang w:val="fr-BE"/>
        </w:rPr>
        <w:t xml:space="preserve"> a toutefois pu être signé</w:t>
      </w:r>
      <w:r w:rsidRPr="00B246CC">
        <w:rPr>
          <w:rFonts w:cs="Times New Roman"/>
          <w:sz w:val="22"/>
          <w:szCs w:val="22"/>
          <w:lang w:val="fr-BE"/>
        </w:rPr>
        <w:t xml:space="preserve"> pour </w:t>
      </w:r>
      <w:r w:rsidR="00CD3AB1">
        <w:rPr>
          <w:rFonts w:cs="Times New Roman"/>
          <w:sz w:val="22"/>
          <w:szCs w:val="22"/>
          <w:lang w:val="fr-BE"/>
        </w:rPr>
        <w:t xml:space="preserve">ce qui a trait à </w:t>
      </w:r>
      <w:r w:rsidRPr="00B246CC">
        <w:rPr>
          <w:rFonts w:cs="Times New Roman"/>
          <w:sz w:val="22"/>
          <w:szCs w:val="22"/>
          <w:lang w:val="fr-BE"/>
        </w:rPr>
        <w:t xml:space="preserve">la période 2013-2014 (Bayenet </w:t>
      </w:r>
      <w:r w:rsidRPr="00B246CC">
        <w:rPr>
          <w:rFonts w:cs="Times New Roman"/>
          <w:i/>
          <w:sz w:val="22"/>
          <w:szCs w:val="22"/>
          <w:lang w:val="fr-BE"/>
        </w:rPr>
        <w:t xml:space="preserve">et </w:t>
      </w:r>
      <w:proofErr w:type="gramStart"/>
      <w:r w:rsidRPr="00B246CC">
        <w:rPr>
          <w:rFonts w:cs="Times New Roman"/>
          <w:i/>
          <w:sz w:val="22"/>
          <w:szCs w:val="22"/>
          <w:lang w:val="fr-BE"/>
        </w:rPr>
        <w:t>al.</w:t>
      </w:r>
      <w:r w:rsidRPr="00B246CC">
        <w:rPr>
          <w:rFonts w:cs="Times New Roman"/>
          <w:sz w:val="22"/>
          <w:szCs w:val="22"/>
          <w:lang w:val="fr-BE"/>
        </w:rPr>
        <w:t>,</w:t>
      </w:r>
      <w:proofErr w:type="gramEnd"/>
      <w:r w:rsidRPr="00B246CC">
        <w:rPr>
          <w:rFonts w:cs="Times New Roman"/>
          <w:sz w:val="22"/>
          <w:szCs w:val="22"/>
          <w:lang w:val="fr-BE"/>
        </w:rPr>
        <w:t xml:space="preserve"> 2013 ; Piron, 2013). </w:t>
      </w:r>
    </w:p>
    <w:p w14:paraId="497C21CE" w14:textId="77777777" w:rsidR="006844CE" w:rsidRDefault="006844CE" w:rsidP="006B11F4">
      <w:pPr>
        <w:spacing w:line="240" w:lineRule="auto"/>
        <w:jc w:val="both"/>
        <w:rPr>
          <w:rFonts w:cs="Times New Roman"/>
          <w:sz w:val="22"/>
          <w:szCs w:val="22"/>
          <w:lang w:val="fr-BE"/>
        </w:rPr>
      </w:pPr>
    </w:p>
    <w:p w14:paraId="1E8253A6" w14:textId="77777777" w:rsidR="00637DA6" w:rsidRDefault="00637DA6" w:rsidP="006B11F4">
      <w:pPr>
        <w:spacing w:line="240" w:lineRule="auto"/>
        <w:jc w:val="both"/>
        <w:rPr>
          <w:rFonts w:cs="Times New Roman"/>
          <w:sz w:val="22"/>
          <w:szCs w:val="22"/>
          <w:lang w:val="fr-BE"/>
        </w:rPr>
      </w:pPr>
    </w:p>
    <w:p w14:paraId="08CFC37A" w14:textId="77777777" w:rsidR="00637DA6" w:rsidRDefault="00637DA6" w:rsidP="006B11F4">
      <w:pPr>
        <w:spacing w:line="240" w:lineRule="auto"/>
        <w:jc w:val="both"/>
        <w:rPr>
          <w:rFonts w:cs="Times New Roman"/>
          <w:sz w:val="22"/>
          <w:szCs w:val="22"/>
          <w:lang w:val="fr-BE"/>
        </w:rPr>
      </w:pPr>
    </w:p>
    <w:p w14:paraId="258ACD54" w14:textId="77777777" w:rsidR="00637DA6" w:rsidRPr="004F2163" w:rsidRDefault="00637DA6" w:rsidP="006B11F4">
      <w:pPr>
        <w:spacing w:line="240" w:lineRule="auto"/>
        <w:jc w:val="both"/>
        <w:rPr>
          <w:rFonts w:cs="Times New Roman"/>
          <w:sz w:val="22"/>
          <w:szCs w:val="22"/>
          <w:lang w:val="fr-BE"/>
        </w:rPr>
      </w:pPr>
    </w:p>
    <w:p w14:paraId="3A29BB4C" w14:textId="6C0D7780" w:rsidR="00C821F2" w:rsidRPr="004F2163" w:rsidRDefault="002D4472" w:rsidP="006D280D">
      <w:pPr>
        <w:spacing w:line="240" w:lineRule="auto"/>
        <w:jc w:val="both"/>
        <w:rPr>
          <w:rFonts w:cs="Times New Roman"/>
          <w:b/>
          <w:sz w:val="22"/>
          <w:szCs w:val="22"/>
        </w:rPr>
      </w:pPr>
      <w:r w:rsidRPr="00B246CC">
        <w:rPr>
          <w:rFonts w:cs="Times New Roman"/>
          <w:b/>
          <w:sz w:val="22"/>
          <w:szCs w:val="22"/>
        </w:rPr>
        <w:lastRenderedPageBreak/>
        <w:t xml:space="preserve">V. Discussion : </w:t>
      </w:r>
      <w:r w:rsidR="006E711B">
        <w:rPr>
          <w:rFonts w:cs="Times New Roman"/>
          <w:b/>
          <w:sz w:val="22"/>
          <w:szCs w:val="22"/>
        </w:rPr>
        <w:t>mise en perspective</w:t>
      </w:r>
      <w:r w:rsidRPr="00B246CC">
        <w:rPr>
          <w:rFonts w:cs="Times New Roman"/>
          <w:b/>
          <w:sz w:val="22"/>
          <w:szCs w:val="22"/>
        </w:rPr>
        <w:t xml:space="preserve"> </w:t>
      </w:r>
      <w:r w:rsidR="00CD3AB1">
        <w:rPr>
          <w:rFonts w:cs="Times New Roman"/>
          <w:b/>
          <w:sz w:val="22"/>
          <w:szCs w:val="22"/>
        </w:rPr>
        <w:t>avec l’indice de L. Coene et G. </w:t>
      </w:r>
      <w:r w:rsidRPr="00B246CC">
        <w:rPr>
          <w:rFonts w:cs="Times New Roman"/>
          <w:b/>
          <w:sz w:val="22"/>
          <w:szCs w:val="22"/>
        </w:rPr>
        <w:t>Langenus</w:t>
      </w:r>
    </w:p>
    <w:p w14:paraId="6E0315D1" w14:textId="77777777" w:rsidR="006D280D" w:rsidRPr="004F2163" w:rsidRDefault="006D280D" w:rsidP="006B11F4">
      <w:pPr>
        <w:spacing w:line="240" w:lineRule="auto"/>
        <w:jc w:val="both"/>
        <w:rPr>
          <w:rFonts w:cs="Times New Roman"/>
          <w:sz w:val="22"/>
          <w:szCs w:val="22"/>
        </w:rPr>
      </w:pPr>
    </w:p>
    <w:p w14:paraId="0768F082" w14:textId="7667529E" w:rsidR="005A5FB5" w:rsidRPr="00CD3AB1" w:rsidRDefault="00E42B32" w:rsidP="006B11F4">
      <w:pPr>
        <w:spacing w:line="240" w:lineRule="auto"/>
        <w:jc w:val="both"/>
        <w:rPr>
          <w:rFonts w:cs="Times New Roman"/>
          <w:sz w:val="22"/>
          <w:szCs w:val="22"/>
        </w:rPr>
      </w:pPr>
      <w:r w:rsidRPr="00CD3AB1">
        <w:rPr>
          <w:rFonts w:cs="Times New Roman"/>
          <w:sz w:val="22"/>
          <w:szCs w:val="22"/>
        </w:rPr>
        <w:t>Notre</w:t>
      </w:r>
      <w:r w:rsidR="002D4472" w:rsidRPr="00CD3AB1">
        <w:rPr>
          <w:rFonts w:cs="Times New Roman"/>
          <w:sz w:val="22"/>
          <w:szCs w:val="22"/>
        </w:rPr>
        <w:t xml:space="preserve"> modèle se distingue de l’indice élaboré par L. Coene – président de la Section de 2006 à 2011 et aujourd’hui gouverneur de la Banque nationale de Belgique – et G. Langenus (2011 ; 2013).</w:t>
      </w:r>
      <w:r w:rsidR="003B38C0" w:rsidRPr="00CD3AB1">
        <w:rPr>
          <w:rFonts w:cs="Times New Roman"/>
          <w:sz w:val="22"/>
          <w:szCs w:val="22"/>
        </w:rPr>
        <w:t xml:space="preserve"> </w:t>
      </w:r>
      <w:r w:rsidR="009034F9" w:rsidRPr="00CD3AB1">
        <w:rPr>
          <w:rFonts w:cs="Times New Roman"/>
          <w:sz w:val="22"/>
          <w:szCs w:val="22"/>
        </w:rPr>
        <w:t>Afin de</w:t>
      </w:r>
      <w:r w:rsidR="002D4472" w:rsidRPr="00CD3AB1">
        <w:rPr>
          <w:rFonts w:cs="Times New Roman"/>
          <w:sz w:val="22"/>
          <w:szCs w:val="22"/>
        </w:rPr>
        <w:t xml:space="preserve"> déterminer l’influence</w:t>
      </w:r>
      <w:r w:rsidR="009034F9" w:rsidRPr="00CD3AB1">
        <w:rPr>
          <w:rFonts w:cs="Times New Roman"/>
          <w:sz w:val="22"/>
          <w:szCs w:val="22"/>
        </w:rPr>
        <w:t xml:space="preserve"> de la Section sur le gouvernement fédéral, c</w:t>
      </w:r>
      <w:r w:rsidR="002D4472" w:rsidRPr="00CD3AB1">
        <w:rPr>
          <w:rFonts w:cs="Times New Roman"/>
          <w:sz w:val="22"/>
          <w:szCs w:val="22"/>
        </w:rPr>
        <w:t xml:space="preserve">es auteurs ont </w:t>
      </w:r>
      <w:r w:rsidR="009034F9" w:rsidRPr="00CD3AB1">
        <w:rPr>
          <w:rFonts w:cs="Times New Roman"/>
          <w:sz w:val="22"/>
          <w:szCs w:val="22"/>
        </w:rPr>
        <w:t>choisi d’analyser</w:t>
      </w:r>
      <w:r w:rsidR="003B38C0" w:rsidRPr="00CD3AB1">
        <w:rPr>
          <w:rFonts w:cs="Times New Roman"/>
          <w:sz w:val="22"/>
          <w:szCs w:val="22"/>
        </w:rPr>
        <w:t xml:space="preserve"> </w:t>
      </w:r>
      <w:r w:rsidR="009034F9" w:rsidRPr="00CD3AB1">
        <w:rPr>
          <w:rFonts w:cs="Times New Roman"/>
          <w:sz w:val="22"/>
          <w:szCs w:val="22"/>
        </w:rPr>
        <w:t>l’intégralité des</w:t>
      </w:r>
      <w:r w:rsidR="003B38C0" w:rsidRPr="00CD3AB1">
        <w:rPr>
          <w:rFonts w:cs="Times New Roman"/>
          <w:sz w:val="22"/>
          <w:szCs w:val="22"/>
        </w:rPr>
        <w:t xml:space="preserve"> avis </w:t>
      </w:r>
      <w:r w:rsidR="009034F9" w:rsidRPr="00CD3AB1">
        <w:rPr>
          <w:rFonts w:cs="Times New Roman"/>
          <w:sz w:val="22"/>
          <w:szCs w:val="22"/>
        </w:rPr>
        <w:t>rendus par</w:t>
      </w:r>
      <w:r w:rsidR="003B38C0" w:rsidRPr="00CD3AB1">
        <w:rPr>
          <w:rFonts w:cs="Times New Roman"/>
          <w:sz w:val="22"/>
          <w:szCs w:val="22"/>
        </w:rPr>
        <w:t xml:space="preserve"> </w:t>
      </w:r>
      <w:r w:rsidR="009034F9" w:rsidRPr="00CD3AB1">
        <w:rPr>
          <w:rFonts w:cs="Times New Roman"/>
          <w:sz w:val="22"/>
          <w:szCs w:val="22"/>
        </w:rPr>
        <w:t>cette dernière</w:t>
      </w:r>
      <w:r w:rsidR="003B38C0" w:rsidRPr="00CD3AB1">
        <w:rPr>
          <w:rFonts w:cs="Times New Roman"/>
          <w:sz w:val="22"/>
          <w:szCs w:val="22"/>
        </w:rPr>
        <w:t xml:space="preserve"> </w:t>
      </w:r>
      <w:r w:rsidR="009034F9" w:rsidRPr="00CD3AB1">
        <w:rPr>
          <w:rFonts w:cs="Times New Roman"/>
          <w:sz w:val="22"/>
          <w:szCs w:val="22"/>
        </w:rPr>
        <w:t xml:space="preserve">entre 1990 et 2010. Ils ont ensuite </w:t>
      </w:r>
      <w:r w:rsidR="00024CE7" w:rsidRPr="00CD3AB1">
        <w:rPr>
          <w:rFonts w:cs="Times New Roman"/>
          <w:sz w:val="22"/>
          <w:szCs w:val="22"/>
        </w:rPr>
        <w:t xml:space="preserve">isolé </w:t>
      </w:r>
      <w:r w:rsidR="00CD3AB1" w:rsidRPr="00CD3AB1">
        <w:rPr>
          <w:rFonts w:cs="Times New Roman"/>
          <w:sz w:val="22"/>
          <w:szCs w:val="22"/>
        </w:rPr>
        <w:t>les cinq propositions suivantes :</w:t>
      </w:r>
      <w:r w:rsidR="002D4472" w:rsidRPr="00CD3AB1">
        <w:rPr>
          <w:rFonts w:cs="Times New Roman"/>
          <w:sz w:val="22"/>
          <w:szCs w:val="22"/>
        </w:rPr>
        <w:t xml:space="preserve"> présence d’une seule recommandation claire (q1) ; continuité par rapport aux recommandations précédentes (q2) ; </w:t>
      </w:r>
      <w:r w:rsidR="009034F9" w:rsidRPr="00CD3AB1">
        <w:rPr>
          <w:rFonts w:cs="Times New Roman"/>
          <w:sz w:val="22"/>
          <w:szCs w:val="22"/>
        </w:rPr>
        <w:t>prise de distance</w:t>
      </w:r>
      <w:r w:rsidR="002D4472" w:rsidRPr="00CD3AB1">
        <w:rPr>
          <w:rFonts w:cs="Times New Roman"/>
          <w:sz w:val="22"/>
          <w:szCs w:val="22"/>
        </w:rPr>
        <w:t xml:space="preserve"> par rapport aux objectifs adoptés antérieurement par le gouvernement (q3) ; adoption explicite de cette recommandation par le gouvernement (q4) ; atteinte de l’objectif (q5). </w:t>
      </w:r>
      <w:r w:rsidR="00020D76" w:rsidRPr="00CD3AB1">
        <w:rPr>
          <w:rFonts w:cs="Times New Roman"/>
          <w:sz w:val="22"/>
          <w:szCs w:val="22"/>
        </w:rPr>
        <w:t xml:space="preserve">Chaque </w:t>
      </w:r>
      <w:r w:rsidR="00024CE7" w:rsidRPr="00CD3AB1">
        <w:rPr>
          <w:rFonts w:cs="Times New Roman"/>
          <w:sz w:val="22"/>
          <w:szCs w:val="22"/>
        </w:rPr>
        <w:t xml:space="preserve">réponse affirmative à l’une de ces </w:t>
      </w:r>
      <w:r w:rsidR="00020D76" w:rsidRPr="00CD3AB1">
        <w:rPr>
          <w:rFonts w:cs="Times New Roman"/>
          <w:sz w:val="22"/>
          <w:szCs w:val="22"/>
        </w:rPr>
        <w:t xml:space="preserve">propositions binaires menant à l’attribution </w:t>
      </w:r>
      <w:r w:rsidR="00024CE7" w:rsidRPr="00CD3AB1">
        <w:rPr>
          <w:rFonts w:cs="Times New Roman"/>
          <w:sz w:val="22"/>
          <w:szCs w:val="22"/>
        </w:rPr>
        <w:t xml:space="preserve">d’un point, la note maximale </w:t>
      </w:r>
      <w:r w:rsidR="00020D76" w:rsidRPr="00CD3AB1">
        <w:rPr>
          <w:rFonts w:cs="Times New Roman"/>
          <w:sz w:val="22"/>
          <w:szCs w:val="22"/>
        </w:rPr>
        <w:t>s’élevait à cinq points.</w:t>
      </w:r>
      <w:r w:rsidR="00024CE7" w:rsidRPr="00CD3AB1">
        <w:rPr>
          <w:rFonts w:cs="Times New Roman"/>
          <w:sz w:val="22"/>
          <w:szCs w:val="22"/>
        </w:rPr>
        <w:t xml:space="preserve"> </w:t>
      </w:r>
      <w:r w:rsidR="00020D76" w:rsidRPr="00CD3AB1">
        <w:rPr>
          <w:rFonts w:cs="Times New Roman"/>
          <w:sz w:val="22"/>
          <w:szCs w:val="22"/>
        </w:rPr>
        <w:t>Un score proche ou égal à cinq reflète un degré d’influence élevé dans le chef de la Section. La figure 1 présente les résultats de ce travail mené sur une base annuelle.</w:t>
      </w:r>
    </w:p>
    <w:p w14:paraId="5FDF6F2F" w14:textId="77777777" w:rsidR="006D280D" w:rsidRDefault="006D280D">
      <w:pPr>
        <w:spacing w:line="240" w:lineRule="auto"/>
        <w:rPr>
          <w:rFonts w:cs="Times New Roman"/>
          <w:sz w:val="22"/>
          <w:szCs w:val="22"/>
        </w:rPr>
      </w:pPr>
    </w:p>
    <w:p w14:paraId="19B9549D" w14:textId="1F53F1F2" w:rsidR="00644955" w:rsidRPr="004F2163" w:rsidRDefault="00644955" w:rsidP="00644955">
      <w:pPr>
        <w:spacing w:line="240" w:lineRule="auto"/>
        <w:jc w:val="both"/>
        <w:rPr>
          <w:rFonts w:cs="Times New Roman"/>
          <w:sz w:val="22"/>
          <w:szCs w:val="22"/>
        </w:rPr>
      </w:pPr>
      <w:r>
        <w:rPr>
          <w:rFonts w:cs="Times New Roman"/>
          <w:sz w:val="22"/>
          <w:szCs w:val="22"/>
        </w:rPr>
        <w:t xml:space="preserve">Lorsque </w:t>
      </w:r>
      <w:r w:rsidR="00CD3AB1">
        <w:rPr>
          <w:rFonts w:cs="Times New Roman"/>
          <w:sz w:val="22"/>
          <w:szCs w:val="22"/>
        </w:rPr>
        <w:t>l</w:t>
      </w:r>
      <w:r w:rsidRPr="00B246CC">
        <w:rPr>
          <w:rFonts w:cs="Times New Roman"/>
          <w:sz w:val="22"/>
          <w:szCs w:val="22"/>
        </w:rPr>
        <w:t xml:space="preserve">es deux modèles </w:t>
      </w:r>
      <w:r>
        <w:rPr>
          <w:rFonts w:cs="Times New Roman"/>
          <w:sz w:val="22"/>
          <w:szCs w:val="22"/>
        </w:rPr>
        <w:t xml:space="preserve">sont </w:t>
      </w:r>
      <w:r w:rsidRPr="00B246CC">
        <w:rPr>
          <w:rFonts w:cs="Times New Roman"/>
          <w:sz w:val="22"/>
          <w:szCs w:val="22"/>
        </w:rPr>
        <w:t>mis en perspective</w:t>
      </w:r>
      <w:r>
        <w:rPr>
          <w:rFonts w:cs="Times New Roman"/>
          <w:sz w:val="22"/>
          <w:szCs w:val="22"/>
        </w:rPr>
        <w:t>,</w:t>
      </w:r>
      <w:r w:rsidRPr="00B246CC">
        <w:rPr>
          <w:rFonts w:cs="Times New Roman"/>
          <w:sz w:val="22"/>
          <w:szCs w:val="22"/>
        </w:rPr>
        <w:t xml:space="preserve"> </w:t>
      </w:r>
      <w:r>
        <w:rPr>
          <w:rFonts w:cs="Times New Roman"/>
          <w:sz w:val="22"/>
          <w:szCs w:val="22"/>
        </w:rPr>
        <w:t>l’o</w:t>
      </w:r>
      <w:r w:rsidRPr="00B246CC">
        <w:rPr>
          <w:rFonts w:cs="Times New Roman"/>
          <w:sz w:val="22"/>
          <w:szCs w:val="22"/>
        </w:rPr>
        <w:t xml:space="preserve">n remarque tout d’abord </w:t>
      </w:r>
      <w:r w:rsidR="00CD3AB1">
        <w:rPr>
          <w:rFonts w:cs="Times New Roman"/>
          <w:sz w:val="22"/>
          <w:szCs w:val="22"/>
        </w:rPr>
        <w:t>que</w:t>
      </w:r>
      <w:r>
        <w:rPr>
          <w:rFonts w:cs="Times New Roman"/>
          <w:sz w:val="22"/>
          <w:szCs w:val="22"/>
        </w:rPr>
        <w:t xml:space="preserve"> leur appréciation de </w:t>
      </w:r>
      <w:r w:rsidRPr="00B246CC">
        <w:rPr>
          <w:rFonts w:cs="Times New Roman"/>
          <w:sz w:val="22"/>
          <w:szCs w:val="22"/>
        </w:rPr>
        <w:t>la dynamique générale</w:t>
      </w:r>
      <w:r w:rsidR="00CD3AB1">
        <w:rPr>
          <w:rFonts w:cs="Times New Roman"/>
          <w:sz w:val="22"/>
          <w:szCs w:val="22"/>
        </w:rPr>
        <w:t xml:space="preserve"> est convergente</w:t>
      </w:r>
      <w:r w:rsidRPr="00B246CC">
        <w:rPr>
          <w:rFonts w:cs="Times New Roman"/>
          <w:sz w:val="22"/>
          <w:szCs w:val="22"/>
        </w:rPr>
        <w:t>. Les deux périodes qui se dégagent très nettement de la figure 1 correspondent en effet aux deux premières phases mises en lumière</w:t>
      </w:r>
      <w:r w:rsidR="00CD3AB1">
        <w:rPr>
          <w:rFonts w:cs="Times New Roman"/>
          <w:sz w:val="22"/>
          <w:szCs w:val="22"/>
        </w:rPr>
        <w:t xml:space="preserve"> dans nos entretiens</w:t>
      </w:r>
      <w:r w:rsidRPr="00B246CC">
        <w:rPr>
          <w:rFonts w:cs="Times New Roman"/>
          <w:sz w:val="22"/>
          <w:szCs w:val="22"/>
        </w:rPr>
        <w:t>. Les scores élevés attribués aux années 2009, 2010 et 2011</w:t>
      </w:r>
      <w:r>
        <w:rPr>
          <w:rStyle w:val="Appelnotedebasdep"/>
          <w:rFonts w:cs="Times New Roman"/>
          <w:sz w:val="22"/>
          <w:szCs w:val="22"/>
        </w:rPr>
        <w:footnoteReference w:id="33"/>
      </w:r>
      <w:r w:rsidRPr="00B246CC">
        <w:rPr>
          <w:rFonts w:cs="Times New Roman"/>
          <w:sz w:val="22"/>
          <w:szCs w:val="22"/>
        </w:rPr>
        <w:t xml:space="preserve"> laissent également entrevoir l</w:t>
      </w:r>
      <w:r>
        <w:rPr>
          <w:rFonts w:cs="Times New Roman"/>
          <w:sz w:val="22"/>
          <w:szCs w:val="22"/>
        </w:rPr>
        <w:t xml:space="preserve">a récente </w:t>
      </w:r>
      <w:r w:rsidRPr="00B246CC">
        <w:rPr>
          <w:rFonts w:cs="Times New Roman"/>
          <w:sz w:val="22"/>
          <w:szCs w:val="22"/>
        </w:rPr>
        <w:t>amélioration</w:t>
      </w:r>
      <w:r>
        <w:rPr>
          <w:rFonts w:cs="Times New Roman"/>
          <w:sz w:val="22"/>
          <w:szCs w:val="22"/>
        </w:rPr>
        <w:t xml:space="preserve"> </w:t>
      </w:r>
      <w:r w:rsidRPr="00B246CC">
        <w:rPr>
          <w:rFonts w:cs="Times New Roman"/>
          <w:sz w:val="22"/>
          <w:szCs w:val="22"/>
        </w:rPr>
        <w:t>de la position de la Section décrite lors des interviews.</w:t>
      </w:r>
    </w:p>
    <w:p w14:paraId="75EFCC25" w14:textId="77777777" w:rsidR="00644955" w:rsidRPr="00B26A22" w:rsidRDefault="00644955">
      <w:pPr>
        <w:spacing w:line="240" w:lineRule="auto"/>
        <w:rPr>
          <w:rFonts w:cs="Times New Roman"/>
          <w:sz w:val="22"/>
          <w:szCs w:val="22"/>
        </w:rPr>
      </w:pPr>
    </w:p>
    <w:p w14:paraId="58F3D739" w14:textId="77777777" w:rsidR="00637DA6" w:rsidRDefault="00637DA6" w:rsidP="00CD3AB1">
      <w:pPr>
        <w:spacing w:line="240" w:lineRule="auto"/>
        <w:jc w:val="center"/>
        <w:rPr>
          <w:rFonts w:cs="Times New Roman"/>
          <w:i/>
          <w:sz w:val="22"/>
          <w:szCs w:val="22"/>
        </w:rPr>
      </w:pPr>
    </w:p>
    <w:p w14:paraId="1D947908" w14:textId="77777777" w:rsidR="00637DA6" w:rsidRDefault="00637DA6" w:rsidP="00CD3AB1">
      <w:pPr>
        <w:spacing w:line="240" w:lineRule="auto"/>
        <w:jc w:val="center"/>
        <w:rPr>
          <w:rFonts w:cs="Times New Roman"/>
          <w:i/>
          <w:sz w:val="22"/>
          <w:szCs w:val="22"/>
        </w:rPr>
      </w:pPr>
    </w:p>
    <w:p w14:paraId="63F3DAC8" w14:textId="77777777" w:rsidR="00637DA6" w:rsidRDefault="00637DA6" w:rsidP="00CD3AB1">
      <w:pPr>
        <w:spacing w:line="240" w:lineRule="auto"/>
        <w:jc w:val="center"/>
        <w:rPr>
          <w:rFonts w:cs="Times New Roman"/>
          <w:i/>
          <w:sz w:val="22"/>
          <w:szCs w:val="22"/>
        </w:rPr>
      </w:pPr>
    </w:p>
    <w:p w14:paraId="1D1D114F" w14:textId="77777777" w:rsidR="00637DA6" w:rsidRDefault="00637DA6" w:rsidP="00CD3AB1">
      <w:pPr>
        <w:spacing w:line="240" w:lineRule="auto"/>
        <w:jc w:val="center"/>
        <w:rPr>
          <w:rFonts w:cs="Times New Roman"/>
          <w:i/>
          <w:sz w:val="22"/>
          <w:szCs w:val="22"/>
        </w:rPr>
      </w:pPr>
    </w:p>
    <w:p w14:paraId="7F2DD7B1" w14:textId="77777777" w:rsidR="00637DA6" w:rsidRDefault="00637DA6" w:rsidP="00CD3AB1">
      <w:pPr>
        <w:spacing w:line="240" w:lineRule="auto"/>
        <w:jc w:val="center"/>
        <w:rPr>
          <w:rFonts w:cs="Times New Roman"/>
          <w:i/>
          <w:sz w:val="22"/>
          <w:szCs w:val="22"/>
        </w:rPr>
      </w:pPr>
    </w:p>
    <w:p w14:paraId="1CB892E5" w14:textId="77777777" w:rsidR="00637DA6" w:rsidRDefault="00637DA6" w:rsidP="00CD3AB1">
      <w:pPr>
        <w:spacing w:line="240" w:lineRule="auto"/>
        <w:jc w:val="center"/>
        <w:rPr>
          <w:rFonts w:cs="Times New Roman"/>
          <w:i/>
          <w:sz w:val="22"/>
          <w:szCs w:val="22"/>
        </w:rPr>
      </w:pPr>
    </w:p>
    <w:p w14:paraId="6FE81CC0" w14:textId="77777777" w:rsidR="00637DA6" w:rsidRDefault="00637DA6" w:rsidP="00CD3AB1">
      <w:pPr>
        <w:spacing w:line="240" w:lineRule="auto"/>
        <w:jc w:val="center"/>
        <w:rPr>
          <w:rFonts w:cs="Times New Roman"/>
          <w:i/>
          <w:sz w:val="22"/>
          <w:szCs w:val="22"/>
        </w:rPr>
      </w:pPr>
    </w:p>
    <w:p w14:paraId="36A3EF7B" w14:textId="77777777" w:rsidR="00637DA6" w:rsidRDefault="00637DA6" w:rsidP="00CD3AB1">
      <w:pPr>
        <w:spacing w:line="240" w:lineRule="auto"/>
        <w:jc w:val="center"/>
        <w:rPr>
          <w:rFonts w:cs="Times New Roman"/>
          <w:i/>
          <w:sz w:val="22"/>
          <w:szCs w:val="22"/>
        </w:rPr>
      </w:pPr>
    </w:p>
    <w:p w14:paraId="4A2713BB" w14:textId="77777777" w:rsidR="00637DA6" w:rsidRDefault="00637DA6" w:rsidP="00CD3AB1">
      <w:pPr>
        <w:spacing w:line="240" w:lineRule="auto"/>
        <w:jc w:val="center"/>
        <w:rPr>
          <w:rFonts w:cs="Times New Roman"/>
          <w:i/>
          <w:sz w:val="22"/>
          <w:szCs w:val="22"/>
        </w:rPr>
      </w:pPr>
    </w:p>
    <w:p w14:paraId="582CC2CD" w14:textId="77777777" w:rsidR="00637DA6" w:rsidRDefault="00637DA6" w:rsidP="00CD3AB1">
      <w:pPr>
        <w:spacing w:line="240" w:lineRule="auto"/>
        <w:jc w:val="center"/>
        <w:rPr>
          <w:rFonts w:cs="Times New Roman"/>
          <w:i/>
          <w:sz w:val="22"/>
          <w:szCs w:val="22"/>
        </w:rPr>
      </w:pPr>
    </w:p>
    <w:p w14:paraId="483A1275" w14:textId="77777777" w:rsidR="00637DA6" w:rsidRDefault="00637DA6" w:rsidP="00CD3AB1">
      <w:pPr>
        <w:spacing w:line="240" w:lineRule="auto"/>
        <w:jc w:val="center"/>
        <w:rPr>
          <w:rFonts w:cs="Times New Roman"/>
          <w:i/>
          <w:sz w:val="22"/>
          <w:szCs w:val="22"/>
        </w:rPr>
      </w:pPr>
    </w:p>
    <w:p w14:paraId="76E2E020" w14:textId="77777777" w:rsidR="00637DA6" w:rsidRDefault="00637DA6" w:rsidP="00CD3AB1">
      <w:pPr>
        <w:spacing w:line="240" w:lineRule="auto"/>
        <w:jc w:val="center"/>
        <w:rPr>
          <w:rFonts w:cs="Times New Roman"/>
          <w:i/>
          <w:sz w:val="22"/>
          <w:szCs w:val="22"/>
        </w:rPr>
      </w:pPr>
    </w:p>
    <w:p w14:paraId="0B77A1BA" w14:textId="77777777" w:rsidR="00A4061A" w:rsidRDefault="002D4472" w:rsidP="00CD3AB1">
      <w:pPr>
        <w:spacing w:line="240" w:lineRule="auto"/>
        <w:jc w:val="center"/>
        <w:rPr>
          <w:rFonts w:cs="Times New Roman"/>
          <w:i/>
          <w:sz w:val="22"/>
          <w:szCs w:val="22"/>
        </w:rPr>
      </w:pPr>
      <w:r w:rsidRPr="00B246CC">
        <w:rPr>
          <w:rFonts w:cs="Times New Roman"/>
          <w:i/>
          <w:sz w:val="22"/>
          <w:szCs w:val="22"/>
        </w:rPr>
        <w:lastRenderedPageBreak/>
        <w:t xml:space="preserve">Figure 1 : influence de la Section sur le gouvernement fédéral entre 1990 et 2010 </w:t>
      </w:r>
      <w:r w:rsidR="00E42B32">
        <w:rPr>
          <w:rFonts w:cs="Times New Roman"/>
          <w:i/>
          <w:sz w:val="22"/>
          <w:szCs w:val="22"/>
        </w:rPr>
        <w:t>(</w:t>
      </w:r>
      <w:r w:rsidRPr="00B246CC">
        <w:rPr>
          <w:rFonts w:cs="Times New Roman"/>
          <w:i/>
          <w:sz w:val="22"/>
          <w:szCs w:val="22"/>
        </w:rPr>
        <w:t>Coene et Langenus</w:t>
      </w:r>
      <w:r w:rsidR="00E42B32">
        <w:rPr>
          <w:rFonts w:cs="Times New Roman"/>
          <w:i/>
          <w:sz w:val="22"/>
          <w:szCs w:val="22"/>
        </w:rPr>
        <w:t xml:space="preserve">, </w:t>
      </w:r>
      <w:r w:rsidRPr="00B246CC">
        <w:rPr>
          <w:rFonts w:cs="Times New Roman"/>
          <w:i/>
          <w:sz w:val="22"/>
          <w:szCs w:val="22"/>
        </w:rPr>
        <w:t>2011 : 24)</w:t>
      </w:r>
    </w:p>
    <w:p w14:paraId="078420D5" w14:textId="77777777" w:rsidR="00E85F28" w:rsidRPr="004F2163" w:rsidRDefault="00E85F28" w:rsidP="006B11F4">
      <w:pPr>
        <w:spacing w:line="240" w:lineRule="auto"/>
        <w:jc w:val="both"/>
        <w:rPr>
          <w:rFonts w:cs="Times New Roman"/>
          <w:i/>
          <w:sz w:val="22"/>
          <w:szCs w:val="22"/>
        </w:rPr>
      </w:pPr>
    </w:p>
    <w:p w14:paraId="72EC510F" w14:textId="77777777" w:rsidR="00A4061A" w:rsidRPr="004F2163" w:rsidRDefault="0047776D" w:rsidP="006B11F4">
      <w:pPr>
        <w:spacing w:line="240" w:lineRule="auto"/>
        <w:jc w:val="both"/>
        <w:rPr>
          <w:rFonts w:cs="Times New Roman"/>
          <w:color w:val="FF0000"/>
          <w:sz w:val="22"/>
          <w:szCs w:val="22"/>
        </w:rPr>
      </w:pPr>
      <w:r w:rsidRPr="00B246CC">
        <w:rPr>
          <w:rFonts w:cs="Times New Roman"/>
          <w:noProof/>
          <w:color w:val="FF0000"/>
          <w:sz w:val="22"/>
          <w:szCs w:val="22"/>
          <w:lang w:val="fr-BE" w:eastAsia="fr-BE"/>
        </w:rPr>
        <w:drawing>
          <wp:inline distT="0" distB="0" distL="0" distR="0" wp14:anchorId="2AC8193F" wp14:editId="0AD95491">
            <wp:extent cx="4320000" cy="2518913"/>
            <wp:effectExtent l="0" t="0" r="0" b="0"/>
            <wp:docPr id="4" name="Picture 2"/>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Picture 2"/>
                    <pic:cNvPicPr preferRelativeResize="0">
                      <a:picLocks noGrp="1" noChangeAspect="1" noChangeArrowheads="1"/>
                    </pic:cNvPicPr>
                  </pic:nvPicPr>
                  <pic:blipFill rotWithShape="1">
                    <a:blip r:embed="rId13" cstate="print">
                      <a:grayscl/>
                    </a:blip>
                    <a:srcRect l="19701" t="17193" r="20852" b="23596"/>
                    <a:stretch/>
                  </pic:blipFill>
                  <pic:spPr bwMode="auto">
                    <a:xfrm>
                      <a:off x="0" y="0"/>
                      <a:ext cx="4320000" cy="2518913"/>
                    </a:xfrm>
                    <a:prstGeom prst="rect">
                      <a:avLst/>
                    </a:prstGeom>
                    <a:ln w="228600" cap="sq" cmpd="thickThin">
                      <a:noFill/>
                      <a:prstDash val="solid"/>
                      <a:miter lim="800000"/>
                    </a:ln>
                    <a:effectLst>
                      <a:innerShdw blurRad="76200">
                        <a:srgbClr val="000000"/>
                      </a:innerShdw>
                      <a:softEdge rad="31750"/>
                    </a:effectLst>
                    <a:extLst>
                      <a:ext uri="{53640926-AAD7-44D8-BBD7-CCE9431645EC}">
                        <a14:shadowObscured xmlns:a14="http://schemas.microsoft.com/office/drawing/2010/main"/>
                      </a:ext>
                    </a:extLst>
                  </pic:spPr>
                </pic:pic>
              </a:graphicData>
            </a:graphic>
          </wp:inline>
        </w:drawing>
      </w:r>
    </w:p>
    <w:p w14:paraId="6EEEA9CD" w14:textId="77777777" w:rsidR="00A4061A" w:rsidRPr="004F2163" w:rsidRDefault="00A4061A" w:rsidP="006B11F4">
      <w:pPr>
        <w:spacing w:line="240" w:lineRule="auto"/>
        <w:jc w:val="both"/>
        <w:rPr>
          <w:rFonts w:cs="Times New Roman"/>
          <w:color w:val="FF0000"/>
          <w:sz w:val="22"/>
          <w:szCs w:val="22"/>
        </w:rPr>
      </w:pPr>
    </w:p>
    <w:p w14:paraId="54F51954" w14:textId="4B663715" w:rsidR="00C821F2" w:rsidRPr="004F2163" w:rsidRDefault="00116A06" w:rsidP="006B11F4">
      <w:pPr>
        <w:spacing w:line="240" w:lineRule="auto"/>
        <w:jc w:val="both"/>
        <w:rPr>
          <w:rFonts w:cs="Times New Roman"/>
          <w:sz w:val="22"/>
          <w:szCs w:val="22"/>
        </w:rPr>
      </w:pPr>
      <w:r>
        <w:rPr>
          <w:rFonts w:cs="Times New Roman"/>
          <w:sz w:val="22"/>
          <w:szCs w:val="22"/>
        </w:rPr>
        <w:t xml:space="preserve">Des divergences apparaissent toutefois sur certains points spécifiques. </w:t>
      </w:r>
      <w:r w:rsidR="002D4472" w:rsidRPr="00B246CC">
        <w:rPr>
          <w:rFonts w:cs="Times New Roman"/>
          <w:sz w:val="22"/>
          <w:szCs w:val="22"/>
          <w:lang w:val="fr-BE"/>
        </w:rPr>
        <w:t xml:space="preserve">C’est particulièrement le cas en ce qui concerne le regard porté sur les avis de 2004, qui recueillent une note de 4/5 de la part de Coene et Langenus alors que nous avons montré qu’ils n’ont pu endiguer la politique expansive du gouvernement fédéral. Cette </w:t>
      </w:r>
      <w:r w:rsidR="00CD3AB1">
        <w:rPr>
          <w:rFonts w:cs="Times New Roman"/>
          <w:sz w:val="22"/>
          <w:szCs w:val="22"/>
          <w:lang w:val="fr-BE"/>
        </w:rPr>
        <w:t>divergence</w:t>
      </w:r>
      <w:r w:rsidR="002D4472" w:rsidRPr="00B246CC">
        <w:rPr>
          <w:rFonts w:cs="Times New Roman"/>
          <w:sz w:val="22"/>
          <w:szCs w:val="22"/>
          <w:lang w:val="fr-BE"/>
        </w:rPr>
        <w:t xml:space="preserve"> d’appréciation </w:t>
      </w:r>
      <w:r>
        <w:rPr>
          <w:rFonts w:cs="Times New Roman"/>
          <w:sz w:val="22"/>
          <w:szCs w:val="22"/>
          <w:lang w:val="fr-BE"/>
        </w:rPr>
        <w:t>renvoie à</w:t>
      </w:r>
      <w:r w:rsidR="002D4472" w:rsidRPr="00B246CC">
        <w:rPr>
          <w:rFonts w:cs="Times New Roman"/>
          <w:sz w:val="22"/>
          <w:szCs w:val="22"/>
          <w:lang w:val="fr-BE"/>
        </w:rPr>
        <w:t xml:space="preserve"> </w:t>
      </w:r>
      <w:r w:rsidR="00CD3AB1">
        <w:rPr>
          <w:rFonts w:cs="Times New Roman"/>
          <w:sz w:val="22"/>
          <w:szCs w:val="22"/>
          <w:lang w:val="fr-BE"/>
        </w:rPr>
        <w:t>la</w:t>
      </w:r>
      <w:r w:rsidR="002D4472" w:rsidRPr="00B246CC">
        <w:rPr>
          <w:rFonts w:cs="Times New Roman"/>
          <w:sz w:val="22"/>
          <w:szCs w:val="22"/>
          <w:lang w:val="fr-BE"/>
        </w:rPr>
        <w:t xml:space="preserve"> différence </w:t>
      </w:r>
      <w:r>
        <w:rPr>
          <w:rFonts w:cs="Times New Roman"/>
          <w:sz w:val="22"/>
          <w:szCs w:val="22"/>
          <w:lang w:val="fr-BE"/>
        </w:rPr>
        <w:t xml:space="preserve">fondamentale </w:t>
      </w:r>
      <w:r w:rsidR="002D4472" w:rsidRPr="00B246CC">
        <w:rPr>
          <w:rFonts w:cs="Times New Roman"/>
          <w:sz w:val="22"/>
          <w:szCs w:val="22"/>
          <w:lang w:val="fr-BE"/>
        </w:rPr>
        <w:t xml:space="preserve">entre </w:t>
      </w:r>
      <w:r>
        <w:rPr>
          <w:rFonts w:cs="Times New Roman"/>
          <w:sz w:val="22"/>
          <w:szCs w:val="22"/>
          <w:lang w:val="fr-BE"/>
        </w:rPr>
        <w:t>l</w:t>
      </w:r>
      <w:r w:rsidR="002D4472" w:rsidRPr="00B246CC">
        <w:rPr>
          <w:rFonts w:cs="Times New Roman"/>
          <w:sz w:val="22"/>
          <w:szCs w:val="22"/>
          <w:lang w:val="fr-BE"/>
        </w:rPr>
        <w:t xml:space="preserve">es deux modèles : alors que l’un insiste </w:t>
      </w:r>
      <w:r>
        <w:rPr>
          <w:rFonts w:cs="Times New Roman"/>
          <w:sz w:val="22"/>
          <w:szCs w:val="22"/>
          <w:lang w:val="fr-BE"/>
        </w:rPr>
        <w:t xml:space="preserve">lourdement </w:t>
      </w:r>
      <w:r w:rsidR="002D4472" w:rsidRPr="00B246CC">
        <w:rPr>
          <w:rFonts w:cs="Times New Roman"/>
          <w:sz w:val="22"/>
          <w:szCs w:val="22"/>
          <w:lang w:val="fr-BE"/>
        </w:rPr>
        <w:t xml:space="preserve">sur le poids des facteurs contextuels et des dynamiques politiques à l’œuvre, l’autre met </w:t>
      </w:r>
      <w:r>
        <w:rPr>
          <w:rFonts w:cs="Times New Roman"/>
          <w:sz w:val="22"/>
          <w:szCs w:val="22"/>
          <w:lang w:val="fr-BE"/>
        </w:rPr>
        <w:t>surtout</w:t>
      </w:r>
      <w:r w:rsidR="002D4472" w:rsidRPr="00B246CC">
        <w:rPr>
          <w:rFonts w:cs="Times New Roman"/>
          <w:sz w:val="22"/>
          <w:szCs w:val="22"/>
          <w:lang w:val="fr-BE"/>
        </w:rPr>
        <w:t xml:space="preserve"> l’accent sur le contenu même des avis. Si cette seconde méthode est </w:t>
      </w:r>
      <w:r>
        <w:rPr>
          <w:rFonts w:cs="Times New Roman"/>
          <w:sz w:val="22"/>
          <w:szCs w:val="22"/>
          <w:lang w:val="fr-BE"/>
        </w:rPr>
        <w:t xml:space="preserve">loin d’être </w:t>
      </w:r>
      <w:r w:rsidR="002D4472" w:rsidRPr="00B246CC">
        <w:rPr>
          <w:rFonts w:cs="Times New Roman"/>
          <w:sz w:val="22"/>
          <w:szCs w:val="22"/>
          <w:lang w:val="fr-BE"/>
        </w:rPr>
        <w:t xml:space="preserve">dénuée d’intérêt, elle comporte </w:t>
      </w:r>
      <w:r>
        <w:rPr>
          <w:rFonts w:cs="Times New Roman"/>
          <w:sz w:val="22"/>
          <w:szCs w:val="22"/>
          <w:lang w:val="fr-BE"/>
        </w:rPr>
        <w:t xml:space="preserve">toutefois </w:t>
      </w:r>
      <w:r w:rsidR="002D4472" w:rsidRPr="00B246CC">
        <w:rPr>
          <w:rFonts w:cs="Times New Roman"/>
          <w:sz w:val="22"/>
          <w:szCs w:val="22"/>
          <w:lang w:val="fr-BE"/>
        </w:rPr>
        <w:t xml:space="preserve">le risque de mésestimer l’impact réel des recommandations de la Section sur le monde politique. Il convient en effet d’opérer une distinction entre la qualité scientifique des avis </w:t>
      </w:r>
      <w:r>
        <w:rPr>
          <w:rFonts w:cs="Times New Roman"/>
          <w:sz w:val="22"/>
          <w:szCs w:val="22"/>
          <w:lang w:val="fr-BE"/>
        </w:rPr>
        <w:t xml:space="preserve">émis </w:t>
      </w:r>
      <w:r w:rsidR="002D4472" w:rsidRPr="00B246CC">
        <w:rPr>
          <w:rFonts w:cs="Times New Roman"/>
          <w:sz w:val="22"/>
          <w:szCs w:val="22"/>
          <w:lang w:val="fr-BE"/>
        </w:rPr>
        <w:t xml:space="preserve">et leur portée politique. Comme le relève très justement cet expert : </w:t>
      </w:r>
      <w:r w:rsidR="002D4472" w:rsidRPr="00B246CC">
        <w:rPr>
          <w:rFonts w:cs="Times New Roman"/>
          <w:bCs/>
          <w:i/>
          <w:sz w:val="22"/>
          <w:szCs w:val="22"/>
          <w:lang w:val="fr-BE" w:eastAsia="en-US"/>
        </w:rPr>
        <w:t xml:space="preserve">« tu peux faire des analyses économiques et émettre des recommandations très fondées mais si tu sais que le soutien, la portée politique n’est pas présente, tu écris cent pages qu’on jette à la poubelle » </w:t>
      </w:r>
      <w:r w:rsidR="002D4472" w:rsidRPr="00B246CC">
        <w:rPr>
          <w:rFonts w:cs="Times New Roman"/>
          <w:bCs/>
          <w:sz w:val="22"/>
          <w:szCs w:val="22"/>
          <w:lang w:val="fr-BE" w:eastAsia="en-US"/>
        </w:rPr>
        <w:t>(E6).</w:t>
      </w:r>
      <w:r w:rsidR="002D4472" w:rsidRPr="00B246CC">
        <w:rPr>
          <w:rFonts w:cs="Times New Roman"/>
          <w:sz w:val="22"/>
          <w:szCs w:val="22"/>
          <w:lang w:val="fr-BE"/>
        </w:rPr>
        <w:t xml:space="preserve"> </w:t>
      </w:r>
      <w:r w:rsidR="002D4472" w:rsidRPr="00B246CC">
        <w:rPr>
          <w:rFonts w:cs="Times New Roman"/>
          <w:sz w:val="22"/>
          <w:szCs w:val="22"/>
        </w:rPr>
        <w:t>Pour que les recommandations de la Section pèsent sur la décision politique, il faut en définitive</w:t>
      </w:r>
      <w:r w:rsidR="002D4472" w:rsidRPr="00B246CC">
        <w:rPr>
          <w:rFonts w:cs="Times New Roman"/>
          <w:sz w:val="22"/>
          <w:szCs w:val="22"/>
          <w:lang w:val="fr-BE" w:eastAsia="en-US"/>
        </w:rPr>
        <w:t xml:space="preserve"> « </w:t>
      </w:r>
      <w:r w:rsidR="002D4472" w:rsidRPr="00B246CC">
        <w:rPr>
          <w:rFonts w:cs="Times New Roman"/>
          <w:i/>
          <w:sz w:val="22"/>
          <w:szCs w:val="22"/>
          <w:lang w:val="fr-BE" w:eastAsia="en-US"/>
        </w:rPr>
        <w:t>que l’homme politique joue le jeu </w:t>
      </w:r>
      <w:r w:rsidR="002D4472" w:rsidRPr="00B246CC">
        <w:rPr>
          <w:rFonts w:cs="Times New Roman"/>
          <w:sz w:val="22"/>
          <w:szCs w:val="22"/>
          <w:lang w:val="fr-BE" w:eastAsia="en-US"/>
        </w:rPr>
        <w:t>» (E1).</w:t>
      </w:r>
      <w:r w:rsidR="002D4472" w:rsidRPr="00B246CC">
        <w:rPr>
          <w:rFonts w:cs="Times New Roman"/>
          <w:sz w:val="22"/>
          <w:szCs w:val="22"/>
        </w:rPr>
        <w:t xml:space="preserve"> </w:t>
      </w:r>
    </w:p>
    <w:p w14:paraId="59D98F18" w14:textId="77777777" w:rsidR="006D280D" w:rsidRPr="004F2163" w:rsidRDefault="006D280D" w:rsidP="006B11F4">
      <w:pPr>
        <w:spacing w:line="240" w:lineRule="auto"/>
        <w:jc w:val="both"/>
        <w:rPr>
          <w:rFonts w:cs="Times New Roman"/>
          <w:sz w:val="22"/>
          <w:szCs w:val="22"/>
          <w:lang w:val="fr-BE"/>
        </w:rPr>
      </w:pPr>
    </w:p>
    <w:p w14:paraId="0A5374EC" w14:textId="77777777" w:rsidR="00644955" w:rsidRDefault="00644955" w:rsidP="006D280D">
      <w:pPr>
        <w:spacing w:line="240" w:lineRule="auto"/>
        <w:rPr>
          <w:rFonts w:cs="Times New Roman"/>
          <w:b/>
          <w:sz w:val="22"/>
          <w:szCs w:val="22"/>
        </w:rPr>
      </w:pPr>
    </w:p>
    <w:p w14:paraId="3EB9361C" w14:textId="77777777" w:rsidR="00644955" w:rsidRDefault="00644955" w:rsidP="006D280D">
      <w:pPr>
        <w:spacing w:line="240" w:lineRule="auto"/>
        <w:rPr>
          <w:rFonts w:cs="Times New Roman"/>
          <w:b/>
          <w:sz w:val="22"/>
          <w:szCs w:val="22"/>
        </w:rPr>
      </w:pPr>
    </w:p>
    <w:p w14:paraId="78BD32B8" w14:textId="77777777" w:rsidR="00637DA6" w:rsidRDefault="00637DA6" w:rsidP="006D280D">
      <w:pPr>
        <w:spacing w:line="240" w:lineRule="auto"/>
        <w:rPr>
          <w:rFonts w:cs="Times New Roman"/>
          <w:b/>
          <w:sz w:val="22"/>
          <w:szCs w:val="22"/>
        </w:rPr>
      </w:pPr>
      <w:bookmarkStart w:id="0" w:name="_GoBack"/>
      <w:bookmarkEnd w:id="0"/>
    </w:p>
    <w:p w14:paraId="625DA8BC" w14:textId="77777777" w:rsidR="00627271" w:rsidRPr="004F2163" w:rsidRDefault="002D4472" w:rsidP="006D280D">
      <w:pPr>
        <w:spacing w:line="240" w:lineRule="auto"/>
        <w:rPr>
          <w:rFonts w:cs="Times New Roman"/>
          <w:b/>
          <w:sz w:val="22"/>
          <w:szCs w:val="22"/>
        </w:rPr>
      </w:pPr>
      <w:r w:rsidRPr="00B246CC">
        <w:rPr>
          <w:rFonts w:cs="Times New Roman"/>
          <w:b/>
          <w:sz w:val="22"/>
          <w:szCs w:val="22"/>
        </w:rPr>
        <w:lastRenderedPageBreak/>
        <w:t>Conclusion</w:t>
      </w:r>
    </w:p>
    <w:p w14:paraId="3E1F28F6" w14:textId="77777777" w:rsidR="006D280D" w:rsidRPr="004F2163" w:rsidRDefault="006D280D" w:rsidP="006B11F4">
      <w:pPr>
        <w:spacing w:line="240" w:lineRule="auto"/>
        <w:jc w:val="both"/>
        <w:rPr>
          <w:rFonts w:cs="Times New Roman"/>
          <w:sz w:val="22"/>
          <w:szCs w:val="22"/>
        </w:rPr>
      </w:pPr>
    </w:p>
    <w:p w14:paraId="4C733816" w14:textId="34031144" w:rsidR="00B54AA4" w:rsidRPr="004F2163" w:rsidRDefault="00663956" w:rsidP="006B11F4">
      <w:pPr>
        <w:spacing w:line="240" w:lineRule="auto"/>
        <w:jc w:val="both"/>
        <w:rPr>
          <w:rFonts w:cs="Times New Roman"/>
          <w:sz w:val="22"/>
          <w:szCs w:val="22"/>
        </w:rPr>
      </w:pPr>
      <w:r>
        <w:rPr>
          <w:rFonts w:cs="Times New Roman"/>
          <w:sz w:val="22"/>
          <w:szCs w:val="22"/>
        </w:rPr>
        <w:t>C</w:t>
      </w:r>
      <w:r w:rsidR="002D4472" w:rsidRPr="00B246CC">
        <w:rPr>
          <w:rFonts w:cs="Times New Roman"/>
          <w:sz w:val="22"/>
          <w:szCs w:val="22"/>
        </w:rPr>
        <w:t xml:space="preserve">et article </w:t>
      </w:r>
      <w:r>
        <w:rPr>
          <w:rFonts w:cs="Times New Roman"/>
          <w:sz w:val="22"/>
          <w:szCs w:val="22"/>
        </w:rPr>
        <w:t>se donnait pour objectif d’</w:t>
      </w:r>
      <w:r w:rsidR="002D4472" w:rsidRPr="00B246CC">
        <w:rPr>
          <w:rFonts w:cs="Times New Roman"/>
          <w:sz w:val="22"/>
          <w:szCs w:val="22"/>
        </w:rPr>
        <w:t xml:space="preserve">identifier les </w:t>
      </w:r>
      <w:r>
        <w:rPr>
          <w:rFonts w:cs="Times New Roman"/>
          <w:sz w:val="22"/>
          <w:szCs w:val="22"/>
        </w:rPr>
        <w:t xml:space="preserve">conditions </w:t>
      </w:r>
      <w:r w:rsidR="00CD3AB1">
        <w:rPr>
          <w:rFonts w:cs="Times New Roman"/>
          <w:sz w:val="22"/>
          <w:szCs w:val="22"/>
        </w:rPr>
        <w:t>d</w:t>
      </w:r>
      <w:r w:rsidR="002D4472" w:rsidRPr="00B246CC">
        <w:rPr>
          <w:rFonts w:cs="Times New Roman"/>
          <w:sz w:val="22"/>
          <w:szCs w:val="22"/>
        </w:rPr>
        <w:t xml:space="preserve">’influence </w:t>
      </w:r>
      <w:r>
        <w:rPr>
          <w:rFonts w:cs="Times New Roman"/>
          <w:sz w:val="22"/>
          <w:szCs w:val="22"/>
        </w:rPr>
        <w:t>de</w:t>
      </w:r>
      <w:r w:rsidR="002D4472" w:rsidRPr="00B246CC">
        <w:rPr>
          <w:rFonts w:cs="Times New Roman"/>
          <w:sz w:val="22"/>
          <w:szCs w:val="22"/>
        </w:rPr>
        <w:t xml:space="preserve"> la section ‘Besoins de financement des pouvoirs publics’ sur la politique budgétaire</w:t>
      </w:r>
      <w:r>
        <w:rPr>
          <w:rFonts w:cs="Times New Roman"/>
          <w:sz w:val="22"/>
          <w:szCs w:val="22"/>
        </w:rPr>
        <w:t xml:space="preserve"> du gouvernement fédéral</w:t>
      </w:r>
      <w:r w:rsidR="002D4472" w:rsidRPr="00B246CC">
        <w:rPr>
          <w:rFonts w:cs="Times New Roman"/>
          <w:sz w:val="22"/>
          <w:szCs w:val="22"/>
        </w:rPr>
        <w:t xml:space="preserve">. L’analyse du contenu des quinze entretiens </w:t>
      </w:r>
      <w:r w:rsidR="00CD3AB1">
        <w:rPr>
          <w:rFonts w:cs="Times New Roman"/>
          <w:sz w:val="22"/>
          <w:szCs w:val="22"/>
        </w:rPr>
        <w:t xml:space="preserve">semi-directifs </w:t>
      </w:r>
      <w:r w:rsidR="002D4472" w:rsidRPr="00B246CC">
        <w:rPr>
          <w:rFonts w:cs="Times New Roman"/>
          <w:sz w:val="22"/>
          <w:szCs w:val="22"/>
        </w:rPr>
        <w:t xml:space="preserve">mobilisés </w:t>
      </w:r>
      <w:r>
        <w:rPr>
          <w:rFonts w:cs="Times New Roman"/>
          <w:sz w:val="22"/>
          <w:szCs w:val="22"/>
        </w:rPr>
        <w:t>à cette fin</w:t>
      </w:r>
      <w:r w:rsidR="002D4472" w:rsidRPr="00B246CC">
        <w:rPr>
          <w:rFonts w:cs="Times New Roman"/>
          <w:sz w:val="22"/>
          <w:szCs w:val="22"/>
        </w:rPr>
        <w:t xml:space="preserve"> révèle le rôle déterminant des contraintes budgétaires européennes et, dans une moindre mesure, des risques sur les marchés financiers. L’expérience montre en effet que c’est </w:t>
      </w:r>
      <w:r w:rsidR="00BC101E">
        <w:rPr>
          <w:rFonts w:cs="Times New Roman"/>
          <w:sz w:val="22"/>
          <w:szCs w:val="22"/>
        </w:rPr>
        <w:t>durant</w:t>
      </w:r>
      <w:r w:rsidR="002D4472" w:rsidRPr="00B246CC">
        <w:rPr>
          <w:rFonts w:cs="Times New Roman"/>
          <w:sz w:val="22"/>
          <w:szCs w:val="22"/>
        </w:rPr>
        <w:t xml:space="preserve"> l</w:t>
      </w:r>
      <w:r w:rsidR="00BC101E">
        <w:rPr>
          <w:rFonts w:cs="Times New Roman"/>
          <w:sz w:val="22"/>
          <w:szCs w:val="22"/>
        </w:rPr>
        <w:t>es</w:t>
      </w:r>
      <w:r w:rsidR="002D4472" w:rsidRPr="00B246CC">
        <w:rPr>
          <w:rFonts w:cs="Times New Roman"/>
          <w:sz w:val="22"/>
          <w:szCs w:val="22"/>
        </w:rPr>
        <w:t xml:space="preserve"> </w:t>
      </w:r>
      <w:r w:rsidR="00BC101E">
        <w:rPr>
          <w:rFonts w:cs="Times New Roman"/>
          <w:sz w:val="22"/>
          <w:szCs w:val="22"/>
        </w:rPr>
        <w:t xml:space="preserve">moments de vive </w:t>
      </w:r>
      <w:r w:rsidR="002D4472" w:rsidRPr="00B246CC">
        <w:rPr>
          <w:rFonts w:cs="Times New Roman"/>
          <w:sz w:val="22"/>
          <w:szCs w:val="22"/>
        </w:rPr>
        <w:t xml:space="preserve">pression externe que </w:t>
      </w:r>
      <w:r w:rsidR="00BC101E">
        <w:rPr>
          <w:rFonts w:cs="Times New Roman"/>
          <w:sz w:val="22"/>
          <w:szCs w:val="22"/>
        </w:rPr>
        <w:t>l</w:t>
      </w:r>
      <w:r w:rsidR="002D4472" w:rsidRPr="00B246CC">
        <w:rPr>
          <w:rFonts w:cs="Times New Roman"/>
          <w:sz w:val="22"/>
          <w:szCs w:val="22"/>
        </w:rPr>
        <w:t xml:space="preserve">a contribution </w:t>
      </w:r>
      <w:r w:rsidR="00BC101E">
        <w:rPr>
          <w:rFonts w:cs="Times New Roman"/>
          <w:sz w:val="22"/>
          <w:szCs w:val="22"/>
        </w:rPr>
        <w:t xml:space="preserve">de la Section </w:t>
      </w:r>
      <w:r w:rsidR="002D4472" w:rsidRPr="00B246CC">
        <w:rPr>
          <w:rFonts w:cs="Times New Roman"/>
          <w:sz w:val="22"/>
          <w:szCs w:val="22"/>
        </w:rPr>
        <w:t xml:space="preserve">à la politique budgétaire est la plus remarquable. La comparaison de </w:t>
      </w:r>
      <w:r w:rsidR="00BC101E">
        <w:rPr>
          <w:rFonts w:cs="Times New Roman"/>
          <w:sz w:val="22"/>
          <w:szCs w:val="22"/>
        </w:rPr>
        <w:t>notre</w:t>
      </w:r>
      <w:r w:rsidR="002D4472" w:rsidRPr="00B246CC">
        <w:rPr>
          <w:rFonts w:cs="Times New Roman"/>
          <w:sz w:val="22"/>
          <w:szCs w:val="22"/>
        </w:rPr>
        <w:t xml:space="preserve"> modèle avec celui esquissé par L. Coene et G. Langenus nous a </w:t>
      </w:r>
      <w:r w:rsidR="00BC101E">
        <w:rPr>
          <w:rFonts w:cs="Times New Roman"/>
          <w:sz w:val="22"/>
          <w:szCs w:val="22"/>
        </w:rPr>
        <w:t>enfin</w:t>
      </w:r>
      <w:r w:rsidR="002D4472" w:rsidRPr="00B246CC">
        <w:rPr>
          <w:rFonts w:cs="Times New Roman"/>
          <w:sz w:val="22"/>
          <w:szCs w:val="22"/>
        </w:rPr>
        <w:t xml:space="preserve"> permis de souligner l’importance des facteurs contextuels et de</w:t>
      </w:r>
      <w:r w:rsidR="00BC101E">
        <w:rPr>
          <w:rFonts w:cs="Times New Roman"/>
          <w:sz w:val="22"/>
          <w:szCs w:val="22"/>
        </w:rPr>
        <w:t>s</w:t>
      </w:r>
      <w:r w:rsidR="002D4472" w:rsidRPr="00B246CC">
        <w:rPr>
          <w:rFonts w:cs="Times New Roman"/>
          <w:sz w:val="22"/>
          <w:szCs w:val="22"/>
        </w:rPr>
        <w:t xml:space="preserve"> dynamique</w:t>
      </w:r>
      <w:r w:rsidR="00BC101E">
        <w:rPr>
          <w:rFonts w:cs="Times New Roman"/>
          <w:sz w:val="22"/>
          <w:szCs w:val="22"/>
        </w:rPr>
        <w:t>s</w:t>
      </w:r>
      <w:r w:rsidR="002D4472" w:rsidRPr="00B246CC">
        <w:rPr>
          <w:rFonts w:cs="Times New Roman"/>
          <w:sz w:val="22"/>
          <w:szCs w:val="22"/>
        </w:rPr>
        <w:t xml:space="preserve"> politique</w:t>
      </w:r>
      <w:r w:rsidR="00BC101E">
        <w:rPr>
          <w:rFonts w:cs="Times New Roman"/>
          <w:sz w:val="22"/>
          <w:szCs w:val="22"/>
        </w:rPr>
        <w:t>s</w:t>
      </w:r>
      <w:r w:rsidR="002D4472" w:rsidRPr="00B246CC">
        <w:rPr>
          <w:rFonts w:cs="Times New Roman"/>
          <w:sz w:val="22"/>
          <w:szCs w:val="22"/>
        </w:rPr>
        <w:t xml:space="preserve"> dans toute tentative d’évaluation de l’impact de </w:t>
      </w:r>
      <w:r w:rsidR="00BC101E">
        <w:rPr>
          <w:rFonts w:cs="Times New Roman"/>
          <w:sz w:val="22"/>
          <w:szCs w:val="22"/>
        </w:rPr>
        <w:t xml:space="preserve">cette </w:t>
      </w:r>
      <w:r w:rsidR="00CD3AB1">
        <w:rPr>
          <w:rFonts w:cs="Times New Roman"/>
          <w:sz w:val="22"/>
          <w:szCs w:val="22"/>
        </w:rPr>
        <w:t>instance d’avis</w:t>
      </w:r>
      <w:r w:rsidR="002D4472" w:rsidRPr="00B246CC">
        <w:rPr>
          <w:rFonts w:cs="Times New Roman"/>
          <w:sz w:val="22"/>
          <w:szCs w:val="22"/>
        </w:rPr>
        <w:t>.</w:t>
      </w:r>
    </w:p>
    <w:p w14:paraId="7B3B9235" w14:textId="77777777" w:rsidR="007C732F" w:rsidRPr="004F2163" w:rsidRDefault="007C732F" w:rsidP="006B11F4">
      <w:pPr>
        <w:spacing w:line="240" w:lineRule="auto"/>
        <w:jc w:val="both"/>
        <w:rPr>
          <w:rFonts w:cs="Times New Roman"/>
          <w:sz w:val="22"/>
          <w:szCs w:val="22"/>
        </w:rPr>
      </w:pPr>
    </w:p>
    <w:p w14:paraId="376502E0" w14:textId="4F7BFDBF" w:rsidR="00F26E99" w:rsidRPr="004F2163" w:rsidRDefault="002D4472" w:rsidP="006B11F4">
      <w:pPr>
        <w:spacing w:line="240" w:lineRule="auto"/>
        <w:jc w:val="both"/>
        <w:rPr>
          <w:rFonts w:cs="Times New Roman"/>
          <w:sz w:val="22"/>
          <w:szCs w:val="22"/>
        </w:rPr>
      </w:pPr>
      <w:r w:rsidRPr="00B246CC">
        <w:rPr>
          <w:rFonts w:cs="Times New Roman"/>
          <w:sz w:val="22"/>
          <w:szCs w:val="22"/>
        </w:rPr>
        <w:t xml:space="preserve">Au cours des deux </w:t>
      </w:r>
      <w:r w:rsidR="00BC101E">
        <w:rPr>
          <w:rFonts w:cs="Times New Roman"/>
          <w:sz w:val="22"/>
          <w:szCs w:val="22"/>
        </w:rPr>
        <w:t xml:space="preserve">grandes </w:t>
      </w:r>
      <w:r w:rsidRPr="00B246CC">
        <w:rPr>
          <w:rFonts w:cs="Times New Roman"/>
          <w:sz w:val="22"/>
          <w:szCs w:val="22"/>
        </w:rPr>
        <w:t xml:space="preserve">phases d’assainissement menées depuis sa création, </w:t>
      </w:r>
      <w:r w:rsidR="00BC101E">
        <w:rPr>
          <w:rFonts w:cs="Times New Roman"/>
          <w:sz w:val="22"/>
          <w:szCs w:val="22"/>
        </w:rPr>
        <w:t>la Section</w:t>
      </w:r>
      <w:r w:rsidRPr="00B246CC">
        <w:rPr>
          <w:rFonts w:cs="Times New Roman"/>
          <w:sz w:val="22"/>
          <w:szCs w:val="22"/>
        </w:rPr>
        <w:t xml:space="preserve"> a incontestablement </w:t>
      </w:r>
      <w:r w:rsidR="006749F6">
        <w:rPr>
          <w:rFonts w:cs="Times New Roman"/>
          <w:sz w:val="22"/>
          <w:szCs w:val="22"/>
        </w:rPr>
        <w:t>servi à légitimer</w:t>
      </w:r>
      <w:r w:rsidRPr="00B246CC">
        <w:rPr>
          <w:rFonts w:cs="Times New Roman"/>
          <w:sz w:val="22"/>
          <w:szCs w:val="22"/>
        </w:rPr>
        <w:t xml:space="preserve"> la politique budgétaire</w:t>
      </w:r>
      <w:r w:rsidR="00BC101E">
        <w:rPr>
          <w:rFonts w:cs="Times New Roman"/>
          <w:sz w:val="22"/>
          <w:szCs w:val="22"/>
        </w:rPr>
        <w:t xml:space="preserve"> gouvernementale</w:t>
      </w:r>
      <w:r w:rsidRPr="00B246CC">
        <w:rPr>
          <w:rFonts w:cs="Times New Roman"/>
          <w:sz w:val="22"/>
          <w:szCs w:val="22"/>
        </w:rPr>
        <w:t xml:space="preserve">. Sa mission première s’est toutefois modifiée d’une période à l’autre : alors que son rôle de traduction des obligations européennes était </w:t>
      </w:r>
      <w:r w:rsidR="00BC101E">
        <w:rPr>
          <w:rFonts w:cs="Times New Roman"/>
          <w:sz w:val="22"/>
          <w:szCs w:val="22"/>
        </w:rPr>
        <w:t>prépondérant</w:t>
      </w:r>
      <w:r w:rsidRPr="00B246CC">
        <w:rPr>
          <w:rFonts w:cs="Times New Roman"/>
          <w:sz w:val="22"/>
          <w:szCs w:val="22"/>
        </w:rPr>
        <w:t xml:space="preserve"> durant les années 1990, c’est aujourd’hui la coordination des politiques budgétaires qui constitue son activité principale. Il aura donc fallu attendre près de deux décennies pour que sa mission légale prenne le pas sur sa mission coutumière.</w:t>
      </w:r>
    </w:p>
    <w:p w14:paraId="392C1C86" w14:textId="77777777" w:rsidR="00C775A0" w:rsidRPr="004F2163" w:rsidRDefault="00C775A0" w:rsidP="006B11F4">
      <w:pPr>
        <w:spacing w:line="240" w:lineRule="auto"/>
        <w:jc w:val="both"/>
        <w:rPr>
          <w:rFonts w:cs="Times New Roman"/>
          <w:sz w:val="22"/>
          <w:szCs w:val="22"/>
        </w:rPr>
      </w:pPr>
    </w:p>
    <w:p w14:paraId="6C4F0FA7" w14:textId="77777777" w:rsidR="001D48D9" w:rsidRDefault="002D4472" w:rsidP="006B11F4">
      <w:pPr>
        <w:spacing w:line="240" w:lineRule="auto"/>
        <w:jc w:val="both"/>
        <w:rPr>
          <w:rFonts w:cs="Times New Roman"/>
          <w:sz w:val="22"/>
          <w:szCs w:val="22"/>
        </w:rPr>
      </w:pPr>
      <w:r w:rsidRPr="00B246CC">
        <w:rPr>
          <w:rFonts w:cs="Times New Roman"/>
          <w:sz w:val="22"/>
          <w:szCs w:val="22"/>
        </w:rPr>
        <w:t xml:space="preserve">La nouvelle gouvernance </w:t>
      </w:r>
      <w:r w:rsidR="00BC101E">
        <w:rPr>
          <w:rFonts w:cs="Times New Roman"/>
          <w:sz w:val="22"/>
          <w:szCs w:val="22"/>
        </w:rPr>
        <w:t>économique</w:t>
      </w:r>
      <w:r w:rsidRPr="00B246CC">
        <w:rPr>
          <w:rFonts w:cs="Times New Roman"/>
          <w:sz w:val="22"/>
          <w:szCs w:val="22"/>
        </w:rPr>
        <w:t xml:space="preserve"> européenne et l’entrée en vigueur prochaine de la sixième réforme de l’État devraient entraîner de nouvelles modifications dans la relation unissant la Section aux pouvoirs publics et </w:t>
      </w:r>
      <w:r w:rsidR="00BC101E">
        <w:rPr>
          <w:rFonts w:cs="Times New Roman"/>
          <w:sz w:val="22"/>
          <w:szCs w:val="22"/>
        </w:rPr>
        <w:t xml:space="preserve">contribuer à </w:t>
      </w:r>
      <w:r w:rsidRPr="00B246CC">
        <w:rPr>
          <w:rFonts w:cs="Times New Roman"/>
          <w:sz w:val="22"/>
          <w:szCs w:val="22"/>
        </w:rPr>
        <w:t xml:space="preserve">asseoir la position du CSF dans l’architecture institutionnelle belge. </w:t>
      </w:r>
      <w:r w:rsidR="00BC101E">
        <w:rPr>
          <w:rFonts w:cs="Times New Roman"/>
          <w:sz w:val="22"/>
          <w:szCs w:val="22"/>
        </w:rPr>
        <w:t>S</w:t>
      </w:r>
      <w:r w:rsidRPr="00B246CC">
        <w:rPr>
          <w:rFonts w:cs="Times New Roman"/>
          <w:sz w:val="22"/>
          <w:szCs w:val="22"/>
        </w:rPr>
        <w:t>a nouvelle fonction d’évaluat</w:t>
      </w:r>
      <w:r w:rsidR="00BC101E">
        <w:rPr>
          <w:rFonts w:cs="Times New Roman"/>
          <w:sz w:val="22"/>
          <w:szCs w:val="22"/>
        </w:rPr>
        <w:t>ion</w:t>
      </w:r>
      <w:r w:rsidRPr="00B246CC">
        <w:rPr>
          <w:rFonts w:cs="Times New Roman"/>
          <w:sz w:val="22"/>
          <w:szCs w:val="22"/>
        </w:rPr>
        <w:t xml:space="preserve"> </w:t>
      </w:r>
      <w:r w:rsidRPr="00B246CC">
        <w:rPr>
          <w:rFonts w:cs="Times New Roman"/>
          <w:i/>
          <w:sz w:val="22"/>
          <w:szCs w:val="22"/>
        </w:rPr>
        <w:t>a posteriori</w:t>
      </w:r>
      <w:r w:rsidRPr="00B246CC">
        <w:rPr>
          <w:rFonts w:cs="Times New Roman"/>
          <w:sz w:val="22"/>
          <w:szCs w:val="22"/>
        </w:rPr>
        <w:t xml:space="preserve"> de la politique budgétaire </w:t>
      </w:r>
      <w:r w:rsidR="00BC101E">
        <w:rPr>
          <w:rFonts w:cs="Times New Roman"/>
          <w:sz w:val="22"/>
          <w:szCs w:val="22"/>
        </w:rPr>
        <w:t>devrait</w:t>
      </w:r>
      <w:r w:rsidRPr="00B246CC">
        <w:rPr>
          <w:rFonts w:cs="Times New Roman"/>
          <w:sz w:val="22"/>
          <w:szCs w:val="22"/>
        </w:rPr>
        <w:t xml:space="preserve"> </w:t>
      </w:r>
      <w:r w:rsidR="00BC101E">
        <w:rPr>
          <w:rFonts w:cs="Times New Roman"/>
          <w:sz w:val="22"/>
          <w:szCs w:val="22"/>
        </w:rPr>
        <w:t xml:space="preserve">d’une part </w:t>
      </w:r>
      <w:r w:rsidRPr="00B246CC">
        <w:rPr>
          <w:rFonts w:cs="Times New Roman"/>
          <w:sz w:val="22"/>
          <w:szCs w:val="22"/>
        </w:rPr>
        <w:t xml:space="preserve">consolider son autorité à l’égard du monde politique, </w:t>
      </w:r>
      <w:r w:rsidR="00BC101E">
        <w:rPr>
          <w:rFonts w:cs="Times New Roman"/>
          <w:sz w:val="22"/>
          <w:szCs w:val="22"/>
        </w:rPr>
        <w:t xml:space="preserve">tandis que </w:t>
      </w:r>
      <w:r w:rsidRPr="00B246CC">
        <w:rPr>
          <w:rFonts w:cs="Times New Roman"/>
          <w:sz w:val="22"/>
          <w:szCs w:val="22"/>
        </w:rPr>
        <w:t>l’ampleur des moyens financiers transférés aux entités fédéré</w:t>
      </w:r>
      <w:r w:rsidR="00952622">
        <w:rPr>
          <w:rFonts w:cs="Times New Roman"/>
          <w:sz w:val="22"/>
          <w:szCs w:val="22"/>
        </w:rPr>
        <w:t>e</w:t>
      </w:r>
      <w:r w:rsidRPr="00B246CC">
        <w:rPr>
          <w:rFonts w:cs="Times New Roman"/>
          <w:sz w:val="22"/>
          <w:szCs w:val="22"/>
        </w:rPr>
        <w:t xml:space="preserve">s accroît </w:t>
      </w:r>
      <w:r w:rsidR="00BC101E">
        <w:rPr>
          <w:rFonts w:cs="Times New Roman"/>
          <w:sz w:val="22"/>
          <w:szCs w:val="22"/>
        </w:rPr>
        <w:t>d’autre part</w:t>
      </w:r>
      <w:r w:rsidRPr="00B246CC">
        <w:rPr>
          <w:rFonts w:cs="Times New Roman"/>
          <w:sz w:val="22"/>
          <w:szCs w:val="22"/>
        </w:rPr>
        <w:t xml:space="preserve"> l’importance de sa mission de coordination des politiques budgétaires.</w:t>
      </w:r>
    </w:p>
    <w:p w14:paraId="4275D3A8" w14:textId="77777777" w:rsidR="009F2947" w:rsidRDefault="009F2947" w:rsidP="006D280D">
      <w:pPr>
        <w:spacing w:line="240" w:lineRule="auto"/>
        <w:rPr>
          <w:rFonts w:cs="Times New Roman"/>
          <w:b/>
          <w:sz w:val="22"/>
          <w:szCs w:val="22"/>
        </w:rPr>
      </w:pPr>
    </w:p>
    <w:p w14:paraId="79D91AAA" w14:textId="77777777" w:rsidR="00644955" w:rsidRDefault="00644955" w:rsidP="006D280D">
      <w:pPr>
        <w:spacing w:line="240" w:lineRule="auto"/>
        <w:rPr>
          <w:rFonts w:cs="Times New Roman"/>
          <w:b/>
          <w:sz w:val="22"/>
          <w:szCs w:val="22"/>
        </w:rPr>
      </w:pPr>
    </w:p>
    <w:p w14:paraId="18E0E5AB" w14:textId="77777777" w:rsidR="00644955" w:rsidRDefault="00644955" w:rsidP="006D280D">
      <w:pPr>
        <w:spacing w:line="240" w:lineRule="auto"/>
        <w:rPr>
          <w:rFonts w:cs="Times New Roman"/>
          <w:b/>
          <w:sz w:val="22"/>
          <w:szCs w:val="22"/>
        </w:rPr>
      </w:pPr>
    </w:p>
    <w:p w14:paraId="356B52D7" w14:textId="77777777" w:rsidR="009F2947" w:rsidRDefault="009F2947">
      <w:pPr>
        <w:spacing w:line="240" w:lineRule="auto"/>
        <w:rPr>
          <w:rFonts w:cs="Times New Roman"/>
          <w:b/>
          <w:sz w:val="22"/>
          <w:szCs w:val="22"/>
        </w:rPr>
      </w:pPr>
      <w:r>
        <w:rPr>
          <w:rFonts w:cs="Times New Roman"/>
          <w:b/>
          <w:sz w:val="22"/>
          <w:szCs w:val="22"/>
        </w:rPr>
        <w:br w:type="page"/>
      </w:r>
    </w:p>
    <w:p w14:paraId="06D798FB" w14:textId="3D45AF85" w:rsidR="001D48D9" w:rsidRPr="004F2163" w:rsidRDefault="002D4472" w:rsidP="006D280D">
      <w:pPr>
        <w:spacing w:line="240" w:lineRule="auto"/>
        <w:rPr>
          <w:rFonts w:cs="Times New Roman"/>
          <w:b/>
          <w:sz w:val="22"/>
          <w:szCs w:val="22"/>
        </w:rPr>
      </w:pPr>
      <w:r w:rsidRPr="00B246CC">
        <w:rPr>
          <w:rFonts w:cs="Times New Roman"/>
          <w:b/>
          <w:sz w:val="22"/>
          <w:szCs w:val="22"/>
        </w:rPr>
        <w:lastRenderedPageBreak/>
        <w:t>Lexique</w:t>
      </w:r>
      <w:r w:rsidR="001B579A" w:rsidRPr="001B579A">
        <w:rPr>
          <w:rFonts w:cs="Times New Roman"/>
          <w:sz w:val="22"/>
          <w:szCs w:val="22"/>
          <w:vertAlign w:val="superscript"/>
        </w:rPr>
        <w:footnoteReference w:id="34"/>
      </w:r>
    </w:p>
    <w:p w14:paraId="18149014" w14:textId="77777777" w:rsidR="001D48D9" w:rsidRPr="004F2163" w:rsidRDefault="001D48D9" w:rsidP="006B11F4">
      <w:pPr>
        <w:spacing w:line="240" w:lineRule="auto"/>
        <w:jc w:val="both"/>
        <w:rPr>
          <w:rFonts w:cs="Times New Roman"/>
          <w:sz w:val="22"/>
          <w:szCs w:val="22"/>
        </w:rPr>
      </w:pPr>
    </w:p>
    <w:p w14:paraId="67E82043" w14:textId="77777777" w:rsidR="001D48D9" w:rsidRPr="004F2163" w:rsidRDefault="002D4472" w:rsidP="006B11F4">
      <w:pPr>
        <w:widowControl w:val="0"/>
        <w:autoSpaceDE w:val="0"/>
        <w:autoSpaceDN w:val="0"/>
        <w:adjustRightInd w:val="0"/>
        <w:spacing w:line="240" w:lineRule="auto"/>
        <w:jc w:val="both"/>
        <w:rPr>
          <w:rFonts w:cs="Times New Roman"/>
          <w:sz w:val="22"/>
          <w:szCs w:val="22"/>
        </w:rPr>
      </w:pPr>
      <w:r w:rsidRPr="00B246CC">
        <w:rPr>
          <w:rFonts w:cs="Times New Roman"/>
          <w:sz w:val="22"/>
          <w:szCs w:val="22"/>
        </w:rPr>
        <w:t>Autonomie budgétaire : faculté, pour une entité, d’établir librement son propre budget, d’y inscrire sans contrainte externe les dépenses nécessaires à la réalisation de sa politique et de pouvoir les exécuter</w:t>
      </w:r>
      <w:r w:rsidR="001B579A">
        <w:rPr>
          <w:rStyle w:val="Appelnotedebasdep"/>
          <w:rFonts w:cs="Times New Roman"/>
          <w:sz w:val="22"/>
          <w:szCs w:val="22"/>
        </w:rPr>
        <w:footnoteReference w:id="35"/>
      </w:r>
      <w:r w:rsidRPr="00B246CC">
        <w:rPr>
          <w:rFonts w:cs="Times New Roman"/>
          <w:sz w:val="22"/>
          <w:szCs w:val="22"/>
        </w:rPr>
        <w:t>.</w:t>
      </w:r>
    </w:p>
    <w:p w14:paraId="4F2A91BE" w14:textId="77777777" w:rsidR="001D48D9" w:rsidRPr="004F2163" w:rsidRDefault="001D48D9" w:rsidP="006B11F4">
      <w:pPr>
        <w:widowControl w:val="0"/>
        <w:autoSpaceDE w:val="0"/>
        <w:autoSpaceDN w:val="0"/>
        <w:adjustRightInd w:val="0"/>
        <w:spacing w:line="240" w:lineRule="auto"/>
        <w:jc w:val="both"/>
        <w:rPr>
          <w:rFonts w:cs="Times New Roman"/>
          <w:sz w:val="22"/>
          <w:szCs w:val="22"/>
        </w:rPr>
      </w:pPr>
    </w:p>
    <w:p w14:paraId="2F25F2FA" w14:textId="3687832C" w:rsidR="001D48D9" w:rsidRPr="004F2163" w:rsidRDefault="002D4472" w:rsidP="006B11F4">
      <w:pPr>
        <w:widowControl w:val="0"/>
        <w:autoSpaceDE w:val="0"/>
        <w:autoSpaceDN w:val="0"/>
        <w:adjustRightInd w:val="0"/>
        <w:spacing w:line="240" w:lineRule="auto"/>
        <w:jc w:val="both"/>
        <w:rPr>
          <w:rFonts w:cs="Times New Roman"/>
          <w:sz w:val="22"/>
          <w:szCs w:val="22"/>
        </w:rPr>
      </w:pPr>
      <w:r w:rsidRPr="00B246CC">
        <w:rPr>
          <w:rFonts w:cs="Times New Roman"/>
          <w:sz w:val="22"/>
          <w:szCs w:val="22"/>
        </w:rPr>
        <w:t>Conseil budgétaire (</w:t>
      </w:r>
      <w:r w:rsidRPr="00B246CC">
        <w:rPr>
          <w:rFonts w:cs="Times New Roman"/>
          <w:i/>
          <w:sz w:val="22"/>
          <w:szCs w:val="22"/>
        </w:rPr>
        <w:t>fiscal council</w:t>
      </w:r>
      <w:r w:rsidRPr="00B246CC">
        <w:rPr>
          <w:rFonts w:cs="Times New Roman"/>
          <w:sz w:val="22"/>
          <w:szCs w:val="22"/>
        </w:rPr>
        <w:t>) : institution publique chargée de veiller à la durabilité des finances publiques, via l’évaluation des programmes et performances budgétaires ainsi que l’évaluation ou la production de prévisions macroéconomiques et budgétaires</w:t>
      </w:r>
      <w:r w:rsidR="001B579A">
        <w:rPr>
          <w:rStyle w:val="Appelnotedebasdep"/>
          <w:rFonts w:cs="Times New Roman"/>
          <w:sz w:val="22"/>
          <w:szCs w:val="22"/>
        </w:rPr>
        <w:footnoteReference w:id="36"/>
      </w:r>
      <w:r w:rsidRPr="00B246CC">
        <w:rPr>
          <w:rFonts w:cs="Times New Roman"/>
          <w:sz w:val="22"/>
          <w:szCs w:val="22"/>
        </w:rPr>
        <w:t>.</w:t>
      </w:r>
    </w:p>
    <w:p w14:paraId="5DE72933" w14:textId="77777777" w:rsidR="001D48D9" w:rsidRPr="004F2163" w:rsidRDefault="001D48D9" w:rsidP="006B11F4">
      <w:pPr>
        <w:widowControl w:val="0"/>
        <w:autoSpaceDE w:val="0"/>
        <w:autoSpaceDN w:val="0"/>
        <w:adjustRightInd w:val="0"/>
        <w:spacing w:line="240" w:lineRule="auto"/>
        <w:jc w:val="both"/>
        <w:rPr>
          <w:rFonts w:cs="Times New Roman"/>
          <w:sz w:val="22"/>
          <w:szCs w:val="22"/>
        </w:rPr>
      </w:pPr>
    </w:p>
    <w:p w14:paraId="08247534" w14:textId="77777777" w:rsidR="001D48D9" w:rsidRPr="004F2163" w:rsidRDefault="002D4472" w:rsidP="006B11F4">
      <w:pPr>
        <w:widowControl w:val="0"/>
        <w:autoSpaceDE w:val="0"/>
        <w:autoSpaceDN w:val="0"/>
        <w:adjustRightInd w:val="0"/>
        <w:spacing w:line="240" w:lineRule="auto"/>
        <w:jc w:val="both"/>
        <w:rPr>
          <w:rFonts w:cs="Times New Roman"/>
          <w:sz w:val="22"/>
          <w:szCs w:val="22"/>
        </w:rPr>
      </w:pPr>
      <w:r w:rsidRPr="00B246CC">
        <w:rPr>
          <w:rFonts w:cs="Times New Roman"/>
          <w:sz w:val="22"/>
          <w:szCs w:val="22"/>
        </w:rPr>
        <w:t>Entité I et entité II : dans le cadre de la politique budgétaire belge, l'entité I regroupe le pouvoir fédéral et la sécurité sociale, tandis que l'entité II regroupe les administrations locales, les Communautés et les Régions</w:t>
      </w:r>
      <w:r w:rsidR="001B579A">
        <w:rPr>
          <w:rStyle w:val="Appelnotedebasdep"/>
          <w:rFonts w:cs="Times New Roman"/>
          <w:sz w:val="22"/>
          <w:szCs w:val="22"/>
        </w:rPr>
        <w:footnoteReference w:id="37"/>
      </w:r>
      <w:r w:rsidRPr="00B246CC">
        <w:rPr>
          <w:rFonts w:cs="Times New Roman"/>
          <w:sz w:val="22"/>
          <w:szCs w:val="22"/>
        </w:rPr>
        <w:t>.</w:t>
      </w:r>
    </w:p>
    <w:p w14:paraId="79B1000A" w14:textId="77777777" w:rsidR="001D48D9" w:rsidRPr="004F2163" w:rsidRDefault="001D48D9" w:rsidP="006B11F4">
      <w:pPr>
        <w:spacing w:line="240" w:lineRule="auto"/>
        <w:jc w:val="both"/>
        <w:rPr>
          <w:rFonts w:cs="Times New Roman"/>
          <w:sz w:val="22"/>
          <w:szCs w:val="22"/>
        </w:rPr>
      </w:pPr>
    </w:p>
    <w:p w14:paraId="165B69A9" w14:textId="786836E4" w:rsidR="001D48D9" w:rsidRPr="004F2163" w:rsidRDefault="002D4472" w:rsidP="006B11F4">
      <w:pPr>
        <w:spacing w:line="240" w:lineRule="auto"/>
        <w:jc w:val="both"/>
        <w:rPr>
          <w:rFonts w:cs="Times New Roman"/>
          <w:sz w:val="22"/>
          <w:szCs w:val="22"/>
        </w:rPr>
      </w:pPr>
      <w:r w:rsidRPr="00B246CC">
        <w:rPr>
          <w:rFonts w:cs="Times New Roman"/>
          <w:sz w:val="22"/>
          <w:szCs w:val="22"/>
        </w:rPr>
        <w:t xml:space="preserve">Pacte de stabilité et de croissance (PSC) : cadre dont se sont dotés les </w:t>
      </w:r>
      <w:r w:rsidR="00875C96">
        <w:rPr>
          <w:rFonts w:cs="Times New Roman"/>
          <w:sz w:val="22"/>
          <w:szCs w:val="22"/>
        </w:rPr>
        <w:t>É</w:t>
      </w:r>
      <w:r w:rsidRPr="00B246CC">
        <w:rPr>
          <w:rFonts w:cs="Times New Roman"/>
          <w:sz w:val="22"/>
          <w:szCs w:val="22"/>
        </w:rPr>
        <w:t>tats membres de la zone euro en vue de coordonner leurs politiques budgétaires et d’éviter les déficits excessifs.</w:t>
      </w:r>
    </w:p>
    <w:p w14:paraId="4BF12CC5" w14:textId="77777777" w:rsidR="001D48D9" w:rsidRPr="004F2163" w:rsidRDefault="001D48D9" w:rsidP="006B11F4">
      <w:pPr>
        <w:spacing w:line="240" w:lineRule="auto"/>
        <w:jc w:val="both"/>
        <w:rPr>
          <w:rFonts w:cs="Times New Roman"/>
          <w:sz w:val="22"/>
          <w:szCs w:val="22"/>
        </w:rPr>
      </w:pPr>
    </w:p>
    <w:p w14:paraId="7E4F5A21" w14:textId="77777777" w:rsidR="001D48D9" w:rsidRPr="004F2163" w:rsidRDefault="002D4472" w:rsidP="006B11F4">
      <w:pPr>
        <w:spacing w:line="240" w:lineRule="auto"/>
        <w:jc w:val="both"/>
        <w:rPr>
          <w:rFonts w:cs="Times New Roman"/>
          <w:sz w:val="22"/>
          <w:szCs w:val="22"/>
        </w:rPr>
      </w:pPr>
      <w:r w:rsidRPr="00B246CC">
        <w:rPr>
          <w:rFonts w:cs="Times New Roman"/>
          <w:sz w:val="22"/>
          <w:szCs w:val="22"/>
        </w:rPr>
        <w:t>Politique budgétaire discrétionnaire : action par laquelle un gouvernement modifie de façon volontaire le niveau de ses dépenses et recettes publiques.</w:t>
      </w:r>
    </w:p>
    <w:p w14:paraId="454198A7" w14:textId="77777777" w:rsidR="001D48D9" w:rsidRPr="004F2163" w:rsidRDefault="001D48D9" w:rsidP="006B11F4">
      <w:pPr>
        <w:spacing w:line="240" w:lineRule="auto"/>
        <w:jc w:val="both"/>
        <w:rPr>
          <w:rFonts w:cs="Times New Roman"/>
          <w:sz w:val="22"/>
          <w:szCs w:val="22"/>
        </w:rPr>
      </w:pPr>
    </w:p>
    <w:p w14:paraId="008A1178" w14:textId="3C12B9EC" w:rsidR="001D48D9" w:rsidRPr="004F2163" w:rsidRDefault="002D4472" w:rsidP="006B11F4">
      <w:pPr>
        <w:spacing w:line="240" w:lineRule="auto"/>
        <w:jc w:val="both"/>
        <w:rPr>
          <w:rFonts w:cs="Times New Roman"/>
          <w:sz w:val="22"/>
          <w:szCs w:val="22"/>
        </w:rPr>
      </w:pPr>
      <w:r w:rsidRPr="00B246CC">
        <w:rPr>
          <w:rFonts w:cs="Times New Roman"/>
          <w:sz w:val="22"/>
          <w:szCs w:val="22"/>
        </w:rPr>
        <w:t xml:space="preserve">Procédure concernant les déficits excessifs (PDE) : la PDE est déclenchée lorsqu’un </w:t>
      </w:r>
      <w:r w:rsidR="00875C96">
        <w:rPr>
          <w:rFonts w:cs="Times New Roman"/>
          <w:sz w:val="22"/>
          <w:szCs w:val="22"/>
        </w:rPr>
        <w:t>É</w:t>
      </w:r>
      <w:r w:rsidRPr="00B246CC">
        <w:rPr>
          <w:rFonts w:cs="Times New Roman"/>
          <w:sz w:val="22"/>
          <w:szCs w:val="22"/>
        </w:rPr>
        <w:t>tat membre affiche un déficit supérieur à 3% du PIB ou a une dette qui ne se réduit pas assez vite vers le seuil de 60% du PIB.</w:t>
      </w:r>
    </w:p>
    <w:p w14:paraId="4BCCD10E" w14:textId="77777777" w:rsidR="001D48D9" w:rsidRPr="004F2163" w:rsidRDefault="001D48D9" w:rsidP="006B11F4">
      <w:pPr>
        <w:spacing w:line="240" w:lineRule="auto"/>
        <w:jc w:val="both"/>
        <w:rPr>
          <w:rFonts w:cs="Times New Roman"/>
          <w:sz w:val="22"/>
          <w:szCs w:val="22"/>
        </w:rPr>
      </w:pPr>
    </w:p>
    <w:p w14:paraId="0B7CE33A" w14:textId="13313F5D" w:rsidR="001D48D9" w:rsidRPr="004F2163" w:rsidRDefault="002D4472" w:rsidP="006B11F4">
      <w:pPr>
        <w:spacing w:line="240" w:lineRule="auto"/>
        <w:jc w:val="both"/>
        <w:rPr>
          <w:rFonts w:cs="Times New Roman"/>
          <w:sz w:val="22"/>
          <w:szCs w:val="22"/>
        </w:rPr>
      </w:pPr>
      <w:r w:rsidRPr="00B246CC">
        <w:rPr>
          <w:rFonts w:cs="Times New Roman"/>
          <w:sz w:val="22"/>
          <w:szCs w:val="22"/>
        </w:rPr>
        <w:t xml:space="preserve">Programme de stabilité : dans le cadre du semestre européen, les </w:t>
      </w:r>
      <w:r w:rsidR="00875C96">
        <w:rPr>
          <w:rFonts w:cs="Times New Roman"/>
          <w:sz w:val="22"/>
          <w:szCs w:val="22"/>
        </w:rPr>
        <w:t>É</w:t>
      </w:r>
      <w:r w:rsidRPr="00B246CC">
        <w:rPr>
          <w:rFonts w:cs="Times New Roman"/>
          <w:sz w:val="22"/>
          <w:szCs w:val="22"/>
        </w:rPr>
        <w:t xml:space="preserve">tats membres de la zone euro </w:t>
      </w:r>
      <w:r w:rsidR="00875C96">
        <w:rPr>
          <w:rFonts w:cs="Times New Roman"/>
          <w:sz w:val="22"/>
          <w:szCs w:val="22"/>
        </w:rPr>
        <w:t xml:space="preserve">doivent </w:t>
      </w:r>
      <w:r w:rsidRPr="00B246CC">
        <w:rPr>
          <w:rFonts w:cs="Times New Roman"/>
          <w:sz w:val="22"/>
          <w:szCs w:val="22"/>
        </w:rPr>
        <w:t>soumett</w:t>
      </w:r>
      <w:r w:rsidR="00875C96">
        <w:rPr>
          <w:rFonts w:cs="Times New Roman"/>
          <w:sz w:val="22"/>
          <w:szCs w:val="22"/>
        </w:rPr>
        <w:t xml:space="preserve">re </w:t>
      </w:r>
      <w:r w:rsidR="00875C96" w:rsidRPr="00B246CC">
        <w:rPr>
          <w:rFonts w:cs="Times New Roman"/>
          <w:sz w:val="22"/>
          <w:szCs w:val="22"/>
        </w:rPr>
        <w:t xml:space="preserve">en avril/mai à la Commission </w:t>
      </w:r>
      <w:r w:rsidRPr="00B246CC">
        <w:rPr>
          <w:rFonts w:cs="Times New Roman"/>
          <w:sz w:val="22"/>
          <w:szCs w:val="22"/>
        </w:rPr>
        <w:t xml:space="preserve">leurs plans pour assainir les finances publiques et garantir la viabilité budgétaire. </w:t>
      </w:r>
    </w:p>
    <w:p w14:paraId="5125DE8B" w14:textId="77777777" w:rsidR="001D48D9" w:rsidRPr="004F2163" w:rsidRDefault="001D48D9" w:rsidP="006B11F4">
      <w:pPr>
        <w:spacing w:line="240" w:lineRule="auto"/>
        <w:jc w:val="both"/>
        <w:rPr>
          <w:rFonts w:cs="Times New Roman"/>
          <w:sz w:val="22"/>
          <w:szCs w:val="22"/>
        </w:rPr>
      </w:pPr>
    </w:p>
    <w:p w14:paraId="34D7565C" w14:textId="77777777" w:rsidR="001D48D9" w:rsidRDefault="002D4472" w:rsidP="006B11F4">
      <w:pPr>
        <w:spacing w:line="240" w:lineRule="auto"/>
        <w:jc w:val="both"/>
        <w:rPr>
          <w:rFonts w:cs="Times New Roman"/>
          <w:sz w:val="22"/>
          <w:szCs w:val="22"/>
        </w:rPr>
      </w:pPr>
      <w:r w:rsidRPr="00B246CC">
        <w:rPr>
          <w:rFonts w:cs="Times New Roman"/>
          <w:i/>
          <w:sz w:val="22"/>
          <w:szCs w:val="22"/>
        </w:rPr>
        <w:t xml:space="preserve">Six-Pack </w:t>
      </w:r>
      <w:r w:rsidRPr="00B246CC">
        <w:rPr>
          <w:rFonts w:cs="Times New Roman"/>
          <w:sz w:val="22"/>
          <w:szCs w:val="22"/>
        </w:rPr>
        <w:t>: ensemble de cinq directives et un règlement adoptés par le parlement européen et applicables depuis le 13 décembre 2011 visant à renforcer la discipline budgétaire et favoriser la stabilité de l’économie européenne.</w:t>
      </w:r>
    </w:p>
    <w:p w14:paraId="07C06D73" w14:textId="77777777" w:rsidR="00952622" w:rsidRPr="004F2163" w:rsidRDefault="00952622" w:rsidP="00952622">
      <w:pPr>
        <w:spacing w:line="240" w:lineRule="auto"/>
        <w:jc w:val="both"/>
        <w:rPr>
          <w:rFonts w:cs="Times New Roman"/>
          <w:sz w:val="22"/>
          <w:szCs w:val="22"/>
        </w:rPr>
      </w:pPr>
      <w:r w:rsidRPr="00B246CC">
        <w:rPr>
          <w:rFonts w:cs="Times New Roman"/>
          <w:sz w:val="22"/>
          <w:szCs w:val="22"/>
        </w:rPr>
        <w:lastRenderedPageBreak/>
        <w:t>Solde budgétaire structurel : solde budgétaire ne résultant pas des effets de la conjoncture. Il correspond au solde budgétaire ajusté du cycle hors les mesures budgétaires temporaires ou exceptionnelles.</w:t>
      </w:r>
    </w:p>
    <w:p w14:paraId="7C3386C0" w14:textId="77777777" w:rsidR="001D48D9" w:rsidRPr="004F2163" w:rsidRDefault="001D48D9" w:rsidP="006B11F4">
      <w:pPr>
        <w:spacing w:line="240" w:lineRule="auto"/>
        <w:jc w:val="both"/>
        <w:rPr>
          <w:rFonts w:cs="Times New Roman"/>
          <w:sz w:val="22"/>
          <w:szCs w:val="22"/>
        </w:rPr>
      </w:pPr>
    </w:p>
    <w:p w14:paraId="5FC579DF" w14:textId="77777777" w:rsidR="001D48D9" w:rsidRPr="004F2163" w:rsidRDefault="002D4472" w:rsidP="006B11F4">
      <w:pPr>
        <w:spacing w:line="240" w:lineRule="auto"/>
        <w:jc w:val="both"/>
        <w:rPr>
          <w:rFonts w:cs="Times New Roman"/>
          <w:sz w:val="22"/>
          <w:szCs w:val="22"/>
        </w:rPr>
      </w:pPr>
      <w:r w:rsidRPr="00B246CC">
        <w:rPr>
          <w:rFonts w:cs="Times New Roman"/>
          <w:sz w:val="22"/>
          <w:szCs w:val="22"/>
        </w:rPr>
        <w:t>Solde primaire : écart entre les recettes et les dépenses hors charge de la dette des administrations publiques.</w:t>
      </w:r>
    </w:p>
    <w:p w14:paraId="35E13F3F" w14:textId="77777777" w:rsidR="001D48D9" w:rsidRPr="004F2163" w:rsidRDefault="001D48D9" w:rsidP="006B11F4">
      <w:pPr>
        <w:spacing w:line="240" w:lineRule="auto"/>
        <w:jc w:val="both"/>
        <w:rPr>
          <w:rFonts w:cs="Times New Roman"/>
          <w:sz w:val="22"/>
          <w:szCs w:val="22"/>
        </w:rPr>
      </w:pPr>
    </w:p>
    <w:p w14:paraId="1D44288F" w14:textId="77777777" w:rsidR="001D48D9" w:rsidRPr="004F2163" w:rsidRDefault="002D4472" w:rsidP="006B11F4">
      <w:pPr>
        <w:spacing w:line="240" w:lineRule="auto"/>
        <w:jc w:val="both"/>
        <w:rPr>
          <w:rFonts w:cs="Times New Roman"/>
          <w:sz w:val="22"/>
          <w:szCs w:val="22"/>
        </w:rPr>
      </w:pPr>
      <w:r w:rsidRPr="00B246CC">
        <w:rPr>
          <w:rFonts w:cs="Times New Roman"/>
          <w:sz w:val="22"/>
          <w:szCs w:val="22"/>
        </w:rPr>
        <w:t>Solde structurel : selon les termes de l’article 3, §3, a, du TSCG, le solde structurel désigne le solde annuel corrigé des variations conjoncturelles, déduction faite des mesures ponctuelles et temporaires.</w:t>
      </w:r>
    </w:p>
    <w:p w14:paraId="5AD4B32A" w14:textId="77777777" w:rsidR="001D48D9" w:rsidRPr="004F2163" w:rsidRDefault="001D48D9" w:rsidP="006B11F4">
      <w:pPr>
        <w:spacing w:line="240" w:lineRule="auto"/>
        <w:jc w:val="both"/>
        <w:rPr>
          <w:rFonts w:cs="Times New Roman"/>
          <w:sz w:val="22"/>
          <w:szCs w:val="22"/>
        </w:rPr>
      </w:pPr>
    </w:p>
    <w:p w14:paraId="2CEA3B75" w14:textId="77777777" w:rsidR="001D48D9" w:rsidRPr="004F2163" w:rsidRDefault="002D4472" w:rsidP="006B11F4">
      <w:pPr>
        <w:spacing w:line="240" w:lineRule="auto"/>
        <w:jc w:val="both"/>
        <w:rPr>
          <w:rFonts w:cs="Times New Roman"/>
          <w:sz w:val="22"/>
          <w:szCs w:val="22"/>
        </w:rPr>
      </w:pPr>
      <w:r w:rsidRPr="00B246CC">
        <w:rPr>
          <w:rFonts w:cs="Times New Roman"/>
          <w:sz w:val="22"/>
          <w:szCs w:val="22"/>
        </w:rPr>
        <w:t>Traité sur la stabilité, la coordination et la gouvernance dans l’Union économique et monétaire (TSCG) : adopté en réponse à la crise, le TSCG comporte notamment l’interdiction d’avoir un déficit dépassant 0,5% du PIB, l’imposition de réduire d’un vingtième par an la part de la dette supérieure au seuil de 60%, l’obligation de transposer dans les droits nationaux les règles du traité, une procédure de pénalité plus automatique et plus sévère.</w:t>
      </w:r>
    </w:p>
    <w:p w14:paraId="30F7D23E" w14:textId="77777777" w:rsidR="001D48D9" w:rsidRPr="004F2163" w:rsidRDefault="001D48D9" w:rsidP="006B11F4">
      <w:pPr>
        <w:spacing w:line="240" w:lineRule="auto"/>
        <w:jc w:val="both"/>
        <w:rPr>
          <w:rFonts w:cs="Times New Roman"/>
          <w:sz w:val="22"/>
          <w:szCs w:val="22"/>
        </w:rPr>
      </w:pPr>
    </w:p>
    <w:p w14:paraId="2E496D17" w14:textId="587F2EDA" w:rsidR="001D48D9" w:rsidRPr="004F2163" w:rsidRDefault="002D4472" w:rsidP="006B11F4">
      <w:pPr>
        <w:spacing w:line="240" w:lineRule="auto"/>
        <w:jc w:val="both"/>
        <w:rPr>
          <w:rFonts w:cs="Times New Roman"/>
          <w:sz w:val="22"/>
          <w:szCs w:val="22"/>
        </w:rPr>
      </w:pPr>
      <w:r w:rsidRPr="00B246CC">
        <w:rPr>
          <w:rFonts w:cs="Times New Roman"/>
          <w:sz w:val="22"/>
          <w:szCs w:val="22"/>
        </w:rPr>
        <w:t xml:space="preserve">Union économique et monétaire (UEM) : processus ayant conduit à la monnaie unique, à la politique monétaire unique de la zone euro et à la coordination des politiques économiques des </w:t>
      </w:r>
      <w:r w:rsidR="00875C96">
        <w:rPr>
          <w:rFonts w:cs="Times New Roman"/>
          <w:sz w:val="22"/>
          <w:szCs w:val="22"/>
        </w:rPr>
        <w:t>É</w:t>
      </w:r>
      <w:r w:rsidRPr="00B246CC">
        <w:rPr>
          <w:rFonts w:cs="Times New Roman"/>
          <w:sz w:val="22"/>
          <w:szCs w:val="22"/>
        </w:rPr>
        <w:t xml:space="preserve">tats membres de l’UE. </w:t>
      </w:r>
    </w:p>
    <w:p w14:paraId="51EAD9A8" w14:textId="77777777" w:rsidR="001D48D9" w:rsidRPr="004F2163" w:rsidRDefault="001D48D9" w:rsidP="006B11F4">
      <w:pPr>
        <w:spacing w:line="240" w:lineRule="auto"/>
        <w:jc w:val="both"/>
        <w:rPr>
          <w:rFonts w:cs="Times New Roman"/>
          <w:sz w:val="22"/>
          <w:szCs w:val="22"/>
        </w:rPr>
      </w:pPr>
    </w:p>
    <w:p w14:paraId="39ACD4C1" w14:textId="719EFD7D" w:rsidR="001D48D9" w:rsidRPr="004F2163" w:rsidRDefault="002D4472" w:rsidP="006B11F4">
      <w:pPr>
        <w:spacing w:line="240" w:lineRule="auto"/>
        <w:jc w:val="both"/>
        <w:rPr>
          <w:rFonts w:cs="Times New Roman"/>
          <w:sz w:val="22"/>
          <w:szCs w:val="22"/>
        </w:rPr>
      </w:pPr>
      <w:r w:rsidRPr="00B246CC">
        <w:rPr>
          <w:rFonts w:cs="Times New Roman"/>
          <w:i/>
          <w:sz w:val="22"/>
          <w:szCs w:val="22"/>
        </w:rPr>
        <w:t xml:space="preserve">Two-Pack </w:t>
      </w:r>
      <w:r w:rsidRPr="00B246CC">
        <w:rPr>
          <w:rFonts w:cs="Times New Roman"/>
          <w:sz w:val="22"/>
          <w:szCs w:val="22"/>
        </w:rPr>
        <w:t xml:space="preserve">: deux règlements européens entrés en vigueur en février 2013, visant pour l’un à introduire une surveillance budgétaire et renforcée des </w:t>
      </w:r>
      <w:r w:rsidR="00875C96">
        <w:rPr>
          <w:rFonts w:cs="Times New Roman"/>
          <w:sz w:val="22"/>
          <w:szCs w:val="22"/>
        </w:rPr>
        <w:t>É</w:t>
      </w:r>
      <w:r w:rsidRPr="00B246CC">
        <w:rPr>
          <w:rFonts w:cs="Times New Roman"/>
          <w:sz w:val="22"/>
          <w:szCs w:val="22"/>
        </w:rPr>
        <w:t>tats de la zone euro en difficulté par rapport à leur soutenabilité financière et pour l’autre à encadrer encore davantage le processus d’élaboration des budgets nationaux pour les pays de la zone euro.</w:t>
      </w:r>
    </w:p>
    <w:p w14:paraId="366AB7F8" w14:textId="77777777" w:rsidR="006A67ED" w:rsidRPr="004F2163" w:rsidRDefault="002D4472" w:rsidP="006B11F4">
      <w:pPr>
        <w:spacing w:line="240" w:lineRule="auto"/>
        <w:jc w:val="both"/>
        <w:rPr>
          <w:rFonts w:cs="Times New Roman"/>
          <w:sz w:val="22"/>
          <w:szCs w:val="22"/>
        </w:rPr>
      </w:pPr>
      <w:r w:rsidRPr="00B246CC">
        <w:rPr>
          <w:rFonts w:cs="Times New Roman"/>
          <w:sz w:val="22"/>
          <w:szCs w:val="22"/>
          <w:lang w:val="fr-BE"/>
        </w:rPr>
        <w:br w:type="page"/>
      </w:r>
    </w:p>
    <w:p w14:paraId="3720865A" w14:textId="77777777" w:rsidR="004C527F" w:rsidRPr="004F2163" w:rsidRDefault="002D4472" w:rsidP="006D280D">
      <w:pPr>
        <w:spacing w:line="240" w:lineRule="auto"/>
        <w:rPr>
          <w:rFonts w:cs="Times New Roman"/>
          <w:b/>
          <w:sz w:val="22"/>
          <w:szCs w:val="22"/>
          <w:lang w:val="fr-BE"/>
        </w:rPr>
      </w:pPr>
      <w:r w:rsidRPr="00B246CC">
        <w:rPr>
          <w:rFonts w:cs="Times New Roman"/>
          <w:b/>
          <w:sz w:val="22"/>
          <w:szCs w:val="22"/>
          <w:lang w:val="fr-BE"/>
        </w:rPr>
        <w:lastRenderedPageBreak/>
        <w:t>Bibliographie </w:t>
      </w:r>
    </w:p>
    <w:p w14:paraId="75CEFBB1" w14:textId="77777777" w:rsidR="006D280D" w:rsidRPr="004F2163" w:rsidRDefault="006D280D" w:rsidP="006B11F4">
      <w:pPr>
        <w:pStyle w:val="Notedebasdepage"/>
        <w:spacing w:line="240" w:lineRule="auto"/>
        <w:rPr>
          <w:rFonts w:ascii="Times New Roman" w:hAnsi="Times New Roman"/>
          <w:sz w:val="22"/>
          <w:szCs w:val="22"/>
        </w:rPr>
      </w:pPr>
    </w:p>
    <w:p w14:paraId="209A9CB4" w14:textId="77777777" w:rsidR="003B43FF" w:rsidRPr="004F2163" w:rsidRDefault="002D4472" w:rsidP="003B43FF">
      <w:pPr>
        <w:pStyle w:val="Notedebasdepage"/>
        <w:spacing w:line="240" w:lineRule="auto"/>
        <w:rPr>
          <w:rFonts w:ascii="Times New Roman" w:hAnsi="Times New Roman"/>
          <w:sz w:val="22"/>
          <w:szCs w:val="22"/>
        </w:rPr>
      </w:pPr>
      <w:r w:rsidRPr="00B246CC">
        <w:rPr>
          <w:rFonts w:ascii="Times New Roman" w:hAnsi="Times New Roman"/>
          <w:sz w:val="22"/>
          <w:szCs w:val="22"/>
        </w:rPr>
        <w:t>Accord de coopération du 13 décembre 2013 entre l’État fédéral, les Communautés, les Régions et les Commissions communautaires relatif à la mise en œuvre de l’article 3, §1</w:t>
      </w:r>
      <w:r w:rsidR="001B579A">
        <w:rPr>
          <w:rFonts w:ascii="Times New Roman" w:hAnsi="Times New Roman"/>
          <w:sz w:val="22"/>
          <w:szCs w:val="22"/>
          <w:vertAlign w:val="superscript"/>
        </w:rPr>
        <w:t>er</w:t>
      </w:r>
      <w:r w:rsidRPr="00B246CC">
        <w:rPr>
          <w:rFonts w:ascii="Times New Roman" w:hAnsi="Times New Roman"/>
          <w:sz w:val="22"/>
          <w:szCs w:val="22"/>
        </w:rPr>
        <w:t>, du Traité sur la stabilité, la coordination et la gouvernance au sein de l’Union économique et monétaire (M.B. du 18 décembre 2013).</w:t>
      </w:r>
    </w:p>
    <w:p w14:paraId="667A7257" w14:textId="77777777" w:rsidR="003B43FF" w:rsidRPr="004F2163" w:rsidRDefault="003B43FF" w:rsidP="003B43FF">
      <w:pPr>
        <w:pStyle w:val="Notedebasdepage"/>
        <w:spacing w:line="240" w:lineRule="auto"/>
        <w:rPr>
          <w:rFonts w:ascii="Times New Roman" w:hAnsi="Times New Roman"/>
          <w:sz w:val="22"/>
          <w:szCs w:val="22"/>
        </w:rPr>
      </w:pPr>
    </w:p>
    <w:p w14:paraId="0281625B"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Arrêté royal du 3 avril 2006 relatif au Conseil supérieur des Finances (M.B. du 13 avril 2006).</w:t>
      </w:r>
    </w:p>
    <w:p w14:paraId="38A6DC01" w14:textId="77777777" w:rsidR="003B43FF" w:rsidRPr="004F2163" w:rsidRDefault="003B43FF" w:rsidP="003B43FF">
      <w:pPr>
        <w:spacing w:line="240" w:lineRule="auto"/>
        <w:jc w:val="both"/>
        <w:rPr>
          <w:rFonts w:cs="Times New Roman"/>
          <w:sz w:val="22"/>
          <w:szCs w:val="22"/>
        </w:rPr>
      </w:pPr>
    </w:p>
    <w:p w14:paraId="7452ECE0" w14:textId="3255A41C" w:rsidR="003B43FF" w:rsidRPr="004F2163" w:rsidRDefault="002D4472" w:rsidP="003B43FF">
      <w:pPr>
        <w:spacing w:line="240" w:lineRule="auto"/>
        <w:jc w:val="both"/>
        <w:rPr>
          <w:rFonts w:cs="Times New Roman"/>
          <w:sz w:val="22"/>
          <w:szCs w:val="22"/>
        </w:rPr>
      </w:pPr>
      <w:r w:rsidRPr="00B246CC">
        <w:rPr>
          <w:rFonts w:cs="Times New Roman"/>
          <w:sz w:val="22"/>
          <w:szCs w:val="22"/>
        </w:rPr>
        <w:t>Ban</w:t>
      </w:r>
      <w:r w:rsidR="00875C96">
        <w:rPr>
          <w:rFonts w:cs="Times New Roman"/>
          <w:sz w:val="22"/>
          <w:szCs w:val="22"/>
        </w:rPr>
        <w:t>que nationale de Belgique</w:t>
      </w:r>
      <w:r w:rsidRPr="00B246CC">
        <w:rPr>
          <w:rFonts w:cs="Times New Roman"/>
          <w:sz w:val="22"/>
          <w:szCs w:val="22"/>
        </w:rPr>
        <w:t xml:space="preserve">, </w:t>
      </w:r>
      <w:r w:rsidRPr="00B246CC">
        <w:rPr>
          <w:rFonts w:cs="Times New Roman"/>
          <w:i/>
          <w:sz w:val="22"/>
          <w:szCs w:val="22"/>
        </w:rPr>
        <w:t>Rapport 1993</w:t>
      </w:r>
      <w:r w:rsidR="00875C96">
        <w:rPr>
          <w:rFonts w:cs="Times New Roman"/>
          <w:i/>
          <w:sz w:val="22"/>
          <w:szCs w:val="22"/>
        </w:rPr>
        <w:t xml:space="preserve">, </w:t>
      </w:r>
      <w:r w:rsidR="00875C96" w:rsidRPr="00875C96">
        <w:rPr>
          <w:rFonts w:cs="Times New Roman"/>
          <w:sz w:val="22"/>
          <w:szCs w:val="22"/>
        </w:rPr>
        <w:t>février 1994</w:t>
      </w:r>
      <w:r w:rsidRPr="00B246CC">
        <w:rPr>
          <w:rFonts w:cs="Times New Roman"/>
          <w:sz w:val="22"/>
          <w:szCs w:val="22"/>
        </w:rPr>
        <w:t>.</w:t>
      </w:r>
    </w:p>
    <w:p w14:paraId="2C564E67" w14:textId="77777777" w:rsidR="003B43FF" w:rsidRPr="004F2163" w:rsidRDefault="003B43FF" w:rsidP="003B43FF">
      <w:pPr>
        <w:spacing w:line="240" w:lineRule="auto"/>
        <w:jc w:val="both"/>
        <w:rPr>
          <w:rFonts w:cs="Times New Roman"/>
          <w:b/>
          <w:sz w:val="22"/>
          <w:szCs w:val="22"/>
        </w:rPr>
      </w:pPr>
    </w:p>
    <w:p w14:paraId="060A972B" w14:textId="77777777" w:rsidR="003B43FF" w:rsidRPr="004F2163" w:rsidRDefault="002D4472" w:rsidP="003B43FF">
      <w:pPr>
        <w:spacing w:line="240" w:lineRule="auto"/>
        <w:jc w:val="both"/>
        <w:rPr>
          <w:rFonts w:cs="Times New Roman"/>
          <w:sz w:val="22"/>
          <w:szCs w:val="22"/>
          <w:lang w:val="fr-BE"/>
        </w:rPr>
      </w:pPr>
      <w:r w:rsidRPr="00B246CC">
        <w:rPr>
          <w:rFonts w:cs="Times New Roman"/>
          <w:sz w:val="22"/>
          <w:szCs w:val="22"/>
          <w:lang w:val="fr-BE"/>
        </w:rPr>
        <w:t xml:space="preserve">Bayenet, B., Feron, M., Gilbert, V. &amp; Thys-Clément, F., </w:t>
      </w:r>
      <w:r w:rsidRPr="00B246CC">
        <w:rPr>
          <w:rFonts w:cs="Times New Roman"/>
          <w:i/>
          <w:sz w:val="22"/>
          <w:szCs w:val="22"/>
          <w:lang w:val="fr-BE"/>
        </w:rPr>
        <w:t>Le fédéralisme budgétaire : mode d’emploi</w:t>
      </w:r>
      <w:r w:rsidRPr="00B246CC">
        <w:rPr>
          <w:rFonts w:cs="Times New Roman"/>
          <w:sz w:val="22"/>
          <w:szCs w:val="22"/>
          <w:lang w:val="fr-BE"/>
        </w:rPr>
        <w:t>, Bruxelles, Éditions de l’ULB, 2000.</w:t>
      </w:r>
    </w:p>
    <w:p w14:paraId="5F56069D" w14:textId="77777777" w:rsidR="003B43FF" w:rsidRPr="004F2163" w:rsidRDefault="003B43FF" w:rsidP="003B43FF">
      <w:pPr>
        <w:spacing w:line="240" w:lineRule="auto"/>
        <w:jc w:val="both"/>
        <w:rPr>
          <w:rFonts w:cs="Times New Roman"/>
          <w:sz w:val="22"/>
          <w:szCs w:val="22"/>
        </w:rPr>
      </w:pPr>
    </w:p>
    <w:p w14:paraId="0248A582"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Bayenet, B. &amp; Pagano, G., </w:t>
      </w:r>
      <w:r w:rsidRPr="00B246CC">
        <w:rPr>
          <w:rFonts w:cs="Times New Roman"/>
          <w:i/>
          <w:sz w:val="22"/>
          <w:szCs w:val="22"/>
        </w:rPr>
        <w:t>Le financement des entités fédérées : un système en voie de transformation</w:t>
      </w:r>
      <w:r w:rsidRPr="00B246CC">
        <w:rPr>
          <w:rFonts w:cs="Times New Roman"/>
          <w:sz w:val="22"/>
          <w:szCs w:val="22"/>
        </w:rPr>
        <w:t xml:space="preserve">, Bruxelles, </w:t>
      </w:r>
      <w:r w:rsidRPr="00B246CC">
        <w:rPr>
          <w:rFonts w:cs="Times New Roman"/>
          <w:sz w:val="22"/>
          <w:szCs w:val="22"/>
          <w:lang w:val="fr-BE"/>
        </w:rPr>
        <w:t>É</w:t>
      </w:r>
      <w:r w:rsidR="00350FC2">
        <w:rPr>
          <w:rFonts w:cs="Times New Roman"/>
          <w:sz w:val="22"/>
          <w:szCs w:val="22"/>
        </w:rPr>
        <w:t>ditions du CRISP, 201</w:t>
      </w:r>
      <w:r w:rsidRPr="00B246CC">
        <w:rPr>
          <w:rFonts w:cs="Times New Roman"/>
          <w:sz w:val="22"/>
          <w:szCs w:val="22"/>
        </w:rPr>
        <w:t>1.</w:t>
      </w:r>
    </w:p>
    <w:p w14:paraId="380211FE" w14:textId="77777777" w:rsidR="003B43FF" w:rsidRPr="004F2163" w:rsidRDefault="003B43FF" w:rsidP="003B43FF">
      <w:pPr>
        <w:spacing w:line="240" w:lineRule="auto"/>
        <w:jc w:val="both"/>
        <w:rPr>
          <w:rFonts w:cs="Times New Roman"/>
          <w:sz w:val="22"/>
          <w:szCs w:val="22"/>
        </w:rPr>
      </w:pPr>
    </w:p>
    <w:p w14:paraId="427905BB" w14:textId="5B472ABE"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Bayenet, B., Bourgeois, M. &amp; Uhoda, M., « Les mécanismes de coordination des finances publiques en Belgique dans le cadre de la nouvelle gouvernance budgétaire européenne », </w:t>
      </w:r>
      <w:r w:rsidRPr="00B246CC">
        <w:rPr>
          <w:rFonts w:cs="Times New Roman"/>
          <w:i/>
          <w:sz w:val="22"/>
          <w:szCs w:val="22"/>
        </w:rPr>
        <w:t>Revue de fiscalité régionale et locale</w:t>
      </w:r>
      <w:r w:rsidRPr="00B246CC">
        <w:rPr>
          <w:rFonts w:cs="Times New Roman"/>
          <w:sz w:val="22"/>
          <w:szCs w:val="22"/>
        </w:rPr>
        <w:t xml:space="preserve">, </w:t>
      </w:r>
      <w:r w:rsidR="00875C96">
        <w:rPr>
          <w:rFonts w:cs="Times New Roman"/>
          <w:sz w:val="22"/>
          <w:szCs w:val="22"/>
        </w:rPr>
        <w:t>1 (</w:t>
      </w:r>
      <w:r w:rsidRPr="00B246CC">
        <w:rPr>
          <w:rFonts w:cs="Times New Roman"/>
          <w:sz w:val="22"/>
          <w:szCs w:val="22"/>
        </w:rPr>
        <w:t>3</w:t>
      </w:r>
      <w:r w:rsidR="00875C96">
        <w:rPr>
          <w:rFonts w:cs="Times New Roman"/>
          <w:sz w:val="22"/>
          <w:szCs w:val="22"/>
        </w:rPr>
        <w:t>)</w:t>
      </w:r>
      <w:r w:rsidRPr="00B246CC">
        <w:rPr>
          <w:rFonts w:cs="Times New Roman"/>
          <w:sz w:val="22"/>
          <w:szCs w:val="22"/>
        </w:rPr>
        <w:t>, 2013, pp. 206-226.</w:t>
      </w:r>
    </w:p>
    <w:p w14:paraId="37DDBA37" w14:textId="77777777" w:rsidR="003B43FF" w:rsidRPr="004F2163" w:rsidRDefault="003B43FF" w:rsidP="003B43FF">
      <w:pPr>
        <w:spacing w:line="240" w:lineRule="auto"/>
        <w:jc w:val="both"/>
        <w:rPr>
          <w:rFonts w:cs="Times New Roman"/>
          <w:sz w:val="22"/>
          <w:szCs w:val="22"/>
        </w:rPr>
      </w:pPr>
    </w:p>
    <w:p w14:paraId="503D9D4E"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Beaud, S. &amp; Weber, F., </w:t>
      </w:r>
      <w:r w:rsidRPr="00B246CC">
        <w:rPr>
          <w:rFonts w:cs="Times New Roman"/>
          <w:i/>
          <w:sz w:val="22"/>
          <w:szCs w:val="22"/>
        </w:rPr>
        <w:t>Guide de l’enquête de terrain</w:t>
      </w:r>
      <w:r w:rsidRPr="00B246CC">
        <w:rPr>
          <w:rFonts w:cs="Times New Roman"/>
          <w:sz w:val="22"/>
          <w:szCs w:val="22"/>
        </w:rPr>
        <w:t>, Paris, La Découverte, 2010.</w:t>
      </w:r>
    </w:p>
    <w:p w14:paraId="66C8A48E" w14:textId="77777777" w:rsidR="003B43FF" w:rsidRPr="004F2163" w:rsidRDefault="003B43FF" w:rsidP="003B43FF">
      <w:pPr>
        <w:spacing w:line="240" w:lineRule="auto"/>
        <w:jc w:val="both"/>
        <w:rPr>
          <w:rFonts w:cs="Times New Roman"/>
          <w:sz w:val="22"/>
          <w:szCs w:val="22"/>
        </w:rPr>
      </w:pPr>
    </w:p>
    <w:p w14:paraId="3A5DD904"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Bongrand, Ph., &amp; Laborier, P., « L’entretien dans l’analyse des politiques publiques : un impensé méthodologique ? », </w:t>
      </w:r>
      <w:r w:rsidRPr="00B246CC">
        <w:rPr>
          <w:rFonts w:cs="Times New Roman"/>
          <w:i/>
          <w:sz w:val="22"/>
          <w:szCs w:val="22"/>
        </w:rPr>
        <w:t>Revue française de science politique</w:t>
      </w:r>
      <w:r w:rsidRPr="00B246CC">
        <w:rPr>
          <w:rFonts w:cs="Times New Roman"/>
          <w:sz w:val="22"/>
          <w:szCs w:val="22"/>
        </w:rPr>
        <w:t>, 55 (1), 2005, pp. 73-111.</w:t>
      </w:r>
    </w:p>
    <w:p w14:paraId="3D5B4AD7" w14:textId="77777777" w:rsidR="003B43FF" w:rsidRPr="004F2163" w:rsidRDefault="003B43FF" w:rsidP="003B43FF">
      <w:pPr>
        <w:spacing w:line="240" w:lineRule="auto"/>
        <w:jc w:val="both"/>
        <w:rPr>
          <w:rFonts w:cs="Times New Roman"/>
          <w:sz w:val="22"/>
          <w:szCs w:val="22"/>
        </w:rPr>
      </w:pPr>
    </w:p>
    <w:p w14:paraId="7252F285"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Bourdieu, P., Chamboredon, J.-C. &amp; Passeron, J.-C., </w:t>
      </w:r>
      <w:r w:rsidRPr="00B246CC">
        <w:rPr>
          <w:rFonts w:cs="Times New Roman"/>
          <w:i/>
          <w:sz w:val="22"/>
          <w:szCs w:val="22"/>
        </w:rPr>
        <w:t>Le métier de sociologue</w:t>
      </w:r>
      <w:r w:rsidRPr="00B246CC">
        <w:rPr>
          <w:rFonts w:cs="Times New Roman"/>
          <w:sz w:val="22"/>
          <w:szCs w:val="22"/>
        </w:rPr>
        <w:t>, Paris, Mouton de Gruyter, 1964.</w:t>
      </w:r>
    </w:p>
    <w:p w14:paraId="732EBF0A" w14:textId="77777777" w:rsidR="003B43FF" w:rsidRPr="004F2163" w:rsidRDefault="003B43FF" w:rsidP="003B43FF">
      <w:pPr>
        <w:spacing w:line="240" w:lineRule="auto"/>
        <w:jc w:val="both"/>
        <w:rPr>
          <w:rFonts w:cs="Times New Roman"/>
          <w:sz w:val="22"/>
          <w:szCs w:val="22"/>
        </w:rPr>
      </w:pPr>
    </w:p>
    <w:p w14:paraId="6363E408"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Bouthevillain, C., Dufrénot, G., Frouté, Ph. &amp; Paul, L., </w:t>
      </w:r>
      <w:r w:rsidRPr="00B246CC">
        <w:rPr>
          <w:rFonts w:cs="Times New Roman"/>
          <w:i/>
          <w:sz w:val="22"/>
          <w:szCs w:val="22"/>
        </w:rPr>
        <w:t>Les politiques budgétaires dans la crise</w:t>
      </w:r>
      <w:r w:rsidRPr="00B246CC">
        <w:rPr>
          <w:rFonts w:cs="Times New Roman"/>
          <w:sz w:val="22"/>
          <w:szCs w:val="22"/>
        </w:rPr>
        <w:t>, Bruxelles, De Boeck, 2013.</w:t>
      </w:r>
    </w:p>
    <w:p w14:paraId="0A2FFB6C" w14:textId="77777777" w:rsidR="005C109E" w:rsidRPr="004F2163" w:rsidRDefault="005C109E" w:rsidP="003B43FF">
      <w:pPr>
        <w:spacing w:line="240" w:lineRule="auto"/>
        <w:jc w:val="both"/>
        <w:rPr>
          <w:rFonts w:cs="Times New Roman"/>
          <w:sz w:val="22"/>
          <w:szCs w:val="22"/>
        </w:rPr>
      </w:pPr>
    </w:p>
    <w:p w14:paraId="6DCD2304" w14:textId="0266442B" w:rsidR="005C109E" w:rsidRPr="004F2163" w:rsidRDefault="00875C96" w:rsidP="005C109E">
      <w:pPr>
        <w:spacing w:line="240" w:lineRule="auto"/>
        <w:jc w:val="both"/>
        <w:rPr>
          <w:rFonts w:cs="Times New Roman"/>
          <w:sz w:val="22"/>
          <w:szCs w:val="22"/>
          <w:lang w:val="nl-BE"/>
        </w:rPr>
      </w:pPr>
      <w:r>
        <w:rPr>
          <w:rFonts w:cs="Times New Roman"/>
          <w:sz w:val="22"/>
          <w:szCs w:val="22"/>
          <w:lang w:val="nl-BE"/>
        </w:rPr>
        <w:t>Buffel, L.</w:t>
      </w:r>
      <w:r w:rsidR="002D4472" w:rsidRPr="00B246CC">
        <w:rPr>
          <w:rFonts w:cs="Times New Roman"/>
          <w:sz w:val="22"/>
          <w:szCs w:val="22"/>
          <w:lang w:val="nl-BE"/>
        </w:rPr>
        <w:t xml:space="preserve">, « De institutionele geschiedenis van de Hoge Raad van Financiën (1996-2011) », </w:t>
      </w:r>
      <w:r w:rsidR="002D4472" w:rsidRPr="00B246CC">
        <w:rPr>
          <w:rFonts w:cs="Times New Roman"/>
          <w:i/>
          <w:sz w:val="22"/>
          <w:szCs w:val="22"/>
          <w:lang w:val="nl-BE"/>
        </w:rPr>
        <w:t>Bulletin de documentation</w:t>
      </w:r>
      <w:r w:rsidR="002D4472" w:rsidRPr="00B246CC">
        <w:rPr>
          <w:rFonts w:cs="Times New Roman"/>
          <w:sz w:val="22"/>
          <w:szCs w:val="22"/>
          <w:lang w:val="nl-BE"/>
        </w:rPr>
        <w:t xml:space="preserve">, 70 (4), </w:t>
      </w:r>
      <w:r>
        <w:rPr>
          <w:rFonts w:cs="Times New Roman"/>
          <w:sz w:val="22"/>
          <w:szCs w:val="22"/>
          <w:lang w:val="nl-BE"/>
        </w:rPr>
        <w:t xml:space="preserve">2010, </w:t>
      </w:r>
      <w:r w:rsidR="002D4472" w:rsidRPr="00B246CC">
        <w:rPr>
          <w:rFonts w:cs="Times New Roman"/>
          <w:sz w:val="22"/>
          <w:szCs w:val="22"/>
          <w:lang w:val="nl-BE"/>
        </w:rPr>
        <w:t>pp. 75-112.</w:t>
      </w:r>
    </w:p>
    <w:p w14:paraId="71C546E9" w14:textId="77777777" w:rsidR="005C109E" w:rsidRPr="00B246CC" w:rsidRDefault="005C109E" w:rsidP="003B43FF">
      <w:pPr>
        <w:spacing w:line="240" w:lineRule="auto"/>
        <w:jc w:val="both"/>
        <w:rPr>
          <w:rFonts w:cs="Times New Roman"/>
          <w:sz w:val="22"/>
          <w:szCs w:val="22"/>
          <w:lang w:val="nl-BE"/>
        </w:rPr>
      </w:pPr>
    </w:p>
    <w:p w14:paraId="383E5F97" w14:textId="77777777" w:rsidR="003B43FF" w:rsidRPr="004F2163" w:rsidRDefault="00F320E0" w:rsidP="003B43FF">
      <w:pPr>
        <w:spacing w:line="240" w:lineRule="auto"/>
        <w:jc w:val="both"/>
        <w:rPr>
          <w:rFonts w:cs="Times New Roman"/>
          <w:sz w:val="22"/>
          <w:szCs w:val="22"/>
        </w:rPr>
      </w:pPr>
      <w:r w:rsidRPr="004F2163">
        <w:rPr>
          <w:rFonts w:cs="Times New Roman"/>
          <w:sz w:val="22"/>
          <w:szCs w:val="22"/>
        </w:rPr>
        <w:lastRenderedPageBreak/>
        <w:t>Callon, M.</w:t>
      </w:r>
      <w:r w:rsidR="002D4472" w:rsidRPr="00B246CC">
        <w:rPr>
          <w:rFonts w:cs="Times New Roman"/>
          <w:sz w:val="22"/>
          <w:szCs w:val="22"/>
        </w:rPr>
        <w:t xml:space="preserve">, « Éléments pour une sociologie de la traduction », </w:t>
      </w:r>
      <w:r w:rsidR="002D4472" w:rsidRPr="00B246CC">
        <w:rPr>
          <w:rFonts w:cs="Times New Roman"/>
          <w:i/>
          <w:sz w:val="22"/>
          <w:szCs w:val="22"/>
        </w:rPr>
        <w:t>L’année sociologique</w:t>
      </w:r>
      <w:r w:rsidR="002D4472" w:rsidRPr="00B246CC">
        <w:rPr>
          <w:rFonts w:cs="Times New Roman"/>
          <w:sz w:val="22"/>
          <w:szCs w:val="22"/>
        </w:rPr>
        <w:t>, 36 (3), 1986, pp. 169-208.</w:t>
      </w:r>
    </w:p>
    <w:p w14:paraId="4BE602F0" w14:textId="77777777" w:rsidR="00C34097" w:rsidRPr="004F2163" w:rsidRDefault="00C34097" w:rsidP="003B43FF">
      <w:pPr>
        <w:spacing w:line="240" w:lineRule="auto"/>
        <w:jc w:val="both"/>
        <w:rPr>
          <w:rFonts w:cs="Times New Roman"/>
          <w:sz w:val="22"/>
          <w:szCs w:val="22"/>
        </w:rPr>
      </w:pPr>
    </w:p>
    <w:p w14:paraId="520B9E48" w14:textId="77777777" w:rsidR="003B43FF" w:rsidRPr="004F2163" w:rsidRDefault="002D4472" w:rsidP="003B43FF">
      <w:pPr>
        <w:spacing w:line="240" w:lineRule="auto"/>
        <w:jc w:val="both"/>
        <w:rPr>
          <w:rFonts w:cs="Times New Roman"/>
          <w:sz w:val="22"/>
          <w:szCs w:val="22"/>
          <w:lang w:val="en-US"/>
        </w:rPr>
      </w:pPr>
      <w:r w:rsidRPr="00B246CC">
        <w:rPr>
          <w:rFonts w:cs="Times New Roman"/>
          <w:sz w:val="22"/>
          <w:szCs w:val="22"/>
          <w:lang w:val="en-US"/>
        </w:rPr>
        <w:t xml:space="preserve">Coene, L. &amp; Langenus, G., « Promoting fiscal discipline in a federal country: the mixed track record of Belgium’s High Council of Finance », </w:t>
      </w:r>
      <w:r w:rsidRPr="00B246CC">
        <w:rPr>
          <w:rFonts w:cs="Times New Roman"/>
          <w:i/>
          <w:iCs/>
          <w:sz w:val="22"/>
          <w:szCs w:val="22"/>
          <w:lang w:val="en-US"/>
        </w:rPr>
        <w:t>Wirtschaftspolitische Blätter</w:t>
      </w:r>
      <w:r w:rsidRPr="00B246CC">
        <w:rPr>
          <w:rFonts w:cs="Times New Roman"/>
          <w:sz w:val="22"/>
          <w:szCs w:val="22"/>
          <w:lang w:val="en-US"/>
        </w:rPr>
        <w:t xml:space="preserve">, 58 (1), 2011, pp. 11-35. </w:t>
      </w:r>
    </w:p>
    <w:p w14:paraId="22C41BFB" w14:textId="77777777" w:rsidR="003B43FF" w:rsidRPr="004F2163" w:rsidRDefault="003B43FF" w:rsidP="003B43FF">
      <w:pPr>
        <w:spacing w:line="240" w:lineRule="auto"/>
        <w:jc w:val="both"/>
        <w:rPr>
          <w:rFonts w:cs="Times New Roman"/>
          <w:sz w:val="22"/>
          <w:szCs w:val="22"/>
          <w:lang w:val="en-US"/>
        </w:rPr>
      </w:pPr>
    </w:p>
    <w:p w14:paraId="58722E45" w14:textId="77777777" w:rsidR="003B43FF" w:rsidRDefault="002D4472" w:rsidP="003B43FF">
      <w:pPr>
        <w:spacing w:line="240" w:lineRule="auto"/>
        <w:jc w:val="both"/>
        <w:rPr>
          <w:rFonts w:cs="Times New Roman"/>
          <w:sz w:val="22"/>
          <w:szCs w:val="22"/>
          <w:lang w:val="en-US"/>
        </w:rPr>
      </w:pPr>
      <w:r w:rsidRPr="00B246CC">
        <w:rPr>
          <w:rFonts w:cs="Times New Roman"/>
          <w:sz w:val="22"/>
          <w:szCs w:val="22"/>
          <w:lang w:val="en-US"/>
        </w:rPr>
        <w:t xml:space="preserve">Coene, L. &amp; Langenus, G., « Belgium: Promoting Fiscal Discipline in a Federal Country », in Kopits, G. (ed.), </w:t>
      </w:r>
      <w:r w:rsidRPr="00B246CC">
        <w:rPr>
          <w:rFonts w:cs="Times New Roman"/>
          <w:i/>
          <w:iCs/>
          <w:sz w:val="22"/>
          <w:szCs w:val="22"/>
          <w:lang w:val="en-US"/>
        </w:rPr>
        <w:t>Restoring Public Debt Sustainability: The Role of Independent Fiscal Institutions</w:t>
      </w:r>
      <w:r w:rsidRPr="00B246CC">
        <w:rPr>
          <w:rFonts w:cs="Times New Roman"/>
          <w:sz w:val="22"/>
          <w:szCs w:val="22"/>
          <w:lang w:val="en-US"/>
        </w:rPr>
        <w:t>, Oxford, Oxford University Press, 2013, pp. 142-165.</w:t>
      </w:r>
    </w:p>
    <w:p w14:paraId="2F65EED9" w14:textId="77777777" w:rsidR="00952622" w:rsidRPr="004F2163" w:rsidRDefault="00952622" w:rsidP="003B43FF">
      <w:pPr>
        <w:spacing w:line="240" w:lineRule="auto"/>
        <w:jc w:val="both"/>
        <w:rPr>
          <w:rFonts w:cs="Times New Roman"/>
          <w:sz w:val="22"/>
          <w:szCs w:val="22"/>
          <w:lang w:val="en-US"/>
        </w:rPr>
      </w:pPr>
    </w:p>
    <w:p w14:paraId="7488D63E" w14:textId="77777777" w:rsidR="00952622" w:rsidRPr="004F2163" w:rsidRDefault="00952622" w:rsidP="00952622">
      <w:pPr>
        <w:spacing w:line="240" w:lineRule="auto"/>
        <w:jc w:val="both"/>
        <w:rPr>
          <w:rFonts w:cs="Times New Roman"/>
          <w:sz w:val="22"/>
          <w:szCs w:val="22"/>
          <w:lang w:val="fr-BE"/>
        </w:rPr>
      </w:pPr>
      <w:r w:rsidRPr="00B246CC">
        <w:rPr>
          <w:rFonts w:cs="Times New Roman"/>
          <w:sz w:val="22"/>
          <w:szCs w:val="22"/>
          <w:lang w:val="fr-BE"/>
        </w:rPr>
        <w:t xml:space="preserve">Commission européenne, </w:t>
      </w:r>
      <w:r w:rsidRPr="00B246CC">
        <w:rPr>
          <w:rFonts w:cs="Times New Roman"/>
          <w:i/>
          <w:sz w:val="22"/>
          <w:szCs w:val="22"/>
          <w:lang w:val="fr-BE"/>
        </w:rPr>
        <w:t>European Economy - Public Finances in EMU</w:t>
      </w:r>
      <w:r w:rsidRPr="00B246CC">
        <w:rPr>
          <w:rFonts w:cs="Times New Roman"/>
          <w:sz w:val="22"/>
          <w:szCs w:val="22"/>
          <w:lang w:val="fr-BE"/>
        </w:rPr>
        <w:t>, Luxembourg, Office des publications de l’Union européenne, 2010.</w:t>
      </w:r>
    </w:p>
    <w:p w14:paraId="408FF971" w14:textId="77777777" w:rsidR="003B43FF" w:rsidRPr="00952622" w:rsidRDefault="003B43FF" w:rsidP="003B43FF">
      <w:pPr>
        <w:spacing w:line="240" w:lineRule="auto"/>
        <w:jc w:val="both"/>
        <w:rPr>
          <w:rFonts w:cs="Times New Roman"/>
          <w:sz w:val="22"/>
          <w:szCs w:val="22"/>
          <w:lang w:val="fr-BE"/>
        </w:rPr>
      </w:pPr>
    </w:p>
    <w:p w14:paraId="6E6133B2"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Conseil supérieur des Finances, section ‘Besoins de financement des pouvoirs publics’, </w:t>
      </w:r>
      <w:r w:rsidRPr="00B246CC">
        <w:rPr>
          <w:rFonts w:cs="Times New Roman"/>
          <w:i/>
          <w:sz w:val="22"/>
          <w:szCs w:val="22"/>
        </w:rPr>
        <w:t>Implications de l’objectif ‘Maastricht 1991’ pour les besoins de financement des pouvoirs publics,</w:t>
      </w:r>
      <w:r w:rsidRPr="00B246CC">
        <w:rPr>
          <w:rFonts w:cs="Times New Roman"/>
          <w:sz w:val="22"/>
          <w:szCs w:val="22"/>
        </w:rPr>
        <w:t xml:space="preserve"> 1992a.</w:t>
      </w:r>
    </w:p>
    <w:p w14:paraId="22093717" w14:textId="77777777" w:rsidR="003B43FF" w:rsidRPr="004F2163" w:rsidRDefault="003B43FF" w:rsidP="003B43FF">
      <w:pPr>
        <w:spacing w:line="240" w:lineRule="auto"/>
        <w:jc w:val="both"/>
        <w:rPr>
          <w:rFonts w:cs="Times New Roman"/>
          <w:sz w:val="22"/>
          <w:szCs w:val="22"/>
        </w:rPr>
      </w:pPr>
    </w:p>
    <w:p w14:paraId="569337E8" w14:textId="77777777" w:rsidR="003B43FF" w:rsidRPr="004F2163" w:rsidRDefault="002D4472" w:rsidP="003B43FF">
      <w:pPr>
        <w:spacing w:line="240" w:lineRule="auto"/>
        <w:jc w:val="both"/>
        <w:rPr>
          <w:rFonts w:cs="Times New Roman"/>
          <w:sz w:val="22"/>
          <w:szCs w:val="22"/>
          <w:lang w:val="fr-BE"/>
        </w:rPr>
      </w:pPr>
      <w:r w:rsidRPr="00B246CC">
        <w:rPr>
          <w:rFonts w:cs="Times New Roman"/>
          <w:sz w:val="22"/>
          <w:szCs w:val="22"/>
          <w:lang w:val="fr-BE"/>
        </w:rPr>
        <w:t xml:space="preserve">Conseil supérieur des Finances, section ‘Besoins de financement des pouvoirs publics’, </w:t>
      </w:r>
      <w:r w:rsidRPr="00B246CC">
        <w:rPr>
          <w:rFonts w:cs="Times New Roman"/>
          <w:i/>
          <w:sz w:val="22"/>
          <w:szCs w:val="22"/>
          <w:lang w:val="fr-BE"/>
        </w:rPr>
        <w:t>Rapport annuel</w:t>
      </w:r>
      <w:r w:rsidRPr="00B246CC">
        <w:rPr>
          <w:rFonts w:cs="Times New Roman"/>
          <w:sz w:val="22"/>
          <w:szCs w:val="22"/>
          <w:lang w:val="fr-BE"/>
        </w:rPr>
        <w:t>, 1992b.</w:t>
      </w:r>
    </w:p>
    <w:p w14:paraId="68D4B537" w14:textId="77777777" w:rsidR="003B43FF" w:rsidRPr="004F2163" w:rsidRDefault="003B43FF" w:rsidP="003B43FF">
      <w:pPr>
        <w:spacing w:line="240" w:lineRule="auto"/>
        <w:jc w:val="both"/>
        <w:rPr>
          <w:rFonts w:cs="Times New Roman"/>
          <w:sz w:val="22"/>
          <w:szCs w:val="22"/>
          <w:lang w:val="fr-BE"/>
        </w:rPr>
      </w:pPr>
    </w:p>
    <w:p w14:paraId="4338FB70" w14:textId="77777777" w:rsidR="003B43FF" w:rsidRPr="004F2163" w:rsidRDefault="002D4472" w:rsidP="003B43FF">
      <w:pPr>
        <w:spacing w:line="240" w:lineRule="auto"/>
        <w:jc w:val="both"/>
        <w:rPr>
          <w:rFonts w:cs="Times New Roman"/>
          <w:sz w:val="22"/>
          <w:szCs w:val="22"/>
          <w:lang w:val="fr-BE"/>
        </w:rPr>
      </w:pPr>
      <w:r w:rsidRPr="00B246CC">
        <w:rPr>
          <w:rFonts w:cs="Times New Roman"/>
          <w:sz w:val="22"/>
          <w:szCs w:val="22"/>
          <w:lang w:val="fr-BE"/>
        </w:rPr>
        <w:t xml:space="preserve">Conseil supérieur des Finances, section ‘Besoins de financement des pouvoirs publics’, </w:t>
      </w:r>
      <w:r w:rsidRPr="00B246CC">
        <w:rPr>
          <w:rFonts w:cs="Times New Roman"/>
          <w:i/>
          <w:sz w:val="22"/>
          <w:szCs w:val="22"/>
          <w:lang w:val="fr-BE"/>
        </w:rPr>
        <w:t>Avis sur le plan de convergence de la Belgique</w:t>
      </w:r>
      <w:r w:rsidRPr="00B246CC">
        <w:rPr>
          <w:rFonts w:cs="Times New Roman"/>
          <w:sz w:val="22"/>
          <w:szCs w:val="22"/>
          <w:lang w:val="fr-BE"/>
        </w:rPr>
        <w:t>, 1992c.</w:t>
      </w:r>
    </w:p>
    <w:p w14:paraId="7C12C636" w14:textId="77777777" w:rsidR="003B43FF" w:rsidRPr="004F2163" w:rsidRDefault="003B43FF" w:rsidP="003B43FF">
      <w:pPr>
        <w:spacing w:line="240" w:lineRule="auto"/>
        <w:jc w:val="both"/>
        <w:rPr>
          <w:rFonts w:cs="Times New Roman"/>
          <w:sz w:val="22"/>
          <w:szCs w:val="22"/>
          <w:lang w:val="fr-BE"/>
        </w:rPr>
      </w:pPr>
    </w:p>
    <w:p w14:paraId="774AED3D"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Conseil supérieur des Finances, section ‘Besoins de financement des pouvoirs publics’, </w:t>
      </w:r>
      <w:r w:rsidRPr="00B246CC">
        <w:rPr>
          <w:rFonts w:cs="Times New Roman"/>
          <w:i/>
          <w:iCs/>
          <w:sz w:val="22"/>
          <w:szCs w:val="22"/>
        </w:rPr>
        <w:t>Avis relatif à la réalisation des hypothèses de départ du plan de convergence</w:t>
      </w:r>
      <w:r w:rsidRPr="00B246CC">
        <w:rPr>
          <w:rFonts w:cs="Times New Roman"/>
          <w:iCs/>
          <w:sz w:val="22"/>
          <w:szCs w:val="22"/>
        </w:rPr>
        <w:t>, 1993</w:t>
      </w:r>
      <w:r w:rsidRPr="00B246CC">
        <w:rPr>
          <w:rFonts w:cs="Times New Roman"/>
          <w:sz w:val="22"/>
          <w:szCs w:val="22"/>
        </w:rPr>
        <w:t xml:space="preserve">. </w:t>
      </w:r>
    </w:p>
    <w:p w14:paraId="107C4575" w14:textId="77777777" w:rsidR="003B43FF" w:rsidRPr="004F2163" w:rsidRDefault="003B43FF" w:rsidP="003B43FF">
      <w:pPr>
        <w:spacing w:line="240" w:lineRule="auto"/>
        <w:jc w:val="both"/>
        <w:rPr>
          <w:rFonts w:cs="Times New Roman"/>
          <w:sz w:val="22"/>
          <w:szCs w:val="22"/>
        </w:rPr>
      </w:pPr>
    </w:p>
    <w:p w14:paraId="0A815C91" w14:textId="77777777" w:rsidR="003B43FF" w:rsidRPr="004F2163" w:rsidRDefault="002D4472" w:rsidP="003B43FF">
      <w:pPr>
        <w:spacing w:line="240" w:lineRule="auto"/>
        <w:jc w:val="both"/>
        <w:rPr>
          <w:rFonts w:cs="Times New Roman"/>
          <w:sz w:val="22"/>
          <w:szCs w:val="22"/>
          <w:lang w:val="fr-BE"/>
        </w:rPr>
      </w:pPr>
      <w:r w:rsidRPr="00B246CC">
        <w:rPr>
          <w:rFonts w:cs="Times New Roman"/>
          <w:sz w:val="22"/>
          <w:szCs w:val="22"/>
          <w:lang w:val="fr-BE"/>
        </w:rPr>
        <w:t xml:space="preserve">Conseil Supérieur des Finances, section ‘Besoins de financement des pouvoirs publics’ </w:t>
      </w:r>
      <w:r w:rsidRPr="00B246CC">
        <w:rPr>
          <w:rFonts w:cs="Times New Roman"/>
          <w:i/>
          <w:iCs/>
          <w:sz w:val="22"/>
          <w:szCs w:val="22"/>
          <w:lang w:val="fr-BE"/>
        </w:rPr>
        <w:t>Rapport annuel</w:t>
      </w:r>
      <w:r w:rsidRPr="00B246CC">
        <w:rPr>
          <w:rFonts w:cs="Times New Roman"/>
          <w:iCs/>
          <w:sz w:val="22"/>
          <w:szCs w:val="22"/>
          <w:lang w:val="fr-BE"/>
        </w:rPr>
        <w:t>, 1994</w:t>
      </w:r>
      <w:r w:rsidRPr="00B246CC">
        <w:rPr>
          <w:rFonts w:cs="Times New Roman"/>
          <w:sz w:val="22"/>
          <w:szCs w:val="22"/>
          <w:lang w:val="fr-BE"/>
        </w:rPr>
        <w:t>.</w:t>
      </w:r>
    </w:p>
    <w:p w14:paraId="1FC8EFF5" w14:textId="77777777" w:rsidR="003B43FF" w:rsidRPr="004F2163" w:rsidRDefault="003B43FF" w:rsidP="003B43FF">
      <w:pPr>
        <w:spacing w:line="240" w:lineRule="auto"/>
        <w:jc w:val="both"/>
        <w:rPr>
          <w:rFonts w:cs="Times New Roman"/>
          <w:sz w:val="22"/>
          <w:szCs w:val="22"/>
          <w:lang w:val="fr-BE"/>
        </w:rPr>
      </w:pPr>
    </w:p>
    <w:p w14:paraId="7AAA5634" w14:textId="77777777" w:rsidR="003B43FF" w:rsidRPr="004F2163" w:rsidRDefault="002D4472" w:rsidP="003B43FF">
      <w:pPr>
        <w:pStyle w:val="Notedebasdepage"/>
        <w:spacing w:line="240" w:lineRule="auto"/>
        <w:rPr>
          <w:rFonts w:ascii="Times New Roman" w:hAnsi="Times New Roman"/>
          <w:sz w:val="22"/>
          <w:szCs w:val="22"/>
        </w:rPr>
      </w:pPr>
      <w:r w:rsidRPr="00B246CC">
        <w:rPr>
          <w:rFonts w:ascii="Times New Roman" w:hAnsi="Times New Roman"/>
          <w:sz w:val="22"/>
          <w:szCs w:val="22"/>
        </w:rPr>
        <w:t xml:space="preserve">Conseil Supérieur des Finances, section ‘Besoins de financement des pouvoirs publics’, </w:t>
      </w:r>
      <w:r w:rsidRPr="00B246CC">
        <w:rPr>
          <w:rFonts w:ascii="Times New Roman" w:hAnsi="Times New Roman"/>
          <w:i/>
          <w:sz w:val="22"/>
          <w:szCs w:val="22"/>
        </w:rPr>
        <w:t>Rapport annuel</w:t>
      </w:r>
      <w:r w:rsidRPr="00B246CC">
        <w:rPr>
          <w:rFonts w:ascii="Times New Roman" w:hAnsi="Times New Roman"/>
          <w:sz w:val="22"/>
          <w:szCs w:val="22"/>
        </w:rPr>
        <w:t>, 2004.</w:t>
      </w:r>
    </w:p>
    <w:p w14:paraId="73B9FEAD" w14:textId="77777777" w:rsidR="003B43FF" w:rsidRPr="004F2163" w:rsidRDefault="003B43FF" w:rsidP="003B43FF">
      <w:pPr>
        <w:pStyle w:val="Notedebasdepage"/>
        <w:spacing w:line="240" w:lineRule="auto"/>
        <w:rPr>
          <w:rFonts w:ascii="Times New Roman" w:hAnsi="Times New Roman"/>
          <w:sz w:val="22"/>
          <w:szCs w:val="22"/>
        </w:rPr>
      </w:pPr>
    </w:p>
    <w:p w14:paraId="416C215E" w14:textId="77777777" w:rsidR="003B43FF" w:rsidRPr="004F2163" w:rsidRDefault="002D4472" w:rsidP="003B43FF">
      <w:pPr>
        <w:spacing w:line="240" w:lineRule="auto"/>
        <w:jc w:val="both"/>
        <w:rPr>
          <w:rFonts w:cs="Times New Roman"/>
          <w:sz w:val="22"/>
          <w:szCs w:val="22"/>
          <w:lang w:val="fr-BE"/>
        </w:rPr>
      </w:pPr>
      <w:r w:rsidRPr="00B246CC">
        <w:rPr>
          <w:rFonts w:cs="Times New Roman"/>
          <w:sz w:val="22"/>
          <w:szCs w:val="22"/>
          <w:lang w:val="fr-BE"/>
        </w:rPr>
        <w:t xml:space="preserve">Conseil Supérieur des Finances, section ‘Besoins de financement des pouvoirs publics’, </w:t>
      </w:r>
      <w:r w:rsidRPr="00B246CC">
        <w:rPr>
          <w:rFonts w:cs="Times New Roman"/>
          <w:i/>
          <w:iCs/>
          <w:sz w:val="22"/>
          <w:szCs w:val="22"/>
          <w:lang w:val="fr-BE"/>
        </w:rPr>
        <w:t>Vers des finances publiques soutenables et neutres sur le plan intertemporel dans le contexte du vieillissement</w:t>
      </w:r>
      <w:r w:rsidRPr="00B246CC">
        <w:rPr>
          <w:rFonts w:cs="Times New Roman"/>
          <w:sz w:val="22"/>
          <w:szCs w:val="22"/>
          <w:lang w:val="fr-BE"/>
        </w:rPr>
        <w:t>, 2007.</w:t>
      </w:r>
    </w:p>
    <w:p w14:paraId="6C48E9FD" w14:textId="77777777" w:rsidR="003B43FF" w:rsidRPr="004F2163" w:rsidRDefault="003B43FF" w:rsidP="003B43FF">
      <w:pPr>
        <w:spacing w:line="240" w:lineRule="auto"/>
        <w:jc w:val="both"/>
        <w:rPr>
          <w:rFonts w:cs="Times New Roman"/>
          <w:sz w:val="22"/>
          <w:szCs w:val="22"/>
          <w:lang w:val="fr-BE"/>
        </w:rPr>
      </w:pPr>
    </w:p>
    <w:p w14:paraId="44457CC1"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lang w:val="fr-BE"/>
        </w:rPr>
        <w:lastRenderedPageBreak/>
        <w:t>Conseil Supérieur des Finances, section ‘Besoins de financement des pouvoirs publics’</w:t>
      </w:r>
      <w:r w:rsidRPr="00B246CC">
        <w:rPr>
          <w:rFonts w:cs="Times New Roman"/>
          <w:sz w:val="22"/>
          <w:szCs w:val="22"/>
        </w:rPr>
        <w:t>,</w:t>
      </w:r>
      <w:r w:rsidRPr="00B246CC">
        <w:rPr>
          <w:rFonts w:cs="Times New Roman"/>
          <w:i/>
          <w:sz w:val="22"/>
          <w:szCs w:val="22"/>
        </w:rPr>
        <w:t xml:space="preserve"> Évaluation 2010 et trajectoires budgétaires pour le programme de stabilité 2011-2015</w:t>
      </w:r>
      <w:r w:rsidRPr="00B246CC">
        <w:rPr>
          <w:rFonts w:cs="Times New Roman"/>
          <w:sz w:val="22"/>
          <w:szCs w:val="22"/>
        </w:rPr>
        <w:t>, 2011a.</w:t>
      </w:r>
    </w:p>
    <w:p w14:paraId="38CFDD0B" w14:textId="77777777" w:rsidR="003B43FF" w:rsidRPr="004F2163" w:rsidRDefault="003B43FF" w:rsidP="003B43FF">
      <w:pPr>
        <w:spacing w:line="240" w:lineRule="auto"/>
        <w:jc w:val="both"/>
        <w:rPr>
          <w:rFonts w:cs="Times New Roman"/>
          <w:sz w:val="22"/>
          <w:szCs w:val="22"/>
        </w:rPr>
      </w:pPr>
    </w:p>
    <w:p w14:paraId="195FBC2D" w14:textId="77777777" w:rsidR="003B43FF" w:rsidRPr="004F2163" w:rsidRDefault="002D4472" w:rsidP="003B43FF">
      <w:pPr>
        <w:spacing w:line="240" w:lineRule="auto"/>
        <w:jc w:val="both"/>
        <w:rPr>
          <w:rFonts w:cs="Times New Roman"/>
          <w:sz w:val="22"/>
          <w:szCs w:val="22"/>
          <w:lang w:val="fr-BE"/>
        </w:rPr>
      </w:pPr>
      <w:r w:rsidRPr="00B246CC">
        <w:rPr>
          <w:rFonts w:cs="Times New Roman"/>
          <w:sz w:val="22"/>
          <w:szCs w:val="22"/>
          <w:lang w:val="fr-BE"/>
        </w:rPr>
        <w:t xml:space="preserve">Conseil Supérieur des Finances, section ‘Besoins de financement des pouvoirs publics’, </w:t>
      </w:r>
      <w:r w:rsidRPr="00B246CC">
        <w:rPr>
          <w:rFonts w:cs="Times New Roman"/>
          <w:i/>
          <w:sz w:val="22"/>
          <w:szCs w:val="22"/>
          <w:lang w:val="fr-BE"/>
        </w:rPr>
        <w:t>Ajustement de l’avis de mars 2011 à la suite des changements du contexte économique</w:t>
      </w:r>
      <w:r w:rsidRPr="00B246CC">
        <w:rPr>
          <w:rFonts w:cs="Times New Roman"/>
          <w:sz w:val="22"/>
          <w:szCs w:val="22"/>
          <w:lang w:val="fr-BE"/>
        </w:rPr>
        <w:t>, 2011b.</w:t>
      </w:r>
    </w:p>
    <w:p w14:paraId="08C2C146" w14:textId="77777777" w:rsidR="00C34097" w:rsidRPr="004F2163" w:rsidRDefault="00C34097" w:rsidP="003B43FF">
      <w:pPr>
        <w:spacing w:line="240" w:lineRule="auto"/>
        <w:jc w:val="both"/>
        <w:rPr>
          <w:rFonts w:cs="Times New Roman"/>
          <w:sz w:val="22"/>
          <w:szCs w:val="22"/>
          <w:lang w:val="fr-BE"/>
        </w:rPr>
      </w:pPr>
    </w:p>
    <w:p w14:paraId="327D5360" w14:textId="77777777" w:rsidR="0033581C" w:rsidRPr="00B246CC" w:rsidRDefault="002D4472" w:rsidP="00B246CC">
      <w:pPr>
        <w:spacing w:line="240" w:lineRule="auto"/>
        <w:jc w:val="both"/>
        <w:rPr>
          <w:rFonts w:cs="Times New Roman"/>
          <w:sz w:val="22"/>
          <w:szCs w:val="22"/>
        </w:rPr>
      </w:pPr>
      <w:r w:rsidRPr="00B246CC">
        <w:rPr>
          <w:rFonts w:cs="Times New Roman"/>
          <w:sz w:val="22"/>
          <w:szCs w:val="22"/>
        </w:rPr>
        <w:t xml:space="preserve">Conseil supérieur des Finances, section ‘Besoins de financement des pouvoirs publics’, </w:t>
      </w:r>
      <w:r w:rsidRPr="00B246CC">
        <w:rPr>
          <w:i/>
          <w:sz w:val="22"/>
          <w:szCs w:val="22"/>
        </w:rPr>
        <w:t>Trajectoire budgétaire en préparation du programme de stabilité 2014-2017</w:t>
      </w:r>
      <w:r w:rsidRPr="00B246CC">
        <w:rPr>
          <w:sz w:val="22"/>
          <w:szCs w:val="22"/>
        </w:rPr>
        <w:t>, 2014.</w:t>
      </w:r>
    </w:p>
    <w:p w14:paraId="0CF46584" w14:textId="77777777" w:rsidR="003B43FF" w:rsidRPr="007C53A8" w:rsidRDefault="003B43FF" w:rsidP="003B43FF">
      <w:pPr>
        <w:spacing w:line="240" w:lineRule="auto"/>
        <w:jc w:val="both"/>
        <w:rPr>
          <w:rFonts w:cs="Times New Roman"/>
          <w:sz w:val="22"/>
          <w:szCs w:val="22"/>
          <w:lang w:val="fr-BE" w:eastAsia="en-US"/>
        </w:rPr>
      </w:pPr>
    </w:p>
    <w:p w14:paraId="16E7320D"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Degryse, Ch., « La nouvelle gouvernance économique européenne », </w:t>
      </w:r>
      <w:r w:rsidRPr="00B246CC">
        <w:rPr>
          <w:rFonts w:cs="Times New Roman"/>
          <w:i/>
          <w:sz w:val="22"/>
          <w:szCs w:val="22"/>
        </w:rPr>
        <w:t>Courrier hebdomadaire du CRISP</w:t>
      </w:r>
      <w:r w:rsidRPr="00B246CC">
        <w:rPr>
          <w:rFonts w:cs="Times New Roman"/>
          <w:sz w:val="22"/>
          <w:szCs w:val="22"/>
        </w:rPr>
        <w:t>, n</w:t>
      </w:r>
      <w:r w:rsidR="001B579A">
        <w:rPr>
          <w:rFonts w:cs="Times New Roman"/>
          <w:sz w:val="22"/>
          <w:szCs w:val="22"/>
          <w:vertAlign w:val="superscript"/>
        </w:rPr>
        <w:t>os </w:t>
      </w:r>
      <w:r w:rsidRPr="00B246CC">
        <w:rPr>
          <w:rFonts w:cs="Times New Roman"/>
          <w:sz w:val="22"/>
          <w:szCs w:val="22"/>
        </w:rPr>
        <w:t xml:space="preserve">2148-2149, 2012. </w:t>
      </w:r>
    </w:p>
    <w:p w14:paraId="3E77DFEF" w14:textId="77777777" w:rsidR="003B43FF" w:rsidRPr="004F2163" w:rsidRDefault="003B43FF" w:rsidP="003B43FF">
      <w:pPr>
        <w:spacing w:line="240" w:lineRule="auto"/>
        <w:jc w:val="both"/>
        <w:rPr>
          <w:rFonts w:cs="Times New Roman"/>
          <w:sz w:val="22"/>
          <w:szCs w:val="22"/>
          <w:lang w:val="fr-BE"/>
        </w:rPr>
      </w:pPr>
    </w:p>
    <w:p w14:paraId="17D6AB0B" w14:textId="77777777" w:rsidR="003B43FF" w:rsidRPr="00875C96" w:rsidRDefault="002D4472" w:rsidP="003B43FF">
      <w:pPr>
        <w:spacing w:line="240" w:lineRule="auto"/>
        <w:jc w:val="both"/>
        <w:rPr>
          <w:rFonts w:cs="Times New Roman"/>
          <w:color w:val="FF0000"/>
          <w:sz w:val="22"/>
          <w:szCs w:val="22"/>
          <w:lang w:val="fr-BE"/>
        </w:rPr>
      </w:pPr>
      <w:r w:rsidRPr="00B246CC">
        <w:rPr>
          <w:rFonts w:cs="Times New Roman"/>
          <w:sz w:val="22"/>
          <w:szCs w:val="22"/>
          <w:lang w:val="fr-BE"/>
        </w:rPr>
        <w:t xml:space="preserve">De Prest, E., Geeroms, H. &amp; Langenus, G., « Nouvelles évolutions de la gouvernance économique de l’Union européenne », </w:t>
      </w:r>
      <w:r w:rsidRPr="00B246CC">
        <w:rPr>
          <w:rFonts w:cs="Times New Roman"/>
          <w:i/>
          <w:sz w:val="22"/>
          <w:szCs w:val="22"/>
          <w:lang w:val="fr-BE"/>
        </w:rPr>
        <w:t>Revue économique</w:t>
      </w:r>
      <w:r w:rsidRPr="00EA773E">
        <w:rPr>
          <w:rFonts w:cs="Times New Roman"/>
          <w:sz w:val="22"/>
          <w:szCs w:val="22"/>
          <w:lang w:val="fr-BE"/>
        </w:rPr>
        <w:t>, n° 1, 2012, pp. 103-123.</w:t>
      </w:r>
    </w:p>
    <w:p w14:paraId="216C88F5" w14:textId="77777777" w:rsidR="00952622" w:rsidRPr="004F2163" w:rsidRDefault="00952622" w:rsidP="00952622">
      <w:pPr>
        <w:spacing w:line="240" w:lineRule="auto"/>
        <w:jc w:val="both"/>
        <w:rPr>
          <w:rFonts w:cs="Times New Roman"/>
          <w:sz w:val="22"/>
          <w:szCs w:val="22"/>
        </w:rPr>
      </w:pPr>
    </w:p>
    <w:p w14:paraId="5BCEEF2D" w14:textId="77777777" w:rsidR="00952622" w:rsidRPr="004F2163" w:rsidRDefault="00952622" w:rsidP="00952622">
      <w:pPr>
        <w:spacing w:line="240" w:lineRule="auto"/>
        <w:jc w:val="both"/>
        <w:rPr>
          <w:rFonts w:cs="Times New Roman"/>
          <w:sz w:val="22"/>
          <w:szCs w:val="22"/>
          <w:lang w:val="en-US" w:eastAsia="en-US"/>
        </w:rPr>
      </w:pPr>
      <w:r w:rsidRPr="00B246CC">
        <w:rPr>
          <w:rFonts w:eastAsiaTheme="minorHAnsi" w:cs="Times New Roman"/>
          <w:sz w:val="22"/>
          <w:szCs w:val="22"/>
          <w:lang w:val="en-US" w:eastAsia="en-US"/>
        </w:rPr>
        <w:t>Deschouwer</w:t>
      </w:r>
      <w:r w:rsidRPr="00B246CC">
        <w:rPr>
          <w:rFonts w:cs="Times New Roman"/>
          <w:sz w:val="22"/>
          <w:szCs w:val="22"/>
          <w:lang w:val="en-US"/>
        </w:rPr>
        <w:t xml:space="preserve">, </w:t>
      </w:r>
      <w:r w:rsidRPr="00B246CC">
        <w:rPr>
          <w:rFonts w:eastAsiaTheme="minorHAnsi" w:cs="Times New Roman"/>
          <w:smallCaps/>
          <w:sz w:val="22"/>
          <w:szCs w:val="22"/>
          <w:lang w:val="en-US" w:eastAsia="en-US"/>
        </w:rPr>
        <w:t>K</w:t>
      </w:r>
      <w:r w:rsidRPr="00B246CC">
        <w:rPr>
          <w:rFonts w:cs="Times New Roman"/>
          <w:sz w:val="22"/>
          <w:szCs w:val="22"/>
          <w:lang w:val="en-US"/>
        </w:rPr>
        <w:t>., « </w:t>
      </w:r>
      <w:r w:rsidRPr="00B246CC">
        <w:rPr>
          <w:rFonts w:cs="Times New Roman"/>
          <w:sz w:val="22"/>
          <w:szCs w:val="22"/>
          <w:lang w:val="en-US" w:eastAsia="en-US"/>
        </w:rPr>
        <w:t>Coalition Formation and Congruence in a Multi-layered Setting: Belgium 1995–2008</w:t>
      </w:r>
      <w:r w:rsidRPr="00B246CC">
        <w:rPr>
          <w:rFonts w:cs="Times New Roman"/>
          <w:sz w:val="22"/>
          <w:szCs w:val="22"/>
          <w:lang w:val="en-US"/>
        </w:rPr>
        <w:t> »</w:t>
      </w:r>
      <w:r w:rsidRPr="00B246CC">
        <w:rPr>
          <w:rFonts w:cs="Times New Roman"/>
          <w:sz w:val="22"/>
          <w:szCs w:val="22"/>
          <w:lang w:val="en-US" w:eastAsia="en-US"/>
        </w:rPr>
        <w:t xml:space="preserve">, </w:t>
      </w:r>
      <w:r w:rsidRPr="00B246CC">
        <w:rPr>
          <w:rFonts w:cs="Times New Roman"/>
          <w:i/>
          <w:sz w:val="22"/>
          <w:szCs w:val="22"/>
          <w:lang w:val="en-US" w:eastAsia="en-US"/>
        </w:rPr>
        <w:t>Regional &amp; Federal Studies</w:t>
      </w:r>
      <w:r w:rsidRPr="00B246CC">
        <w:rPr>
          <w:rFonts w:cs="Times New Roman"/>
          <w:sz w:val="22"/>
          <w:szCs w:val="22"/>
          <w:lang w:val="en-US" w:eastAsia="en-US"/>
        </w:rPr>
        <w:t>, 19 (1), 2009, pp. 13-35.</w:t>
      </w:r>
    </w:p>
    <w:p w14:paraId="2CBA78D3" w14:textId="77777777" w:rsidR="003B43FF" w:rsidRPr="00952622" w:rsidRDefault="003B43FF" w:rsidP="003B43FF">
      <w:pPr>
        <w:spacing w:line="240" w:lineRule="auto"/>
        <w:jc w:val="both"/>
        <w:rPr>
          <w:rFonts w:cs="Times New Roman"/>
          <w:sz w:val="22"/>
          <w:szCs w:val="22"/>
          <w:lang w:val="en-US"/>
        </w:rPr>
      </w:pPr>
    </w:p>
    <w:p w14:paraId="08BA0A93" w14:textId="77777777" w:rsidR="003B43FF" w:rsidRPr="004F2163" w:rsidRDefault="002D4472" w:rsidP="003B43FF">
      <w:pPr>
        <w:spacing w:line="240" w:lineRule="auto"/>
        <w:jc w:val="both"/>
        <w:rPr>
          <w:rFonts w:cs="Times New Roman"/>
          <w:sz w:val="22"/>
          <w:szCs w:val="22"/>
          <w:lang w:val="en-US"/>
        </w:rPr>
      </w:pPr>
      <w:r w:rsidRPr="00B246CC">
        <w:rPr>
          <w:rFonts w:cs="Times New Roman"/>
          <w:sz w:val="22"/>
          <w:szCs w:val="22"/>
          <w:lang w:val="en-US"/>
        </w:rPr>
        <w:t xml:space="preserve">Fonds monétaire international, « The Functions and Impact of Fiscal Councils », </w:t>
      </w:r>
      <w:hyperlink r:id="rId14" w:history="1">
        <w:r w:rsidR="001B579A">
          <w:rPr>
            <w:rStyle w:val="Lienhypertexte"/>
            <w:rFonts w:eastAsiaTheme="majorEastAsia" w:cs="Times New Roman"/>
            <w:sz w:val="22"/>
            <w:szCs w:val="22"/>
            <w:lang w:val="en-US"/>
          </w:rPr>
          <w:t>www.imf.org/external/np/pp/eng/2013/071613.pdf</w:t>
        </w:r>
      </w:hyperlink>
      <w:r w:rsidRPr="00B246CC">
        <w:rPr>
          <w:rFonts w:cs="Times New Roman"/>
          <w:sz w:val="22"/>
          <w:szCs w:val="22"/>
          <w:lang w:val="en-US"/>
        </w:rPr>
        <w:t>, 2013.</w:t>
      </w:r>
    </w:p>
    <w:p w14:paraId="64346DA9" w14:textId="77777777" w:rsidR="003B43FF" w:rsidRPr="004F2163" w:rsidRDefault="003B43FF" w:rsidP="003B43FF">
      <w:pPr>
        <w:spacing w:line="240" w:lineRule="auto"/>
        <w:jc w:val="both"/>
        <w:rPr>
          <w:rFonts w:cs="Times New Roman"/>
          <w:sz w:val="22"/>
          <w:szCs w:val="22"/>
          <w:lang w:val="en-US"/>
        </w:rPr>
      </w:pPr>
    </w:p>
    <w:p w14:paraId="4A5FD871" w14:textId="77777777" w:rsidR="003B43FF" w:rsidRPr="004F2163" w:rsidRDefault="002D4472" w:rsidP="003B43FF">
      <w:pPr>
        <w:autoSpaceDE w:val="0"/>
        <w:autoSpaceDN w:val="0"/>
        <w:adjustRightInd w:val="0"/>
        <w:spacing w:line="240" w:lineRule="auto"/>
        <w:jc w:val="both"/>
        <w:rPr>
          <w:rFonts w:cs="Times New Roman"/>
          <w:sz w:val="22"/>
          <w:szCs w:val="22"/>
        </w:rPr>
      </w:pPr>
      <w:r w:rsidRPr="00B246CC">
        <w:rPr>
          <w:rFonts w:cs="Times New Roman"/>
          <w:sz w:val="22"/>
          <w:szCs w:val="22"/>
        </w:rPr>
        <w:t xml:space="preserve">Friedberg, E., « L’entretien dans l’approche organisationnelle de l’action collective : les cas des universités et des politiques culturelles municipales », in Cohen, S. (dir.), </w:t>
      </w:r>
      <w:r w:rsidRPr="00B246CC">
        <w:rPr>
          <w:rFonts w:cs="Times New Roman"/>
          <w:i/>
          <w:iCs/>
          <w:sz w:val="22"/>
          <w:szCs w:val="22"/>
        </w:rPr>
        <w:t>L’art d’interviewer les dirigeants</w:t>
      </w:r>
      <w:r w:rsidRPr="00B246CC">
        <w:rPr>
          <w:rFonts w:cs="Times New Roman"/>
          <w:sz w:val="22"/>
          <w:szCs w:val="22"/>
        </w:rPr>
        <w:t>, Paris, PUF, 1999, pp. 85-106.</w:t>
      </w:r>
    </w:p>
    <w:p w14:paraId="59FF3E0B" w14:textId="77777777" w:rsidR="003B43FF" w:rsidRPr="004F2163" w:rsidRDefault="003B43FF" w:rsidP="003B43FF">
      <w:pPr>
        <w:autoSpaceDE w:val="0"/>
        <w:autoSpaceDN w:val="0"/>
        <w:adjustRightInd w:val="0"/>
        <w:spacing w:line="240" w:lineRule="auto"/>
        <w:jc w:val="both"/>
        <w:rPr>
          <w:rFonts w:cs="Times New Roman"/>
          <w:sz w:val="22"/>
          <w:szCs w:val="22"/>
        </w:rPr>
      </w:pPr>
    </w:p>
    <w:p w14:paraId="2FFC016A" w14:textId="721D8C8F" w:rsidR="003B43FF" w:rsidRPr="004F2163" w:rsidRDefault="002D4472" w:rsidP="003B43FF">
      <w:pPr>
        <w:autoSpaceDE w:val="0"/>
        <w:autoSpaceDN w:val="0"/>
        <w:adjustRightInd w:val="0"/>
        <w:spacing w:line="240" w:lineRule="auto"/>
        <w:jc w:val="both"/>
        <w:rPr>
          <w:rFonts w:cs="Times New Roman"/>
          <w:sz w:val="22"/>
          <w:szCs w:val="22"/>
        </w:rPr>
      </w:pPr>
      <w:r w:rsidRPr="00B246CC">
        <w:rPr>
          <w:rFonts w:cs="Times New Roman"/>
          <w:sz w:val="22"/>
          <w:szCs w:val="22"/>
        </w:rPr>
        <w:t xml:space="preserve">Gouvernement fédéral, </w:t>
      </w:r>
      <w:r w:rsidRPr="00B246CC">
        <w:rPr>
          <w:rFonts w:cs="Times New Roman"/>
          <w:i/>
          <w:sz w:val="22"/>
          <w:szCs w:val="22"/>
        </w:rPr>
        <w:t>Accord de gouvernement</w:t>
      </w:r>
      <w:r w:rsidRPr="00B246CC">
        <w:rPr>
          <w:rFonts w:cs="Times New Roman"/>
          <w:sz w:val="22"/>
          <w:szCs w:val="22"/>
        </w:rPr>
        <w:t xml:space="preserve">, </w:t>
      </w:r>
      <w:r w:rsidRPr="00B246CC">
        <w:rPr>
          <w:rFonts w:cs="Times New Roman"/>
          <w:i/>
          <w:sz w:val="22"/>
          <w:szCs w:val="22"/>
        </w:rPr>
        <w:t xml:space="preserve">Doc. </w:t>
      </w:r>
      <w:proofErr w:type="gramStart"/>
      <w:r w:rsidRPr="00B246CC">
        <w:rPr>
          <w:rFonts w:cs="Times New Roman"/>
          <w:i/>
          <w:sz w:val="22"/>
          <w:szCs w:val="22"/>
        </w:rPr>
        <w:t>parl</w:t>
      </w:r>
      <w:r w:rsidRPr="00B246CC">
        <w:rPr>
          <w:rFonts w:cs="Times New Roman"/>
          <w:sz w:val="22"/>
          <w:szCs w:val="22"/>
        </w:rPr>
        <w:t>.,</w:t>
      </w:r>
      <w:proofErr w:type="gramEnd"/>
      <w:r w:rsidRPr="00B246CC">
        <w:rPr>
          <w:rFonts w:cs="Times New Roman"/>
          <w:sz w:val="22"/>
          <w:szCs w:val="22"/>
        </w:rPr>
        <w:t xml:space="preserve"> Chambre, 1991-1992, n</w:t>
      </w:r>
      <w:r w:rsidR="00875C96">
        <w:rPr>
          <w:rFonts w:cs="Times New Roman"/>
          <w:sz w:val="22"/>
          <w:szCs w:val="22"/>
        </w:rPr>
        <w:t>°</w:t>
      </w:r>
      <w:r w:rsidRPr="00B246CC">
        <w:rPr>
          <w:rFonts w:cs="Times New Roman"/>
          <w:sz w:val="22"/>
          <w:szCs w:val="22"/>
        </w:rPr>
        <w:t> 290/1, 9 mars 1992.</w:t>
      </w:r>
    </w:p>
    <w:p w14:paraId="71CF1C0B" w14:textId="77777777" w:rsidR="003B43FF" w:rsidRPr="004F2163" w:rsidRDefault="003B43FF" w:rsidP="003B43FF">
      <w:pPr>
        <w:autoSpaceDE w:val="0"/>
        <w:autoSpaceDN w:val="0"/>
        <w:adjustRightInd w:val="0"/>
        <w:spacing w:line="240" w:lineRule="auto"/>
        <w:jc w:val="both"/>
        <w:rPr>
          <w:rFonts w:cs="Times New Roman"/>
          <w:sz w:val="22"/>
          <w:szCs w:val="22"/>
        </w:rPr>
      </w:pPr>
    </w:p>
    <w:p w14:paraId="3173B859" w14:textId="77777777" w:rsidR="003B43FF" w:rsidRPr="004F2163" w:rsidRDefault="002D4472" w:rsidP="003B43FF">
      <w:pPr>
        <w:autoSpaceDE w:val="0"/>
        <w:autoSpaceDN w:val="0"/>
        <w:adjustRightInd w:val="0"/>
        <w:spacing w:line="240" w:lineRule="auto"/>
        <w:jc w:val="both"/>
        <w:rPr>
          <w:rFonts w:cs="Times New Roman"/>
          <w:sz w:val="22"/>
          <w:szCs w:val="22"/>
        </w:rPr>
      </w:pPr>
      <w:r w:rsidRPr="00B246CC">
        <w:rPr>
          <w:rFonts w:cs="Times New Roman"/>
          <w:sz w:val="22"/>
          <w:szCs w:val="22"/>
          <w:lang w:val="fr-BE"/>
        </w:rPr>
        <w:t xml:space="preserve">Gouvernement fédéral, </w:t>
      </w:r>
      <w:r w:rsidRPr="00B246CC">
        <w:rPr>
          <w:rFonts w:cs="Times New Roman"/>
          <w:i/>
          <w:sz w:val="22"/>
          <w:szCs w:val="22"/>
        </w:rPr>
        <w:t>Accord de Gouvernement du 1</w:t>
      </w:r>
      <w:r w:rsidRPr="00B246CC">
        <w:rPr>
          <w:rFonts w:cs="Times New Roman"/>
          <w:i/>
          <w:sz w:val="22"/>
          <w:szCs w:val="22"/>
          <w:vertAlign w:val="superscript"/>
        </w:rPr>
        <w:t>er</w:t>
      </w:r>
      <w:r w:rsidRPr="00B246CC">
        <w:rPr>
          <w:rFonts w:cs="Times New Roman"/>
          <w:i/>
          <w:sz w:val="22"/>
          <w:szCs w:val="22"/>
        </w:rPr>
        <w:t xml:space="preserve"> décembre 2011</w:t>
      </w:r>
      <w:r w:rsidRPr="00B246CC">
        <w:rPr>
          <w:rFonts w:cs="Times New Roman"/>
          <w:sz w:val="22"/>
          <w:szCs w:val="22"/>
        </w:rPr>
        <w:t xml:space="preserve">, </w:t>
      </w:r>
      <w:hyperlink r:id="rId15" w:history="1">
        <w:r w:rsidR="001B579A">
          <w:rPr>
            <w:rStyle w:val="Lienhypertexte"/>
            <w:rFonts w:cs="Times New Roman"/>
            <w:sz w:val="22"/>
            <w:szCs w:val="22"/>
          </w:rPr>
          <w:t>http://premier.fgov.be/ fr/accord-de-gouvernement</w:t>
        </w:r>
      </w:hyperlink>
      <w:r w:rsidRPr="00B246CC">
        <w:rPr>
          <w:rFonts w:cs="Times New Roman"/>
          <w:sz w:val="22"/>
          <w:szCs w:val="22"/>
        </w:rPr>
        <w:t>.</w:t>
      </w:r>
    </w:p>
    <w:p w14:paraId="3F740CF8" w14:textId="77777777" w:rsidR="003B43FF" w:rsidRPr="004F2163" w:rsidRDefault="003B43FF" w:rsidP="003B43FF">
      <w:pPr>
        <w:autoSpaceDE w:val="0"/>
        <w:autoSpaceDN w:val="0"/>
        <w:adjustRightInd w:val="0"/>
        <w:spacing w:line="240" w:lineRule="auto"/>
        <w:jc w:val="both"/>
        <w:rPr>
          <w:rFonts w:cs="Times New Roman"/>
          <w:sz w:val="22"/>
          <w:szCs w:val="22"/>
        </w:rPr>
      </w:pPr>
    </w:p>
    <w:p w14:paraId="62224961"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lang w:val="fr-BE"/>
        </w:rPr>
        <w:t xml:space="preserve">Govaert, S., </w:t>
      </w:r>
      <w:r w:rsidRPr="00B246CC">
        <w:rPr>
          <w:rFonts w:cs="Times New Roman"/>
          <w:sz w:val="22"/>
          <w:szCs w:val="22"/>
        </w:rPr>
        <w:t xml:space="preserve">« les négociations communautaires et la formation du gouvernement Di Rupo (juin 2010-décembre 2011), </w:t>
      </w:r>
      <w:r w:rsidRPr="00B246CC">
        <w:rPr>
          <w:rFonts w:cs="Times New Roman"/>
          <w:i/>
          <w:sz w:val="22"/>
          <w:szCs w:val="22"/>
        </w:rPr>
        <w:t>Courrier hebdomadaire du CRISP</w:t>
      </w:r>
      <w:r w:rsidRPr="00B246CC">
        <w:rPr>
          <w:rFonts w:cs="Times New Roman"/>
          <w:sz w:val="22"/>
          <w:szCs w:val="22"/>
        </w:rPr>
        <w:t>, n</w:t>
      </w:r>
      <w:r w:rsidRPr="00B246CC">
        <w:rPr>
          <w:rFonts w:cs="Times New Roman"/>
          <w:sz w:val="22"/>
          <w:szCs w:val="22"/>
          <w:vertAlign w:val="superscript"/>
        </w:rPr>
        <w:t>os</w:t>
      </w:r>
      <w:r w:rsidRPr="00B246CC">
        <w:rPr>
          <w:rFonts w:cs="Times New Roman"/>
          <w:sz w:val="22"/>
          <w:szCs w:val="22"/>
        </w:rPr>
        <w:t xml:space="preserve"> 2144-2145, 2012.</w:t>
      </w:r>
    </w:p>
    <w:p w14:paraId="5865EC6C" w14:textId="77777777" w:rsidR="003B43FF" w:rsidRPr="004F2163" w:rsidRDefault="003B43FF" w:rsidP="003B43FF">
      <w:pPr>
        <w:spacing w:line="240" w:lineRule="auto"/>
        <w:jc w:val="both"/>
        <w:rPr>
          <w:rFonts w:cs="Times New Roman"/>
          <w:sz w:val="22"/>
          <w:szCs w:val="22"/>
          <w:lang w:val="fr-BE"/>
        </w:rPr>
      </w:pPr>
    </w:p>
    <w:p w14:paraId="592BD16F" w14:textId="77777777" w:rsidR="003B43FF" w:rsidRPr="004F2163" w:rsidRDefault="002D4472" w:rsidP="003B43FF">
      <w:pPr>
        <w:spacing w:line="240" w:lineRule="auto"/>
        <w:jc w:val="both"/>
        <w:rPr>
          <w:rFonts w:cs="Times New Roman"/>
          <w:sz w:val="22"/>
          <w:szCs w:val="22"/>
          <w:lang w:val="en-US" w:eastAsia="en-US"/>
        </w:rPr>
      </w:pPr>
      <w:r w:rsidRPr="00B246CC">
        <w:rPr>
          <w:rFonts w:cs="Times New Roman"/>
          <w:sz w:val="22"/>
          <w:szCs w:val="22"/>
          <w:lang w:val="en-US" w:eastAsia="en-US"/>
        </w:rPr>
        <w:lastRenderedPageBreak/>
        <w:t xml:space="preserve">Hagemann, R., « How Can Fiscal Councils Strengthen Fiscal Performance? », </w:t>
      </w:r>
      <w:r w:rsidRPr="00B246CC">
        <w:rPr>
          <w:rFonts w:cs="Times New Roman"/>
          <w:i/>
          <w:iCs/>
          <w:sz w:val="22"/>
          <w:szCs w:val="22"/>
          <w:lang w:val="en-US" w:eastAsia="en-US"/>
        </w:rPr>
        <w:t xml:space="preserve">OECD Journal: Economic </w:t>
      </w:r>
      <w:r w:rsidRPr="00EA773E">
        <w:rPr>
          <w:rFonts w:cs="Times New Roman"/>
          <w:i/>
          <w:iCs/>
          <w:sz w:val="22"/>
          <w:szCs w:val="22"/>
          <w:lang w:val="en-US" w:eastAsia="en-US"/>
        </w:rPr>
        <w:t>Studies</w:t>
      </w:r>
      <w:r w:rsidRPr="00EA773E">
        <w:rPr>
          <w:rFonts w:cs="Times New Roman"/>
          <w:sz w:val="22"/>
          <w:szCs w:val="22"/>
          <w:lang w:val="en-US" w:eastAsia="en-US"/>
        </w:rPr>
        <w:t xml:space="preserve">, vol. </w:t>
      </w:r>
      <w:proofErr w:type="gramStart"/>
      <w:r w:rsidRPr="00EA773E">
        <w:rPr>
          <w:rFonts w:cs="Times New Roman"/>
          <w:sz w:val="22"/>
          <w:szCs w:val="22"/>
          <w:lang w:val="en-US" w:eastAsia="en-US"/>
        </w:rPr>
        <w:t>1.,</w:t>
      </w:r>
      <w:proofErr w:type="gramEnd"/>
      <w:r w:rsidRPr="00EA773E">
        <w:rPr>
          <w:rFonts w:cs="Times New Roman"/>
          <w:sz w:val="22"/>
          <w:szCs w:val="22"/>
          <w:lang w:val="en-US" w:eastAsia="en-US"/>
        </w:rPr>
        <w:t xml:space="preserve"> 2011</w:t>
      </w:r>
      <w:r w:rsidRPr="00B246CC">
        <w:rPr>
          <w:rFonts w:cs="Times New Roman"/>
          <w:sz w:val="22"/>
          <w:szCs w:val="22"/>
          <w:lang w:val="en-US" w:eastAsia="en-US"/>
        </w:rPr>
        <w:t>, pp. 75-98.</w:t>
      </w:r>
    </w:p>
    <w:p w14:paraId="010E863D" w14:textId="77777777" w:rsidR="003B43FF" w:rsidRPr="004F2163" w:rsidRDefault="003B43FF" w:rsidP="003B43FF">
      <w:pPr>
        <w:spacing w:line="240" w:lineRule="auto"/>
        <w:jc w:val="both"/>
        <w:rPr>
          <w:rFonts w:cs="Times New Roman"/>
          <w:sz w:val="22"/>
          <w:szCs w:val="22"/>
          <w:lang w:val="en-US"/>
        </w:rPr>
      </w:pPr>
    </w:p>
    <w:p w14:paraId="25408FC1" w14:textId="77777777" w:rsidR="003B43FF" w:rsidRPr="004F2163" w:rsidRDefault="002D4472" w:rsidP="003B43FF">
      <w:pPr>
        <w:spacing w:line="240" w:lineRule="auto"/>
        <w:jc w:val="both"/>
        <w:rPr>
          <w:rFonts w:cs="Times New Roman"/>
          <w:sz w:val="22"/>
          <w:szCs w:val="22"/>
          <w:lang w:val="fr-BE"/>
        </w:rPr>
      </w:pPr>
      <w:r w:rsidRPr="00B246CC">
        <w:rPr>
          <w:rFonts w:cs="Times New Roman"/>
          <w:sz w:val="22"/>
          <w:szCs w:val="22"/>
          <w:lang w:val="fr-BE"/>
        </w:rPr>
        <w:t xml:space="preserve">Kaufmann, J.-C., </w:t>
      </w:r>
      <w:r w:rsidRPr="00B246CC">
        <w:rPr>
          <w:rFonts w:cs="Times New Roman"/>
          <w:i/>
          <w:sz w:val="22"/>
          <w:szCs w:val="22"/>
          <w:lang w:val="fr-BE"/>
        </w:rPr>
        <w:t>L’entretien compréhensif</w:t>
      </w:r>
      <w:r w:rsidRPr="00B246CC">
        <w:rPr>
          <w:rFonts w:cs="Times New Roman"/>
          <w:sz w:val="22"/>
          <w:szCs w:val="22"/>
          <w:lang w:val="fr-BE"/>
        </w:rPr>
        <w:t>, Paris, Armand Colin, 2011.</w:t>
      </w:r>
    </w:p>
    <w:p w14:paraId="38D79E6E" w14:textId="77777777" w:rsidR="00C34097" w:rsidRPr="004F2163" w:rsidRDefault="00C34097" w:rsidP="003B43FF">
      <w:pPr>
        <w:spacing w:line="240" w:lineRule="auto"/>
        <w:jc w:val="both"/>
        <w:rPr>
          <w:rFonts w:cs="Times New Roman"/>
          <w:sz w:val="22"/>
          <w:szCs w:val="22"/>
          <w:lang w:val="fr-BE"/>
        </w:rPr>
      </w:pPr>
    </w:p>
    <w:p w14:paraId="42E5B398" w14:textId="77777777" w:rsidR="003B43FF" w:rsidRPr="004F2163" w:rsidRDefault="002D4472" w:rsidP="003B43FF">
      <w:pPr>
        <w:spacing w:line="240" w:lineRule="auto"/>
        <w:jc w:val="both"/>
        <w:rPr>
          <w:rFonts w:cs="Times New Roman"/>
          <w:sz w:val="22"/>
          <w:szCs w:val="22"/>
          <w:lang w:val="en-US"/>
        </w:rPr>
      </w:pPr>
      <w:r w:rsidRPr="00B246CC">
        <w:rPr>
          <w:rFonts w:cs="Times New Roman"/>
          <w:sz w:val="22"/>
          <w:szCs w:val="22"/>
          <w:lang w:val="en-US"/>
        </w:rPr>
        <w:t xml:space="preserve">Kopits, G. (ed.), </w:t>
      </w:r>
      <w:r w:rsidRPr="00B246CC">
        <w:rPr>
          <w:rFonts w:cs="Times New Roman"/>
          <w:i/>
          <w:iCs/>
          <w:sz w:val="22"/>
          <w:szCs w:val="22"/>
          <w:lang w:val="en-US"/>
        </w:rPr>
        <w:t>Restoring Public Debt Sustainability: The Role of Independent Fiscal Institutions</w:t>
      </w:r>
      <w:r w:rsidRPr="00B246CC">
        <w:rPr>
          <w:rFonts w:cs="Times New Roman"/>
          <w:sz w:val="22"/>
          <w:szCs w:val="22"/>
          <w:lang w:val="en-US"/>
        </w:rPr>
        <w:t>, Oxford, Oxford University Press, 2013.</w:t>
      </w:r>
    </w:p>
    <w:p w14:paraId="0127B746" w14:textId="77777777" w:rsidR="003B43FF" w:rsidRPr="004F2163" w:rsidRDefault="003B43FF" w:rsidP="003B43FF">
      <w:pPr>
        <w:spacing w:line="240" w:lineRule="auto"/>
        <w:jc w:val="both"/>
        <w:rPr>
          <w:rFonts w:cs="Times New Roman"/>
          <w:sz w:val="22"/>
          <w:szCs w:val="22"/>
          <w:lang w:val="en-US"/>
        </w:rPr>
      </w:pPr>
    </w:p>
    <w:p w14:paraId="6BAE9EDE"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Loi spéciale du 16 janvier 1989 relative au financement des Communautés et des Régions (M.B. du 17 janvier 1989).</w:t>
      </w:r>
    </w:p>
    <w:p w14:paraId="25118B75" w14:textId="77777777" w:rsidR="003B43FF" w:rsidRPr="004F2163" w:rsidRDefault="003B43FF" w:rsidP="003B43FF">
      <w:pPr>
        <w:spacing w:line="240" w:lineRule="auto"/>
        <w:jc w:val="both"/>
        <w:rPr>
          <w:rFonts w:cs="Times New Roman"/>
          <w:sz w:val="22"/>
          <w:szCs w:val="22"/>
        </w:rPr>
      </w:pPr>
    </w:p>
    <w:p w14:paraId="2D1FE098" w14:textId="77777777" w:rsidR="003B43FF" w:rsidRPr="004F2163" w:rsidRDefault="002D4472" w:rsidP="003B43FF">
      <w:pPr>
        <w:spacing w:line="240" w:lineRule="auto"/>
        <w:jc w:val="both"/>
        <w:rPr>
          <w:rFonts w:cs="Times New Roman"/>
          <w:bCs/>
          <w:sz w:val="22"/>
          <w:szCs w:val="22"/>
          <w:lang w:val="fr-BE"/>
        </w:rPr>
      </w:pPr>
      <w:r w:rsidRPr="00B246CC">
        <w:rPr>
          <w:rFonts w:cs="Times New Roman"/>
          <w:sz w:val="22"/>
          <w:szCs w:val="22"/>
          <w:lang w:val="fr-BE"/>
        </w:rPr>
        <w:t xml:space="preserve">Loi du 5 septembre 2001 </w:t>
      </w:r>
      <w:r w:rsidRPr="00B246CC">
        <w:rPr>
          <w:rFonts w:cs="Times New Roman"/>
          <w:bCs/>
          <w:sz w:val="22"/>
          <w:szCs w:val="22"/>
          <w:lang w:val="fr-BE"/>
        </w:rPr>
        <w:t>portant garantie d’une réduction continue de la dette publique et création d’un Fonds de vieillissement (M.B. du 14 septembre 2001).</w:t>
      </w:r>
    </w:p>
    <w:p w14:paraId="3AF7FFEF" w14:textId="77777777" w:rsidR="003B43FF" w:rsidRPr="004F2163" w:rsidRDefault="003B43FF" w:rsidP="003B43FF">
      <w:pPr>
        <w:spacing w:line="240" w:lineRule="auto"/>
        <w:jc w:val="both"/>
        <w:rPr>
          <w:rFonts w:cs="Times New Roman"/>
          <w:sz w:val="22"/>
          <w:szCs w:val="22"/>
          <w:lang w:val="fr-BE"/>
        </w:rPr>
      </w:pPr>
    </w:p>
    <w:p w14:paraId="5722500F" w14:textId="77777777" w:rsidR="003B43FF" w:rsidRPr="004F2163" w:rsidRDefault="002D4472" w:rsidP="003B43FF">
      <w:pPr>
        <w:spacing w:line="240" w:lineRule="auto"/>
        <w:jc w:val="both"/>
        <w:rPr>
          <w:rFonts w:cs="Times New Roman"/>
          <w:sz w:val="22"/>
          <w:szCs w:val="22"/>
          <w:lang w:val="en-US"/>
        </w:rPr>
      </w:pPr>
      <w:r w:rsidRPr="00B246CC">
        <w:rPr>
          <w:rFonts w:cs="Times New Roman"/>
          <w:sz w:val="22"/>
          <w:szCs w:val="22"/>
          <w:lang w:val="en-US"/>
        </w:rPr>
        <w:t xml:space="preserve">Nautet, M. &amp; Van Meensel, L., « Main developments in public finance », in de Callataÿ, É. &amp; Thys-Clément, F. (éds.), </w:t>
      </w:r>
      <w:r w:rsidRPr="00B246CC">
        <w:rPr>
          <w:rFonts w:cs="Times New Roman"/>
          <w:i/>
          <w:iCs/>
          <w:sz w:val="22"/>
          <w:szCs w:val="22"/>
          <w:lang w:val="en-US"/>
        </w:rPr>
        <w:t xml:space="preserve">The return of the deficit, </w:t>
      </w:r>
      <w:r w:rsidRPr="00B246CC">
        <w:rPr>
          <w:rFonts w:cs="Times New Roman"/>
          <w:sz w:val="22"/>
          <w:szCs w:val="22"/>
          <w:lang w:val="en-US"/>
        </w:rPr>
        <w:t xml:space="preserve">Leuven, Leuven University Press, 2012a, pp. 51-64. </w:t>
      </w:r>
    </w:p>
    <w:p w14:paraId="5A66404A" w14:textId="77777777" w:rsidR="003B43FF" w:rsidRPr="004F2163" w:rsidRDefault="003B43FF" w:rsidP="003B43FF">
      <w:pPr>
        <w:spacing w:line="240" w:lineRule="auto"/>
        <w:jc w:val="both"/>
        <w:rPr>
          <w:rFonts w:cs="Times New Roman"/>
          <w:sz w:val="22"/>
          <w:szCs w:val="22"/>
          <w:lang w:val="en-US"/>
        </w:rPr>
      </w:pPr>
    </w:p>
    <w:p w14:paraId="1FBD45DB" w14:textId="77777777" w:rsidR="003B43FF" w:rsidRPr="004F2163" w:rsidRDefault="002D4472" w:rsidP="003B43FF">
      <w:pPr>
        <w:spacing w:line="240" w:lineRule="auto"/>
        <w:jc w:val="both"/>
        <w:rPr>
          <w:rFonts w:cs="Times New Roman"/>
          <w:sz w:val="22"/>
          <w:szCs w:val="22"/>
          <w:lang w:val="en-US"/>
        </w:rPr>
      </w:pPr>
      <w:r w:rsidRPr="00B246CC">
        <w:rPr>
          <w:rFonts w:cs="Times New Roman"/>
          <w:sz w:val="22"/>
          <w:szCs w:val="22"/>
          <w:lang w:val="nl-BE"/>
        </w:rPr>
        <w:t xml:space="preserve">Nautet, M. &amp; Van Meensel, L., « Annex 2. </w:t>
      </w:r>
      <w:r w:rsidRPr="00B246CC">
        <w:rPr>
          <w:rFonts w:cs="Times New Roman"/>
          <w:sz w:val="22"/>
          <w:szCs w:val="22"/>
          <w:lang w:val="en-US"/>
        </w:rPr>
        <w:t xml:space="preserve">Statistical Overview », in de Callataÿ, É. &amp; Thys-Clément, F. (éds.), </w:t>
      </w:r>
      <w:proofErr w:type="gramStart"/>
      <w:r w:rsidRPr="00B246CC">
        <w:rPr>
          <w:rFonts w:cs="Times New Roman"/>
          <w:i/>
          <w:iCs/>
          <w:sz w:val="22"/>
          <w:szCs w:val="22"/>
          <w:lang w:val="en-US"/>
        </w:rPr>
        <w:t>The</w:t>
      </w:r>
      <w:proofErr w:type="gramEnd"/>
      <w:r w:rsidRPr="00B246CC">
        <w:rPr>
          <w:rFonts w:cs="Times New Roman"/>
          <w:i/>
          <w:iCs/>
          <w:sz w:val="22"/>
          <w:szCs w:val="22"/>
          <w:lang w:val="en-US"/>
        </w:rPr>
        <w:t xml:space="preserve"> return of the deficit, </w:t>
      </w:r>
      <w:r w:rsidRPr="00B246CC">
        <w:rPr>
          <w:rFonts w:cs="Times New Roman"/>
          <w:sz w:val="22"/>
          <w:szCs w:val="22"/>
          <w:lang w:val="en-US"/>
        </w:rPr>
        <w:t>Leuven, Leuven University Press, 2012b, pp. 303-317.</w:t>
      </w:r>
    </w:p>
    <w:p w14:paraId="3B2D9669" w14:textId="77777777" w:rsidR="003B43FF" w:rsidRPr="004F2163" w:rsidRDefault="003B43FF" w:rsidP="003B43FF">
      <w:pPr>
        <w:spacing w:line="240" w:lineRule="auto"/>
        <w:jc w:val="both"/>
        <w:rPr>
          <w:rFonts w:cs="Times New Roman"/>
          <w:sz w:val="22"/>
          <w:szCs w:val="22"/>
          <w:lang w:val="en-US"/>
        </w:rPr>
      </w:pPr>
    </w:p>
    <w:p w14:paraId="5EF0084B" w14:textId="77777777" w:rsidR="003B43FF" w:rsidRPr="004F2163" w:rsidRDefault="002D4472" w:rsidP="003B43FF">
      <w:pPr>
        <w:spacing w:line="240" w:lineRule="auto"/>
        <w:jc w:val="both"/>
        <w:rPr>
          <w:rFonts w:cs="Times New Roman"/>
          <w:sz w:val="22"/>
          <w:szCs w:val="22"/>
          <w:lang w:val="en-US"/>
        </w:rPr>
      </w:pPr>
      <w:r w:rsidRPr="00B246CC">
        <w:rPr>
          <w:rFonts w:cs="Times New Roman"/>
          <w:sz w:val="22"/>
          <w:szCs w:val="22"/>
          <w:lang w:val="en-US"/>
        </w:rPr>
        <w:t xml:space="preserve">Pierson, P., « Increasing Returns, Path Dependence, and the Study of Politics », </w:t>
      </w:r>
      <w:r w:rsidRPr="00B246CC">
        <w:rPr>
          <w:rFonts w:cs="Times New Roman"/>
          <w:i/>
          <w:sz w:val="22"/>
          <w:szCs w:val="22"/>
          <w:lang w:val="en-US"/>
        </w:rPr>
        <w:t>American Political Science Review</w:t>
      </w:r>
      <w:r w:rsidRPr="00B246CC">
        <w:rPr>
          <w:rFonts w:cs="Times New Roman"/>
          <w:sz w:val="22"/>
          <w:szCs w:val="22"/>
          <w:lang w:val="en-US"/>
        </w:rPr>
        <w:t xml:space="preserve">, 94 (2), 2000, pp. 251-267. </w:t>
      </w:r>
    </w:p>
    <w:p w14:paraId="397B1065" w14:textId="77777777" w:rsidR="003B43FF" w:rsidRPr="004F2163" w:rsidRDefault="003B43FF" w:rsidP="003B43FF">
      <w:pPr>
        <w:spacing w:line="240" w:lineRule="auto"/>
        <w:jc w:val="both"/>
        <w:rPr>
          <w:rFonts w:cs="Times New Roman"/>
          <w:sz w:val="22"/>
          <w:szCs w:val="22"/>
          <w:lang w:val="en-US"/>
        </w:rPr>
      </w:pPr>
    </w:p>
    <w:p w14:paraId="4130C2CA"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Pinson, G. &amp; Sala Pala, V., « Peut-on vraiment se passer de l’entretien en sociologie de l’action publique ? », </w:t>
      </w:r>
      <w:r w:rsidRPr="00B246CC">
        <w:rPr>
          <w:rFonts w:cs="Times New Roman"/>
          <w:i/>
          <w:sz w:val="22"/>
          <w:szCs w:val="22"/>
        </w:rPr>
        <w:t>Revue française de science politique</w:t>
      </w:r>
      <w:r w:rsidRPr="00B246CC">
        <w:rPr>
          <w:rFonts w:cs="Times New Roman"/>
          <w:sz w:val="22"/>
          <w:szCs w:val="22"/>
        </w:rPr>
        <w:t>, 57 (5), 2007, pp. 555-597.</w:t>
      </w:r>
    </w:p>
    <w:p w14:paraId="06AD9FE5" w14:textId="77777777" w:rsidR="003B43FF" w:rsidRPr="004F2163" w:rsidRDefault="003B43FF" w:rsidP="003B43FF">
      <w:pPr>
        <w:spacing w:line="240" w:lineRule="auto"/>
        <w:jc w:val="both"/>
        <w:rPr>
          <w:rFonts w:cs="Times New Roman"/>
          <w:sz w:val="22"/>
          <w:szCs w:val="22"/>
        </w:rPr>
      </w:pPr>
    </w:p>
    <w:p w14:paraId="4DDBC5DE"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Piron, D., « Le cadre institutionnel de l’assainissement des finances publiques », </w:t>
      </w:r>
      <w:r w:rsidRPr="00B246CC">
        <w:rPr>
          <w:rFonts w:cs="Times New Roman"/>
          <w:i/>
          <w:sz w:val="22"/>
          <w:szCs w:val="22"/>
        </w:rPr>
        <w:t>Bulletin de documentation</w:t>
      </w:r>
      <w:r w:rsidRPr="00B246CC">
        <w:rPr>
          <w:rFonts w:cs="Times New Roman"/>
          <w:sz w:val="22"/>
          <w:szCs w:val="22"/>
        </w:rPr>
        <w:t>, 73 (3), 2013</w:t>
      </w:r>
      <w:r w:rsidR="0036339B">
        <w:rPr>
          <w:rFonts w:cs="Times New Roman"/>
          <w:sz w:val="22"/>
          <w:szCs w:val="22"/>
        </w:rPr>
        <w:t>, pp. 139-180</w:t>
      </w:r>
      <w:r w:rsidRPr="00B246CC">
        <w:rPr>
          <w:rFonts w:cs="Times New Roman"/>
          <w:sz w:val="22"/>
          <w:szCs w:val="22"/>
        </w:rPr>
        <w:t>.</w:t>
      </w:r>
    </w:p>
    <w:p w14:paraId="0342BFE7" w14:textId="77777777" w:rsidR="003B43FF" w:rsidRPr="004F2163" w:rsidRDefault="003B43FF" w:rsidP="003B43FF">
      <w:pPr>
        <w:spacing w:line="240" w:lineRule="auto"/>
        <w:jc w:val="both"/>
        <w:rPr>
          <w:rFonts w:cs="Times New Roman"/>
          <w:sz w:val="22"/>
          <w:szCs w:val="22"/>
        </w:rPr>
      </w:pPr>
    </w:p>
    <w:p w14:paraId="32C8A3C3" w14:textId="72A63552" w:rsidR="003B43FF" w:rsidRPr="004F2163" w:rsidRDefault="002D4472" w:rsidP="003B43FF">
      <w:pPr>
        <w:spacing w:line="240" w:lineRule="auto"/>
        <w:jc w:val="both"/>
        <w:rPr>
          <w:rFonts w:cs="Times New Roman"/>
          <w:sz w:val="22"/>
          <w:szCs w:val="22"/>
        </w:rPr>
      </w:pPr>
      <w:r w:rsidRPr="00B246CC">
        <w:rPr>
          <w:rFonts w:cs="Times New Roman"/>
          <w:sz w:val="22"/>
          <w:szCs w:val="22"/>
        </w:rPr>
        <w:t xml:space="preserve">Piron, D., « Politique budgétaire : gérer un système fédéral complexe », </w:t>
      </w:r>
      <w:r w:rsidRPr="00B246CC">
        <w:rPr>
          <w:rFonts w:cs="Times New Roman"/>
          <w:i/>
          <w:sz w:val="22"/>
          <w:szCs w:val="22"/>
        </w:rPr>
        <w:t>La revue nouvelle</w:t>
      </w:r>
      <w:r w:rsidRPr="00B246CC">
        <w:rPr>
          <w:rFonts w:cs="Times New Roman"/>
          <w:sz w:val="22"/>
          <w:szCs w:val="22"/>
        </w:rPr>
        <w:t xml:space="preserve">, </w:t>
      </w:r>
      <w:r w:rsidR="00875C96">
        <w:rPr>
          <w:rFonts w:cs="Times New Roman"/>
          <w:sz w:val="22"/>
          <w:szCs w:val="22"/>
        </w:rPr>
        <w:t xml:space="preserve">69 </w:t>
      </w:r>
      <w:r w:rsidRPr="00B246CC">
        <w:rPr>
          <w:rFonts w:cs="Times New Roman"/>
          <w:sz w:val="22"/>
          <w:szCs w:val="22"/>
        </w:rPr>
        <w:t xml:space="preserve">(1), 2014, pp. 61-71. </w:t>
      </w:r>
    </w:p>
    <w:p w14:paraId="563F3513" w14:textId="77777777" w:rsidR="001C4003" w:rsidRPr="004F2163" w:rsidRDefault="001C4003" w:rsidP="003B43FF">
      <w:pPr>
        <w:spacing w:line="240" w:lineRule="auto"/>
        <w:jc w:val="both"/>
        <w:rPr>
          <w:rFonts w:cs="Times New Roman"/>
          <w:sz w:val="22"/>
          <w:szCs w:val="22"/>
        </w:rPr>
      </w:pPr>
    </w:p>
    <w:p w14:paraId="51E40473" w14:textId="1768C19F" w:rsidR="001C4003" w:rsidRPr="004F2163" w:rsidRDefault="002D4472" w:rsidP="003B43FF">
      <w:pPr>
        <w:spacing w:line="240" w:lineRule="auto"/>
        <w:jc w:val="both"/>
        <w:rPr>
          <w:rFonts w:cs="Times New Roman"/>
          <w:sz w:val="22"/>
          <w:szCs w:val="22"/>
        </w:rPr>
      </w:pPr>
      <w:r w:rsidRPr="00B246CC">
        <w:rPr>
          <w:rFonts w:cs="Times New Roman"/>
          <w:sz w:val="22"/>
          <w:szCs w:val="22"/>
        </w:rPr>
        <w:t>Piron, D. &amp; Verjans, P., « </w:t>
      </w:r>
      <w:r w:rsidRPr="00B246CC">
        <w:rPr>
          <w:rFonts w:cs="Times New Roman"/>
          <w:bCs/>
          <w:sz w:val="22"/>
          <w:szCs w:val="22"/>
        </w:rPr>
        <w:t xml:space="preserve">Le consociationalisme à l’épreuve du fédéralisme. Les paradoxes du système de décision politique en Belgique », </w:t>
      </w:r>
      <w:r w:rsidRPr="00B246CC">
        <w:rPr>
          <w:rFonts w:cs="Times New Roman"/>
          <w:bCs/>
          <w:i/>
          <w:sz w:val="22"/>
          <w:szCs w:val="22"/>
        </w:rPr>
        <w:t>Revue de la Faculté de droit de l’Université de Liège</w:t>
      </w:r>
      <w:r w:rsidR="00875C96">
        <w:rPr>
          <w:rFonts w:cs="Times New Roman"/>
          <w:bCs/>
          <w:sz w:val="22"/>
          <w:szCs w:val="22"/>
        </w:rPr>
        <w:t>,</w:t>
      </w:r>
      <w:r w:rsidR="00644955">
        <w:rPr>
          <w:rFonts w:cs="Times New Roman"/>
          <w:bCs/>
          <w:sz w:val="22"/>
          <w:szCs w:val="22"/>
        </w:rPr>
        <w:t xml:space="preserve"> 59 (1</w:t>
      </w:r>
      <w:r w:rsidRPr="00B246CC">
        <w:rPr>
          <w:rFonts w:cs="Times New Roman"/>
          <w:bCs/>
          <w:sz w:val="22"/>
          <w:szCs w:val="22"/>
        </w:rPr>
        <w:t xml:space="preserve">), </w:t>
      </w:r>
      <w:r w:rsidR="00875C96">
        <w:rPr>
          <w:rFonts w:cs="Times New Roman"/>
          <w:bCs/>
          <w:sz w:val="22"/>
          <w:szCs w:val="22"/>
        </w:rPr>
        <w:t xml:space="preserve">2014, </w:t>
      </w:r>
      <w:r w:rsidR="00644955">
        <w:rPr>
          <w:rFonts w:cs="Times New Roman"/>
          <w:bCs/>
          <w:sz w:val="22"/>
          <w:szCs w:val="22"/>
        </w:rPr>
        <w:t xml:space="preserve">pp. </w:t>
      </w:r>
      <w:r w:rsidR="00924F9A">
        <w:rPr>
          <w:rFonts w:cs="Times New Roman"/>
          <w:bCs/>
          <w:sz w:val="22"/>
          <w:szCs w:val="22"/>
        </w:rPr>
        <w:t>173-190</w:t>
      </w:r>
      <w:r w:rsidRPr="00B246CC">
        <w:rPr>
          <w:rFonts w:cs="Times New Roman"/>
          <w:bCs/>
          <w:sz w:val="22"/>
          <w:szCs w:val="22"/>
        </w:rPr>
        <w:t>.</w:t>
      </w:r>
    </w:p>
    <w:p w14:paraId="338B94DB" w14:textId="77777777" w:rsidR="003B43FF" w:rsidRPr="004F2163" w:rsidRDefault="003B43FF" w:rsidP="003B43FF">
      <w:pPr>
        <w:spacing w:line="240" w:lineRule="auto"/>
        <w:jc w:val="both"/>
        <w:rPr>
          <w:rFonts w:cs="Times New Roman"/>
          <w:i/>
          <w:sz w:val="22"/>
          <w:szCs w:val="22"/>
        </w:rPr>
      </w:pPr>
    </w:p>
    <w:p w14:paraId="0CDA70AD"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Plan de convergence de la Belgique, 22 juin 1992.</w:t>
      </w:r>
    </w:p>
    <w:p w14:paraId="33214B87"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lastRenderedPageBreak/>
        <w:t xml:space="preserve">Programme de stabilité de la Belgique (2012-2015). </w:t>
      </w:r>
    </w:p>
    <w:p w14:paraId="1F5B5A1A" w14:textId="77777777" w:rsidR="003B43FF" w:rsidRPr="004F2163" w:rsidRDefault="003B43FF" w:rsidP="003B43FF">
      <w:pPr>
        <w:spacing w:line="240" w:lineRule="auto"/>
        <w:jc w:val="both"/>
        <w:rPr>
          <w:rFonts w:cs="Times New Roman"/>
          <w:sz w:val="22"/>
          <w:szCs w:val="22"/>
        </w:rPr>
      </w:pPr>
    </w:p>
    <w:p w14:paraId="0E9C6C0B"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rPr>
        <w:t>Programme de stabilité de la Belgique (2013-2016).</w:t>
      </w:r>
    </w:p>
    <w:p w14:paraId="21E9983F" w14:textId="77777777" w:rsidR="003B43FF" w:rsidRPr="004F2163" w:rsidRDefault="003B43FF" w:rsidP="003B43FF">
      <w:pPr>
        <w:spacing w:line="240" w:lineRule="auto"/>
        <w:jc w:val="both"/>
        <w:rPr>
          <w:rFonts w:cs="Times New Roman"/>
          <w:sz w:val="22"/>
          <w:szCs w:val="22"/>
        </w:rPr>
      </w:pPr>
    </w:p>
    <w:p w14:paraId="19826FD9" w14:textId="77777777" w:rsidR="003B43FF" w:rsidRPr="004F2163" w:rsidRDefault="002D4472" w:rsidP="003B43FF">
      <w:pPr>
        <w:widowControl w:val="0"/>
        <w:autoSpaceDE w:val="0"/>
        <w:autoSpaceDN w:val="0"/>
        <w:adjustRightInd w:val="0"/>
        <w:spacing w:line="240" w:lineRule="auto"/>
        <w:jc w:val="both"/>
        <w:rPr>
          <w:rFonts w:eastAsia="Times New Roman" w:cs="Times New Roman"/>
          <w:sz w:val="22"/>
          <w:szCs w:val="22"/>
          <w:lang w:val="fr-BE" w:eastAsia="en-US"/>
        </w:rPr>
      </w:pPr>
      <w:r w:rsidRPr="00B246CC">
        <w:rPr>
          <w:rFonts w:eastAsia="Times New Roman" w:cs="Times New Roman"/>
          <w:sz w:val="22"/>
          <w:szCs w:val="22"/>
          <w:lang w:val="fr-BE" w:eastAsia="en-US"/>
        </w:rPr>
        <w:t>Règlement (UE) n°473/2013 du Parlement européen et du Conseil du 21 mai 2013 établissant des dispositions communes pour le suivi et l'évaluation des projets de plans budgétaires et pour la correction des déficits excessifs dans les États membres de la zone euro (JOUE L 140 du 27 mai 2013).</w:t>
      </w:r>
    </w:p>
    <w:p w14:paraId="3C098BD5" w14:textId="77777777" w:rsidR="00C34097" w:rsidRPr="004F2163" w:rsidRDefault="00C34097" w:rsidP="003B43FF">
      <w:pPr>
        <w:widowControl w:val="0"/>
        <w:autoSpaceDE w:val="0"/>
        <w:autoSpaceDN w:val="0"/>
        <w:adjustRightInd w:val="0"/>
        <w:spacing w:line="240" w:lineRule="auto"/>
        <w:jc w:val="both"/>
        <w:rPr>
          <w:rFonts w:eastAsia="Times New Roman" w:cs="Times New Roman"/>
          <w:sz w:val="22"/>
          <w:szCs w:val="22"/>
          <w:lang w:val="fr-BE" w:eastAsia="en-US"/>
        </w:rPr>
      </w:pPr>
    </w:p>
    <w:p w14:paraId="55464677" w14:textId="77777777" w:rsidR="003B43FF" w:rsidRPr="004F2163" w:rsidRDefault="002D4472" w:rsidP="003B43FF">
      <w:pPr>
        <w:spacing w:line="240" w:lineRule="auto"/>
        <w:jc w:val="both"/>
        <w:rPr>
          <w:rFonts w:cs="Times New Roman"/>
          <w:sz w:val="22"/>
          <w:szCs w:val="22"/>
          <w:lang w:val="en-US"/>
        </w:rPr>
      </w:pPr>
      <w:r w:rsidRPr="00B246CC">
        <w:rPr>
          <w:rFonts w:cs="Times New Roman"/>
          <w:sz w:val="22"/>
          <w:szCs w:val="22"/>
          <w:lang w:val="en-US"/>
        </w:rPr>
        <w:t xml:space="preserve">Ryan G. W. &amp; Bernard, H. R., « Techniques to Identify Themes », </w:t>
      </w:r>
      <w:r w:rsidRPr="00B246CC">
        <w:rPr>
          <w:rFonts w:cs="Times New Roman"/>
          <w:i/>
          <w:sz w:val="22"/>
          <w:szCs w:val="22"/>
          <w:lang w:val="en-US"/>
        </w:rPr>
        <w:t>Field Methods</w:t>
      </w:r>
      <w:r w:rsidRPr="00B246CC">
        <w:rPr>
          <w:rFonts w:cs="Times New Roman"/>
          <w:sz w:val="22"/>
          <w:szCs w:val="22"/>
          <w:lang w:val="en-US"/>
        </w:rPr>
        <w:t>, 15 (1), 2003, pp. 85-109.</w:t>
      </w:r>
    </w:p>
    <w:p w14:paraId="040A2624" w14:textId="77777777" w:rsidR="003B43FF" w:rsidRPr="004F2163" w:rsidRDefault="003B43FF" w:rsidP="003B43FF">
      <w:pPr>
        <w:spacing w:line="240" w:lineRule="auto"/>
        <w:jc w:val="both"/>
        <w:rPr>
          <w:rFonts w:cs="Times New Roman"/>
          <w:sz w:val="22"/>
          <w:szCs w:val="22"/>
          <w:lang w:val="en-US"/>
        </w:rPr>
      </w:pPr>
    </w:p>
    <w:p w14:paraId="1465DD91" w14:textId="77777777" w:rsidR="003B43FF" w:rsidRPr="004F2163" w:rsidRDefault="002D4472" w:rsidP="003B43FF">
      <w:pPr>
        <w:spacing w:line="240" w:lineRule="auto"/>
        <w:jc w:val="both"/>
        <w:rPr>
          <w:rFonts w:cs="Times New Roman"/>
          <w:sz w:val="22"/>
          <w:szCs w:val="22"/>
        </w:rPr>
      </w:pPr>
      <w:r w:rsidRPr="00B246CC">
        <w:rPr>
          <w:rFonts w:cs="Times New Roman"/>
          <w:sz w:val="22"/>
          <w:szCs w:val="22"/>
          <w:lang w:val="fr-BE"/>
        </w:rPr>
        <w:t xml:space="preserve">Savage, </w:t>
      </w:r>
      <w:r w:rsidRPr="00B246CC">
        <w:rPr>
          <w:rFonts w:cs="Times New Roman"/>
          <w:sz w:val="22"/>
          <w:szCs w:val="22"/>
        </w:rPr>
        <w:t xml:space="preserve">R., « La politique budgétaire », in </w:t>
      </w:r>
      <w:r w:rsidRPr="00B246CC">
        <w:rPr>
          <w:rFonts w:cs="Times New Roman"/>
          <w:sz w:val="22"/>
          <w:szCs w:val="22"/>
          <w:lang w:val="fr-BE"/>
        </w:rPr>
        <w:t>de Callataÿ,</w:t>
      </w:r>
      <w:r w:rsidRPr="00B246CC">
        <w:rPr>
          <w:rFonts w:cs="Times New Roman"/>
          <w:sz w:val="22"/>
          <w:szCs w:val="22"/>
        </w:rPr>
        <w:t xml:space="preserve"> É. (dir.), </w:t>
      </w:r>
      <w:r w:rsidRPr="00B246CC">
        <w:rPr>
          <w:rFonts w:cs="Times New Roman"/>
          <w:i/>
          <w:iCs/>
          <w:sz w:val="22"/>
          <w:szCs w:val="22"/>
        </w:rPr>
        <w:t>La fin du déficit budgétaire</w:t>
      </w:r>
      <w:r w:rsidRPr="00B246CC">
        <w:rPr>
          <w:rFonts w:cs="Times New Roman"/>
          <w:sz w:val="22"/>
          <w:szCs w:val="22"/>
        </w:rPr>
        <w:t>, Bruxelles, De Boeck, 2002, pp. 25-42.</w:t>
      </w:r>
    </w:p>
    <w:p w14:paraId="22F1B6C7" w14:textId="77777777" w:rsidR="003B43FF" w:rsidRPr="004F2163" w:rsidRDefault="003B43FF" w:rsidP="003B43FF">
      <w:pPr>
        <w:spacing w:line="240" w:lineRule="auto"/>
        <w:jc w:val="both"/>
        <w:rPr>
          <w:rFonts w:cs="Times New Roman"/>
          <w:sz w:val="22"/>
          <w:szCs w:val="22"/>
        </w:rPr>
      </w:pPr>
    </w:p>
    <w:p w14:paraId="2DFDC57D" w14:textId="77777777" w:rsidR="003B43FF" w:rsidRPr="004F2163" w:rsidRDefault="002D4472" w:rsidP="003B43FF">
      <w:pPr>
        <w:spacing w:line="240" w:lineRule="auto"/>
        <w:jc w:val="both"/>
        <w:rPr>
          <w:rFonts w:cs="Times New Roman"/>
          <w:sz w:val="22"/>
          <w:szCs w:val="22"/>
          <w:lang w:val="en-US"/>
        </w:rPr>
      </w:pPr>
      <w:r w:rsidRPr="00B246CC">
        <w:rPr>
          <w:rFonts w:cs="Times New Roman"/>
          <w:sz w:val="22"/>
          <w:szCs w:val="22"/>
          <w:lang w:val="en-US"/>
        </w:rPr>
        <w:t xml:space="preserve">Savage, R., « The Return of the Public Budget Deficit », in de Callataÿ, É. &amp; Thys-Clément, F. (éds.), </w:t>
      </w:r>
      <w:proofErr w:type="gramStart"/>
      <w:r w:rsidRPr="00B246CC">
        <w:rPr>
          <w:rFonts w:cs="Times New Roman"/>
          <w:i/>
          <w:iCs/>
          <w:sz w:val="22"/>
          <w:szCs w:val="22"/>
          <w:lang w:val="en-US"/>
        </w:rPr>
        <w:t>The</w:t>
      </w:r>
      <w:proofErr w:type="gramEnd"/>
      <w:r w:rsidRPr="00B246CC">
        <w:rPr>
          <w:rFonts w:cs="Times New Roman"/>
          <w:i/>
          <w:iCs/>
          <w:sz w:val="22"/>
          <w:szCs w:val="22"/>
          <w:lang w:val="en-US"/>
        </w:rPr>
        <w:t xml:space="preserve"> return of the deficit, </w:t>
      </w:r>
      <w:r w:rsidRPr="00B246CC">
        <w:rPr>
          <w:rFonts w:cs="Times New Roman"/>
          <w:sz w:val="22"/>
          <w:szCs w:val="22"/>
          <w:lang w:val="en-US"/>
        </w:rPr>
        <w:t>Leuven, Leuven University Press, 2012, pp. 65-93.</w:t>
      </w:r>
    </w:p>
    <w:p w14:paraId="7B8E140A" w14:textId="77777777" w:rsidR="003B43FF" w:rsidRPr="004F2163" w:rsidRDefault="003B43FF" w:rsidP="003B43FF">
      <w:pPr>
        <w:spacing w:line="240" w:lineRule="auto"/>
        <w:jc w:val="both"/>
        <w:rPr>
          <w:rFonts w:cs="Times New Roman"/>
          <w:sz w:val="22"/>
          <w:szCs w:val="22"/>
          <w:lang w:val="en-US"/>
        </w:rPr>
      </w:pPr>
    </w:p>
    <w:p w14:paraId="14A3B65A" w14:textId="77777777" w:rsidR="003B43FF" w:rsidRPr="00924F9A" w:rsidRDefault="002D4472" w:rsidP="003B43FF">
      <w:pPr>
        <w:autoSpaceDE w:val="0"/>
        <w:autoSpaceDN w:val="0"/>
        <w:adjustRightInd w:val="0"/>
        <w:spacing w:line="240" w:lineRule="auto"/>
        <w:jc w:val="both"/>
        <w:rPr>
          <w:rStyle w:val="Lienhypertexte"/>
          <w:rFonts w:cs="Times New Roman"/>
          <w:color w:val="000000" w:themeColor="text1"/>
          <w:sz w:val="22"/>
          <w:szCs w:val="22"/>
          <w:lang w:val="nl-BE"/>
        </w:rPr>
      </w:pPr>
      <w:r w:rsidRPr="00B246CC">
        <w:rPr>
          <w:rFonts w:cs="Times New Roman"/>
          <w:color w:val="000000" w:themeColor="text1"/>
          <w:sz w:val="22"/>
          <w:szCs w:val="22"/>
          <w:lang w:val="nl-BE"/>
        </w:rPr>
        <w:t>SPF Finances, « Institution</w:t>
      </w:r>
      <w:r w:rsidR="00952622">
        <w:rPr>
          <w:rFonts w:cs="Times New Roman"/>
          <w:color w:val="000000" w:themeColor="text1"/>
          <w:sz w:val="22"/>
          <w:szCs w:val="22"/>
          <w:lang w:val="nl-BE"/>
        </w:rPr>
        <w:t>e</w:t>
      </w:r>
      <w:r w:rsidRPr="00B246CC">
        <w:rPr>
          <w:rFonts w:cs="Times New Roman"/>
          <w:color w:val="000000" w:themeColor="text1"/>
          <w:sz w:val="22"/>
          <w:szCs w:val="22"/>
          <w:lang w:val="nl-BE"/>
        </w:rPr>
        <w:t xml:space="preserve">le geschiedenis van de Hoge Raad van Financiën », </w:t>
      </w:r>
      <w:r w:rsidR="00924F9A" w:rsidRPr="00924F9A">
        <w:rPr>
          <w:rStyle w:val="Lienhypertexte"/>
          <w:rFonts w:cs="Times New Roman"/>
          <w:color w:val="000000" w:themeColor="text1"/>
          <w:sz w:val="22"/>
          <w:szCs w:val="22"/>
          <w:u w:val="none"/>
          <w:lang w:val="nl-BE"/>
        </w:rPr>
        <w:t>1996</w:t>
      </w:r>
      <w:r w:rsidR="00924F9A">
        <w:rPr>
          <w:rStyle w:val="Lienhypertexte"/>
          <w:rFonts w:cs="Times New Roman"/>
          <w:color w:val="000000" w:themeColor="text1"/>
          <w:sz w:val="22"/>
          <w:szCs w:val="22"/>
          <w:u w:val="none"/>
          <w:lang w:val="nl-BE"/>
        </w:rPr>
        <w:t xml:space="preserve">, </w:t>
      </w:r>
      <w:hyperlink r:id="rId16" w:history="1">
        <w:r w:rsidR="001B579A">
          <w:rPr>
            <w:rStyle w:val="Lienhypertexte"/>
            <w:rFonts w:cs="Times New Roman"/>
            <w:color w:val="000000" w:themeColor="text1"/>
            <w:sz w:val="22"/>
            <w:szCs w:val="22"/>
            <w:lang w:val="nl-BE"/>
          </w:rPr>
          <w:t>docufin.be/websedsdd/intersalgfr</w:t>
        </w:r>
        <w:r w:rsidR="00924F9A">
          <w:rPr>
            <w:rStyle w:val="Lienhypertexte"/>
            <w:rFonts w:cs="Times New Roman"/>
            <w:color w:val="000000" w:themeColor="text1"/>
            <w:sz w:val="22"/>
            <w:szCs w:val="22"/>
            <w:lang w:val="nl-BE"/>
          </w:rPr>
          <w:t>/hrfcsf/onzedienst/PDF/ HRFGESCH</w:t>
        </w:r>
        <w:r w:rsidR="001B579A">
          <w:rPr>
            <w:rStyle w:val="Lienhypertexte"/>
            <w:rFonts w:cs="Times New Roman"/>
            <w:color w:val="000000" w:themeColor="text1"/>
            <w:sz w:val="22"/>
            <w:szCs w:val="22"/>
            <w:lang w:val="nl-BE"/>
          </w:rPr>
          <w:t>.pdf</w:t>
        </w:r>
      </w:hyperlink>
      <w:r w:rsidR="00924F9A" w:rsidRPr="00924F9A">
        <w:rPr>
          <w:lang w:val="nl-BE"/>
        </w:rPr>
        <w:t>,</w:t>
      </w:r>
      <w:r w:rsidR="001B579A" w:rsidRPr="00924F9A">
        <w:rPr>
          <w:rStyle w:val="Lienhypertexte"/>
          <w:rFonts w:cs="Times New Roman"/>
          <w:color w:val="000000" w:themeColor="text1"/>
          <w:sz w:val="22"/>
          <w:szCs w:val="22"/>
          <w:u w:val="none"/>
          <w:lang w:val="nl-BE"/>
        </w:rPr>
        <w:t xml:space="preserve"> </w:t>
      </w:r>
      <w:r w:rsidR="00924F9A">
        <w:rPr>
          <w:rStyle w:val="Lienhypertexte"/>
          <w:rFonts w:cs="Times New Roman"/>
          <w:color w:val="000000" w:themeColor="text1"/>
          <w:sz w:val="22"/>
          <w:szCs w:val="22"/>
          <w:u w:val="none"/>
          <w:lang w:val="nl-BE"/>
        </w:rPr>
        <w:t>(consulté le 16 janvier 2014)</w:t>
      </w:r>
      <w:r w:rsidR="001B579A" w:rsidRPr="00924F9A">
        <w:rPr>
          <w:rStyle w:val="Lienhypertexte"/>
          <w:rFonts w:cs="Times New Roman"/>
          <w:color w:val="000000" w:themeColor="text1"/>
          <w:sz w:val="22"/>
          <w:szCs w:val="22"/>
          <w:u w:val="none"/>
          <w:lang w:val="nl-BE"/>
        </w:rPr>
        <w:t>.</w:t>
      </w:r>
    </w:p>
    <w:p w14:paraId="679751C4" w14:textId="77777777" w:rsidR="003B43FF" w:rsidRPr="00924F9A" w:rsidRDefault="003B43FF" w:rsidP="003B43FF">
      <w:pPr>
        <w:autoSpaceDE w:val="0"/>
        <w:autoSpaceDN w:val="0"/>
        <w:adjustRightInd w:val="0"/>
        <w:spacing w:line="240" w:lineRule="auto"/>
        <w:jc w:val="both"/>
        <w:rPr>
          <w:rStyle w:val="Lienhypertexte"/>
          <w:rFonts w:cs="Times New Roman"/>
          <w:color w:val="000000" w:themeColor="text1"/>
          <w:sz w:val="22"/>
          <w:szCs w:val="22"/>
          <w:lang w:val="nl-BE"/>
        </w:rPr>
      </w:pPr>
    </w:p>
    <w:p w14:paraId="3328B973" w14:textId="77777777" w:rsidR="003B43FF" w:rsidRPr="004F2163" w:rsidRDefault="002D4472" w:rsidP="003B43FF">
      <w:pPr>
        <w:autoSpaceDE w:val="0"/>
        <w:autoSpaceDN w:val="0"/>
        <w:adjustRightInd w:val="0"/>
        <w:spacing w:line="240" w:lineRule="auto"/>
        <w:jc w:val="both"/>
        <w:rPr>
          <w:rFonts w:cs="Times New Roman"/>
          <w:sz w:val="22"/>
          <w:szCs w:val="22"/>
          <w:lang w:val="en-US"/>
        </w:rPr>
      </w:pPr>
      <w:r w:rsidRPr="00B246CC">
        <w:rPr>
          <w:rFonts w:cs="Times New Roman"/>
          <w:sz w:val="22"/>
          <w:szCs w:val="22"/>
          <w:lang w:val="en-US"/>
        </w:rPr>
        <w:t xml:space="preserve">Steedman, C., « About Ends: On the Ways in Which the End is Different </w:t>
      </w:r>
      <w:proofErr w:type="gramStart"/>
      <w:r w:rsidRPr="00B246CC">
        <w:rPr>
          <w:rFonts w:cs="Times New Roman"/>
          <w:sz w:val="22"/>
          <w:szCs w:val="22"/>
          <w:lang w:val="en-US"/>
        </w:rPr>
        <w:t>From</w:t>
      </w:r>
      <w:proofErr w:type="gramEnd"/>
      <w:r w:rsidRPr="00B246CC">
        <w:rPr>
          <w:rFonts w:cs="Times New Roman"/>
          <w:sz w:val="22"/>
          <w:szCs w:val="22"/>
          <w:lang w:val="en-US"/>
        </w:rPr>
        <w:t xml:space="preserve"> an Ending », </w:t>
      </w:r>
      <w:r w:rsidRPr="00B246CC">
        <w:rPr>
          <w:rFonts w:cs="Times New Roman"/>
          <w:i/>
          <w:iCs/>
          <w:sz w:val="22"/>
          <w:szCs w:val="22"/>
          <w:lang w:val="en-US"/>
        </w:rPr>
        <w:t>History of the Human Sciences</w:t>
      </w:r>
      <w:r w:rsidRPr="00B246CC">
        <w:rPr>
          <w:rFonts w:cs="Times New Roman"/>
          <w:sz w:val="22"/>
          <w:szCs w:val="22"/>
          <w:lang w:val="en-US"/>
        </w:rPr>
        <w:t>, 9 (4), 1996, pp. 99-114.</w:t>
      </w:r>
    </w:p>
    <w:p w14:paraId="3C5F442C" w14:textId="77777777" w:rsidR="003B43FF" w:rsidRPr="004F2163" w:rsidRDefault="003B43FF" w:rsidP="003B43FF">
      <w:pPr>
        <w:autoSpaceDE w:val="0"/>
        <w:autoSpaceDN w:val="0"/>
        <w:adjustRightInd w:val="0"/>
        <w:spacing w:line="240" w:lineRule="auto"/>
        <w:jc w:val="both"/>
        <w:rPr>
          <w:rFonts w:cs="Times New Roman"/>
          <w:sz w:val="22"/>
          <w:szCs w:val="22"/>
          <w:lang w:val="en-US"/>
        </w:rPr>
      </w:pPr>
    </w:p>
    <w:p w14:paraId="2DC72C32" w14:textId="77777777" w:rsidR="003B43FF" w:rsidRPr="004F2163" w:rsidRDefault="002D4472" w:rsidP="003B43FF">
      <w:pPr>
        <w:autoSpaceDE w:val="0"/>
        <w:autoSpaceDN w:val="0"/>
        <w:adjustRightInd w:val="0"/>
        <w:spacing w:line="240" w:lineRule="auto"/>
        <w:jc w:val="both"/>
        <w:rPr>
          <w:rFonts w:cs="Times New Roman"/>
          <w:sz w:val="22"/>
          <w:szCs w:val="22"/>
          <w:lang w:val="fr-BE"/>
        </w:rPr>
      </w:pPr>
      <w:r w:rsidRPr="00B246CC">
        <w:rPr>
          <w:rFonts w:cs="Times New Roman"/>
          <w:sz w:val="22"/>
          <w:szCs w:val="22"/>
          <w:lang w:val="fr-BE"/>
        </w:rPr>
        <w:t xml:space="preserve">Van Meensel, L. &amp; Dury, D., « Utilité et efficacité des règles budgétaires », </w:t>
      </w:r>
      <w:r w:rsidRPr="00B246CC">
        <w:rPr>
          <w:rFonts w:cs="Times New Roman"/>
          <w:i/>
          <w:sz w:val="22"/>
          <w:szCs w:val="22"/>
          <w:lang w:val="fr-BE"/>
        </w:rPr>
        <w:t xml:space="preserve">Revue </w:t>
      </w:r>
      <w:r w:rsidRPr="00EA773E">
        <w:rPr>
          <w:rFonts w:cs="Times New Roman"/>
          <w:i/>
          <w:sz w:val="22"/>
          <w:szCs w:val="22"/>
          <w:lang w:val="fr-BE"/>
        </w:rPr>
        <w:t>économique</w:t>
      </w:r>
      <w:r w:rsidRPr="00EA773E">
        <w:rPr>
          <w:rFonts w:cs="Times New Roman"/>
          <w:sz w:val="22"/>
          <w:szCs w:val="22"/>
          <w:lang w:val="fr-BE"/>
        </w:rPr>
        <w:t>, vol. 2, 2008, pp. 71-87.</w:t>
      </w:r>
    </w:p>
    <w:p w14:paraId="4CF73655" w14:textId="77777777" w:rsidR="003B43FF" w:rsidRPr="004F2163" w:rsidRDefault="003B43FF" w:rsidP="003B43FF">
      <w:pPr>
        <w:autoSpaceDE w:val="0"/>
        <w:autoSpaceDN w:val="0"/>
        <w:adjustRightInd w:val="0"/>
        <w:spacing w:line="240" w:lineRule="auto"/>
        <w:jc w:val="both"/>
        <w:rPr>
          <w:rFonts w:cs="Times New Roman"/>
          <w:sz w:val="22"/>
          <w:szCs w:val="22"/>
          <w:lang w:val="fr-BE"/>
        </w:rPr>
      </w:pPr>
    </w:p>
    <w:p w14:paraId="42EC2F40" w14:textId="77777777" w:rsidR="00B92A0E" w:rsidRPr="004F2163" w:rsidRDefault="002D4472" w:rsidP="003B43FF">
      <w:pPr>
        <w:spacing w:line="240" w:lineRule="auto"/>
        <w:jc w:val="both"/>
        <w:rPr>
          <w:rFonts w:cs="Times New Roman"/>
          <w:sz w:val="22"/>
          <w:szCs w:val="22"/>
        </w:rPr>
      </w:pPr>
      <w:r w:rsidRPr="00B246CC">
        <w:rPr>
          <w:rFonts w:cs="Times New Roman"/>
          <w:sz w:val="22"/>
          <w:szCs w:val="22"/>
          <w:lang w:val="fr-BE"/>
        </w:rPr>
        <w:t>Van</w:t>
      </w:r>
      <w:r w:rsidRPr="00B246CC">
        <w:rPr>
          <w:rFonts w:cs="Times New Roman"/>
          <w:sz w:val="22"/>
          <w:szCs w:val="22"/>
        </w:rPr>
        <w:t xml:space="preserve"> </w:t>
      </w:r>
      <w:r w:rsidRPr="00B246CC">
        <w:rPr>
          <w:rFonts w:cs="Times New Roman"/>
          <w:sz w:val="22"/>
          <w:szCs w:val="22"/>
          <w:lang w:val="fr-BE"/>
        </w:rPr>
        <w:t>Rompuy</w:t>
      </w:r>
      <w:r w:rsidRPr="00B246CC">
        <w:rPr>
          <w:rFonts w:cs="Times New Roman"/>
          <w:sz w:val="22"/>
          <w:szCs w:val="22"/>
        </w:rPr>
        <w:t xml:space="preserve">, P., « La coordination des politiques budgétaires: 15 ans d’expérience du Conseil Supérieur des Finances », in </w:t>
      </w:r>
      <w:r w:rsidRPr="00B246CC">
        <w:rPr>
          <w:rFonts w:cs="Times New Roman"/>
          <w:sz w:val="22"/>
          <w:szCs w:val="22"/>
          <w:lang w:val="fr-BE"/>
        </w:rPr>
        <w:t>Mignolet, M.</w:t>
      </w:r>
      <w:r w:rsidRPr="00B246CC">
        <w:rPr>
          <w:rFonts w:cs="Times New Roman"/>
          <w:sz w:val="22"/>
          <w:szCs w:val="22"/>
        </w:rPr>
        <w:t xml:space="preserve"> (éd.), </w:t>
      </w:r>
      <w:r w:rsidRPr="00B246CC">
        <w:rPr>
          <w:rFonts w:cs="Times New Roman"/>
          <w:i/>
          <w:sz w:val="22"/>
          <w:szCs w:val="22"/>
        </w:rPr>
        <w:t>Le fédéralisme fiscal</w:t>
      </w:r>
      <w:r w:rsidRPr="00B246CC">
        <w:rPr>
          <w:rFonts w:cs="Times New Roman"/>
          <w:sz w:val="22"/>
          <w:szCs w:val="22"/>
        </w:rPr>
        <w:t xml:space="preserve">, Bruxelles, De Boeck, 2005, pp. 377-395. </w:t>
      </w:r>
    </w:p>
    <w:sectPr w:rsidR="00B92A0E" w:rsidRPr="004F2163" w:rsidSect="00EB5FF7">
      <w:footerReference w:type="even" r:id="rId17"/>
      <w:footerReference w:type="default" r:id="rId18"/>
      <w:footerReference w:type="first" r:id="rId19"/>
      <w:type w:val="oddPage"/>
      <w:pgSz w:w="9072" w:h="13608" w:code="9"/>
      <w:pgMar w:top="1701" w:right="1134" w:bottom="1418" w:left="1134" w:header="851" w:footer="709" w:gutter="0"/>
      <w:pgNumType w:start="1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A6B5F" w14:textId="77777777" w:rsidR="003F53EA" w:rsidRDefault="003F53EA" w:rsidP="00956BE5">
      <w:pPr>
        <w:spacing w:line="240" w:lineRule="auto"/>
      </w:pPr>
      <w:r>
        <w:separator/>
      </w:r>
    </w:p>
  </w:endnote>
  <w:endnote w:type="continuationSeparator" w:id="0">
    <w:p w14:paraId="1ECB6536" w14:textId="77777777" w:rsidR="003F53EA" w:rsidRDefault="003F53EA" w:rsidP="00956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AEF63" w14:textId="77777777" w:rsidR="00AC2A94" w:rsidRDefault="00AC2A94" w:rsidP="0013366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AE45" w14:textId="77777777" w:rsidR="00AC2A94" w:rsidRDefault="00AC2A94" w:rsidP="0013366E">
    <w:pPr>
      <w:pStyle w:val="Pieddepage"/>
      <w:framePr w:wrap="around" w:vAnchor="text" w:hAnchor="margin" w:xAlign="right" w:y="1"/>
      <w:rPr>
        <w:rStyle w:val="Numrodepage"/>
      </w:rPr>
    </w:pPr>
  </w:p>
  <w:p w14:paraId="495C980F" w14:textId="77777777" w:rsidR="00AC2A94" w:rsidRDefault="00AC2A94" w:rsidP="0013366E">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646328"/>
      <w:docPartObj>
        <w:docPartGallery w:val="Page Numbers (Bottom of Page)"/>
        <w:docPartUnique/>
      </w:docPartObj>
    </w:sdtPr>
    <w:sdtEndPr/>
    <w:sdtContent>
      <w:p w14:paraId="562362CB" w14:textId="49547FF6" w:rsidR="00EB5FF7" w:rsidRDefault="00EB5FF7">
        <w:pPr>
          <w:pStyle w:val="Pieddepage"/>
          <w:jc w:val="right"/>
        </w:pPr>
        <w:r>
          <w:fldChar w:fldCharType="begin"/>
        </w:r>
        <w:r>
          <w:instrText>PAGE   \* MERGEFORMAT</w:instrText>
        </w:r>
        <w:r>
          <w:fldChar w:fldCharType="separate"/>
        </w:r>
        <w:r>
          <w:rPr>
            <w:noProof/>
          </w:rPr>
          <w:t>123</w:t>
        </w:r>
        <w:r>
          <w:fldChar w:fldCharType="end"/>
        </w:r>
      </w:p>
    </w:sdtContent>
  </w:sdt>
  <w:p w14:paraId="4EA9B61F" w14:textId="77777777" w:rsidR="00EB5FF7" w:rsidRDefault="00EB5F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054ED" w14:textId="77777777" w:rsidR="003F53EA" w:rsidRDefault="003F53EA" w:rsidP="00956BE5">
      <w:pPr>
        <w:spacing w:line="240" w:lineRule="auto"/>
      </w:pPr>
      <w:r>
        <w:separator/>
      </w:r>
    </w:p>
  </w:footnote>
  <w:footnote w:type="continuationSeparator" w:id="0">
    <w:p w14:paraId="30E27BB9" w14:textId="77777777" w:rsidR="003F53EA" w:rsidRDefault="003F53EA" w:rsidP="00956BE5">
      <w:pPr>
        <w:spacing w:line="240" w:lineRule="auto"/>
      </w:pPr>
      <w:r>
        <w:continuationSeparator/>
      </w:r>
    </w:p>
  </w:footnote>
  <w:footnote w:id="1">
    <w:p w14:paraId="086C6D0B" w14:textId="77777777" w:rsidR="00AC2A94" w:rsidRPr="00B246CC" w:rsidRDefault="00AC2A94" w:rsidP="00B246CC">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Doctorant à l’Université de Liège (</w:t>
      </w:r>
      <w:r w:rsidRPr="00B246CC">
        <w:rPr>
          <w:rFonts w:ascii="Times New Roman" w:hAnsi="Times New Roman"/>
          <w:i/>
        </w:rPr>
        <w:t>SPIRAL</w:t>
      </w:r>
      <w:r w:rsidRPr="00B246CC">
        <w:rPr>
          <w:rFonts w:ascii="Times New Roman" w:hAnsi="Times New Roman"/>
        </w:rPr>
        <w:t xml:space="preserve"> - </w:t>
      </w:r>
      <w:r w:rsidRPr="00B246CC">
        <w:rPr>
          <w:rFonts w:ascii="Times New Roman" w:hAnsi="Times New Roman"/>
          <w:i/>
        </w:rPr>
        <w:t>Tax Institute</w:t>
      </w:r>
      <w:r w:rsidRPr="00B246CC">
        <w:rPr>
          <w:rFonts w:ascii="Times New Roman" w:hAnsi="Times New Roman"/>
        </w:rPr>
        <w:t xml:space="preserve">), </w:t>
      </w:r>
      <w:hyperlink r:id="rId1" w:history="1">
        <w:r w:rsidRPr="00B246CC">
          <w:rPr>
            <w:rStyle w:val="Lienhypertexte"/>
            <w:rFonts w:ascii="Times New Roman" w:hAnsi="Times New Roman"/>
            <w:color w:val="auto"/>
          </w:rPr>
          <w:t>damien.piron@ulg.ac.be</w:t>
        </w:r>
      </w:hyperlink>
      <w:r w:rsidRPr="00B246CC">
        <w:rPr>
          <w:rFonts w:ascii="Times New Roman" w:hAnsi="Times New Roman"/>
        </w:rPr>
        <w:t>.</w:t>
      </w:r>
      <w:r>
        <w:rPr>
          <w:rFonts w:ascii="Times New Roman" w:hAnsi="Times New Roman"/>
        </w:rPr>
        <w:t xml:space="preserve"> </w:t>
      </w:r>
    </w:p>
  </w:footnote>
  <w:footnote w:id="2">
    <w:p w14:paraId="429FEABF"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Les termes </w:t>
      </w:r>
      <w:r>
        <w:rPr>
          <w:rFonts w:ascii="Times New Roman" w:hAnsi="Times New Roman"/>
        </w:rPr>
        <w:t xml:space="preserve">indiqués </w:t>
      </w:r>
      <w:r w:rsidRPr="00B246CC">
        <w:rPr>
          <w:rFonts w:ascii="Times New Roman" w:hAnsi="Times New Roman"/>
        </w:rPr>
        <w:t>en italique sont définis dans le lexique</w:t>
      </w:r>
      <w:r>
        <w:rPr>
          <w:rFonts w:ascii="Times New Roman" w:hAnsi="Times New Roman"/>
        </w:rPr>
        <w:t xml:space="preserve"> qui se trouve à la fin de l’article</w:t>
      </w:r>
      <w:r w:rsidRPr="00B246CC">
        <w:rPr>
          <w:rFonts w:ascii="Times New Roman" w:hAnsi="Times New Roman"/>
        </w:rPr>
        <w:t>.</w:t>
      </w:r>
    </w:p>
  </w:footnote>
  <w:footnote w:id="3">
    <w:p w14:paraId="0BFD6EF8"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Art. 4, §2, de l’A.R. du 3 avril 2006 relatif au Conseil supérieur des Finances (M.B. du 13 avril 2006). </w:t>
      </w:r>
    </w:p>
  </w:footnote>
  <w:footnote w:id="4">
    <w:p w14:paraId="1496DAEA"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Art. 11 du règlement d’ordre intérieur du CSF.</w:t>
      </w:r>
    </w:p>
  </w:footnote>
  <w:footnote w:id="5">
    <w:p w14:paraId="7A590D09"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Sur l’historique du CSF, voy. SPF Finances (1996), Buffel (2010) et Coene &amp; Langenus (2011). </w:t>
      </w:r>
    </w:p>
  </w:footnote>
  <w:footnote w:id="6">
    <w:p w14:paraId="4555FDCB"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Art. 2, §2, de l’A.R. du 3 avril 2006.</w:t>
      </w:r>
    </w:p>
  </w:footnote>
  <w:footnote w:id="7">
    <w:p w14:paraId="0EF62167" w14:textId="77777777" w:rsidR="00AC2A94" w:rsidRPr="00B246CC" w:rsidRDefault="00AC2A94">
      <w:pPr>
        <w:autoSpaceDE w:val="0"/>
        <w:autoSpaceDN w:val="0"/>
        <w:adjustRightInd w:val="0"/>
        <w:spacing w:line="240" w:lineRule="auto"/>
        <w:jc w:val="both"/>
        <w:rPr>
          <w:rFonts w:cs="Times New Roman"/>
          <w:bCs/>
          <w:sz w:val="20"/>
          <w:szCs w:val="20"/>
          <w:lang w:val="fr-BE"/>
        </w:rPr>
      </w:pPr>
      <w:r w:rsidRPr="00B246CC">
        <w:rPr>
          <w:rStyle w:val="Appelnotedebasdep"/>
          <w:rFonts w:cs="Times New Roman"/>
          <w:sz w:val="20"/>
          <w:szCs w:val="20"/>
        </w:rPr>
        <w:footnoteRef/>
      </w:r>
      <w:r w:rsidRPr="00B246CC">
        <w:rPr>
          <w:rFonts w:cs="Times New Roman"/>
          <w:sz w:val="20"/>
          <w:szCs w:val="20"/>
          <w:lang w:val="fr-BE"/>
        </w:rPr>
        <w:t xml:space="preserve"> Art. 6, §2, de la loi du 5 septembre 2001 </w:t>
      </w:r>
      <w:r w:rsidRPr="00B246CC">
        <w:rPr>
          <w:rFonts w:cs="Times New Roman"/>
          <w:bCs/>
          <w:sz w:val="20"/>
          <w:szCs w:val="20"/>
          <w:lang w:val="fr-BE"/>
        </w:rPr>
        <w:t>portant garantie d’une réduction continue de la dette publique et création d’un Fonds de vieillissement (M.B. du 14 septembre 2001).</w:t>
      </w:r>
    </w:p>
  </w:footnote>
  <w:footnote w:id="8">
    <w:p w14:paraId="136C18EE" w14:textId="77777777" w:rsidR="00AC2A94" w:rsidRPr="003A37AB" w:rsidRDefault="00AC2A94" w:rsidP="003A37AB">
      <w:pPr>
        <w:pStyle w:val="Notedebasdepage"/>
        <w:spacing w:line="240" w:lineRule="auto"/>
        <w:rPr>
          <w:rFonts w:ascii="Times New Roman" w:hAnsi="Times New Roman"/>
        </w:rPr>
      </w:pPr>
      <w:r w:rsidRPr="003A37AB">
        <w:rPr>
          <w:rStyle w:val="Appelnotedebasdep"/>
          <w:rFonts w:ascii="Times New Roman" w:hAnsi="Times New Roman"/>
        </w:rPr>
        <w:footnoteRef/>
      </w:r>
      <w:r w:rsidRPr="003A37AB">
        <w:rPr>
          <w:rFonts w:ascii="Times New Roman" w:hAnsi="Times New Roman"/>
        </w:rPr>
        <w:t xml:space="preserve"> Il s’agit d’un mandat renouvelable.</w:t>
      </w:r>
    </w:p>
  </w:footnote>
  <w:footnote w:id="9">
    <w:p w14:paraId="350511E4" w14:textId="77777777" w:rsidR="00AC2A94" w:rsidRPr="00B246CC" w:rsidRDefault="00AC2A94" w:rsidP="003A37AB">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Art. 49, §6 de la loi spéciale du 16 janvier 1989 relative au financement des Communautés et des Régions (M.B. du 17 janvier 1989). </w:t>
      </w:r>
    </w:p>
  </w:footnote>
  <w:footnote w:id="10">
    <w:p w14:paraId="1E8C30D8"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Art. 49, §6, ali. 2 de la loi spéciale du 16 janvier 1989, </w:t>
      </w:r>
      <w:r w:rsidRPr="00B246CC">
        <w:rPr>
          <w:rFonts w:ascii="Times New Roman" w:hAnsi="Times New Roman"/>
          <w:i/>
        </w:rPr>
        <w:t xml:space="preserve">op. </w:t>
      </w:r>
      <w:proofErr w:type="gramStart"/>
      <w:r w:rsidRPr="00B246CC">
        <w:rPr>
          <w:rFonts w:ascii="Times New Roman" w:hAnsi="Times New Roman"/>
          <w:i/>
        </w:rPr>
        <w:t>cit</w:t>
      </w:r>
      <w:proofErr w:type="gramEnd"/>
      <w:r w:rsidRPr="00B246CC">
        <w:rPr>
          <w:rFonts w:ascii="Times New Roman" w:hAnsi="Times New Roman"/>
          <w:i/>
        </w:rPr>
        <w:t>.</w:t>
      </w:r>
      <w:r w:rsidRPr="00B246CC">
        <w:rPr>
          <w:rFonts w:ascii="Times New Roman" w:eastAsiaTheme="minorEastAsia" w:hAnsi="Times New Roman"/>
          <w:sz w:val="24"/>
          <w:szCs w:val="24"/>
          <w:lang w:eastAsia="fr-FR"/>
        </w:rPr>
        <w:t xml:space="preserve"> </w:t>
      </w:r>
    </w:p>
  </w:footnote>
  <w:footnote w:id="11">
    <w:p w14:paraId="033AA038" w14:textId="77777777" w:rsidR="00AC2A94" w:rsidRPr="00B246CC" w:rsidRDefault="00AC2A94">
      <w:pPr>
        <w:spacing w:line="240" w:lineRule="auto"/>
        <w:jc w:val="both"/>
        <w:rPr>
          <w:rFonts w:cs="Times New Roman"/>
          <w:sz w:val="20"/>
          <w:szCs w:val="20"/>
          <w:lang w:val="fr-BE"/>
        </w:rPr>
      </w:pPr>
      <w:r w:rsidRPr="00B246CC">
        <w:rPr>
          <w:rStyle w:val="Appelnotedebasdep"/>
          <w:rFonts w:cs="Times New Roman"/>
          <w:sz w:val="20"/>
          <w:szCs w:val="20"/>
        </w:rPr>
        <w:footnoteRef/>
      </w:r>
      <w:r w:rsidRPr="00B246CC">
        <w:rPr>
          <w:rFonts w:cs="Times New Roman"/>
          <w:sz w:val="20"/>
          <w:szCs w:val="20"/>
        </w:rPr>
        <w:t xml:space="preserve"> </w:t>
      </w:r>
      <w:r w:rsidRPr="00B246CC">
        <w:rPr>
          <w:rFonts w:cs="Times New Roman"/>
          <w:sz w:val="20"/>
          <w:szCs w:val="20"/>
          <w:lang w:val="fr-BE"/>
        </w:rPr>
        <w:t xml:space="preserve">Initialement intitulé </w:t>
      </w:r>
      <w:r w:rsidRPr="00B246CC">
        <w:rPr>
          <w:rFonts w:cs="Times New Roman"/>
          <w:sz w:val="20"/>
          <w:szCs w:val="20"/>
        </w:rPr>
        <w:t xml:space="preserve">« </w:t>
      </w:r>
      <w:r w:rsidRPr="00B246CC">
        <w:rPr>
          <w:rFonts w:cs="Times New Roman"/>
          <w:sz w:val="20"/>
          <w:szCs w:val="20"/>
          <w:lang w:val="fr-BE"/>
        </w:rPr>
        <w:t>Entre européanisation et fédéralisation : les déterminants politiques de l’assainissement des finances publiques dans une perspective comparée </w:t>
      </w:r>
      <w:r w:rsidRPr="00B246CC">
        <w:rPr>
          <w:rFonts w:cs="Times New Roman"/>
          <w:sz w:val="20"/>
          <w:szCs w:val="20"/>
        </w:rPr>
        <w:t xml:space="preserve">», ce travail a depuis lors donné lieu à trois publications distinctes (Piron, 2013 ; Piron, 2014 ; Piron &amp; Verjans, 2014). </w:t>
      </w:r>
      <w:r w:rsidRPr="00B246CC">
        <w:rPr>
          <w:rFonts w:cs="Times New Roman"/>
          <w:sz w:val="20"/>
          <w:szCs w:val="20"/>
          <w:lang w:val="fr-BE"/>
        </w:rPr>
        <w:t xml:space="preserve"> </w:t>
      </w:r>
    </w:p>
  </w:footnote>
  <w:footnote w:id="12">
    <w:p w14:paraId="7B213E56"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Il s’agit à la fois de membres de la Section et de son secrétariat, de la Banque nationale de Belgique, du Bureau fédéra</w:t>
      </w:r>
      <w:r>
        <w:rPr>
          <w:rFonts w:ascii="Times New Roman" w:hAnsi="Times New Roman"/>
        </w:rPr>
        <w:t>l du Plan, de l’Inspection des F</w:t>
      </w:r>
      <w:r w:rsidRPr="00B246CC">
        <w:rPr>
          <w:rFonts w:ascii="Times New Roman" w:hAnsi="Times New Roman"/>
        </w:rPr>
        <w:t>inances et du Conseil central de l’économie</w:t>
      </w:r>
      <w:r>
        <w:rPr>
          <w:rFonts w:ascii="Times New Roman" w:hAnsi="Times New Roman"/>
        </w:rPr>
        <w:t>, mais aussi</w:t>
      </w:r>
      <w:r w:rsidRPr="00B246CC">
        <w:rPr>
          <w:rFonts w:ascii="Times New Roman" w:hAnsi="Times New Roman"/>
        </w:rPr>
        <w:t xml:space="preserve"> de conseillers politiques.</w:t>
      </w:r>
    </w:p>
  </w:footnote>
  <w:footnote w:id="13">
    <w:p w14:paraId="456159B6"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Ministres et/ou présidents de parti.</w:t>
      </w:r>
    </w:p>
  </w:footnote>
  <w:footnote w:id="14">
    <w:p w14:paraId="42BB7E3F" w14:textId="77777777" w:rsidR="00AC2A94" w:rsidRPr="00B246CC" w:rsidRDefault="00AC2A94">
      <w:pPr>
        <w:pStyle w:val="Notedebasdepage"/>
        <w:spacing w:line="240" w:lineRule="auto"/>
        <w:rPr>
          <w:rFonts w:ascii="Times New Roman" w:hAnsi="Times New Roman"/>
          <w:sz w:val="24"/>
          <w:szCs w:val="24"/>
        </w:rPr>
      </w:pPr>
      <w:r w:rsidRPr="00B246CC">
        <w:rPr>
          <w:rStyle w:val="Appelnotedebasdep"/>
          <w:rFonts w:ascii="Times New Roman" w:hAnsi="Times New Roman"/>
        </w:rPr>
        <w:footnoteRef/>
      </w:r>
      <w:r w:rsidRPr="00B246CC">
        <w:rPr>
          <w:rFonts w:ascii="Times New Roman" w:hAnsi="Times New Roman"/>
        </w:rPr>
        <w:t xml:space="preserve"> Notre réflexion a en outre été alimentée par un stage de neuf semaines au sein du Service d’Études et de Documentation du SPF Finances.</w:t>
      </w:r>
      <w:r w:rsidRPr="00B246CC">
        <w:rPr>
          <w:rFonts w:ascii="Times New Roman" w:hAnsi="Times New Roman"/>
          <w:sz w:val="24"/>
          <w:szCs w:val="24"/>
        </w:rPr>
        <w:t xml:space="preserve"> </w:t>
      </w:r>
    </w:p>
  </w:footnote>
  <w:footnote w:id="15">
    <w:p w14:paraId="2DE71CA4" w14:textId="77777777" w:rsidR="00AC2A94" w:rsidRPr="00B246CC" w:rsidRDefault="00AC2A94">
      <w:pPr>
        <w:pStyle w:val="Notedebasdepage"/>
        <w:spacing w:line="240" w:lineRule="auto"/>
        <w:rPr>
          <w:rFonts w:ascii="Times New Roman" w:hAnsi="Times New Roman"/>
          <w:color w:val="FF0000"/>
        </w:rPr>
      </w:pPr>
      <w:r w:rsidRPr="00B246CC">
        <w:rPr>
          <w:rStyle w:val="Appelnotedebasdep"/>
          <w:rFonts w:ascii="Times New Roman" w:hAnsi="Times New Roman"/>
        </w:rPr>
        <w:footnoteRef/>
      </w:r>
      <w:r w:rsidRPr="00B246CC">
        <w:rPr>
          <w:rFonts w:ascii="Times New Roman" w:hAnsi="Times New Roman"/>
        </w:rPr>
        <w:t xml:space="preserve"> Telle que : « </w:t>
      </w:r>
      <w:r w:rsidRPr="00B246CC">
        <w:rPr>
          <w:rFonts w:ascii="Times New Roman" w:hAnsi="Times New Roman"/>
          <w:i/>
        </w:rPr>
        <w:t xml:space="preserve">quelles sont, selon vous, les principales similitudes et différences </w:t>
      </w:r>
      <w:r>
        <w:rPr>
          <w:rFonts w:ascii="Times New Roman" w:hAnsi="Times New Roman"/>
          <w:i/>
        </w:rPr>
        <w:t>des</w:t>
      </w:r>
      <w:r w:rsidRPr="00B246CC">
        <w:rPr>
          <w:rFonts w:ascii="Times New Roman" w:hAnsi="Times New Roman"/>
          <w:i/>
        </w:rPr>
        <w:t xml:space="preserve"> politique</w:t>
      </w:r>
      <w:r>
        <w:rPr>
          <w:rFonts w:ascii="Times New Roman" w:hAnsi="Times New Roman"/>
          <w:i/>
        </w:rPr>
        <w:t>s</w:t>
      </w:r>
      <w:r w:rsidRPr="00B246CC">
        <w:rPr>
          <w:rFonts w:ascii="Times New Roman" w:hAnsi="Times New Roman"/>
          <w:i/>
        </w:rPr>
        <w:t xml:space="preserve"> budgétaire</w:t>
      </w:r>
      <w:r>
        <w:rPr>
          <w:rFonts w:ascii="Times New Roman" w:hAnsi="Times New Roman"/>
          <w:i/>
        </w:rPr>
        <w:t>s menées par l</w:t>
      </w:r>
      <w:r w:rsidRPr="00B246CC">
        <w:rPr>
          <w:rFonts w:ascii="Times New Roman" w:hAnsi="Times New Roman"/>
          <w:i/>
        </w:rPr>
        <w:t>es gouvernements Dehaene I</w:t>
      </w:r>
      <w:r w:rsidRPr="00B246CC">
        <w:rPr>
          <w:rFonts w:ascii="Times New Roman" w:hAnsi="Times New Roman"/>
          <w:i/>
          <w:vertAlign w:val="superscript"/>
        </w:rPr>
        <w:t>er</w:t>
      </w:r>
      <w:r>
        <w:rPr>
          <w:rFonts w:ascii="Times New Roman" w:hAnsi="Times New Roman"/>
          <w:i/>
        </w:rPr>
        <w:t xml:space="preserve"> et Di Rupo</w:t>
      </w:r>
      <w:r w:rsidRPr="00B246CC">
        <w:rPr>
          <w:rFonts w:ascii="Times New Roman" w:hAnsi="Times New Roman"/>
          <w:i/>
        </w:rPr>
        <w:t> </w:t>
      </w:r>
      <w:r>
        <w:rPr>
          <w:rFonts w:ascii="Times New Roman" w:hAnsi="Times New Roman"/>
        </w:rPr>
        <w:t>»</w:t>
      </w:r>
      <w:r w:rsidRPr="004452E4">
        <w:rPr>
          <w:rFonts w:ascii="Times New Roman" w:hAnsi="Times New Roman"/>
          <w:i/>
        </w:rPr>
        <w:t xml:space="preserve"> </w:t>
      </w:r>
      <w:r w:rsidRPr="00B246CC">
        <w:rPr>
          <w:rFonts w:ascii="Times New Roman" w:hAnsi="Times New Roman"/>
          <w:i/>
        </w:rPr>
        <w:t>?</w:t>
      </w:r>
    </w:p>
  </w:footnote>
  <w:footnote w:id="16">
    <w:p w14:paraId="16428CAF"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La population retenue se compose de dix experts, de quatre hommes politiques et d’un journaliste. Dans un souci de lisibilité, les citations d’experts s</w:t>
      </w:r>
      <w:r>
        <w:rPr>
          <w:rFonts w:ascii="Times New Roman" w:hAnsi="Times New Roman"/>
        </w:rPr>
        <w:t>er</w:t>
      </w:r>
      <w:r w:rsidRPr="00B246CC">
        <w:rPr>
          <w:rFonts w:ascii="Times New Roman" w:hAnsi="Times New Roman"/>
        </w:rPr>
        <w:t>ont mentionnées par la lettre « E » suivie d’un numéro d’ordre attribué de façon aléatoire ; celles des politiques par la lettre « P » suivie d’un numéro d’ordre attribué de façon aléatoire et celles du journaliste par la lettre « J ».</w:t>
      </w:r>
    </w:p>
  </w:footnote>
  <w:footnote w:id="17">
    <w:p w14:paraId="121BC588"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À titre d’illustration, le respect de cette ligne de conduite impliquait, pour la seule entité I, de devoir fournir un effort équivalent à 3 milliards d’euros (1% du PIB) entre 2005 et 2007.</w:t>
      </w:r>
    </w:p>
  </w:footnote>
  <w:footnote w:id="18">
    <w:p w14:paraId="4E75AF79"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En 2005, </w:t>
      </w:r>
      <w:r w:rsidRPr="00C9183B">
        <w:rPr>
          <w:rFonts w:ascii="Times New Roman" w:hAnsi="Times New Roman"/>
        </w:rPr>
        <w:t xml:space="preserve">l’État belge </w:t>
      </w:r>
      <w:r w:rsidRPr="00B246CC">
        <w:rPr>
          <w:rFonts w:ascii="Times New Roman" w:hAnsi="Times New Roman"/>
        </w:rPr>
        <w:t xml:space="preserve">a repris </w:t>
      </w:r>
      <w:r>
        <w:rPr>
          <w:rFonts w:ascii="Times New Roman" w:hAnsi="Times New Roman"/>
        </w:rPr>
        <w:t xml:space="preserve">à son compte </w:t>
      </w:r>
      <w:r w:rsidRPr="00B246CC">
        <w:rPr>
          <w:rFonts w:ascii="Times New Roman" w:hAnsi="Times New Roman"/>
        </w:rPr>
        <w:t>la dette de la SNCB</w:t>
      </w:r>
      <w:r>
        <w:rPr>
          <w:rFonts w:ascii="Times New Roman" w:hAnsi="Times New Roman"/>
        </w:rPr>
        <w:t xml:space="preserve">. Cette mesure exceptionnelle a </w:t>
      </w:r>
      <w:r w:rsidRPr="00B246CC">
        <w:rPr>
          <w:rFonts w:ascii="Times New Roman" w:hAnsi="Times New Roman"/>
        </w:rPr>
        <w:t>exercé une influence budgétaire négative de l’ordre de 2,4% du PIB.</w:t>
      </w:r>
    </w:p>
  </w:footnote>
  <w:footnote w:id="19">
    <w:p w14:paraId="13D99039"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Les compétences usurpées sont des « </w:t>
      </w:r>
      <w:r w:rsidRPr="00B246CC">
        <w:rPr>
          <w:rFonts w:ascii="Times New Roman" w:hAnsi="Times New Roman"/>
          <w:i/>
        </w:rPr>
        <w:t>compétences qui sont du ressort des régions et communautés, mais pour lesquelles le pouvoir fédéral assume encore des dépenses</w:t>
      </w:r>
      <w:r w:rsidRPr="00B246CC">
        <w:rPr>
          <w:rFonts w:ascii="Times New Roman" w:hAnsi="Times New Roman"/>
        </w:rPr>
        <w:t> » (Programme de stabilité de la Belgique 2012-2015 : 24). Il s’agit d’une notion à caractère plus politique que juridique. Voy. Piron &amp; Verjans (2014).</w:t>
      </w:r>
    </w:p>
  </w:footnote>
  <w:footnote w:id="20">
    <w:p w14:paraId="3F8022F8"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w:t>
      </w:r>
      <w:r>
        <w:rPr>
          <w:rFonts w:ascii="Times New Roman" w:hAnsi="Times New Roman"/>
        </w:rPr>
        <w:t>Pour</w:t>
      </w:r>
      <w:r w:rsidRPr="00B246CC">
        <w:rPr>
          <w:rFonts w:ascii="Times New Roman" w:hAnsi="Times New Roman"/>
        </w:rPr>
        <w:t xml:space="preserve"> le critère de la dette, un dépassement du seuil de 60% du PIB était toutefois toléré pour autant que </w:t>
      </w:r>
      <w:r w:rsidRPr="00B246CC">
        <w:rPr>
          <w:rFonts w:ascii="Times New Roman" w:hAnsi="Times New Roman"/>
          <w:i/>
        </w:rPr>
        <w:t>« ce rapport diminue suffisamment et s'approche de la valeur de référence à un rythme satisfaisant »</w:t>
      </w:r>
      <w:r>
        <w:rPr>
          <w:rFonts w:ascii="Times New Roman" w:hAnsi="Times New Roman"/>
          <w:i/>
        </w:rPr>
        <w:t xml:space="preserve"> </w:t>
      </w:r>
      <w:r w:rsidRPr="00B246CC">
        <w:rPr>
          <w:rFonts w:ascii="Times New Roman" w:hAnsi="Times New Roman"/>
        </w:rPr>
        <w:t>(art. 104 C, §2, b, du Traité de Maastricht).</w:t>
      </w:r>
    </w:p>
  </w:footnote>
  <w:footnote w:id="21">
    <w:p w14:paraId="31CA5970" w14:textId="77777777" w:rsidR="00AC2A94" w:rsidRPr="00C9183B" w:rsidRDefault="00AC2A94" w:rsidP="003464F6">
      <w:pPr>
        <w:pStyle w:val="Notedebasdepage"/>
        <w:spacing w:line="240" w:lineRule="auto"/>
        <w:rPr>
          <w:rFonts w:ascii="Times New Roman" w:hAnsi="Times New Roman"/>
        </w:rPr>
      </w:pPr>
      <w:r w:rsidRPr="00C9183B">
        <w:rPr>
          <w:rStyle w:val="Appelnotedebasdep"/>
          <w:rFonts w:ascii="Times New Roman" w:hAnsi="Times New Roman"/>
        </w:rPr>
        <w:footnoteRef/>
      </w:r>
      <w:r w:rsidRPr="00C9183B">
        <w:rPr>
          <w:rFonts w:ascii="Times New Roman" w:hAnsi="Times New Roman"/>
        </w:rPr>
        <w:t xml:space="preserve"> Notamment en raison d’une révision du mode d’adoption des sanctions : les sanctions proposées par la Commission sont réputées adoptées par le Conseil, à moins qu’une majorité d’États membres ne s’y oppose (règle de la « majorité qualifiée inversée »). </w:t>
      </w:r>
    </w:p>
  </w:footnote>
  <w:footnote w:id="22">
    <w:p w14:paraId="3AD5F342" w14:textId="77777777" w:rsidR="00AC2A94" w:rsidRPr="00B246CC" w:rsidRDefault="00AC2A94" w:rsidP="00B246CC">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w:t>
      </w:r>
      <w:r w:rsidRPr="00B246CC">
        <w:rPr>
          <w:rFonts w:ascii="Times New Roman" w:hAnsi="Times New Roman"/>
          <w:i/>
        </w:rPr>
        <w:t xml:space="preserve">« On ne pouvait pas </w:t>
      </w:r>
      <w:r>
        <w:rPr>
          <w:rFonts w:ascii="Times New Roman" w:hAnsi="Times New Roman"/>
          <w:i/>
        </w:rPr>
        <w:t>[</w:t>
      </w:r>
      <w:r w:rsidRPr="00B246CC">
        <w:rPr>
          <w:rFonts w:ascii="Times New Roman" w:hAnsi="Times New Roman"/>
          <w:i/>
        </w:rPr>
        <w:t>l</w:t>
      </w:r>
      <w:r>
        <w:rPr>
          <w:rFonts w:ascii="Times New Roman" w:hAnsi="Times New Roman"/>
          <w:i/>
        </w:rPr>
        <w:t>]</w:t>
      </w:r>
      <w:r w:rsidRPr="00B246CC">
        <w:rPr>
          <w:rFonts w:ascii="Times New Roman" w:hAnsi="Times New Roman"/>
          <w:i/>
        </w:rPr>
        <w:t xml:space="preserve">’abandonner car alors c’était fini, on perdait la crédibilité » </w:t>
      </w:r>
      <w:r w:rsidRPr="00B246CC">
        <w:rPr>
          <w:rFonts w:ascii="Times New Roman" w:hAnsi="Times New Roman"/>
        </w:rPr>
        <w:t>(E7).</w:t>
      </w:r>
    </w:p>
  </w:footnote>
  <w:footnote w:id="23">
    <w:p w14:paraId="3CE1EF16"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Il s’agit par exemple du premier point de l’accord de gouvernement Dehaene I</w:t>
      </w:r>
      <w:r w:rsidRPr="00B246CC">
        <w:rPr>
          <w:rFonts w:ascii="Times New Roman" w:hAnsi="Times New Roman"/>
          <w:vertAlign w:val="superscript"/>
        </w:rPr>
        <w:t>er</w:t>
      </w:r>
      <w:r w:rsidRPr="00B246CC">
        <w:rPr>
          <w:rFonts w:ascii="Times New Roman" w:hAnsi="Times New Roman"/>
        </w:rPr>
        <w:t xml:space="preserve"> (Gouvernement fédéral, 1992).</w:t>
      </w:r>
    </w:p>
  </w:footnote>
  <w:footnote w:id="24">
    <w:p w14:paraId="429DFD1A" w14:textId="77777777" w:rsidR="00AC2A94" w:rsidRPr="00B246CC" w:rsidRDefault="00AC2A94" w:rsidP="00B246CC">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Évoquées au point III. 1. 2.</w:t>
      </w:r>
    </w:p>
  </w:footnote>
  <w:footnote w:id="25">
    <w:p w14:paraId="4203ADAE" w14:textId="77777777" w:rsidR="00AC2A94" w:rsidRPr="00B246CC" w:rsidRDefault="00AC2A94">
      <w:pPr>
        <w:pStyle w:val="Notedebasdepage"/>
        <w:spacing w:line="240" w:lineRule="auto"/>
        <w:rPr>
          <w:rFonts w:ascii="Times New Roman" w:hAnsi="Times New Roman"/>
        </w:rPr>
      </w:pPr>
      <w:r>
        <w:rPr>
          <w:rStyle w:val="Appelnotedebasdep"/>
          <w:rFonts w:ascii="Times New Roman" w:hAnsi="Times New Roman"/>
        </w:rPr>
        <w:footnoteRef/>
      </w:r>
      <w:r w:rsidRPr="00B246CC">
        <w:rPr>
          <w:rFonts w:ascii="Times New Roman" w:hAnsi="Times New Roman"/>
        </w:rPr>
        <w:t xml:space="preserve"> Recommandation du Conseil en vue de mettre un terme à la situation de déficit excessif de la Belgique 15754/09, 30 novembre 2009.</w:t>
      </w:r>
    </w:p>
  </w:footnote>
  <w:footnote w:id="26">
    <w:p w14:paraId="222AC0E2" w14:textId="3BBE9943" w:rsidR="00AC2A94" w:rsidRPr="00B246CC" w:rsidRDefault="00AC2A94" w:rsidP="00B246CC">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Dans son avis de mars 2014 (CSF, 2014), la Section </w:t>
      </w:r>
      <w:r>
        <w:rPr>
          <w:rFonts w:ascii="Times New Roman" w:hAnsi="Times New Roman"/>
        </w:rPr>
        <w:t>préconise</w:t>
      </w:r>
      <w:r w:rsidRPr="00B246CC">
        <w:rPr>
          <w:rFonts w:ascii="Times New Roman" w:hAnsi="Times New Roman"/>
        </w:rPr>
        <w:t xml:space="preserve"> </w:t>
      </w:r>
      <w:r>
        <w:rPr>
          <w:rFonts w:ascii="Times New Roman" w:hAnsi="Times New Roman"/>
        </w:rPr>
        <w:t xml:space="preserve">ainsi </w:t>
      </w:r>
      <w:r w:rsidRPr="00B246CC">
        <w:rPr>
          <w:rFonts w:ascii="Times New Roman" w:hAnsi="Times New Roman"/>
        </w:rPr>
        <w:t xml:space="preserve">de reporter le retour à l’équilibre budgétaire nominal à 2017. </w:t>
      </w:r>
      <w:r>
        <w:rPr>
          <w:rFonts w:ascii="Times New Roman" w:hAnsi="Times New Roman"/>
        </w:rPr>
        <w:t>C</w:t>
      </w:r>
      <w:r w:rsidRPr="00B246CC">
        <w:rPr>
          <w:rFonts w:ascii="Times New Roman" w:hAnsi="Times New Roman"/>
        </w:rPr>
        <w:t xml:space="preserve">ette proposition risque de diviser la majorité fédérale dans l’élaboration du programme de stabilité 2014-2017, en cours de préparation au moment de </w:t>
      </w:r>
      <w:r w:rsidR="001B414A">
        <w:rPr>
          <w:rFonts w:ascii="Times New Roman" w:hAnsi="Times New Roman"/>
        </w:rPr>
        <w:t>finaliser</w:t>
      </w:r>
      <w:r w:rsidRPr="00B246CC">
        <w:rPr>
          <w:rFonts w:ascii="Times New Roman" w:hAnsi="Times New Roman"/>
        </w:rPr>
        <w:t xml:space="preserve"> cet article.</w:t>
      </w:r>
    </w:p>
  </w:footnote>
  <w:footnote w:id="27">
    <w:p w14:paraId="5D365B51" w14:textId="369DB31E" w:rsidR="00AC2A94" w:rsidRPr="00B246CC" w:rsidRDefault="00AC2A94">
      <w:pPr>
        <w:autoSpaceDE w:val="0"/>
        <w:autoSpaceDN w:val="0"/>
        <w:adjustRightInd w:val="0"/>
        <w:spacing w:line="240" w:lineRule="auto"/>
        <w:jc w:val="both"/>
        <w:rPr>
          <w:rFonts w:cs="Times New Roman"/>
          <w:sz w:val="20"/>
          <w:szCs w:val="20"/>
          <w:lang w:val="fr-BE" w:eastAsia="en-US"/>
        </w:rPr>
      </w:pPr>
      <w:r w:rsidRPr="00B246CC">
        <w:rPr>
          <w:rStyle w:val="Appelnotedebasdep"/>
          <w:rFonts w:cs="Times New Roman"/>
          <w:sz w:val="20"/>
          <w:szCs w:val="20"/>
        </w:rPr>
        <w:footnoteRef/>
      </w:r>
      <w:r w:rsidRPr="00B246CC">
        <w:rPr>
          <w:rFonts w:cs="Times New Roman"/>
          <w:sz w:val="20"/>
          <w:szCs w:val="20"/>
        </w:rPr>
        <w:t xml:space="preserve"> Cette situation s’explique par la </w:t>
      </w:r>
      <w:r w:rsidR="001B414A">
        <w:rPr>
          <w:rFonts w:cs="Times New Roman"/>
          <w:sz w:val="20"/>
          <w:szCs w:val="20"/>
        </w:rPr>
        <w:t>reconduction quasi-intégrale</w:t>
      </w:r>
      <w:r w:rsidR="005D6A39">
        <w:rPr>
          <w:rFonts w:cs="Times New Roman"/>
          <w:sz w:val="20"/>
          <w:szCs w:val="20"/>
        </w:rPr>
        <w:t xml:space="preserve"> des exécutifs</w:t>
      </w:r>
      <w:r w:rsidRPr="00B246CC">
        <w:rPr>
          <w:rFonts w:cs="Times New Roman"/>
          <w:sz w:val="20"/>
          <w:szCs w:val="20"/>
        </w:rPr>
        <w:t xml:space="preserve"> </w:t>
      </w:r>
      <w:r w:rsidR="001B414A">
        <w:rPr>
          <w:rFonts w:cs="Times New Roman"/>
          <w:sz w:val="20"/>
          <w:szCs w:val="20"/>
        </w:rPr>
        <w:t>à l’issue</w:t>
      </w:r>
      <w:r w:rsidRPr="00B246CC">
        <w:rPr>
          <w:rFonts w:cs="Times New Roman"/>
          <w:sz w:val="20"/>
          <w:szCs w:val="20"/>
        </w:rPr>
        <w:t xml:space="preserve"> des élections législatives de 1991</w:t>
      </w:r>
      <w:r w:rsidR="001B414A">
        <w:rPr>
          <w:rFonts w:cs="Times New Roman"/>
          <w:sz w:val="20"/>
          <w:szCs w:val="20"/>
        </w:rPr>
        <w:t> :</w:t>
      </w:r>
      <w:r w:rsidRPr="00B246CC">
        <w:rPr>
          <w:rFonts w:cs="Times New Roman"/>
          <w:sz w:val="20"/>
          <w:szCs w:val="20"/>
        </w:rPr>
        <w:t xml:space="preserve"> seule la </w:t>
      </w:r>
      <w:r w:rsidRPr="00B246CC">
        <w:rPr>
          <w:rFonts w:cs="Times New Roman"/>
          <w:i/>
          <w:sz w:val="20"/>
          <w:szCs w:val="20"/>
        </w:rPr>
        <w:t>Volksunie</w:t>
      </w:r>
      <w:r w:rsidRPr="00B246CC">
        <w:rPr>
          <w:rFonts w:cs="Times New Roman"/>
          <w:sz w:val="20"/>
          <w:szCs w:val="20"/>
        </w:rPr>
        <w:t xml:space="preserve"> fut reléguée dans l’opposition, tant au niveau fédéral que flamand. Entre 1992 et 2004, les coalitions fédérales et fédérées étaient en outre </w:t>
      </w:r>
      <w:r w:rsidR="005D6A39">
        <w:rPr>
          <w:rFonts w:cs="Times New Roman"/>
          <w:sz w:val="20"/>
          <w:szCs w:val="20"/>
        </w:rPr>
        <w:t xml:space="preserve">totalement </w:t>
      </w:r>
      <w:r w:rsidRPr="00B246CC">
        <w:rPr>
          <w:rFonts w:cs="Times New Roman"/>
          <w:sz w:val="20"/>
          <w:szCs w:val="20"/>
        </w:rPr>
        <w:t>congruentes (</w:t>
      </w:r>
      <w:r w:rsidRPr="00B246CC">
        <w:rPr>
          <w:rFonts w:eastAsiaTheme="minorHAnsi" w:cs="Times New Roman"/>
          <w:sz w:val="20"/>
          <w:szCs w:val="20"/>
          <w:lang w:val="fr-BE" w:eastAsia="en-US"/>
        </w:rPr>
        <w:t>Deschouwer</w:t>
      </w:r>
      <w:r w:rsidRPr="00B246CC">
        <w:rPr>
          <w:rFonts w:cs="Times New Roman"/>
          <w:sz w:val="20"/>
          <w:szCs w:val="20"/>
          <w:lang w:val="fr-BE"/>
        </w:rPr>
        <w:t>, 2009).</w:t>
      </w:r>
    </w:p>
  </w:footnote>
  <w:footnote w:id="28">
    <w:p w14:paraId="095A1BA1"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Seuls six changements ont été effectués en plus dix ans, dont un en début (le 1</w:t>
      </w:r>
      <w:r w:rsidRPr="00B246CC">
        <w:rPr>
          <w:rFonts w:ascii="Times New Roman" w:hAnsi="Times New Roman"/>
          <w:vertAlign w:val="superscript"/>
        </w:rPr>
        <w:t xml:space="preserve">er </w:t>
      </w:r>
      <w:r w:rsidRPr="00B246CC">
        <w:rPr>
          <w:rFonts w:ascii="Times New Roman" w:hAnsi="Times New Roman"/>
        </w:rPr>
        <w:t>décembre 1990) et deux en fin de période (le 1</w:t>
      </w:r>
      <w:r w:rsidRPr="00B246CC">
        <w:rPr>
          <w:rFonts w:ascii="Times New Roman" w:hAnsi="Times New Roman"/>
          <w:vertAlign w:val="superscript"/>
        </w:rPr>
        <w:t xml:space="preserve">er </w:t>
      </w:r>
      <w:r w:rsidRPr="00B246CC">
        <w:rPr>
          <w:rFonts w:ascii="Times New Roman" w:hAnsi="Times New Roman"/>
        </w:rPr>
        <w:t>mars 1999).</w:t>
      </w:r>
    </w:p>
  </w:footnote>
  <w:footnote w:id="29">
    <w:p w14:paraId="60E2A3DD" w14:textId="663D3E76" w:rsidR="00AC2A94" w:rsidRPr="00B246CC" w:rsidRDefault="00AC2A94">
      <w:pPr>
        <w:tabs>
          <w:tab w:val="left" w:pos="6917"/>
        </w:tabs>
        <w:spacing w:line="240" w:lineRule="auto"/>
        <w:jc w:val="both"/>
        <w:rPr>
          <w:rFonts w:cs="Times New Roman"/>
          <w:sz w:val="20"/>
          <w:szCs w:val="20"/>
          <w:lang w:val="fr-BE"/>
        </w:rPr>
      </w:pPr>
      <w:r w:rsidRPr="00B246CC">
        <w:rPr>
          <w:rStyle w:val="Appelnotedebasdep"/>
          <w:rFonts w:cs="Times New Roman"/>
          <w:sz w:val="20"/>
          <w:szCs w:val="20"/>
        </w:rPr>
        <w:footnoteRef/>
      </w:r>
      <w:r w:rsidRPr="00B246CC">
        <w:rPr>
          <w:rFonts w:cs="Times New Roman"/>
          <w:sz w:val="20"/>
          <w:szCs w:val="20"/>
        </w:rPr>
        <w:t xml:space="preserve"> Dans un souci d’exhaustivité, </w:t>
      </w:r>
      <w:r w:rsidRPr="00B246CC">
        <w:rPr>
          <w:rFonts w:cs="Times New Roman"/>
          <w:sz w:val="20"/>
          <w:szCs w:val="20"/>
          <w:lang w:val="fr-BE"/>
        </w:rPr>
        <w:t xml:space="preserve">il convient de mentionner que sept membres, dont le président, ont été remplacés en mars 2012. Après plus de dix ans de stabilité (1989-2000), l’alternance (2000, 2006, 2012) </w:t>
      </w:r>
      <w:r w:rsidR="005D6A39">
        <w:rPr>
          <w:rFonts w:cs="Times New Roman"/>
          <w:sz w:val="20"/>
          <w:szCs w:val="20"/>
          <w:lang w:val="fr-BE"/>
        </w:rPr>
        <w:t>est</w:t>
      </w:r>
      <w:r w:rsidRPr="00B246CC">
        <w:rPr>
          <w:rFonts w:cs="Times New Roman"/>
          <w:sz w:val="20"/>
          <w:szCs w:val="20"/>
          <w:lang w:val="fr-BE"/>
        </w:rPr>
        <w:t xml:space="preserve"> donc devenue la règle au niveau de la composition de la Section.</w:t>
      </w:r>
    </w:p>
  </w:footnote>
  <w:footnote w:id="30">
    <w:p w14:paraId="71B52DD9" w14:textId="77777777"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Au sens de l’art. 5 du règlement UE n°473/2013.</w:t>
      </w:r>
    </w:p>
  </w:footnote>
  <w:footnote w:id="31">
    <w:p w14:paraId="4EACD27F" w14:textId="1EE2EDC1" w:rsidR="00AC2A94" w:rsidRPr="00B246CC"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Art. 3 et 4 de l’accord de coopération du 13 décembre 2013 entre l’État fédéral, les Communautés, les Régions et les Commissions communautaires relatif à la mise en œuvre de l’article 3, §1</w:t>
      </w:r>
      <w:r w:rsidRPr="00B246CC">
        <w:rPr>
          <w:rFonts w:ascii="Times New Roman" w:hAnsi="Times New Roman"/>
          <w:vertAlign w:val="superscript"/>
        </w:rPr>
        <w:t>er</w:t>
      </w:r>
      <w:r w:rsidRPr="00B246CC">
        <w:rPr>
          <w:rFonts w:ascii="Times New Roman" w:hAnsi="Times New Roman"/>
        </w:rPr>
        <w:t xml:space="preserve">, du Traité sur la stabilité, la coordination et la gouvernance au sein de l’Union économique et monétaire (M.B. du 18 décembre 2013). </w:t>
      </w:r>
      <w:r>
        <w:rPr>
          <w:rFonts w:ascii="Times New Roman" w:hAnsi="Times New Roman"/>
        </w:rPr>
        <w:t>En</w:t>
      </w:r>
      <w:r w:rsidRPr="00B246CC">
        <w:rPr>
          <w:rFonts w:ascii="Times New Roman" w:hAnsi="Times New Roman"/>
        </w:rPr>
        <w:t xml:space="preserve"> sa séance du 28 février 2014, le Conseil des ministres a également approuvé un projet d'arrêté royal modifiant l'arrêté royal du 3 avril 2006 relatif au Conseil supérieur des Finances. Il n’avait toutefois pas encore été </w:t>
      </w:r>
      <w:r>
        <w:rPr>
          <w:rFonts w:ascii="Times New Roman" w:hAnsi="Times New Roman"/>
        </w:rPr>
        <w:t>publié</w:t>
      </w:r>
      <w:r w:rsidRPr="00B246CC">
        <w:rPr>
          <w:rFonts w:ascii="Times New Roman" w:hAnsi="Times New Roman"/>
        </w:rPr>
        <w:t xml:space="preserve"> au moment de </w:t>
      </w:r>
      <w:r w:rsidR="00CD3AB1">
        <w:rPr>
          <w:rFonts w:ascii="Times New Roman" w:hAnsi="Times New Roman"/>
        </w:rPr>
        <w:t>finaliser</w:t>
      </w:r>
      <w:r w:rsidRPr="00B246CC">
        <w:rPr>
          <w:rFonts w:ascii="Times New Roman" w:hAnsi="Times New Roman"/>
        </w:rPr>
        <w:t xml:space="preserve"> cet article.</w:t>
      </w:r>
    </w:p>
  </w:footnote>
  <w:footnote w:id="32">
    <w:p w14:paraId="571424EE" w14:textId="77777777" w:rsidR="00AC2A94" w:rsidRPr="00B26A22" w:rsidRDefault="00AC2A94">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Si le gouvernement prend parfois le loisir de réinterpréter ces données par la suite, elles n’en constituent pas moins une base de </w:t>
      </w:r>
      <w:r w:rsidRPr="00B26A22">
        <w:rPr>
          <w:rFonts w:ascii="Times New Roman" w:hAnsi="Times New Roman"/>
        </w:rPr>
        <w:t>travail préalable.</w:t>
      </w:r>
    </w:p>
  </w:footnote>
  <w:footnote w:id="33">
    <w:p w14:paraId="3AD9B3A6" w14:textId="77777777" w:rsidR="00AC2A94" w:rsidRPr="00B246CC" w:rsidRDefault="00AC2A94" w:rsidP="00644955">
      <w:pPr>
        <w:pStyle w:val="Notedebasdepage"/>
        <w:spacing w:line="240" w:lineRule="auto"/>
        <w:rPr>
          <w:rFonts w:ascii="Times New Roman" w:hAnsi="Times New Roman"/>
        </w:rPr>
      </w:pPr>
      <w:r w:rsidRPr="00B246CC">
        <w:rPr>
          <w:rStyle w:val="Appelnotedebasdep"/>
          <w:rFonts w:ascii="Times New Roman" w:hAnsi="Times New Roman"/>
        </w:rPr>
        <w:footnoteRef/>
      </w:r>
      <w:r w:rsidRPr="00B246CC">
        <w:rPr>
          <w:rFonts w:ascii="Times New Roman" w:hAnsi="Times New Roman"/>
        </w:rPr>
        <w:t xml:space="preserve"> </w:t>
      </w:r>
      <w:r>
        <w:rPr>
          <w:rFonts w:ascii="Times New Roman" w:hAnsi="Times New Roman"/>
          <w:lang w:val="fr-FR"/>
        </w:rPr>
        <w:t xml:space="preserve">De </w:t>
      </w:r>
      <w:r w:rsidRPr="00F773D6">
        <w:rPr>
          <w:rFonts w:ascii="Times New Roman" w:hAnsi="Times New Roman"/>
          <w:lang w:val="fr-FR"/>
        </w:rPr>
        <w:t>3,5/5 </w:t>
      </w:r>
      <w:r>
        <w:rPr>
          <w:rFonts w:ascii="Times New Roman" w:hAnsi="Times New Roman"/>
          <w:lang w:val="fr-FR"/>
        </w:rPr>
        <w:t>(2009), 5/5 (2010) et 5/5 (2011).</w:t>
      </w:r>
      <w:r w:rsidRPr="00F773D6">
        <w:rPr>
          <w:rFonts w:ascii="Times New Roman" w:hAnsi="Times New Roman"/>
          <w:lang w:val="fr-FR"/>
        </w:rPr>
        <w:t xml:space="preserve"> </w:t>
      </w:r>
      <w:r w:rsidRPr="00B246CC">
        <w:rPr>
          <w:rFonts w:ascii="Times New Roman" w:hAnsi="Times New Roman"/>
        </w:rPr>
        <w:t xml:space="preserve">Voy. </w:t>
      </w:r>
      <w:proofErr w:type="gramStart"/>
      <w:r>
        <w:rPr>
          <w:rFonts w:ascii="Times New Roman" w:hAnsi="Times New Roman"/>
        </w:rPr>
        <w:t>pour</w:t>
      </w:r>
      <w:proofErr w:type="gramEnd"/>
      <w:r w:rsidRPr="00B246CC">
        <w:rPr>
          <w:rFonts w:ascii="Times New Roman" w:hAnsi="Times New Roman"/>
        </w:rPr>
        <w:t xml:space="preserve"> ce</w:t>
      </w:r>
      <w:r>
        <w:rPr>
          <w:rFonts w:ascii="Times New Roman" w:hAnsi="Times New Roman"/>
        </w:rPr>
        <w:t>tte</w:t>
      </w:r>
      <w:r w:rsidRPr="00B246CC">
        <w:rPr>
          <w:rFonts w:ascii="Times New Roman" w:hAnsi="Times New Roman"/>
        </w:rPr>
        <w:t xml:space="preserve"> derni</w:t>
      </w:r>
      <w:r>
        <w:rPr>
          <w:rFonts w:ascii="Times New Roman" w:hAnsi="Times New Roman"/>
        </w:rPr>
        <w:t>è</w:t>
      </w:r>
      <w:r w:rsidRPr="00B246CC">
        <w:rPr>
          <w:rFonts w:ascii="Times New Roman" w:hAnsi="Times New Roman"/>
        </w:rPr>
        <w:t>r</w:t>
      </w:r>
      <w:r>
        <w:rPr>
          <w:rFonts w:ascii="Times New Roman" w:hAnsi="Times New Roman"/>
        </w:rPr>
        <w:t>e</w:t>
      </w:r>
      <w:r w:rsidRPr="00B246CC">
        <w:rPr>
          <w:rFonts w:ascii="Times New Roman" w:hAnsi="Times New Roman"/>
        </w:rPr>
        <w:t xml:space="preserve"> </w:t>
      </w:r>
      <w:r>
        <w:rPr>
          <w:rFonts w:ascii="Times New Roman" w:hAnsi="Times New Roman"/>
        </w:rPr>
        <w:t>année</w:t>
      </w:r>
      <w:r w:rsidRPr="00B246CC">
        <w:rPr>
          <w:rFonts w:ascii="Times New Roman" w:hAnsi="Times New Roman"/>
        </w:rPr>
        <w:t>, la version actualisée du tableau présentée par Coene et Langenus (2013 : 152).</w:t>
      </w:r>
    </w:p>
  </w:footnote>
  <w:footnote w:id="34">
    <w:p w14:paraId="4CCDC471" w14:textId="55DFAFC8" w:rsidR="00AC2A94" w:rsidRPr="005C109E" w:rsidRDefault="00AC2A94" w:rsidP="001D48D9">
      <w:pPr>
        <w:pStyle w:val="Notedebasdepage"/>
        <w:spacing w:line="240" w:lineRule="auto"/>
        <w:rPr>
          <w:rFonts w:ascii="Times New Roman" w:hAnsi="Times New Roman"/>
        </w:rPr>
      </w:pPr>
      <w:r w:rsidRPr="001D48D9">
        <w:rPr>
          <w:rStyle w:val="Appelnotedebasdep"/>
          <w:rFonts w:ascii="Times New Roman" w:hAnsi="Times New Roman"/>
        </w:rPr>
        <w:footnoteRef/>
      </w:r>
      <w:r w:rsidRPr="001D48D9">
        <w:rPr>
          <w:rFonts w:ascii="Times New Roman" w:hAnsi="Times New Roman"/>
        </w:rPr>
        <w:t xml:space="preserve"> </w:t>
      </w:r>
      <w:r w:rsidRPr="005C109E">
        <w:rPr>
          <w:rFonts w:ascii="Times New Roman" w:hAnsi="Times New Roman"/>
        </w:rPr>
        <w:t xml:space="preserve">Sauf mention contraire, ces définitions </w:t>
      </w:r>
      <w:r w:rsidR="00875C96">
        <w:rPr>
          <w:rFonts w:ascii="Times New Roman" w:hAnsi="Times New Roman"/>
        </w:rPr>
        <w:t>s’inspirent</w:t>
      </w:r>
      <w:r w:rsidRPr="005C109E">
        <w:rPr>
          <w:rFonts w:ascii="Times New Roman" w:hAnsi="Times New Roman"/>
        </w:rPr>
        <w:t xml:space="preserve"> du lexique de Bouthevillain </w:t>
      </w:r>
      <w:r w:rsidRPr="005C109E">
        <w:rPr>
          <w:rFonts w:ascii="Times New Roman" w:hAnsi="Times New Roman"/>
          <w:i/>
        </w:rPr>
        <w:t>et al.</w:t>
      </w:r>
      <w:r w:rsidRPr="005C109E">
        <w:rPr>
          <w:rFonts w:ascii="Times New Roman" w:hAnsi="Times New Roman"/>
        </w:rPr>
        <w:t xml:space="preserve"> (2013: 333-346). </w:t>
      </w:r>
    </w:p>
  </w:footnote>
  <w:footnote w:id="35">
    <w:p w14:paraId="0CF5F46D" w14:textId="77777777" w:rsidR="00AC2A94" w:rsidRPr="005C109E" w:rsidRDefault="00AC2A94" w:rsidP="001D48D9">
      <w:pPr>
        <w:pStyle w:val="Notedebasdepage"/>
        <w:spacing w:line="240" w:lineRule="auto"/>
        <w:rPr>
          <w:rFonts w:ascii="Times New Roman" w:hAnsi="Times New Roman"/>
        </w:rPr>
      </w:pPr>
      <w:r w:rsidRPr="001D48D9">
        <w:rPr>
          <w:rStyle w:val="Appelnotedebasdep"/>
          <w:rFonts w:ascii="Times New Roman" w:hAnsi="Times New Roman"/>
        </w:rPr>
        <w:footnoteRef/>
      </w:r>
      <w:r w:rsidRPr="001D48D9">
        <w:rPr>
          <w:rFonts w:ascii="Times New Roman" w:hAnsi="Times New Roman"/>
        </w:rPr>
        <w:t xml:space="preserve"> </w:t>
      </w:r>
      <w:r>
        <w:rPr>
          <w:rFonts w:ascii="Times New Roman" w:hAnsi="Times New Roman"/>
        </w:rPr>
        <w:t>Bayenet &amp; Pagano, 2011</w:t>
      </w:r>
      <w:r w:rsidRPr="005C109E">
        <w:rPr>
          <w:rFonts w:ascii="Times New Roman" w:hAnsi="Times New Roman"/>
        </w:rPr>
        <w:t>.</w:t>
      </w:r>
    </w:p>
  </w:footnote>
  <w:footnote w:id="36">
    <w:p w14:paraId="52AEB71D" w14:textId="77777777" w:rsidR="00AC2A94" w:rsidRPr="005C109E" w:rsidRDefault="00AC2A94" w:rsidP="001D48D9">
      <w:pPr>
        <w:pStyle w:val="Notedebasdepage"/>
        <w:spacing w:line="240" w:lineRule="auto"/>
        <w:rPr>
          <w:rFonts w:ascii="Times New Roman" w:hAnsi="Times New Roman"/>
        </w:rPr>
      </w:pPr>
      <w:r w:rsidRPr="001D48D9">
        <w:rPr>
          <w:rStyle w:val="Appelnotedebasdep"/>
          <w:rFonts w:ascii="Times New Roman" w:hAnsi="Times New Roman"/>
        </w:rPr>
        <w:footnoteRef/>
      </w:r>
      <w:r w:rsidRPr="001D48D9">
        <w:rPr>
          <w:rFonts w:ascii="Times New Roman" w:hAnsi="Times New Roman"/>
        </w:rPr>
        <w:t xml:space="preserve"> </w:t>
      </w:r>
      <w:hyperlink r:id="rId2" w:history="1">
        <w:r w:rsidRPr="001D48D9">
          <w:rPr>
            <w:rStyle w:val="Lienhypertexte"/>
            <w:rFonts w:ascii="Times New Roman" w:hAnsi="Times New Roman"/>
          </w:rPr>
          <w:t>http://www.imf.org/external/np/fad/council/</w:t>
        </w:r>
      </w:hyperlink>
      <w:r w:rsidRPr="001D48D9">
        <w:rPr>
          <w:rFonts w:ascii="Times New Roman" w:hAnsi="Times New Roman"/>
        </w:rPr>
        <w:t>, consulté le 30 janvier 2014.</w:t>
      </w:r>
    </w:p>
  </w:footnote>
  <w:footnote w:id="37">
    <w:p w14:paraId="13B3B23F" w14:textId="77777777" w:rsidR="00AC2A94" w:rsidRPr="005C109E" w:rsidRDefault="00AC2A94" w:rsidP="001D48D9">
      <w:pPr>
        <w:pStyle w:val="Notedebasdepage"/>
        <w:spacing w:line="240" w:lineRule="auto"/>
        <w:rPr>
          <w:rFonts w:ascii="Times New Roman" w:hAnsi="Times New Roman"/>
        </w:rPr>
      </w:pPr>
      <w:r w:rsidRPr="001D48D9">
        <w:rPr>
          <w:rStyle w:val="Appelnotedebasdep"/>
          <w:rFonts w:ascii="Times New Roman" w:hAnsi="Times New Roman"/>
        </w:rPr>
        <w:footnoteRef/>
      </w:r>
      <w:r w:rsidRPr="001D48D9">
        <w:rPr>
          <w:rFonts w:ascii="Times New Roman" w:hAnsi="Times New Roman"/>
        </w:rPr>
        <w:t xml:space="preserve"> </w:t>
      </w:r>
      <w:hyperlink r:id="rId3" w:history="1">
        <w:r w:rsidRPr="001D48D9">
          <w:rPr>
            <w:rStyle w:val="Lienhypertexte"/>
            <w:rFonts w:ascii="Times New Roman" w:hAnsi="Times New Roman"/>
          </w:rPr>
          <w:t>http://www.budgetfederal.be/FR/Pages/lexicum.aspx</w:t>
        </w:r>
      </w:hyperlink>
      <w:r w:rsidRPr="001D48D9">
        <w:rPr>
          <w:rFonts w:ascii="Times New Roman" w:hAnsi="Times New Roman"/>
        </w:rPr>
        <w:t>, consulté le 30 janvier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1C4D"/>
    <w:multiLevelType w:val="hybridMultilevel"/>
    <w:tmpl w:val="E4FE905C"/>
    <w:lvl w:ilvl="0" w:tplc="BB4AA23C">
      <w:start w:val="1"/>
      <w:numFmt w:val="bullet"/>
      <w:lvlText w:val=""/>
      <w:lvlJc w:val="left"/>
      <w:pPr>
        <w:tabs>
          <w:tab w:val="num" w:pos="720"/>
        </w:tabs>
        <w:ind w:left="720" w:hanging="360"/>
      </w:pPr>
      <w:rPr>
        <w:rFonts w:ascii="Wingdings" w:hAnsi="Wingdings" w:hint="default"/>
      </w:rPr>
    </w:lvl>
    <w:lvl w:ilvl="1" w:tplc="557E364A" w:tentative="1">
      <w:start w:val="1"/>
      <w:numFmt w:val="bullet"/>
      <w:lvlText w:val=""/>
      <w:lvlJc w:val="left"/>
      <w:pPr>
        <w:tabs>
          <w:tab w:val="num" w:pos="1440"/>
        </w:tabs>
        <w:ind w:left="1440" w:hanging="360"/>
      </w:pPr>
      <w:rPr>
        <w:rFonts w:ascii="Wingdings" w:hAnsi="Wingdings" w:hint="default"/>
      </w:rPr>
    </w:lvl>
    <w:lvl w:ilvl="2" w:tplc="34A61002" w:tentative="1">
      <w:start w:val="1"/>
      <w:numFmt w:val="bullet"/>
      <w:lvlText w:val=""/>
      <w:lvlJc w:val="left"/>
      <w:pPr>
        <w:tabs>
          <w:tab w:val="num" w:pos="2160"/>
        </w:tabs>
        <w:ind w:left="2160" w:hanging="360"/>
      </w:pPr>
      <w:rPr>
        <w:rFonts w:ascii="Wingdings" w:hAnsi="Wingdings" w:hint="default"/>
      </w:rPr>
    </w:lvl>
    <w:lvl w:ilvl="3" w:tplc="637AC114" w:tentative="1">
      <w:start w:val="1"/>
      <w:numFmt w:val="bullet"/>
      <w:lvlText w:val=""/>
      <w:lvlJc w:val="left"/>
      <w:pPr>
        <w:tabs>
          <w:tab w:val="num" w:pos="2880"/>
        </w:tabs>
        <w:ind w:left="2880" w:hanging="360"/>
      </w:pPr>
      <w:rPr>
        <w:rFonts w:ascii="Wingdings" w:hAnsi="Wingdings" w:hint="default"/>
      </w:rPr>
    </w:lvl>
    <w:lvl w:ilvl="4" w:tplc="A40E3876" w:tentative="1">
      <w:start w:val="1"/>
      <w:numFmt w:val="bullet"/>
      <w:lvlText w:val=""/>
      <w:lvlJc w:val="left"/>
      <w:pPr>
        <w:tabs>
          <w:tab w:val="num" w:pos="3600"/>
        </w:tabs>
        <w:ind w:left="3600" w:hanging="360"/>
      </w:pPr>
      <w:rPr>
        <w:rFonts w:ascii="Wingdings" w:hAnsi="Wingdings" w:hint="default"/>
      </w:rPr>
    </w:lvl>
    <w:lvl w:ilvl="5" w:tplc="71B6C78A" w:tentative="1">
      <w:start w:val="1"/>
      <w:numFmt w:val="bullet"/>
      <w:lvlText w:val=""/>
      <w:lvlJc w:val="left"/>
      <w:pPr>
        <w:tabs>
          <w:tab w:val="num" w:pos="4320"/>
        </w:tabs>
        <w:ind w:left="4320" w:hanging="360"/>
      </w:pPr>
      <w:rPr>
        <w:rFonts w:ascii="Wingdings" w:hAnsi="Wingdings" w:hint="default"/>
      </w:rPr>
    </w:lvl>
    <w:lvl w:ilvl="6" w:tplc="B6BE4D9C" w:tentative="1">
      <w:start w:val="1"/>
      <w:numFmt w:val="bullet"/>
      <w:lvlText w:val=""/>
      <w:lvlJc w:val="left"/>
      <w:pPr>
        <w:tabs>
          <w:tab w:val="num" w:pos="5040"/>
        </w:tabs>
        <w:ind w:left="5040" w:hanging="360"/>
      </w:pPr>
      <w:rPr>
        <w:rFonts w:ascii="Wingdings" w:hAnsi="Wingdings" w:hint="default"/>
      </w:rPr>
    </w:lvl>
    <w:lvl w:ilvl="7" w:tplc="CFBAC1E4" w:tentative="1">
      <w:start w:val="1"/>
      <w:numFmt w:val="bullet"/>
      <w:lvlText w:val=""/>
      <w:lvlJc w:val="left"/>
      <w:pPr>
        <w:tabs>
          <w:tab w:val="num" w:pos="5760"/>
        </w:tabs>
        <w:ind w:left="5760" w:hanging="360"/>
      </w:pPr>
      <w:rPr>
        <w:rFonts w:ascii="Wingdings" w:hAnsi="Wingdings" w:hint="default"/>
      </w:rPr>
    </w:lvl>
    <w:lvl w:ilvl="8" w:tplc="D540798A" w:tentative="1">
      <w:start w:val="1"/>
      <w:numFmt w:val="bullet"/>
      <w:lvlText w:val=""/>
      <w:lvlJc w:val="left"/>
      <w:pPr>
        <w:tabs>
          <w:tab w:val="num" w:pos="6480"/>
        </w:tabs>
        <w:ind w:left="6480" w:hanging="360"/>
      </w:pPr>
      <w:rPr>
        <w:rFonts w:ascii="Wingdings" w:hAnsi="Wingdings" w:hint="default"/>
      </w:rPr>
    </w:lvl>
  </w:abstractNum>
  <w:abstractNum w:abstractNumId="1">
    <w:nsid w:val="233564E6"/>
    <w:multiLevelType w:val="hybridMultilevel"/>
    <w:tmpl w:val="0AF4AEDE"/>
    <w:lvl w:ilvl="0" w:tplc="19CC1420">
      <w:start w:val="1"/>
      <w:numFmt w:val="bullet"/>
      <w:lvlText w:val=""/>
      <w:lvlJc w:val="left"/>
      <w:pPr>
        <w:tabs>
          <w:tab w:val="num" w:pos="720"/>
        </w:tabs>
        <w:ind w:left="720" w:hanging="360"/>
      </w:pPr>
      <w:rPr>
        <w:rFonts w:ascii="Wingdings" w:hAnsi="Wingdings" w:hint="default"/>
      </w:rPr>
    </w:lvl>
    <w:lvl w:ilvl="1" w:tplc="5A66746A" w:tentative="1">
      <w:start w:val="1"/>
      <w:numFmt w:val="bullet"/>
      <w:lvlText w:val=""/>
      <w:lvlJc w:val="left"/>
      <w:pPr>
        <w:tabs>
          <w:tab w:val="num" w:pos="1440"/>
        </w:tabs>
        <w:ind w:left="1440" w:hanging="360"/>
      </w:pPr>
      <w:rPr>
        <w:rFonts w:ascii="Wingdings" w:hAnsi="Wingdings" w:hint="default"/>
      </w:rPr>
    </w:lvl>
    <w:lvl w:ilvl="2" w:tplc="624A40DA" w:tentative="1">
      <w:start w:val="1"/>
      <w:numFmt w:val="bullet"/>
      <w:lvlText w:val=""/>
      <w:lvlJc w:val="left"/>
      <w:pPr>
        <w:tabs>
          <w:tab w:val="num" w:pos="2160"/>
        </w:tabs>
        <w:ind w:left="2160" w:hanging="360"/>
      </w:pPr>
      <w:rPr>
        <w:rFonts w:ascii="Wingdings" w:hAnsi="Wingdings" w:hint="default"/>
      </w:rPr>
    </w:lvl>
    <w:lvl w:ilvl="3" w:tplc="807C78FA" w:tentative="1">
      <w:start w:val="1"/>
      <w:numFmt w:val="bullet"/>
      <w:lvlText w:val=""/>
      <w:lvlJc w:val="left"/>
      <w:pPr>
        <w:tabs>
          <w:tab w:val="num" w:pos="2880"/>
        </w:tabs>
        <w:ind w:left="2880" w:hanging="360"/>
      </w:pPr>
      <w:rPr>
        <w:rFonts w:ascii="Wingdings" w:hAnsi="Wingdings" w:hint="default"/>
      </w:rPr>
    </w:lvl>
    <w:lvl w:ilvl="4" w:tplc="8C425B4E" w:tentative="1">
      <w:start w:val="1"/>
      <w:numFmt w:val="bullet"/>
      <w:lvlText w:val=""/>
      <w:lvlJc w:val="left"/>
      <w:pPr>
        <w:tabs>
          <w:tab w:val="num" w:pos="3600"/>
        </w:tabs>
        <w:ind w:left="3600" w:hanging="360"/>
      </w:pPr>
      <w:rPr>
        <w:rFonts w:ascii="Wingdings" w:hAnsi="Wingdings" w:hint="default"/>
      </w:rPr>
    </w:lvl>
    <w:lvl w:ilvl="5" w:tplc="3A486618" w:tentative="1">
      <w:start w:val="1"/>
      <w:numFmt w:val="bullet"/>
      <w:lvlText w:val=""/>
      <w:lvlJc w:val="left"/>
      <w:pPr>
        <w:tabs>
          <w:tab w:val="num" w:pos="4320"/>
        </w:tabs>
        <w:ind w:left="4320" w:hanging="360"/>
      </w:pPr>
      <w:rPr>
        <w:rFonts w:ascii="Wingdings" w:hAnsi="Wingdings" w:hint="default"/>
      </w:rPr>
    </w:lvl>
    <w:lvl w:ilvl="6" w:tplc="0D3E55D8" w:tentative="1">
      <w:start w:val="1"/>
      <w:numFmt w:val="bullet"/>
      <w:lvlText w:val=""/>
      <w:lvlJc w:val="left"/>
      <w:pPr>
        <w:tabs>
          <w:tab w:val="num" w:pos="5040"/>
        </w:tabs>
        <w:ind w:left="5040" w:hanging="360"/>
      </w:pPr>
      <w:rPr>
        <w:rFonts w:ascii="Wingdings" w:hAnsi="Wingdings" w:hint="default"/>
      </w:rPr>
    </w:lvl>
    <w:lvl w:ilvl="7" w:tplc="93081570" w:tentative="1">
      <w:start w:val="1"/>
      <w:numFmt w:val="bullet"/>
      <w:lvlText w:val=""/>
      <w:lvlJc w:val="left"/>
      <w:pPr>
        <w:tabs>
          <w:tab w:val="num" w:pos="5760"/>
        </w:tabs>
        <w:ind w:left="5760" w:hanging="360"/>
      </w:pPr>
      <w:rPr>
        <w:rFonts w:ascii="Wingdings" w:hAnsi="Wingdings" w:hint="default"/>
      </w:rPr>
    </w:lvl>
    <w:lvl w:ilvl="8" w:tplc="AEF217B2" w:tentative="1">
      <w:start w:val="1"/>
      <w:numFmt w:val="bullet"/>
      <w:lvlText w:val=""/>
      <w:lvlJc w:val="left"/>
      <w:pPr>
        <w:tabs>
          <w:tab w:val="num" w:pos="6480"/>
        </w:tabs>
        <w:ind w:left="6480" w:hanging="360"/>
      </w:pPr>
      <w:rPr>
        <w:rFonts w:ascii="Wingdings" w:hAnsi="Wingdings" w:hint="default"/>
      </w:rPr>
    </w:lvl>
  </w:abstractNum>
  <w:abstractNum w:abstractNumId="2">
    <w:nsid w:val="35F11ED5"/>
    <w:multiLevelType w:val="hybridMultilevel"/>
    <w:tmpl w:val="1E0AC964"/>
    <w:lvl w:ilvl="0" w:tplc="AC34CB2E">
      <w:start w:val="1"/>
      <w:numFmt w:val="bullet"/>
      <w:lvlText w:val=""/>
      <w:lvlJc w:val="left"/>
      <w:pPr>
        <w:tabs>
          <w:tab w:val="num" w:pos="720"/>
        </w:tabs>
        <w:ind w:left="720" w:hanging="360"/>
      </w:pPr>
      <w:rPr>
        <w:rFonts w:ascii="Wingdings" w:hAnsi="Wingdings" w:hint="default"/>
      </w:rPr>
    </w:lvl>
    <w:lvl w:ilvl="1" w:tplc="6220FE52" w:tentative="1">
      <w:start w:val="1"/>
      <w:numFmt w:val="bullet"/>
      <w:lvlText w:val=""/>
      <w:lvlJc w:val="left"/>
      <w:pPr>
        <w:tabs>
          <w:tab w:val="num" w:pos="1440"/>
        </w:tabs>
        <w:ind w:left="1440" w:hanging="360"/>
      </w:pPr>
      <w:rPr>
        <w:rFonts w:ascii="Wingdings" w:hAnsi="Wingdings" w:hint="default"/>
      </w:rPr>
    </w:lvl>
    <w:lvl w:ilvl="2" w:tplc="2DBCDF22" w:tentative="1">
      <w:start w:val="1"/>
      <w:numFmt w:val="bullet"/>
      <w:lvlText w:val=""/>
      <w:lvlJc w:val="left"/>
      <w:pPr>
        <w:tabs>
          <w:tab w:val="num" w:pos="2160"/>
        </w:tabs>
        <w:ind w:left="2160" w:hanging="360"/>
      </w:pPr>
      <w:rPr>
        <w:rFonts w:ascii="Wingdings" w:hAnsi="Wingdings" w:hint="default"/>
      </w:rPr>
    </w:lvl>
    <w:lvl w:ilvl="3" w:tplc="D806D804" w:tentative="1">
      <w:start w:val="1"/>
      <w:numFmt w:val="bullet"/>
      <w:lvlText w:val=""/>
      <w:lvlJc w:val="left"/>
      <w:pPr>
        <w:tabs>
          <w:tab w:val="num" w:pos="2880"/>
        </w:tabs>
        <w:ind w:left="2880" w:hanging="360"/>
      </w:pPr>
      <w:rPr>
        <w:rFonts w:ascii="Wingdings" w:hAnsi="Wingdings" w:hint="default"/>
      </w:rPr>
    </w:lvl>
    <w:lvl w:ilvl="4" w:tplc="B66E2F26" w:tentative="1">
      <w:start w:val="1"/>
      <w:numFmt w:val="bullet"/>
      <w:lvlText w:val=""/>
      <w:lvlJc w:val="left"/>
      <w:pPr>
        <w:tabs>
          <w:tab w:val="num" w:pos="3600"/>
        </w:tabs>
        <w:ind w:left="3600" w:hanging="360"/>
      </w:pPr>
      <w:rPr>
        <w:rFonts w:ascii="Wingdings" w:hAnsi="Wingdings" w:hint="default"/>
      </w:rPr>
    </w:lvl>
    <w:lvl w:ilvl="5" w:tplc="53044678" w:tentative="1">
      <w:start w:val="1"/>
      <w:numFmt w:val="bullet"/>
      <w:lvlText w:val=""/>
      <w:lvlJc w:val="left"/>
      <w:pPr>
        <w:tabs>
          <w:tab w:val="num" w:pos="4320"/>
        </w:tabs>
        <w:ind w:left="4320" w:hanging="360"/>
      </w:pPr>
      <w:rPr>
        <w:rFonts w:ascii="Wingdings" w:hAnsi="Wingdings" w:hint="default"/>
      </w:rPr>
    </w:lvl>
    <w:lvl w:ilvl="6" w:tplc="F90E4280" w:tentative="1">
      <w:start w:val="1"/>
      <w:numFmt w:val="bullet"/>
      <w:lvlText w:val=""/>
      <w:lvlJc w:val="left"/>
      <w:pPr>
        <w:tabs>
          <w:tab w:val="num" w:pos="5040"/>
        </w:tabs>
        <w:ind w:left="5040" w:hanging="360"/>
      </w:pPr>
      <w:rPr>
        <w:rFonts w:ascii="Wingdings" w:hAnsi="Wingdings" w:hint="default"/>
      </w:rPr>
    </w:lvl>
    <w:lvl w:ilvl="7" w:tplc="9536E132" w:tentative="1">
      <w:start w:val="1"/>
      <w:numFmt w:val="bullet"/>
      <w:lvlText w:val=""/>
      <w:lvlJc w:val="left"/>
      <w:pPr>
        <w:tabs>
          <w:tab w:val="num" w:pos="5760"/>
        </w:tabs>
        <w:ind w:left="5760" w:hanging="360"/>
      </w:pPr>
      <w:rPr>
        <w:rFonts w:ascii="Wingdings" w:hAnsi="Wingdings" w:hint="default"/>
      </w:rPr>
    </w:lvl>
    <w:lvl w:ilvl="8" w:tplc="FDAC5E06" w:tentative="1">
      <w:start w:val="1"/>
      <w:numFmt w:val="bullet"/>
      <w:lvlText w:val=""/>
      <w:lvlJc w:val="left"/>
      <w:pPr>
        <w:tabs>
          <w:tab w:val="num" w:pos="6480"/>
        </w:tabs>
        <w:ind w:left="6480" w:hanging="360"/>
      </w:pPr>
      <w:rPr>
        <w:rFonts w:ascii="Wingdings" w:hAnsi="Wingdings" w:hint="default"/>
      </w:rPr>
    </w:lvl>
  </w:abstractNum>
  <w:abstractNum w:abstractNumId="3">
    <w:nsid w:val="46754959"/>
    <w:multiLevelType w:val="hybridMultilevel"/>
    <w:tmpl w:val="18BA1D32"/>
    <w:lvl w:ilvl="0" w:tplc="FD94BD9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FC7A87"/>
    <w:multiLevelType w:val="hybridMultilevel"/>
    <w:tmpl w:val="D9DA13EA"/>
    <w:lvl w:ilvl="0" w:tplc="5D8C4262">
      <w:start w:val="1"/>
      <w:numFmt w:val="bullet"/>
      <w:lvlText w:val=""/>
      <w:lvlJc w:val="left"/>
      <w:pPr>
        <w:tabs>
          <w:tab w:val="num" w:pos="720"/>
        </w:tabs>
        <w:ind w:left="720" w:hanging="360"/>
      </w:pPr>
      <w:rPr>
        <w:rFonts w:ascii="Wingdings" w:hAnsi="Wingdings" w:hint="default"/>
      </w:rPr>
    </w:lvl>
    <w:lvl w:ilvl="1" w:tplc="3ED6FD7E" w:tentative="1">
      <w:start w:val="1"/>
      <w:numFmt w:val="bullet"/>
      <w:lvlText w:val=""/>
      <w:lvlJc w:val="left"/>
      <w:pPr>
        <w:tabs>
          <w:tab w:val="num" w:pos="1440"/>
        </w:tabs>
        <w:ind w:left="1440" w:hanging="360"/>
      </w:pPr>
      <w:rPr>
        <w:rFonts w:ascii="Wingdings" w:hAnsi="Wingdings" w:hint="default"/>
      </w:rPr>
    </w:lvl>
    <w:lvl w:ilvl="2" w:tplc="68202EF8" w:tentative="1">
      <w:start w:val="1"/>
      <w:numFmt w:val="bullet"/>
      <w:lvlText w:val=""/>
      <w:lvlJc w:val="left"/>
      <w:pPr>
        <w:tabs>
          <w:tab w:val="num" w:pos="2160"/>
        </w:tabs>
        <w:ind w:left="2160" w:hanging="360"/>
      </w:pPr>
      <w:rPr>
        <w:rFonts w:ascii="Wingdings" w:hAnsi="Wingdings" w:hint="default"/>
      </w:rPr>
    </w:lvl>
    <w:lvl w:ilvl="3" w:tplc="42CE56BE" w:tentative="1">
      <w:start w:val="1"/>
      <w:numFmt w:val="bullet"/>
      <w:lvlText w:val=""/>
      <w:lvlJc w:val="left"/>
      <w:pPr>
        <w:tabs>
          <w:tab w:val="num" w:pos="2880"/>
        </w:tabs>
        <w:ind w:left="2880" w:hanging="360"/>
      </w:pPr>
      <w:rPr>
        <w:rFonts w:ascii="Wingdings" w:hAnsi="Wingdings" w:hint="default"/>
      </w:rPr>
    </w:lvl>
    <w:lvl w:ilvl="4" w:tplc="2200E0AE" w:tentative="1">
      <w:start w:val="1"/>
      <w:numFmt w:val="bullet"/>
      <w:lvlText w:val=""/>
      <w:lvlJc w:val="left"/>
      <w:pPr>
        <w:tabs>
          <w:tab w:val="num" w:pos="3600"/>
        </w:tabs>
        <w:ind w:left="3600" w:hanging="360"/>
      </w:pPr>
      <w:rPr>
        <w:rFonts w:ascii="Wingdings" w:hAnsi="Wingdings" w:hint="default"/>
      </w:rPr>
    </w:lvl>
    <w:lvl w:ilvl="5" w:tplc="00AE8172" w:tentative="1">
      <w:start w:val="1"/>
      <w:numFmt w:val="bullet"/>
      <w:lvlText w:val=""/>
      <w:lvlJc w:val="left"/>
      <w:pPr>
        <w:tabs>
          <w:tab w:val="num" w:pos="4320"/>
        </w:tabs>
        <w:ind w:left="4320" w:hanging="360"/>
      </w:pPr>
      <w:rPr>
        <w:rFonts w:ascii="Wingdings" w:hAnsi="Wingdings" w:hint="default"/>
      </w:rPr>
    </w:lvl>
    <w:lvl w:ilvl="6" w:tplc="82462C3C" w:tentative="1">
      <w:start w:val="1"/>
      <w:numFmt w:val="bullet"/>
      <w:lvlText w:val=""/>
      <w:lvlJc w:val="left"/>
      <w:pPr>
        <w:tabs>
          <w:tab w:val="num" w:pos="5040"/>
        </w:tabs>
        <w:ind w:left="5040" w:hanging="360"/>
      </w:pPr>
      <w:rPr>
        <w:rFonts w:ascii="Wingdings" w:hAnsi="Wingdings" w:hint="default"/>
      </w:rPr>
    </w:lvl>
    <w:lvl w:ilvl="7" w:tplc="505EBF84" w:tentative="1">
      <w:start w:val="1"/>
      <w:numFmt w:val="bullet"/>
      <w:lvlText w:val=""/>
      <w:lvlJc w:val="left"/>
      <w:pPr>
        <w:tabs>
          <w:tab w:val="num" w:pos="5760"/>
        </w:tabs>
        <w:ind w:left="5760" w:hanging="360"/>
      </w:pPr>
      <w:rPr>
        <w:rFonts w:ascii="Wingdings" w:hAnsi="Wingdings" w:hint="default"/>
      </w:rPr>
    </w:lvl>
    <w:lvl w:ilvl="8" w:tplc="AF2A7CA0" w:tentative="1">
      <w:start w:val="1"/>
      <w:numFmt w:val="bullet"/>
      <w:lvlText w:val=""/>
      <w:lvlJc w:val="left"/>
      <w:pPr>
        <w:tabs>
          <w:tab w:val="num" w:pos="6480"/>
        </w:tabs>
        <w:ind w:left="6480" w:hanging="360"/>
      </w:pPr>
      <w:rPr>
        <w:rFonts w:ascii="Wingdings" w:hAnsi="Wingdings" w:hint="default"/>
      </w:rPr>
    </w:lvl>
  </w:abstractNum>
  <w:abstractNum w:abstractNumId="5">
    <w:nsid w:val="5E215372"/>
    <w:multiLevelType w:val="hybridMultilevel"/>
    <w:tmpl w:val="0330AD5A"/>
    <w:lvl w:ilvl="0" w:tplc="DE48FA20">
      <w:start w:val="1"/>
      <w:numFmt w:val="bullet"/>
      <w:lvlText w:val=""/>
      <w:lvlJc w:val="left"/>
      <w:pPr>
        <w:tabs>
          <w:tab w:val="num" w:pos="720"/>
        </w:tabs>
        <w:ind w:left="720" w:hanging="360"/>
      </w:pPr>
      <w:rPr>
        <w:rFonts w:ascii="Wingdings" w:hAnsi="Wingdings" w:hint="default"/>
      </w:rPr>
    </w:lvl>
    <w:lvl w:ilvl="1" w:tplc="60AE76A2" w:tentative="1">
      <w:start w:val="1"/>
      <w:numFmt w:val="bullet"/>
      <w:lvlText w:val=""/>
      <w:lvlJc w:val="left"/>
      <w:pPr>
        <w:tabs>
          <w:tab w:val="num" w:pos="1440"/>
        </w:tabs>
        <w:ind w:left="1440" w:hanging="360"/>
      </w:pPr>
      <w:rPr>
        <w:rFonts w:ascii="Wingdings" w:hAnsi="Wingdings" w:hint="default"/>
      </w:rPr>
    </w:lvl>
    <w:lvl w:ilvl="2" w:tplc="7EB8E5D4" w:tentative="1">
      <w:start w:val="1"/>
      <w:numFmt w:val="bullet"/>
      <w:lvlText w:val=""/>
      <w:lvlJc w:val="left"/>
      <w:pPr>
        <w:tabs>
          <w:tab w:val="num" w:pos="2160"/>
        </w:tabs>
        <w:ind w:left="2160" w:hanging="360"/>
      </w:pPr>
      <w:rPr>
        <w:rFonts w:ascii="Wingdings" w:hAnsi="Wingdings" w:hint="default"/>
      </w:rPr>
    </w:lvl>
    <w:lvl w:ilvl="3" w:tplc="86643012" w:tentative="1">
      <w:start w:val="1"/>
      <w:numFmt w:val="bullet"/>
      <w:lvlText w:val=""/>
      <w:lvlJc w:val="left"/>
      <w:pPr>
        <w:tabs>
          <w:tab w:val="num" w:pos="2880"/>
        </w:tabs>
        <w:ind w:left="2880" w:hanging="360"/>
      </w:pPr>
      <w:rPr>
        <w:rFonts w:ascii="Wingdings" w:hAnsi="Wingdings" w:hint="default"/>
      </w:rPr>
    </w:lvl>
    <w:lvl w:ilvl="4" w:tplc="97925D9C" w:tentative="1">
      <w:start w:val="1"/>
      <w:numFmt w:val="bullet"/>
      <w:lvlText w:val=""/>
      <w:lvlJc w:val="left"/>
      <w:pPr>
        <w:tabs>
          <w:tab w:val="num" w:pos="3600"/>
        </w:tabs>
        <w:ind w:left="3600" w:hanging="360"/>
      </w:pPr>
      <w:rPr>
        <w:rFonts w:ascii="Wingdings" w:hAnsi="Wingdings" w:hint="default"/>
      </w:rPr>
    </w:lvl>
    <w:lvl w:ilvl="5" w:tplc="A6F6ABDE" w:tentative="1">
      <w:start w:val="1"/>
      <w:numFmt w:val="bullet"/>
      <w:lvlText w:val=""/>
      <w:lvlJc w:val="left"/>
      <w:pPr>
        <w:tabs>
          <w:tab w:val="num" w:pos="4320"/>
        </w:tabs>
        <w:ind w:left="4320" w:hanging="360"/>
      </w:pPr>
      <w:rPr>
        <w:rFonts w:ascii="Wingdings" w:hAnsi="Wingdings" w:hint="default"/>
      </w:rPr>
    </w:lvl>
    <w:lvl w:ilvl="6" w:tplc="E9E6D1BA" w:tentative="1">
      <w:start w:val="1"/>
      <w:numFmt w:val="bullet"/>
      <w:lvlText w:val=""/>
      <w:lvlJc w:val="left"/>
      <w:pPr>
        <w:tabs>
          <w:tab w:val="num" w:pos="5040"/>
        </w:tabs>
        <w:ind w:left="5040" w:hanging="360"/>
      </w:pPr>
      <w:rPr>
        <w:rFonts w:ascii="Wingdings" w:hAnsi="Wingdings" w:hint="default"/>
      </w:rPr>
    </w:lvl>
    <w:lvl w:ilvl="7" w:tplc="4734194C" w:tentative="1">
      <w:start w:val="1"/>
      <w:numFmt w:val="bullet"/>
      <w:lvlText w:val=""/>
      <w:lvlJc w:val="left"/>
      <w:pPr>
        <w:tabs>
          <w:tab w:val="num" w:pos="5760"/>
        </w:tabs>
        <w:ind w:left="5760" w:hanging="360"/>
      </w:pPr>
      <w:rPr>
        <w:rFonts w:ascii="Wingdings" w:hAnsi="Wingdings" w:hint="default"/>
      </w:rPr>
    </w:lvl>
    <w:lvl w:ilvl="8" w:tplc="BD82A1C4" w:tentative="1">
      <w:start w:val="1"/>
      <w:numFmt w:val="bullet"/>
      <w:lvlText w:val=""/>
      <w:lvlJc w:val="left"/>
      <w:pPr>
        <w:tabs>
          <w:tab w:val="num" w:pos="6480"/>
        </w:tabs>
        <w:ind w:left="6480" w:hanging="360"/>
      </w:pPr>
      <w:rPr>
        <w:rFonts w:ascii="Wingdings" w:hAnsi="Wingdings" w:hint="default"/>
      </w:rPr>
    </w:lvl>
  </w:abstractNum>
  <w:abstractNum w:abstractNumId="6">
    <w:nsid w:val="73375CA4"/>
    <w:multiLevelType w:val="hybridMultilevel"/>
    <w:tmpl w:val="7C02BD20"/>
    <w:lvl w:ilvl="0" w:tplc="F432BED2">
      <w:start w:val="1"/>
      <w:numFmt w:val="bullet"/>
      <w:lvlText w:val="-"/>
      <w:lvlJc w:val="left"/>
      <w:pPr>
        <w:tabs>
          <w:tab w:val="num" w:pos="720"/>
        </w:tabs>
        <w:ind w:left="720" w:hanging="360"/>
      </w:pPr>
      <w:rPr>
        <w:rFonts w:ascii="Times" w:hAnsi="Times" w:hint="default"/>
      </w:rPr>
    </w:lvl>
    <w:lvl w:ilvl="1" w:tplc="F170FCDC" w:tentative="1">
      <w:start w:val="1"/>
      <w:numFmt w:val="bullet"/>
      <w:lvlText w:val="-"/>
      <w:lvlJc w:val="left"/>
      <w:pPr>
        <w:tabs>
          <w:tab w:val="num" w:pos="1440"/>
        </w:tabs>
        <w:ind w:left="1440" w:hanging="360"/>
      </w:pPr>
      <w:rPr>
        <w:rFonts w:ascii="Times" w:hAnsi="Times" w:hint="default"/>
      </w:rPr>
    </w:lvl>
    <w:lvl w:ilvl="2" w:tplc="37FAD404" w:tentative="1">
      <w:start w:val="1"/>
      <w:numFmt w:val="bullet"/>
      <w:lvlText w:val="-"/>
      <w:lvlJc w:val="left"/>
      <w:pPr>
        <w:tabs>
          <w:tab w:val="num" w:pos="2160"/>
        </w:tabs>
        <w:ind w:left="2160" w:hanging="360"/>
      </w:pPr>
      <w:rPr>
        <w:rFonts w:ascii="Times" w:hAnsi="Times" w:hint="default"/>
      </w:rPr>
    </w:lvl>
    <w:lvl w:ilvl="3" w:tplc="29D65F0A" w:tentative="1">
      <w:start w:val="1"/>
      <w:numFmt w:val="bullet"/>
      <w:lvlText w:val="-"/>
      <w:lvlJc w:val="left"/>
      <w:pPr>
        <w:tabs>
          <w:tab w:val="num" w:pos="2880"/>
        </w:tabs>
        <w:ind w:left="2880" w:hanging="360"/>
      </w:pPr>
      <w:rPr>
        <w:rFonts w:ascii="Times" w:hAnsi="Times" w:hint="default"/>
      </w:rPr>
    </w:lvl>
    <w:lvl w:ilvl="4" w:tplc="6FB03DF0" w:tentative="1">
      <w:start w:val="1"/>
      <w:numFmt w:val="bullet"/>
      <w:lvlText w:val="-"/>
      <w:lvlJc w:val="left"/>
      <w:pPr>
        <w:tabs>
          <w:tab w:val="num" w:pos="3600"/>
        </w:tabs>
        <w:ind w:left="3600" w:hanging="360"/>
      </w:pPr>
      <w:rPr>
        <w:rFonts w:ascii="Times" w:hAnsi="Times" w:hint="default"/>
      </w:rPr>
    </w:lvl>
    <w:lvl w:ilvl="5" w:tplc="9D66B7E0" w:tentative="1">
      <w:start w:val="1"/>
      <w:numFmt w:val="bullet"/>
      <w:lvlText w:val="-"/>
      <w:lvlJc w:val="left"/>
      <w:pPr>
        <w:tabs>
          <w:tab w:val="num" w:pos="4320"/>
        </w:tabs>
        <w:ind w:left="4320" w:hanging="360"/>
      </w:pPr>
      <w:rPr>
        <w:rFonts w:ascii="Times" w:hAnsi="Times" w:hint="default"/>
      </w:rPr>
    </w:lvl>
    <w:lvl w:ilvl="6" w:tplc="9B14D054" w:tentative="1">
      <w:start w:val="1"/>
      <w:numFmt w:val="bullet"/>
      <w:lvlText w:val="-"/>
      <w:lvlJc w:val="left"/>
      <w:pPr>
        <w:tabs>
          <w:tab w:val="num" w:pos="5040"/>
        </w:tabs>
        <w:ind w:left="5040" w:hanging="360"/>
      </w:pPr>
      <w:rPr>
        <w:rFonts w:ascii="Times" w:hAnsi="Times" w:hint="default"/>
      </w:rPr>
    </w:lvl>
    <w:lvl w:ilvl="7" w:tplc="E41A4C92" w:tentative="1">
      <w:start w:val="1"/>
      <w:numFmt w:val="bullet"/>
      <w:lvlText w:val="-"/>
      <w:lvlJc w:val="left"/>
      <w:pPr>
        <w:tabs>
          <w:tab w:val="num" w:pos="5760"/>
        </w:tabs>
        <w:ind w:left="5760" w:hanging="360"/>
      </w:pPr>
      <w:rPr>
        <w:rFonts w:ascii="Times" w:hAnsi="Times" w:hint="default"/>
      </w:rPr>
    </w:lvl>
    <w:lvl w:ilvl="8" w:tplc="D4766A68" w:tentative="1">
      <w:start w:val="1"/>
      <w:numFmt w:val="bullet"/>
      <w:lvlText w:val="-"/>
      <w:lvlJc w:val="left"/>
      <w:pPr>
        <w:tabs>
          <w:tab w:val="num" w:pos="6480"/>
        </w:tabs>
        <w:ind w:left="6480" w:hanging="360"/>
      </w:pPr>
      <w:rPr>
        <w:rFonts w:ascii="Times" w:hAnsi="Times" w:hint="default"/>
      </w:rPr>
    </w:lvl>
  </w:abstractNum>
  <w:abstractNum w:abstractNumId="7">
    <w:nsid w:val="799B047C"/>
    <w:multiLevelType w:val="hybridMultilevel"/>
    <w:tmpl w:val="93DCC31A"/>
    <w:lvl w:ilvl="0" w:tplc="572A6D38">
      <w:start w:val="1"/>
      <w:numFmt w:val="bullet"/>
      <w:lvlText w:val="-"/>
      <w:lvlJc w:val="left"/>
      <w:pPr>
        <w:tabs>
          <w:tab w:val="num" w:pos="720"/>
        </w:tabs>
        <w:ind w:left="720" w:hanging="360"/>
      </w:pPr>
      <w:rPr>
        <w:rFonts w:ascii="Times" w:hAnsi="Times" w:hint="default"/>
      </w:rPr>
    </w:lvl>
    <w:lvl w:ilvl="1" w:tplc="55FAE6DE" w:tentative="1">
      <w:start w:val="1"/>
      <w:numFmt w:val="bullet"/>
      <w:lvlText w:val="-"/>
      <w:lvlJc w:val="left"/>
      <w:pPr>
        <w:tabs>
          <w:tab w:val="num" w:pos="1440"/>
        </w:tabs>
        <w:ind w:left="1440" w:hanging="360"/>
      </w:pPr>
      <w:rPr>
        <w:rFonts w:ascii="Times" w:hAnsi="Times" w:hint="default"/>
      </w:rPr>
    </w:lvl>
    <w:lvl w:ilvl="2" w:tplc="65C6EE34" w:tentative="1">
      <w:start w:val="1"/>
      <w:numFmt w:val="bullet"/>
      <w:lvlText w:val="-"/>
      <w:lvlJc w:val="left"/>
      <w:pPr>
        <w:tabs>
          <w:tab w:val="num" w:pos="2160"/>
        </w:tabs>
        <w:ind w:left="2160" w:hanging="360"/>
      </w:pPr>
      <w:rPr>
        <w:rFonts w:ascii="Times" w:hAnsi="Times" w:hint="default"/>
      </w:rPr>
    </w:lvl>
    <w:lvl w:ilvl="3" w:tplc="E14E1EA2" w:tentative="1">
      <w:start w:val="1"/>
      <w:numFmt w:val="bullet"/>
      <w:lvlText w:val="-"/>
      <w:lvlJc w:val="left"/>
      <w:pPr>
        <w:tabs>
          <w:tab w:val="num" w:pos="2880"/>
        </w:tabs>
        <w:ind w:left="2880" w:hanging="360"/>
      </w:pPr>
      <w:rPr>
        <w:rFonts w:ascii="Times" w:hAnsi="Times" w:hint="default"/>
      </w:rPr>
    </w:lvl>
    <w:lvl w:ilvl="4" w:tplc="A5DC897E" w:tentative="1">
      <w:start w:val="1"/>
      <w:numFmt w:val="bullet"/>
      <w:lvlText w:val="-"/>
      <w:lvlJc w:val="left"/>
      <w:pPr>
        <w:tabs>
          <w:tab w:val="num" w:pos="3600"/>
        </w:tabs>
        <w:ind w:left="3600" w:hanging="360"/>
      </w:pPr>
      <w:rPr>
        <w:rFonts w:ascii="Times" w:hAnsi="Times" w:hint="default"/>
      </w:rPr>
    </w:lvl>
    <w:lvl w:ilvl="5" w:tplc="19C64408" w:tentative="1">
      <w:start w:val="1"/>
      <w:numFmt w:val="bullet"/>
      <w:lvlText w:val="-"/>
      <w:lvlJc w:val="left"/>
      <w:pPr>
        <w:tabs>
          <w:tab w:val="num" w:pos="4320"/>
        </w:tabs>
        <w:ind w:left="4320" w:hanging="360"/>
      </w:pPr>
      <w:rPr>
        <w:rFonts w:ascii="Times" w:hAnsi="Times" w:hint="default"/>
      </w:rPr>
    </w:lvl>
    <w:lvl w:ilvl="6" w:tplc="43267624" w:tentative="1">
      <w:start w:val="1"/>
      <w:numFmt w:val="bullet"/>
      <w:lvlText w:val="-"/>
      <w:lvlJc w:val="left"/>
      <w:pPr>
        <w:tabs>
          <w:tab w:val="num" w:pos="5040"/>
        </w:tabs>
        <w:ind w:left="5040" w:hanging="360"/>
      </w:pPr>
      <w:rPr>
        <w:rFonts w:ascii="Times" w:hAnsi="Times" w:hint="default"/>
      </w:rPr>
    </w:lvl>
    <w:lvl w:ilvl="7" w:tplc="A43AC68C" w:tentative="1">
      <w:start w:val="1"/>
      <w:numFmt w:val="bullet"/>
      <w:lvlText w:val="-"/>
      <w:lvlJc w:val="left"/>
      <w:pPr>
        <w:tabs>
          <w:tab w:val="num" w:pos="5760"/>
        </w:tabs>
        <w:ind w:left="5760" w:hanging="360"/>
      </w:pPr>
      <w:rPr>
        <w:rFonts w:ascii="Times" w:hAnsi="Times" w:hint="default"/>
      </w:rPr>
    </w:lvl>
    <w:lvl w:ilvl="8" w:tplc="668A16AA" w:tentative="1">
      <w:start w:val="1"/>
      <w:numFmt w:val="bullet"/>
      <w:lvlText w:val="-"/>
      <w:lvlJc w:val="left"/>
      <w:pPr>
        <w:tabs>
          <w:tab w:val="num" w:pos="6480"/>
        </w:tabs>
        <w:ind w:left="6480" w:hanging="360"/>
      </w:pPr>
      <w:rPr>
        <w:rFonts w:ascii="Times" w:hAnsi="Time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0E"/>
    <w:rsid w:val="000034C6"/>
    <w:rsid w:val="0000435C"/>
    <w:rsid w:val="00004E50"/>
    <w:rsid w:val="00013735"/>
    <w:rsid w:val="00020B22"/>
    <w:rsid w:val="00020D76"/>
    <w:rsid w:val="00021047"/>
    <w:rsid w:val="000218F2"/>
    <w:rsid w:val="00022642"/>
    <w:rsid w:val="00024CE7"/>
    <w:rsid w:val="00026885"/>
    <w:rsid w:val="00030002"/>
    <w:rsid w:val="00031038"/>
    <w:rsid w:val="0003194D"/>
    <w:rsid w:val="00040D56"/>
    <w:rsid w:val="00042E59"/>
    <w:rsid w:val="000467BE"/>
    <w:rsid w:val="00051B48"/>
    <w:rsid w:val="0005235C"/>
    <w:rsid w:val="00052A55"/>
    <w:rsid w:val="000533FE"/>
    <w:rsid w:val="00057B97"/>
    <w:rsid w:val="00057FA0"/>
    <w:rsid w:val="000634D7"/>
    <w:rsid w:val="000657EC"/>
    <w:rsid w:val="00071731"/>
    <w:rsid w:val="00071B97"/>
    <w:rsid w:val="00073E68"/>
    <w:rsid w:val="000821F7"/>
    <w:rsid w:val="00082414"/>
    <w:rsid w:val="00083800"/>
    <w:rsid w:val="0008587C"/>
    <w:rsid w:val="0008749A"/>
    <w:rsid w:val="000904F6"/>
    <w:rsid w:val="00091000"/>
    <w:rsid w:val="000913FC"/>
    <w:rsid w:val="00092E55"/>
    <w:rsid w:val="00096BD3"/>
    <w:rsid w:val="00097D39"/>
    <w:rsid w:val="000A0AEB"/>
    <w:rsid w:val="000A38FE"/>
    <w:rsid w:val="000A5E3E"/>
    <w:rsid w:val="000B4C67"/>
    <w:rsid w:val="000B50D9"/>
    <w:rsid w:val="000D117D"/>
    <w:rsid w:val="000D52B0"/>
    <w:rsid w:val="000D6A0E"/>
    <w:rsid w:val="000D7E4D"/>
    <w:rsid w:val="000E2101"/>
    <w:rsid w:val="000E289A"/>
    <w:rsid w:val="000E7639"/>
    <w:rsid w:val="000F177C"/>
    <w:rsid w:val="000F59AB"/>
    <w:rsid w:val="000F6787"/>
    <w:rsid w:val="00103DD6"/>
    <w:rsid w:val="00107337"/>
    <w:rsid w:val="0011033D"/>
    <w:rsid w:val="00110A42"/>
    <w:rsid w:val="0011411D"/>
    <w:rsid w:val="00116A06"/>
    <w:rsid w:val="0011705C"/>
    <w:rsid w:val="00125343"/>
    <w:rsid w:val="00127625"/>
    <w:rsid w:val="00132F47"/>
    <w:rsid w:val="0013366E"/>
    <w:rsid w:val="0013496B"/>
    <w:rsid w:val="00143B3B"/>
    <w:rsid w:val="0014456B"/>
    <w:rsid w:val="00145F75"/>
    <w:rsid w:val="00150565"/>
    <w:rsid w:val="0015112A"/>
    <w:rsid w:val="00151439"/>
    <w:rsid w:val="00157197"/>
    <w:rsid w:val="00162E7A"/>
    <w:rsid w:val="00165880"/>
    <w:rsid w:val="001721D6"/>
    <w:rsid w:val="00182017"/>
    <w:rsid w:val="001820ED"/>
    <w:rsid w:val="00182AFB"/>
    <w:rsid w:val="00182B7D"/>
    <w:rsid w:val="00190EE0"/>
    <w:rsid w:val="001A4805"/>
    <w:rsid w:val="001B043C"/>
    <w:rsid w:val="001B414A"/>
    <w:rsid w:val="001B579A"/>
    <w:rsid w:val="001B6CA4"/>
    <w:rsid w:val="001B72DF"/>
    <w:rsid w:val="001C04C9"/>
    <w:rsid w:val="001C0805"/>
    <w:rsid w:val="001C0C5B"/>
    <w:rsid w:val="001C4003"/>
    <w:rsid w:val="001C5CAC"/>
    <w:rsid w:val="001C5EBE"/>
    <w:rsid w:val="001C5F56"/>
    <w:rsid w:val="001C5FBB"/>
    <w:rsid w:val="001C632B"/>
    <w:rsid w:val="001D3F03"/>
    <w:rsid w:val="001D48D9"/>
    <w:rsid w:val="001D6BC8"/>
    <w:rsid w:val="001E13D3"/>
    <w:rsid w:val="001E7DFF"/>
    <w:rsid w:val="001E7F10"/>
    <w:rsid w:val="001F2130"/>
    <w:rsid w:val="001F56EF"/>
    <w:rsid w:val="001F61E5"/>
    <w:rsid w:val="001F7CD2"/>
    <w:rsid w:val="001F7F44"/>
    <w:rsid w:val="002022E3"/>
    <w:rsid w:val="00204443"/>
    <w:rsid w:val="00211474"/>
    <w:rsid w:val="00211932"/>
    <w:rsid w:val="00221963"/>
    <w:rsid w:val="00223257"/>
    <w:rsid w:val="00227029"/>
    <w:rsid w:val="00230F92"/>
    <w:rsid w:val="00231187"/>
    <w:rsid w:val="0023269D"/>
    <w:rsid w:val="00241309"/>
    <w:rsid w:val="00241672"/>
    <w:rsid w:val="00241CE1"/>
    <w:rsid w:val="00242F79"/>
    <w:rsid w:val="00243B7D"/>
    <w:rsid w:val="00243E0B"/>
    <w:rsid w:val="0024531B"/>
    <w:rsid w:val="00247F12"/>
    <w:rsid w:val="002532BF"/>
    <w:rsid w:val="002552E1"/>
    <w:rsid w:val="0025572D"/>
    <w:rsid w:val="002565B3"/>
    <w:rsid w:val="00257D23"/>
    <w:rsid w:val="00260E3B"/>
    <w:rsid w:val="00262205"/>
    <w:rsid w:val="00262D49"/>
    <w:rsid w:val="00264F48"/>
    <w:rsid w:val="00265A97"/>
    <w:rsid w:val="002713D8"/>
    <w:rsid w:val="00273824"/>
    <w:rsid w:val="00273DE4"/>
    <w:rsid w:val="00276C5B"/>
    <w:rsid w:val="00280748"/>
    <w:rsid w:val="00281E47"/>
    <w:rsid w:val="002834F5"/>
    <w:rsid w:val="002840F2"/>
    <w:rsid w:val="0028481B"/>
    <w:rsid w:val="00284BFF"/>
    <w:rsid w:val="0029005D"/>
    <w:rsid w:val="00293D55"/>
    <w:rsid w:val="002A14E9"/>
    <w:rsid w:val="002A2434"/>
    <w:rsid w:val="002B047E"/>
    <w:rsid w:val="002B1A3E"/>
    <w:rsid w:val="002B324D"/>
    <w:rsid w:val="002B6178"/>
    <w:rsid w:val="002B7F39"/>
    <w:rsid w:val="002C0D93"/>
    <w:rsid w:val="002C3ED1"/>
    <w:rsid w:val="002C6B77"/>
    <w:rsid w:val="002D259B"/>
    <w:rsid w:val="002D30C8"/>
    <w:rsid w:val="002D4472"/>
    <w:rsid w:val="002E06D6"/>
    <w:rsid w:val="002E37CD"/>
    <w:rsid w:val="002E4457"/>
    <w:rsid w:val="002E5225"/>
    <w:rsid w:val="002E6341"/>
    <w:rsid w:val="002E6A78"/>
    <w:rsid w:val="002F1351"/>
    <w:rsid w:val="002F608B"/>
    <w:rsid w:val="002F63A3"/>
    <w:rsid w:val="00300A2F"/>
    <w:rsid w:val="00300CAF"/>
    <w:rsid w:val="00303489"/>
    <w:rsid w:val="00305F43"/>
    <w:rsid w:val="00306048"/>
    <w:rsid w:val="003142CC"/>
    <w:rsid w:val="003146A5"/>
    <w:rsid w:val="00316FE6"/>
    <w:rsid w:val="00317D30"/>
    <w:rsid w:val="00322F63"/>
    <w:rsid w:val="00324015"/>
    <w:rsid w:val="00324294"/>
    <w:rsid w:val="00324869"/>
    <w:rsid w:val="003353C6"/>
    <w:rsid w:val="0033581C"/>
    <w:rsid w:val="003363E3"/>
    <w:rsid w:val="00341132"/>
    <w:rsid w:val="003423C4"/>
    <w:rsid w:val="00343CD3"/>
    <w:rsid w:val="003464F6"/>
    <w:rsid w:val="00350FC2"/>
    <w:rsid w:val="00350FE6"/>
    <w:rsid w:val="00353273"/>
    <w:rsid w:val="0036329D"/>
    <w:rsid w:val="0036339B"/>
    <w:rsid w:val="0036729B"/>
    <w:rsid w:val="00367532"/>
    <w:rsid w:val="00372545"/>
    <w:rsid w:val="003736E2"/>
    <w:rsid w:val="003752E7"/>
    <w:rsid w:val="00383B7B"/>
    <w:rsid w:val="00384C7A"/>
    <w:rsid w:val="00386F70"/>
    <w:rsid w:val="003904C2"/>
    <w:rsid w:val="00392211"/>
    <w:rsid w:val="00392464"/>
    <w:rsid w:val="003953CB"/>
    <w:rsid w:val="00396479"/>
    <w:rsid w:val="003A154F"/>
    <w:rsid w:val="003A2839"/>
    <w:rsid w:val="003A37AB"/>
    <w:rsid w:val="003A7BCE"/>
    <w:rsid w:val="003B03CA"/>
    <w:rsid w:val="003B1B64"/>
    <w:rsid w:val="003B23FD"/>
    <w:rsid w:val="003B3426"/>
    <w:rsid w:val="003B38C0"/>
    <w:rsid w:val="003B4302"/>
    <w:rsid w:val="003B43FF"/>
    <w:rsid w:val="003C3476"/>
    <w:rsid w:val="003C4D94"/>
    <w:rsid w:val="003E0F35"/>
    <w:rsid w:val="003E1B0F"/>
    <w:rsid w:val="003E1D31"/>
    <w:rsid w:val="003E2DBE"/>
    <w:rsid w:val="003E5B56"/>
    <w:rsid w:val="003F0206"/>
    <w:rsid w:val="003F53EA"/>
    <w:rsid w:val="003F559E"/>
    <w:rsid w:val="003F6ED7"/>
    <w:rsid w:val="004002B0"/>
    <w:rsid w:val="00402538"/>
    <w:rsid w:val="00414EB4"/>
    <w:rsid w:val="0041547D"/>
    <w:rsid w:val="0041687A"/>
    <w:rsid w:val="00421BD6"/>
    <w:rsid w:val="004223BD"/>
    <w:rsid w:val="00422A76"/>
    <w:rsid w:val="00431753"/>
    <w:rsid w:val="00431919"/>
    <w:rsid w:val="00432102"/>
    <w:rsid w:val="00432DF3"/>
    <w:rsid w:val="00443B15"/>
    <w:rsid w:val="004452E4"/>
    <w:rsid w:val="0044549D"/>
    <w:rsid w:val="0044599D"/>
    <w:rsid w:val="0044670E"/>
    <w:rsid w:val="004501E9"/>
    <w:rsid w:val="00451EF1"/>
    <w:rsid w:val="00452B38"/>
    <w:rsid w:val="00462B2F"/>
    <w:rsid w:val="004638EB"/>
    <w:rsid w:val="004649E7"/>
    <w:rsid w:val="004656E5"/>
    <w:rsid w:val="00465B17"/>
    <w:rsid w:val="004665F7"/>
    <w:rsid w:val="004679D7"/>
    <w:rsid w:val="0047255A"/>
    <w:rsid w:val="00475467"/>
    <w:rsid w:val="0047776D"/>
    <w:rsid w:val="004806DC"/>
    <w:rsid w:val="0048598F"/>
    <w:rsid w:val="00485EA5"/>
    <w:rsid w:val="0048623F"/>
    <w:rsid w:val="0049123D"/>
    <w:rsid w:val="00496468"/>
    <w:rsid w:val="00497797"/>
    <w:rsid w:val="004A0CED"/>
    <w:rsid w:val="004A4EFE"/>
    <w:rsid w:val="004A7A78"/>
    <w:rsid w:val="004B25E8"/>
    <w:rsid w:val="004C0DAF"/>
    <w:rsid w:val="004C527F"/>
    <w:rsid w:val="004D024D"/>
    <w:rsid w:val="004E2E94"/>
    <w:rsid w:val="004E61F8"/>
    <w:rsid w:val="004F1D80"/>
    <w:rsid w:val="004F2163"/>
    <w:rsid w:val="004F48FC"/>
    <w:rsid w:val="004F5F7B"/>
    <w:rsid w:val="0050165F"/>
    <w:rsid w:val="00502B4B"/>
    <w:rsid w:val="00505BCA"/>
    <w:rsid w:val="00506FD9"/>
    <w:rsid w:val="00507971"/>
    <w:rsid w:val="00510E92"/>
    <w:rsid w:val="005116C9"/>
    <w:rsid w:val="005140E9"/>
    <w:rsid w:val="005147C4"/>
    <w:rsid w:val="00516043"/>
    <w:rsid w:val="005220BE"/>
    <w:rsid w:val="0052335F"/>
    <w:rsid w:val="00526786"/>
    <w:rsid w:val="005273A6"/>
    <w:rsid w:val="00531ED1"/>
    <w:rsid w:val="0053239D"/>
    <w:rsid w:val="00536209"/>
    <w:rsid w:val="005372FC"/>
    <w:rsid w:val="0053751C"/>
    <w:rsid w:val="00540B5C"/>
    <w:rsid w:val="0054784B"/>
    <w:rsid w:val="00552BD4"/>
    <w:rsid w:val="0055513C"/>
    <w:rsid w:val="00560403"/>
    <w:rsid w:val="00562A32"/>
    <w:rsid w:val="00562CF0"/>
    <w:rsid w:val="0056447A"/>
    <w:rsid w:val="00567B74"/>
    <w:rsid w:val="005709BA"/>
    <w:rsid w:val="00571F3F"/>
    <w:rsid w:val="0057646C"/>
    <w:rsid w:val="00576620"/>
    <w:rsid w:val="00580BBD"/>
    <w:rsid w:val="00581B76"/>
    <w:rsid w:val="00582830"/>
    <w:rsid w:val="005832AC"/>
    <w:rsid w:val="005904ED"/>
    <w:rsid w:val="00593E01"/>
    <w:rsid w:val="00595156"/>
    <w:rsid w:val="005A000E"/>
    <w:rsid w:val="005A05FE"/>
    <w:rsid w:val="005A0B55"/>
    <w:rsid w:val="005A14A6"/>
    <w:rsid w:val="005A16EB"/>
    <w:rsid w:val="005A1B4F"/>
    <w:rsid w:val="005A2800"/>
    <w:rsid w:val="005A35F7"/>
    <w:rsid w:val="005A5497"/>
    <w:rsid w:val="005A5FB5"/>
    <w:rsid w:val="005A66DE"/>
    <w:rsid w:val="005B6265"/>
    <w:rsid w:val="005C109E"/>
    <w:rsid w:val="005C4720"/>
    <w:rsid w:val="005C490E"/>
    <w:rsid w:val="005C50C2"/>
    <w:rsid w:val="005D0938"/>
    <w:rsid w:val="005D23FC"/>
    <w:rsid w:val="005D3033"/>
    <w:rsid w:val="005D3F1D"/>
    <w:rsid w:val="005D3FF4"/>
    <w:rsid w:val="005D522C"/>
    <w:rsid w:val="005D5285"/>
    <w:rsid w:val="005D6A39"/>
    <w:rsid w:val="005D7FD8"/>
    <w:rsid w:val="005E1DC5"/>
    <w:rsid w:val="005E2734"/>
    <w:rsid w:val="005E2D46"/>
    <w:rsid w:val="005E327A"/>
    <w:rsid w:val="005E79AA"/>
    <w:rsid w:val="005F5FDB"/>
    <w:rsid w:val="005F7901"/>
    <w:rsid w:val="00604A5F"/>
    <w:rsid w:val="006139CD"/>
    <w:rsid w:val="0061456C"/>
    <w:rsid w:val="00622C44"/>
    <w:rsid w:val="00622DE0"/>
    <w:rsid w:val="00624BCE"/>
    <w:rsid w:val="00626424"/>
    <w:rsid w:val="00627271"/>
    <w:rsid w:val="006340F3"/>
    <w:rsid w:val="00637DA6"/>
    <w:rsid w:val="00640B20"/>
    <w:rsid w:val="006413A9"/>
    <w:rsid w:val="00643217"/>
    <w:rsid w:val="00644955"/>
    <w:rsid w:val="0065505E"/>
    <w:rsid w:val="00656B2F"/>
    <w:rsid w:val="00657C22"/>
    <w:rsid w:val="00660066"/>
    <w:rsid w:val="00663956"/>
    <w:rsid w:val="0066492F"/>
    <w:rsid w:val="0067118B"/>
    <w:rsid w:val="00672181"/>
    <w:rsid w:val="006749F6"/>
    <w:rsid w:val="00676D2A"/>
    <w:rsid w:val="006770B0"/>
    <w:rsid w:val="006770FF"/>
    <w:rsid w:val="006816A1"/>
    <w:rsid w:val="00683388"/>
    <w:rsid w:val="006844CE"/>
    <w:rsid w:val="00684AFD"/>
    <w:rsid w:val="00685084"/>
    <w:rsid w:val="006872E4"/>
    <w:rsid w:val="00692919"/>
    <w:rsid w:val="00693365"/>
    <w:rsid w:val="00693BB1"/>
    <w:rsid w:val="00696A70"/>
    <w:rsid w:val="006973F2"/>
    <w:rsid w:val="006A1BC0"/>
    <w:rsid w:val="006A4FD9"/>
    <w:rsid w:val="006A5CBB"/>
    <w:rsid w:val="006A67ED"/>
    <w:rsid w:val="006B11F4"/>
    <w:rsid w:val="006B1C55"/>
    <w:rsid w:val="006B3BF9"/>
    <w:rsid w:val="006B453E"/>
    <w:rsid w:val="006B6689"/>
    <w:rsid w:val="006B66CC"/>
    <w:rsid w:val="006C1F3D"/>
    <w:rsid w:val="006C4F9D"/>
    <w:rsid w:val="006D03E4"/>
    <w:rsid w:val="006D082B"/>
    <w:rsid w:val="006D15C4"/>
    <w:rsid w:val="006D280D"/>
    <w:rsid w:val="006D3D4B"/>
    <w:rsid w:val="006D4D22"/>
    <w:rsid w:val="006D625F"/>
    <w:rsid w:val="006E0FB3"/>
    <w:rsid w:val="006E711B"/>
    <w:rsid w:val="006F365D"/>
    <w:rsid w:val="006F76D0"/>
    <w:rsid w:val="0070144F"/>
    <w:rsid w:val="00702F4B"/>
    <w:rsid w:val="00702FD3"/>
    <w:rsid w:val="00705E3D"/>
    <w:rsid w:val="0070740C"/>
    <w:rsid w:val="0071248B"/>
    <w:rsid w:val="007141E5"/>
    <w:rsid w:val="00726DCD"/>
    <w:rsid w:val="00730935"/>
    <w:rsid w:val="00730E04"/>
    <w:rsid w:val="00733C14"/>
    <w:rsid w:val="007440D5"/>
    <w:rsid w:val="00745AB5"/>
    <w:rsid w:val="00745E64"/>
    <w:rsid w:val="00750BCE"/>
    <w:rsid w:val="00756DDD"/>
    <w:rsid w:val="007654E3"/>
    <w:rsid w:val="007674A2"/>
    <w:rsid w:val="00767547"/>
    <w:rsid w:val="00770A2E"/>
    <w:rsid w:val="00770B5C"/>
    <w:rsid w:val="007720D9"/>
    <w:rsid w:val="00772D99"/>
    <w:rsid w:val="00775C7F"/>
    <w:rsid w:val="00777C23"/>
    <w:rsid w:val="007823B0"/>
    <w:rsid w:val="007839AD"/>
    <w:rsid w:val="00784A91"/>
    <w:rsid w:val="00785564"/>
    <w:rsid w:val="00791500"/>
    <w:rsid w:val="00791FBC"/>
    <w:rsid w:val="00794090"/>
    <w:rsid w:val="00794170"/>
    <w:rsid w:val="0079448D"/>
    <w:rsid w:val="007979DB"/>
    <w:rsid w:val="007A13A8"/>
    <w:rsid w:val="007A3FEC"/>
    <w:rsid w:val="007A4FF7"/>
    <w:rsid w:val="007A524A"/>
    <w:rsid w:val="007A5DAD"/>
    <w:rsid w:val="007A5E71"/>
    <w:rsid w:val="007B65D2"/>
    <w:rsid w:val="007B6C49"/>
    <w:rsid w:val="007C32AD"/>
    <w:rsid w:val="007C53A8"/>
    <w:rsid w:val="007C6E65"/>
    <w:rsid w:val="007C732F"/>
    <w:rsid w:val="007D1F94"/>
    <w:rsid w:val="007D284C"/>
    <w:rsid w:val="007E00D9"/>
    <w:rsid w:val="007E0B69"/>
    <w:rsid w:val="007E240A"/>
    <w:rsid w:val="007E3843"/>
    <w:rsid w:val="007E3B72"/>
    <w:rsid w:val="007E3C96"/>
    <w:rsid w:val="007E3DDE"/>
    <w:rsid w:val="007E5CA4"/>
    <w:rsid w:val="007E79C8"/>
    <w:rsid w:val="007F57ED"/>
    <w:rsid w:val="008004DE"/>
    <w:rsid w:val="0080098B"/>
    <w:rsid w:val="0080216C"/>
    <w:rsid w:val="008068CC"/>
    <w:rsid w:val="00814322"/>
    <w:rsid w:val="00814A35"/>
    <w:rsid w:val="00815C6B"/>
    <w:rsid w:val="00820ECF"/>
    <w:rsid w:val="008224C2"/>
    <w:rsid w:val="0083654D"/>
    <w:rsid w:val="0084257F"/>
    <w:rsid w:val="008430A3"/>
    <w:rsid w:val="008436CC"/>
    <w:rsid w:val="00843737"/>
    <w:rsid w:val="00846267"/>
    <w:rsid w:val="0084718B"/>
    <w:rsid w:val="008537AD"/>
    <w:rsid w:val="0085497B"/>
    <w:rsid w:val="00857BBE"/>
    <w:rsid w:val="008602A9"/>
    <w:rsid w:val="0086161D"/>
    <w:rsid w:val="00865EF8"/>
    <w:rsid w:val="00867993"/>
    <w:rsid w:val="008715BB"/>
    <w:rsid w:val="008734B7"/>
    <w:rsid w:val="00873774"/>
    <w:rsid w:val="008745BC"/>
    <w:rsid w:val="00875C96"/>
    <w:rsid w:val="00876E6E"/>
    <w:rsid w:val="00877B10"/>
    <w:rsid w:val="008850CD"/>
    <w:rsid w:val="0088744C"/>
    <w:rsid w:val="00890F4B"/>
    <w:rsid w:val="00897EDC"/>
    <w:rsid w:val="008A6555"/>
    <w:rsid w:val="008A7568"/>
    <w:rsid w:val="008A7A1E"/>
    <w:rsid w:val="008B15C8"/>
    <w:rsid w:val="008B29DF"/>
    <w:rsid w:val="008B598D"/>
    <w:rsid w:val="008B5BA5"/>
    <w:rsid w:val="008C01FF"/>
    <w:rsid w:val="008C059F"/>
    <w:rsid w:val="008C1EB0"/>
    <w:rsid w:val="008C22E2"/>
    <w:rsid w:val="008C2D95"/>
    <w:rsid w:val="008C3239"/>
    <w:rsid w:val="008C708B"/>
    <w:rsid w:val="008D08F4"/>
    <w:rsid w:val="008D1DC7"/>
    <w:rsid w:val="008D4EA0"/>
    <w:rsid w:val="008D52CD"/>
    <w:rsid w:val="008D5855"/>
    <w:rsid w:val="008D6027"/>
    <w:rsid w:val="008D622A"/>
    <w:rsid w:val="008D6A8F"/>
    <w:rsid w:val="008E0816"/>
    <w:rsid w:val="008E17C0"/>
    <w:rsid w:val="008E35B8"/>
    <w:rsid w:val="008E3ECB"/>
    <w:rsid w:val="008F0454"/>
    <w:rsid w:val="008F2951"/>
    <w:rsid w:val="008F2E37"/>
    <w:rsid w:val="008F377E"/>
    <w:rsid w:val="008F3B30"/>
    <w:rsid w:val="00900C34"/>
    <w:rsid w:val="00900F43"/>
    <w:rsid w:val="009034F9"/>
    <w:rsid w:val="009036E5"/>
    <w:rsid w:val="00904A16"/>
    <w:rsid w:val="009061C7"/>
    <w:rsid w:val="00906C3F"/>
    <w:rsid w:val="00907481"/>
    <w:rsid w:val="0090771D"/>
    <w:rsid w:val="00911902"/>
    <w:rsid w:val="009148BF"/>
    <w:rsid w:val="00915B62"/>
    <w:rsid w:val="00920AF6"/>
    <w:rsid w:val="00921FCD"/>
    <w:rsid w:val="00924F9A"/>
    <w:rsid w:val="00926AFA"/>
    <w:rsid w:val="00926BCE"/>
    <w:rsid w:val="009307E5"/>
    <w:rsid w:val="00930814"/>
    <w:rsid w:val="00932BC7"/>
    <w:rsid w:val="0093324D"/>
    <w:rsid w:val="0093330E"/>
    <w:rsid w:val="00936483"/>
    <w:rsid w:val="00943A47"/>
    <w:rsid w:val="00944255"/>
    <w:rsid w:val="00944B94"/>
    <w:rsid w:val="00950F02"/>
    <w:rsid w:val="00952622"/>
    <w:rsid w:val="009546AD"/>
    <w:rsid w:val="00956224"/>
    <w:rsid w:val="00956BE5"/>
    <w:rsid w:val="0096102B"/>
    <w:rsid w:val="00975B00"/>
    <w:rsid w:val="00975F5A"/>
    <w:rsid w:val="00977B10"/>
    <w:rsid w:val="009820E0"/>
    <w:rsid w:val="00986CF9"/>
    <w:rsid w:val="0099041A"/>
    <w:rsid w:val="009931EE"/>
    <w:rsid w:val="0099655D"/>
    <w:rsid w:val="009A0751"/>
    <w:rsid w:val="009A0BFD"/>
    <w:rsid w:val="009A1DDA"/>
    <w:rsid w:val="009A5D00"/>
    <w:rsid w:val="009A65B5"/>
    <w:rsid w:val="009A73B8"/>
    <w:rsid w:val="009B0987"/>
    <w:rsid w:val="009B16B3"/>
    <w:rsid w:val="009B5094"/>
    <w:rsid w:val="009B51DA"/>
    <w:rsid w:val="009C182E"/>
    <w:rsid w:val="009C206D"/>
    <w:rsid w:val="009C7051"/>
    <w:rsid w:val="009D04D8"/>
    <w:rsid w:val="009D2A3A"/>
    <w:rsid w:val="009D472B"/>
    <w:rsid w:val="009D54BD"/>
    <w:rsid w:val="009D6FD0"/>
    <w:rsid w:val="009D7132"/>
    <w:rsid w:val="009E0993"/>
    <w:rsid w:val="009E438D"/>
    <w:rsid w:val="009E657A"/>
    <w:rsid w:val="009E7582"/>
    <w:rsid w:val="009E7DE0"/>
    <w:rsid w:val="009F0814"/>
    <w:rsid w:val="009F2947"/>
    <w:rsid w:val="009F4C15"/>
    <w:rsid w:val="009F4CAA"/>
    <w:rsid w:val="00A01390"/>
    <w:rsid w:val="00A03307"/>
    <w:rsid w:val="00A037F4"/>
    <w:rsid w:val="00A03C9A"/>
    <w:rsid w:val="00A05305"/>
    <w:rsid w:val="00A05338"/>
    <w:rsid w:val="00A127E4"/>
    <w:rsid w:val="00A1394F"/>
    <w:rsid w:val="00A174E9"/>
    <w:rsid w:val="00A20C85"/>
    <w:rsid w:val="00A21CDF"/>
    <w:rsid w:val="00A256D8"/>
    <w:rsid w:val="00A273ED"/>
    <w:rsid w:val="00A31F10"/>
    <w:rsid w:val="00A3227B"/>
    <w:rsid w:val="00A33368"/>
    <w:rsid w:val="00A35994"/>
    <w:rsid w:val="00A4061A"/>
    <w:rsid w:val="00A43741"/>
    <w:rsid w:val="00A533A8"/>
    <w:rsid w:val="00A5669B"/>
    <w:rsid w:val="00A60596"/>
    <w:rsid w:val="00A608D7"/>
    <w:rsid w:val="00A676B2"/>
    <w:rsid w:val="00A67882"/>
    <w:rsid w:val="00A72182"/>
    <w:rsid w:val="00A72EE6"/>
    <w:rsid w:val="00A8054E"/>
    <w:rsid w:val="00A82416"/>
    <w:rsid w:val="00A86F13"/>
    <w:rsid w:val="00A93B35"/>
    <w:rsid w:val="00A95A5B"/>
    <w:rsid w:val="00AA03D3"/>
    <w:rsid w:val="00AA74F8"/>
    <w:rsid w:val="00AB0237"/>
    <w:rsid w:val="00AB0619"/>
    <w:rsid w:val="00AB3B30"/>
    <w:rsid w:val="00AB4CD5"/>
    <w:rsid w:val="00AB611D"/>
    <w:rsid w:val="00AB69AE"/>
    <w:rsid w:val="00AB74FB"/>
    <w:rsid w:val="00AB7B15"/>
    <w:rsid w:val="00AC2A94"/>
    <w:rsid w:val="00AC6DC4"/>
    <w:rsid w:val="00AD0DA3"/>
    <w:rsid w:val="00AD1A94"/>
    <w:rsid w:val="00AD4625"/>
    <w:rsid w:val="00AD469E"/>
    <w:rsid w:val="00AE5E6D"/>
    <w:rsid w:val="00AF0780"/>
    <w:rsid w:val="00AF13C6"/>
    <w:rsid w:val="00B00A2D"/>
    <w:rsid w:val="00B03E3C"/>
    <w:rsid w:val="00B10B7A"/>
    <w:rsid w:val="00B11CDE"/>
    <w:rsid w:val="00B122E5"/>
    <w:rsid w:val="00B1486F"/>
    <w:rsid w:val="00B16092"/>
    <w:rsid w:val="00B177A6"/>
    <w:rsid w:val="00B20F60"/>
    <w:rsid w:val="00B228A9"/>
    <w:rsid w:val="00B22AC8"/>
    <w:rsid w:val="00B23550"/>
    <w:rsid w:val="00B23BC6"/>
    <w:rsid w:val="00B246CC"/>
    <w:rsid w:val="00B24C3C"/>
    <w:rsid w:val="00B24FD6"/>
    <w:rsid w:val="00B2580C"/>
    <w:rsid w:val="00B26A22"/>
    <w:rsid w:val="00B32427"/>
    <w:rsid w:val="00B32A9E"/>
    <w:rsid w:val="00B33262"/>
    <w:rsid w:val="00B351F7"/>
    <w:rsid w:val="00B4095D"/>
    <w:rsid w:val="00B4293B"/>
    <w:rsid w:val="00B476FB"/>
    <w:rsid w:val="00B5078C"/>
    <w:rsid w:val="00B507CD"/>
    <w:rsid w:val="00B51124"/>
    <w:rsid w:val="00B54AA4"/>
    <w:rsid w:val="00B55BFC"/>
    <w:rsid w:val="00B55FCB"/>
    <w:rsid w:val="00B567A2"/>
    <w:rsid w:val="00B5730B"/>
    <w:rsid w:val="00B57ABD"/>
    <w:rsid w:val="00B6084B"/>
    <w:rsid w:val="00B60E79"/>
    <w:rsid w:val="00B61D4C"/>
    <w:rsid w:val="00B63EF3"/>
    <w:rsid w:val="00B71F5F"/>
    <w:rsid w:val="00B74A96"/>
    <w:rsid w:val="00B75423"/>
    <w:rsid w:val="00B80FCD"/>
    <w:rsid w:val="00B8297A"/>
    <w:rsid w:val="00B92A0E"/>
    <w:rsid w:val="00B9330A"/>
    <w:rsid w:val="00B96859"/>
    <w:rsid w:val="00B9706F"/>
    <w:rsid w:val="00BA4172"/>
    <w:rsid w:val="00BB01B1"/>
    <w:rsid w:val="00BB1E6C"/>
    <w:rsid w:val="00BB2B9B"/>
    <w:rsid w:val="00BB2F41"/>
    <w:rsid w:val="00BB3646"/>
    <w:rsid w:val="00BB4A94"/>
    <w:rsid w:val="00BB639A"/>
    <w:rsid w:val="00BC0CED"/>
    <w:rsid w:val="00BC101E"/>
    <w:rsid w:val="00BC1545"/>
    <w:rsid w:val="00BC1CFF"/>
    <w:rsid w:val="00BC42DD"/>
    <w:rsid w:val="00BC5D49"/>
    <w:rsid w:val="00BD079C"/>
    <w:rsid w:val="00BD0A55"/>
    <w:rsid w:val="00BD1350"/>
    <w:rsid w:val="00BD16C3"/>
    <w:rsid w:val="00BD220D"/>
    <w:rsid w:val="00BD4324"/>
    <w:rsid w:val="00BD6F41"/>
    <w:rsid w:val="00BE2EC7"/>
    <w:rsid w:val="00BE5630"/>
    <w:rsid w:val="00BE77A2"/>
    <w:rsid w:val="00BE7E03"/>
    <w:rsid w:val="00BF7907"/>
    <w:rsid w:val="00C030C3"/>
    <w:rsid w:val="00C03510"/>
    <w:rsid w:val="00C037BB"/>
    <w:rsid w:val="00C040BA"/>
    <w:rsid w:val="00C06887"/>
    <w:rsid w:val="00C06C86"/>
    <w:rsid w:val="00C07C26"/>
    <w:rsid w:val="00C12BB0"/>
    <w:rsid w:val="00C14861"/>
    <w:rsid w:val="00C16E3E"/>
    <w:rsid w:val="00C176FC"/>
    <w:rsid w:val="00C204DE"/>
    <w:rsid w:val="00C22F94"/>
    <w:rsid w:val="00C25DCB"/>
    <w:rsid w:val="00C27037"/>
    <w:rsid w:val="00C270C2"/>
    <w:rsid w:val="00C312CB"/>
    <w:rsid w:val="00C3310E"/>
    <w:rsid w:val="00C34097"/>
    <w:rsid w:val="00C3561C"/>
    <w:rsid w:val="00C3587F"/>
    <w:rsid w:val="00C36A06"/>
    <w:rsid w:val="00C36D4F"/>
    <w:rsid w:val="00C37BE5"/>
    <w:rsid w:val="00C403BE"/>
    <w:rsid w:val="00C41C79"/>
    <w:rsid w:val="00C42AC0"/>
    <w:rsid w:val="00C5196E"/>
    <w:rsid w:val="00C52511"/>
    <w:rsid w:val="00C52EE1"/>
    <w:rsid w:val="00C5641F"/>
    <w:rsid w:val="00C6125A"/>
    <w:rsid w:val="00C6603A"/>
    <w:rsid w:val="00C72CC1"/>
    <w:rsid w:val="00C747DD"/>
    <w:rsid w:val="00C775A0"/>
    <w:rsid w:val="00C821F2"/>
    <w:rsid w:val="00C82A7F"/>
    <w:rsid w:val="00C85FDD"/>
    <w:rsid w:val="00C91067"/>
    <w:rsid w:val="00C9183B"/>
    <w:rsid w:val="00C9367B"/>
    <w:rsid w:val="00CA00C1"/>
    <w:rsid w:val="00CA03D3"/>
    <w:rsid w:val="00CA2CA7"/>
    <w:rsid w:val="00CA3077"/>
    <w:rsid w:val="00CA5414"/>
    <w:rsid w:val="00CA7D16"/>
    <w:rsid w:val="00CB4C86"/>
    <w:rsid w:val="00CB5654"/>
    <w:rsid w:val="00CC3D89"/>
    <w:rsid w:val="00CC5CA3"/>
    <w:rsid w:val="00CC6326"/>
    <w:rsid w:val="00CD2199"/>
    <w:rsid w:val="00CD3AB1"/>
    <w:rsid w:val="00CD56C5"/>
    <w:rsid w:val="00CE02C0"/>
    <w:rsid w:val="00CE08C9"/>
    <w:rsid w:val="00CE6C31"/>
    <w:rsid w:val="00CF1C2D"/>
    <w:rsid w:val="00CF3E6A"/>
    <w:rsid w:val="00CF4505"/>
    <w:rsid w:val="00CF6CD7"/>
    <w:rsid w:val="00D040B8"/>
    <w:rsid w:val="00D051A1"/>
    <w:rsid w:val="00D07F58"/>
    <w:rsid w:val="00D1015D"/>
    <w:rsid w:val="00D108B9"/>
    <w:rsid w:val="00D12410"/>
    <w:rsid w:val="00D130C5"/>
    <w:rsid w:val="00D155C0"/>
    <w:rsid w:val="00D16C25"/>
    <w:rsid w:val="00D2494D"/>
    <w:rsid w:val="00D404A5"/>
    <w:rsid w:val="00D40ED6"/>
    <w:rsid w:val="00D41402"/>
    <w:rsid w:val="00D476C7"/>
    <w:rsid w:val="00D47CCB"/>
    <w:rsid w:val="00D47FB9"/>
    <w:rsid w:val="00D51798"/>
    <w:rsid w:val="00D55F5B"/>
    <w:rsid w:val="00D56B0F"/>
    <w:rsid w:val="00D6009A"/>
    <w:rsid w:val="00D61264"/>
    <w:rsid w:val="00D643EC"/>
    <w:rsid w:val="00D64424"/>
    <w:rsid w:val="00D6566F"/>
    <w:rsid w:val="00D7000B"/>
    <w:rsid w:val="00D70C83"/>
    <w:rsid w:val="00D723D1"/>
    <w:rsid w:val="00D73855"/>
    <w:rsid w:val="00D7482B"/>
    <w:rsid w:val="00D7640E"/>
    <w:rsid w:val="00D80D51"/>
    <w:rsid w:val="00D84DAF"/>
    <w:rsid w:val="00D87B49"/>
    <w:rsid w:val="00D97514"/>
    <w:rsid w:val="00DA3AB2"/>
    <w:rsid w:val="00DA4727"/>
    <w:rsid w:val="00DA573D"/>
    <w:rsid w:val="00DA5D3C"/>
    <w:rsid w:val="00DB6157"/>
    <w:rsid w:val="00DC04C6"/>
    <w:rsid w:val="00DC270C"/>
    <w:rsid w:val="00DC2799"/>
    <w:rsid w:val="00DC788B"/>
    <w:rsid w:val="00DC7E4A"/>
    <w:rsid w:val="00DD11F7"/>
    <w:rsid w:val="00DD1451"/>
    <w:rsid w:val="00DD2412"/>
    <w:rsid w:val="00DD54C0"/>
    <w:rsid w:val="00DE358A"/>
    <w:rsid w:val="00DF40C1"/>
    <w:rsid w:val="00DF4991"/>
    <w:rsid w:val="00DF4A4A"/>
    <w:rsid w:val="00DF4DED"/>
    <w:rsid w:val="00E0466C"/>
    <w:rsid w:val="00E048EC"/>
    <w:rsid w:val="00E052E8"/>
    <w:rsid w:val="00E1067B"/>
    <w:rsid w:val="00E116E3"/>
    <w:rsid w:val="00E1456A"/>
    <w:rsid w:val="00E14B95"/>
    <w:rsid w:val="00E1740F"/>
    <w:rsid w:val="00E210A0"/>
    <w:rsid w:val="00E21F91"/>
    <w:rsid w:val="00E22BFF"/>
    <w:rsid w:val="00E253BE"/>
    <w:rsid w:val="00E30FF4"/>
    <w:rsid w:val="00E33975"/>
    <w:rsid w:val="00E34BB0"/>
    <w:rsid w:val="00E42B32"/>
    <w:rsid w:val="00E43E15"/>
    <w:rsid w:val="00E46885"/>
    <w:rsid w:val="00E47F77"/>
    <w:rsid w:val="00E525FC"/>
    <w:rsid w:val="00E534C3"/>
    <w:rsid w:val="00E54792"/>
    <w:rsid w:val="00E55FE5"/>
    <w:rsid w:val="00E57A90"/>
    <w:rsid w:val="00E60C8C"/>
    <w:rsid w:val="00E6452B"/>
    <w:rsid w:val="00E670E6"/>
    <w:rsid w:val="00E677A1"/>
    <w:rsid w:val="00E706C5"/>
    <w:rsid w:val="00E73A7C"/>
    <w:rsid w:val="00E743D8"/>
    <w:rsid w:val="00E74D40"/>
    <w:rsid w:val="00E756F5"/>
    <w:rsid w:val="00E76E97"/>
    <w:rsid w:val="00E85172"/>
    <w:rsid w:val="00E85F28"/>
    <w:rsid w:val="00E94076"/>
    <w:rsid w:val="00E96FF3"/>
    <w:rsid w:val="00EA06F5"/>
    <w:rsid w:val="00EA145C"/>
    <w:rsid w:val="00EA4CE7"/>
    <w:rsid w:val="00EA57D6"/>
    <w:rsid w:val="00EA7052"/>
    <w:rsid w:val="00EA773E"/>
    <w:rsid w:val="00EB0A41"/>
    <w:rsid w:val="00EB4167"/>
    <w:rsid w:val="00EB5FF7"/>
    <w:rsid w:val="00EB670C"/>
    <w:rsid w:val="00EC0AC8"/>
    <w:rsid w:val="00EC13D7"/>
    <w:rsid w:val="00ED1468"/>
    <w:rsid w:val="00ED424E"/>
    <w:rsid w:val="00ED50E3"/>
    <w:rsid w:val="00ED564B"/>
    <w:rsid w:val="00ED6E34"/>
    <w:rsid w:val="00ED7FAF"/>
    <w:rsid w:val="00EE1FBF"/>
    <w:rsid w:val="00EE30DA"/>
    <w:rsid w:val="00EF3377"/>
    <w:rsid w:val="00EF5531"/>
    <w:rsid w:val="00EF5A43"/>
    <w:rsid w:val="00F041A0"/>
    <w:rsid w:val="00F10254"/>
    <w:rsid w:val="00F13D2A"/>
    <w:rsid w:val="00F1485B"/>
    <w:rsid w:val="00F16066"/>
    <w:rsid w:val="00F20565"/>
    <w:rsid w:val="00F20E4B"/>
    <w:rsid w:val="00F217A6"/>
    <w:rsid w:val="00F21F09"/>
    <w:rsid w:val="00F22FC6"/>
    <w:rsid w:val="00F23EE8"/>
    <w:rsid w:val="00F26E99"/>
    <w:rsid w:val="00F303F6"/>
    <w:rsid w:val="00F320E0"/>
    <w:rsid w:val="00F33019"/>
    <w:rsid w:val="00F360A5"/>
    <w:rsid w:val="00F41953"/>
    <w:rsid w:val="00F450F9"/>
    <w:rsid w:val="00F45794"/>
    <w:rsid w:val="00F46839"/>
    <w:rsid w:val="00F51E4C"/>
    <w:rsid w:val="00F53C31"/>
    <w:rsid w:val="00F56215"/>
    <w:rsid w:val="00F56DEE"/>
    <w:rsid w:val="00F61976"/>
    <w:rsid w:val="00F643E5"/>
    <w:rsid w:val="00F6509C"/>
    <w:rsid w:val="00F6591F"/>
    <w:rsid w:val="00F70C61"/>
    <w:rsid w:val="00F717B4"/>
    <w:rsid w:val="00F76204"/>
    <w:rsid w:val="00F76C73"/>
    <w:rsid w:val="00F76E2D"/>
    <w:rsid w:val="00F773D6"/>
    <w:rsid w:val="00F802FF"/>
    <w:rsid w:val="00F95205"/>
    <w:rsid w:val="00F95E44"/>
    <w:rsid w:val="00FA1D7A"/>
    <w:rsid w:val="00FA2B63"/>
    <w:rsid w:val="00FA2DDC"/>
    <w:rsid w:val="00FA5276"/>
    <w:rsid w:val="00FA6447"/>
    <w:rsid w:val="00FA679E"/>
    <w:rsid w:val="00FC1D2B"/>
    <w:rsid w:val="00FC2AD6"/>
    <w:rsid w:val="00FC440C"/>
    <w:rsid w:val="00FC7291"/>
    <w:rsid w:val="00FD4C94"/>
    <w:rsid w:val="00FD63F3"/>
    <w:rsid w:val="00FD78AB"/>
    <w:rsid w:val="00FE2392"/>
    <w:rsid w:val="00FE241C"/>
    <w:rsid w:val="00FE3DEF"/>
    <w:rsid w:val="00FE6111"/>
    <w:rsid w:val="00FF4FC0"/>
    <w:rsid w:val="00FF59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2FBCE"/>
  <w15:docId w15:val="{D7F42484-B0CE-42C5-8024-F570FF13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993"/>
    <w:pPr>
      <w:spacing w:line="276" w:lineRule="auto"/>
    </w:pPr>
    <w:rPr>
      <w:rFonts w:ascii="Times New Roman" w:hAnsi="Times New Roman"/>
      <w:lang w:val="fr-FR"/>
    </w:rPr>
  </w:style>
  <w:style w:type="paragraph" w:styleId="Titre1">
    <w:name w:val="heading 1"/>
    <w:basedOn w:val="Normal"/>
    <w:next w:val="Normal"/>
    <w:link w:val="Titre1Car"/>
    <w:uiPriority w:val="9"/>
    <w:qFormat/>
    <w:rsid w:val="007A5E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81B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F608B"/>
    <w:pPr>
      <w:keepNext/>
      <w:keepLines/>
      <w:spacing w:before="200"/>
      <w:outlineLvl w:val="2"/>
    </w:pPr>
    <w:rPr>
      <w:rFonts w:asciiTheme="majorHAnsi" w:eastAsiaTheme="majorEastAsia" w:hAnsiTheme="majorHAnsi" w:cstheme="majorBidi"/>
      <w:b/>
      <w:bCs/>
      <w:color w:val="8DB3E2" w:themeColor="text2" w:themeTint="66"/>
    </w:rPr>
  </w:style>
  <w:style w:type="paragraph" w:styleId="Titre4">
    <w:name w:val="heading 4"/>
    <w:basedOn w:val="Normal"/>
    <w:next w:val="Normal"/>
    <w:link w:val="Titre4Car"/>
    <w:uiPriority w:val="9"/>
    <w:semiHidden/>
    <w:unhideWhenUsed/>
    <w:qFormat/>
    <w:rsid w:val="00247F12"/>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3F6ED7"/>
    <w:pPr>
      <w:keepNext/>
      <w:keepLines/>
      <w:spacing w:before="200" w:line="360" w:lineRule="auto"/>
      <w:ind w:firstLine="709"/>
      <w:jc w:val="both"/>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2A0E"/>
    <w:pPr>
      <w:ind w:left="720"/>
      <w:contextualSpacing/>
    </w:pPr>
    <w:rPr>
      <w:rFonts w:ascii="Times" w:hAnsi="Times"/>
      <w:sz w:val="20"/>
      <w:szCs w:val="20"/>
    </w:rPr>
  </w:style>
  <w:style w:type="paragraph" w:styleId="Notedebasdepage">
    <w:name w:val="footnote text"/>
    <w:basedOn w:val="Normal"/>
    <w:link w:val="NotedebasdepageCar"/>
    <w:uiPriority w:val="99"/>
    <w:unhideWhenUsed/>
    <w:rsid w:val="00956BE5"/>
    <w:pPr>
      <w:jc w:val="both"/>
    </w:pPr>
    <w:rPr>
      <w:rFonts w:ascii="Arial" w:eastAsia="Times New Roman" w:hAnsi="Arial" w:cs="Times New Roman"/>
      <w:sz w:val="20"/>
      <w:szCs w:val="20"/>
      <w:lang w:val="fr-BE" w:eastAsia="en-US"/>
    </w:rPr>
  </w:style>
  <w:style w:type="character" w:customStyle="1" w:styleId="NotedebasdepageCar">
    <w:name w:val="Note de bas de page Car"/>
    <w:basedOn w:val="Policepardfaut"/>
    <w:link w:val="Notedebasdepage"/>
    <w:uiPriority w:val="99"/>
    <w:rsid w:val="00956BE5"/>
    <w:rPr>
      <w:rFonts w:ascii="Arial" w:eastAsia="Times New Roman" w:hAnsi="Arial" w:cs="Times New Roman"/>
      <w:sz w:val="20"/>
      <w:szCs w:val="20"/>
      <w:lang w:val="fr-BE" w:eastAsia="en-US"/>
    </w:rPr>
  </w:style>
  <w:style w:type="character" w:styleId="Appelnotedebasdep">
    <w:name w:val="footnote reference"/>
    <w:basedOn w:val="Policepardfaut"/>
    <w:uiPriority w:val="99"/>
    <w:unhideWhenUsed/>
    <w:rsid w:val="00956BE5"/>
    <w:rPr>
      <w:vertAlign w:val="superscript"/>
    </w:rPr>
  </w:style>
  <w:style w:type="character" w:styleId="Lienhypertexte">
    <w:name w:val="Hyperlink"/>
    <w:basedOn w:val="Policepardfaut"/>
    <w:uiPriority w:val="99"/>
    <w:unhideWhenUsed/>
    <w:rsid w:val="008436CC"/>
    <w:rPr>
      <w:color w:val="0000FF"/>
      <w:u w:val="single"/>
    </w:rPr>
  </w:style>
  <w:style w:type="character" w:customStyle="1" w:styleId="Titre1Car">
    <w:name w:val="Titre 1 Car"/>
    <w:basedOn w:val="Policepardfaut"/>
    <w:link w:val="Titre1"/>
    <w:uiPriority w:val="9"/>
    <w:rsid w:val="007A5E71"/>
    <w:rPr>
      <w:rFonts w:asciiTheme="majorHAnsi" w:eastAsiaTheme="majorEastAsia" w:hAnsiTheme="majorHAnsi" w:cstheme="majorBidi"/>
      <w:b/>
      <w:bCs/>
      <w:color w:val="365F91" w:themeColor="accent1" w:themeShade="BF"/>
      <w:sz w:val="28"/>
      <w:szCs w:val="28"/>
    </w:rPr>
  </w:style>
  <w:style w:type="character" w:styleId="Marquedecommentaire">
    <w:name w:val="annotation reference"/>
    <w:basedOn w:val="Policepardfaut"/>
    <w:uiPriority w:val="99"/>
    <w:semiHidden/>
    <w:unhideWhenUsed/>
    <w:rsid w:val="00A03C9A"/>
    <w:rPr>
      <w:sz w:val="16"/>
      <w:szCs w:val="16"/>
    </w:rPr>
  </w:style>
  <w:style w:type="paragraph" w:styleId="Commentaire">
    <w:name w:val="annotation text"/>
    <w:basedOn w:val="Normal"/>
    <w:link w:val="CommentaireCar"/>
    <w:uiPriority w:val="99"/>
    <w:semiHidden/>
    <w:unhideWhenUsed/>
    <w:rsid w:val="00A03C9A"/>
    <w:pPr>
      <w:spacing w:line="240" w:lineRule="auto"/>
      <w:ind w:firstLine="709"/>
      <w:jc w:val="both"/>
    </w:pPr>
    <w:rPr>
      <w:rFonts w:eastAsia="Times New Roman" w:cs="Times New Roman"/>
      <w:sz w:val="20"/>
      <w:szCs w:val="20"/>
    </w:rPr>
  </w:style>
  <w:style w:type="character" w:customStyle="1" w:styleId="CommentaireCar">
    <w:name w:val="Commentaire Car"/>
    <w:basedOn w:val="Policepardfaut"/>
    <w:link w:val="Commentaire"/>
    <w:uiPriority w:val="99"/>
    <w:semiHidden/>
    <w:rsid w:val="00A03C9A"/>
    <w:rPr>
      <w:rFonts w:ascii="Times New Roman" w:eastAsia="Times New Roman" w:hAnsi="Times New Roman" w:cs="Times New Roman"/>
      <w:sz w:val="20"/>
      <w:szCs w:val="20"/>
      <w:lang w:val="fr-FR"/>
    </w:rPr>
  </w:style>
  <w:style w:type="paragraph" w:styleId="Textedebulles">
    <w:name w:val="Balloon Text"/>
    <w:basedOn w:val="Normal"/>
    <w:link w:val="TextedebullesCar"/>
    <w:uiPriority w:val="99"/>
    <w:semiHidden/>
    <w:unhideWhenUsed/>
    <w:rsid w:val="00A03C9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3C9A"/>
    <w:rPr>
      <w:rFonts w:ascii="Tahoma" w:hAnsi="Tahoma" w:cs="Tahoma"/>
      <w:sz w:val="16"/>
      <w:szCs w:val="16"/>
    </w:rPr>
  </w:style>
  <w:style w:type="character" w:customStyle="1" w:styleId="Titre2Car">
    <w:name w:val="Titre 2 Car"/>
    <w:basedOn w:val="Policepardfaut"/>
    <w:link w:val="Titre2"/>
    <w:uiPriority w:val="9"/>
    <w:rsid w:val="00581B76"/>
    <w:rPr>
      <w:rFonts w:asciiTheme="majorHAnsi" w:eastAsiaTheme="majorEastAsia" w:hAnsiTheme="majorHAnsi" w:cstheme="majorBidi"/>
      <w:b/>
      <w:bCs/>
      <w:color w:val="4F81BD" w:themeColor="accent1"/>
      <w:sz w:val="26"/>
      <w:szCs w:val="26"/>
    </w:rPr>
  </w:style>
  <w:style w:type="paragraph" w:styleId="Rvision">
    <w:name w:val="Revision"/>
    <w:hidden/>
    <w:uiPriority w:val="99"/>
    <w:semiHidden/>
    <w:rsid w:val="00D56B0F"/>
    <w:rPr>
      <w:rFonts w:ascii="Times New Roman" w:hAnsi="Times New Roman"/>
      <w:lang w:val="fr-FR"/>
    </w:rPr>
  </w:style>
  <w:style w:type="paragraph" w:styleId="Explorateurdedocuments">
    <w:name w:val="Document Map"/>
    <w:basedOn w:val="Normal"/>
    <w:link w:val="ExplorateurdedocumentsCar"/>
    <w:uiPriority w:val="99"/>
    <w:semiHidden/>
    <w:unhideWhenUsed/>
    <w:rsid w:val="00D56B0F"/>
    <w:pPr>
      <w:spacing w:line="240" w:lineRule="auto"/>
    </w:pPr>
    <w:rPr>
      <w:rFonts w:ascii="Lucida Grande" w:hAnsi="Lucida Grande" w:cs="Lucida Grande"/>
    </w:rPr>
  </w:style>
  <w:style w:type="character" w:customStyle="1" w:styleId="ExplorateurdedocumentsCar">
    <w:name w:val="Explorateur de documents Car"/>
    <w:basedOn w:val="Policepardfaut"/>
    <w:link w:val="Explorateurdedocuments"/>
    <w:uiPriority w:val="99"/>
    <w:semiHidden/>
    <w:rsid w:val="00D56B0F"/>
    <w:rPr>
      <w:rFonts w:ascii="Lucida Grande" w:hAnsi="Lucida Grande" w:cs="Lucida Grande"/>
      <w:lang w:val="fr-FR"/>
    </w:rPr>
  </w:style>
  <w:style w:type="character" w:customStyle="1" w:styleId="Titre3Car">
    <w:name w:val="Titre 3 Car"/>
    <w:basedOn w:val="Policepardfaut"/>
    <w:link w:val="Titre3"/>
    <w:uiPriority w:val="9"/>
    <w:rsid w:val="002F608B"/>
    <w:rPr>
      <w:rFonts w:asciiTheme="majorHAnsi" w:eastAsiaTheme="majorEastAsia" w:hAnsiTheme="majorHAnsi" w:cstheme="majorBidi"/>
      <w:b/>
      <w:bCs/>
      <w:color w:val="8DB3E2" w:themeColor="text2" w:themeTint="66"/>
      <w:lang w:val="fr-FR"/>
    </w:rPr>
  </w:style>
  <w:style w:type="character" w:customStyle="1" w:styleId="Titre4Car">
    <w:name w:val="Titre 4 Car"/>
    <w:basedOn w:val="Policepardfaut"/>
    <w:link w:val="Titre4"/>
    <w:uiPriority w:val="9"/>
    <w:semiHidden/>
    <w:rsid w:val="00247F12"/>
    <w:rPr>
      <w:rFonts w:asciiTheme="majorHAnsi" w:eastAsiaTheme="majorEastAsia" w:hAnsiTheme="majorHAnsi" w:cstheme="majorBidi"/>
      <w:b/>
      <w:bCs/>
      <w:i/>
      <w:iCs/>
      <w:color w:val="4F81BD" w:themeColor="accent1"/>
      <w:lang w:val="fr-FR"/>
    </w:rPr>
  </w:style>
  <w:style w:type="paragraph" w:styleId="NormalWeb">
    <w:name w:val="Normal (Web)"/>
    <w:basedOn w:val="Normal"/>
    <w:uiPriority w:val="99"/>
    <w:semiHidden/>
    <w:unhideWhenUsed/>
    <w:rsid w:val="00DE358A"/>
    <w:pPr>
      <w:spacing w:before="100" w:beforeAutospacing="1" w:after="100" w:afterAutospacing="1" w:line="240" w:lineRule="auto"/>
    </w:pPr>
    <w:rPr>
      <w:rFonts w:ascii="Times" w:hAnsi="Times" w:cs="Times New Roman"/>
      <w:sz w:val="20"/>
      <w:szCs w:val="20"/>
    </w:rPr>
  </w:style>
  <w:style w:type="paragraph" w:styleId="Sansinterligne">
    <w:name w:val="No Spacing"/>
    <w:uiPriority w:val="1"/>
    <w:qFormat/>
    <w:rsid w:val="00BD16C3"/>
    <w:rPr>
      <w:rFonts w:ascii="Times New Roman" w:hAnsi="Times New Roman"/>
      <w:lang w:val="fr-FR"/>
    </w:rPr>
  </w:style>
  <w:style w:type="table" w:styleId="Grilledutableau">
    <w:name w:val="Table Grid"/>
    <w:basedOn w:val="TableauNormal"/>
    <w:uiPriority w:val="59"/>
    <w:rsid w:val="00ED7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13366E"/>
    <w:pPr>
      <w:tabs>
        <w:tab w:val="center" w:pos="4536"/>
        <w:tab w:val="right" w:pos="9072"/>
      </w:tabs>
      <w:spacing w:line="240" w:lineRule="auto"/>
    </w:pPr>
  </w:style>
  <w:style w:type="character" w:customStyle="1" w:styleId="PieddepageCar">
    <w:name w:val="Pied de page Car"/>
    <w:basedOn w:val="Policepardfaut"/>
    <w:link w:val="Pieddepage"/>
    <w:uiPriority w:val="99"/>
    <w:rsid w:val="0013366E"/>
    <w:rPr>
      <w:rFonts w:ascii="Times New Roman" w:hAnsi="Times New Roman"/>
      <w:lang w:val="fr-FR"/>
    </w:rPr>
  </w:style>
  <w:style w:type="character" w:styleId="Numrodepage">
    <w:name w:val="page number"/>
    <w:basedOn w:val="Policepardfaut"/>
    <w:uiPriority w:val="99"/>
    <w:semiHidden/>
    <w:unhideWhenUsed/>
    <w:rsid w:val="0013366E"/>
  </w:style>
  <w:style w:type="paragraph" w:styleId="En-ttedetabledesmatires">
    <w:name w:val="TOC Heading"/>
    <w:basedOn w:val="Titre1"/>
    <w:next w:val="Normal"/>
    <w:uiPriority w:val="39"/>
    <w:unhideWhenUsed/>
    <w:qFormat/>
    <w:rsid w:val="00672181"/>
    <w:pPr>
      <w:outlineLvl w:val="9"/>
    </w:pPr>
  </w:style>
  <w:style w:type="paragraph" w:styleId="TM1">
    <w:name w:val="toc 1"/>
    <w:basedOn w:val="Normal"/>
    <w:next w:val="Normal"/>
    <w:autoRedefine/>
    <w:uiPriority w:val="39"/>
    <w:unhideWhenUsed/>
    <w:rsid w:val="00672181"/>
    <w:pPr>
      <w:spacing w:before="120"/>
    </w:pPr>
    <w:rPr>
      <w:rFonts w:asciiTheme="minorHAnsi" w:hAnsiTheme="minorHAnsi"/>
      <w:b/>
    </w:rPr>
  </w:style>
  <w:style w:type="paragraph" w:styleId="TM2">
    <w:name w:val="toc 2"/>
    <w:basedOn w:val="Normal"/>
    <w:next w:val="Normal"/>
    <w:autoRedefine/>
    <w:uiPriority w:val="39"/>
    <w:unhideWhenUsed/>
    <w:rsid w:val="00672181"/>
    <w:pPr>
      <w:ind w:left="240"/>
    </w:pPr>
    <w:rPr>
      <w:rFonts w:asciiTheme="minorHAnsi" w:hAnsiTheme="minorHAnsi"/>
      <w:b/>
      <w:sz w:val="22"/>
      <w:szCs w:val="22"/>
    </w:rPr>
  </w:style>
  <w:style w:type="paragraph" w:styleId="TM3">
    <w:name w:val="toc 3"/>
    <w:basedOn w:val="Normal"/>
    <w:next w:val="Normal"/>
    <w:autoRedefine/>
    <w:uiPriority w:val="39"/>
    <w:unhideWhenUsed/>
    <w:rsid w:val="00672181"/>
    <w:pPr>
      <w:ind w:left="480"/>
    </w:pPr>
    <w:rPr>
      <w:rFonts w:asciiTheme="minorHAnsi" w:hAnsiTheme="minorHAnsi"/>
      <w:sz w:val="22"/>
      <w:szCs w:val="22"/>
    </w:rPr>
  </w:style>
  <w:style w:type="paragraph" w:styleId="TM4">
    <w:name w:val="toc 4"/>
    <w:basedOn w:val="Normal"/>
    <w:next w:val="Normal"/>
    <w:autoRedefine/>
    <w:uiPriority w:val="39"/>
    <w:semiHidden/>
    <w:unhideWhenUsed/>
    <w:rsid w:val="00672181"/>
    <w:pPr>
      <w:ind w:left="720"/>
    </w:pPr>
    <w:rPr>
      <w:rFonts w:asciiTheme="minorHAnsi" w:hAnsiTheme="minorHAnsi"/>
      <w:sz w:val="20"/>
      <w:szCs w:val="20"/>
    </w:rPr>
  </w:style>
  <w:style w:type="paragraph" w:styleId="TM5">
    <w:name w:val="toc 5"/>
    <w:basedOn w:val="Normal"/>
    <w:next w:val="Normal"/>
    <w:autoRedefine/>
    <w:uiPriority w:val="39"/>
    <w:semiHidden/>
    <w:unhideWhenUsed/>
    <w:rsid w:val="00672181"/>
    <w:pPr>
      <w:ind w:left="960"/>
    </w:pPr>
    <w:rPr>
      <w:rFonts w:asciiTheme="minorHAnsi" w:hAnsiTheme="minorHAnsi"/>
      <w:sz w:val="20"/>
      <w:szCs w:val="20"/>
    </w:rPr>
  </w:style>
  <w:style w:type="paragraph" w:styleId="TM6">
    <w:name w:val="toc 6"/>
    <w:basedOn w:val="Normal"/>
    <w:next w:val="Normal"/>
    <w:autoRedefine/>
    <w:uiPriority w:val="39"/>
    <w:semiHidden/>
    <w:unhideWhenUsed/>
    <w:rsid w:val="00672181"/>
    <w:pPr>
      <w:ind w:left="1200"/>
    </w:pPr>
    <w:rPr>
      <w:rFonts w:asciiTheme="minorHAnsi" w:hAnsiTheme="minorHAnsi"/>
      <w:sz w:val="20"/>
      <w:szCs w:val="20"/>
    </w:rPr>
  </w:style>
  <w:style w:type="paragraph" w:styleId="TM7">
    <w:name w:val="toc 7"/>
    <w:basedOn w:val="Normal"/>
    <w:next w:val="Normal"/>
    <w:autoRedefine/>
    <w:uiPriority w:val="39"/>
    <w:semiHidden/>
    <w:unhideWhenUsed/>
    <w:rsid w:val="00672181"/>
    <w:pPr>
      <w:ind w:left="1440"/>
    </w:pPr>
    <w:rPr>
      <w:rFonts w:asciiTheme="minorHAnsi" w:hAnsiTheme="minorHAnsi"/>
      <w:sz w:val="20"/>
      <w:szCs w:val="20"/>
    </w:rPr>
  </w:style>
  <w:style w:type="paragraph" w:styleId="TM8">
    <w:name w:val="toc 8"/>
    <w:basedOn w:val="Normal"/>
    <w:next w:val="Normal"/>
    <w:autoRedefine/>
    <w:uiPriority w:val="39"/>
    <w:semiHidden/>
    <w:unhideWhenUsed/>
    <w:rsid w:val="00672181"/>
    <w:pPr>
      <w:ind w:left="1680"/>
    </w:pPr>
    <w:rPr>
      <w:rFonts w:asciiTheme="minorHAnsi" w:hAnsiTheme="minorHAnsi"/>
      <w:sz w:val="20"/>
      <w:szCs w:val="20"/>
    </w:rPr>
  </w:style>
  <w:style w:type="paragraph" w:styleId="TM9">
    <w:name w:val="toc 9"/>
    <w:basedOn w:val="Normal"/>
    <w:next w:val="Normal"/>
    <w:autoRedefine/>
    <w:uiPriority w:val="39"/>
    <w:semiHidden/>
    <w:unhideWhenUsed/>
    <w:rsid w:val="00672181"/>
    <w:pPr>
      <w:ind w:left="1920"/>
    </w:pPr>
    <w:rPr>
      <w:rFonts w:asciiTheme="minorHAnsi" w:hAnsiTheme="minorHAnsi"/>
      <w:sz w:val="20"/>
      <w:szCs w:val="20"/>
    </w:rPr>
  </w:style>
  <w:style w:type="paragraph" w:styleId="Objetducommentaire">
    <w:name w:val="annotation subject"/>
    <w:basedOn w:val="Commentaire"/>
    <w:next w:val="Commentaire"/>
    <w:link w:val="ObjetducommentaireCar"/>
    <w:uiPriority w:val="99"/>
    <w:semiHidden/>
    <w:unhideWhenUsed/>
    <w:rsid w:val="009D54BD"/>
    <w:pPr>
      <w:ind w:firstLine="0"/>
      <w:jc w:val="left"/>
    </w:pPr>
    <w:rPr>
      <w:rFonts w:eastAsiaTheme="minorEastAsia" w:cstheme="minorBidi"/>
      <w:b/>
      <w:bCs/>
    </w:rPr>
  </w:style>
  <w:style w:type="character" w:customStyle="1" w:styleId="ObjetducommentaireCar">
    <w:name w:val="Objet du commentaire Car"/>
    <w:basedOn w:val="CommentaireCar"/>
    <w:link w:val="Objetducommentaire"/>
    <w:uiPriority w:val="99"/>
    <w:semiHidden/>
    <w:rsid w:val="009D54BD"/>
    <w:rPr>
      <w:rFonts w:ascii="Times New Roman" w:eastAsia="Times New Roman" w:hAnsi="Times New Roman" w:cs="Times New Roman"/>
      <w:b/>
      <w:bCs/>
      <w:sz w:val="20"/>
      <w:szCs w:val="20"/>
      <w:lang w:val="fr-FR"/>
    </w:rPr>
  </w:style>
  <w:style w:type="character" w:customStyle="1" w:styleId="Titre5Car">
    <w:name w:val="Titre 5 Car"/>
    <w:basedOn w:val="Policepardfaut"/>
    <w:link w:val="Titre5"/>
    <w:uiPriority w:val="9"/>
    <w:rsid w:val="003F6ED7"/>
    <w:rPr>
      <w:rFonts w:asciiTheme="majorHAnsi" w:eastAsiaTheme="majorEastAsia" w:hAnsiTheme="majorHAnsi" w:cstheme="majorBidi"/>
      <w:color w:val="243F60" w:themeColor="accent1" w:themeShade="7F"/>
      <w:lang w:val="fr-FR"/>
    </w:rPr>
  </w:style>
  <w:style w:type="character" w:styleId="Lienhypertextesuivivisit">
    <w:name w:val="FollowedHyperlink"/>
    <w:basedOn w:val="Policepardfaut"/>
    <w:uiPriority w:val="99"/>
    <w:semiHidden/>
    <w:unhideWhenUsed/>
    <w:rsid w:val="003F6ED7"/>
    <w:rPr>
      <w:color w:val="800080" w:themeColor="followedHyperlink"/>
      <w:u w:val="single"/>
    </w:rPr>
  </w:style>
  <w:style w:type="paragraph" w:styleId="En-tte">
    <w:name w:val="header"/>
    <w:basedOn w:val="Normal"/>
    <w:link w:val="En-tteCar"/>
    <w:uiPriority w:val="99"/>
    <w:unhideWhenUsed/>
    <w:rsid w:val="00BE5630"/>
    <w:pPr>
      <w:tabs>
        <w:tab w:val="center" w:pos="4536"/>
        <w:tab w:val="right" w:pos="9072"/>
      </w:tabs>
      <w:spacing w:line="240" w:lineRule="auto"/>
    </w:pPr>
  </w:style>
  <w:style w:type="character" w:customStyle="1" w:styleId="En-tteCar">
    <w:name w:val="En-tête Car"/>
    <w:basedOn w:val="Policepardfaut"/>
    <w:link w:val="En-tte"/>
    <w:uiPriority w:val="99"/>
    <w:rsid w:val="00BE5630"/>
    <w:rPr>
      <w:rFonts w:ascii="Times New Roman" w:hAnsi="Times New Roman"/>
      <w:lang w:val="fr-FR"/>
    </w:rPr>
  </w:style>
  <w:style w:type="character" w:styleId="Accentuation">
    <w:name w:val="Emphasis"/>
    <w:basedOn w:val="Policepardfaut"/>
    <w:uiPriority w:val="20"/>
    <w:qFormat/>
    <w:rsid w:val="00B14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47906">
      <w:bodyDiv w:val="1"/>
      <w:marLeft w:val="0"/>
      <w:marRight w:val="0"/>
      <w:marTop w:val="0"/>
      <w:marBottom w:val="0"/>
      <w:divBdr>
        <w:top w:val="none" w:sz="0" w:space="0" w:color="auto"/>
        <w:left w:val="none" w:sz="0" w:space="0" w:color="auto"/>
        <w:bottom w:val="none" w:sz="0" w:space="0" w:color="auto"/>
        <w:right w:val="none" w:sz="0" w:space="0" w:color="auto"/>
      </w:divBdr>
      <w:divsChild>
        <w:div w:id="1266579131">
          <w:marLeft w:val="504"/>
          <w:marRight w:val="0"/>
          <w:marTop w:val="140"/>
          <w:marBottom w:val="0"/>
          <w:divBdr>
            <w:top w:val="none" w:sz="0" w:space="0" w:color="auto"/>
            <w:left w:val="none" w:sz="0" w:space="0" w:color="auto"/>
            <w:bottom w:val="none" w:sz="0" w:space="0" w:color="auto"/>
            <w:right w:val="none" w:sz="0" w:space="0" w:color="auto"/>
          </w:divBdr>
        </w:div>
      </w:divsChild>
    </w:div>
    <w:div w:id="347754843">
      <w:bodyDiv w:val="1"/>
      <w:marLeft w:val="0"/>
      <w:marRight w:val="0"/>
      <w:marTop w:val="0"/>
      <w:marBottom w:val="0"/>
      <w:divBdr>
        <w:top w:val="none" w:sz="0" w:space="0" w:color="auto"/>
        <w:left w:val="none" w:sz="0" w:space="0" w:color="auto"/>
        <w:bottom w:val="none" w:sz="0" w:space="0" w:color="auto"/>
        <w:right w:val="none" w:sz="0" w:space="0" w:color="auto"/>
      </w:divBdr>
      <w:divsChild>
        <w:div w:id="185759082">
          <w:marLeft w:val="504"/>
          <w:marRight w:val="0"/>
          <w:marTop w:val="140"/>
          <w:marBottom w:val="0"/>
          <w:divBdr>
            <w:top w:val="none" w:sz="0" w:space="0" w:color="auto"/>
            <w:left w:val="none" w:sz="0" w:space="0" w:color="auto"/>
            <w:bottom w:val="none" w:sz="0" w:space="0" w:color="auto"/>
            <w:right w:val="none" w:sz="0" w:space="0" w:color="auto"/>
          </w:divBdr>
        </w:div>
      </w:divsChild>
    </w:div>
    <w:div w:id="769815095">
      <w:bodyDiv w:val="1"/>
      <w:marLeft w:val="0"/>
      <w:marRight w:val="0"/>
      <w:marTop w:val="0"/>
      <w:marBottom w:val="0"/>
      <w:divBdr>
        <w:top w:val="none" w:sz="0" w:space="0" w:color="auto"/>
        <w:left w:val="none" w:sz="0" w:space="0" w:color="auto"/>
        <w:bottom w:val="none" w:sz="0" w:space="0" w:color="auto"/>
        <w:right w:val="none" w:sz="0" w:space="0" w:color="auto"/>
      </w:divBdr>
      <w:divsChild>
        <w:div w:id="230359048">
          <w:marLeft w:val="504"/>
          <w:marRight w:val="0"/>
          <w:marTop w:val="140"/>
          <w:marBottom w:val="0"/>
          <w:divBdr>
            <w:top w:val="none" w:sz="0" w:space="0" w:color="auto"/>
            <w:left w:val="none" w:sz="0" w:space="0" w:color="auto"/>
            <w:bottom w:val="none" w:sz="0" w:space="0" w:color="auto"/>
            <w:right w:val="none" w:sz="0" w:space="0" w:color="auto"/>
          </w:divBdr>
        </w:div>
        <w:div w:id="1709451084">
          <w:marLeft w:val="504"/>
          <w:marRight w:val="0"/>
          <w:marTop w:val="140"/>
          <w:marBottom w:val="0"/>
          <w:divBdr>
            <w:top w:val="none" w:sz="0" w:space="0" w:color="auto"/>
            <w:left w:val="none" w:sz="0" w:space="0" w:color="auto"/>
            <w:bottom w:val="none" w:sz="0" w:space="0" w:color="auto"/>
            <w:right w:val="none" w:sz="0" w:space="0" w:color="auto"/>
          </w:divBdr>
        </w:div>
      </w:divsChild>
    </w:div>
    <w:div w:id="1022979890">
      <w:bodyDiv w:val="1"/>
      <w:marLeft w:val="0"/>
      <w:marRight w:val="0"/>
      <w:marTop w:val="0"/>
      <w:marBottom w:val="0"/>
      <w:divBdr>
        <w:top w:val="none" w:sz="0" w:space="0" w:color="auto"/>
        <w:left w:val="none" w:sz="0" w:space="0" w:color="auto"/>
        <w:bottom w:val="none" w:sz="0" w:space="0" w:color="auto"/>
        <w:right w:val="none" w:sz="0" w:space="0" w:color="auto"/>
      </w:divBdr>
      <w:divsChild>
        <w:div w:id="823547144">
          <w:marLeft w:val="504"/>
          <w:marRight w:val="0"/>
          <w:marTop w:val="140"/>
          <w:marBottom w:val="0"/>
          <w:divBdr>
            <w:top w:val="none" w:sz="0" w:space="0" w:color="auto"/>
            <w:left w:val="none" w:sz="0" w:space="0" w:color="auto"/>
            <w:bottom w:val="none" w:sz="0" w:space="0" w:color="auto"/>
            <w:right w:val="none" w:sz="0" w:space="0" w:color="auto"/>
          </w:divBdr>
        </w:div>
      </w:divsChild>
    </w:div>
    <w:div w:id="1088306307">
      <w:bodyDiv w:val="1"/>
      <w:marLeft w:val="0"/>
      <w:marRight w:val="0"/>
      <w:marTop w:val="0"/>
      <w:marBottom w:val="0"/>
      <w:divBdr>
        <w:top w:val="none" w:sz="0" w:space="0" w:color="auto"/>
        <w:left w:val="none" w:sz="0" w:space="0" w:color="auto"/>
        <w:bottom w:val="none" w:sz="0" w:space="0" w:color="auto"/>
        <w:right w:val="none" w:sz="0" w:space="0" w:color="auto"/>
      </w:divBdr>
    </w:div>
    <w:div w:id="1430617923">
      <w:bodyDiv w:val="1"/>
      <w:marLeft w:val="0"/>
      <w:marRight w:val="0"/>
      <w:marTop w:val="0"/>
      <w:marBottom w:val="0"/>
      <w:divBdr>
        <w:top w:val="none" w:sz="0" w:space="0" w:color="auto"/>
        <w:left w:val="none" w:sz="0" w:space="0" w:color="auto"/>
        <w:bottom w:val="none" w:sz="0" w:space="0" w:color="auto"/>
        <w:right w:val="none" w:sz="0" w:space="0" w:color="auto"/>
      </w:divBdr>
      <w:divsChild>
        <w:div w:id="40793976">
          <w:marLeft w:val="504"/>
          <w:marRight w:val="0"/>
          <w:marTop w:val="140"/>
          <w:marBottom w:val="0"/>
          <w:divBdr>
            <w:top w:val="none" w:sz="0" w:space="0" w:color="auto"/>
            <w:left w:val="none" w:sz="0" w:space="0" w:color="auto"/>
            <w:bottom w:val="none" w:sz="0" w:space="0" w:color="auto"/>
            <w:right w:val="none" w:sz="0" w:space="0" w:color="auto"/>
          </w:divBdr>
        </w:div>
        <w:div w:id="1120223834">
          <w:marLeft w:val="504"/>
          <w:marRight w:val="0"/>
          <w:marTop w:val="140"/>
          <w:marBottom w:val="0"/>
          <w:divBdr>
            <w:top w:val="none" w:sz="0" w:space="0" w:color="auto"/>
            <w:left w:val="none" w:sz="0" w:space="0" w:color="auto"/>
            <w:bottom w:val="none" w:sz="0" w:space="0" w:color="auto"/>
            <w:right w:val="none" w:sz="0" w:space="0" w:color="auto"/>
          </w:divBdr>
        </w:div>
      </w:divsChild>
    </w:div>
    <w:div w:id="1760760169">
      <w:bodyDiv w:val="1"/>
      <w:marLeft w:val="0"/>
      <w:marRight w:val="0"/>
      <w:marTop w:val="0"/>
      <w:marBottom w:val="0"/>
      <w:divBdr>
        <w:top w:val="none" w:sz="0" w:space="0" w:color="auto"/>
        <w:left w:val="none" w:sz="0" w:space="0" w:color="auto"/>
        <w:bottom w:val="none" w:sz="0" w:space="0" w:color="auto"/>
        <w:right w:val="none" w:sz="0" w:space="0" w:color="auto"/>
      </w:divBdr>
      <w:divsChild>
        <w:div w:id="135799643">
          <w:marLeft w:val="504"/>
          <w:marRight w:val="0"/>
          <w:marTop w:val="140"/>
          <w:marBottom w:val="0"/>
          <w:divBdr>
            <w:top w:val="none" w:sz="0" w:space="0" w:color="auto"/>
            <w:left w:val="none" w:sz="0" w:space="0" w:color="auto"/>
            <w:bottom w:val="none" w:sz="0" w:space="0" w:color="auto"/>
            <w:right w:val="none" w:sz="0" w:space="0" w:color="auto"/>
          </w:divBdr>
        </w:div>
        <w:div w:id="664208490">
          <w:marLeft w:val="504"/>
          <w:marRight w:val="0"/>
          <w:marTop w:val="140"/>
          <w:marBottom w:val="0"/>
          <w:divBdr>
            <w:top w:val="none" w:sz="0" w:space="0" w:color="auto"/>
            <w:left w:val="none" w:sz="0" w:space="0" w:color="auto"/>
            <w:bottom w:val="none" w:sz="0" w:space="0" w:color="auto"/>
            <w:right w:val="none" w:sz="0" w:space="0" w:color="auto"/>
          </w:divBdr>
        </w:div>
        <w:div w:id="677079128">
          <w:marLeft w:val="504"/>
          <w:marRight w:val="0"/>
          <w:marTop w:val="140"/>
          <w:marBottom w:val="0"/>
          <w:divBdr>
            <w:top w:val="none" w:sz="0" w:space="0" w:color="auto"/>
            <w:left w:val="none" w:sz="0" w:space="0" w:color="auto"/>
            <w:bottom w:val="none" w:sz="0" w:space="0" w:color="auto"/>
            <w:right w:val="none" w:sz="0" w:space="0" w:color="auto"/>
          </w:divBdr>
        </w:div>
        <w:div w:id="750274035">
          <w:marLeft w:val="504"/>
          <w:marRight w:val="0"/>
          <w:marTop w:val="140"/>
          <w:marBottom w:val="0"/>
          <w:divBdr>
            <w:top w:val="none" w:sz="0" w:space="0" w:color="auto"/>
            <w:left w:val="none" w:sz="0" w:space="0" w:color="auto"/>
            <w:bottom w:val="none" w:sz="0" w:space="0" w:color="auto"/>
            <w:right w:val="none" w:sz="0" w:space="0" w:color="auto"/>
          </w:divBdr>
        </w:div>
        <w:div w:id="862328713">
          <w:marLeft w:val="504"/>
          <w:marRight w:val="0"/>
          <w:marTop w:val="140"/>
          <w:marBottom w:val="0"/>
          <w:divBdr>
            <w:top w:val="none" w:sz="0" w:space="0" w:color="auto"/>
            <w:left w:val="none" w:sz="0" w:space="0" w:color="auto"/>
            <w:bottom w:val="none" w:sz="0" w:space="0" w:color="auto"/>
            <w:right w:val="none" w:sz="0" w:space="0" w:color="auto"/>
          </w:divBdr>
        </w:div>
        <w:div w:id="1169635178">
          <w:marLeft w:val="504"/>
          <w:marRight w:val="0"/>
          <w:marTop w:val="140"/>
          <w:marBottom w:val="0"/>
          <w:divBdr>
            <w:top w:val="none" w:sz="0" w:space="0" w:color="auto"/>
            <w:left w:val="none" w:sz="0" w:space="0" w:color="auto"/>
            <w:bottom w:val="none" w:sz="0" w:space="0" w:color="auto"/>
            <w:right w:val="none" w:sz="0" w:space="0" w:color="auto"/>
          </w:divBdr>
        </w:div>
        <w:div w:id="1610815931">
          <w:marLeft w:val="504"/>
          <w:marRight w:val="0"/>
          <w:marTop w:val="140"/>
          <w:marBottom w:val="0"/>
          <w:divBdr>
            <w:top w:val="none" w:sz="0" w:space="0" w:color="auto"/>
            <w:left w:val="none" w:sz="0" w:space="0" w:color="auto"/>
            <w:bottom w:val="none" w:sz="0" w:space="0" w:color="auto"/>
            <w:right w:val="none" w:sz="0" w:space="0" w:color="auto"/>
          </w:divBdr>
        </w:div>
        <w:div w:id="1816218792">
          <w:marLeft w:val="504"/>
          <w:marRight w:val="0"/>
          <w:marTop w:val="140"/>
          <w:marBottom w:val="0"/>
          <w:divBdr>
            <w:top w:val="none" w:sz="0" w:space="0" w:color="auto"/>
            <w:left w:val="none" w:sz="0" w:space="0" w:color="auto"/>
            <w:bottom w:val="none" w:sz="0" w:space="0" w:color="auto"/>
            <w:right w:val="none" w:sz="0" w:space="0" w:color="auto"/>
          </w:divBdr>
        </w:div>
        <w:div w:id="2022852785">
          <w:marLeft w:val="504"/>
          <w:marRight w:val="0"/>
          <w:marTop w:val="140"/>
          <w:marBottom w:val="0"/>
          <w:divBdr>
            <w:top w:val="none" w:sz="0" w:space="0" w:color="auto"/>
            <w:left w:val="none" w:sz="0" w:space="0" w:color="auto"/>
            <w:bottom w:val="none" w:sz="0" w:space="0" w:color="auto"/>
            <w:right w:val="none" w:sz="0" w:space="0" w:color="auto"/>
          </w:divBdr>
        </w:div>
        <w:div w:id="2033604557">
          <w:marLeft w:val="504"/>
          <w:marRight w:val="0"/>
          <w:marTop w:val="140"/>
          <w:marBottom w:val="0"/>
          <w:divBdr>
            <w:top w:val="none" w:sz="0" w:space="0" w:color="auto"/>
            <w:left w:val="none" w:sz="0" w:space="0" w:color="auto"/>
            <w:bottom w:val="none" w:sz="0" w:space="0" w:color="auto"/>
            <w:right w:val="none" w:sz="0" w:space="0" w:color="auto"/>
          </w:divBdr>
        </w:div>
      </w:divsChild>
    </w:div>
    <w:div w:id="1768696237">
      <w:bodyDiv w:val="1"/>
      <w:marLeft w:val="0"/>
      <w:marRight w:val="0"/>
      <w:marTop w:val="0"/>
      <w:marBottom w:val="0"/>
      <w:divBdr>
        <w:top w:val="none" w:sz="0" w:space="0" w:color="auto"/>
        <w:left w:val="none" w:sz="0" w:space="0" w:color="auto"/>
        <w:bottom w:val="none" w:sz="0" w:space="0" w:color="auto"/>
        <w:right w:val="none" w:sz="0" w:space="0" w:color="auto"/>
      </w:divBdr>
    </w:div>
    <w:div w:id="1926570738">
      <w:bodyDiv w:val="1"/>
      <w:marLeft w:val="0"/>
      <w:marRight w:val="0"/>
      <w:marTop w:val="0"/>
      <w:marBottom w:val="0"/>
      <w:divBdr>
        <w:top w:val="none" w:sz="0" w:space="0" w:color="auto"/>
        <w:left w:val="none" w:sz="0" w:space="0" w:color="auto"/>
        <w:bottom w:val="none" w:sz="0" w:space="0" w:color="auto"/>
        <w:right w:val="none" w:sz="0" w:space="0" w:color="auto"/>
      </w:divBdr>
      <w:divsChild>
        <w:div w:id="1884902716">
          <w:marLeft w:val="504"/>
          <w:marRight w:val="0"/>
          <w:marTop w:val="1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cufin.be/websedsdd/intersalgfr/hrfcsf/onzedienst/PDF/HRFGESC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premier.fgov.be/%20fr/accord-de-gouvernement" TargetMode="Externa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imf.org/external/np/pp/eng/2013/07161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udgetfederal.be/FR/Pages/lexicum.aspx" TargetMode="External"/><Relationship Id="rId2" Type="http://schemas.openxmlformats.org/officeDocument/2006/relationships/hyperlink" Target="http://www.imf.org/external/np/fad/council/" TargetMode="External"/><Relationship Id="rId1" Type="http://schemas.openxmlformats.org/officeDocument/2006/relationships/hyperlink" Target="mailto:damien.piron@ulg.ac.b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de_calcul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Feuil1!$B$1</c:f>
              <c:strCache>
                <c:ptCount val="1"/>
                <c:pt idx="0">
                  <c:v>Mesures discrétionnaires</c:v>
                </c:pt>
              </c:strCache>
            </c:strRef>
          </c:tx>
          <c:marker>
            <c:symbol val="none"/>
          </c:marker>
          <c:cat>
            <c:numRef>
              <c:f>Feuil1!$A$2:$A$5</c:f>
              <c:numCache>
                <c:formatCode>General</c:formatCode>
                <c:ptCount val="4"/>
                <c:pt idx="0">
                  <c:v>1992</c:v>
                </c:pt>
                <c:pt idx="1">
                  <c:v>1993</c:v>
                </c:pt>
                <c:pt idx="2">
                  <c:v>1994</c:v>
                </c:pt>
                <c:pt idx="3">
                  <c:v>1995</c:v>
                </c:pt>
              </c:numCache>
            </c:numRef>
          </c:cat>
          <c:val>
            <c:numRef>
              <c:f>Feuil1!$B$2:$B$5</c:f>
              <c:numCache>
                <c:formatCode>General</c:formatCode>
                <c:ptCount val="4"/>
                <c:pt idx="0">
                  <c:v>-0.70000000000000062</c:v>
                </c:pt>
                <c:pt idx="1">
                  <c:v>1.4</c:v>
                </c:pt>
                <c:pt idx="2">
                  <c:v>2.2000000000000002</c:v>
                </c:pt>
                <c:pt idx="3">
                  <c:v>-0.30000000000000032</c:v>
                </c:pt>
              </c:numCache>
            </c:numRef>
          </c:val>
          <c:smooth val="0"/>
        </c:ser>
        <c:dLbls>
          <c:showLegendKey val="0"/>
          <c:showVal val="0"/>
          <c:showCatName val="0"/>
          <c:showSerName val="0"/>
          <c:showPercent val="0"/>
          <c:showBubbleSize val="0"/>
        </c:dLbls>
        <c:smooth val="0"/>
        <c:axId val="197938904"/>
        <c:axId val="197939688"/>
      </c:lineChart>
      <c:catAx>
        <c:axId val="19793890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r-FR"/>
          </a:p>
        </c:txPr>
        <c:crossAx val="197939688"/>
        <c:crosses val="autoZero"/>
        <c:auto val="1"/>
        <c:lblAlgn val="ctr"/>
        <c:lblOffset val="100"/>
        <c:noMultiLvlLbl val="0"/>
      </c:catAx>
      <c:valAx>
        <c:axId val="19793968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r-FR"/>
          </a:p>
        </c:txPr>
        <c:crossAx val="197938904"/>
        <c:crosses val="autoZero"/>
        <c:crossBetween val="between"/>
        <c:majorUnit val="1"/>
        <c:minorUnit val="1"/>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7.1696052046935424E-2"/>
          <c:y val="7.7611111111111131E-2"/>
          <c:w val="0.66928255092592459"/>
          <c:h val="0.84477777777777774"/>
        </c:manualLayout>
      </c:layout>
      <c:lineChart>
        <c:grouping val="standard"/>
        <c:varyColors val="0"/>
        <c:ser>
          <c:idx val="0"/>
          <c:order val="0"/>
          <c:tx>
            <c:strRef>
              <c:f>Feuil1!$B$1</c:f>
              <c:strCache>
                <c:ptCount val="1"/>
                <c:pt idx="0">
                  <c:v>Solde primaire</c:v>
                </c:pt>
              </c:strCache>
            </c:strRef>
          </c:tx>
          <c:marker>
            <c:symbol val="none"/>
          </c:marker>
          <c:cat>
            <c:numRef>
              <c:f>Feuil1!$A$2:$A$9</c:f>
              <c:numCache>
                <c:formatCode>General</c:formatCode>
                <c:ptCount val="8"/>
                <c:pt idx="0">
                  <c:v>2001</c:v>
                </c:pt>
                <c:pt idx="1">
                  <c:v>2002</c:v>
                </c:pt>
                <c:pt idx="2">
                  <c:v>2003</c:v>
                </c:pt>
                <c:pt idx="3">
                  <c:v>2004</c:v>
                </c:pt>
                <c:pt idx="4">
                  <c:v>2005</c:v>
                </c:pt>
                <c:pt idx="5">
                  <c:v>2006</c:v>
                </c:pt>
                <c:pt idx="6">
                  <c:v>2007</c:v>
                </c:pt>
                <c:pt idx="7">
                  <c:v>2008</c:v>
                </c:pt>
              </c:numCache>
            </c:numRef>
          </c:cat>
          <c:val>
            <c:numRef>
              <c:f>Feuil1!$B$2:$B$9</c:f>
              <c:numCache>
                <c:formatCode>General</c:formatCode>
                <c:ptCount val="8"/>
                <c:pt idx="0">
                  <c:v>6.8</c:v>
                </c:pt>
                <c:pt idx="1">
                  <c:v>5.6</c:v>
                </c:pt>
                <c:pt idx="2">
                  <c:v>5.0999999999999996</c:v>
                </c:pt>
                <c:pt idx="3">
                  <c:v>4.5</c:v>
                </c:pt>
                <c:pt idx="4">
                  <c:v>1.7</c:v>
                </c:pt>
                <c:pt idx="5">
                  <c:v>4.3</c:v>
                </c:pt>
                <c:pt idx="6">
                  <c:v>3.8</c:v>
                </c:pt>
                <c:pt idx="7">
                  <c:v>2.8</c:v>
                </c:pt>
              </c:numCache>
            </c:numRef>
          </c:val>
          <c:smooth val="0"/>
        </c:ser>
        <c:ser>
          <c:idx val="1"/>
          <c:order val="1"/>
          <c:tx>
            <c:strRef>
              <c:f>Feuil1!$C$1</c:f>
              <c:strCache>
                <c:ptCount val="1"/>
                <c:pt idx="0">
                  <c:v>Facteurs non récurrents</c:v>
                </c:pt>
              </c:strCache>
            </c:strRef>
          </c:tx>
          <c:marker>
            <c:symbol val="none"/>
          </c:marker>
          <c:cat>
            <c:numRef>
              <c:f>Feuil1!$A$2:$A$9</c:f>
              <c:numCache>
                <c:formatCode>General</c:formatCode>
                <c:ptCount val="8"/>
                <c:pt idx="0">
                  <c:v>2001</c:v>
                </c:pt>
                <c:pt idx="1">
                  <c:v>2002</c:v>
                </c:pt>
                <c:pt idx="2">
                  <c:v>2003</c:v>
                </c:pt>
                <c:pt idx="3">
                  <c:v>2004</c:v>
                </c:pt>
                <c:pt idx="4">
                  <c:v>2005</c:v>
                </c:pt>
                <c:pt idx="5">
                  <c:v>2006</c:v>
                </c:pt>
                <c:pt idx="6">
                  <c:v>2007</c:v>
                </c:pt>
                <c:pt idx="7">
                  <c:v>2008</c:v>
                </c:pt>
              </c:numCache>
            </c:numRef>
          </c:cat>
          <c:val>
            <c:numRef>
              <c:f>Feuil1!$C$2:$C$9</c:f>
              <c:numCache>
                <c:formatCode>General</c:formatCode>
                <c:ptCount val="8"/>
                <c:pt idx="0">
                  <c:v>0.9</c:v>
                </c:pt>
                <c:pt idx="1">
                  <c:v>0.30000000000000032</c:v>
                </c:pt>
                <c:pt idx="2">
                  <c:v>1.1000000000000001</c:v>
                </c:pt>
                <c:pt idx="3">
                  <c:v>0.8</c:v>
                </c:pt>
                <c:pt idx="4">
                  <c:v>-2</c:v>
                </c:pt>
                <c:pt idx="5">
                  <c:v>0.70000000000000062</c:v>
                </c:pt>
                <c:pt idx="6">
                  <c:v>0.5</c:v>
                </c:pt>
                <c:pt idx="7">
                  <c:v>0</c:v>
                </c:pt>
              </c:numCache>
            </c:numRef>
          </c:val>
          <c:smooth val="0"/>
        </c:ser>
        <c:ser>
          <c:idx val="2"/>
          <c:order val="2"/>
          <c:tx>
            <c:strRef>
              <c:f>Feuil1!$D$1</c:f>
              <c:strCache>
                <c:ptCount val="1"/>
                <c:pt idx="0">
                  <c:v>Solde net de financement</c:v>
                </c:pt>
              </c:strCache>
            </c:strRef>
          </c:tx>
          <c:marker>
            <c:symbol val="none"/>
          </c:marker>
          <c:cat>
            <c:numRef>
              <c:f>Feuil1!$A$2:$A$9</c:f>
              <c:numCache>
                <c:formatCode>General</c:formatCode>
                <c:ptCount val="8"/>
                <c:pt idx="0">
                  <c:v>2001</c:v>
                </c:pt>
                <c:pt idx="1">
                  <c:v>2002</c:v>
                </c:pt>
                <c:pt idx="2">
                  <c:v>2003</c:v>
                </c:pt>
                <c:pt idx="3">
                  <c:v>2004</c:v>
                </c:pt>
                <c:pt idx="4">
                  <c:v>2005</c:v>
                </c:pt>
                <c:pt idx="5">
                  <c:v>2006</c:v>
                </c:pt>
                <c:pt idx="6">
                  <c:v>2007</c:v>
                </c:pt>
                <c:pt idx="7">
                  <c:v>2008</c:v>
                </c:pt>
              </c:numCache>
            </c:numRef>
          </c:cat>
          <c:val>
            <c:numRef>
              <c:f>Feuil1!$D$2:$D$9</c:f>
              <c:numCache>
                <c:formatCode>General</c:formatCode>
                <c:ptCount val="8"/>
                <c:pt idx="0">
                  <c:v>0.4</c:v>
                </c:pt>
                <c:pt idx="1">
                  <c:v>-0.1</c:v>
                </c:pt>
                <c:pt idx="2">
                  <c:v>-0.1</c:v>
                </c:pt>
                <c:pt idx="3">
                  <c:v>-0.1</c:v>
                </c:pt>
                <c:pt idx="4">
                  <c:v>-2.5</c:v>
                </c:pt>
                <c:pt idx="5">
                  <c:v>0.4</c:v>
                </c:pt>
                <c:pt idx="6">
                  <c:v>-0.1</c:v>
                </c:pt>
                <c:pt idx="7">
                  <c:v>-1</c:v>
                </c:pt>
              </c:numCache>
            </c:numRef>
          </c:val>
          <c:smooth val="0"/>
        </c:ser>
        <c:dLbls>
          <c:showLegendKey val="0"/>
          <c:showVal val="0"/>
          <c:showCatName val="0"/>
          <c:showSerName val="0"/>
          <c:showPercent val="0"/>
          <c:showBubbleSize val="0"/>
        </c:dLbls>
        <c:smooth val="0"/>
        <c:axId val="197941256"/>
        <c:axId val="197941648"/>
      </c:lineChart>
      <c:catAx>
        <c:axId val="197941256"/>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r-FR"/>
          </a:p>
        </c:txPr>
        <c:crossAx val="197941648"/>
        <c:crosses val="autoZero"/>
        <c:auto val="1"/>
        <c:lblAlgn val="ctr"/>
        <c:lblOffset val="100"/>
        <c:noMultiLvlLbl val="0"/>
      </c:catAx>
      <c:valAx>
        <c:axId val="19794164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r-FR"/>
          </a:p>
        </c:txPr>
        <c:crossAx val="197941256"/>
        <c:crosses val="autoZero"/>
        <c:crossBetween val="between"/>
      </c:valAx>
    </c:plotArea>
    <c:legend>
      <c:legendPos val="r"/>
      <c:layout>
        <c:manualLayout>
          <c:xMode val="edge"/>
          <c:yMode val="edge"/>
          <c:x val="0.73803801965838434"/>
          <c:y val="0.14504907407407441"/>
          <c:w val="0.26196198034162188"/>
          <c:h val="0.55232824074074049"/>
        </c:manualLayout>
      </c:layout>
      <c:overlay val="0"/>
      <c:txPr>
        <a:bodyPr/>
        <a:lstStyle/>
        <a:p>
          <a:pPr>
            <a:defRPr>
              <a:latin typeface="Times New Roman" pitchFamily="18" charset="0"/>
              <a:cs typeface="Times New Roman" pitchFamily="18" charset="0"/>
            </a:defRPr>
          </a:pPr>
          <a:endParaRPr lang="fr-F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6.8607870370370375E-2"/>
          <c:y val="7.7306095616074794E-2"/>
          <c:w val="0.66372199074074378"/>
          <c:h val="0.84538780876785036"/>
        </c:manualLayout>
      </c:layout>
      <c:lineChart>
        <c:grouping val="standard"/>
        <c:varyColors val="0"/>
        <c:ser>
          <c:idx val="0"/>
          <c:order val="0"/>
          <c:tx>
            <c:strRef>
              <c:f>Feuil1!$B$1</c:f>
              <c:strCache>
                <c:ptCount val="1"/>
                <c:pt idx="0">
                  <c:v>PIB</c:v>
                </c:pt>
              </c:strCache>
            </c:strRef>
          </c:tx>
          <c:marker>
            <c:symbol val="none"/>
          </c:marker>
          <c:cat>
            <c:numRef>
              <c:f>Feuil1!$A$2:$A$6</c:f>
              <c:numCache>
                <c:formatCode>General</c:formatCode>
                <c:ptCount val="5"/>
                <c:pt idx="0">
                  <c:v>2009</c:v>
                </c:pt>
                <c:pt idx="1">
                  <c:v>2010</c:v>
                </c:pt>
                <c:pt idx="2">
                  <c:v>2011</c:v>
                </c:pt>
                <c:pt idx="3">
                  <c:v>2012</c:v>
                </c:pt>
                <c:pt idx="4">
                  <c:v>2013</c:v>
                </c:pt>
              </c:numCache>
            </c:numRef>
          </c:cat>
          <c:val>
            <c:numRef>
              <c:f>Feuil1!$B$2:$B$6</c:f>
              <c:numCache>
                <c:formatCode>General</c:formatCode>
                <c:ptCount val="5"/>
                <c:pt idx="0">
                  <c:v>-2.8</c:v>
                </c:pt>
                <c:pt idx="1">
                  <c:v>2.2999999999999998</c:v>
                </c:pt>
                <c:pt idx="2">
                  <c:v>1.8</c:v>
                </c:pt>
                <c:pt idx="3">
                  <c:v>-0.1</c:v>
                </c:pt>
                <c:pt idx="4">
                  <c:v>0.1</c:v>
                </c:pt>
              </c:numCache>
            </c:numRef>
          </c:val>
          <c:smooth val="0"/>
        </c:ser>
        <c:ser>
          <c:idx val="1"/>
          <c:order val="1"/>
          <c:tx>
            <c:strRef>
              <c:f>Feuil1!$C$1</c:f>
              <c:strCache>
                <c:ptCount val="1"/>
                <c:pt idx="0">
                  <c:v>Solde structurel</c:v>
                </c:pt>
              </c:strCache>
            </c:strRef>
          </c:tx>
          <c:marker>
            <c:symbol val="none"/>
          </c:marker>
          <c:cat>
            <c:numRef>
              <c:f>Feuil1!$A$2:$A$6</c:f>
              <c:numCache>
                <c:formatCode>General</c:formatCode>
                <c:ptCount val="5"/>
                <c:pt idx="0">
                  <c:v>2009</c:v>
                </c:pt>
                <c:pt idx="1">
                  <c:v>2010</c:v>
                </c:pt>
                <c:pt idx="2">
                  <c:v>2011</c:v>
                </c:pt>
                <c:pt idx="3">
                  <c:v>2012</c:v>
                </c:pt>
                <c:pt idx="4">
                  <c:v>2013</c:v>
                </c:pt>
              </c:numCache>
            </c:numRef>
          </c:cat>
          <c:val>
            <c:numRef>
              <c:f>Feuil1!$C$2:$C$6</c:f>
              <c:numCache>
                <c:formatCode>General</c:formatCode>
                <c:ptCount val="5"/>
                <c:pt idx="0">
                  <c:v>-3.9</c:v>
                </c:pt>
                <c:pt idx="1">
                  <c:v>-3.3</c:v>
                </c:pt>
                <c:pt idx="2">
                  <c:v>-3.5</c:v>
                </c:pt>
                <c:pt idx="3">
                  <c:v>-3.2</c:v>
                </c:pt>
                <c:pt idx="4">
                  <c:v>-1.7</c:v>
                </c:pt>
              </c:numCache>
            </c:numRef>
          </c:val>
          <c:smooth val="0"/>
        </c:ser>
        <c:ser>
          <c:idx val="2"/>
          <c:order val="2"/>
          <c:tx>
            <c:strRef>
              <c:f>Feuil1!$D$1</c:f>
              <c:strCache>
                <c:ptCount val="1"/>
                <c:pt idx="0">
                  <c:v>Solde net de financement</c:v>
                </c:pt>
              </c:strCache>
            </c:strRef>
          </c:tx>
          <c:marker>
            <c:symbol val="none"/>
          </c:marker>
          <c:cat>
            <c:numRef>
              <c:f>Feuil1!$A$2:$A$6</c:f>
              <c:numCache>
                <c:formatCode>General</c:formatCode>
                <c:ptCount val="5"/>
                <c:pt idx="0">
                  <c:v>2009</c:v>
                </c:pt>
                <c:pt idx="1">
                  <c:v>2010</c:v>
                </c:pt>
                <c:pt idx="2">
                  <c:v>2011</c:v>
                </c:pt>
                <c:pt idx="3">
                  <c:v>2012</c:v>
                </c:pt>
                <c:pt idx="4">
                  <c:v>2013</c:v>
                </c:pt>
              </c:numCache>
            </c:numRef>
          </c:cat>
          <c:val>
            <c:numRef>
              <c:f>Feuil1!$D$2:$D$6</c:f>
              <c:numCache>
                <c:formatCode>General</c:formatCode>
                <c:ptCount val="5"/>
                <c:pt idx="0">
                  <c:v>-5.6</c:v>
                </c:pt>
                <c:pt idx="1">
                  <c:v>-3.7</c:v>
                </c:pt>
                <c:pt idx="2">
                  <c:v>-3.7</c:v>
                </c:pt>
                <c:pt idx="3">
                  <c:v>-4</c:v>
                </c:pt>
                <c:pt idx="4">
                  <c:v>-2.7</c:v>
                </c:pt>
              </c:numCache>
            </c:numRef>
          </c:val>
          <c:smooth val="0"/>
        </c:ser>
        <c:dLbls>
          <c:showLegendKey val="0"/>
          <c:showVal val="0"/>
          <c:showCatName val="0"/>
          <c:showSerName val="0"/>
          <c:showPercent val="0"/>
          <c:showBubbleSize val="0"/>
        </c:dLbls>
        <c:smooth val="0"/>
        <c:axId val="197942432"/>
        <c:axId val="225345152"/>
      </c:lineChart>
      <c:catAx>
        <c:axId val="19794243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r-FR"/>
          </a:p>
        </c:txPr>
        <c:crossAx val="225345152"/>
        <c:crosses val="autoZero"/>
        <c:auto val="1"/>
        <c:lblAlgn val="ctr"/>
        <c:lblOffset val="100"/>
        <c:noMultiLvlLbl val="0"/>
      </c:catAx>
      <c:valAx>
        <c:axId val="225345152"/>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r-FR"/>
          </a:p>
        </c:txPr>
        <c:crossAx val="197942432"/>
        <c:crosses val="autoZero"/>
        <c:crossBetween val="between"/>
      </c:valAx>
    </c:plotArea>
    <c:legend>
      <c:legendPos val="r"/>
      <c:layout>
        <c:manualLayout>
          <c:xMode val="edge"/>
          <c:yMode val="edge"/>
          <c:x val="0.75584837962963303"/>
          <c:y val="0.14936400933649677"/>
          <c:w val="0.24415162037037036"/>
          <c:h val="0.64504936633350662"/>
        </c:manualLayout>
      </c:layout>
      <c:overlay val="0"/>
      <c:txPr>
        <a:bodyPr/>
        <a:lstStyle/>
        <a:p>
          <a:pPr>
            <a:defRPr>
              <a:latin typeface="Times New Roman" pitchFamily="18" charset="0"/>
              <a:cs typeface="Times New Roman" pitchFamily="18" charset="0"/>
            </a:defRPr>
          </a:pPr>
          <a:endParaRPr lang="fr-FR"/>
        </a:p>
      </c:txPr>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5BF69-2A8E-4DEC-B7DD-79AD954D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8886</Words>
  <Characters>48875</Characters>
  <Application>Microsoft Office Word</Application>
  <DocSecurity>0</DocSecurity>
  <Lines>407</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Piron</dc:creator>
  <cp:lastModifiedBy>ULg</cp:lastModifiedBy>
  <cp:revision>6</cp:revision>
  <cp:lastPrinted>2014-06-25T11:36:00Z</cp:lastPrinted>
  <dcterms:created xsi:type="dcterms:W3CDTF">2014-05-05T13:20:00Z</dcterms:created>
  <dcterms:modified xsi:type="dcterms:W3CDTF">2014-06-25T11:51:00Z</dcterms:modified>
</cp:coreProperties>
</file>