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0A" w:rsidRPr="00910460" w:rsidRDefault="00910460" w:rsidP="009F2AD2">
      <w:pPr>
        <w:autoSpaceDE w:val="0"/>
        <w:autoSpaceDN w:val="0"/>
        <w:adjustRightInd w:val="0"/>
        <w:spacing w:after="0" w:line="240" w:lineRule="auto"/>
        <w:rPr>
          <w:rFonts w:ascii="Times New Roman" w:eastAsia="GulliverRM" w:hAnsi="Times New Roman" w:cs="Times New Roman"/>
          <w:sz w:val="32"/>
          <w:szCs w:val="32"/>
          <w:lang w:val="en-GB"/>
        </w:rPr>
      </w:pPr>
      <w:r w:rsidRPr="00910460">
        <w:rPr>
          <w:rFonts w:ascii="Times New Roman" w:eastAsia="GulliverRM" w:hAnsi="Times New Roman" w:cs="Times New Roman"/>
          <w:sz w:val="32"/>
          <w:szCs w:val="32"/>
          <w:lang w:val="en-GB"/>
        </w:rPr>
        <w:t xml:space="preserve">Trace element bioaccumulation in rope-grown </w:t>
      </w:r>
      <w:proofErr w:type="spellStart"/>
      <w:r w:rsidRPr="00910460">
        <w:rPr>
          <w:rFonts w:ascii="Times New Roman" w:eastAsia="GulliverRM" w:hAnsi="Times New Roman" w:cs="Times New Roman"/>
          <w:i/>
          <w:sz w:val="32"/>
          <w:szCs w:val="32"/>
          <w:lang w:val="en-GB"/>
        </w:rPr>
        <w:t>Mytilus</w:t>
      </w:r>
      <w:proofErr w:type="spellEnd"/>
      <w:r>
        <w:rPr>
          <w:rFonts w:ascii="Times New Roman" w:eastAsia="GulliverRM" w:hAnsi="Times New Roman" w:cs="Times New Roman"/>
          <w:i/>
          <w:sz w:val="32"/>
          <w:szCs w:val="32"/>
          <w:lang w:val="en-GB"/>
        </w:rPr>
        <w:t xml:space="preserve"> </w:t>
      </w:r>
      <w:proofErr w:type="spellStart"/>
      <w:r w:rsidRPr="00910460">
        <w:rPr>
          <w:rFonts w:ascii="Times New Roman" w:eastAsia="GulliverRM" w:hAnsi="Times New Roman" w:cs="Times New Roman"/>
          <w:i/>
          <w:sz w:val="32"/>
          <w:szCs w:val="32"/>
          <w:lang w:val="en-GB"/>
        </w:rPr>
        <w:t>galloprovincialis</w:t>
      </w:r>
      <w:proofErr w:type="spellEnd"/>
      <w:r w:rsidRPr="00910460">
        <w:rPr>
          <w:rFonts w:ascii="Times New Roman" w:eastAsia="GulliverRM" w:hAnsi="Times New Roman" w:cs="Times New Roman"/>
          <w:sz w:val="32"/>
          <w:szCs w:val="32"/>
          <w:lang w:val="en-GB"/>
        </w:rPr>
        <w:t>: knowledge update</w:t>
      </w:r>
    </w:p>
    <w:p w:rsidR="00CD030A" w:rsidRDefault="00CD030A" w:rsidP="00CD030A">
      <w:pPr>
        <w:autoSpaceDE w:val="0"/>
        <w:autoSpaceDN w:val="0"/>
        <w:adjustRightInd w:val="0"/>
        <w:spacing w:after="0" w:line="240" w:lineRule="auto"/>
        <w:rPr>
          <w:rFonts w:ascii="Times New Roman" w:eastAsia="GulliverRM" w:hAnsi="Times New Roman" w:cs="Times New Roman"/>
          <w:sz w:val="24"/>
          <w:szCs w:val="24"/>
          <w:lang w:val="en-GB"/>
        </w:rPr>
      </w:pPr>
    </w:p>
    <w:p w:rsidR="00CD030A" w:rsidRPr="00CD030A" w:rsidRDefault="00CD030A" w:rsidP="00CD030A">
      <w:pPr>
        <w:autoSpaceDE w:val="0"/>
        <w:autoSpaceDN w:val="0"/>
        <w:adjustRightInd w:val="0"/>
        <w:spacing w:after="0" w:line="240" w:lineRule="auto"/>
        <w:rPr>
          <w:rFonts w:ascii="Times New Roman" w:eastAsia="GulliverRM" w:hAnsi="Times New Roman" w:cs="Times New Roman"/>
          <w:sz w:val="24"/>
          <w:szCs w:val="24"/>
        </w:rPr>
      </w:pPr>
      <w:r w:rsidRPr="00CD030A">
        <w:rPr>
          <w:rFonts w:ascii="Times New Roman" w:eastAsia="GulliverRM" w:hAnsi="Times New Roman" w:cs="Times New Roman"/>
          <w:sz w:val="24"/>
          <w:szCs w:val="24"/>
        </w:rPr>
        <w:t>J. Richir</w:t>
      </w:r>
      <w:r w:rsidR="000E635C" w:rsidRPr="000E635C">
        <w:rPr>
          <w:rFonts w:ascii="Times New Roman" w:eastAsia="GulliverRM" w:hAnsi="Times New Roman" w:cs="Times New Roman"/>
          <w:sz w:val="24"/>
          <w:szCs w:val="24"/>
          <w:vertAlign w:val="superscript"/>
        </w:rPr>
        <w:t>1</w:t>
      </w:r>
      <w:r w:rsidRPr="00CD030A">
        <w:rPr>
          <w:rFonts w:ascii="Cambria Math" w:eastAsia="GulliverRM" w:hAnsi="Cambria Math" w:cs="Cambria Math"/>
          <w:sz w:val="24"/>
          <w:szCs w:val="24"/>
          <w:vertAlign w:val="superscript"/>
        </w:rPr>
        <w:t>∗</w:t>
      </w:r>
      <w:r w:rsidRPr="00CD030A">
        <w:rPr>
          <w:rFonts w:ascii="Times New Roman" w:eastAsia="GulliverRM" w:hAnsi="Times New Roman" w:cs="Times New Roman"/>
          <w:sz w:val="24"/>
          <w:szCs w:val="24"/>
        </w:rPr>
        <w:t>, S. Gobert</w:t>
      </w:r>
      <w:r w:rsidR="000E635C" w:rsidRPr="000E635C">
        <w:rPr>
          <w:rFonts w:ascii="Times New Roman" w:eastAsia="GulliverRM" w:hAnsi="Times New Roman" w:cs="Times New Roman"/>
          <w:sz w:val="24"/>
          <w:szCs w:val="24"/>
          <w:vertAlign w:val="superscript"/>
        </w:rPr>
        <w:t>1</w:t>
      </w:r>
    </w:p>
    <w:p w:rsidR="00CD030A" w:rsidRPr="00CD030A" w:rsidRDefault="00CD030A" w:rsidP="00CD030A">
      <w:pPr>
        <w:autoSpaceDE w:val="0"/>
        <w:autoSpaceDN w:val="0"/>
        <w:adjustRightInd w:val="0"/>
        <w:spacing w:after="0" w:line="240" w:lineRule="auto"/>
        <w:rPr>
          <w:rFonts w:ascii="Times New Roman" w:eastAsia="GulliverRM" w:hAnsi="Times New Roman" w:cs="Times New Roman"/>
          <w:sz w:val="24"/>
          <w:szCs w:val="24"/>
        </w:rPr>
      </w:pPr>
    </w:p>
    <w:p w:rsidR="00CD030A" w:rsidRPr="00CD030A" w:rsidRDefault="00CD030A" w:rsidP="00CD030A">
      <w:pPr>
        <w:autoSpaceDE w:val="0"/>
        <w:autoSpaceDN w:val="0"/>
        <w:adjustRightInd w:val="0"/>
        <w:spacing w:after="0" w:line="240" w:lineRule="auto"/>
        <w:rPr>
          <w:rFonts w:ascii="Times New Roman" w:eastAsia="GulliverRM" w:hAnsi="Times New Roman" w:cs="Times New Roman"/>
          <w:sz w:val="24"/>
          <w:szCs w:val="24"/>
        </w:rPr>
      </w:pPr>
      <w:r w:rsidRPr="00CD030A">
        <w:rPr>
          <w:rFonts w:ascii="Cambria Math" w:eastAsia="GulliverRM" w:hAnsi="Cambria Math" w:cs="Cambria Math"/>
          <w:sz w:val="24"/>
          <w:szCs w:val="24"/>
          <w:vertAlign w:val="superscript"/>
        </w:rPr>
        <w:t>∗</w:t>
      </w:r>
      <w:r w:rsidRPr="00CD030A">
        <w:rPr>
          <w:rFonts w:ascii="Times New Roman" w:eastAsia="GulliverRM" w:hAnsi="Times New Roman" w:cs="Times New Roman"/>
          <w:sz w:val="24"/>
          <w:szCs w:val="24"/>
        </w:rPr>
        <w:t>jonathan.richir@alumni.ulg.ac.be</w:t>
      </w:r>
    </w:p>
    <w:p w:rsidR="00CD030A" w:rsidRPr="00CD030A" w:rsidRDefault="00CD030A" w:rsidP="00CD030A">
      <w:pPr>
        <w:autoSpaceDE w:val="0"/>
        <w:autoSpaceDN w:val="0"/>
        <w:adjustRightInd w:val="0"/>
        <w:spacing w:after="0" w:line="240" w:lineRule="auto"/>
        <w:rPr>
          <w:rFonts w:ascii="Times New Roman" w:eastAsia="GulliverRM" w:hAnsi="Times New Roman" w:cs="Times New Roman"/>
          <w:sz w:val="24"/>
          <w:szCs w:val="24"/>
        </w:rPr>
      </w:pPr>
    </w:p>
    <w:p w:rsidR="00CD030A" w:rsidRDefault="000E635C" w:rsidP="000E635C">
      <w:pPr>
        <w:rPr>
          <w:rFonts w:ascii="Times New Roman" w:eastAsia="GulliverRM" w:hAnsi="Times New Roman" w:cs="Times New Roman"/>
          <w:sz w:val="24"/>
          <w:szCs w:val="24"/>
          <w:lang w:val="en-GB"/>
        </w:rPr>
      </w:pPr>
      <w:r w:rsidRPr="000E635C">
        <w:rPr>
          <w:rFonts w:ascii="Times New Roman" w:eastAsia="GulliverRM" w:hAnsi="Times New Roman" w:cs="Times New Roman"/>
          <w:sz w:val="24"/>
          <w:szCs w:val="24"/>
          <w:vertAlign w:val="superscript"/>
          <w:lang w:val="en-GB"/>
        </w:rPr>
        <w:t>1</w:t>
      </w:r>
      <w:r w:rsidR="00CD030A" w:rsidRPr="00CD030A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MARE Centre, Laboratory of Oceanology, University of Liège, </w:t>
      </w:r>
      <w:proofErr w:type="spellStart"/>
      <w:r w:rsidR="00CD030A" w:rsidRPr="00CD030A">
        <w:rPr>
          <w:rFonts w:ascii="Times New Roman" w:eastAsia="GulliverRM" w:hAnsi="Times New Roman" w:cs="Times New Roman"/>
          <w:sz w:val="24"/>
          <w:szCs w:val="24"/>
          <w:lang w:val="en-GB"/>
        </w:rPr>
        <w:t>Sart-Tilman</w:t>
      </w:r>
      <w:proofErr w:type="spellEnd"/>
      <w:r w:rsidR="00CD030A" w:rsidRPr="00CD030A">
        <w:rPr>
          <w:rFonts w:ascii="Times New Roman" w:eastAsia="GulliverRM" w:hAnsi="Times New Roman" w:cs="Times New Roman"/>
          <w:sz w:val="24"/>
          <w:szCs w:val="24"/>
          <w:lang w:val="en-GB"/>
        </w:rPr>
        <w:t>, B6c, 4000 Liège, Belgium</w:t>
      </w:r>
    </w:p>
    <w:p w:rsidR="00734BDA" w:rsidRPr="00CD030A" w:rsidRDefault="00910460" w:rsidP="00910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Numerous trace elements (TEs) can</w:t>
      </w:r>
      <w:r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be considered as potential pollutants of the environment, their mining</w:t>
      </w:r>
      <w:r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productions and industrial uses increasing worldwide. Their monitoring</w:t>
      </w:r>
      <w:r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can be achieved through the use of </w:t>
      </w:r>
      <w:proofErr w:type="spellStart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bioindicator</w:t>
      </w:r>
      <w:proofErr w:type="spellEnd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species, such as the</w:t>
      </w:r>
      <w:r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US"/>
        </w:rPr>
        <w:t xml:space="preserve">Mediterranean mussel </w:t>
      </w:r>
      <w:proofErr w:type="spellStart"/>
      <w:r w:rsidRPr="00910460">
        <w:rPr>
          <w:rFonts w:ascii="Times New Roman" w:eastAsia="GulliverRM" w:hAnsi="Times New Roman" w:cs="Times New Roman"/>
          <w:i/>
          <w:sz w:val="24"/>
          <w:szCs w:val="24"/>
          <w:lang w:val="en-US"/>
        </w:rPr>
        <w:t>Mytilus</w:t>
      </w:r>
      <w:proofErr w:type="spellEnd"/>
      <w:r w:rsidRPr="00910460">
        <w:rPr>
          <w:rFonts w:ascii="Times New Roman" w:eastAsia="GulliverRM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10460">
        <w:rPr>
          <w:rFonts w:ascii="Times New Roman" w:eastAsia="GulliverRM" w:hAnsi="Times New Roman" w:cs="Times New Roman"/>
          <w:i/>
          <w:sz w:val="24"/>
          <w:szCs w:val="24"/>
          <w:lang w:val="en-US"/>
        </w:rPr>
        <w:t>galloprovincialis</w:t>
      </w:r>
      <w:proofErr w:type="spellEnd"/>
      <w:r w:rsidRPr="00910460">
        <w:rPr>
          <w:rFonts w:ascii="Times New Roman" w:eastAsia="GulliverRM" w:hAnsi="Times New Roman" w:cs="Times New Roman"/>
          <w:sz w:val="24"/>
          <w:szCs w:val="24"/>
          <w:lang w:val="en-US"/>
        </w:rPr>
        <w:t xml:space="preserve"> (Lamarck, 1819).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That</w:t>
      </w:r>
      <w:r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species has been widely used to monitor the chemical pollution of</w:t>
      </w:r>
      <w:r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coastal ecosystems by Cr, Ni, Cu, Zn, Cd, </w:t>
      </w:r>
      <w:proofErr w:type="spellStart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Pb</w:t>
      </w:r>
      <w:proofErr w:type="spellEnd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, As, Ag and V.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Conversely, environmental levels of Be, Al, Fe, </w:t>
      </w:r>
      <w:proofErr w:type="spellStart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Mn</w:t>
      </w:r>
      <w:proofErr w:type="spellEnd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, Co, Se, Mo, Sn, Sb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and Bi have been little or </w:t>
      </w:r>
      <w:proofErr w:type="spellStart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not</w:t>
      </w:r>
      <w:proofErr w:type="spellEnd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monitored so far in mussel watch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programs. Bioaccumulation processes of these 19 TEs in rope-grown </w:t>
      </w:r>
      <w:r w:rsidRPr="009F2AD2">
        <w:rPr>
          <w:rFonts w:ascii="Times New Roman" w:eastAsia="GulliverRM" w:hAnsi="Times New Roman" w:cs="Times New Roman"/>
          <w:i/>
          <w:sz w:val="24"/>
          <w:szCs w:val="24"/>
          <w:lang w:val="en-GB"/>
        </w:rPr>
        <w:t>M.</w:t>
      </w:r>
      <w:r w:rsidR="009F2AD2" w:rsidRPr="009F2AD2">
        <w:rPr>
          <w:rFonts w:ascii="Times New Roman" w:eastAsia="GulliverRM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F2AD2">
        <w:rPr>
          <w:rFonts w:ascii="Times New Roman" w:eastAsia="GulliverRM" w:hAnsi="Times New Roman" w:cs="Times New Roman"/>
          <w:i/>
          <w:sz w:val="24"/>
          <w:szCs w:val="24"/>
          <w:lang w:val="en-GB"/>
        </w:rPr>
        <w:t>galloprovincialis</w:t>
      </w:r>
      <w:proofErr w:type="spellEnd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purchased from a salt pond with good chemical water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quality were thus inv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>estigated in the present study.</w:t>
      </w:r>
      <w:r w:rsidR="009F2AD2"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Mussels efficiently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accumulated the 19 studied TEs. Bioaccumulation processes were driven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by numerous mutually dependent biological parameters such as the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mussel size and flesh weight, the sex and the reproductive status and the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body compartment considered. TE bioaccumulation was a power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function of the mussel soft body dry weight; total contents linearly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increased with the shell length. Small-size mussels overall concentrated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more TEs, with a high </w:t>
      </w:r>
      <w:proofErr w:type="spellStart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inte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>r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individual</w:t>
      </w:r>
      <w:proofErr w:type="spellEnd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variability, consequently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influencing the modelling of their bioaccumulation in the whole rope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population. Although a large range of rope-grown </w:t>
      </w:r>
      <w:r w:rsidRPr="009F2AD2">
        <w:rPr>
          <w:rFonts w:ascii="Times New Roman" w:eastAsia="GulliverRM" w:hAnsi="Times New Roman" w:cs="Times New Roman"/>
          <w:i/>
          <w:sz w:val="24"/>
          <w:szCs w:val="24"/>
          <w:lang w:val="en-GB"/>
        </w:rPr>
        <w:t xml:space="preserve">M. </w:t>
      </w:r>
      <w:proofErr w:type="spellStart"/>
      <w:r w:rsidRPr="009F2AD2">
        <w:rPr>
          <w:rFonts w:ascii="Times New Roman" w:eastAsia="GulliverRM" w:hAnsi="Times New Roman" w:cs="Times New Roman"/>
          <w:i/>
          <w:sz w:val="24"/>
          <w:szCs w:val="24"/>
          <w:lang w:val="en-GB"/>
        </w:rPr>
        <w:t>galloprovincialis</w:t>
      </w:r>
      <w:proofErr w:type="spellEnd"/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sizes can be used for monitoring purposes, one will thus take care not to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use extreme size individuals. The influence of gametogenesis in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determining female body higher TE concentrations prior to spawning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could not be neglected and varied depending on the element. TEs were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preferentially accumulated in the </w:t>
      </w:r>
      <w:proofErr w:type="spellStart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hepatopancreas</w:t>
      </w:r>
      <w:proofErr w:type="spellEnd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, except for Zn, Se, Cd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and Mo, more concentrated in gills. Gametogenesis did not influence TE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distribution between body compartments, but likely diluted their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concentrations as a direct consequence of massive reproductive tissue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production.</w:t>
      </w:r>
      <w:r w:rsidR="009F2AD2"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So, results from the present study underline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>d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the potential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use of </w:t>
      </w:r>
      <w:r w:rsidRPr="009F2AD2">
        <w:rPr>
          <w:rFonts w:ascii="Times New Roman" w:eastAsia="GulliverRM" w:hAnsi="Times New Roman" w:cs="Times New Roman"/>
          <w:i/>
          <w:sz w:val="24"/>
          <w:szCs w:val="24"/>
          <w:lang w:val="en-GB"/>
        </w:rPr>
        <w:t xml:space="preserve">M. </w:t>
      </w:r>
      <w:proofErr w:type="spellStart"/>
      <w:r w:rsidRPr="009F2AD2">
        <w:rPr>
          <w:rFonts w:ascii="Times New Roman" w:eastAsia="GulliverRM" w:hAnsi="Times New Roman" w:cs="Times New Roman"/>
          <w:i/>
          <w:sz w:val="24"/>
          <w:szCs w:val="24"/>
          <w:lang w:val="en-GB"/>
        </w:rPr>
        <w:t>galloprovincialis</w:t>
      </w:r>
      <w:proofErr w:type="spellEnd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in the </w:t>
      </w:r>
      <w:proofErr w:type="spellStart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biomonitoring</w:t>
      </w:r>
      <w:proofErr w:type="spellEnd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of numerous little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studied TEs and g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>a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ve some insights into the decisive role played by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some relevant biological parameters in bioaccumulation processes of the</w:t>
      </w:r>
      <w:r w:rsidR="009F2AD2">
        <w:rPr>
          <w:rFonts w:ascii="Times New Roman" w:eastAsia="GulliverRM" w:hAnsi="Times New Roman" w:cs="Times New Roman"/>
          <w:sz w:val="24"/>
          <w:szCs w:val="24"/>
          <w:lang w:val="en-GB"/>
        </w:rPr>
        <w:t xml:space="preserve"> </w:t>
      </w:r>
      <w:bookmarkStart w:id="0" w:name="_GoBack"/>
      <w:bookmarkEnd w:id="0"/>
      <w:r w:rsidRPr="00910460">
        <w:rPr>
          <w:rFonts w:ascii="Times New Roman" w:eastAsia="GulliverRM" w:hAnsi="Times New Roman" w:cs="Times New Roman"/>
          <w:sz w:val="24"/>
          <w:szCs w:val="24"/>
          <w:lang w:val="en-GB"/>
        </w:rPr>
        <w:t>19 investigated TEs in rope-grown mussels.</w:t>
      </w:r>
    </w:p>
    <w:sectPr w:rsidR="00734BDA" w:rsidRPr="00CD0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0A"/>
    <w:rsid w:val="000E635C"/>
    <w:rsid w:val="00734BDA"/>
    <w:rsid w:val="00910460"/>
    <w:rsid w:val="009F2AD2"/>
    <w:rsid w:val="00C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uset</dc:creator>
  <cp:lastModifiedBy>jonathan</cp:lastModifiedBy>
  <cp:revision>2</cp:revision>
  <dcterms:created xsi:type="dcterms:W3CDTF">2013-12-01T18:09:00Z</dcterms:created>
  <dcterms:modified xsi:type="dcterms:W3CDTF">2014-05-13T09:45:00Z</dcterms:modified>
</cp:coreProperties>
</file>