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AE" w:rsidRPr="00115C89" w:rsidRDefault="00421FAE" w:rsidP="00421FAE">
      <w:pPr>
        <w:spacing w:before="120" w:after="120" w:line="360" w:lineRule="auto"/>
        <w:jc w:val="center"/>
        <w:rPr>
          <w:b/>
          <w:bCs/>
          <w:sz w:val="28"/>
          <w:szCs w:val="28"/>
          <w:lang w:val="en-GB"/>
        </w:rPr>
      </w:pPr>
      <w:r w:rsidRPr="00115C89">
        <w:rPr>
          <w:b/>
          <w:bCs/>
          <w:sz w:val="28"/>
          <w:szCs w:val="28"/>
          <w:lang w:val="en-GB"/>
        </w:rPr>
        <w:t>Examining the Effect of Earnings management on bid-ask spread and market liquidity</w:t>
      </w:r>
    </w:p>
    <w:p w:rsidR="00421FAE" w:rsidRPr="00115C89" w:rsidRDefault="00421FAE" w:rsidP="00421FAE">
      <w:pPr>
        <w:spacing w:before="120" w:after="120" w:line="360" w:lineRule="auto"/>
        <w:jc w:val="center"/>
        <w:rPr>
          <w:b/>
          <w:bCs/>
          <w:sz w:val="28"/>
          <w:szCs w:val="28"/>
          <w:lang w:val="en-GB"/>
        </w:rPr>
      </w:pPr>
    </w:p>
    <w:p w:rsidR="00421FAE" w:rsidRDefault="00421FAE" w:rsidP="00421FAE">
      <w:pPr>
        <w:pStyle w:val="Notedebasdepage"/>
        <w:jc w:val="center"/>
        <w:rPr>
          <w:lang w:val="en-GB"/>
        </w:rPr>
      </w:pPr>
    </w:p>
    <w:p w:rsidR="00421FAE" w:rsidRDefault="00421FAE" w:rsidP="00421FAE">
      <w:pPr>
        <w:pStyle w:val="Notedebasdepage"/>
        <w:jc w:val="center"/>
        <w:rPr>
          <w:lang w:val="en-GB"/>
        </w:rPr>
      </w:pPr>
    </w:p>
    <w:p w:rsidR="00421FAE" w:rsidRDefault="00421FAE" w:rsidP="00421FAE">
      <w:pPr>
        <w:pStyle w:val="Notedebasdepage"/>
        <w:jc w:val="center"/>
        <w:rPr>
          <w:lang w:val="en-GB"/>
        </w:rPr>
      </w:pPr>
    </w:p>
    <w:p w:rsidR="00421FAE" w:rsidRPr="00115C89" w:rsidRDefault="00421FAE" w:rsidP="00421FAE">
      <w:pPr>
        <w:pStyle w:val="Notedebasdepage"/>
        <w:jc w:val="center"/>
        <w:rPr>
          <w:lang w:val="en-GB"/>
        </w:rPr>
      </w:pPr>
    </w:p>
    <w:p w:rsidR="00421FAE" w:rsidRPr="00115C89" w:rsidRDefault="00421FAE" w:rsidP="00421FAE">
      <w:pPr>
        <w:rPr>
          <w:sz w:val="22"/>
          <w:szCs w:val="22"/>
          <w:lang w:val="en-GB"/>
        </w:rPr>
      </w:pPr>
    </w:p>
    <w:p w:rsidR="00421FAE" w:rsidRPr="00115C89" w:rsidRDefault="00421FAE" w:rsidP="00421FAE">
      <w:pPr>
        <w:tabs>
          <w:tab w:val="left" w:pos="1841"/>
        </w:tabs>
        <w:ind w:left="1418"/>
        <w:rPr>
          <w:b/>
          <w:bCs/>
          <w:lang w:val="en-GB"/>
        </w:rPr>
      </w:pPr>
    </w:p>
    <w:p w:rsidR="00421FAE" w:rsidRPr="00115C89" w:rsidRDefault="00421FAE" w:rsidP="00421FAE">
      <w:pPr>
        <w:tabs>
          <w:tab w:val="left" w:pos="1841"/>
        </w:tabs>
        <w:ind w:left="1418"/>
        <w:rPr>
          <w:b/>
          <w:bCs/>
          <w:lang w:val="en-GB"/>
        </w:rPr>
      </w:pPr>
    </w:p>
    <w:p w:rsidR="00421FAE" w:rsidRPr="00115C89" w:rsidRDefault="00421FAE" w:rsidP="00421FAE">
      <w:pPr>
        <w:tabs>
          <w:tab w:val="left" w:pos="1841"/>
        </w:tabs>
        <w:ind w:left="1418"/>
        <w:rPr>
          <w:rFonts w:ascii="Arial" w:hAnsi="Arial"/>
          <w:i/>
          <w:iCs/>
          <w:sz w:val="20"/>
          <w:szCs w:val="20"/>
          <w:lang w:val="en-GB"/>
        </w:rPr>
      </w:pPr>
      <w:r w:rsidRPr="00115C89">
        <w:rPr>
          <w:b/>
          <w:bCs/>
          <w:lang w:val="en-GB"/>
        </w:rPr>
        <w:t>Abstract:</w:t>
      </w:r>
      <w:r>
        <w:rPr>
          <w:b/>
          <w:bCs/>
          <w:lang w:val="en-GB"/>
        </w:rPr>
        <w:t xml:space="preserve"> </w:t>
      </w:r>
    </w:p>
    <w:p w:rsidR="00421FAE" w:rsidRPr="00115C89" w:rsidRDefault="00421FAE" w:rsidP="00421FAE">
      <w:pPr>
        <w:spacing w:before="120" w:after="120" w:line="360" w:lineRule="auto"/>
        <w:jc w:val="both"/>
        <w:rPr>
          <w:bCs/>
          <w:sz w:val="22"/>
          <w:szCs w:val="22"/>
          <w:lang w:val="en-GB"/>
        </w:rPr>
      </w:pPr>
      <w:r w:rsidRPr="00115C89">
        <w:rPr>
          <w:bCs/>
          <w:sz w:val="22"/>
          <w:szCs w:val="22"/>
          <w:lang w:val="en-GB"/>
        </w:rPr>
        <w:t xml:space="preserve">The main purpose of this paper is to argue the extent that earnings management lowers liquidity. It should increase information asymmetry and impair trading liquidity. Using a sample of French firms from 2008 to 2011, we find that firms that manage earnings have wider bid-ask spreads. Our results are robust </w:t>
      </w:r>
      <w:r>
        <w:rPr>
          <w:bCs/>
          <w:sz w:val="22"/>
          <w:szCs w:val="22"/>
          <w:lang w:val="en-GB"/>
        </w:rPr>
        <w:t>for</w:t>
      </w:r>
      <w:r w:rsidRPr="00115C89">
        <w:rPr>
          <w:bCs/>
          <w:sz w:val="22"/>
          <w:szCs w:val="22"/>
          <w:lang w:val="en-GB"/>
        </w:rPr>
        <w:t xml:space="preserve"> both </w:t>
      </w:r>
      <w:r>
        <w:rPr>
          <w:bCs/>
          <w:sz w:val="22"/>
          <w:szCs w:val="22"/>
          <w:lang w:val="en-GB"/>
        </w:rPr>
        <w:t xml:space="preserve">of </w:t>
      </w:r>
      <w:r w:rsidRPr="00115C89">
        <w:rPr>
          <w:bCs/>
          <w:sz w:val="22"/>
          <w:szCs w:val="22"/>
          <w:lang w:val="en-GB"/>
        </w:rPr>
        <w:t xml:space="preserve">two </w:t>
      </w:r>
      <w:proofErr w:type="gramStart"/>
      <w:r w:rsidRPr="00115C89">
        <w:rPr>
          <w:bCs/>
          <w:sz w:val="22"/>
          <w:szCs w:val="22"/>
          <w:lang w:val="en-GB"/>
        </w:rPr>
        <w:t>well</w:t>
      </w:r>
      <w:r>
        <w:rPr>
          <w:bCs/>
          <w:sz w:val="22"/>
          <w:szCs w:val="22"/>
          <w:lang w:val="en-GB"/>
        </w:rPr>
        <w:t xml:space="preserve"> </w:t>
      </w:r>
      <w:r w:rsidRPr="00115C89">
        <w:rPr>
          <w:bCs/>
          <w:sz w:val="22"/>
          <w:szCs w:val="22"/>
          <w:lang w:val="en-GB"/>
        </w:rPr>
        <w:t>established</w:t>
      </w:r>
      <w:proofErr w:type="gramEnd"/>
      <w:r w:rsidRPr="00115C89">
        <w:rPr>
          <w:bCs/>
          <w:sz w:val="22"/>
          <w:szCs w:val="22"/>
          <w:lang w:val="en-GB"/>
        </w:rPr>
        <w:t xml:space="preserve"> measures of market liquidity. </w:t>
      </w:r>
      <w:r>
        <w:rPr>
          <w:bCs/>
          <w:sz w:val="22"/>
          <w:szCs w:val="22"/>
          <w:lang w:val="en-GB"/>
        </w:rPr>
        <w:t>Therefore</w:t>
      </w:r>
      <w:r w:rsidRPr="00115C89">
        <w:rPr>
          <w:bCs/>
          <w:sz w:val="22"/>
          <w:szCs w:val="22"/>
          <w:lang w:val="en-GB"/>
        </w:rPr>
        <w:t xml:space="preserve"> the empirical results indicate that </w:t>
      </w:r>
      <w:r w:rsidRPr="00C77463">
        <w:rPr>
          <w:bCs/>
          <w:sz w:val="22"/>
          <w:szCs w:val="22"/>
          <w:lang w:val="en-GB"/>
        </w:rPr>
        <w:t>firms that exhibit</w:t>
      </w:r>
      <w:r w:rsidRPr="00115C89">
        <w:rPr>
          <w:bCs/>
          <w:sz w:val="22"/>
          <w:szCs w:val="22"/>
          <w:lang w:val="en-GB"/>
        </w:rPr>
        <w:t xml:space="preserve"> greater earnings management are associated with lower market liquidity. These findings are in line with adverse selection and shed light on the role corporate governance devices </w:t>
      </w:r>
      <w:r>
        <w:rPr>
          <w:bCs/>
          <w:sz w:val="22"/>
          <w:szCs w:val="22"/>
          <w:lang w:val="en-GB"/>
        </w:rPr>
        <w:t>can play</w:t>
      </w:r>
      <w:r w:rsidRPr="00115C89">
        <w:rPr>
          <w:bCs/>
          <w:sz w:val="22"/>
          <w:szCs w:val="22"/>
          <w:lang w:val="en-GB"/>
        </w:rPr>
        <w:t xml:space="preserve"> </w:t>
      </w:r>
      <w:r>
        <w:rPr>
          <w:bCs/>
          <w:sz w:val="22"/>
          <w:szCs w:val="22"/>
          <w:lang w:val="en-GB"/>
        </w:rPr>
        <w:t xml:space="preserve">in the </w:t>
      </w:r>
      <w:r w:rsidRPr="00115C89">
        <w:rPr>
          <w:bCs/>
          <w:sz w:val="22"/>
          <w:szCs w:val="22"/>
          <w:lang w:val="en-GB"/>
        </w:rPr>
        <w:t>consider</w:t>
      </w:r>
      <w:r>
        <w:rPr>
          <w:bCs/>
          <w:sz w:val="22"/>
          <w:szCs w:val="22"/>
          <w:lang w:val="en-GB"/>
        </w:rPr>
        <w:t>ation of</w:t>
      </w:r>
      <w:r w:rsidRPr="00115C89">
        <w:rPr>
          <w:bCs/>
          <w:sz w:val="22"/>
          <w:szCs w:val="22"/>
          <w:lang w:val="en-GB"/>
        </w:rPr>
        <w:t xml:space="preserve"> shareholder interest</w:t>
      </w:r>
      <w:r>
        <w:rPr>
          <w:bCs/>
          <w:sz w:val="22"/>
          <w:szCs w:val="22"/>
          <w:lang w:val="en-GB"/>
        </w:rPr>
        <w:t>’s</w:t>
      </w:r>
      <w:r w:rsidRPr="00115C89">
        <w:rPr>
          <w:bCs/>
          <w:sz w:val="22"/>
          <w:szCs w:val="22"/>
          <w:lang w:val="en-GB"/>
        </w:rPr>
        <w:t xml:space="preserve"> protection, which leads to improved stock market liquidity levels.</w:t>
      </w:r>
    </w:p>
    <w:p w:rsidR="00421FAE" w:rsidRPr="00115C89" w:rsidRDefault="00421FAE" w:rsidP="00421FAE">
      <w:pPr>
        <w:spacing w:before="120" w:after="120" w:line="360" w:lineRule="auto"/>
        <w:rPr>
          <w:rFonts w:ascii="TimesNewRomanPSMT" w:eastAsia="Calibri" w:hAnsi="TimesNewRomanPSMT" w:cs="TimesNewRomanPSMT"/>
          <w:lang w:val="en-GB"/>
        </w:rPr>
      </w:pPr>
      <w:r w:rsidRPr="00115C89">
        <w:rPr>
          <w:rFonts w:ascii="TimesNewRomanPSMT" w:eastAsia="Calibri" w:hAnsi="TimesNewRomanPSMT" w:cs="TimesNewRomanPSMT"/>
          <w:b/>
          <w:lang w:val="en-GB"/>
        </w:rPr>
        <w:t>Keywords</w:t>
      </w:r>
      <w:r w:rsidRPr="00115C89">
        <w:rPr>
          <w:rFonts w:ascii="TimesNewRomanPSMT" w:eastAsia="Calibri" w:hAnsi="TimesNewRomanPSMT" w:cs="TimesNewRomanPSMT"/>
          <w:lang w:val="en-GB"/>
        </w:rPr>
        <w:t xml:space="preserve">: </w:t>
      </w:r>
      <w:r w:rsidRPr="00115C89">
        <w:rPr>
          <w:rFonts w:ascii="TimesNewRomanPSMT" w:eastAsia="Calibri" w:hAnsi="TimesNewRomanPSMT" w:cs="TimesNewRomanPSMT"/>
          <w:sz w:val="22"/>
          <w:szCs w:val="22"/>
          <w:lang w:val="en-GB"/>
        </w:rPr>
        <w:t xml:space="preserve">Earnings management, Bid-ask spreads, </w:t>
      </w:r>
      <w:r w:rsidRPr="00115C89">
        <w:rPr>
          <w:rFonts w:ascii="TimesNewRomanPSMT" w:eastAsia="Calibri" w:hAnsi="TimesNewRomanPSMT" w:cs="TimesNewRomanPSMT"/>
          <w:iCs/>
          <w:sz w:val="22"/>
          <w:szCs w:val="22"/>
          <w:lang w:val="en-GB"/>
        </w:rPr>
        <w:t>stock liquidity</w:t>
      </w:r>
      <w:r w:rsidRPr="00115C89">
        <w:rPr>
          <w:rFonts w:ascii="TimesNewRomanPSMT" w:eastAsia="Calibri" w:hAnsi="TimesNewRomanPSMT" w:cs="TimesNewRomanPSMT"/>
          <w:sz w:val="22"/>
          <w:szCs w:val="22"/>
          <w:lang w:val="en-GB"/>
        </w:rPr>
        <w:t>, discretionary accruals</w:t>
      </w:r>
    </w:p>
    <w:p w:rsidR="002611DF" w:rsidRDefault="00421FAE"/>
    <w:sectPr w:rsidR="002611DF" w:rsidSect="002611D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21FAE"/>
    <w:rsid w:val="00421FA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AE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tedebasdepage">
    <w:name w:val="footnote text"/>
    <w:basedOn w:val="Normal"/>
    <w:link w:val="NotedebasdepageCar"/>
    <w:unhideWhenUsed/>
    <w:rsid w:val="00421FA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21FAE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Université de Liège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Sougné</dc:creator>
  <cp:keywords/>
  <cp:lastModifiedBy>Danielle Sougné</cp:lastModifiedBy>
  <cp:revision>1</cp:revision>
  <dcterms:created xsi:type="dcterms:W3CDTF">2014-04-16T09:51:00Z</dcterms:created>
  <dcterms:modified xsi:type="dcterms:W3CDTF">2014-04-16T09:52:00Z</dcterms:modified>
</cp:coreProperties>
</file>