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E2D" w:rsidRDefault="00BE0787" w:rsidP="00BE0787">
      <w:pPr>
        <w:spacing w:line="360" w:lineRule="auto"/>
        <w:jc w:val="center"/>
        <w:rPr>
          <w:b/>
          <w:noProof w:val="0"/>
          <w:sz w:val="24"/>
          <w:lang w:val="fr-FR"/>
        </w:rPr>
      </w:pPr>
      <w:proofErr w:type="spellStart"/>
      <w:r>
        <w:rPr>
          <w:b/>
          <w:noProof w:val="0"/>
          <w:sz w:val="24"/>
          <w:lang w:val="fr-FR"/>
        </w:rPr>
        <w:t>Introgression</w:t>
      </w:r>
      <w:proofErr w:type="spellEnd"/>
      <w:r>
        <w:rPr>
          <w:b/>
          <w:noProof w:val="0"/>
          <w:sz w:val="24"/>
          <w:lang w:val="fr-FR"/>
        </w:rPr>
        <w:t xml:space="preserve"> du retard à la morphogenèse des glandes à gossypol de la graine de </w:t>
      </w:r>
      <w:r>
        <w:rPr>
          <w:b/>
          <w:i/>
          <w:noProof w:val="0"/>
          <w:sz w:val="24"/>
          <w:lang w:val="fr-FR"/>
        </w:rPr>
        <w:t>Gossypium</w:t>
      </w:r>
      <w:r>
        <w:rPr>
          <w:b/>
          <w:noProof w:val="0"/>
          <w:sz w:val="24"/>
          <w:lang w:val="fr-FR"/>
        </w:rPr>
        <w:t xml:space="preserve"> </w:t>
      </w:r>
      <w:r>
        <w:rPr>
          <w:b/>
          <w:i/>
          <w:noProof w:val="0"/>
          <w:sz w:val="24"/>
          <w:lang w:val="fr-FR"/>
        </w:rPr>
        <w:t xml:space="preserve">sturtianum </w:t>
      </w:r>
      <w:r>
        <w:rPr>
          <w:b/>
          <w:noProof w:val="0"/>
          <w:sz w:val="24"/>
          <w:lang w:val="fr-FR"/>
        </w:rPr>
        <w:t>Willis chez la principale espèce de cotonnier cultivé</w:t>
      </w:r>
    </w:p>
    <w:p w:rsidR="00BE0787" w:rsidRDefault="00BE0787" w:rsidP="00BE0787">
      <w:pPr>
        <w:spacing w:line="360" w:lineRule="auto"/>
        <w:jc w:val="center"/>
        <w:rPr>
          <w:noProof w:val="0"/>
          <w:sz w:val="24"/>
          <w:lang w:val="fr-FR"/>
        </w:rPr>
      </w:pPr>
      <w:bookmarkStart w:id="0" w:name="_GoBack"/>
      <w:bookmarkEnd w:id="0"/>
      <w:r>
        <w:rPr>
          <w:b/>
          <w:noProof w:val="0"/>
          <w:sz w:val="24"/>
          <w:lang w:val="fr-FR"/>
        </w:rPr>
        <w:t xml:space="preserve"> (G. </w:t>
      </w:r>
      <w:r>
        <w:rPr>
          <w:b/>
          <w:i/>
          <w:noProof w:val="0"/>
          <w:sz w:val="24"/>
          <w:lang w:val="fr-FR"/>
        </w:rPr>
        <w:t>hirsutum</w:t>
      </w:r>
      <w:r>
        <w:rPr>
          <w:b/>
          <w:noProof w:val="0"/>
          <w:sz w:val="24"/>
          <w:lang w:val="fr-FR"/>
        </w:rPr>
        <w:t xml:space="preserve"> L.).</w:t>
      </w:r>
    </w:p>
    <w:p w:rsidR="00BE0787" w:rsidRDefault="00BE0787" w:rsidP="00BE0787">
      <w:pPr>
        <w:spacing w:line="360" w:lineRule="auto"/>
        <w:jc w:val="center"/>
        <w:rPr>
          <w:noProof w:val="0"/>
          <w:sz w:val="24"/>
          <w:lang w:val="fr-FR"/>
        </w:rPr>
      </w:pPr>
    </w:p>
    <w:p w:rsidR="00BE0787" w:rsidRDefault="00BE0787" w:rsidP="00BE0787">
      <w:pPr>
        <w:spacing w:line="360" w:lineRule="auto"/>
        <w:jc w:val="center"/>
        <w:rPr>
          <w:noProof w:val="0"/>
          <w:sz w:val="24"/>
          <w:lang w:val="fr-FR"/>
        </w:rPr>
      </w:pPr>
    </w:p>
    <w:p w:rsidR="00BE0787" w:rsidRDefault="00BE0787" w:rsidP="00BE0787">
      <w:pPr>
        <w:spacing w:line="360" w:lineRule="auto"/>
        <w:jc w:val="center"/>
        <w:rPr>
          <w:noProof w:val="0"/>
          <w:sz w:val="24"/>
          <w:lang w:val="fr-FR"/>
        </w:rPr>
      </w:pPr>
      <w:proofErr w:type="spellStart"/>
      <w:r>
        <w:rPr>
          <w:noProof w:val="0"/>
          <w:sz w:val="24"/>
          <w:lang w:val="fr-FR"/>
        </w:rPr>
        <w:t>Mergeai</w:t>
      </w:r>
      <w:proofErr w:type="spellEnd"/>
      <w:r>
        <w:rPr>
          <w:noProof w:val="0"/>
          <w:sz w:val="24"/>
          <w:lang w:val="fr-FR"/>
        </w:rPr>
        <w:t xml:space="preserve"> Guy</w:t>
      </w:r>
      <w:r>
        <w:rPr>
          <w:noProof w:val="0"/>
          <w:sz w:val="24"/>
          <w:vertAlign w:val="superscript"/>
          <w:lang w:val="fr-FR"/>
        </w:rPr>
        <w:t>1</w:t>
      </w:r>
      <w:r>
        <w:rPr>
          <w:noProof w:val="0"/>
          <w:sz w:val="24"/>
          <w:lang w:val="fr-FR"/>
        </w:rPr>
        <w:t>, Baudoin Jean-Pierre</w:t>
      </w:r>
      <w:r>
        <w:rPr>
          <w:noProof w:val="0"/>
          <w:sz w:val="24"/>
          <w:vertAlign w:val="superscript"/>
          <w:lang w:val="fr-FR"/>
        </w:rPr>
        <w:t>1</w:t>
      </w:r>
      <w:r>
        <w:rPr>
          <w:noProof w:val="0"/>
          <w:sz w:val="24"/>
          <w:lang w:val="fr-FR"/>
        </w:rPr>
        <w:t>, du Jardin Patrick</w:t>
      </w:r>
      <w:r>
        <w:rPr>
          <w:noProof w:val="0"/>
          <w:sz w:val="24"/>
          <w:vertAlign w:val="superscript"/>
          <w:lang w:val="fr-FR"/>
        </w:rPr>
        <w:t>2</w:t>
      </w:r>
      <w:r>
        <w:rPr>
          <w:noProof w:val="0"/>
          <w:sz w:val="24"/>
          <w:lang w:val="fr-FR"/>
        </w:rPr>
        <w:t xml:space="preserve">, </w:t>
      </w:r>
      <w:proofErr w:type="spellStart"/>
      <w:r>
        <w:rPr>
          <w:noProof w:val="0"/>
          <w:sz w:val="24"/>
          <w:lang w:val="fr-FR"/>
        </w:rPr>
        <w:t>Vroh</w:t>
      </w:r>
      <w:proofErr w:type="spellEnd"/>
      <w:r>
        <w:rPr>
          <w:noProof w:val="0"/>
          <w:sz w:val="24"/>
          <w:lang w:val="fr-FR"/>
        </w:rPr>
        <w:t xml:space="preserve"> Bi Irié</w:t>
      </w:r>
      <w:r>
        <w:rPr>
          <w:noProof w:val="0"/>
          <w:sz w:val="24"/>
          <w:vertAlign w:val="superscript"/>
          <w:lang w:val="fr-FR"/>
        </w:rPr>
        <w:t>1</w:t>
      </w:r>
      <w:proofErr w:type="gramStart"/>
      <w:r>
        <w:rPr>
          <w:noProof w:val="0"/>
          <w:sz w:val="24"/>
          <w:vertAlign w:val="superscript"/>
          <w:lang w:val="fr-FR"/>
        </w:rPr>
        <w:t>,2</w:t>
      </w:r>
      <w:proofErr w:type="gramEnd"/>
      <w:r>
        <w:rPr>
          <w:noProof w:val="0"/>
          <w:sz w:val="24"/>
          <w:lang w:val="fr-FR"/>
        </w:rPr>
        <w:t xml:space="preserve">. </w:t>
      </w:r>
    </w:p>
    <w:p w:rsidR="00BE0787" w:rsidRDefault="00BE0787" w:rsidP="00BE0787">
      <w:pPr>
        <w:spacing w:line="360" w:lineRule="auto"/>
        <w:jc w:val="center"/>
        <w:rPr>
          <w:noProof w:val="0"/>
          <w:sz w:val="24"/>
          <w:lang w:val="fr-FR"/>
        </w:rPr>
      </w:pPr>
      <w:r>
        <w:rPr>
          <w:noProof w:val="0"/>
          <w:sz w:val="24"/>
          <w:vertAlign w:val="superscript"/>
          <w:lang w:val="fr-FR"/>
        </w:rPr>
        <w:t>1</w:t>
      </w:r>
      <w:r>
        <w:rPr>
          <w:noProof w:val="0"/>
          <w:sz w:val="24"/>
          <w:lang w:val="fr-FR"/>
        </w:rPr>
        <w:t xml:space="preserve"> Unité de </w:t>
      </w:r>
      <w:proofErr w:type="spellStart"/>
      <w:r>
        <w:rPr>
          <w:noProof w:val="0"/>
          <w:sz w:val="24"/>
          <w:lang w:val="fr-FR"/>
        </w:rPr>
        <w:t>Phytotechnie</w:t>
      </w:r>
      <w:proofErr w:type="spellEnd"/>
      <w:r>
        <w:rPr>
          <w:noProof w:val="0"/>
          <w:sz w:val="24"/>
          <w:lang w:val="fr-FR"/>
        </w:rPr>
        <w:t xml:space="preserve"> des Régions intertropicales</w:t>
      </w:r>
    </w:p>
    <w:p w:rsidR="00BE0787" w:rsidRDefault="00BE0787" w:rsidP="00BE0787">
      <w:pPr>
        <w:spacing w:line="360" w:lineRule="auto"/>
        <w:jc w:val="center"/>
        <w:rPr>
          <w:noProof w:val="0"/>
          <w:sz w:val="24"/>
          <w:lang w:val="fr-FR"/>
        </w:rPr>
      </w:pPr>
      <w:r>
        <w:rPr>
          <w:noProof w:val="0"/>
          <w:sz w:val="24"/>
          <w:vertAlign w:val="superscript"/>
          <w:lang w:val="fr-FR"/>
        </w:rPr>
        <w:t>2</w:t>
      </w:r>
      <w:r>
        <w:rPr>
          <w:noProof w:val="0"/>
          <w:sz w:val="24"/>
          <w:lang w:val="fr-FR"/>
        </w:rPr>
        <w:t xml:space="preserve"> Unité de Biologie végétale</w:t>
      </w:r>
    </w:p>
    <w:p w:rsidR="00BE0787" w:rsidRDefault="00BE0787" w:rsidP="00BE0787">
      <w:pPr>
        <w:spacing w:line="360" w:lineRule="auto"/>
        <w:jc w:val="center"/>
        <w:rPr>
          <w:noProof w:val="0"/>
          <w:sz w:val="24"/>
          <w:lang w:val="fr-FR"/>
        </w:rPr>
      </w:pPr>
      <w:r>
        <w:rPr>
          <w:noProof w:val="0"/>
          <w:sz w:val="24"/>
          <w:lang w:val="fr-FR"/>
        </w:rPr>
        <w:t xml:space="preserve">Faculté universitaire des Sciences agronomiques de Gembloux, B-5030 Gembloux, </w:t>
      </w:r>
    </w:p>
    <w:p w:rsidR="00BE0787" w:rsidRDefault="00BE0787" w:rsidP="00BE0787">
      <w:pPr>
        <w:spacing w:line="360" w:lineRule="auto"/>
        <w:jc w:val="center"/>
        <w:rPr>
          <w:noProof w:val="0"/>
          <w:sz w:val="24"/>
          <w:lang w:val="fr-FR"/>
        </w:rPr>
      </w:pPr>
      <w:proofErr w:type="gramStart"/>
      <w:r>
        <w:rPr>
          <w:noProof w:val="0"/>
          <w:sz w:val="24"/>
          <w:lang w:val="fr-FR"/>
        </w:rPr>
        <w:t>tél</w:t>
      </w:r>
      <w:proofErr w:type="gramEnd"/>
      <w:r>
        <w:rPr>
          <w:noProof w:val="0"/>
          <w:sz w:val="24"/>
          <w:lang w:val="fr-FR"/>
        </w:rPr>
        <w:t>. : +32-81-622144, fax : +32-81-614544, courrier électronique : mergeai@fsagx.ac.be</w:t>
      </w:r>
    </w:p>
    <w:p w:rsidR="00BE0787" w:rsidRDefault="00BE0787" w:rsidP="00BE0787">
      <w:pPr>
        <w:spacing w:line="360" w:lineRule="auto"/>
        <w:rPr>
          <w:noProof w:val="0"/>
          <w:sz w:val="24"/>
          <w:lang w:val="fr-FR"/>
        </w:rPr>
      </w:pPr>
    </w:p>
    <w:p w:rsidR="00BE0787" w:rsidRDefault="00BE0787" w:rsidP="00BE0787">
      <w:pPr>
        <w:spacing w:line="360" w:lineRule="auto"/>
        <w:rPr>
          <w:noProof w:val="0"/>
          <w:sz w:val="24"/>
          <w:lang w:val="fr-FR"/>
        </w:rPr>
      </w:pPr>
    </w:p>
    <w:p w:rsidR="00BE0787" w:rsidRDefault="00BE0787" w:rsidP="00BE0787">
      <w:pPr>
        <w:spacing w:line="360" w:lineRule="auto"/>
        <w:jc w:val="both"/>
        <w:rPr>
          <w:noProof w:val="0"/>
          <w:sz w:val="24"/>
          <w:lang w:val="fr-FR"/>
        </w:rPr>
      </w:pPr>
      <w:r>
        <w:rPr>
          <w:b/>
          <w:noProof w:val="0"/>
          <w:sz w:val="24"/>
          <w:lang w:val="fr-FR"/>
        </w:rPr>
        <w:t>Introduction</w:t>
      </w:r>
    </w:p>
    <w:p w:rsidR="00BE0787" w:rsidRDefault="00BE0787" w:rsidP="00BE0787">
      <w:pPr>
        <w:spacing w:line="360" w:lineRule="auto"/>
        <w:jc w:val="both"/>
        <w:rPr>
          <w:noProof w:val="0"/>
          <w:sz w:val="24"/>
          <w:lang w:val="fr-FR"/>
        </w:rPr>
      </w:pPr>
      <w:r>
        <w:rPr>
          <w:noProof w:val="0"/>
          <w:sz w:val="24"/>
          <w:lang w:val="fr-FR"/>
        </w:rPr>
        <w:t xml:space="preserve">Chez toutes les espèces de cotonnier, les glandes à gossypol ou glandes à pigments sont des petites cavités où s'accumulent des déchets du métabolisme de la plante. On y trouve essentiellement du gossypol et différents autres </w:t>
      </w:r>
      <w:proofErr w:type="spellStart"/>
      <w:r>
        <w:rPr>
          <w:noProof w:val="0"/>
          <w:sz w:val="24"/>
          <w:lang w:val="fr-FR"/>
        </w:rPr>
        <w:t>terpénoïdes</w:t>
      </w:r>
      <w:proofErr w:type="spellEnd"/>
      <w:r>
        <w:rPr>
          <w:noProof w:val="0"/>
          <w:sz w:val="24"/>
          <w:lang w:val="fr-FR"/>
        </w:rPr>
        <w:t xml:space="preserve">. Ces glandes sont toxiques pour les insectes et constituent un moyen de défense naturel du cotonnier contre ses ravageurs (Altman </w:t>
      </w:r>
      <w:r>
        <w:rPr>
          <w:i/>
          <w:noProof w:val="0"/>
          <w:sz w:val="24"/>
          <w:lang w:val="fr-FR"/>
        </w:rPr>
        <w:t xml:space="preserve">et </w:t>
      </w:r>
      <w:proofErr w:type="gramStart"/>
      <w:r>
        <w:rPr>
          <w:i/>
          <w:noProof w:val="0"/>
          <w:sz w:val="24"/>
          <w:lang w:val="fr-FR"/>
        </w:rPr>
        <w:t>al</w:t>
      </w:r>
      <w:r>
        <w:rPr>
          <w:noProof w:val="0"/>
          <w:sz w:val="24"/>
          <w:lang w:val="fr-FR"/>
        </w:rPr>
        <w:t>.,</w:t>
      </w:r>
      <w:proofErr w:type="gramEnd"/>
      <w:r>
        <w:rPr>
          <w:noProof w:val="0"/>
          <w:sz w:val="24"/>
          <w:lang w:val="fr-FR"/>
        </w:rPr>
        <w:t xml:space="preserve"> 1990). Le contenu de ces glandes est également très toxiques pour tous les animaux monogastriques, y compris pour l'homme. La présence de gossypol dans la graine limite l'exploitation du haut potentiel alimentaire du cotonnier. Les amandes des graines de cotonnier contiennent en moyenne 20 % d'huile comestible et plus de 40 % de protéines dont la qualité nutritive est équivalente à celle des protéines du soja. L'huile et les tourteaux, produits par pression des amandes, contiennent des quantités importantes de gossypol dont l'élimination exige la mise en </w:t>
      </w:r>
      <w:proofErr w:type="spellStart"/>
      <w:r>
        <w:rPr>
          <w:noProof w:val="0"/>
          <w:sz w:val="24"/>
          <w:lang w:val="fr-FR"/>
        </w:rPr>
        <w:t>oeuvre</w:t>
      </w:r>
      <w:proofErr w:type="spellEnd"/>
      <w:r>
        <w:rPr>
          <w:noProof w:val="0"/>
          <w:sz w:val="24"/>
          <w:lang w:val="fr-FR"/>
        </w:rPr>
        <w:t xml:space="preserve"> de procédés industriels qui altèrent la qualité des protéines et augmentent les coûts de production. </w:t>
      </w:r>
    </w:p>
    <w:p w:rsidR="00BE0787" w:rsidRDefault="00BE0787" w:rsidP="00BE0787">
      <w:pPr>
        <w:spacing w:line="360" w:lineRule="auto"/>
        <w:jc w:val="both"/>
        <w:rPr>
          <w:noProof w:val="0"/>
          <w:sz w:val="24"/>
          <w:lang w:val="fr-FR"/>
        </w:rPr>
      </w:pPr>
      <w:r>
        <w:rPr>
          <w:noProof w:val="0"/>
          <w:sz w:val="24"/>
          <w:lang w:val="fr-FR"/>
        </w:rPr>
        <w:t xml:space="preserve">Dans la nature, seuls certains cotonniers </w:t>
      </w:r>
      <w:proofErr w:type="spellStart"/>
      <w:r>
        <w:rPr>
          <w:noProof w:val="0"/>
          <w:sz w:val="24"/>
          <w:lang w:val="fr-FR"/>
        </w:rPr>
        <w:t>diploides</w:t>
      </w:r>
      <w:proofErr w:type="spellEnd"/>
      <w:r>
        <w:rPr>
          <w:noProof w:val="0"/>
          <w:sz w:val="24"/>
          <w:lang w:val="fr-FR"/>
        </w:rPr>
        <w:t xml:space="preserve"> sauvages australiens présentent des glandes à gossypol partout sauf dans leurs graines (</w:t>
      </w:r>
      <w:proofErr w:type="spellStart"/>
      <w:r>
        <w:rPr>
          <w:noProof w:val="0"/>
          <w:sz w:val="24"/>
          <w:lang w:val="fr-FR"/>
        </w:rPr>
        <w:t>Fryxell</w:t>
      </w:r>
      <w:proofErr w:type="spellEnd"/>
      <w:r>
        <w:rPr>
          <w:noProof w:val="0"/>
          <w:sz w:val="24"/>
          <w:lang w:val="fr-FR"/>
        </w:rPr>
        <w:t xml:space="preserve">, 1965; </w:t>
      </w:r>
      <w:proofErr w:type="spellStart"/>
      <w:r>
        <w:rPr>
          <w:noProof w:val="0"/>
          <w:sz w:val="24"/>
          <w:lang w:val="fr-FR"/>
        </w:rPr>
        <w:t>Brubacker</w:t>
      </w:r>
      <w:proofErr w:type="spellEnd"/>
      <w:r>
        <w:rPr>
          <w:noProof w:val="0"/>
          <w:sz w:val="24"/>
          <w:lang w:val="fr-FR"/>
        </w:rPr>
        <w:t xml:space="preserve"> </w:t>
      </w:r>
      <w:r>
        <w:rPr>
          <w:i/>
          <w:noProof w:val="0"/>
          <w:sz w:val="24"/>
          <w:lang w:val="fr-FR"/>
        </w:rPr>
        <w:t xml:space="preserve">et </w:t>
      </w:r>
      <w:proofErr w:type="gramStart"/>
      <w:r>
        <w:rPr>
          <w:i/>
          <w:noProof w:val="0"/>
          <w:sz w:val="24"/>
          <w:lang w:val="fr-FR"/>
        </w:rPr>
        <w:t>al</w:t>
      </w:r>
      <w:r>
        <w:rPr>
          <w:noProof w:val="0"/>
          <w:sz w:val="24"/>
          <w:lang w:val="fr-FR"/>
        </w:rPr>
        <w:t>.,</w:t>
      </w:r>
      <w:proofErr w:type="gramEnd"/>
      <w:r>
        <w:rPr>
          <w:noProof w:val="0"/>
          <w:sz w:val="24"/>
          <w:lang w:val="fr-FR"/>
        </w:rPr>
        <w:t xml:space="preserve"> 1996). Chez ces cotonniers, l'apparition des glandes à gossypol se produit après la germination. L'</w:t>
      </w:r>
      <w:proofErr w:type="spellStart"/>
      <w:r>
        <w:rPr>
          <w:noProof w:val="0"/>
          <w:sz w:val="24"/>
          <w:lang w:val="fr-FR"/>
        </w:rPr>
        <w:t>introgression</w:t>
      </w:r>
      <w:proofErr w:type="spellEnd"/>
      <w:r>
        <w:rPr>
          <w:noProof w:val="0"/>
          <w:sz w:val="24"/>
          <w:lang w:val="fr-FR"/>
        </w:rPr>
        <w:t xml:space="preserve"> de ce retard à la morphogenèse des glandes à gossypol de la graine chez le cotonnier cultivé permettrait de le transformer en une véritable plante vivrière tout en préservant un de ses moyens de défense naturel contre les insectes. Cette </w:t>
      </w:r>
      <w:proofErr w:type="spellStart"/>
      <w:r>
        <w:rPr>
          <w:noProof w:val="0"/>
          <w:sz w:val="24"/>
          <w:lang w:val="fr-FR"/>
        </w:rPr>
        <w:t>introgression</w:t>
      </w:r>
      <w:proofErr w:type="spellEnd"/>
      <w:r>
        <w:rPr>
          <w:noProof w:val="0"/>
          <w:sz w:val="24"/>
          <w:lang w:val="fr-FR"/>
        </w:rPr>
        <w:t xml:space="preserve"> constitue l'objectif majeur de nos recherches.</w:t>
      </w:r>
    </w:p>
    <w:p w:rsidR="00BE0787" w:rsidRDefault="00BE0787" w:rsidP="00BE0787">
      <w:pPr>
        <w:spacing w:line="360" w:lineRule="auto"/>
        <w:jc w:val="both"/>
        <w:rPr>
          <w:noProof w:val="0"/>
          <w:sz w:val="24"/>
          <w:lang w:val="fr-FR"/>
        </w:rPr>
      </w:pPr>
      <w:r>
        <w:rPr>
          <w:b/>
          <w:noProof w:val="0"/>
          <w:sz w:val="24"/>
          <w:lang w:val="fr-FR"/>
        </w:rPr>
        <w:t>Matériel et méthode</w:t>
      </w:r>
    </w:p>
    <w:p w:rsidR="00BE0787" w:rsidRDefault="00BE0787" w:rsidP="00BE0787">
      <w:pPr>
        <w:spacing w:line="360" w:lineRule="auto"/>
        <w:jc w:val="both"/>
        <w:rPr>
          <w:noProof w:val="0"/>
          <w:sz w:val="24"/>
          <w:lang w:val="fr-FR"/>
        </w:rPr>
      </w:pPr>
      <w:r>
        <w:rPr>
          <w:noProof w:val="0"/>
          <w:sz w:val="24"/>
          <w:lang w:val="fr-FR"/>
        </w:rPr>
        <w:lastRenderedPageBreak/>
        <w:t xml:space="preserve">Deux hybrides </w:t>
      </w:r>
      <w:proofErr w:type="spellStart"/>
      <w:r>
        <w:rPr>
          <w:noProof w:val="0"/>
          <w:sz w:val="24"/>
          <w:lang w:val="fr-FR"/>
        </w:rPr>
        <w:t>trispécifiques</w:t>
      </w:r>
      <w:proofErr w:type="spellEnd"/>
      <w:r>
        <w:rPr>
          <w:noProof w:val="0"/>
          <w:sz w:val="24"/>
          <w:lang w:val="fr-FR"/>
        </w:rPr>
        <w:t xml:space="preserve"> incluant </w:t>
      </w:r>
      <w:r>
        <w:rPr>
          <w:i/>
          <w:noProof w:val="0"/>
          <w:sz w:val="24"/>
          <w:lang w:val="fr-FR"/>
        </w:rPr>
        <w:t>Gossypium sturtianum</w:t>
      </w:r>
      <w:r>
        <w:rPr>
          <w:noProof w:val="0"/>
          <w:sz w:val="24"/>
          <w:lang w:val="fr-FR"/>
        </w:rPr>
        <w:t xml:space="preserve"> Willis (2n = 2x = 26, génome C</w:t>
      </w:r>
      <w:r>
        <w:rPr>
          <w:noProof w:val="0"/>
          <w:sz w:val="24"/>
          <w:vertAlign w:val="subscript"/>
          <w:lang w:val="fr-FR"/>
        </w:rPr>
        <w:t>1</w:t>
      </w:r>
      <w:r>
        <w:rPr>
          <w:noProof w:val="0"/>
          <w:sz w:val="24"/>
          <w:lang w:val="fr-FR"/>
        </w:rPr>
        <w:t xml:space="preserve">) et </w:t>
      </w:r>
      <w:r>
        <w:rPr>
          <w:i/>
          <w:noProof w:val="0"/>
          <w:sz w:val="24"/>
          <w:lang w:val="fr-FR"/>
        </w:rPr>
        <w:t>G. hirsutum</w:t>
      </w:r>
      <w:r>
        <w:rPr>
          <w:noProof w:val="0"/>
          <w:sz w:val="24"/>
          <w:lang w:val="fr-FR"/>
        </w:rPr>
        <w:t xml:space="preserve"> L. (2n = 4x = 52, génome (AD</w:t>
      </w:r>
      <w:proofErr w:type="gramStart"/>
      <w:r>
        <w:rPr>
          <w:noProof w:val="0"/>
          <w:sz w:val="24"/>
          <w:lang w:val="fr-FR"/>
        </w:rPr>
        <w:t>)</w:t>
      </w:r>
      <w:r>
        <w:rPr>
          <w:noProof w:val="0"/>
          <w:sz w:val="24"/>
          <w:vertAlign w:val="subscript"/>
          <w:lang w:val="fr-FR"/>
        </w:rPr>
        <w:t>1</w:t>
      </w:r>
      <w:proofErr w:type="gramEnd"/>
      <w:r>
        <w:rPr>
          <w:noProof w:val="0"/>
          <w:sz w:val="24"/>
          <w:lang w:val="fr-FR"/>
        </w:rPr>
        <w:t xml:space="preserve">) ont été créés en utilisant respectivement </w:t>
      </w:r>
      <w:r>
        <w:rPr>
          <w:i/>
          <w:noProof w:val="0"/>
          <w:sz w:val="24"/>
          <w:lang w:val="fr-FR"/>
        </w:rPr>
        <w:t>G. thurberi</w:t>
      </w:r>
      <w:r>
        <w:rPr>
          <w:noProof w:val="0"/>
          <w:sz w:val="24"/>
          <w:lang w:val="fr-FR"/>
        </w:rPr>
        <w:t xml:space="preserve"> </w:t>
      </w:r>
      <w:proofErr w:type="spellStart"/>
      <w:r>
        <w:rPr>
          <w:noProof w:val="0"/>
          <w:sz w:val="24"/>
          <w:lang w:val="fr-FR"/>
        </w:rPr>
        <w:t>Torado</w:t>
      </w:r>
      <w:proofErr w:type="spellEnd"/>
      <w:r>
        <w:rPr>
          <w:noProof w:val="0"/>
          <w:sz w:val="24"/>
          <w:lang w:val="fr-FR"/>
        </w:rPr>
        <w:t xml:space="preserve"> (2n = 2x = 26, génome D</w:t>
      </w:r>
      <w:r>
        <w:rPr>
          <w:noProof w:val="0"/>
          <w:sz w:val="24"/>
          <w:vertAlign w:val="subscript"/>
          <w:lang w:val="fr-FR"/>
        </w:rPr>
        <w:t>1</w:t>
      </w:r>
      <w:r>
        <w:rPr>
          <w:noProof w:val="0"/>
          <w:sz w:val="24"/>
          <w:lang w:val="fr-FR"/>
        </w:rPr>
        <w:t xml:space="preserve">) et </w:t>
      </w:r>
      <w:r>
        <w:rPr>
          <w:i/>
          <w:noProof w:val="0"/>
          <w:sz w:val="24"/>
          <w:lang w:val="fr-FR"/>
        </w:rPr>
        <w:t xml:space="preserve">G. </w:t>
      </w:r>
      <w:proofErr w:type="spellStart"/>
      <w:r>
        <w:rPr>
          <w:i/>
          <w:noProof w:val="0"/>
          <w:sz w:val="24"/>
          <w:lang w:val="fr-FR"/>
        </w:rPr>
        <w:t>raimondii</w:t>
      </w:r>
      <w:proofErr w:type="spellEnd"/>
      <w:r>
        <w:rPr>
          <w:noProof w:val="0"/>
          <w:sz w:val="24"/>
          <w:lang w:val="fr-FR"/>
        </w:rPr>
        <w:t xml:space="preserve"> </w:t>
      </w:r>
      <w:proofErr w:type="spellStart"/>
      <w:r>
        <w:rPr>
          <w:noProof w:val="0"/>
          <w:sz w:val="24"/>
          <w:lang w:val="fr-FR"/>
        </w:rPr>
        <w:t>Ulbrich</w:t>
      </w:r>
      <w:proofErr w:type="spellEnd"/>
      <w:r>
        <w:rPr>
          <w:noProof w:val="0"/>
          <w:sz w:val="24"/>
          <w:lang w:val="fr-FR"/>
        </w:rPr>
        <w:t xml:space="preserve"> (2n = 2x = 26, génome D</w:t>
      </w:r>
      <w:r>
        <w:rPr>
          <w:noProof w:val="0"/>
          <w:sz w:val="24"/>
          <w:vertAlign w:val="subscript"/>
          <w:lang w:val="fr-FR"/>
        </w:rPr>
        <w:t>5</w:t>
      </w:r>
      <w:r>
        <w:rPr>
          <w:noProof w:val="0"/>
          <w:sz w:val="24"/>
          <w:lang w:val="fr-FR"/>
        </w:rPr>
        <w:t>) comme espèces pont (</w:t>
      </w:r>
      <w:proofErr w:type="spellStart"/>
      <w:r>
        <w:rPr>
          <w:noProof w:val="0"/>
          <w:sz w:val="24"/>
          <w:lang w:val="fr-FR"/>
        </w:rPr>
        <w:t>Mergeai</w:t>
      </w:r>
      <w:proofErr w:type="spellEnd"/>
      <w:r>
        <w:rPr>
          <w:i/>
          <w:noProof w:val="0"/>
          <w:sz w:val="24"/>
          <w:lang w:val="fr-FR"/>
        </w:rPr>
        <w:t xml:space="preserve"> et al</w:t>
      </w:r>
      <w:r>
        <w:rPr>
          <w:noProof w:val="0"/>
          <w:sz w:val="24"/>
          <w:lang w:val="fr-FR"/>
        </w:rPr>
        <w:t xml:space="preserve">., 1995). Ces deux hybrides </w:t>
      </w:r>
      <w:proofErr w:type="spellStart"/>
      <w:r>
        <w:rPr>
          <w:noProof w:val="0"/>
          <w:sz w:val="24"/>
          <w:lang w:val="fr-FR"/>
        </w:rPr>
        <w:t>trispécifiques</w:t>
      </w:r>
      <w:proofErr w:type="spellEnd"/>
      <w:r>
        <w:rPr>
          <w:noProof w:val="0"/>
          <w:sz w:val="24"/>
          <w:lang w:val="fr-FR"/>
        </w:rPr>
        <w:t xml:space="preserve"> sont identifiés par les initiales TSH (</w:t>
      </w:r>
      <w:proofErr w:type="spellStart"/>
      <w:r>
        <w:rPr>
          <w:i/>
          <w:noProof w:val="0"/>
          <w:sz w:val="24"/>
          <w:lang w:val="fr-FR"/>
        </w:rPr>
        <w:t>G.thurberi</w:t>
      </w:r>
      <w:proofErr w:type="spellEnd"/>
      <w:r>
        <w:rPr>
          <w:noProof w:val="0"/>
          <w:sz w:val="24"/>
          <w:lang w:val="fr-FR"/>
        </w:rPr>
        <w:t xml:space="preserve"> x </w:t>
      </w:r>
      <w:proofErr w:type="spellStart"/>
      <w:r>
        <w:rPr>
          <w:i/>
          <w:noProof w:val="0"/>
          <w:sz w:val="24"/>
          <w:lang w:val="fr-FR"/>
        </w:rPr>
        <w:t>G.sturtianum</w:t>
      </w:r>
      <w:proofErr w:type="spellEnd"/>
      <w:r>
        <w:rPr>
          <w:noProof w:val="0"/>
          <w:sz w:val="24"/>
          <w:lang w:val="fr-FR"/>
        </w:rPr>
        <w:t xml:space="preserve"> x </w:t>
      </w:r>
      <w:r>
        <w:rPr>
          <w:i/>
          <w:noProof w:val="0"/>
          <w:sz w:val="24"/>
          <w:lang w:val="fr-FR"/>
        </w:rPr>
        <w:t>G. hirsutum</w:t>
      </w:r>
      <w:r>
        <w:rPr>
          <w:noProof w:val="0"/>
          <w:sz w:val="24"/>
          <w:lang w:val="fr-FR"/>
        </w:rPr>
        <w:t>) et HRS (</w:t>
      </w:r>
      <w:proofErr w:type="spellStart"/>
      <w:r>
        <w:rPr>
          <w:i/>
          <w:noProof w:val="0"/>
          <w:sz w:val="24"/>
          <w:lang w:val="fr-FR"/>
        </w:rPr>
        <w:t>G.hirsutum</w:t>
      </w:r>
      <w:proofErr w:type="spellEnd"/>
      <w:r>
        <w:rPr>
          <w:noProof w:val="0"/>
          <w:sz w:val="24"/>
          <w:lang w:val="fr-FR"/>
        </w:rPr>
        <w:t xml:space="preserve"> x </w:t>
      </w:r>
      <w:proofErr w:type="spellStart"/>
      <w:r>
        <w:rPr>
          <w:i/>
          <w:noProof w:val="0"/>
          <w:sz w:val="24"/>
          <w:lang w:val="fr-FR"/>
        </w:rPr>
        <w:t>G.raimondii</w:t>
      </w:r>
      <w:proofErr w:type="spellEnd"/>
      <w:r>
        <w:rPr>
          <w:noProof w:val="0"/>
          <w:sz w:val="24"/>
          <w:lang w:val="fr-FR"/>
        </w:rPr>
        <w:t xml:space="preserve"> x </w:t>
      </w:r>
      <w:r>
        <w:rPr>
          <w:i/>
          <w:noProof w:val="0"/>
          <w:sz w:val="24"/>
          <w:lang w:val="fr-FR"/>
        </w:rPr>
        <w:t>G. sturtianum</w:t>
      </w:r>
      <w:r>
        <w:rPr>
          <w:noProof w:val="0"/>
          <w:sz w:val="24"/>
          <w:lang w:val="fr-FR"/>
        </w:rPr>
        <w:t xml:space="preserve">). Environ deux cents rétrocroisements ont été réalisés pour chaque hybride </w:t>
      </w:r>
      <w:proofErr w:type="spellStart"/>
      <w:r>
        <w:rPr>
          <w:noProof w:val="0"/>
          <w:sz w:val="24"/>
          <w:lang w:val="fr-FR"/>
        </w:rPr>
        <w:t>trispécifique</w:t>
      </w:r>
      <w:proofErr w:type="spellEnd"/>
      <w:r>
        <w:rPr>
          <w:noProof w:val="0"/>
          <w:sz w:val="24"/>
          <w:lang w:val="fr-FR"/>
        </w:rPr>
        <w:t xml:space="preserve"> au moyen de deux variétés de</w:t>
      </w:r>
      <w:r>
        <w:rPr>
          <w:i/>
          <w:noProof w:val="0"/>
          <w:sz w:val="24"/>
          <w:lang w:val="fr-FR"/>
        </w:rPr>
        <w:t xml:space="preserve"> G. hirsutum</w:t>
      </w:r>
      <w:r>
        <w:rPr>
          <w:noProof w:val="0"/>
          <w:sz w:val="24"/>
          <w:lang w:val="fr-FR"/>
        </w:rPr>
        <w:t xml:space="preserve"> originaires du Congo-Kinshasa (C2, NC8). Les 100 premiers croisements ont été effectués sans application de régulateurs de croissance et les 100 croisements suivants ont été réalisés en utilisant le mélange d’hormones proposé par Altman (1988) : 100 mg/l d’acide </w:t>
      </w:r>
      <w:proofErr w:type="spellStart"/>
      <w:r>
        <w:rPr>
          <w:noProof w:val="0"/>
          <w:sz w:val="24"/>
          <w:lang w:val="fr-FR"/>
        </w:rPr>
        <w:t>Naphtoxyacétique</w:t>
      </w:r>
      <w:proofErr w:type="spellEnd"/>
      <w:r>
        <w:rPr>
          <w:noProof w:val="0"/>
          <w:sz w:val="24"/>
          <w:lang w:val="fr-FR"/>
        </w:rPr>
        <w:t xml:space="preserve"> + 50 mg/l d’acide </w:t>
      </w:r>
      <w:proofErr w:type="spellStart"/>
      <w:r>
        <w:rPr>
          <w:noProof w:val="0"/>
          <w:sz w:val="24"/>
          <w:lang w:val="fr-FR"/>
        </w:rPr>
        <w:t>gibberellique</w:t>
      </w:r>
      <w:proofErr w:type="spellEnd"/>
      <w:r>
        <w:rPr>
          <w:noProof w:val="0"/>
          <w:sz w:val="24"/>
          <w:lang w:val="fr-FR"/>
        </w:rPr>
        <w:t xml:space="preserve">. La majorité des embryons hybrides ont été cultivés sur le milieu de Stewart et Hsu (1977) de manière à garantir leur bonne germination et un bon démarrage des plantules. La densité de glandes à gossypol sur les graines produites par rétrocroisement a été évaluée en utilisant une échelle variant de 0 pour les graines totalement dépourvues de glande à 10 pour les graines dont la densité de glandes était semblable à celle de l'espèce cultivée. L’évaluation de la densité en glandes à gossypol a été réalisée après élimination des téguments et trempage de l’amande pendant une heure dans de l’eau stérile. Les analyses méiotiques des matériels produits ont été réalisées sur des boutons floraux fixés pendant 72 heures dans la solution de </w:t>
      </w:r>
      <w:proofErr w:type="spellStart"/>
      <w:r>
        <w:rPr>
          <w:noProof w:val="0"/>
          <w:sz w:val="24"/>
          <w:lang w:val="fr-FR"/>
        </w:rPr>
        <w:t>Carnoy</w:t>
      </w:r>
      <w:proofErr w:type="spellEnd"/>
      <w:r>
        <w:rPr>
          <w:noProof w:val="0"/>
          <w:sz w:val="24"/>
          <w:lang w:val="fr-FR"/>
        </w:rPr>
        <w:t xml:space="preserve"> </w:t>
      </w:r>
      <w:r w:rsidRPr="00BE0787">
        <w:rPr>
          <w:noProof w:val="0"/>
          <w:sz w:val="24"/>
        </w:rPr>
        <w:t>(éthanol 95%</w:t>
      </w:r>
      <w:proofErr w:type="gramStart"/>
      <w:r w:rsidRPr="00BE0787">
        <w:rPr>
          <w:noProof w:val="0"/>
          <w:sz w:val="24"/>
        </w:rPr>
        <w:t>:</w:t>
      </w:r>
      <w:proofErr w:type="spellStart"/>
      <w:r w:rsidRPr="00BE0787">
        <w:rPr>
          <w:noProof w:val="0"/>
          <w:sz w:val="24"/>
        </w:rPr>
        <w:t>chloroforme:acide</w:t>
      </w:r>
      <w:proofErr w:type="spellEnd"/>
      <w:proofErr w:type="gramEnd"/>
      <w:r w:rsidRPr="00BE0787">
        <w:rPr>
          <w:noProof w:val="0"/>
          <w:sz w:val="24"/>
        </w:rPr>
        <w:t xml:space="preserve"> acétique glacial, 6:3:1 v:v:v)</w:t>
      </w:r>
      <w:r>
        <w:rPr>
          <w:noProof w:val="0"/>
          <w:sz w:val="24"/>
          <w:lang w:val="fr-FR"/>
        </w:rPr>
        <w:t xml:space="preserve">. Au moins 26 cellules </w:t>
      </w:r>
      <w:proofErr w:type="gramStart"/>
      <w:r>
        <w:rPr>
          <w:noProof w:val="0"/>
          <w:sz w:val="24"/>
          <w:lang w:val="fr-FR"/>
        </w:rPr>
        <w:t>mère</w:t>
      </w:r>
      <w:proofErr w:type="gramEnd"/>
      <w:r>
        <w:rPr>
          <w:noProof w:val="0"/>
          <w:sz w:val="24"/>
          <w:lang w:val="fr-FR"/>
        </w:rPr>
        <w:t xml:space="preserve"> du pollen ont été analysées pour chaque génotype.</w:t>
      </w:r>
    </w:p>
    <w:p w:rsidR="00BE0787" w:rsidRDefault="00BE0787" w:rsidP="00BE0787">
      <w:pPr>
        <w:spacing w:line="360" w:lineRule="auto"/>
        <w:jc w:val="both"/>
        <w:rPr>
          <w:noProof w:val="0"/>
          <w:sz w:val="24"/>
          <w:lang w:val="fr-FR"/>
        </w:rPr>
      </w:pPr>
      <w:r>
        <w:rPr>
          <w:noProof w:val="0"/>
          <w:sz w:val="24"/>
          <w:lang w:val="fr-FR"/>
        </w:rPr>
        <w:t xml:space="preserve">Parallèlement aux travaux d’hybridation interspécifique, une technique de sélection du cotonnier assistée par marqueurs moléculaires de l’ADN nucléaire (RAPD) a été développée afin de faciliter la restauration de l’équilibre génétique des matériels </w:t>
      </w:r>
      <w:proofErr w:type="spellStart"/>
      <w:r>
        <w:rPr>
          <w:noProof w:val="0"/>
          <w:sz w:val="24"/>
          <w:lang w:val="fr-FR"/>
        </w:rPr>
        <w:t>introgressés</w:t>
      </w:r>
      <w:proofErr w:type="spellEnd"/>
      <w:r>
        <w:rPr>
          <w:noProof w:val="0"/>
          <w:sz w:val="24"/>
          <w:lang w:val="fr-FR"/>
        </w:rPr>
        <w:t>. Ces travaux ont porté sur l’amélioration de la technique CTAB d’extraction de l’ADN du cotonnier (</w:t>
      </w:r>
      <w:proofErr w:type="spellStart"/>
      <w:r>
        <w:rPr>
          <w:noProof w:val="0"/>
          <w:sz w:val="24"/>
          <w:lang w:val="fr-FR"/>
        </w:rPr>
        <w:t>Vroh</w:t>
      </w:r>
      <w:proofErr w:type="spellEnd"/>
      <w:r>
        <w:rPr>
          <w:noProof w:val="0"/>
          <w:sz w:val="24"/>
          <w:lang w:val="fr-FR"/>
        </w:rPr>
        <w:t xml:space="preserve"> Bi </w:t>
      </w:r>
      <w:r>
        <w:rPr>
          <w:i/>
          <w:noProof w:val="0"/>
          <w:sz w:val="24"/>
          <w:lang w:val="fr-FR"/>
        </w:rPr>
        <w:t xml:space="preserve">et </w:t>
      </w:r>
      <w:proofErr w:type="gramStart"/>
      <w:r>
        <w:rPr>
          <w:i/>
          <w:noProof w:val="0"/>
          <w:sz w:val="24"/>
          <w:lang w:val="fr-FR"/>
        </w:rPr>
        <w:t>al</w:t>
      </w:r>
      <w:r>
        <w:rPr>
          <w:noProof w:val="0"/>
          <w:sz w:val="24"/>
          <w:lang w:val="fr-FR"/>
        </w:rPr>
        <w:t>.,</w:t>
      </w:r>
      <w:proofErr w:type="gramEnd"/>
      <w:r>
        <w:rPr>
          <w:noProof w:val="0"/>
          <w:sz w:val="24"/>
          <w:lang w:val="fr-FR"/>
        </w:rPr>
        <w:t xml:space="preserve"> 1996), sur l’optimisation des réactions RAPD (</w:t>
      </w:r>
      <w:proofErr w:type="spellStart"/>
      <w:r>
        <w:rPr>
          <w:noProof w:val="0"/>
          <w:sz w:val="24"/>
          <w:lang w:val="fr-FR"/>
        </w:rPr>
        <w:t>Vroh</w:t>
      </w:r>
      <w:proofErr w:type="spellEnd"/>
      <w:r>
        <w:rPr>
          <w:noProof w:val="0"/>
          <w:sz w:val="24"/>
          <w:lang w:val="fr-FR"/>
        </w:rPr>
        <w:t xml:space="preserve"> bi </w:t>
      </w:r>
      <w:r>
        <w:rPr>
          <w:i/>
          <w:noProof w:val="0"/>
          <w:sz w:val="24"/>
          <w:lang w:val="fr-FR"/>
        </w:rPr>
        <w:t>et al</w:t>
      </w:r>
      <w:r>
        <w:rPr>
          <w:noProof w:val="0"/>
          <w:sz w:val="24"/>
          <w:lang w:val="fr-FR"/>
        </w:rPr>
        <w:t xml:space="preserve">., 1997) et sur l’identification de marqueurs spécifiques des parents de chaque hybride </w:t>
      </w:r>
      <w:proofErr w:type="spellStart"/>
      <w:r>
        <w:rPr>
          <w:noProof w:val="0"/>
          <w:sz w:val="24"/>
          <w:lang w:val="fr-FR"/>
        </w:rPr>
        <w:t>trispécifique</w:t>
      </w:r>
      <w:proofErr w:type="spellEnd"/>
      <w:r>
        <w:rPr>
          <w:noProof w:val="0"/>
          <w:sz w:val="24"/>
          <w:lang w:val="fr-FR"/>
        </w:rPr>
        <w:t xml:space="preserve"> (</w:t>
      </w:r>
      <w:proofErr w:type="spellStart"/>
      <w:r>
        <w:rPr>
          <w:noProof w:val="0"/>
          <w:sz w:val="24"/>
          <w:lang w:val="fr-FR"/>
        </w:rPr>
        <w:t>Mergeai</w:t>
      </w:r>
      <w:proofErr w:type="spellEnd"/>
      <w:r>
        <w:rPr>
          <w:noProof w:val="0"/>
          <w:sz w:val="24"/>
          <w:lang w:val="fr-FR"/>
        </w:rPr>
        <w:t xml:space="preserve"> </w:t>
      </w:r>
      <w:r>
        <w:rPr>
          <w:i/>
          <w:noProof w:val="0"/>
          <w:sz w:val="24"/>
          <w:lang w:val="fr-FR"/>
        </w:rPr>
        <w:t>et al</w:t>
      </w:r>
      <w:r>
        <w:rPr>
          <w:noProof w:val="0"/>
          <w:sz w:val="24"/>
          <w:lang w:val="fr-FR"/>
        </w:rPr>
        <w:t>. 1997).</w:t>
      </w:r>
    </w:p>
    <w:p w:rsidR="00BE0787" w:rsidRDefault="00BE0787" w:rsidP="00BE0787">
      <w:pPr>
        <w:spacing w:line="360" w:lineRule="auto"/>
        <w:jc w:val="both"/>
        <w:rPr>
          <w:noProof w:val="0"/>
          <w:sz w:val="24"/>
          <w:lang w:val="fr-FR"/>
        </w:rPr>
      </w:pPr>
      <w:r>
        <w:rPr>
          <w:noProof w:val="0"/>
          <w:sz w:val="24"/>
          <w:lang w:val="fr-FR"/>
        </w:rPr>
        <w:br w:type="page"/>
      </w:r>
      <w:r>
        <w:rPr>
          <w:b/>
          <w:noProof w:val="0"/>
          <w:sz w:val="24"/>
          <w:lang w:val="fr-FR"/>
        </w:rPr>
        <w:lastRenderedPageBreak/>
        <w:t>Résultats et discussion</w:t>
      </w:r>
    </w:p>
    <w:p w:rsidR="00BE0787" w:rsidRDefault="00BE0787" w:rsidP="00BE0787">
      <w:pPr>
        <w:spacing w:line="360" w:lineRule="auto"/>
        <w:jc w:val="both"/>
        <w:rPr>
          <w:noProof w:val="0"/>
          <w:sz w:val="24"/>
          <w:lang w:val="fr-FR"/>
        </w:rPr>
      </w:pPr>
      <w:r>
        <w:rPr>
          <w:noProof w:val="0"/>
          <w:sz w:val="24"/>
          <w:lang w:val="fr-FR"/>
        </w:rPr>
        <w:t xml:space="preserve">Les deux hybrides </w:t>
      </w:r>
      <w:proofErr w:type="spellStart"/>
      <w:r>
        <w:rPr>
          <w:noProof w:val="0"/>
          <w:sz w:val="24"/>
          <w:lang w:val="fr-FR"/>
        </w:rPr>
        <w:t>trispécifiques</w:t>
      </w:r>
      <w:proofErr w:type="spellEnd"/>
      <w:r>
        <w:rPr>
          <w:noProof w:val="0"/>
          <w:sz w:val="24"/>
          <w:lang w:val="fr-FR"/>
        </w:rPr>
        <w:t xml:space="preserve"> sont totalement autostériles et les premières tentatives de rétrocroisements n’ont pratiquement donné aucun résultat. Sans application de régulateurs de croissance, aucune graine n'a pu être produite par l'hybride TSH et il a fallu réaliser environ 100 croisements pour obtenir une graine à partir de l'hybride HRS. Grâce à l'application de régulateurs de croissance, le taux de réussite moyen est passé de 0 à 15 graines pour 100 croisements pour l'hybride TSH et de 1 à 20 graines pour 100 croisements pour l'hybride HRS.</w:t>
      </w:r>
    </w:p>
    <w:p w:rsidR="00BE0787" w:rsidRDefault="00BE0787" w:rsidP="00BE0787">
      <w:pPr>
        <w:spacing w:line="360" w:lineRule="auto"/>
        <w:jc w:val="both"/>
        <w:rPr>
          <w:noProof w:val="0"/>
          <w:sz w:val="24"/>
          <w:lang w:val="fr-FR"/>
        </w:rPr>
      </w:pPr>
      <w:r>
        <w:rPr>
          <w:noProof w:val="0"/>
          <w:sz w:val="24"/>
          <w:lang w:val="fr-FR"/>
        </w:rPr>
        <w:t>L’application de régulateurs de croissance a permis de produire 41 graines BC</w:t>
      </w:r>
      <w:r>
        <w:rPr>
          <w:noProof w:val="0"/>
          <w:sz w:val="24"/>
          <w:vertAlign w:val="subscript"/>
          <w:lang w:val="fr-FR"/>
        </w:rPr>
        <w:t>1</w:t>
      </w:r>
      <w:r>
        <w:rPr>
          <w:noProof w:val="0"/>
          <w:sz w:val="24"/>
          <w:lang w:val="fr-FR"/>
        </w:rPr>
        <w:t xml:space="preserve"> (17 à partir de HRS et 24 à partir de TSH). Parmi ces 41 graines, 6 étaient totalement démunies de glandes tandis que la distribution de fréquences des densités de glandes observées chez le reste des graines présentait un aspect de cloche asymétrique : les classes de densité de glandes intermédiaires étant les plus représentées.</w:t>
      </w:r>
    </w:p>
    <w:p w:rsidR="00BE0787" w:rsidRDefault="00BE0787" w:rsidP="00BE0787">
      <w:pPr>
        <w:spacing w:line="360" w:lineRule="auto"/>
        <w:jc w:val="both"/>
        <w:rPr>
          <w:noProof w:val="0"/>
          <w:sz w:val="24"/>
          <w:lang w:val="fr-FR"/>
        </w:rPr>
      </w:pPr>
      <w:r>
        <w:rPr>
          <w:noProof w:val="0"/>
          <w:sz w:val="24"/>
          <w:lang w:val="fr-FR"/>
        </w:rPr>
        <w:t xml:space="preserve">Sur les six graines totalement démunies de glandes que nous avons produites, une seule a donné une plante adulte dont la densité de glandes était totalement normale. Pour obtenir cette dernière, il a été nécessaire de cultiver la graine </w:t>
      </w:r>
      <w:r>
        <w:rPr>
          <w:i/>
          <w:noProof w:val="0"/>
          <w:sz w:val="24"/>
          <w:lang w:val="fr-FR"/>
        </w:rPr>
        <w:t>in vitro</w:t>
      </w:r>
      <w:r>
        <w:rPr>
          <w:noProof w:val="0"/>
          <w:sz w:val="24"/>
          <w:lang w:val="fr-FR"/>
        </w:rPr>
        <w:t xml:space="preserve"> pendant 2 semaines et de greffer la plantule obtenue sur un porte-greffe de l'espèce </w:t>
      </w:r>
      <w:r>
        <w:rPr>
          <w:i/>
          <w:noProof w:val="0"/>
          <w:sz w:val="24"/>
          <w:lang w:val="fr-FR"/>
        </w:rPr>
        <w:t>G. hirsutum</w:t>
      </w:r>
      <w:r>
        <w:rPr>
          <w:noProof w:val="0"/>
          <w:sz w:val="24"/>
          <w:lang w:val="fr-FR"/>
        </w:rPr>
        <w:t xml:space="preserve">. Toutes les autres graines sans glandes produites par rétrocroisement des hybrides </w:t>
      </w:r>
      <w:proofErr w:type="spellStart"/>
      <w:r>
        <w:rPr>
          <w:noProof w:val="0"/>
          <w:sz w:val="24"/>
          <w:lang w:val="fr-FR"/>
        </w:rPr>
        <w:t>trispécifiques</w:t>
      </w:r>
      <w:proofErr w:type="spellEnd"/>
      <w:r>
        <w:rPr>
          <w:noProof w:val="0"/>
          <w:sz w:val="24"/>
          <w:lang w:val="fr-FR"/>
        </w:rPr>
        <w:t xml:space="preserve"> n'ont pas germé ou ont dégénéré après quelques jours de culture </w:t>
      </w:r>
      <w:r>
        <w:rPr>
          <w:i/>
          <w:noProof w:val="0"/>
          <w:sz w:val="24"/>
          <w:lang w:val="fr-FR"/>
        </w:rPr>
        <w:t>in vitro</w:t>
      </w:r>
      <w:r>
        <w:rPr>
          <w:noProof w:val="0"/>
          <w:sz w:val="24"/>
          <w:lang w:val="fr-FR"/>
        </w:rPr>
        <w:t>. La seule plante que nous avons obtenue à partir d'une graine totalement démunie de glandes (TSH x NC8/5) fleurit abondamment mais est tout à fait autostérile.</w:t>
      </w:r>
    </w:p>
    <w:p w:rsidR="00BE0787" w:rsidRDefault="00BE0787" w:rsidP="00BE0787">
      <w:pPr>
        <w:spacing w:line="360" w:lineRule="auto"/>
        <w:jc w:val="both"/>
        <w:rPr>
          <w:noProof w:val="0"/>
          <w:sz w:val="24"/>
          <w:lang w:val="fr-FR"/>
        </w:rPr>
      </w:pPr>
      <w:r>
        <w:rPr>
          <w:noProof w:val="0"/>
          <w:sz w:val="24"/>
          <w:lang w:val="fr-FR"/>
        </w:rPr>
        <w:t xml:space="preserve">L’analyse de la méiose des hybrides </w:t>
      </w:r>
      <w:proofErr w:type="spellStart"/>
      <w:r>
        <w:rPr>
          <w:noProof w:val="0"/>
          <w:sz w:val="24"/>
          <w:lang w:val="fr-FR"/>
        </w:rPr>
        <w:t>trispécifiques</w:t>
      </w:r>
      <w:proofErr w:type="spellEnd"/>
      <w:r>
        <w:rPr>
          <w:noProof w:val="0"/>
          <w:sz w:val="24"/>
          <w:lang w:val="fr-FR"/>
        </w:rPr>
        <w:t xml:space="preserve"> et de leur descendance confirme le bien-fondé de la stratégie d’</w:t>
      </w:r>
      <w:proofErr w:type="spellStart"/>
      <w:r>
        <w:rPr>
          <w:noProof w:val="0"/>
          <w:sz w:val="24"/>
          <w:lang w:val="fr-FR"/>
        </w:rPr>
        <w:t>introgression</w:t>
      </w:r>
      <w:proofErr w:type="spellEnd"/>
      <w:r>
        <w:rPr>
          <w:noProof w:val="0"/>
          <w:sz w:val="24"/>
          <w:lang w:val="fr-FR"/>
        </w:rPr>
        <w:t xml:space="preserve"> suivie. Les deux hybrides </w:t>
      </w:r>
      <w:proofErr w:type="spellStart"/>
      <w:r>
        <w:rPr>
          <w:noProof w:val="0"/>
          <w:sz w:val="24"/>
          <w:lang w:val="fr-FR"/>
        </w:rPr>
        <w:t>trispécifiques</w:t>
      </w:r>
      <w:proofErr w:type="spellEnd"/>
      <w:r>
        <w:rPr>
          <w:noProof w:val="0"/>
          <w:sz w:val="24"/>
          <w:lang w:val="fr-FR"/>
        </w:rPr>
        <w:t xml:space="preserve"> sont </w:t>
      </w:r>
      <w:proofErr w:type="spellStart"/>
      <w:r>
        <w:rPr>
          <w:noProof w:val="0"/>
          <w:sz w:val="24"/>
          <w:lang w:val="fr-FR"/>
        </w:rPr>
        <w:t>euploïdes</w:t>
      </w:r>
      <w:proofErr w:type="spellEnd"/>
      <w:r>
        <w:rPr>
          <w:noProof w:val="0"/>
          <w:sz w:val="24"/>
          <w:lang w:val="fr-FR"/>
        </w:rPr>
        <w:t xml:space="preserve">    (2n = 4x = 52) et les nombres d’associations bi- et multivalentes chez TSH </w:t>
      </w:r>
      <w:r w:rsidRPr="00BE0787">
        <w:rPr>
          <w:noProof w:val="0"/>
          <w:sz w:val="24"/>
        </w:rPr>
        <w:t xml:space="preserve">(15.34 </w:t>
      </w:r>
      <w:r>
        <w:rPr>
          <w:sz w:val="18"/>
        </w:rPr>
        <w:sym w:font="Symbol" w:char="F0B1"/>
      </w:r>
      <w:r>
        <w:rPr>
          <w:sz w:val="18"/>
        </w:rPr>
        <w:t xml:space="preserve"> 0.49</w:t>
      </w:r>
      <w:r w:rsidRPr="00BE0787">
        <w:rPr>
          <w:noProof w:val="0"/>
          <w:sz w:val="24"/>
        </w:rPr>
        <w:t xml:space="preserve"> II       + 0.93 </w:t>
      </w:r>
      <w:r>
        <w:rPr>
          <w:sz w:val="18"/>
        </w:rPr>
        <w:sym w:font="Symbol" w:char="F0B1"/>
      </w:r>
      <w:r>
        <w:rPr>
          <w:sz w:val="18"/>
        </w:rPr>
        <w:t xml:space="preserve"> 0.17</w:t>
      </w:r>
      <w:r w:rsidRPr="00BE0787">
        <w:rPr>
          <w:noProof w:val="0"/>
          <w:sz w:val="24"/>
        </w:rPr>
        <w:t xml:space="preserve"> III + 0.69 </w:t>
      </w:r>
      <w:r>
        <w:rPr>
          <w:sz w:val="18"/>
        </w:rPr>
        <w:sym w:font="Symbol" w:char="F0B1"/>
      </w:r>
      <w:r>
        <w:rPr>
          <w:sz w:val="18"/>
        </w:rPr>
        <w:t xml:space="preserve"> 0.14</w:t>
      </w:r>
      <w:r w:rsidRPr="00BE0787">
        <w:rPr>
          <w:noProof w:val="0"/>
          <w:sz w:val="24"/>
        </w:rPr>
        <w:t xml:space="preserve"> IV + 0.26 </w:t>
      </w:r>
      <w:r>
        <w:rPr>
          <w:sz w:val="18"/>
        </w:rPr>
        <w:sym w:font="Symbol" w:char="F0B1"/>
      </w:r>
      <w:r>
        <w:rPr>
          <w:sz w:val="18"/>
        </w:rPr>
        <w:t xml:space="preserve"> 0.1 </w:t>
      </w:r>
      <w:r w:rsidRPr="00BE0787">
        <w:rPr>
          <w:noProof w:val="0"/>
          <w:sz w:val="24"/>
        </w:rPr>
        <w:t>VI</w:t>
      </w:r>
      <w:r>
        <w:rPr>
          <w:noProof w:val="0"/>
          <w:sz w:val="24"/>
          <w:lang w:val="fr-FR"/>
        </w:rPr>
        <w:t>) et chez HRS (</w:t>
      </w:r>
      <w:r w:rsidRPr="00BE0787">
        <w:rPr>
          <w:noProof w:val="0"/>
          <w:sz w:val="24"/>
        </w:rPr>
        <w:t xml:space="preserve">17.03 </w:t>
      </w:r>
      <w:r>
        <w:rPr>
          <w:sz w:val="18"/>
        </w:rPr>
        <w:sym w:font="Symbol" w:char="F0B1"/>
      </w:r>
      <w:r>
        <w:rPr>
          <w:sz w:val="18"/>
        </w:rPr>
        <w:t xml:space="preserve"> 0.49</w:t>
      </w:r>
      <w:r w:rsidRPr="00BE0787">
        <w:rPr>
          <w:noProof w:val="0"/>
          <w:sz w:val="24"/>
        </w:rPr>
        <w:t xml:space="preserve"> II + 0.82 </w:t>
      </w:r>
      <w:r>
        <w:rPr>
          <w:sz w:val="18"/>
        </w:rPr>
        <w:sym w:font="Symbol" w:char="F0B1"/>
      </w:r>
      <w:r>
        <w:rPr>
          <w:sz w:val="18"/>
        </w:rPr>
        <w:t xml:space="preserve"> 0.19</w:t>
      </w:r>
      <w:r w:rsidRPr="00BE0787">
        <w:rPr>
          <w:noProof w:val="0"/>
          <w:sz w:val="24"/>
        </w:rPr>
        <w:t xml:space="preserve"> III    + 0.15 </w:t>
      </w:r>
      <w:r>
        <w:rPr>
          <w:sz w:val="18"/>
        </w:rPr>
        <w:sym w:font="Symbol" w:char="F0B1"/>
      </w:r>
      <w:r>
        <w:rPr>
          <w:sz w:val="18"/>
        </w:rPr>
        <w:t xml:space="preserve"> 0.07</w:t>
      </w:r>
      <w:r w:rsidRPr="00BE0787">
        <w:rPr>
          <w:noProof w:val="0"/>
          <w:sz w:val="24"/>
        </w:rPr>
        <w:t xml:space="preserve"> IV + 0,07 </w:t>
      </w:r>
      <w:r>
        <w:rPr>
          <w:sz w:val="18"/>
        </w:rPr>
        <w:sym w:font="Symbol" w:char="F0B1"/>
      </w:r>
      <w:r>
        <w:rPr>
          <w:sz w:val="18"/>
        </w:rPr>
        <w:t xml:space="preserve"> 0.05</w:t>
      </w:r>
      <w:r w:rsidRPr="00BE0787">
        <w:rPr>
          <w:noProof w:val="0"/>
          <w:sz w:val="24"/>
        </w:rPr>
        <w:t xml:space="preserve"> VI</w:t>
      </w:r>
      <w:r>
        <w:rPr>
          <w:noProof w:val="0"/>
          <w:sz w:val="24"/>
          <w:lang w:val="fr-FR"/>
        </w:rPr>
        <w:t xml:space="preserve">) sont nettement plus hauts que ce qui avait été observé par </w:t>
      </w:r>
      <w:proofErr w:type="spellStart"/>
      <w:r>
        <w:rPr>
          <w:noProof w:val="0"/>
          <w:sz w:val="24"/>
          <w:lang w:val="fr-FR"/>
        </w:rPr>
        <w:t>Shujing</w:t>
      </w:r>
      <w:proofErr w:type="spellEnd"/>
      <w:r>
        <w:rPr>
          <w:noProof w:val="0"/>
          <w:sz w:val="24"/>
          <w:lang w:val="fr-FR"/>
        </w:rPr>
        <w:t xml:space="preserve"> et </w:t>
      </w:r>
      <w:proofErr w:type="spellStart"/>
      <w:r>
        <w:rPr>
          <w:noProof w:val="0"/>
          <w:sz w:val="24"/>
          <w:lang w:val="fr-FR"/>
        </w:rPr>
        <w:t>Biling</w:t>
      </w:r>
      <w:proofErr w:type="spellEnd"/>
      <w:r>
        <w:rPr>
          <w:noProof w:val="0"/>
          <w:sz w:val="24"/>
          <w:lang w:val="fr-FR"/>
        </w:rPr>
        <w:t xml:space="preserve"> (1993) chez l’hybride </w:t>
      </w:r>
      <w:proofErr w:type="spellStart"/>
      <w:r>
        <w:rPr>
          <w:noProof w:val="0"/>
          <w:sz w:val="24"/>
          <w:lang w:val="fr-FR"/>
        </w:rPr>
        <w:t>trispécifique</w:t>
      </w:r>
      <w:proofErr w:type="spellEnd"/>
      <w:r>
        <w:rPr>
          <w:noProof w:val="0"/>
          <w:sz w:val="24"/>
          <w:lang w:val="fr-FR"/>
        </w:rPr>
        <w:t xml:space="preserve"> </w:t>
      </w:r>
      <w:proofErr w:type="spellStart"/>
      <w:r>
        <w:rPr>
          <w:i/>
          <w:noProof w:val="0"/>
          <w:sz w:val="24"/>
          <w:lang w:val="fr-FR"/>
        </w:rPr>
        <w:t>G.aroreum</w:t>
      </w:r>
      <w:proofErr w:type="spellEnd"/>
      <w:r>
        <w:rPr>
          <w:noProof w:val="0"/>
          <w:sz w:val="24"/>
          <w:lang w:val="fr-FR"/>
        </w:rPr>
        <w:t xml:space="preserve"> </w:t>
      </w:r>
      <w:proofErr w:type="spellStart"/>
      <w:r>
        <w:rPr>
          <w:noProof w:val="0"/>
          <w:sz w:val="24"/>
          <w:lang w:val="fr-FR"/>
        </w:rPr>
        <w:t>L.x</w:t>
      </w:r>
      <w:proofErr w:type="spellEnd"/>
      <w:r>
        <w:rPr>
          <w:noProof w:val="0"/>
          <w:sz w:val="24"/>
          <w:lang w:val="fr-FR"/>
        </w:rPr>
        <w:t xml:space="preserve"> </w:t>
      </w:r>
      <w:proofErr w:type="spellStart"/>
      <w:r>
        <w:rPr>
          <w:i/>
          <w:noProof w:val="0"/>
          <w:sz w:val="24"/>
          <w:lang w:val="fr-FR"/>
        </w:rPr>
        <w:t>G.bickii</w:t>
      </w:r>
      <w:proofErr w:type="spellEnd"/>
      <w:r>
        <w:rPr>
          <w:noProof w:val="0"/>
          <w:sz w:val="24"/>
          <w:lang w:val="fr-FR"/>
        </w:rPr>
        <w:t xml:space="preserve"> </w:t>
      </w:r>
      <w:proofErr w:type="spellStart"/>
      <w:r>
        <w:rPr>
          <w:noProof w:val="0"/>
          <w:sz w:val="24"/>
          <w:lang w:val="fr-FR"/>
        </w:rPr>
        <w:t>Prokh</w:t>
      </w:r>
      <w:proofErr w:type="spellEnd"/>
      <w:r>
        <w:rPr>
          <w:noProof w:val="0"/>
          <w:sz w:val="24"/>
          <w:lang w:val="fr-FR"/>
        </w:rPr>
        <w:t xml:space="preserve"> x </w:t>
      </w:r>
      <w:proofErr w:type="spellStart"/>
      <w:r>
        <w:rPr>
          <w:i/>
          <w:noProof w:val="0"/>
          <w:sz w:val="24"/>
          <w:lang w:val="fr-FR"/>
        </w:rPr>
        <w:t>G.hirsutum</w:t>
      </w:r>
      <w:proofErr w:type="spellEnd"/>
      <w:r>
        <w:rPr>
          <w:noProof w:val="0"/>
          <w:sz w:val="24"/>
          <w:lang w:val="fr-FR"/>
        </w:rPr>
        <w:t xml:space="preserve"> (4,54 II + 0,57 III + 0,41 IV). Dans ce dernier hybride, </w:t>
      </w:r>
      <w:r>
        <w:rPr>
          <w:i/>
          <w:noProof w:val="0"/>
          <w:sz w:val="24"/>
          <w:lang w:val="fr-FR"/>
        </w:rPr>
        <w:t xml:space="preserve">G. </w:t>
      </w:r>
      <w:proofErr w:type="spellStart"/>
      <w:r>
        <w:rPr>
          <w:i/>
          <w:noProof w:val="0"/>
          <w:sz w:val="24"/>
          <w:lang w:val="fr-FR"/>
        </w:rPr>
        <w:t>bickii</w:t>
      </w:r>
      <w:proofErr w:type="spellEnd"/>
      <w:r>
        <w:rPr>
          <w:noProof w:val="0"/>
          <w:sz w:val="24"/>
          <w:lang w:val="fr-FR"/>
        </w:rPr>
        <w:t xml:space="preserve"> (2n = 2x = 26, génome G</w:t>
      </w:r>
      <w:r>
        <w:rPr>
          <w:noProof w:val="0"/>
          <w:sz w:val="24"/>
          <w:vertAlign w:val="subscript"/>
          <w:lang w:val="fr-FR"/>
        </w:rPr>
        <w:t>1</w:t>
      </w:r>
      <w:r>
        <w:rPr>
          <w:noProof w:val="0"/>
          <w:sz w:val="24"/>
          <w:lang w:val="fr-FR"/>
        </w:rPr>
        <w:t xml:space="preserve">) constituait l’espèce donneuse du caractère recherché et </w:t>
      </w:r>
      <w:r>
        <w:rPr>
          <w:i/>
          <w:noProof w:val="0"/>
          <w:sz w:val="24"/>
          <w:lang w:val="fr-FR"/>
        </w:rPr>
        <w:t xml:space="preserve">G. </w:t>
      </w:r>
      <w:proofErr w:type="spellStart"/>
      <w:r>
        <w:rPr>
          <w:i/>
          <w:noProof w:val="0"/>
          <w:sz w:val="24"/>
          <w:lang w:val="fr-FR"/>
        </w:rPr>
        <w:t>aboreum</w:t>
      </w:r>
      <w:proofErr w:type="spellEnd"/>
      <w:r>
        <w:rPr>
          <w:noProof w:val="0"/>
          <w:sz w:val="24"/>
          <w:lang w:val="fr-FR"/>
        </w:rPr>
        <w:t xml:space="preserve"> (2n = 2x = 26, génome A</w:t>
      </w:r>
      <w:r>
        <w:rPr>
          <w:noProof w:val="0"/>
          <w:sz w:val="24"/>
          <w:vertAlign w:val="subscript"/>
          <w:lang w:val="fr-FR"/>
        </w:rPr>
        <w:t>2</w:t>
      </w:r>
      <w:r>
        <w:rPr>
          <w:noProof w:val="0"/>
          <w:sz w:val="24"/>
          <w:lang w:val="fr-FR"/>
        </w:rPr>
        <w:t xml:space="preserve">), espèce </w:t>
      </w:r>
      <w:proofErr w:type="spellStart"/>
      <w:r>
        <w:rPr>
          <w:noProof w:val="0"/>
          <w:sz w:val="24"/>
          <w:lang w:val="fr-FR"/>
        </w:rPr>
        <w:t>diploide</w:t>
      </w:r>
      <w:proofErr w:type="spellEnd"/>
      <w:r>
        <w:rPr>
          <w:noProof w:val="0"/>
          <w:sz w:val="24"/>
          <w:lang w:val="fr-FR"/>
        </w:rPr>
        <w:t xml:space="preserve"> asiatique, était utilisée comme pont.</w:t>
      </w:r>
    </w:p>
    <w:p w:rsidR="00BE0787" w:rsidRDefault="00BE0787" w:rsidP="00BE0787">
      <w:pPr>
        <w:spacing w:line="360" w:lineRule="auto"/>
        <w:jc w:val="both"/>
      </w:pPr>
      <w:r>
        <w:rPr>
          <w:sz w:val="24"/>
        </w:rPr>
        <w:t xml:space="preserve">Le génotype introgressé est également euploïde (2n = 4x = 52). L’expression du caractère recherché chez ce cotonnier tétraploide peut être due aux chromosomes de </w:t>
      </w:r>
      <w:r>
        <w:rPr>
          <w:i/>
          <w:sz w:val="24"/>
        </w:rPr>
        <w:t>G. sturtianum</w:t>
      </w:r>
      <w:r>
        <w:rPr>
          <w:sz w:val="24"/>
        </w:rPr>
        <w:t xml:space="preserve"> encore présents chez celui-ci ou à des recombinaisons entre les chromosomes du génome C porteurs des facteurs de répression et ceux des sous-génomes A</w:t>
      </w:r>
      <w:r>
        <w:rPr>
          <w:sz w:val="24"/>
          <w:vertAlign w:val="subscript"/>
        </w:rPr>
        <w:t>h</w:t>
      </w:r>
      <w:r>
        <w:rPr>
          <w:sz w:val="24"/>
        </w:rPr>
        <w:t xml:space="preserve"> et D</w:t>
      </w:r>
      <w:r>
        <w:rPr>
          <w:sz w:val="24"/>
          <w:vertAlign w:val="subscript"/>
        </w:rPr>
        <w:t>h</w:t>
      </w:r>
      <w:r>
        <w:rPr>
          <w:sz w:val="24"/>
        </w:rPr>
        <w:t xml:space="preserve"> du cotonnier cultivé.</w:t>
      </w:r>
      <w:r>
        <w:t xml:space="preserve"> </w:t>
      </w:r>
    </w:p>
    <w:p w:rsidR="00BE0787" w:rsidRDefault="00BE0787" w:rsidP="00BE0787">
      <w:pPr>
        <w:spacing w:line="360" w:lineRule="auto"/>
        <w:jc w:val="both"/>
        <w:rPr>
          <w:noProof w:val="0"/>
          <w:sz w:val="24"/>
          <w:lang w:val="fr-FR"/>
        </w:rPr>
      </w:pPr>
      <w:r>
        <w:rPr>
          <w:noProof w:val="0"/>
          <w:sz w:val="24"/>
          <w:lang w:val="fr-FR"/>
        </w:rPr>
        <w:lastRenderedPageBreak/>
        <w:t>Les hauts taux d’appariement (</w:t>
      </w:r>
      <w:r w:rsidRPr="00BE0787">
        <w:rPr>
          <w:noProof w:val="0"/>
          <w:sz w:val="24"/>
        </w:rPr>
        <w:t>20.61</w:t>
      </w:r>
      <w:r w:rsidRPr="00BE0787">
        <w:rPr>
          <w:sz w:val="18"/>
        </w:rPr>
        <w:t xml:space="preserve"> </w:t>
      </w:r>
      <w:r>
        <w:rPr>
          <w:sz w:val="18"/>
        </w:rPr>
        <w:sym w:font="Symbol" w:char="F0B1"/>
      </w:r>
      <w:r>
        <w:rPr>
          <w:sz w:val="18"/>
        </w:rPr>
        <w:t xml:space="preserve"> 0.57</w:t>
      </w:r>
      <w:r w:rsidRPr="00BE0787">
        <w:rPr>
          <w:noProof w:val="0"/>
          <w:sz w:val="24"/>
        </w:rPr>
        <w:t xml:space="preserve"> II + 0.69 </w:t>
      </w:r>
      <w:r>
        <w:rPr>
          <w:sz w:val="18"/>
        </w:rPr>
        <w:sym w:font="Symbol" w:char="F0B1"/>
      </w:r>
      <w:r>
        <w:rPr>
          <w:sz w:val="18"/>
        </w:rPr>
        <w:t xml:space="preserve"> 0.17</w:t>
      </w:r>
      <w:r w:rsidRPr="00BE0787">
        <w:rPr>
          <w:noProof w:val="0"/>
          <w:sz w:val="24"/>
        </w:rPr>
        <w:t xml:space="preserve"> III + 0.77 </w:t>
      </w:r>
      <w:r>
        <w:rPr>
          <w:sz w:val="18"/>
        </w:rPr>
        <w:sym w:font="Symbol" w:char="F0B1"/>
      </w:r>
      <w:r>
        <w:rPr>
          <w:sz w:val="18"/>
        </w:rPr>
        <w:t xml:space="preserve"> 0.15</w:t>
      </w:r>
      <w:r w:rsidRPr="00BE0787">
        <w:rPr>
          <w:noProof w:val="0"/>
          <w:sz w:val="24"/>
        </w:rPr>
        <w:t xml:space="preserve"> IV</w:t>
      </w:r>
      <w:r>
        <w:rPr>
          <w:noProof w:val="0"/>
          <w:sz w:val="24"/>
          <w:lang w:val="fr-FR"/>
        </w:rPr>
        <w:t>) et de formation de chiasmas (</w:t>
      </w:r>
      <w:r w:rsidRPr="00BE0787">
        <w:rPr>
          <w:noProof w:val="0"/>
          <w:sz w:val="24"/>
        </w:rPr>
        <w:t xml:space="preserve">50.38 </w:t>
      </w:r>
      <w:r>
        <w:rPr>
          <w:sz w:val="18"/>
        </w:rPr>
        <w:sym w:font="Symbol" w:char="F0B1"/>
      </w:r>
      <w:r>
        <w:rPr>
          <w:sz w:val="18"/>
        </w:rPr>
        <w:t xml:space="preserve"> 0.63</w:t>
      </w:r>
      <w:r>
        <w:rPr>
          <w:noProof w:val="0"/>
          <w:sz w:val="24"/>
          <w:lang w:val="fr-FR"/>
        </w:rPr>
        <w:t>) observés chez le génotype TSHxNC8/5 permettent d’espérer le passage du caractère recherché aux générations suivantes et un retour assez rapide vers une forme de cotonnier génétiquement équilibrée dont les graines seront dépourvues de glandes à gossypol alors que sa partie aérienne conservera cet important moyen de défense naturel contre les insectes.</w:t>
      </w:r>
    </w:p>
    <w:p w:rsidR="00BE0787" w:rsidRDefault="00BE0787" w:rsidP="00BE0787">
      <w:pPr>
        <w:spacing w:line="360" w:lineRule="auto"/>
        <w:jc w:val="both"/>
        <w:rPr>
          <w:noProof w:val="0"/>
          <w:sz w:val="24"/>
          <w:lang w:val="fr-FR"/>
        </w:rPr>
      </w:pPr>
      <w:r>
        <w:rPr>
          <w:sz w:val="24"/>
        </w:rPr>
        <w:t xml:space="preserve">Afin de faciliter la restauration de l’équilibre génétique des matériels introgressés, nous avons développé, parallèlement aux travaux d’hybridation interspécifiques, une technique de sélection du cotonnier assistée par marqueurs moléculaires de l’ADN nucléaire. </w:t>
      </w:r>
      <w:r>
        <w:rPr>
          <w:noProof w:val="0"/>
          <w:sz w:val="24"/>
          <w:lang w:val="fr-FR"/>
        </w:rPr>
        <w:t>Cette technique se base sur l’amélioration de la méthode classique d’extraction de l’ADN au CTAB de Murray et Thompson (1980). La principale modification apportée à la méthode standard concerne l’ajout de charbon de bois activé pendant l’incubation des extraits de tissus végétaux. Cette modification originale a permis une amélioration significative de l’amplification PCR de l’ADN extrait chez le cotonnier et chez d’autres plantes récalcitrantes comme le caféier, le bananier, l’hévéa et le manioc (</w:t>
      </w:r>
      <w:proofErr w:type="spellStart"/>
      <w:r>
        <w:rPr>
          <w:noProof w:val="0"/>
          <w:sz w:val="24"/>
          <w:lang w:val="fr-FR"/>
        </w:rPr>
        <w:t>Vroh</w:t>
      </w:r>
      <w:proofErr w:type="spellEnd"/>
      <w:r>
        <w:rPr>
          <w:noProof w:val="0"/>
          <w:sz w:val="24"/>
          <w:lang w:val="fr-FR"/>
        </w:rPr>
        <w:t xml:space="preserve"> bi </w:t>
      </w:r>
      <w:r>
        <w:rPr>
          <w:i/>
          <w:noProof w:val="0"/>
          <w:sz w:val="24"/>
          <w:lang w:val="fr-FR"/>
        </w:rPr>
        <w:t xml:space="preserve">et </w:t>
      </w:r>
      <w:proofErr w:type="gramStart"/>
      <w:r>
        <w:rPr>
          <w:i/>
          <w:noProof w:val="0"/>
          <w:sz w:val="24"/>
          <w:lang w:val="fr-FR"/>
        </w:rPr>
        <w:t>al</w:t>
      </w:r>
      <w:r>
        <w:rPr>
          <w:noProof w:val="0"/>
          <w:sz w:val="24"/>
          <w:lang w:val="fr-FR"/>
        </w:rPr>
        <w:t>.,</w:t>
      </w:r>
      <w:proofErr w:type="gramEnd"/>
      <w:r>
        <w:rPr>
          <w:noProof w:val="0"/>
          <w:sz w:val="24"/>
          <w:lang w:val="fr-FR"/>
        </w:rPr>
        <w:t xml:space="preserve"> 1996).</w:t>
      </w:r>
    </w:p>
    <w:p w:rsidR="00BE0787" w:rsidRDefault="00BE0787" w:rsidP="00BE0787">
      <w:pPr>
        <w:spacing w:line="360" w:lineRule="auto"/>
        <w:jc w:val="both"/>
        <w:rPr>
          <w:noProof w:val="0"/>
          <w:sz w:val="24"/>
          <w:lang w:val="fr-FR"/>
        </w:rPr>
      </w:pPr>
      <w:r>
        <w:rPr>
          <w:noProof w:val="0"/>
          <w:sz w:val="24"/>
          <w:lang w:val="fr-FR"/>
        </w:rPr>
        <w:t>A partir d’ADN extrait des différentes espèces de cotonnier intervenant dans la création des hybrides TSH et HRS nous avons optimisé les paramètres intervenant dans les réactions RAPD (</w:t>
      </w:r>
      <w:proofErr w:type="spellStart"/>
      <w:r>
        <w:rPr>
          <w:noProof w:val="0"/>
          <w:sz w:val="24"/>
          <w:lang w:val="fr-FR"/>
        </w:rPr>
        <w:t>Vroh</w:t>
      </w:r>
      <w:proofErr w:type="spellEnd"/>
      <w:r>
        <w:rPr>
          <w:noProof w:val="0"/>
          <w:sz w:val="24"/>
          <w:lang w:val="fr-FR"/>
        </w:rPr>
        <w:t xml:space="preserve"> bi </w:t>
      </w:r>
      <w:r>
        <w:rPr>
          <w:i/>
          <w:noProof w:val="0"/>
          <w:sz w:val="24"/>
          <w:lang w:val="fr-FR"/>
        </w:rPr>
        <w:t xml:space="preserve">et </w:t>
      </w:r>
      <w:proofErr w:type="gramStart"/>
      <w:r>
        <w:rPr>
          <w:i/>
          <w:noProof w:val="0"/>
          <w:sz w:val="24"/>
          <w:lang w:val="fr-FR"/>
        </w:rPr>
        <w:t>al</w:t>
      </w:r>
      <w:r>
        <w:rPr>
          <w:noProof w:val="0"/>
          <w:sz w:val="24"/>
          <w:lang w:val="fr-FR"/>
        </w:rPr>
        <w:t>.,</w:t>
      </w:r>
      <w:proofErr w:type="gramEnd"/>
      <w:r>
        <w:rPr>
          <w:noProof w:val="0"/>
          <w:sz w:val="24"/>
          <w:lang w:val="fr-FR"/>
        </w:rPr>
        <w:t xml:space="preserve"> 1997) . Tous les facteurs testés ont influencé le résultat final mais la concentration d’ADN, du chlorure de magnésium, des </w:t>
      </w:r>
      <w:proofErr w:type="spellStart"/>
      <w:r>
        <w:rPr>
          <w:noProof w:val="0"/>
          <w:sz w:val="24"/>
          <w:lang w:val="fr-FR"/>
        </w:rPr>
        <w:t>désoxynucléotides</w:t>
      </w:r>
      <w:proofErr w:type="spellEnd"/>
      <w:r>
        <w:rPr>
          <w:noProof w:val="0"/>
          <w:sz w:val="24"/>
          <w:lang w:val="fr-FR"/>
        </w:rPr>
        <w:t xml:space="preserve"> triphosphates et la température de dénaturation se sont avérés être les paramètres les plus importants. Les différents facteurs envisagés ont été optimisés par réajustements successifs en partant des conditions RAPD standards et en considérant les recommandations des fournisseurs des différents constituants de la réaction. </w:t>
      </w:r>
    </w:p>
    <w:p w:rsidR="00BE0787" w:rsidRDefault="00BE0787" w:rsidP="00BE0787">
      <w:pPr>
        <w:spacing w:line="360" w:lineRule="auto"/>
        <w:jc w:val="both"/>
        <w:rPr>
          <w:noProof w:val="0"/>
          <w:sz w:val="24"/>
          <w:lang w:val="fr-FR"/>
        </w:rPr>
      </w:pPr>
      <w:r>
        <w:rPr>
          <w:noProof w:val="0"/>
          <w:sz w:val="24"/>
          <w:lang w:val="fr-FR"/>
        </w:rPr>
        <w:t xml:space="preserve">Au total, 375 bandes RAPD ont été générées par 30 amorces </w:t>
      </w:r>
      <w:proofErr w:type="spellStart"/>
      <w:r>
        <w:rPr>
          <w:noProof w:val="0"/>
          <w:sz w:val="24"/>
          <w:lang w:val="fr-FR"/>
        </w:rPr>
        <w:t>décamères</w:t>
      </w:r>
      <w:proofErr w:type="spellEnd"/>
      <w:r>
        <w:rPr>
          <w:noProof w:val="0"/>
          <w:sz w:val="24"/>
          <w:lang w:val="fr-FR"/>
        </w:rPr>
        <w:t xml:space="preserve"> (</w:t>
      </w:r>
      <w:proofErr w:type="spellStart"/>
      <w:r>
        <w:rPr>
          <w:noProof w:val="0"/>
          <w:sz w:val="24"/>
          <w:lang w:val="fr-FR"/>
        </w:rPr>
        <w:t>Mergeai</w:t>
      </w:r>
      <w:proofErr w:type="spellEnd"/>
      <w:r>
        <w:rPr>
          <w:noProof w:val="0"/>
          <w:sz w:val="24"/>
          <w:lang w:val="fr-FR"/>
        </w:rPr>
        <w:t xml:space="preserve"> </w:t>
      </w:r>
      <w:r>
        <w:rPr>
          <w:i/>
          <w:noProof w:val="0"/>
          <w:sz w:val="24"/>
          <w:lang w:val="fr-FR"/>
        </w:rPr>
        <w:t xml:space="preserve">et </w:t>
      </w:r>
      <w:proofErr w:type="gramStart"/>
      <w:r>
        <w:rPr>
          <w:i/>
          <w:noProof w:val="0"/>
          <w:sz w:val="24"/>
          <w:lang w:val="fr-FR"/>
        </w:rPr>
        <w:t>al</w:t>
      </w:r>
      <w:r>
        <w:rPr>
          <w:noProof w:val="0"/>
          <w:sz w:val="24"/>
          <w:lang w:val="fr-FR"/>
        </w:rPr>
        <w:t>.,</w:t>
      </w:r>
      <w:proofErr w:type="gramEnd"/>
      <w:r>
        <w:rPr>
          <w:noProof w:val="0"/>
          <w:sz w:val="24"/>
          <w:lang w:val="fr-FR"/>
        </w:rPr>
        <w:t xml:space="preserve"> 1997). Parmi ces bandes, seulement 36 (9,6 %) se retrouvent chez tous les parents des hybrides </w:t>
      </w:r>
      <w:proofErr w:type="spellStart"/>
      <w:r>
        <w:rPr>
          <w:noProof w:val="0"/>
          <w:sz w:val="24"/>
          <w:lang w:val="fr-FR"/>
        </w:rPr>
        <w:t>trispécifiques</w:t>
      </w:r>
      <w:proofErr w:type="spellEnd"/>
      <w:r>
        <w:rPr>
          <w:noProof w:val="0"/>
          <w:sz w:val="24"/>
          <w:lang w:val="fr-FR"/>
        </w:rPr>
        <w:t>. Les 339 (90,4 %) autres fragments sont polymorphes. Le tableau 1 résume les résultats obtenus concernant l’identification de marqueurs RAPD spécifiques des espèces diploïdes sauvages constitutives des hybrides TSH et HRS et leur transmission dans ces hybrides.</w:t>
      </w:r>
    </w:p>
    <w:p w:rsidR="00BE0787" w:rsidRDefault="00BE0787" w:rsidP="00BE0787">
      <w:pPr>
        <w:ind w:left="1134" w:hanging="1134"/>
        <w:jc w:val="both"/>
        <w:rPr>
          <w:noProof w:val="0"/>
          <w:lang w:val="fr-FR"/>
        </w:rPr>
      </w:pPr>
      <w:r w:rsidRPr="00BE0787">
        <w:rPr>
          <w:noProof w:val="0"/>
        </w:rPr>
        <w:br w:type="page"/>
      </w:r>
    </w:p>
    <w:p w:rsidR="00BE0787" w:rsidRDefault="00BE0787" w:rsidP="00BE0787">
      <w:pPr>
        <w:ind w:left="1134" w:hanging="1134"/>
        <w:jc w:val="both"/>
        <w:rPr>
          <w:noProof w:val="0"/>
          <w:sz w:val="22"/>
          <w:lang w:val="fr-FR"/>
        </w:rPr>
      </w:pPr>
      <w:r>
        <w:rPr>
          <w:noProof w:val="0"/>
          <w:sz w:val="22"/>
          <w:lang w:val="fr-FR"/>
        </w:rPr>
        <w:lastRenderedPageBreak/>
        <w:t>Tableau 1 :</w:t>
      </w:r>
      <w:r>
        <w:rPr>
          <w:noProof w:val="0"/>
          <w:sz w:val="22"/>
          <w:lang w:val="fr-FR"/>
        </w:rPr>
        <w:tab/>
        <w:t xml:space="preserve">Transmission des marqueurs RAPD spécifiques des cotonniers diploïdes chez les hybrides </w:t>
      </w:r>
      <w:proofErr w:type="spellStart"/>
      <w:r>
        <w:rPr>
          <w:noProof w:val="0"/>
          <w:sz w:val="22"/>
          <w:lang w:val="fr-FR"/>
        </w:rPr>
        <w:t>trispécifiques</w:t>
      </w:r>
      <w:proofErr w:type="spellEnd"/>
    </w:p>
    <w:p w:rsidR="00BE0787" w:rsidRDefault="00BE0787" w:rsidP="00BE0787">
      <w:pPr>
        <w:rPr>
          <w:noProof w:val="0"/>
          <w:sz w:val="22"/>
          <w:lang w:val="fr-FR"/>
        </w:rPr>
      </w:pPr>
    </w:p>
    <w:tbl>
      <w:tblPr>
        <w:tblW w:w="0" w:type="auto"/>
        <w:tblLayout w:type="fixed"/>
        <w:tblCellMar>
          <w:left w:w="70" w:type="dxa"/>
          <w:right w:w="70" w:type="dxa"/>
        </w:tblCellMar>
        <w:tblLook w:val="04A0" w:firstRow="1" w:lastRow="0" w:firstColumn="1" w:lastColumn="0" w:noHBand="0" w:noVBand="1"/>
      </w:tblPr>
      <w:tblGrid>
        <w:gridCol w:w="2381"/>
        <w:gridCol w:w="2268"/>
        <w:gridCol w:w="2268"/>
        <w:gridCol w:w="2268"/>
      </w:tblGrid>
      <w:tr w:rsidR="00BE0787" w:rsidTr="00BE0787">
        <w:trPr>
          <w:cantSplit/>
        </w:trPr>
        <w:tc>
          <w:tcPr>
            <w:tcW w:w="2381" w:type="dxa"/>
            <w:tcBorders>
              <w:top w:val="single" w:sz="6" w:space="0" w:color="auto"/>
              <w:left w:val="single" w:sz="6" w:space="0" w:color="auto"/>
              <w:bottom w:val="single" w:sz="6" w:space="0" w:color="auto"/>
              <w:right w:val="nil"/>
            </w:tcBorders>
            <w:hideMark/>
          </w:tcPr>
          <w:p w:rsidR="00BE0787" w:rsidRDefault="00BE0787">
            <w:pPr>
              <w:jc w:val="center"/>
              <w:rPr>
                <w:noProof w:val="0"/>
                <w:sz w:val="22"/>
                <w:lang w:val="fr-FR"/>
              </w:rPr>
            </w:pPr>
            <w:r>
              <w:rPr>
                <w:noProof w:val="0"/>
                <w:sz w:val="22"/>
                <w:lang w:val="fr-FR"/>
              </w:rPr>
              <w:t>Génotypes testés</w:t>
            </w:r>
          </w:p>
        </w:tc>
        <w:tc>
          <w:tcPr>
            <w:tcW w:w="2268" w:type="dxa"/>
            <w:tcBorders>
              <w:top w:val="single" w:sz="6" w:space="0" w:color="auto"/>
              <w:left w:val="single" w:sz="6" w:space="0" w:color="auto"/>
              <w:bottom w:val="single" w:sz="6" w:space="0" w:color="auto"/>
              <w:right w:val="single" w:sz="6" w:space="0" w:color="auto"/>
            </w:tcBorders>
            <w:hideMark/>
          </w:tcPr>
          <w:p w:rsidR="00BE0787" w:rsidRDefault="00BE0787">
            <w:pPr>
              <w:jc w:val="center"/>
              <w:rPr>
                <w:noProof w:val="0"/>
                <w:sz w:val="22"/>
                <w:lang w:val="fr-FR"/>
              </w:rPr>
            </w:pPr>
            <w:r>
              <w:rPr>
                <w:noProof w:val="0"/>
                <w:sz w:val="22"/>
                <w:lang w:val="fr-FR"/>
              </w:rPr>
              <w:t>Nombre de marqueurs RAPD spécifiques chez le génotype parental</w:t>
            </w:r>
          </w:p>
        </w:tc>
        <w:tc>
          <w:tcPr>
            <w:tcW w:w="2268" w:type="dxa"/>
            <w:tcBorders>
              <w:top w:val="single" w:sz="6" w:space="0" w:color="auto"/>
              <w:left w:val="nil"/>
              <w:bottom w:val="single" w:sz="6" w:space="0" w:color="auto"/>
              <w:right w:val="nil"/>
            </w:tcBorders>
            <w:hideMark/>
          </w:tcPr>
          <w:p w:rsidR="00BE0787" w:rsidRDefault="00BE0787">
            <w:pPr>
              <w:jc w:val="center"/>
              <w:rPr>
                <w:noProof w:val="0"/>
                <w:sz w:val="22"/>
                <w:lang w:val="fr-FR"/>
              </w:rPr>
            </w:pPr>
            <w:r>
              <w:rPr>
                <w:noProof w:val="0"/>
                <w:sz w:val="22"/>
                <w:lang w:val="fr-FR"/>
              </w:rPr>
              <w:t>Nombre de marqueurs RAPD spécifiques chez TSH</w:t>
            </w:r>
          </w:p>
        </w:tc>
        <w:tc>
          <w:tcPr>
            <w:tcW w:w="2268" w:type="dxa"/>
            <w:tcBorders>
              <w:top w:val="single" w:sz="6" w:space="0" w:color="auto"/>
              <w:left w:val="single" w:sz="6" w:space="0" w:color="auto"/>
              <w:bottom w:val="single" w:sz="6" w:space="0" w:color="auto"/>
              <w:right w:val="single" w:sz="6" w:space="0" w:color="auto"/>
            </w:tcBorders>
            <w:hideMark/>
          </w:tcPr>
          <w:p w:rsidR="00BE0787" w:rsidRDefault="00BE0787">
            <w:pPr>
              <w:jc w:val="center"/>
              <w:rPr>
                <w:noProof w:val="0"/>
                <w:sz w:val="22"/>
                <w:lang w:val="fr-FR"/>
              </w:rPr>
            </w:pPr>
            <w:r>
              <w:rPr>
                <w:noProof w:val="0"/>
                <w:sz w:val="22"/>
                <w:lang w:val="fr-FR"/>
              </w:rPr>
              <w:t>Nombre de marqueurs RAPD spécifiques chez HRS</w:t>
            </w:r>
          </w:p>
        </w:tc>
      </w:tr>
      <w:tr w:rsidR="00BE0787" w:rsidTr="00BE0787">
        <w:trPr>
          <w:cantSplit/>
        </w:trPr>
        <w:tc>
          <w:tcPr>
            <w:tcW w:w="2381" w:type="dxa"/>
            <w:tcBorders>
              <w:top w:val="nil"/>
              <w:left w:val="single" w:sz="6" w:space="0" w:color="auto"/>
              <w:bottom w:val="nil"/>
              <w:right w:val="nil"/>
            </w:tcBorders>
            <w:hideMark/>
          </w:tcPr>
          <w:p w:rsidR="00BE0787" w:rsidRDefault="00BE0787">
            <w:pPr>
              <w:jc w:val="center"/>
              <w:rPr>
                <w:i/>
                <w:noProof w:val="0"/>
                <w:sz w:val="22"/>
                <w:lang w:val="fr-FR"/>
              </w:rPr>
            </w:pPr>
            <w:r>
              <w:rPr>
                <w:i/>
                <w:noProof w:val="0"/>
                <w:sz w:val="22"/>
                <w:lang w:val="fr-FR"/>
              </w:rPr>
              <w:t>G. sturtianum</w:t>
            </w:r>
          </w:p>
        </w:tc>
        <w:tc>
          <w:tcPr>
            <w:tcW w:w="2268" w:type="dxa"/>
            <w:tcBorders>
              <w:top w:val="nil"/>
              <w:left w:val="single" w:sz="6" w:space="0" w:color="auto"/>
              <w:bottom w:val="nil"/>
              <w:right w:val="single" w:sz="6" w:space="0" w:color="auto"/>
            </w:tcBorders>
            <w:hideMark/>
          </w:tcPr>
          <w:p w:rsidR="00BE0787" w:rsidRDefault="00BE0787">
            <w:pPr>
              <w:jc w:val="center"/>
              <w:rPr>
                <w:noProof w:val="0"/>
                <w:sz w:val="22"/>
                <w:lang w:val="fr-FR"/>
              </w:rPr>
            </w:pPr>
            <w:r>
              <w:rPr>
                <w:noProof w:val="0"/>
                <w:sz w:val="22"/>
                <w:lang w:val="fr-FR"/>
              </w:rPr>
              <w:t>49</w:t>
            </w:r>
          </w:p>
        </w:tc>
        <w:tc>
          <w:tcPr>
            <w:tcW w:w="2268" w:type="dxa"/>
            <w:hideMark/>
          </w:tcPr>
          <w:p w:rsidR="00BE0787" w:rsidRDefault="00BE0787">
            <w:pPr>
              <w:jc w:val="center"/>
              <w:rPr>
                <w:noProof w:val="0"/>
                <w:sz w:val="22"/>
                <w:lang w:val="fr-FR"/>
              </w:rPr>
            </w:pPr>
            <w:r>
              <w:rPr>
                <w:noProof w:val="0"/>
                <w:sz w:val="22"/>
                <w:lang w:val="fr-FR"/>
              </w:rPr>
              <w:t>18*</w:t>
            </w:r>
          </w:p>
        </w:tc>
        <w:tc>
          <w:tcPr>
            <w:tcW w:w="2268" w:type="dxa"/>
            <w:tcBorders>
              <w:top w:val="nil"/>
              <w:left w:val="single" w:sz="6" w:space="0" w:color="auto"/>
              <w:bottom w:val="nil"/>
              <w:right w:val="single" w:sz="6" w:space="0" w:color="auto"/>
            </w:tcBorders>
            <w:hideMark/>
          </w:tcPr>
          <w:p w:rsidR="00BE0787" w:rsidRDefault="00BE0787">
            <w:pPr>
              <w:jc w:val="center"/>
              <w:rPr>
                <w:noProof w:val="0"/>
                <w:sz w:val="22"/>
                <w:lang w:val="fr-FR"/>
              </w:rPr>
            </w:pPr>
            <w:r>
              <w:rPr>
                <w:noProof w:val="0"/>
                <w:sz w:val="22"/>
                <w:lang w:val="fr-FR"/>
              </w:rPr>
              <w:t>20*</w:t>
            </w:r>
          </w:p>
        </w:tc>
      </w:tr>
      <w:tr w:rsidR="00BE0787" w:rsidTr="00BE0787">
        <w:trPr>
          <w:cantSplit/>
        </w:trPr>
        <w:tc>
          <w:tcPr>
            <w:tcW w:w="2381" w:type="dxa"/>
            <w:tcBorders>
              <w:top w:val="nil"/>
              <w:left w:val="single" w:sz="6" w:space="0" w:color="auto"/>
              <w:bottom w:val="nil"/>
              <w:right w:val="nil"/>
            </w:tcBorders>
            <w:hideMark/>
          </w:tcPr>
          <w:p w:rsidR="00BE0787" w:rsidRDefault="00BE0787">
            <w:pPr>
              <w:jc w:val="center"/>
              <w:rPr>
                <w:i/>
                <w:noProof w:val="0"/>
                <w:sz w:val="22"/>
                <w:lang w:val="fr-FR"/>
              </w:rPr>
            </w:pPr>
            <w:r>
              <w:rPr>
                <w:i/>
                <w:noProof w:val="0"/>
                <w:sz w:val="22"/>
                <w:lang w:val="fr-FR"/>
              </w:rPr>
              <w:t xml:space="preserve">G. </w:t>
            </w:r>
            <w:proofErr w:type="spellStart"/>
            <w:r>
              <w:rPr>
                <w:i/>
                <w:noProof w:val="0"/>
                <w:sz w:val="22"/>
                <w:lang w:val="fr-FR"/>
              </w:rPr>
              <w:t>raimondii</w:t>
            </w:r>
            <w:proofErr w:type="spellEnd"/>
          </w:p>
        </w:tc>
        <w:tc>
          <w:tcPr>
            <w:tcW w:w="2268" w:type="dxa"/>
            <w:tcBorders>
              <w:top w:val="nil"/>
              <w:left w:val="single" w:sz="6" w:space="0" w:color="auto"/>
              <w:bottom w:val="nil"/>
              <w:right w:val="single" w:sz="6" w:space="0" w:color="auto"/>
            </w:tcBorders>
            <w:hideMark/>
          </w:tcPr>
          <w:p w:rsidR="00BE0787" w:rsidRDefault="00BE0787">
            <w:pPr>
              <w:jc w:val="center"/>
              <w:rPr>
                <w:noProof w:val="0"/>
                <w:sz w:val="22"/>
                <w:lang w:val="fr-FR"/>
              </w:rPr>
            </w:pPr>
            <w:r>
              <w:rPr>
                <w:noProof w:val="0"/>
                <w:sz w:val="22"/>
                <w:lang w:val="fr-FR"/>
              </w:rPr>
              <w:t>12</w:t>
            </w:r>
          </w:p>
        </w:tc>
        <w:tc>
          <w:tcPr>
            <w:tcW w:w="2268" w:type="dxa"/>
            <w:hideMark/>
          </w:tcPr>
          <w:p w:rsidR="00BE0787" w:rsidRDefault="00BE0787">
            <w:pPr>
              <w:jc w:val="center"/>
              <w:rPr>
                <w:noProof w:val="0"/>
                <w:sz w:val="22"/>
                <w:lang w:val="fr-FR"/>
              </w:rPr>
            </w:pPr>
            <w:r>
              <w:rPr>
                <w:noProof w:val="0"/>
                <w:sz w:val="22"/>
                <w:lang w:val="fr-FR"/>
              </w:rPr>
              <w:t xml:space="preserve">0 </w:t>
            </w:r>
          </w:p>
        </w:tc>
        <w:tc>
          <w:tcPr>
            <w:tcW w:w="2268" w:type="dxa"/>
            <w:tcBorders>
              <w:top w:val="nil"/>
              <w:left w:val="single" w:sz="6" w:space="0" w:color="auto"/>
              <w:bottom w:val="nil"/>
              <w:right w:val="single" w:sz="6" w:space="0" w:color="auto"/>
            </w:tcBorders>
            <w:hideMark/>
          </w:tcPr>
          <w:p w:rsidR="00BE0787" w:rsidRDefault="00BE0787">
            <w:pPr>
              <w:jc w:val="center"/>
              <w:rPr>
                <w:noProof w:val="0"/>
                <w:sz w:val="22"/>
                <w:lang w:val="fr-FR"/>
              </w:rPr>
            </w:pPr>
            <w:r>
              <w:rPr>
                <w:noProof w:val="0"/>
                <w:sz w:val="22"/>
                <w:lang w:val="fr-FR"/>
              </w:rPr>
              <w:t xml:space="preserve">4 </w:t>
            </w:r>
          </w:p>
        </w:tc>
      </w:tr>
      <w:tr w:rsidR="00BE0787" w:rsidTr="00BE0787">
        <w:trPr>
          <w:cantSplit/>
        </w:trPr>
        <w:tc>
          <w:tcPr>
            <w:tcW w:w="2381" w:type="dxa"/>
            <w:tcBorders>
              <w:top w:val="nil"/>
              <w:left w:val="single" w:sz="6" w:space="0" w:color="auto"/>
              <w:bottom w:val="single" w:sz="6" w:space="0" w:color="auto"/>
              <w:right w:val="nil"/>
            </w:tcBorders>
            <w:hideMark/>
          </w:tcPr>
          <w:p w:rsidR="00BE0787" w:rsidRDefault="00BE0787">
            <w:pPr>
              <w:jc w:val="center"/>
              <w:rPr>
                <w:i/>
                <w:noProof w:val="0"/>
                <w:sz w:val="22"/>
                <w:lang w:val="fr-FR"/>
              </w:rPr>
            </w:pPr>
            <w:r>
              <w:rPr>
                <w:i/>
                <w:noProof w:val="0"/>
                <w:sz w:val="22"/>
                <w:lang w:val="fr-FR"/>
              </w:rPr>
              <w:t>G. thurberi</w:t>
            </w:r>
          </w:p>
        </w:tc>
        <w:tc>
          <w:tcPr>
            <w:tcW w:w="2268" w:type="dxa"/>
            <w:tcBorders>
              <w:top w:val="nil"/>
              <w:left w:val="single" w:sz="6" w:space="0" w:color="auto"/>
              <w:bottom w:val="single" w:sz="6" w:space="0" w:color="auto"/>
              <w:right w:val="single" w:sz="6" w:space="0" w:color="auto"/>
            </w:tcBorders>
            <w:hideMark/>
          </w:tcPr>
          <w:p w:rsidR="00BE0787" w:rsidRDefault="00BE0787">
            <w:pPr>
              <w:jc w:val="center"/>
              <w:rPr>
                <w:noProof w:val="0"/>
                <w:sz w:val="22"/>
                <w:lang w:val="fr-FR"/>
              </w:rPr>
            </w:pPr>
            <w:r>
              <w:rPr>
                <w:noProof w:val="0"/>
                <w:sz w:val="22"/>
                <w:lang w:val="fr-FR"/>
              </w:rPr>
              <w:t>13</w:t>
            </w:r>
          </w:p>
        </w:tc>
        <w:tc>
          <w:tcPr>
            <w:tcW w:w="2268" w:type="dxa"/>
            <w:tcBorders>
              <w:top w:val="nil"/>
              <w:left w:val="nil"/>
              <w:bottom w:val="single" w:sz="6" w:space="0" w:color="auto"/>
              <w:right w:val="nil"/>
            </w:tcBorders>
            <w:hideMark/>
          </w:tcPr>
          <w:p w:rsidR="00BE0787" w:rsidRDefault="00BE0787">
            <w:pPr>
              <w:jc w:val="center"/>
              <w:rPr>
                <w:noProof w:val="0"/>
                <w:sz w:val="22"/>
                <w:lang w:val="fr-FR"/>
              </w:rPr>
            </w:pPr>
            <w:r>
              <w:rPr>
                <w:noProof w:val="0"/>
                <w:sz w:val="22"/>
                <w:lang w:val="fr-FR"/>
              </w:rPr>
              <w:t xml:space="preserve">4 </w:t>
            </w:r>
          </w:p>
        </w:tc>
        <w:tc>
          <w:tcPr>
            <w:tcW w:w="2268" w:type="dxa"/>
            <w:tcBorders>
              <w:top w:val="nil"/>
              <w:left w:val="single" w:sz="6" w:space="0" w:color="auto"/>
              <w:bottom w:val="single" w:sz="6" w:space="0" w:color="auto"/>
              <w:right w:val="single" w:sz="6" w:space="0" w:color="auto"/>
            </w:tcBorders>
            <w:hideMark/>
          </w:tcPr>
          <w:p w:rsidR="00BE0787" w:rsidRDefault="00BE0787">
            <w:pPr>
              <w:jc w:val="center"/>
              <w:rPr>
                <w:noProof w:val="0"/>
                <w:sz w:val="22"/>
                <w:lang w:val="fr-FR"/>
              </w:rPr>
            </w:pPr>
            <w:r>
              <w:rPr>
                <w:noProof w:val="0"/>
                <w:sz w:val="22"/>
                <w:lang w:val="fr-FR"/>
              </w:rPr>
              <w:t xml:space="preserve">0 </w:t>
            </w:r>
          </w:p>
        </w:tc>
      </w:tr>
    </w:tbl>
    <w:p w:rsidR="00BE0787" w:rsidRDefault="00BE0787" w:rsidP="00BE0787">
      <w:pPr>
        <w:rPr>
          <w:noProof w:val="0"/>
          <w:sz w:val="22"/>
          <w:lang w:val="fr-FR"/>
        </w:rPr>
      </w:pPr>
      <w:r>
        <w:rPr>
          <w:noProof w:val="0"/>
          <w:sz w:val="22"/>
          <w:lang w:val="fr-FR"/>
        </w:rPr>
        <w:t xml:space="preserve">* Les deux hybrides </w:t>
      </w:r>
      <w:proofErr w:type="spellStart"/>
      <w:r>
        <w:rPr>
          <w:noProof w:val="0"/>
          <w:sz w:val="22"/>
          <w:lang w:val="fr-FR"/>
        </w:rPr>
        <w:t>trispécifiques</w:t>
      </w:r>
      <w:proofErr w:type="spellEnd"/>
      <w:r>
        <w:rPr>
          <w:noProof w:val="0"/>
          <w:sz w:val="22"/>
          <w:lang w:val="fr-FR"/>
        </w:rPr>
        <w:t xml:space="preserve"> partagent 18 bandes caractéristiques de </w:t>
      </w:r>
      <w:r>
        <w:rPr>
          <w:i/>
          <w:noProof w:val="0"/>
          <w:sz w:val="22"/>
          <w:lang w:val="fr-FR"/>
        </w:rPr>
        <w:t>G. sturtianum</w:t>
      </w:r>
      <w:r>
        <w:rPr>
          <w:noProof w:val="0"/>
          <w:sz w:val="22"/>
          <w:lang w:val="fr-FR"/>
        </w:rPr>
        <w:t>.</w:t>
      </w:r>
    </w:p>
    <w:p w:rsidR="00BE0787" w:rsidRDefault="00BE0787" w:rsidP="00BE0787">
      <w:pPr>
        <w:spacing w:line="360" w:lineRule="auto"/>
        <w:jc w:val="both"/>
        <w:rPr>
          <w:noProof w:val="0"/>
          <w:sz w:val="24"/>
          <w:lang w:val="fr-FR"/>
        </w:rPr>
      </w:pPr>
    </w:p>
    <w:p w:rsidR="00BE0787" w:rsidRDefault="00BE0787" w:rsidP="00BE0787">
      <w:pPr>
        <w:spacing w:line="360" w:lineRule="auto"/>
        <w:jc w:val="both"/>
        <w:rPr>
          <w:noProof w:val="0"/>
          <w:sz w:val="24"/>
          <w:lang w:val="fr-FR"/>
        </w:rPr>
      </w:pPr>
      <w:r>
        <w:rPr>
          <w:noProof w:val="0"/>
          <w:sz w:val="24"/>
          <w:lang w:val="fr-FR"/>
        </w:rPr>
        <w:t xml:space="preserve">L’absence systématique de certains marqueurs spécifiques des espèces sauvages chez les hybrides </w:t>
      </w:r>
      <w:proofErr w:type="spellStart"/>
      <w:r>
        <w:rPr>
          <w:noProof w:val="0"/>
          <w:sz w:val="24"/>
          <w:lang w:val="fr-FR"/>
        </w:rPr>
        <w:t>trispécifiques</w:t>
      </w:r>
      <w:proofErr w:type="spellEnd"/>
      <w:r>
        <w:rPr>
          <w:noProof w:val="0"/>
          <w:sz w:val="24"/>
          <w:lang w:val="fr-FR"/>
        </w:rPr>
        <w:t xml:space="preserve"> peut s’expliquer par la présence d’un seul complément de chacune des 13 paires de chromosomes des espèces diploïdes sauvages et par l’existence d’interférences entre certains fragments d’ADN au moment de l’amplification (</w:t>
      </w:r>
      <w:proofErr w:type="spellStart"/>
      <w:r>
        <w:rPr>
          <w:noProof w:val="0"/>
          <w:sz w:val="24"/>
          <w:lang w:val="fr-FR"/>
        </w:rPr>
        <w:t>Heun</w:t>
      </w:r>
      <w:proofErr w:type="spellEnd"/>
      <w:r>
        <w:rPr>
          <w:noProof w:val="0"/>
          <w:sz w:val="24"/>
          <w:lang w:val="fr-FR"/>
        </w:rPr>
        <w:t xml:space="preserve"> et </w:t>
      </w:r>
      <w:proofErr w:type="spellStart"/>
      <w:r>
        <w:rPr>
          <w:noProof w:val="0"/>
          <w:sz w:val="24"/>
          <w:lang w:val="fr-FR"/>
        </w:rPr>
        <w:t>Helentjaris</w:t>
      </w:r>
      <w:proofErr w:type="spellEnd"/>
      <w:r>
        <w:rPr>
          <w:noProof w:val="0"/>
          <w:sz w:val="24"/>
          <w:lang w:val="fr-FR"/>
        </w:rPr>
        <w:t xml:space="preserve">, 1993). Pour limiter ce risque de « compétition » entre fragments lors de l’amplification, nous n’avons pris en considération que des bandes bien nettes qui étaient à la fois présentes chez l’espèce parentale et chez les hybrides </w:t>
      </w:r>
      <w:proofErr w:type="spellStart"/>
      <w:r>
        <w:rPr>
          <w:noProof w:val="0"/>
          <w:sz w:val="24"/>
          <w:lang w:val="fr-FR"/>
        </w:rPr>
        <w:t>trispécifiques</w:t>
      </w:r>
      <w:proofErr w:type="spellEnd"/>
      <w:r>
        <w:rPr>
          <w:noProof w:val="0"/>
          <w:sz w:val="24"/>
          <w:lang w:val="fr-FR"/>
        </w:rPr>
        <w:t xml:space="preserve">. Au total, 22 marqueurs de ce type ont été identifiés chez </w:t>
      </w:r>
      <w:r>
        <w:rPr>
          <w:i/>
          <w:noProof w:val="0"/>
          <w:sz w:val="24"/>
          <w:lang w:val="fr-FR"/>
        </w:rPr>
        <w:t>G. sturtianum</w:t>
      </w:r>
      <w:r>
        <w:rPr>
          <w:noProof w:val="0"/>
          <w:sz w:val="24"/>
          <w:lang w:val="fr-FR"/>
        </w:rPr>
        <w:t xml:space="preserve"> contre 4 marqueurs pour </w:t>
      </w:r>
      <w:r>
        <w:rPr>
          <w:i/>
          <w:noProof w:val="0"/>
          <w:sz w:val="24"/>
          <w:lang w:val="fr-FR"/>
        </w:rPr>
        <w:t xml:space="preserve">G. </w:t>
      </w:r>
      <w:proofErr w:type="spellStart"/>
      <w:r>
        <w:rPr>
          <w:i/>
          <w:noProof w:val="0"/>
          <w:sz w:val="24"/>
          <w:lang w:val="fr-FR"/>
        </w:rPr>
        <w:t>raimondii</w:t>
      </w:r>
      <w:proofErr w:type="spellEnd"/>
      <w:r>
        <w:rPr>
          <w:noProof w:val="0"/>
          <w:sz w:val="24"/>
          <w:lang w:val="fr-FR"/>
        </w:rPr>
        <w:t xml:space="preserve"> et </w:t>
      </w:r>
      <w:r>
        <w:rPr>
          <w:i/>
          <w:noProof w:val="0"/>
          <w:sz w:val="24"/>
          <w:lang w:val="fr-FR"/>
        </w:rPr>
        <w:t>G. thurberi</w:t>
      </w:r>
      <w:r>
        <w:rPr>
          <w:noProof w:val="0"/>
          <w:sz w:val="24"/>
          <w:lang w:val="fr-FR"/>
        </w:rPr>
        <w:t>. Etant donné la grande proximité phylétique qui existe entre les espèces sauvages diploïdes du génome D (</w:t>
      </w:r>
      <w:r>
        <w:rPr>
          <w:i/>
          <w:noProof w:val="0"/>
          <w:sz w:val="24"/>
          <w:lang w:val="fr-FR"/>
        </w:rPr>
        <w:t>G</w:t>
      </w:r>
      <w:r>
        <w:rPr>
          <w:noProof w:val="0"/>
          <w:sz w:val="24"/>
          <w:lang w:val="fr-FR"/>
        </w:rPr>
        <w:t xml:space="preserve">. </w:t>
      </w:r>
      <w:r>
        <w:rPr>
          <w:i/>
          <w:noProof w:val="0"/>
          <w:sz w:val="24"/>
          <w:lang w:val="fr-FR"/>
        </w:rPr>
        <w:t>thurberi</w:t>
      </w:r>
      <w:r>
        <w:rPr>
          <w:noProof w:val="0"/>
          <w:sz w:val="24"/>
          <w:lang w:val="fr-FR"/>
        </w:rPr>
        <w:t xml:space="preserve"> et </w:t>
      </w:r>
      <w:r>
        <w:rPr>
          <w:i/>
          <w:noProof w:val="0"/>
          <w:sz w:val="24"/>
          <w:lang w:val="fr-FR"/>
        </w:rPr>
        <w:t xml:space="preserve">G. </w:t>
      </w:r>
      <w:proofErr w:type="spellStart"/>
      <w:r>
        <w:rPr>
          <w:i/>
          <w:noProof w:val="0"/>
          <w:sz w:val="24"/>
          <w:lang w:val="fr-FR"/>
        </w:rPr>
        <w:t>raimondii</w:t>
      </w:r>
      <w:proofErr w:type="spellEnd"/>
      <w:r>
        <w:rPr>
          <w:noProof w:val="0"/>
          <w:sz w:val="24"/>
          <w:lang w:val="fr-FR"/>
        </w:rPr>
        <w:t xml:space="preserve">) et le sous-génome </w:t>
      </w:r>
      <w:proofErr w:type="spellStart"/>
      <w:r>
        <w:rPr>
          <w:noProof w:val="0"/>
          <w:sz w:val="24"/>
          <w:lang w:val="fr-FR"/>
        </w:rPr>
        <w:t>D</w:t>
      </w:r>
      <w:r>
        <w:rPr>
          <w:noProof w:val="0"/>
          <w:sz w:val="24"/>
          <w:vertAlign w:val="subscript"/>
          <w:lang w:val="fr-FR"/>
        </w:rPr>
        <w:t>h</w:t>
      </w:r>
      <w:proofErr w:type="spellEnd"/>
      <w:r>
        <w:rPr>
          <w:noProof w:val="0"/>
          <w:sz w:val="24"/>
          <w:lang w:val="fr-FR"/>
        </w:rPr>
        <w:t xml:space="preserve"> de </w:t>
      </w:r>
      <w:r>
        <w:rPr>
          <w:i/>
          <w:noProof w:val="0"/>
          <w:sz w:val="24"/>
          <w:lang w:val="fr-FR"/>
        </w:rPr>
        <w:t>G. hirsutum</w:t>
      </w:r>
      <w:r>
        <w:rPr>
          <w:noProof w:val="0"/>
          <w:sz w:val="24"/>
          <w:lang w:val="fr-FR"/>
        </w:rPr>
        <w:t xml:space="preserve">, il n’est pas surprenant d’observer pour elles un plus faible nombre de marqueurs RAPD spécifiques que pour </w:t>
      </w:r>
      <w:r>
        <w:rPr>
          <w:i/>
          <w:noProof w:val="0"/>
          <w:sz w:val="24"/>
          <w:lang w:val="fr-FR"/>
        </w:rPr>
        <w:t>G. sturtianum</w:t>
      </w:r>
      <w:r>
        <w:rPr>
          <w:noProof w:val="0"/>
          <w:sz w:val="24"/>
          <w:lang w:val="fr-FR"/>
        </w:rPr>
        <w:t xml:space="preserve"> qui appartient à un génome nettement plus distant.</w:t>
      </w:r>
    </w:p>
    <w:p w:rsidR="00BE0787" w:rsidRDefault="00BE0787" w:rsidP="00BE0787">
      <w:pPr>
        <w:spacing w:line="360" w:lineRule="auto"/>
        <w:jc w:val="both"/>
        <w:rPr>
          <w:noProof w:val="0"/>
          <w:sz w:val="24"/>
          <w:lang w:val="fr-FR"/>
        </w:rPr>
      </w:pPr>
      <w:r>
        <w:rPr>
          <w:noProof w:val="0"/>
          <w:sz w:val="24"/>
          <w:lang w:val="fr-FR"/>
        </w:rPr>
        <w:t>Ces marqueurs RAPD spécifiques ont été utilisés pour évaluer l’</w:t>
      </w:r>
      <w:proofErr w:type="spellStart"/>
      <w:r>
        <w:rPr>
          <w:noProof w:val="0"/>
          <w:sz w:val="24"/>
          <w:lang w:val="fr-FR"/>
        </w:rPr>
        <w:t>introgression</w:t>
      </w:r>
      <w:proofErr w:type="spellEnd"/>
      <w:r>
        <w:rPr>
          <w:noProof w:val="0"/>
          <w:sz w:val="24"/>
          <w:lang w:val="fr-FR"/>
        </w:rPr>
        <w:t xml:space="preserve"> de segments d’ADN des espèces diploïdes sauvages chez les plantes obtenues en </w:t>
      </w:r>
      <w:proofErr w:type="spellStart"/>
      <w:r>
        <w:rPr>
          <w:noProof w:val="0"/>
          <w:sz w:val="24"/>
          <w:lang w:val="fr-FR"/>
        </w:rPr>
        <w:t>rétrocroisant</w:t>
      </w:r>
      <w:proofErr w:type="spellEnd"/>
      <w:r>
        <w:rPr>
          <w:noProof w:val="0"/>
          <w:sz w:val="24"/>
          <w:lang w:val="fr-FR"/>
        </w:rPr>
        <w:t xml:space="preserve"> les hybrides </w:t>
      </w:r>
      <w:proofErr w:type="spellStart"/>
      <w:r>
        <w:rPr>
          <w:noProof w:val="0"/>
          <w:sz w:val="24"/>
          <w:lang w:val="fr-FR"/>
        </w:rPr>
        <w:t>trispécifiques</w:t>
      </w:r>
      <w:proofErr w:type="spellEnd"/>
      <w:r>
        <w:rPr>
          <w:noProof w:val="0"/>
          <w:sz w:val="24"/>
          <w:lang w:val="fr-FR"/>
        </w:rPr>
        <w:t xml:space="preserve"> par des variétés de </w:t>
      </w:r>
      <w:r>
        <w:rPr>
          <w:i/>
          <w:noProof w:val="0"/>
          <w:sz w:val="24"/>
          <w:lang w:val="fr-FR"/>
        </w:rPr>
        <w:t>G. hirsutum</w:t>
      </w:r>
      <w:r>
        <w:rPr>
          <w:noProof w:val="0"/>
          <w:sz w:val="24"/>
          <w:lang w:val="fr-FR"/>
        </w:rPr>
        <w:t>. Tous les marqueurs RAPD spécifiques de</w:t>
      </w:r>
      <w:r>
        <w:rPr>
          <w:i/>
          <w:noProof w:val="0"/>
          <w:sz w:val="24"/>
          <w:lang w:val="fr-FR"/>
        </w:rPr>
        <w:t xml:space="preserve"> G. sturtianum</w:t>
      </w:r>
      <w:r>
        <w:rPr>
          <w:noProof w:val="0"/>
          <w:sz w:val="24"/>
          <w:lang w:val="fr-FR"/>
        </w:rPr>
        <w:t xml:space="preserve"> ont été retrouvés parmi les BC</w:t>
      </w:r>
      <w:r>
        <w:rPr>
          <w:noProof w:val="0"/>
          <w:sz w:val="24"/>
          <w:vertAlign w:val="subscript"/>
          <w:lang w:val="fr-FR"/>
        </w:rPr>
        <w:t>1</w:t>
      </w:r>
      <w:r>
        <w:rPr>
          <w:noProof w:val="0"/>
          <w:sz w:val="24"/>
          <w:lang w:val="fr-FR"/>
        </w:rPr>
        <w:t xml:space="preserve"> obtenus à partir de TSH et HRS et le nombre de marqueurs spécifiques observés par plante variait de 7 à 20 (avec une moyenne de 13). Ces marqueurs spécifiques de </w:t>
      </w:r>
      <w:r>
        <w:rPr>
          <w:i/>
          <w:noProof w:val="0"/>
          <w:sz w:val="24"/>
          <w:lang w:val="fr-FR"/>
        </w:rPr>
        <w:t>G. sturtianum</w:t>
      </w:r>
      <w:r>
        <w:rPr>
          <w:noProof w:val="0"/>
          <w:sz w:val="24"/>
          <w:lang w:val="fr-FR"/>
        </w:rPr>
        <w:t xml:space="preserve"> seront utilisés pour sélectionner, à chaque génération de rétrocroisement, les plantes </w:t>
      </w:r>
      <w:proofErr w:type="spellStart"/>
      <w:r>
        <w:rPr>
          <w:noProof w:val="0"/>
          <w:sz w:val="24"/>
          <w:lang w:val="fr-FR"/>
        </w:rPr>
        <w:t>introgressées</w:t>
      </w:r>
      <w:proofErr w:type="spellEnd"/>
      <w:r>
        <w:rPr>
          <w:noProof w:val="0"/>
          <w:sz w:val="24"/>
          <w:lang w:val="fr-FR"/>
        </w:rPr>
        <w:t xml:space="preserve"> génétiquement les plus proches du parent récurrent, c’est-à-dire celles qui présenteront le moins de marqueurs spécifiques de l’espèce sauvage donneuse du caractère, de manière à accélérer le retour vers une forme bien équilibrée.</w:t>
      </w:r>
    </w:p>
    <w:p w:rsidR="00BE0787" w:rsidRDefault="00BE0787" w:rsidP="00BE0787">
      <w:pPr>
        <w:spacing w:line="360" w:lineRule="auto"/>
        <w:jc w:val="both"/>
        <w:rPr>
          <w:noProof w:val="0"/>
          <w:sz w:val="24"/>
          <w:lang w:val="fr-FR"/>
        </w:rPr>
      </w:pPr>
    </w:p>
    <w:p w:rsidR="00BE0787" w:rsidRDefault="00BE0787" w:rsidP="00BE0787">
      <w:pPr>
        <w:spacing w:line="360" w:lineRule="auto"/>
        <w:jc w:val="both"/>
        <w:rPr>
          <w:noProof w:val="0"/>
          <w:sz w:val="24"/>
          <w:lang w:val="fr-FR"/>
        </w:rPr>
      </w:pPr>
    </w:p>
    <w:p w:rsidR="00BE0787" w:rsidRDefault="00BE0787" w:rsidP="00BE0787">
      <w:pPr>
        <w:spacing w:line="360" w:lineRule="auto"/>
        <w:jc w:val="both"/>
        <w:rPr>
          <w:noProof w:val="0"/>
          <w:sz w:val="24"/>
          <w:lang w:val="fr-FR"/>
        </w:rPr>
      </w:pPr>
    </w:p>
    <w:p w:rsidR="00BE0787" w:rsidRPr="00061E2D" w:rsidRDefault="00BE0787" w:rsidP="00BE0787">
      <w:pPr>
        <w:spacing w:line="360" w:lineRule="auto"/>
        <w:jc w:val="both"/>
        <w:rPr>
          <w:b/>
          <w:sz w:val="24"/>
        </w:rPr>
      </w:pPr>
    </w:p>
    <w:p w:rsidR="00BE0787" w:rsidRPr="00BE0787" w:rsidRDefault="00BE0787" w:rsidP="00BE0787">
      <w:pPr>
        <w:spacing w:line="360" w:lineRule="auto"/>
        <w:jc w:val="both"/>
        <w:rPr>
          <w:sz w:val="24"/>
          <w:lang w:val="en-US"/>
        </w:rPr>
      </w:pPr>
      <w:r w:rsidRPr="00BE0787">
        <w:rPr>
          <w:b/>
          <w:sz w:val="24"/>
          <w:lang w:val="en-US"/>
        </w:rPr>
        <w:lastRenderedPageBreak/>
        <w:t>Bibliographie</w:t>
      </w:r>
    </w:p>
    <w:p w:rsidR="00BE0787" w:rsidRDefault="00BE0787" w:rsidP="00BE0787">
      <w:pPr>
        <w:spacing w:line="360" w:lineRule="auto"/>
        <w:ind w:left="284" w:hanging="284"/>
        <w:jc w:val="both"/>
        <w:rPr>
          <w:noProof w:val="0"/>
          <w:sz w:val="22"/>
          <w:lang w:val="en-GB"/>
        </w:rPr>
      </w:pPr>
      <w:r>
        <w:rPr>
          <w:noProof w:val="0"/>
          <w:sz w:val="22"/>
          <w:lang w:val="en-GB"/>
        </w:rPr>
        <w:t xml:space="preserve">Altman DW (1988). </w:t>
      </w:r>
      <w:proofErr w:type="gramStart"/>
      <w:r>
        <w:rPr>
          <w:noProof w:val="0"/>
          <w:sz w:val="22"/>
          <w:lang w:val="en-GB"/>
        </w:rPr>
        <w:t xml:space="preserve">Exogenous hormone applications at pollination for in vitro and </w:t>
      </w:r>
      <w:r>
        <w:rPr>
          <w:i/>
          <w:noProof w:val="0"/>
          <w:sz w:val="22"/>
          <w:lang w:val="en-GB"/>
        </w:rPr>
        <w:t>in vivo</w:t>
      </w:r>
      <w:r>
        <w:rPr>
          <w:noProof w:val="0"/>
          <w:sz w:val="22"/>
          <w:lang w:val="en-GB"/>
        </w:rPr>
        <w:t xml:space="preserve"> production of cotton interspecific hybrids.</w:t>
      </w:r>
      <w:proofErr w:type="gramEnd"/>
      <w:r>
        <w:rPr>
          <w:noProof w:val="0"/>
          <w:sz w:val="22"/>
          <w:lang w:val="en-GB"/>
        </w:rPr>
        <w:t xml:space="preserve"> </w:t>
      </w:r>
      <w:proofErr w:type="gramStart"/>
      <w:r>
        <w:rPr>
          <w:i/>
          <w:noProof w:val="0"/>
          <w:sz w:val="22"/>
          <w:lang w:val="en-GB"/>
        </w:rPr>
        <w:t>Plant Cell Rep</w:t>
      </w:r>
      <w:r>
        <w:rPr>
          <w:noProof w:val="0"/>
          <w:sz w:val="22"/>
          <w:lang w:val="en-GB"/>
        </w:rPr>
        <w:t xml:space="preserve">. </w:t>
      </w:r>
      <w:r>
        <w:rPr>
          <w:b/>
          <w:noProof w:val="0"/>
          <w:sz w:val="22"/>
          <w:lang w:val="en-GB"/>
        </w:rPr>
        <w:t>7</w:t>
      </w:r>
      <w:r>
        <w:rPr>
          <w:noProof w:val="0"/>
          <w:sz w:val="22"/>
          <w:lang w:val="en-GB"/>
        </w:rPr>
        <w:t>,257-261.</w:t>
      </w:r>
      <w:proofErr w:type="gramEnd"/>
    </w:p>
    <w:p w:rsidR="00BE0787" w:rsidRPr="00BE0787" w:rsidRDefault="00BE0787" w:rsidP="00BE0787">
      <w:pPr>
        <w:spacing w:line="360" w:lineRule="auto"/>
        <w:ind w:left="284" w:right="-1" w:hanging="284"/>
        <w:jc w:val="both"/>
        <w:rPr>
          <w:sz w:val="22"/>
          <w:lang w:val="en-US"/>
        </w:rPr>
      </w:pPr>
      <w:r w:rsidRPr="00BE0787">
        <w:rPr>
          <w:sz w:val="22"/>
          <w:lang w:val="en-US"/>
        </w:rPr>
        <w:t xml:space="preserve">Altman DW, Stipanovic RD, Bell AA (1990). Terpenoids in foliar pigment glands of A, D, and AD genome cottons: Introgression potential for pest resistance. </w:t>
      </w:r>
      <w:r w:rsidRPr="00BE0787">
        <w:rPr>
          <w:i/>
          <w:sz w:val="22"/>
          <w:lang w:val="en-US"/>
        </w:rPr>
        <w:t>J. Hered</w:t>
      </w:r>
      <w:r w:rsidRPr="00BE0787">
        <w:rPr>
          <w:sz w:val="22"/>
          <w:lang w:val="en-US"/>
        </w:rPr>
        <w:t xml:space="preserve">. </w:t>
      </w:r>
      <w:r w:rsidRPr="00BE0787">
        <w:rPr>
          <w:b/>
          <w:sz w:val="22"/>
          <w:lang w:val="en-US"/>
        </w:rPr>
        <w:t>81</w:t>
      </w:r>
      <w:r w:rsidRPr="00BE0787">
        <w:rPr>
          <w:sz w:val="22"/>
          <w:lang w:val="en-US"/>
        </w:rPr>
        <w:t>, 447-454.</w:t>
      </w:r>
    </w:p>
    <w:p w:rsidR="00BE0787" w:rsidRDefault="00BE0787" w:rsidP="00BE0787">
      <w:pPr>
        <w:spacing w:line="360" w:lineRule="auto"/>
        <w:ind w:left="284" w:hanging="284"/>
        <w:jc w:val="both"/>
        <w:rPr>
          <w:noProof w:val="0"/>
          <w:sz w:val="22"/>
          <w:lang w:val="en-GB"/>
        </w:rPr>
      </w:pPr>
      <w:r>
        <w:rPr>
          <w:noProof w:val="0"/>
          <w:sz w:val="22"/>
          <w:lang w:val="en-GB"/>
        </w:rPr>
        <w:t xml:space="preserve">Brubaker CL, Benson CG, Miller C, Leach DN (1996). </w:t>
      </w:r>
      <w:proofErr w:type="gramStart"/>
      <w:r>
        <w:rPr>
          <w:noProof w:val="0"/>
          <w:sz w:val="22"/>
          <w:lang w:val="en-GB"/>
        </w:rPr>
        <w:t xml:space="preserve">Occurrence of </w:t>
      </w:r>
      <w:proofErr w:type="spellStart"/>
      <w:r>
        <w:rPr>
          <w:noProof w:val="0"/>
          <w:sz w:val="22"/>
          <w:lang w:val="en-GB"/>
        </w:rPr>
        <w:t>terpenoid</w:t>
      </w:r>
      <w:proofErr w:type="spellEnd"/>
      <w:r>
        <w:rPr>
          <w:noProof w:val="0"/>
          <w:sz w:val="22"/>
          <w:lang w:val="en-GB"/>
        </w:rPr>
        <w:t xml:space="preserve"> aldehydes and </w:t>
      </w:r>
      <w:proofErr w:type="spellStart"/>
      <w:r>
        <w:rPr>
          <w:noProof w:val="0"/>
          <w:sz w:val="22"/>
          <w:lang w:val="en-GB"/>
        </w:rPr>
        <w:t>lysigenous</w:t>
      </w:r>
      <w:proofErr w:type="spellEnd"/>
      <w:r>
        <w:rPr>
          <w:noProof w:val="0"/>
          <w:sz w:val="22"/>
          <w:lang w:val="en-GB"/>
        </w:rPr>
        <w:t xml:space="preserve"> cavities in the glandless seeds of Australian </w:t>
      </w:r>
      <w:r>
        <w:rPr>
          <w:i/>
          <w:noProof w:val="0"/>
          <w:sz w:val="22"/>
          <w:lang w:val="en-GB"/>
        </w:rPr>
        <w:t>Gossypium</w:t>
      </w:r>
      <w:r>
        <w:rPr>
          <w:noProof w:val="0"/>
          <w:sz w:val="22"/>
          <w:lang w:val="en-GB"/>
        </w:rPr>
        <w:t xml:space="preserve"> species.</w:t>
      </w:r>
      <w:proofErr w:type="gramEnd"/>
      <w:r>
        <w:rPr>
          <w:noProof w:val="0"/>
          <w:sz w:val="22"/>
          <w:lang w:val="en-GB"/>
        </w:rPr>
        <w:t xml:space="preserve"> </w:t>
      </w:r>
      <w:proofErr w:type="spellStart"/>
      <w:proofErr w:type="gramStart"/>
      <w:r>
        <w:rPr>
          <w:noProof w:val="0"/>
          <w:sz w:val="22"/>
          <w:lang w:val="en-GB"/>
        </w:rPr>
        <w:t>Austr</w:t>
      </w:r>
      <w:proofErr w:type="spellEnd"/>
      <w:r>
        <w:rPr>
          <w:noProof w:val="0"/>
          <w:sz w:val="22"/>
          <w:lang w:val="en-GB"/>
        </w:rPr>
        <w:t>.</w:t>
      </w:r>
      <w:proofErr w:type="gramEnd"/>
      <w:r>
        <w:rPr>
          <w:noProof w:val="0"/>
          <w:sz w:val="22"/>
          <w:lang w:val="en-GB"/>
        </w:rPr>
        <w:t xml:space="preserve"> J. Bot. </w:t>
      </w:r>
      <w:r>
        <w:rPr>
          <w:b/>
          <w:noProof w:val="0"/>
          <w:sz w:val="22"/>
          <w:lang w:val="en-GB"/>
        </w:rPr>
        <w:t>44</w:t>
      </w:r>
      <w:r>
        <w:rPr>
          <w:noProof w:val="0"/>
          <w:sz w:val="22"/>
          <w:lang w:val="en-GB"/>
        </w:rPr>
        <w:t>, 601-612.</w:t>
      </w:r>
    </w:p>
    <w:p w:rsidR="00BE0787" w:rsidRPr="00BE0787" w:rsidRDefault="00BE0787" w:rsidP="00BE0787">
      <w:pPr>
        <w:spacing w:line="360" w:lineRule="auto"/>
        <w:ind w:left="284" w:right="-1" w:hanging="284"/>
        <w:jc w:val="both"/>
        <w:rPr>
          <w:sz w:val="22"/>
          <w:lang w:val="en-US"/>
        </w:rPr>
      </w:pPr>
      <w:r w:rsidRPr="00BE0787">
        <w:rPr>
          <w:sz w:val="22"/>
          <w:lang w:val="en-US"/>
        </w:rPr>
        <w:t xml:space="preserve">Fryxell, PA (1965). A revision of the Australian species of </w:t>
      </w:r>
      <w:r w:rsidRPr="00BE0787">
        <w:rPr>
          <w:i/>
          <w:sz w:val="22"/>
          <w:lang w:val="en-US"/>
        </w:rPr>
        <w:t>Gossypium</w:t>
      </w:r>
      <w:r w:rsidRPr="00BE0787">
        <w:rPr>
          <w:sz w:val="22"/>
          <w:lang w:val="en-US"/>
        </w:rPr>
        <w:t xml:space="preserve"> with observation on the occurrence of </w:t>
      </w:r>
      <w:r w:rsidRPr="00BE0787">
        <w:rPr>
          <w:i/>
          <w:sz w:val="22"/>
          <w:lang w:val="en-US"/>
        </w:rPr>
        <w:t>Thespesia</w:t>
      </w:r>
      <w:r w:rsidRPr="00BE0787">
        <w:rPr>
          <w:sz w:val="22"/>
          <w:lang w:val="en-US"/>
        </w:rPr>
        <w:t xml:space="preserve"> in Australia. </w:t>
      </w:r>
      <w:r w:rsidRPr="00BE0787">
        <w:rPr>
          <w:i/>
          <w:sz w:val="22"/>
          <w:lang w:val="en-US"/>
        </w:rPr>
        <w:t>Austr. J. Bot</w:t>
      </w:r>
      <w:r w:rsidRPr="00BE0787">
        <w:rPr>
          <w:sz w:val="22"/>
          <w:lang w:val="en-US"/>
        </w:rPr>
        <w:t xml:space="preserve">. </w:t>
      </w:r>
      <w:r w:rsidRPr="00BE0787">
        <w:rPr>
          <w:b/>
          <w:sz w:val="22"/>
          <w:lang w:val="en-US"/>
        </w:rPr>
        <w:t>13</w:t>
      </w:r>
      <w:r w:rsidRPr="00BE0787">
        <w:rPr>
          <w:sz w:val="22"/>
          <w:lang w:val="en-US"/>
        </w:rPr>
        <w:t>, 71-102.</w:t>
      </w:r>
    </w:p>
    <w:p w:rsidR="00BE0787" w:rsidRPr="00BE0787" w:rsidRDefault="00BE0787" w:rsidP="00BE0787">
      <w:pPr>
        <w:spacing w:line="360" w:lineRule="auto"/>
        <w:ind w:left="284" w:hanging="284"/>
        <w:jc w:val="both"/>
        <w:rPr>
          <w:sz w:val="22"/>
          <w:lang w:val="en-US"/>
        </w:rPr>
      </w:pPr>
      <w:r w:rsidRPr="00BE0787">
        <w:rPr>
          <w:sz w:val="22"/>
          <w:lang w:val="en-US"/>
        </w:rPr>
        <w:t xml:space="preserve">Heun M, Helentjaris T (1993) Inheritance of RAPDs in F1 hybrids of corn. Theor Appl Genet </w:t>
      </w:r>
      <w:r w:rsidRPr="00BE0787">
        <w:rPr>
          <w:b/>
          <w:sz w:val="22"/>
          <w:lang w:val="en-US"/>
        </w:rPr>
        <w:t>85</w:t>
      </w:r>
      <w:r w:rsidRPr="00BE0787">
        <w:rPr>
          <w:sz w:val="22"/>
          <w:lang w:val="en-US"/>
        </w:rPr>
        <w:t xml:space="preserve"> : 961-968</w:t>
      </w:r>
    </w:p>
    <w:p w:rsidR="00BE0787" w:rsidRPr="00BE0787" w:rsidRDefault="00BE0787" w:rsidP="00BE0787">
      <w:pPr>
        <w:spacing w:line="360" w:lineRule="auto"/>
        <w:ind w:left="284" w:right="-1" w:hanging="284"/>
        <w:jc w:val="both"/>
        <w:rPr>
          <w:sz w:val="22"/>
          <w:lang w:val="en-US"/>
        </w:rPr>
      </w:pPr>
      <w:r w:rsidRPr="00BE0787">
        <w:rPr>
          <w:sz w:val="22"/>
          <w:lang w:val="en-US"/>
        </w:rPr>
        <w:t xml:space="preserve">Mergeai G, Vroh Bi I, Du Jardin P, Baudoin JP (1995). Introgression of glanded-plant and glandless-seed trait from </w:t>
      </w:r>
      <w:r w:rsidRPr="00BE0787">
        <w:rPr>
          <w:i/>
          <w:sz w:val="22"/>
          <w:lang w:val="en-US"/>
        </w:rPr>
        <w:t>G. sturtianum</w:t>
      </w:r>
      <w:r w:rsidRPr="00BE0787">
        <w:rPr>
          <w:sz w:val="22"/>
          <w:lang w:val="en-US"/>
        </w:rPr>
        <w:t xml:space="preserve"> Willis into tetraploid cotton plants. Proc. Beltwide cotton improvement conference. Ed. National cotton council. San Antonio, USA, 6-7 January 1995, 513-514.</w:t>
      </w:r>
    </w:p>
    <w:p w:rsidR="00BE0787" w:rsidRDefault="00BE0787" w:rsidP="00BE0787">
      <w:pPr>
        <w:spacing w:line="360" w:lineRule="auto"/>
        <w:ind w:left="284" w:hanging="284"/>
        <w:jc w:val="both"/>
        <w:rPr>
          <w:noProof w:val="0"/>
          <w:sz w:val="22"/>
          <w:lang w:val="en-GB"/>
        </w:rPr>
      </w:pPr>
      <w:proofErr w:type="spellStart"/>
      <w:r w:rsidRPr="00BE0787">
        <w:rPr>
          <w:noProof w:val="0"/>
          <w:sz w:val="22"/>
        </w:rPr>
        <w:t>Mergeai</w:t>
      </w:r>
      <w:proofErr w:type="spellEnd"/>
      <w:r w:rsidRPr="00BE0787">
        <w:rPr>
          <w:noProof w:val="0"/>
          <w:sz w:val="22"/>
        </w:rPr>
        <w:t xml:space="preserve"> G, </w:t>
      </w:r>
      <w:proofErr w:type="spellStart"/>
      <w:r w:rsidRPr="00BE0787">
        <w:rPr>
          <w:noProof w:val="0"/>
          <w:sz w:val="22"/>
        </w:rPr>
        <w:t>Vroh</w:t>
      </w:r>
      <w:proofErr w:type="spellEnd"/>
      <w:r w:rsidRPr="00BE0787">
        <w:rPr>
          <w:noProof w:val="0"/>
          <w:sz w:val="22"/>
        </w:rPr>
        <w:t xml:space="preserve"> bi I, Baudoin JP, du Jardin P. (1997). </w:t>
      </w:r>
      <w:proofErr w:type="gramStart"/>
      <w:r>
        <w:rPr>
          <w:noProof w:val="0"/>
          <w:sz w:val="22"/>
          <w:lang w:val="en-GB"/>
        </w:rPr>
        <w:t>Use of randomly amplified polymorphic DNA (RAPD) markers to assist wide hybridization in cotton.</w:t>
      </w:r>
      <w:proofErr w:type="gramEnd"/>
      <w:r>
        <w:rPr>
          <w:noProof w:val="0"/>
          <w:sz w:val="22"/>
          <w:lang w:val="en-GB"/>
        </w:rPr>
        <w:t xml:space="preserve"> </w:t>
      </w:r>
      <w:proofErr w:type="gramStart"/>
      <w:r>
        <w:rPr>
          <w:i/>
          <w:noProof w:val="0"/>
          <w:sz w:val="22"/>
          <w:lang w:val="en-GB"/>
        </w:rPr>
        <w:t xml:space="preserve">In </w:t>
      </w:r>
      <w:r>
        <w:rPr>
          <w:noProof w:val="0"/>
          <w:sz w:val="22"/>
          <w:lang w:val="en-GB"/>
        </w:rPr>
        <w:t>:</w:t>
      </w:r>
      <w:proofErr w:type="gramEnd"/>
      <w:r>
        <w:rPr>
          <w:noProof w:val="0"/>
          <w:sz w:val="22"/>
          <w:lang w:val="en-GB"/>
        </w:rPr>
        <w:t xml:space="preserve"> Cotton Biotechnology. </w:t>
      </w:r>
      <w:proofErr w:type="gramStart"/>
      <w:r>
        <w:rPr>
          <w:noProof w:val="0"/>
          <w:sz w:val="22"/>
          <w:lang w:val="en-GB"/>
        </w:rPr>
        <w:t>YPS Bajaj (Ed).</w:t>
      </w:r>
      <w:proofErr w:type="gramEnd"/>
      <w:r>
        <w:rPr>
          <w:noProof w:val="0"/>
          <w:sz w:val="22"/>
          <w:lang w:val="en-GB"/>
        </w:rPr>
        <w:t xml:space="preserve"> Springer </w:t>
      </w:r>
      <w:proofErr w:type="spellStart"/>
      <w:proofErr w:type="gramStart"/>
      <w:r>
        <w:rPr>
          <w:noProof w:val="0"/>
          <w:sz w:val="22"/>
          <w:lang w:val="en-GB"/>
        </w:rPr>
        <w:t>verlag</w:t>
      </w:r>
      <w:proofErr w:type="spellEnd"/>
      <w:proofErr w:type="gramEnd"/>
      <w:r>
        <w:rPr>
          <w:noProof w:val="0"/>
          <w:sz w:val="22"/>
          <w:lang w:val="en-GB"/>
        </w:rPr>
        <w:t xml:space="preserve"> (sous </w:t>
      </w:r>
      <w:proofErr w:type="spellStart"/>
      <w:r>
        <w:rPr>
          <w:noProof w:val="0"/>
          <w:sz w:val="22"/>
          <w:lang w:val="en-GB"/>
        </w:rPr>
        <w:t>presse</w:t>
      </w:r>
      <w:proofErr w:type="spellEnd"/>
      <w:r>
        <w:rPr>
          <w:noProof w:val="0"/>
          <w:sz w:val="22"/>
          <w:lang w:val="en-GB"/>
        </w:rPr>
        <w:t>).</w:t>
      </w:r>
    </w:p>
    <w:p w:rsidR="00BE0787" w:rsidRDefault="00BE0787" w:rsidP="00BE0787">
      <w:pPr>
        <w:spacing w:line="360" w:lineRule="auto"/>
        <w:ind w:left="284" w:hanging="284"/>
        <w:jc w:val="both"/>
        <w:rPr>
          <w:noProof w:val="0"/>
          <w:sz w:val="22"/>
          <w:lang w:val="en-GB"/>
        </w:rPr>
      </w:pPr>
      <w:proofErr w:type="gramStart"/>
      <w:r>
        <w:rPr>
          <w:noProof w:val="0"/>
          <w:sz w:val="22"/>
          <w:lang w:val="en-GB"/>
        </w:rPr>
        <w:t>Murray M, Thomson WF (1980).</w:t>
      </w:r>
      <w:proofErr w:type="gramEnd"/>
      <w:r>
        <w:rPr>
          <w:noProof w:val="0"/>
          <w:sz w:val="22"/>
          <w:lang w:val="en-GB"/>
        </w:rPr>
        <w:t xml:space="preserve"> </w:t>
      </w:r>
      <w:proofErr w:type="gramStart"/>
      <w:r>
        <w:rPr>
          <w:noProof w:val="0"/>
          <w:sz w:val="22"/>
          <w:lang w:val="en-GB"/>
        </w:rPr>
        <w:t>Rapid isolation of high molecular weight plant DNA.</w:t>
      </w:r>
      <w:proofErr w:type="gramEnd"/>
      <w:r>
        <w:rPr>
          <w:noProof w:val="0"/>
          <w:sz w:val="22"/>
          <w:lang w:val="en-GB"/>
        </w:rPr>
        <w:t xml:space="preserve"> Nucleic Acids Res</w:t>
      </w:r>
      <w:r>
        <w:rPr>
          <w:i/>
          <w:noProof w:val="0"/>
          <w:sz w:val="22"/>
          <w:lang w:val="en-GB"/>
        </w:rPr>
        <w:t>.</w:t>
      </w:r>
      <w:r>
        <w:rPr>
          <w:noProof w:val="0"/>
          <w:sz w:val="22"/>
          <w:lang w:val="en-GB"/>
        </w:rPr>
        <w:t xml:space="preserve"> </w:t>
      </w:r>
      <w:proofErr w:type="gramStart"/>
      <w:r>
        <w:rPr>
          <w:b/>
          <w:noProof w:val="0"/>
          <w:sz w:val="22"/>
          <w:lang w:val="en-GB"/>
        </w:rPr>
        <w:t>8</w:t>
      </w:r>
      <w:r>
        <w:rPr>
          <w:noProof w:val="0"/>
          <w:sz w:val="22"/>
          <w:lang w:val="en-GB"/>
        </w:rPr>
        <w:t xml:space="preserve"> :</w:t>
      </w:r>
      <w:proofErr w:type="gramEnd"/>
      <w:r>
        <w:rPr>
          <w:noProof w:val="0"/>
          <w:sz w:val="22"/>
          <w:lang w:val="en-GB"/>
        </w:rPr>
        <w:t xml:space="preserve"> 4321-4325.</w:t>
      </w:r>
    </w:p>
    <w:p w:rsidR="00BE0787" w:rsidRPr="00BE0787" w:rsidRDefault="00BE0787" w:rsidP="00BE0787">
      <w:pPr>
        <w:spacing w:line="360" w:lineRule="auto"/>
        <w:ind w:left="284" w:right="-1" w:hanging="284"/>
        <w:jc w:val="both"/>
        <w:rPr>
          <w:sz w:val="22"/>
          <w:lang w:val="en-US"/>
        </w:rPr>
      </w:pPr>
      <w:r w:rsidRPr="00BE0787">
        <w:rPr>
          <w:sz w:val="22"/>
          <w:lang w:val="en-US"/>
        </w:rPr>
        <w:t xml:space="preserve">Shuijin Z., Biling L (1993). Studies of the «glandless seeds-glanded plant» trait from </w:t>
      </w:r>
      <w:r w:rsidRPr="00BE0787">
        <w:rPr>
          <w:i/>
          <w:sz w:val="22"/>
          <w:lang w:val="en-US"/>
        </w:rPr>
        <w:t>Gossypium bickii</w:t>
      </w:r>
      <w:r w:rsidRPr="00BE0787">
        <w:rPr>
          <w:sz w:val="22"/>
          <w:lang w:val="en-US"/>
        </w:rPr>
        <w:t xml:space="preserve"> into cultivated upland cotton (</w:t>
      </w:r>
      <w:r w:rsidRPr="00BE0787">
        <w:rPr>
          <w:i/>
          <w:sz w:val="22"/>
          <w:lang w:val="en-US"/>
        </w:rPr>
        <w:t>G. hirsutum). Coton Fibres Trop</w:t>
      </w:r>
      <w:r w:rsidRPr="00BE0787">
        <w:rPr>
          <w:sz w:val="22"/>
          <w:lang w:val="en-US"/>
        </w:rPr>
        <w:t xml:space="preserve">. </w:t>
      </w:r>
      <w:r w:rsidRPr="00BE0787">
        <w:rPr>
          <w:b/>
          <w:sz w:val="22"/>
          <w:lang w:val="en-US"/>
        </w:rPr>
        <w:t>48</w:t>
      </w:r>
      <w:r w:rsidRPr="00BE0787">
        <w:rPr>
          <w:sz w:val="22"/>
          <w:lang w:val="en-US"/>
        </w:rPr>
        <w:t>, 195-199.</w:t>
      </w:r>
    </w:p>
    <w:p w:rsidR="00BE0787" w:rsidRDefault="00BE0787" w:rsidP="00BE0787">
      <w:pPr>
        <w:spacing w:line="360" w:lineRule="auto"/>
        <w:ind w:left="284" w:right="-1" w:hanging="284"/>
        <w:jc w:val="both"/>
        <w:rPr>
          <w:sz w:val="22"/>
        </w:rPr>
      </w:pPr>
      <w:r w:rsidRPr="00BE0787">
        <w:rPr>
          <w:sz w:val="22"/>
          <w:lang w:val="en-US"/>
        </w:rPr>
        <w:t>Stewart JMcD, Hsu CL (1977). In-ovulo embryo culture and seedling development of cotton (</w:t>
      </w:r>
      <w:r w:rsidRPr="00BE0787">
        <w:rPr>
          <w:i/>
          <w:sz w:val="22"/>
          <w:lang w:val="en-US"/>
        </w:rPr>
        <w:t>Gossypium hirsutum</w:t>
      </w:r>
      <w:r w:rsidRPr="00BE0787">
        <w:rPr>
          <w:sz w:val="22"/>
          <w:lang w:val="en-US"/>
        </w:rPr>
        <w:t xml:space="preserve"> L.). </w:t>
      </w:r>
      <w:r>
        <w:rPr>
          <w:i/>
          <w:sz w:val="22"/>
        </w:rPr>
        <w:t>Planta</w:t>
      </w:r>
      <w:r>
        <w:rPr>
          <w:sz w:val="22"/>
        </w:rPr>
        <w:t xml:space="preserve"> </w:t>
      </w:r>
      <w:r>
        <w:rPr>
          <w:b/>
          <w:sz w:val="22"/>
        </w:rPr>
        <w:t>137</w:t>
      </w:r>
      <w:r>
        <w:rPr>
          <w:sz w:val="22"/>
        </w:rPr>
        <w:t>: 113-117.</w:t>
      </w:r>
    </w:p>
    <w:p w:rsidR="00BE0787" w:rsidRDefault="00BE0787" w:rsidP="00BE0787">
      <w:pPr>
        <w:spacing w:line="360" w:lineRule="auto"/>
        <w:ind w:left="284" w:right="-1" w:hanging="284"/>
        <w:jc w:val="both"/>
        <w:rPr>
          <w:sz w:val="22"/>
        </w:rPr>
      </w:pPr>
      <w:r>
        <w:rPr>
          <w:sz w:val="22"/>
        </w:rPr>
        <w:t xml:space="preserve">Vroh bi Irié, Harvengt L., Chandelier A., Mergeai G., du Jardin P. (1996). </w:t>
      </w:r>
      <w:r w:rsidRPr="00BE0787">
        <w:rPr>
          <w:sz w:val="22"/>
          <w:lang w:val="en-US"/>
        </w:rPr>
        <w:t xml:space="preserve">Improved RAPD amplification of recalcitrant plant DNA by the use of activated charcoal during DNA extraction. </w:t>
      </w:r>
      <w:r>
        <w:rPr>
          <w:i/>
          <w:sz w:val="22"/>
        </w:rPr>
        <w:t>Plant Breeding</w:t>
      </w:r>
      <w:r>
        <w:rPr>
          <w:sz w:val="22"/>
        </w:rPr>
        <w:t xml:space="preserve"> </w:t>
      </w:r>
      <w:r>
        <w:rPr>
          <w:b/>
          <w:sz w:val="22"/>
        </w:rPr>
        <w:t>115</w:t>
      </w:r>
      <w:r>
        <w:rPr>
          <w:sz w:val="22"/>
        </w:rPr>
        <w:t>, 205 - 206.</w:t>
      </w:r>
    </w:p>
    <w:p w:rsidR="00BE0787" w:rsidRDefault="00BE0787" w:rsidP="00BE0787">
      <w:pPr>
        <w:spacing w:line="360" w:lineRule="auto"/>
        <w:ind w:left="284" w:right="-1" w:hanging="284"/>
        <w:jc w:val="both"/>
        <w:rPr>
          <w:sz w:val="22"/>
        </w:rPr>
      </w:pPr>
      <w:r>
        <w:rPr>
          <w:sz w:val="22"/>
        </w:rPr>
        <w:t>Vroh bi Irié, du Jardin P., Mergeai G., Baudoin J.-P. (1997). Optimisation et application de la RAPD (Random Amplified Polymorphic DNA) dans un programme de sélection récurrente chez le cotonnier (</w:t>
      </w:r>
      <w:r>
        <w:rPr>
          <w:i/>
          <w:sz w:val="22"/>
        </w:rPr>
        <w:t>Gossypium</w:t>
      </w:r>
      <w:r>
        <w:rPr>
          <w:sz w:val="22"/>
        </w:rPr>
        <w:t xml:space="preserve"> spp.). Biotechnol. Agron. Soc. Environ. </w:t>
      </w:r>
      <w:r>
        <w:rPr>
          <w:b/>
          <w:sz w:val="22"/>
        </w:rPr>
        <w:t>1</w:t>
      </w:r>
      <w:r>
        <w:rPr>
          <w:sz w:val="22"/>
        </w:rPr>
        <w:t>, 142-150.</w:t>
      </w:r>
    </w:p>
    <w:p w:rsidR="00BE0787" w:rsidRDefault="00BE0787" w:rsidP="00BE0787">
      <w:pPr>
        <w:spacing w:line="360" w:lineRule="auto"/>
        <w:ind w:left="284" w:right="-1" w:hanging="284"/>
        <w:jc w:val="both"/>
        <w:rPr>
          <w:sz w:val="22"/>
        </w:rPr>
      </w:pPr>
    </w:p>
    <w:p w:rsidR="00BE0787" w:rsidRDefault="00BE0787" w:rsidP="00BE0787">
      <w:pPr>
        <w:spacing w:line="360" w:lineRule="auto"/>
        <w:jc w:val="both"/>
        <w:rPr>
          <w:sz w:val="22"/>
        </w:rPr>
      </w:pPr>
      <w:r>
        <w:rPr>
          <w:b/>
          <w:sz w:val="22"/>
        </w:rPr>
        <w:t>Remerciements</w:t>
      </w:r>
    </w:p>
    <w:p w:rsidR="00BE0787" w:rsidRDefault="00BE0787" w:rsidP="00BE0787">
      <w:pPr>
        <w:spacing w:line="360" w:lineRule="auto"/>
        <w:jc w:val="both"/>
        <w:rPr>
          <w:sz w:val="22"/>
        </w:rPr>
      </w:pPr>
      <w:r>
        <w:rPr>
          <w:sz w:val="22"/>
        </w:rPr>
        <w:t>Ce travail a été financé par la convention 2.4565.95 du « Fonds de la recherche fondamentale collective » de Belgique.</w:t>
      </w:r>
    </w:p>
    <w:p w:rsidR="002C68AF" w:rsidRDefault="002C68AF"/>
    <w:sectPr w:rsidR="002C68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787"/>
    <w:rsid w:val="00061E2D"/>
    <w:rsid w:val="002C68AF"/>
    <w:rsid w:val="00BE078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787"/>
    <w:pPr>
      <w:overflowPunct w:val="0"/>
      <w:autoSpaceDE w:val="0"/>
      <w:autoSpaceDN w:val="0"/>
      <w:adjustRightInd w:val="0"/>
      <w:spacing w:after="0" w:line="240" w:lineRule="auto"/>
    </w:pPr>
    <w:rPr>
      <w:rFonts w:ascii="Times New Roman" w:eastAsia="Times New Roman" w:hAnsi="Times New Roman" w:cs="Times New Roman"/>
      <w:noProof/>
      <w:sz w:val="20"/>
      <w:szCs w:val="20"/>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787"/>
    <w:pPr>
      <w:overflowPunct w:val="0"/>
      <w:autoSpaceDE w:val="0"/>
      <w:autoSpaceDN w:val="0"/>
      <w:adjustRightInd w:val="0"/>
      <w:spacing w:after="0" w:line="240" w:lineRule="auto"/>
    </w:pPr>
    <w:rPr>
      <w:rFonts w:ascii="Times New Roman" w:eastAsia="Times New Roman" w:hAnsi="Times New Roman" w:cs="Times New Roman"/>
      <w:noProof/>
      <w:sz w:val="20"/>
      <w:szCs w:val="20"/>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21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2226</Words>
  <Characters>12246</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2013-07-17T07:17:00Z</dcterms:created>
  <dcterms:modified xsi:type="dcterms:W3CDTF">2013-07-17T07:21:00Z</dcterms:modified>
</cp:coreProperties>
</file>