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82DC9" w14:textId="77777777" w:rsidR="007F423C" w:rsidRDefault="00104EB7" w:rsidP="00104EB7">
      <w:pPr>
        <w:rPr>
          <w:b/>
          <w:sz w:val="32"/>
        </w:rPr>
      </w:pPr>
      <w:bookmarkStart w:id="0" w:name="_GoBack"/>
      <w:bookmarkEnd w:id="0"/>
      <w:r w:rsidRPr="002C684B">
        <w:rPr>
          <w:b/>
          <w:sz w:val="32"/>
        </w:rPr>
        <w:t>Non industrial seeds : practices of "cultivated biodiversity" call into question the "fixism" of the agricultural model</w:t>
      </w:r>
    </w:p>
    <w:p w14:paraId="613147BE" w14:textId="77777777" w:rsidR="00104EB7" w:rsidRPr="00104EB7" w:rsidRDefault="00104EB7" w:rsidP="00104EB7">
      <w:pPr>
        <w:rPr>
          <w:b/>
          <w:sz w:val="32"/>
        </w:rPr>
      </w:pPr>
    </w:p>
    <w:p w14:paraId="3A9A280E" w14:textId="77777777" w:rsidR="007F423C" w:rsidRPr="00BF3817" w:rsidRDefault="00104EB7" w:rsidP="00104EB7">
      <w:pPr>
        <w:pStyle w:val="Authors"/>
        <w:rPr>
          <w:sz w:val="20"/>
          <w:lang w:val="en-GB"/>
        </w:rPr>
      </w:pPr>
      <w:r w:rsidRPr="00104EB7">
        <w:rPr>
          <w:sz w:val="20"/>
          <w:lang w:val="en-GB"/>
        </w:rPr>
        <w:t>Corentin Hecquet</w:t>
      </w:r>
      <w:r w:rsidR="000A201C" w:rsidRPr="00BF3817">
        <w:rPr>
          <w:sz w:val="20"/>
          <w:vertAlign w:val="superscript"/>
          <w:lang w:val="en-GB"/>
        </w:rPr>
        <w:t>1</w:t>
      </w:r>
    </w:p>
    <w:p w14:paraId="46FF675E" w14:textId="77777777" w:rsidR="007F423C" w:rsidRPr="00BF3817" w:rsidRDefault="007F423C">
      <w:pPr>
        <w:pStyle w:val="Authors"/>
        <w:jc w:val="left"/>
        <w:rPr>
          <w:lang w:val="en-GB"/>
        </w:rPr>
      </w:pPr>
    </w:p>
    <w:p w14:paraId="4F2D6986" w14:textId="77777777" w:rsidR="007F423C" w:rsidRPr="00BF3817" w:rsidRDefault="007F423C">
      <w:pPr>
        <w:pStyle w:val="Authors"/>
        <w:jc w:val="left"/>
        <w:rPr>
          <w:lang w:val="en-GB"/>
        </w:rPr>
        <w:sectPr w:rsidR="007F423C" w:rsidRPr="00BF3817">
          <w:headerReference w:type="default" r:id="rId7"/>
          <w:footerReference w:type="even" r:id="rId8"/>
          <w:footerReference w:type="default" r:id="rId9"/>
          <w:pgSz w:w="11907" w:h="16840" w:code="9"/>
          <w:pgMar w:top="1701" w:right="1134" w:bottom="1418" w:left="1474" w:header="709" w:footer="709" w:gutter="0"/>
          <w:cols w:space="720"/>
        </w:sectPr>
      </w:pPr>
    </w:p>
    <w:p w14:paraId="1C36147F" w14:textId="77777777" w:rsidR="007F423C" w:rsidRPr="00BF3817" w:rsidRDefault="00104EB7" w:rsidP="00104EB7">
      <w:pPr>
        <w:pStyle w:val="abstract"/>
      </w:pPr>
      <w:r>
        <w:lastRenderedPageBreak/>
        <w:t>The aim of this paper is to summarize the current state of knowledge about non-industrial seed produ</w:t>
      </w:r>
      <w:r>
        <w:t>c</w:t>
      </w:r>
      <w:r>
        <w:t>tion in order to refine my research question. The idea is to understand how and on what foundations equivalences between seeds and are established and to compare this with the same processes for industr</w:t>
      </w:r>
      <w:r>
        <w:t>i</w:t>
      </w:r>
      <w:r>
        <w:t>ally produced seeds. I shall end by presenting some empirical cases that will enable me to cover my que</w:t>
      </w:r>
      <w:r>
        <w:t>s</w:t>
      </w:r>
      <w:r>
        <w:t>tion.</w:t>
      </w:r>
    </w:p>
    <w:p w14:paraId="61BD054E" w14:textId="77777777" w:rsidR="00104EB7" w:rsidRDefault="00104EB7">
      <w:pPr>
        <w:pStyle w:val="berschrift11"/>
      </w:pPr>
      <w:r>
        <w:t xml:space="preserve">Statement of the problem </w:t>
      </w:r>
    </w:p>
    <w:p w14:paraId="2B8171E1" w14:textId="77777777" w:rsidR="00104EB7" w:rsidRPr="00104EB7" w:rsidRDefault="00104EB7" w:rsidP="00CB16D2">
      <w:pPr>
        <w:pStyle w:val="Normaltext"/>
      </w:pPr>
      <w:r w:rsidRPr="00104EB7">
        <w:t>Agriculture has been guided by productivist princ</w:t>
      </w:r>
      <w:r w:rsidRPr="00104EB7">
        <w:t>i</w:t>
      </w:r>
      <w:r w:rsidRPr="00104EB7">
        <w:t xml:space="preserve">ples since the aftermath of World War II </w:t>
      </w:r>
      <w:r w:rsidRPr="00104EB7">
        <w:fldChar w:fldCharType="begin"/>
      </w:r>
      <w:r w:rsidRPr="00104EB7">
        <w:instrText xml:space="preserve"> ADDIN EN.CITE &lt;EndNote&gt;&lt;Cite&gt;&lt;Author&gt;Bonneuil C.&lt;/Author&gt;&lt;Year&gt;2006&lt;/Year&gt;&lt;RecNum&gt;12&lt;/RecNum&gt;&lt;DisplayText&gt;(Bonneuil C. , Demeulenaere E. et al. 2006)&lt;/DisplayText&gt;&lt;record&gt;&lt;rec-number&gt;12&lt;/rec-number&gt;&lt;foreign-keys&gt;&lt;key app="EN" db-id="raapzf9emxztwje2zen5dreudr00v0vtzfe5"&gt;12&lt;/key&gt;&lt;/foreign-keys&gt;&lt;ref-type name="Journal Article"&gt;17&lt;/ref-type&gt;&lt;contributors&gt;&lt;authors&gt;&lt;author&gt;Bonneuil C. ,&lt;/author&gt;&lt;author&gt;Demeulenaere E.,&lt;/author&gt;&lt;author&gt;Thomas F.,&lt;/author&gt;&lt;author&gt; Joly P.-B.,&lt;/author&gt;&lt;author&gt;Allaire G.,&lt;/author&gt;&lt;author&gt;Goldringer I. &lt;/author&gt;&lt;/authors&gt;&lt;/contributors&gt;&lt;titles&gt;&lt;title&gt;Innover autrement? La recherche face à l&amp;apos;avènement d&amp;apos;un nouveau régime de production et de régulation des savoirs en génétique végétale&lt;/title&gt;&lt;secondary-title&gt;Dossier de l&amp;apos;environnement de l&amp;apos;INRA&lt;/secondary-title&gt;&lt;/titles&gt;&lt;periodical&gt;&lt;full-title&gt;Dossier de l&amp;apos;environnement de l&amp;apos;INRA&lt;/full-title&gt;&lt;/periodical&gt;&lt;pages&gt;29-51&lt;/pages&gt;&lt;volume&gt;N°30&lt;/volume&gt;&lt;dates&gt;&lt;year&gt;2006&lt;/year&gt;&lt;/dates&gt;&lt;urls&gt;&lt;/urls&gt;&lt;language&gt;Français&lt;/language&gt;&lt;/record&gt;&lt;/Cite&gt;&lt;/EndNote&gt;</w:instrText>
      </w:r>
      <w:r w:rsidRPr="00104EB7">
        <w:fldChar w:fldCharType="separate"/>
      </w:r>
      <w:r w:rsidRPr="00104EB7">
        <w:t>(</w:t>
      </w:r>
      <w:hyperlink w:anchor="_ENREF_3" w:tooltip="Bonneuil C. , 2006 #12" w:history="1">
        <w:r w:rsidRPr="00104EB7">
          <w:t>Bonneuil C. , Demeulenaere E. et al. 2006</w:t>
        </w:r>
      </w:hyperlink>
      <w:r w:rsidRPr="00104EB7">
        <w:t>)</w:t>
      </w:r>
      <w:r w:rsidRPr="00104EB7">
        <w:fldChar w:fldCharType="end"/>
      </w:r>
      <w:r w:rsidRPr="00104EB7">
        <w:t>. In this system, seeds are considered to be set scientific objects that have been standardized by three criteria, namely, Distinction, Uniformity, and Stability (“DUS”). This is seconded by a legal framework that allows the movement only of the seed varieties that are regi</w:t>
      </w:r>
      <w:r w:rsidRPr="00104EB7">
        <w:t>s</w:t>
      </w:r>
      <w:r w:rsidRPr="00104EB7">
        <w:t>tered in the catalogue. Internationally, the conve</w:t>
      </w:r>
      <w:r w:rsidRPr="00104EB7">
        <w:t>n</w:t>
      </w:r>
      <w:r w:rsidRPr="00104EB7">
        <w:t>tion of the International Union for the Protection of Varieties of Plants (UPOV) organizes seed develo</w:t>
      </w:r>
      <w:r w:rsidRPr="00104EB7">
        <w:t>p</w:t>
      </w:r>
      <w:r w:rsidRPr="00104EB7">
        <w:t xml:space="preserve">ers’ rights </w:t>
      </w:r>
      <w:r w:rsidRPr="00104EB7">
        <w:fldChar w:fldCharType="begin"/>
      </w:r>
      <w:r w:rsidRPr="00104EB7">
        <w:instrText xml:space="preserve"> ADDIN EN.CITE &lt;EndNote&gt;&lt;Cite&gt;&lt;Author&gt;Boy&lt;/Author&gt;&lt;Year&gt;2008&lt;/Year&gt;&lt;RecNum&gt;21&lt;/RecNum&gt;&lt;DisplayText&gt;(Boy 2008)&lt;/DisplayText&gt;&lt;record&gt;&lt;rec-number&gt;21&lt;/rec-number&gt;&lt;foreign-keys&gt;&lt;key app="EN" db-id="raapzf9emxztwje2zen5dreudr00v0vtzfe5"&gt;21&lt;/key&gt;&lt;/foreign-keys&gt;&lt;ref-type name="Journal Article"&gt;17&lt;/ref-type&gt;&lt;contributors&gt;&lt;authors&gt;&lt;author&gt;Laurence Boy &lt;/author&gt;&lt;/authors&gt;&lt;/contributors&gt;&lt;titles&gt;&lt;title&gt;L&amp;apos;évolution de la réglementation internationale : vers une remise en cause des semences paysannes ou du privilège de l&amp;apos;agriculteur&lt;/title&gt;&lt;secondary-title&gt;Revue internationale de droit économique&lt;/secondary-title&gt;&lt;/titles&gt;&lt;periodical&gt;&lt;full-title&gt;Revue internationale de Droit Economique&lt;/full-title&gt;&lt;/periodical&gt;&lt;pages&gt;293 - 313&lt;/pages&gt;&lt;volume&gt;t.XXIII, 3&lt;/volume&gt;&lt;dates&gt;&lt;year&gt;2008&lt;/year&gt;&lt;pub-dates&gt;&lt;date&gt;2008/3&lt;/date&gt;&lt;/pub-dates&gt;&lt;/dates&gt;&lt;isbn&gt;1010-8831&lt;/isbn&gt;&lt;urls&gt;&lt;/urls&gt;&lt;/record&gt;&lt;/Cite&gt;&lt;/EndNote&gt;</w:instrText>
      </w:r>
      <w:r w:rsidRPr="00104EB7">
        <w:fldChar w:fldCharType="separate"/>
      </w:r>
      <w:r w:rsidRPr="00104EB7">
        <w:t>(</w:t>
      </w:r>
      <w:hyperlink w:anchor="_ENREF_4" w:tooltip="Boy, 2008 #21" w:history="1">
        <w:r w:rsidRPr="00104EB7">
          <w:t>Boy 2008</w:t>
        </w:r>
      </w:hyperlink>
      <w:r w:rsidRPr="00104EB7">
        <w:t>)</w:t>
      </w:r>
      <w:r w:rsidRPr="00104EB7">
        <w:fldChar w:fldCharType="end"/>
      </w:r>
      <w:r w:rsidRPr="00104EB7">
        <w:t>. So, the basis of the food system, namely, seeds, is enrolled in a system that is straitjacketed by scientific, legal, and trade prov</w:t>
      </w:r>
      <w:r w:rsidRPr="00104EB7">
        <w:t>i</w:t>
      </w:r>
      <w:r w:rsidRPr="00104EB7">
        <w:t>sions.</w:t>
      </w:r>
    </w:p>
    <w:p w14:paraId="6B9FB113" w14:textId="3D678ECB" w:rsidR="00104EB7" w:rsidRDefault="00104EB7" w:rsidP="00104EB7">
      <w:pPr>
        <w:pStyle w:val="Normaltext"/>
      </w:pPr>
      <w:r>
        <w:t>This model is being reconsidered by two conflicting dynamics. In one corner we find those who demand market liberalization and a demand-driven economy. This trend is incarnated today by the introduction of a non-DUS category in European legislation in order to institute mutagenesis</w:t>
      </w:r>
      <w:r w:rsidRPr="00B23BB2">
        <w:t xml:space="preserve"> </w:t>
      </w:r>
      <w:r>
        <w:fldChar w:fldCharType="begin"/>
      </w:r>
      <w:r>
        <w:instrText xml:space="preserve"> ADDIN EN.CITE &lt;EndNote&gt;&lt;Cite&gt;&lt;Author&gt;Commission Européenne&lt;/Author&gt;&lt;Year&gt;2013&lt;/Year&gt;&lt;RecNum&gt;122&lt;/RecNum&gt;&lt;DisplayText&gt;(Commission Européenne 2013)&lt;/DisplayText&gt;&lt;record&gt;&lt;rec-number&gt;122&lt;/rec-number&gt;&lt;foreign-keys&gt;&lt;key app="EN" db-id="raapzf9emxztwje2zen5dreudr00v0vtzfe5"&gt;122&lt;/key&gt;&lt;/foreign-keys&gt;&lt;ref-type name="Journal Article"&gt;17&lt;/ref-type&gt;&lt;contributors&gt;&lt;authors&gt;&lt;author&gt;Commission Européenne,&lt;/author&gt;&lt;/authors&gt;&lt;/contributors&gt;&lt;titles&gt;&lt;title&gt;Proposition de RÈGLEMENT DU PARLEMENT EUROPÉEN ET DU CONSEIL&amp;#xD;relatif à la production et à la mise à disposition sur le marché de matériel de reproduction des végétaux (règlement sur le matériel de reproduction des végétaux)&lt;/title&gt;&lt;/titles&gt;&lt;pages&gt;157&lt;/pages&gt;&lt;volume&gt;2013/0137 (COD)&lt;/volume&gt;&lt;dates&gt;&lt;year&gt;2013&lt;/year&gt;&lt;pub-dates&gt;&lt;date&gt;6 mai 2012&lt;/date&gt;&lt;/pub-dates&gt;&lt;/dates&gt;&lt;work-type&gt;Texte de présentant de l&amp;apos;intérêt pour l&amp;apos;EEE&lt;/work-type&gt;&lt;urls&gt;&lt;/urls&gt;&lt;/record&gt;&lt;/Cite&gt;&lt;/EndNote&gt;</w:instrText>
      </w:r>
      <w:r>
        <w:fldChar w:fldCharType="separate"/>
      </w:r>
      <w:r>
        <w:t>(</w:t>
      </w:r>
      <w:hyperlink w:anchor="_ENREF_9" w:tooltip="Commission Européenne, 2013 #122" w:history="1">
        <w:r>
          <w:t>Commission Européenne 2013</w:t>
        </w:r>
      </w:hyperlink>
      <w:r>
        <w:t>)</w:t>
      </w:r>
      <w:r>
        <w:fldChar w:fldCharType="end"/>
      </w:r>
      <w:r>
        <w:t>. In the opposite corner are those who are calling for requalification of quality, local areas, and the environment, which challenges the various pa</w:t>
      </w:r>
      <w:r>
        <w:t>d</w:t>
      </w:r>
      <w:r>
        <w:t>locks in the seed system. At stake are the re-appropriation of knowledge and the management of plant materials. The interaction between the gen</w:t>
      </w:r>
      <w:r>
        <w:t>o</w:t>
      </w:r>
      <w:r>
        <w:t xml:space="preserve">type (G) and environment (E), </w:t>
      </w:r>
      <w:r w:rsidRPr="00104EB7">
        <w:t>i.e.</w:t>
      </w:r>
      <w:r>
        <w:t xml:space="preserve">, G x E, along with each of its components, is being re-examined </w:t>
      </w:r>
      <w:r>
        <w:fldChar w:fldCharType="begin"/>
      </w:r>
      <w:r>
        <w:instrText xml:space="preserve"> ADDIN EN.CITE &lt;EndNote&gt;&lt;Cite&gt;&lt;Author&gt;Desclaux&lt;/Author&gt;&lt;Year&gt;2008&lt;/Year&gt;&lt;RecNum&gt;86&lt;/RecNum&gt;&lt;DisplayText&gt;(Desclaux, Nolot et al. 2008)&lt;/DisplayText&gt;&lt;record&gt;&lt;rec-number&gt;86&lt;/rec-number&gt;&lt;foreign-keys&gt;&lt;key app="EN" db-id="raapzf9emxztwje2zen5dreudr00v0vtzfe5"&gt;86&lt;/key&gt;&lt;/foreign-keys&gt;&lt;ref-type name="Journal Article"&gt;17&lt;/ref-type&gt;&lt;contributors&gt;&lt;authors&gt;&lt;author&gt;D. Desclaux  &lt;/author&gt;&lt;author&gt;J.-M. Nolot&lt;/author&gt;&lt;author&gt;Y. Chiffoleau&lt;/author&gt;&lt;author&gt; E. Gozé&lt;/author&gt;&lt;author&gt; C. Leclerc&lt;/author&gt;&lt;/authors&gt;&lt;/contributors&gt;&lt;titles&gt;&lt;title&gt;Changes in the concept of genetype X environnment interactions to fit agriculture diversification and decentralized participatory plant breeding : pluridisciplinary point of view&lt;/title&gt;&lt;secondary-title&gt;Euphytica&amp;#xD;163&lt;/secondary-title&gt;&lt;/titles&gt;&lt;pages&gt;533-546&lt;/pages&gt;&lt;section&gt;533&lt;/section&gt;&lt;dates&gt;&lt;year&gt;2008&lt;/year&gt;&lt;pub-dates&gt;&lt;date&gt;9 july 2008&lt;/date&gt;&lt;/pub-dates&gt;&lt;/dates&gt;&lt;urls&gt;&lt;/urls&gt;&lt;electronic-resource-num&gt;10.1007/s10681-008-9717-2&lt;/electronic-resource-num&gt;&lt;language&gt;English&amp;#xD;&lt;/language&gt;&lt;/record&gt;&lt;/Cite&gt;&lt;/EndNote&gt;</w:instrText>
      </w:r>
      <w:r>
        <w:fldChar w:fldCharType="separate"/>
      </w:r>
      <w:r>
        <w:t>(</w:t>
      </w:r>
      <w:hyperlink w:anchor="_ENREF_13" w:tooltip="Desclaux, 2008 #86" w:history="1">
        <w:r>
          <w:t>Desclaux, Nolot et al. 2008</w:t>
        </w:r>
      </w:hyperlink>
      <w:r>
        <w:t>)</w:t>
      </w:r>
      <w:r>
        <w:fldChar w:fldCharType="end"/>
      </w:r>
      <w:r>
        <w:t xml:space="preserve">. The process consists of going from </w:t>
      </w:r>
      <w:r w:rsidRPr="003A3871">
        <w:rPr>
          <w:i/>
        </w:rPr>
        <w:t>varietal fixism</w:t>
      </w:r>
      <w:r>
        <w:t xml:space="preserve"> to </w:t>
      </w:r>
      <w:r w:rsidRPr="003A3871">
        <w:rPr>
          <w:i/>
        </w:rPr>
        <w:t>cultivated biodivers</w:t>
      </w:r>
      <w:r w:rsidRPr="003A3871">
        <w:rPr>
          <w:i/>
        </w:rPr>
        <w:t>i</w:t>
      </w:r>
      <w:r w:rsidRPr="003A3871">
        <w:rPr>
          <w:i/>
        </w:rPr>
        <w:t>ty</w:t>
      </w:r>
      <w:r>
        <w:t xml:space="preserve"> in order to stem the erosion of biodiversity and the farmer’s independence.</w:t>
      </w:r>
    </w:p>
    <w:p w14:paraId="14A83D73" w14:textId="77777777" w:rsidR="003A3871" w:rsidRPr="00BF3817" w:rsidRDefault="003A3871" w:rsidP="00104EB7">
      <w:pPr>
        <w:pStyle w:val="Normaltext"/>
      </w:pPr>
    </w:p>
    <w:p w14:paraId="685918EA" w14:textId="77777777" w:rsidR="00104EB7" w:rsidRPr="00BF3817" w:rsidRDefault="00104EB7" w:rsidP="00104EB7">
      <w:pPr>
        <w:pStyle w:val="berschrift11"/>
      </w:pPr>
      <w:r>
        <w:t>2. Cultivated biodiversity practices</w:t>
      </w:r>
      <w:r w:rsidRPr="00BF3817">
        <w:t xml:space="preserve"> </w:t>
      </w:r>
    </w:p>
    <w:p w14:paraId="3D1DC251" w14:textId="77777777" w:rsidR="00104EB7" w:rsidRPr="00104EB7" w:rsidRDefault="00104EB7" w:rsidP="00CB16D2">
      <w:pPr>
        <w:pStyle w:val="Normaltext"/>
      </w:pPr>
      <w:r w:rsidRPr="00104EB7">
        <w:t xml:space="preserve">In Europe, plant improvement is achieved basically through participatory plant breeding. This practice comes from organic agriculture </w:t>
      </w:r>
      <w:r w:rsidRPr="00104EB7">
        <w:fldChar w:fldCharType="begin"/>
      </w:r>
      <w:r w:rsidRPr="00104EB7">
        <w:instrText xml:space="preserve"> ADDIN EN.CITE &lt;EndNote&gt;&lt;Cite&gt;&lt;Author&gt;Demeulenaere&lt;/Author&gt;&lt;Year&gt;2011/2&lt;/Year&gt;&lt;RecNum&gt;89&lt;/RecNum&gt;&lt;DisplayText&gt;(Demeulenaere and Bonneuil 2011/2)&lt;/DisplayText&gt;&lt;record&gt;&lt;rec-number&gt;89&lt;/rec-number&gt;&lt;foreign-keys&gt;&lt;key app="EN" db-id="raapzf9emxztwje2zen5dreudr00v0vtzfe5"&gt;89&lt;/key&gt;&lt;/foreign-keys&gt;&lt;ref-type name="Journal Article"&gt;17&lt;/ref-type&gt;&lt;contributors&gt;&lt;authors&gt;&lt;author&gt;Demeulenaere, E.&lt;/author&gt;&lt;author&gt;Bonneuil, C.&lt;/author&gt;&lt;/authors&gt;&lt;/contributors&gt;&lt;titles&gt;&lt;title&gt;Des semences en partage. Construction sociale et identitaire d&amp;apos;un collectif &amp;quot;paysan&amp;quot; autour de pratiques semencières alternatives&lt;/title&gt;&lt;secondary-title&gt;Techniques &amp;amp; Culture&lt;/secondary-title&gt;&lt;/titles&gt;&lt;periodical&gt;&lt;full-title&gt;Techniques &amp;amp; Culture&lt;/full-title&gt;&lt;/periodical&gt;&lt;pages&gt;202-221&lt;/pages&gt;&lt;volume&gt;57&lt;/volume&gt;&lt;section&gt;202&lt;/section&gt;&lt;dates&gt;&lt;year&gt;2011/2&lt;/year&gt;&lt;/dates&gt;&lt;urls&gt;&lt;/urls&gt;&lt;/record&gt;&lt;/Cite&gt;&lt;/EndNote&gt;</w:instrText>
      </w:r>
      <w:r w:rsidRPr="00104EB7">
        <w:fldChar w:fldCharType="separate"/>
      </w:r>
      <w:r w:rsidRPr="00104EB7">
        <w:t>(</w:t>
      </w:r>
      <w:hyperlink w:anchor="_ENREF_12" w:tooltip="Demeulenaere, 2011/2 #89" w:history="1">
        <w:r w:rsidRPr="00104EB7">
          <w:t>Demeulenaere and Bonneuil 2011/2</w:t>
        </w:r>
      </w:hyperlink>
      <w:r w:rsidRPr="00104EB7">
        <w:t>)</w:t>
      </w:r>
      <w:r w:rsidRPr="00104EB7">
        <w:fldChar w:fldCharType="end"/>
      </w:r>
      <w:r w:rsidRPr="00104EB7">
        <w:t xml:space="preserve"> ; </w:t>
      </w:r>
      <w:r w:rsidRPr="00104EB7">
        <w:fldChar w:fldCharType="begin"/>
      </w:r>
      <w:r w:rsidRPr="00104EB7">
        <w:instrText xml:space="preserve"> ADDIN EN.CITE &lt;EndNote&gt;&lt;Cite&gt;&lt;Author&gt;Conseil&lt;/Author&gt;&lt;Year&gt;2009&lt;/Year&gt;&lt;RecNum&gt;111&lt;/RecNum&gt;&lt;DisplayText&gt;(Conseil and Chable 2009)&lt;/DisplayText&gt;&lt;record&gt;&lt;rec-number&gt;111&lt;/rec-number&gt;&lt;foreign-keys&gt;&lt;key app="EN" db-id="raapzf9emxztwje2zen5dreudr00v0vtzfe5"&gt;111&lt;/key&gt;&lt;/foreign-keys&gt;&lt;ref-type name="Journal Article"&gt;17&lt;/ref-type&gt;&lt;contributors&gt;&lt;authors&gt;&lt;author&gt;Conseil, M.&lt;/author&gt;&lt;author&gt;Chable, V.&lt;/author&gt;&lt;/authors&gt;&lt;/contributors&gt;&lt;titles&gt;&lt;title&gt;Variétés et semences pour l&amp;apos;Agriculture Biologique : une réponse pour les choux par la sélection participative en Bretagne.&lt;/title&gt;&lt;secondary-title&gt;Innovation Agronomique&lt;/secondary-title&gt;&lt;/titles&gt;&lt;periodical&gt;&lt;full-title&gt;Innovation Agronomique&lt;/full-title&gt;&lt;/periodical&gt;&lt;pages&gt;39-47&lt;/pages&gt;&lt;volume&gt;n°4&lt;/volume&gt;&lt;section&gt;39&lt;/section&gt;&lt;dates&gt;&lt;year&gt;2009&lt;/year&gt;&lt;/dates&gt;&lt;urls&gt;&lt;/urls&gt;&lt;/record&gt;&lt;/Cite&gt;&lt;/EndNote&gt;</w:instrText>
      </w:r>
      <w:r w:rsidRPr="00104EB7">
        <w:fldChar w:fldCharType="separate"/>
      </w:r>
      <w:r w:rsidRPr="00104EB7">
        <w:t>(</w:t>
      </w:r>
      <w:hyperlink w:anchor="_ENREF_10" w:tooltip="Conseil, 2009 #111" w:history="1">
        <w:r w:rsidRPr="00104EB7">
          <w:t>Conseil and Chable 2009</w:t>
        </w:r>
      </w:hyperlink>
      <w:r w:rsidRPr="00104EB7">
        <w:t>)</w:t>
      </w:r>
      <w:r w:rsidRPr="00104EB7">
        <w:fldChar w:fldCharType="end"/>
      </w:r>
      <w:r w:rsidRPr="00104EB7">
        <w:t xml:space="preserve"> and is inspired by Asian, South American, and African e</w:t>
      </w:r>
      <w:r w:rsidRPr="00104EB7">
        <w:t>x</w:t>
      </w:r>
      <w:r w:rsidRPr="00104EB7">
        <w:t xml:space="preserve">periences </w:t>
      </w:r>
      <w:r w:rsidRPr="00104EB7">
        <w:fldChar w:fldCharType="begin"/>
      </w:r>
      <w:r w:rsidRPr="00104EB7">
        <w:instrText xml:space="preserve"> ADDIN EN.CITE &lt;EndNote&gt;&lt;Cite&gt;&lt;Author&gt;Ceccarellin&lt;/Author&gt;&lt;Year&gt;2006&lt;/Year&gt;&lt;RecNum&gt;100&lt;/RecNum&gt;&lt;DisplayText&gt;(Ceccarellin 2006)&lt;/DisplayText&gt;&lt;record&gt;&lt;rec-number&gt;100&lt;/rec-number&gt;&lt;foreign-keys&gt;&lt;key app="EN" db-id="raapzf9emxztwje2zen5dreudr00v0vtzfe5"&gt;100&lt;/key&gt;&lt;/foreign-keys&gt;&lt;ref-type name="Conference Paper"&gt;47&lt;/ref-type&gt;&lt;contributors&gt;&lt;authors&gt;&lt;author&gt;Ceccarellin, S.&lt;/author&gt;&lt;/authors&gt;&lt;secondary-authors&gt;&lt;author&gt;European Consortium for Organic Plant Breeding&lt;/author&gt;&lt;/secondary-authors&gt;&lt;/contributors&gt;&lt;titles&gt;&lt;title&gt;Decentralized - Participatory Plant Breeding: Lessons from the South - Perspectives in the North&lt;/title&gt;&lt;secondary-title&gt;Proceedings of the ECO-PB Workshop : “Participatory Plant Breeding : Relevance for Organic Agriculture ?”&lt;/secondary-title&gt;&lt;/titles&gt;&lt;pages&gt;8-15&lt;/pages&gt;&lt;dates&gt;&lt;year&gt;2006&lt;/year&gt;&lt;pub-dates&gt;&lt;date&gt;11-13 juin 2006&lt;/date&gt;&lt;/pub-dates&gt;&lt;/dates&gt;&lt;pub-location&gt;La Besse - France&lt;/pub-location&gt;&lt;publisher&gt;Desclaux D. and Hédont M.&lt;/publisher&gt;&lt;urls&gt;&lt;/urls&gt;&lt;/record&gt;&lt;/Cite&gt;&lt;/EndNote&gt;</w:instrText>
      </w:r>
      <w:r w:rsidRPr="00104EB7">
        <w:fldChar w:fldCharType="separate"/>
      </w:r>
      <w:r w:rsidRPr="00104EB7">
        <w:t>(</w:t>
      </w:r>
      <w:hyperlink w:anchor="_ENREF_5" w:tooltip="Ceccarellin, 2006 #100" w:history="1">
        <w:r w:rsidRPr="00104EB7">
          <w:t>Ceccarellin 2006</w:t>
        </w:r>
      </w:hyperlink>
      <w:r w:rsidRPr="00104EB7">
        <w:t>)</w:t>
      </w:r>
      <w:r w:rsidRPr="00104EB7">
        <w:fldChar w:fldCharType="end"/>
      </w:r>
      <w:r w:rsidRPr="00104EB7">
        <w:t xml:space="preserve"> </w:t>
      </w:r>
      <w:r w:rsidRPr="00104EB7">
        <w:fldChar w:fldCharType="begin"/>
      </w:r>
      <w:r w:rsidRPr="00104EB7">
        <w:instrText xml:space="preserve"> ADDIN EN.CITE &lt;EndNote&gt;&lt;Cite&gt;&lt;Author&gt;Chiffoleu&lt;/Author&gt;&lt;Year&gt;2006&lt;/Year&gt;&lt;RecNum&gt;88&lt;/RecNum&gt;&lt;DisplayText&gt;(Chiffoleu and Desclaux 2006)&lt;/DisplayText&gt;&lt;record&gt;&lt;rec-number&gt;88&lt;/rec-number&gt;&lt;foreign-keys&gt;&lt;key app="EN" db-id="raapzf9emxztwje2zen5dreudr00v0vtzfe5"&gt;88&lt;/key&gt;&lt;/foreign-keys&gt;&lt;ref-type name="Journal Article"&gt;17&lt;/ref-type&gt;&lt;contributors&gt;&lt;authors&gt;&lt;author&gt;Chiffoleu, Y.&lt;/author&gt;&lt;author&gt;Desclaux, D.&lt;/author&gt;&lt;/authors&gt;&lt;/contributors&gt;&lt;titles&gt;&lt;title&gt;Participatory plant breeding : the best way ti breed for sustainable agriculture ? &lt;/title&gt;&lt;secondary-title&gt;International Journal Of Agricultural Sustainability&lt;/secondary-title&gt;&lt;/titles&gt;&lt;periodical&gt;&lt;full-title&gt;International Journal Of Agricultural Sustainability&lt;/full-title&gt;&lt;/periodical&gt;&lt;pages&gt;119-130&lt;/pages&gt;&lt;volume&gt;4(2)&lt;/volume&gt;&lt;section&gt;119&lt;/section&gt;&lt;dates&gt;&lt;year&gt;2006&lt;/year&gt;&lt;/dates&gt;&lt;urls&gt;&lt;/urls&gt;&lt;/record&gt;&lt;/Cite&gt;&lt;/EndNote&gt;</w:instrText>
      </w:r>
      <w:r w:rsidRPr="00104EB7">
        <w:fldChar w:fldCharType="separate"/>
      </w:r>
      <w:r w:rsidRPr="00104EB7">
        <w:t>(</w:t>
      </w:r>
      <w:hyperlink w:anchor="_ENREF_8" w:tooltip="Chiffoleu, 2006 #88" w:history="1">
        <w:r w:rsidRPr="00104EB7">
          <w:t>Chiffoleu and Desclaux 2006</w:t>
        </w:r>
      </w:hyperlink>
      <w:r w:rsidRPr="00104EB7">
        <w:t>)</w:t>
      </w:r>
      <w:r w:rsidRPr="00104EB7">
        <w:fldChar w:fldCharType="end"/>
      </w:r>
      <w:r w:rsidRPr="00104EB7">
        <w:t>. It breaks with standardization and the del</w:t>
      </w:r>
      <w:r w:rsidRPr="00104EB7">
        <w:t>e</w:t>
      </w:r>
      <w:r w:rsidRPr="00104EB7">
        <w:t xml:space="preserve">gation of innovation to scientists. E’s place in the G x E interaction is reconsidered, given that each E is particular. Connecting these singularities in a </w:t>
      </w:r>
      <w:r w:rsidRPr="00104EB7">
        <w:lastRenderedPageBreak/>
        <w:t>network makes generalization possible (</w:t>
      </w:r>
      <w:hyperlink w:anchor="_ENREF_13" w:tooltip="Demeulenaere, 2012 #84" w:history="1">
        <w:r w:rsidRPr="00104EB7">
          <w:t>Demeulenaere and Goulet 2012</w:t>
        </w:r>
      </w:hyperlink>
      <w:r w:rsidRPr="00104EB7">
        <w:t>). It makes it poss</w:t>
      </w:r>
      <w:r w:rsidRPr="00104EB7">
        <w:t>i</w:t>
      </w:r>
      <w:r w:rsidRPr="00104EB7">
        <w:t xml:space="preserve">ble to build markets jointly </w:t>
      </w:r>
      <w:r w:rsidRPr="00104EB7">
        <w:fldChar w:fldCharType="begin"/>
      </w:r>
      <w:r w:rsidRPr="00104EB7">
        <w:instrText xml:space="preserve"> ADDIN EN.CITE &lt;EndNote&gt;&lt;Cite&gt;&lt;Author&gt;Desclaux&lt;/Author&gt;&lt;Year&gt;2008&lt;/Year&gt;&lt;RecNum&gt;86&lt;/RecNum&gt;&lt;DisplayText&gt;(Desclaux, Nolot et al. 2008)&lt;/DisplayText&gt;&lt;record&gt;&lt;rec-number&gt;86&lt;/rec-number&gt;&lt;foreign-keys&gt;&lt;key app="EN" db-id="raapzf9emxztwje2zen5dreudr00v0vtzfe5"&gt;86&lt;/key&gt;&lt;/foreign-keys&gt;&lt;ref-type name="Journal Article"&gt;17&lt;/ref-type&gt;&lt;contributors&gt;&lt;authors&gt;&lt;author&gt;D. Desclaux  &lt;/author&gt;&lt;author&gt;J.-M. Nolot&lt;/author&gt;&lt;author&gt;Y. Chiffoleau&lt;/author&gt;&lt;author&gt; E. Gozé&lt;/author&gt;&lt;author&gt; C. Leclerc&lt;/author&gt;&lt;/authors&gt;&lt;/contributors&gt;&lt;titles&gt;&lt;title&gt;Changes in the concept of genetype X environnment interactions to fit agriculture diversification and decentralized participatory plant breeding : pluridisciplinary point of view&lt;/title&gt;&lt;secondary-title&gt;Euphytica&amp;#xD;163&lt;/secondary-title&gt;&lt;/titles&gt;&lt;pages&gt;533-546&lt;/pages&gt;&lt;section&gt;533&lt;/section&gt;&lt;dates&gt;&lt;year&gt;2008&lt;/year&gt;&lt;pub-dates&gt;&lt;date&gt;9 july 2008&lt;/date&gt;&lt;/pub-dates&gt;&lt;/dates&gt;&lt;urls&gt;&lt;/urls&gt;&lt;electronic-resource-num&gt;10.1007/s10681-008-9717-2&lt;/electronic-resource-num&gt;&lt;language&gt;English&amp;#xD;&lt;/language&gt;&lt;/record&gt;&lt;/Cite&gt;&lt;/EndNote&gt;</w:instrText>
      </w:r>
      <w:r w:rsidRPr="00104EB7">
        <w:fldChar w:fldCharType="separate"/>
      </w:r>
      <w:r w:rsidRPr="00104EB7">
        <w:t>(</w:t>
      </w:r>
      <w:hyperlink w:anchor="_ENREF_13" w:tooltip="Desclaux, 2008 #86" w:history="1">
        <w:r w:rsidRPr="00104EB7">
          <w:t>Desclaux, Nolot et al. 2008</w:t>
        </w:r>
      </w:hyperlink>
      <w:r w:rsidRPr="00104EB7">
        <w:t>)</w:t>
      </w:r>
      <w:r w:rsidRPr="00104EB7">
        <w:fldChar w:fldCharType="end"/>
      </w:r>
      <w:r w:rsidRPr="00104EB7">
        <w:t xml:space="preserve">, to control diseases through intra- and inter-varietal work </w:t>
      </w:r>
      <w:r w:rsidRPr="00104EB7">
        <w:fldChar w:fldCharType="begin"/>
      </w:r>
      <w:r w:rsidRPr="00104EB7">
        <w:instrText xml:space="preserve"> ADDIN EN.CITE &lt;EndNote&gt;&lt;Cite&gt;&lt;Author&gt;Papy&lt;/Author&gt;&lt;Year&gt;2011&lt;/Year&gt;&lt;RecNum&gt;107&lt;/RecNum&gt;&lt;DisplayText&gt;(Papy and Goldringer 2011)&lt;/DisplayText&gt;&lt;record&gt;&lt;rec-number&gt;107&lt;/rec-number&gt;&lt;foreign-keys&gt;&lt;key app="EN" db-id="raapzf9emxztwje2zen5dreudr00v0vtzfe5"&gt;107&lt;/key&gt;&lt;/foreign-keys&gt;&lt;ref-type name="Journal Article"&gt;17&lt;/ref-type&gt;&lt;contributors&gt;&lt;authors&gt;&lt;author&gt;Papy, F.&lt;/author&gt;&lt;author&gt;Goldringer, I.&lt;/author&gt;&lt;/authors&gt;&lt;/contributors&gt;&lt;titles&gt;&lt;title&gt;Cultiver la biodiversité&lt;/title&gt;&lt;secondary-title&gt;Courrier de l&amp;apos;environnement de l&amp;apos;INRA&lt;/secondary-title&gt;&lt;/titles&gt;&lt;periodical&gt;&lt;full-title&gt;Courrier de l&amp;apos;environnement de l&amp;apos;INRA&lt;/full-title&gt;&lt;/periodical&gt;&lt;pages&gt;55-62&lt;/pages&gt;&lt;volume&gt;N°60&lt;/volume&gt;&lt;section&gt;55&lt;/section&gt;&lt;dates&gt;&lt;year&gt;2011&lt;/year&gt;&lt;pub-dates&gt;&lt;date&gt;mai 2011&lt;/date&gt;&lt;/pub-dates&gt;&lt;/dates&gt;&lt;urls&gt;&lt;/urls&gt;&lt;/record&gt;&lt;/Cite&gt;&lt;/EndNote&gt;</w:instrText>
      </w:r>
      <w:r w:rsidRPr="00104EB7">
        <w:fldChar w:fldCharType="separate"/>
      </w:r>
      <w:r w:rsidRPr="00104EB7">
        <w:t>(</w:t>
      </w:r>
      <w:hyperlink w:anchor="_ENREF_15" w:tooltip="Papy, 2011 #107" w:history="1">
        <w:r w:rsidRPr="00104EB7">
          <w:t>Papy and Goldringer 2011</w:t>
        </w:r>
      </w:hyperlink>
      <w:r w:rsidRPr="00104EB7">
        <w:t>)</w:t>
      </w:r>
      <w:r w:rsidRPr="00104EB7">
        <w:fldChar w:fldCharType="end"/>
      </w:r>
      <w:r w:rsidRPr="00104EB7">
        <w:t>. Networ</w:t>
      </w:r>
      <w:r w:rsidRPr="00104EB7">
        <w:t>k</w:t>
      </w:r>
      <w:r w:rsidRPr="00104EB7">
        <w:t xml:space="preserve">ing raises questions of coordination and cooperation amongst the players </w:t>
      </w:r>
      <w:r w:rsidRPr="00104EB7">
        <w:fldChar w:fldCharType="begin"/>
      </w:r>
      <w:r w:rsidRPr="00104EB7">
        <w:instrText xml:space="preserve"> ADDIN EN.CITE &lt;EndNote&gt;&lt;Cite&gt;&lt;Author&gt;Allaire&lt;/Author&gt;&lt;Year&gt;2004&lt;/Year&gt;&lt;RecNum&gt;118&lt;/RecNum&gt;&lt;DisplayText&gt;(Allaire 2004)&lt;/DisplayText&gt;&lt;record&gt;&lt;rec-number&gt;118&lt;/rec-number&gt;&lt;foreign-keys&gt;&lt;key app="EN" db-id="raapzf9emxztwje2zen5dreudr00v0vtzfe5"&gt;118&lt;/key&gt;&lt;/foreign-keys&gt;&lt;ref-type name="Journal Article"&gt;17&lt;/ref-type&gt;&lt;contributors&gt;&lt;authors&gt;&lt;author&gt;Allaire, G.&lt;/author&gt;&lt;/authors&gt;&lt;/contributors&gt;&lt;titles&gt;&lt;title&gt;Coopération, qualification professionnelle et régimes de responsabilité (Innovation institutionnelle et crise professionnelle en agriculture)&lt;/title&gt;&lt;secondary-title&gt;Economies et Sociétés&lt;/secondary-title&gt;&lt;/titles&gt;&lt;periodical&gt;&lt;full-title&gt;Economies et Sociétés&lt;/full-title&gt;&lt;/periodical&gt;&lt;volume&gt;n°23&lt;/volume&gt;&lt;dates&gt;&lt;year&gt;2004&lt;/year&gt;&lt;pub-dates&gt;&lt;date&gt;2004&lt;/date&gt;&lt;/pub-dates&gt;&lt;/dates&gt;&lt;urls&gt;&lt;/urls&gt;&lt;/record&gt;&lt;/Cite&gt;&lt;/EndNote&gt;</w:instrText>
      </w:r>
      <w:r w:rsidRPr="00104EB7">
        <w:fldChar w:fldCharType="separate"/>
      </w:r>
      <w:r w:rsidRPr="00104EB7">
        <w:t>(</w:t>
      </w:r>
      <w:hyperlink w:anchor="_ENREF_1" w:tooltip="Allaire, 2004 #118" w:history="1">
        <w:r w:rsidRPr="00104EB7">
          <w:t>Allaire 2004</w:t>
        </w:r>
      </w:hyperlink>
      <w:r w:rsidRPr="00104EB7">
        <w:t>)</w:t>
      </w:r>
      <w:r w:rsidRPr="00104EB7">
        <w:fldChar w:fldCharType="end"/>
      </w:r>
      <w:r w:rsidRPr="00104EB7">
        <w:t>. However, let’s not fool ourselves. The concept of participation has limits when it comes to putting it into practice, one of these limits being the farmers’ degree of involv</w:t>
      </w:r>
      <w:r w:rsidRPr="00104EB7">
        <w:t>e</w:t>
      </w:r>
      <w:r w:rsidRPr="00104EB7">
        <w:t xml:space="preserve">ment </w:t>
      </w:r>
      <w:r w:rsidRPr="00104EB7">
        <w:fldChar w:fldCharType="begin"/>
      </w:r>
      <w:r w:rsidRPr="00104EB7">
        <w:instrText xml:space="preserve"> ADDIN EN.CITE &lt;EndNote&gt;&lt;Cite&gt;&lt;Author&gt;Chiffoleau&lt;/Author&gt;&lt;Year&gt;2006&lt;/Year&gt;&lt;RecNum&gt;16&lt;/RecNum&gt;&lt;DisplayText&gt;(Chiffoleau 2006)&lt;/DisplayText&gt;&lt;record&gt;&lt;rec-number&gt;16&lt;/rec-number&gt;&lt;foreign-keys&gt;&lt;key app="EN" db-id="raapzf9emxztwje2zen5dreudr00v0vtzfe5"&gt;16&lt;/key&gt;&lt;/foreign-keys&gt;&lt;ref-type name="Journal Article"&gt;17&lt;/ref-type&gt;&lt;contributors&gt;&lt;authors&gt;&lt;author&gt;Yuna Chiffoleau&lt;/author&gt;&lt;/authors&gt;&lt;/contributors&gt;&lt;titles&gt;&lt;title&gt;La sélection participative, du Sud au Nord : enjeux et conditions d&amp;apos;un &amp;quot;transfert&amp;quot;&lt;/title&gt;&lt;secondary-title&gt;Dossier de l&amp;apos;environnement de l&amp;apos;INRA&lt;/secondary-title&gt;&lt;/titles&gt;&lt;periodical&gt;&lt;full-title&gt;Dossier de l&amp;apos;environnement de l&amp;apos;INRA&lt;/full-title&gt;&lt;/periodical&gt;&lt;pages&gt;145- 151&lt;/pages&gt;&lt;volume&gt;30&lt;/volume&gt;&lt;dates&gt;&lt;year&gt;2006&lt;/year&gt;&lt;/dates&gt;&lt;urls&gt;&lt;/urls&gt;&lt;/record&gt;&lt;/Cite&gt;&lt;/EndNote&gt;</w:instrText>
      </w:r>
      <w:r w:rsidRPr="00104EB7">
        <w:fldChar w:fldCharType="separate"/>
      </w:r>
      <w:r w:rsidRPr="00104EB7">
        <w:t>(</w:t>
      </w:r>
      <w:hyperlink w:anchor="_ENREF_7" w:tooltip="Chiffoleau, 2006 #16" w:history="1">
        <w:r w:rsidRPr="00104EB7">
          <w:t>Chiffoleau 2006</w:t>
        </w:r>
      </w:hyperlink>
      <w:r w:rsidRPr="00104EB7">
        <w:t>)</w:t>
      </w:r>
      <w:r w:rsidRPr="00104EB7">
        <w:fldChar w:fldCharType="end"/>
      </w:r>
      <w:r w:rsidRPr="00104EB7">
        <w:t>.</w:t>
      </w:r>
    </w:p>
    <w:p w14:paraId="39B47A30" w14:textId="77777777" w:rsidR="00104EB7" w:rsidRDefault="00104EB7" w:rsidP="00CB16D2">
      <w:pPr>
        <w:pStyle w:val="Normaltext"/>
      </w:pPr>
      <w:r w:rsidRPr="00104EB7">
        <w:t xml:space="preserve">Plant materials, knowledge, and know-how circulate within the network. Seeds become a go-between object that connects farmers in the wake of tests between the supplier and the requester </w:t>
      </w:r>
      <w:r w:rsidRPr="00104EB7">
        <w:fldChar w:fldCharType="begin"/>
      </w:r>
      <w:r w:rsidRPr="00104EB7">
        <w:instrText xml:space="preserve"> ADDIN EN.CITE &lt;EndNote&gt;&lt;Cite&gt;&lt;Author&gt;Cheyns&lt;/Author&gt;&lt;Year&gt;2003&lt;/Year&gt;&lt;RecNum&gt;63&lt;/RecNum&gt;&lt;DisplayText&gt;(Cheyns 2003)&lt;/DisplayText&gt;&lt;record&gt;&lt;rec-number&gt;63&lt;/rec-number&gt;&lt;foreign-keys&gt;&lt;key app="EN" db-id="raapzf9emxztwje2zen5dreudr00v0vtzfe5"&gt;63&lt;/key&gt;&lt;/foreign-keys&gt;&lt;ref-type name="Journal Article"&gt;17&lt;/ref-type&gt;&lt;contributors&gt;&lt;authors&gt;&lt;author&gt;Cheyns, Emmanuel&lt;/author&gt;&lt;/authors&gt;&lt;/contributors&gt;&lt;titles&gt;&lt;title&gt;Le rôle des institutions professionelles dans la production et la garantie de la qualité des produits&lt;/title&gt;&lt;secondary-title&gt;CIRAD&lt;/secondary-title&gt;&lt;/titles&gt;&lt;periodical&gt;&lt;full-title&gt;CIRAD&lt;/full-title&gt;&lt;/periodical&gt;&lt;pages&gt;59-73&lt;/pages&gt;&lt;dates&gt;&lt;year&gt;2003&lt;/year&gt;&lt;/dates&gt;&lt;orig-pub&gt;La construction de la qualité des produits alimentaire. Le cas du soumbala, des céréales et des viandes sur le marché de Ouagadougou au Burkina Faso&lt;/orig-pub&gt;&lt;isbn&gt;2-87614-540-5&lt;/isbn&gt;&lt;urls&gt;&lt;/urls&gt;&lt;/record&gt;&lt;/Cite&gt;&lt;/EndNote&gt;</w:instrText>
      </w:r>
      <w:r w:rsidRPr="00104EB7">
        <w:fldChar w:fldCharType="separate"/>
      </w:r>
      <w:r w:rsidRPr="00104EB7">
        <w:t>(</w:t>
      </w:r>
      <w:hyperlink w:anchor="_ENREF_6" w:tooltip="Cheyns, 2003 #63" w:history="1">
        <w:r w:rsidRPr="00104EB7">
          <w:t>Cheyns 2003</w:t>
        </w:r>
      </w:hyperlink>
      <w:r w:rsidRPr="00104EB7">
        <w:t>)</w:t>
      </w:r>
      <w:r w:rsidRPr="00104EB7">
        <w:fldChar w:fldCharType="end"/>
      </w:r>
      <w:r w:rsidRPr="00104EB7">
        <w:t xml:space="preserve"> </w:t>
      </w:r>
      <w:r w:rsidRPr="00104EB7">
        <w:fldChar w:fldCharType="begin"/>
      </w:r>
      <w:r w:rsidRPr="00104EB7">
        <w:instrText xml:space="preserve"> ADDIN EN.CITE &lt;EndNote&gt;&lt;Cite&gt;&lt;Author&gt;Demeulenaere&lt;/Author&gt;&lt;Year&gt;2007&lt;/Year&gt;&lt;RecNum&gt;8&lt;/RecNum&gt;&lt;DisplayText&gt;(Demeulenaere and Bonneuil 2007)&lt;/DisplayText&gt;&lt;record&gt;&lt;rec-number&gt;8&lt;/rec-number&gt;&lt;foreign-keys&gt;&lt;key app="EN" db-id="raapzf9emxztwje2zen5dreudr00v0vtzfe5"&gt;8&lt;/key&gt;&lt;/foreign-keys&gt;&lt;ref-type name="Book Section"&gt;5&lt;/ref-type&gt;&lt;contributors&gt;&lt;authors&gt;&lt;author&gt;E. Demeulenaere&lt;/author&gt;&lt;author&gt;C. Bonneuil&lt;/author&gt;&lt;/authors&gt;&lt;secondary-authors&gt;&lt;author&gt;Ed. de l&amp;apos;Aube&lt;/author&gt;&lt;/secondary-authors&gt;&lt;/contributors&gt;&lt;titles&gt;&lt;title&gt;Vers une génétique de pair à pair? L&amp;apos;émergence de la sélection participative&lt;/title&gt;&lt;secondary-title&gt;Les sciences citoyennes. Vigilance collective et rapport entre profane et scientifique dans les sciences naturalistes&lt;/secondary-title&gt;&lt;/titles&gt;&lt;pages&gt;122-147&lt;/pages&gt;&lt;dates&gt;&lt;year&gt;2007&lt;/year&gt;&lt;/dates&gt;&lt;publisher&gt;Charvolin F. et Micoud A. et Nyhart L.K.&lt;/publisher&gt;&lt;urls&gt;&lt;/urls&gt;&lt;/record&gt;&lt;/Cite&gt;&lt;/EndNote&gt;</w:instrText>
      </w:r>
      <w:r w:rsidRPr="00104EB7">
        <w:fldChar w:fldCharType="separate"/>
      </w:r>
      <w:r w:rsidRPr="00104EB7">
        <w:t>(</w:t>
      </w:r>
      <w:hyperlink w:anchor="_ENREF_11" w:tooltip="Demeulenaere, 2007 #8" w:history="1">
        <w:r w:rsidRPr="00104EB7">
          <w:t>Demeulenaere and Bonneuil 2007</w:t>
        </w:r>
      </w:hyperlink>
      <w:r w:rsidRPr="00104EB7">
        <w:t>)</w:t>
      </w:r>
      <w:r w:rsidRPr="00104EB7">
        <w:fldChar w:fldCharType="end"/>
      </w:r>
      <w:r w:rsidRPr="00104EB7">
        <w:t xml:space="preserve"> in order to achieve a relationship of trust within a small group or “club”. This club is based on the reput</w:t>
      </w:r>
      <w:r w:rsidRPr="00104EB7">
        <w:t>a</w:t>
      </w:r>
      <w:r w:rsidRPr="00104EB7">
        <w:t xml:space="preserve">tions of two things, the goods and the people (who produce them) </w:t>
      </w:r>
      <w:r w:rsidRPr="00104EB7">
        <w:fldChar w:fldCharType="begin"/>
      </w:r>
      <w:r w:rsidRPr="00104EB7">
        <w:instrText xml:space="preserve"> ADDIN EN.CITE &lt;EndNote&gt;&lt;Cite&gt;&lt;Author&gt;Torre&lt;/Author&gt;&lt;Year&gt;2002&lt;/Year&gt;&lt;RecNum&gt;61&lt;/RecNum&gt;&lt;DisplayText&gt;(Torre 2002)&lt;/DisplayText&gt;&lt;record&gt;&lt;rec-number&gt;61&lt;/rec-number&gt;&lt;foreign-keys&gt;&lt;key app="EN" db-id="raapzf9emxztwje2zen5dreudr00v0vtzfe5"&gt;61&lt;/key&gt;&lt;/foreign-keys&gt;&lt;ref-type name="Journal Article"&gt;17&lt;/ref-type&gt;&lt;contributors&gt;&lt;authors&gt;&lt;author&gt;Torre, André&lt;/author&gt;&lt;/authors&gt;&lt;/contributors&gt;&lt;titles&gt;&lt;title&gt;Les AOC sont-elles des Clubs? Réflexions sur les conditions de l&amp;apos;action collective localisée entre coopération et règles formelles&lt;/title&gt;&lt;secondary-title&gt;Revue d&amp;apos;Economie Industrielle&lt;/secondary-title&gt;&lt;/titles&gt;&lt;periodical&gt;&lt;full-title&gt;Revue d&amp;apos;Economie Industrielle&lt;/full-title&gt;&lt;/periodical&gt;&lt;pages&gt;39-62&lt;/pages&gt;&lt;volume&gt;100&lt;/volume&gt;&lt;dates&gt;&lt;year&gt;2002&lt;/year&gt;&lt;/dates&gt;&lt;urls&gt;&lt;/urls&gt;&lt;/record&gt;&lt;/Cite&gt;&lt;/EndNote&gt;</w:instrText>
      </w:r>
      <w:r w:rsidRPr="00104EB7">
        <w:fldChar w:fldCharType="separate"/>
      </w:r>
      <w:r w:rsidRPr="00104EB7">
        <w:t>(</w:t>
      </w:r>
      <w:hyperlink w:anchor="_ENREF_16" w:tooltip="Torre, 2002 #61" w:history="1">
        <w:r w:rsidRPr="00104EB7">
          <w:t>Torre 2002</w:t>
        </w:r>
      </w:hyperlink>
      <w:r w:rsidRPr="00104EB7">
        <w:t>)</w:t>
      </w:r>
      <w:r w:rsidRPr="00104EB7">
        <w:fldChar w:fldCharType="end"/>
      </w:r>
      <w:r w:rsidRPr="00104EB7">
        <w:t>. These practices, which are outside the market, are governed by the regul</w:t>
      </w:r>
      <w:r w:rsidRPr="00104EB7">
        <w:t>a</w:t>
      </w:r>
      <w:r w:rsidRPr="00104EB7">
        <w:t xml:space="preserve">tory framework. Various initiatives try to circumvent this framework or to engage in civil disobedience. There are still others that find ways to protect their collective labour through a common licence </w:t>
      </w:r>
      <w:r w:rsidRPr="00104EB7">
        <w:fldChar w:fldCharType="begin"/>
      </w:r>
      <w:r w:rsidRPr="00104EB7">
        <w:instrText xml:space="preserve"> ADDIN EN.CITE &lt;EndNote&gt;&lt;Cite&gt;&lt;Author&gt;Kloppenburg&lt;/Author&gt;&lt;Year&gt;2012&lt;/Year&gt;&lt;RecNum&gt;80&lt;/RecNum&gt;&lt;DisplayText&gt;(Kloppenburg 2012)&lt;/DisplayText&gt;&lt;record&gt;&lt;rec-number&gt;80&lt;/rec-number&gt;&lt;foreign-keys&gt;&lt;key app="EN" db-id="raapzf9emxztwje2zen5dreudr00v0vtzfe5"&gt;80&lt;/key&gt;&lt;/foreign-keys&gt;&lt;ref-type name="Book Section"&gt;5&lt;/ref-type&gt;&lt;contributors&gt;&lt;authors&gt;&lt;author&gt;Kloppenburg, Jack&lt;/author&gt;&lt;/authors&gt;&lt;/contributors&gt;&lt;titles&gt;&lt;title&gt;Seed Sovereignty. The promise of open source biology&lt;/title&gt;&lt;secondary-title&gt;Food Sovereignty. Reconnectiong food, Nature and Community&lt;/secondary-title&gt;&lt;/titles&gt;&lt;pages&gt;152-167&lt;/pages&gt;&lt;section&gt;11&lt;/section&gt;&lt;dates&gt;&lt;year&gt;2012&lt;/year&gt;&lt;/dates&gt;&lt;publisher&gt;Fernwood Publishing&lt;/publisher&gt;&lt;urls&gt;&lt;/urls&gt;&lt;language&gt;Anglais&lt;/language&gt;&lt;/record&gt;&lt;/Cite&gt;&lt;/EndNote&gt;</w:instrText>
      </w:r>
      <w:r w:rsidRPr="00104EB7">
        <w:fldChar w:fldCharType="separate"/>
      </w:r>
      <w:r w:rsidRPr="00104EB7">
        <w:t>(</w:t>
      </w:r>
      <w:hyperlink w:anchor="_ENREF_14" w:tooltip="Kloppenburg, 2012 #80" w:history="1">
        <w:r w:rsidRPr="00104EB7">
          <w:t>Kloppenburg 2012</w:t>
        </w:r>
      </w:hyperlink>
      <w:r w:rsidRPr="00104EB7">
        <w:t>)</w:t>
      </w:r>
      <w:r w:rsidRPr="00104EB7">
        <w:fldChar w:fldCharType="end"/>
      </w:r>
      <w:r w:rsidRPr="00104EB7">
        <w:t>.</w:t>
      </w:r>
    </w:p>
    <w:p w14:paraId="5BC05854" w14:textId="77777777" w:rsidR="00104EB7" w:rsidRPr="00104EB7" w:rsidRDefault="00104EB7" w:rsidP="00104EB7">
      <w:pPr>
        <w:jc w:val="both"/>
        <w:rPr>
          <w:rFonts w:ascii="Verdana" w:hAnsi="Verdana"/>
          <w:sz w:val="16"/>
          <w:lang w:val="en-GB"/>
        </w:rPr>
      </w:pPr>
    </w:p>
    <w:p w14:paraId="7D0986FF" w14:textId="77777777" w:rsidR="001F70E5" w:rsidRPr="00BF3817" w:rsidRDefault="00104EB7" w:rsidP="001F70E5">
      <w:pPr>
        <w:pStyle w:val="berschrift11"/>
      </w:pPr>
      <w:r>
        <w:t>3. Questions</w:t>
      </w:r>
    </w:p>
    <w:p w14:paraId="718CE7D5" w14:textId="77777777" w:rsidR="00104EB7" w:rsidRDefault="00104EB7" w:rsidP="001F70E5">
      <w:pPr>
        <w:pStyle w:val="Normaltext"/>
        <w:tabs>
          <w:tab w:val="left" w:pos="240"/>
        </w:tabs>
      </w:pPr>
      <w:r w:rsidRPr="003648BC">
        <w:t>To achieve internal and external equivalences, four types of qualification are established, namely, scie</w:t>
      </w:r>
      <w:r w:rsidRPr="003648BC">
        <w:t>n</w:t>
      </w:r>
      <w:r w:rsidRPr="003648BC">
        <w:t xml:space="preserve">tific, legal, </w:t>
      </w:r>
      <w:r w:rsidRPr="00BD150D">
        <w:t>seed circulation, and</w:t>
      </w:r>
      <w:r w:rsidRPr="003648BC">
        <w:t xml:space="preserve"> political.  When it comes to the production of knowledge through pa</w:t>
      </w:r>
      <w:r w:rsidRPr="003648BC">
        <w:t>r</w:t>
      </w:r>
      <w:r w:rsidRPr="003648BC">
        <w:t>ticipatory plant breeding and selection, it seems that the way that farmers and scientists produce knowledge toge</w:t>
      </w:r>
      <w:r>
        <w:t xml:space="preserve">ther has not yet been studied. </w:t>
      </w:r>
      <w:r w:rsidRPr="003648BC">
        <w:t>The same applies to the processes of equivalence b</w:t>
      </w:r>
      <w:r w:rsidRPr="003648BC">
        <w:t>e</w:t>
      </w:r>
      <w:r w:rsidRPr="003648BC">
        <w:t>tween seed types and between types of methodol</w:t>
      </w:r>
      <w:r w:rsidRPr="003648BC">
        <w:t>o</w:t>
      </w:r>
      <w:r w:rsidRPr="003648BC">
        <w:t>gy (</w:t>
      </w:r>
      <w:r w:rsidRPr="003648BC">
        <w:rPr>
          <w:i/>
          <w:iCs/>
        </w:rPr>
        <w:t xml:space="preserve">in situ </w:t>
      </w:r>
      <w:r w:rsidRPr="003648BC">
        <w:t xml:space="preserve">versus </w:t>
      </w:r>
      <w:r w:rsidRPr="003648BC">
        <w:rPr>
          <w:i/>
          <w:iCs/>
        </w:rPr>
        <w:t>ex situ)</w:t>
      </w:r>
      <w:r w:rsidRPr="003648BC">
        <w:t xml:space="preserve"> in the</w:t>
      </w:r>
      <w:r>
        <w:t xml:space="preserve"> scientific arena. </w:t>
      </w:r>
      <w:r w:rsidRPr="003648BC">
        <w:t>Managing seeds as collective property r</w:t>
      </w:r>
      <w:r>
        <w:t xml:space="preserve">aises the issue of governance. </w:t>
      </w:r>
      <w:r w:rsidRPr="003648BC">
        <w:t xml:space="preserve">How do farmers organize to defend a good collectively from both the practical and legal standpoints?  Does the way seeds circulate vary according to the collective’s aim, </w:t>
      </w:r>
      <w:r w:rsidRPr="003648BC">
        <w:rPr>
          <w:i/>
          <w:iCs/>
        </w:rPr>
        <w:t xml:space="preserve">e.g., </w:t>
      </w:r>
      <w:r w:rsidRPr="003648BC">
        <w:t>conse</w:t>
      </w:r>
      <w:r w:rsidRPr="003648BC">
        <w:t>r</w:t>
      </w:r>
      <w:r w:rsidRPr="003648BC">
        <w:t xml:space="preserve">vation, marketing, or the </w:t>
      </w:r>
      <w:r>
        <w:t>development of a short circuit?</w:t>
      </w:r>
      <w:r w:rsidRPr="003648BC">
        <w:t xml:space="preserve"> On the political level, how are scientific, legal, and market qualifications mobilized to demand a change in the “varietal fixism” paradigm and how are they reflected in public policies?  Finally, How does criticism develop (Hirscham’s “voice” versus “exist” </w:t>
      </w:r>
      <w:r w:rsidRPr="003648BC">
        <w:fldChar w:fldCharType="begin"/>
      </w:r>
      <w:r w:rsidRPr="003648BC">
        <w:instrText xml:space="preserve"> </w:instrText>
      </w:r>
      <w:r>
        <w:instrText>ADDIN</w:instrText>
      </w:r>
      <w:r w:rsidRPr="003648BC">
        <w:instrText xml:space="preserve"> EN.CITE &lt;EndNote&gt;&lt;Cite&gt;&lt;Author&gt;Boltanski&lt;/Author&gt;&lt;Year&gt;1999&lt;/Year&gt;&lt;RecNum&gt;25&lt;/RecNum&gt;&lt;DisplayText&gt;(Boltanski and Chapiello 1999)&lt;/DisplayText&gt;&lt;record&gt;&lt;rec-number&gt;25&lt;/rec-number&gt;&lt;foreign-keys&gt;&lt;key app="EN" db-id="raapzf9emxztwje2zen5dreudr00v0vtzfe5"&gt;25&lt;/key&gt;&lt;/foreign-keys&gt;&lt;ref-type name="Book"&gt;6&lt;/ref-type&gt;&lt;contributors&gt;&lt;authors&gt;&lt;author&gt;Boltanski, Luc &lt;/author&gt;&lt;author&gt;Chapiello, Eve &lt;/author&gt;&lt;/authors&gt;&lt;secondary-authors&gt;&lt;author&gt;nrf essais&lt;/author&gt;&lt;/secondary-authors&gt;&lt;tertiary-authors&gt;&lt;author&gt;Gallimard&lt;/author&gt;&lt;/tertiary-authors&gt;&lt;/contributors&gt;&lt;titles&gt;&lt;title&gt;Le nouvel esprit du capitalisme&lt;/title&gt;&lt;/titles&gt;&lt;pages&gt;843&lt;/pages&gt;&lt;dates&gt;&lt;year&gt;1999&lt;/year&gt;&lt;pub-dates&gt;&lt;date&gt;22 août 2002&lt;/date&gt;&lt;/pub-dates&gt;&lt;/dates&gt;&lt;pub-location&gt;Paris&lt;/pub-location&gt;&lt;isbn&gt;2-07-074995-9&lt;/isbn&gt;&lt;urls&gt;&lt;/urls&gt;&lt;/record&gt;&lt;/Cite&gt;&lt;/EndNote&gt;</w:instrText>
      </w:r>
      <w:r w:rsidRPr="003648BC">
        <w:fldChar w:fldCharType="separate"/>
      </w:r>
      <w:r w:rsidRPr="003648BC">
        <w:t>(</w:t>
      </w:r>
      <w:hyperlink w:anchor="_ENREF_2" w:tooltip="Boltanski, 1999 #25" w:history="1">
        <w:r w:rsidRPr="003648BC">
          <w:t>Boltanski and Chapiello 1999</w:t>
        </w:r>
      </w:hyperlink>
      <w:r w:rsidRPr="003648BC">
        <w:t>)</w:t>
      </w:r>
      <w:r w:rsidRPr="003648BC">
        <w:fldChar w:fldCharType="end"/>
      </w:r>
      <w:r>
        <w:t xml:space="preserve">)? </w:t>
      </w:r>
      <w:r w:rsidRPr="003648BC">
        <w:t>Based on these questions, I developed the following research question:  How do the projects that propose a</w:t>
      </w:r>
      <w:r w:rsidRPr="003648BC">
        <w:t>p</w:t>
      </w:r>
      <w:r w:rsidRPr="003648BC">
        <w:t xml:space="preserve">proaches other than the science-market-productivism triad connect up the various types of </w:t>
      </w:r>
      <w:r w:rsidRPr="003648BC">
        <w:lastRenderedPageBreak/>
        <w:t>qualification to establish equivalence amongst non-industrial seeds?</w:t>
      </w:r>
    </w:p>
    <w:p w14:paraId="2CD36042" w14:textId="77777777" w:rsidR="001F70E5" w:rsidRDefault="001F70E5" w:rsidP="001F70E5">
      <w:pPr>
        <w:pStyle w:val="Normaltext"/>
        <w:tabs>
          <w:tab w:val="left" w:pos="240"/>
        </w:tabs>
      </w:pPr>
    </w:p>
    <w:p w14:paraId="3CB14C81" w14:textId="2BE21357" w:rsidR="008E036D" w:rsidRPr="00BF3817" w:rsidRDefault="008E036D" w:rsidP="008E036D">
      <w:pPr>
        <w:pStyle w:val="berschrift11"/>
      </w:pPr>
      <w:r>
        <w:t>4. Cases Studies</w:t>
      </w:r>
    </w:p>
    <w:p w14:paraId="44207DAC" w14:textId="77777777" w:rsidR="00104EB7" w:rsidRDefault="00104EB7" w:rsidP="00CB16D2">
      <w:pPr>
        <w:pStyle w:val="Normaltext"/>
      </w:pPr>
      <w:r>
        <w:t>To answer these questions, I am working on a s</w:t>
      </w:r>
      <w:r>
        <w:t>e</w:t>
      </w:r>
      <w:r>
        <w:t xml:space="preserve">lected sample of cases that backs of each of these qualifications. </w:t>
      </w:r>
    </w:p>
    <w:p w14:paraId="0CE1D802" w14:textId="77777777" w:rsidR="008E036D" w:rsidRDefault="008E036D" w:rsidP="00CB16D2">
      <w:pPr>
        <w:pStyle w:val="Normaltext"/>
      </w:pPr>
    </w:p>
    <w:tbl>
      <w:tblPr>
        <w:tblStyle w:val="Grille"/>
        <w:tblW w:w="4361" w:type="dxa"/>
        <w:tblLook w:val="04A0" w:firstRow="1" w:lastRow="0" w:firstColumn="1" w:lastColumn="0" w:noHBand="0" w:noVBand="1"/>
      </w:tblPr>
      <w:tblGrid>
        <w:gridCol w:w="1297"/>
        <w:gridCol w:w="3064"/>
      </w:tblGrid>
      <w:tr w:rsidR="008E036D" w14:paraId="1B293896" w14:textId="77777777" w:rsidTr="008E036D">
        <w:tc>
          <w:tcPr>
            <w:tcW w:w="1297" w:type="dxa"/>
            <w:vAlign w:val="center"/>
          </w:tcPr>
          <w:p w14:paraId="5CE8FBA6" w14:textId="0E5FDE54" w:rsidR="008E036D" w:rsidRDefault="008E036D" w:rsidP="00CB16D2">
            <w:pPr>
              <w:pStyle w:val="Normaltext"/>
            </w:pPr>
            <w:r>
              <w:rPr>
                <w:szCs w:val="16"/>
              </w:rPr>
              <w:t>Qualifications</w:t>
            </w:r>
          </w:p>
        </w:tc>
        <w:tc>
          <w:tcPr>
            <w:tcW w:w="3064" w:type="dxa"/>
            <w:vAlign w:val="center"/>
          </w:tcPr>
          <w:p w14:paraId="710AF6B4" w14:textId="2F13549D" w:rsidR="008E036D" w:rsidRDefault="008E036D" w:rsidP="00CB16D2">
            <w:pPr>
              <w:pStyle w:val="Normaltext"/>
            </w:pPr>
            <w:r>
              <w:rPr>
                <w:rFonts w:ascii="Times-Roman" w:hAnsi="Times-Roman"/>
                <w:szCs w:val="16"/>
              </w:rPr>
              <w:t>Cases making it possible to characterize these qualifications</w:t>
            </w:r>
          </w:p>
        </w:tc>
      </w:tr>
      <w:tr w:rsidR="008E036D" w14:paraId="460DDDEC" w14:textId="77777777" w:rsidTr="008E036D">
        <w:tc>
          <w:tcPr>
            <w:tcW w:w="1297" w:type="dxa"/>
            <w:vAlign w:val="center"/>
          </w:tcPr>
          <w:p w14:paraId="176C9688" w14:textId="4AD56FA9" w:rsidR="008E036D" w:rsidRDefault="008E036D" w:rsidP="00CB16D2">
            <w:pPr>
              <w:pStyle w:val="Normaltext"/>
            </w:pPr>
            <w:r>
              <w:rPr>
                <w:rFonts w:ascii="Times-Roman" w:hAnsi="Times-Roman"/>
                <w:szCs w:val="16"/>
              </w:rPr>
              <w:t>Qualification of the plant mater</w:t>
            </w:r>
            <w:r>
              <w:rPr>
                <w:rFonts w:ascii="Times-Roman" w:hAnsi="Times-Roman"/>
                <w:szCs w:val="16"/>
              </w:rPr>
              <w:t>i</w:t>
            </w:r>
            <w:r>
              <w:rPr>
                <w:rFonts w:ascii="Times-Roman" w:hAnsi="Times-Roman"/>
                <w:szCs w:val="16"/>
              </w:rPr>
              <w:t>al</w:t>
            </w:r>
          </w:p>
        </w:tc>
        <w:tc>
          <w:tcPr>
            <w:tcW w:w="3064" w:type="dxa"/>
          </w:tcPr>
          <w:p w14:paraId="70161FC2" w14:textId="77777777" w:rsidR="008E036D" w:rsidRDefault="008E036D" w:rsidP="008E036D">
            <w:pPr>
              <w:rPr>
                <w:rFonts w:ascii="Times-Roman" w:hAnsi="Times-Roman"/>
                <w:sz w:val="16"/>
                <w:szCs w:val="16"/>
              </w:rPr>
            </w:pPr>
            <w:r>
              <w:rPr>
                <w:rFonts w:ascii="Times-Roman" w:hAnsi="Times-Roman"/>
                <w:sz w:val="16"/>
                <w:szCs w:val="16"/>
              </w:rPr>
              <w:t>- Participatory plant breeding by INRA (France)</w:t>
            </w:r>
          </w:p>
          <w:p w14:paraId="3BD7902F" w14:textId="1BCD480B" w:rsidR="008E036D" w:rsidRDefault="008E036D" w:rsidP="008E036D">
            <w:pPr>
              <w:pStyle w:val="Normaltext"/>
            </w:pPr>
            <w:r>
              <w:rPr>
                <w:rFonts w:ascii="Times-Roman" w:hAnsi="Times-Roman"/>
                <w:szCs w:val="16"/>
              </w:rPr>
              <w:t xml:space="preserve">- Participatory plant breeding within </w:t>
            </w:r>
            <w:r w:rsidRPr="00390DAC">
              <w:rPr>
                <w:rFonts w:ascii="Times-Roman" w:hAnsi="Times-Roman"/>
                <w:i/>
                <w:szCs w:val="16"/>
              </w:rPr>
              <w:t>Ass</w:t>
            </w:r>
            <w:r w:rsidRPr="00390DAC">
              <w:rPr>
                <w:rFonts w:ascii="Times-Roman" w:hAnsi="Times-Roman"/>
                <w:i/>
                <w:szCs w:val="16"/>
              </w:rPr>
              <w:t>o</w:t>
            </w:r>
            <w:r w:rsidRPr="00390DAC">
              <w:rPr>
                <w:rFonts w:ascii="Times-Roman" w:hAnsi="Times-Roman"/>
                <w:i/>
                <w:szCs w:val="16"/>
              </w:rPr>
              <w:t>ciação do Semi-Arido</w:t>
            </w:r>
            <w:r>
              <w:rPr>
                <w:rFonts w:ascii="Times-Roman" w:hAnsi="Times-Roman"/>
                <w:szCs w:val="16"/>
              </w:rPr>
              <w:t xml:space="preserve"> (ASA) (Brazil)</w:t>
            </w:r>
          </w:p>
        </w:tc>
      </w:tr>
      <w:tr w:rsidR="008E036D" w14:paraId="633B90DC" w14:textId="77777777" w:rsidTr="008E036D">
        <w:tc>
          <w:tcPr>
            <w:tcW w:w="1297" w:type="dxa"/>
            <w:vAlign w:val="center"/>
          </w:tcPr>
          <w:p w14:paraId="49728B76" w14:textId="09706627" w:rsidR="008E036D" w:rsidRDefault="008E036D" w:rsidP="00CB16D2">
            <w:pPr>
              <w:pStyle w:val="Normaltext"/>
            </w:pPr>
            <w:r>
              <w:rPr>
                <w:rFonts w:ascii="Times-Roman" w:hAnsi="Times-Roman"/>
                <w:szCs w:val="16"/>
              </w:rPr>
              <w:t>Legal qualific</w:t>
            </w:r>
            <w:r>
              <w:rPr>
                <w:rFonts w:ascii="Times-Roman" w:hAnsi="Times-Roman"/>
                <w:szCs w:val="16"/>
              </w:rPr>
              <w:t>a</w:t>
            </w:r>
            <w:r>
              <w:rPr>
                <w:rFonts w:ascii="Times-Roman" w:hAnsi="Times-Roman"/>
                <w:szCs w:val="16"/>
              </w:rPr>
              <w:t>tion</w:t>
            </w:r>
          </w:p>
        </w:tc>
        <w:tc>
          <w:tcPr>
            <w:tcW w:w="3064" w:type="dxa"/>
          </w:tcPr>
          <w:p w14:paraId="32DA1EA3" w14:textId="77777777" w:rsidR="008E036D" w:rsidRDefault="008E036D" w:rsidP="008E036D">
            <w:pPr>
              <w:rPr>
                <w:rFonts w:ascii="Times-Roman" w:hAnsi="Times-Roman"/>
                <w:sz w:val="16"/>
                <w:szCs w:val="16"/>
              </w:rPr>
            </w:pPr>
            <w:r>
              <w:rPr>
                <w:rFonts w:ascii="Times-Roman" w:hAnsi="Times-Roman"/>
                <w:sz w:val="16"/>
                <w:szCs w:val="16"/>
              </w:rPr>
              <w:t>- Criticism of changes in European legisl</w:t>
            </w:r>
            <w:r>
              <w:rPr>
                <w:rFonts w:ascii="Times-Roman" w:hAnsi="Times-Roman"/>
                <w:sz w:val="16"/>
                <w:szCs w:val="16"/>
              </w:rPr>
              <w:t>a</w:t>
            </w:r>
            <w:r>
              <w:rPr>
                <w:rFonts w:ascii="Times-Roman" w:hAnsi="Times-Roman"/>
                <w:sz w:val="16"/>
                <w:szCs w:val="16"/>
              </w:rPr>
              <w:t>tion (Plant Reproductive Material Law, EU)</w:t>
            </w:r>
          </w:p>
          <w:p w14:paraId="4A5D0456" w14:textId="74D628B5" w:rsidR="008E036D" w:rsidRDefault="008E036D" w:rsidP="008E036D">
            <w:pPr>
              <w:pStyle w:val="Normaltext"/>
            </w:pPr>
            <w:r>
              <w:rPr>
                <w:rFonts w:ascii="Times-Roman" w:hAnsi="Times-Roman"/>
                <w:szCs w:val="16"/>
              </w:rPr>
              <w:t>- Kokopelli lawsuit (France/EU)</w:t>
            </w:r>
          </w:p>
        </w:tc>
      </w:tr>
      <w:tr w:rsidR="008E036D" w14:paraId="65122E93" w14:textId="77777777" w:rsidTr="003A3871">
        <w:tc>
          <w:tcPr>
            <w:tcW w:w="1297" w:type="dxa"/>
            <w:vAlign w:val="center"/>
          </w:tcPr>
          <w:p w14:paraId="3D8D9DCD" w14:textId="18D81C8E" w:rsidR="008E036D" w:rsidRDefault="008E036D" w:rsidP="00CB16D2">
            <w:pPr>
              <w:pStyle w:val="Normaltext"/>
            </w:pPr>
            <w:r>
              <w:rPr>
                <w:rFonts w:ascii="Times-Roman" w:hAnsi="Times-Roman"/>
                <w:szCs w:val="16"/>
              </w:rPr>
              <w:t>Qualification of the seeds’ circulation</w:t>
            </w:r>
          </w:p>
        </w:tc>
        <w:tc>
          <w:tcPr>
            <w:tcW w:w="3064" w:type="dxa"/>
          </w:tcPr>
          <w:p w14:paraId="3DBD0A60" w14:textId="77777777" w:rsidR="008E036D" w:rsidRDefault="008E036D" w:rsidP="008E036D">
            <w:pPr>
              <w:rPr>
                <w:rFonts w:ascii="Times-Roman" w:hAnsi="Times-Roman"/>
                <w:sz w:val="16"/>
                <w:szCs w:val="16"/>
              </w:rPr>
            </w:pPr>
            <w:r>
              <w:rPr>
                <w:rFonts w:ascii="Times-Roman" w:hAnsi="Times-Roman"/>
                <w:sz w:val="16"/>
                <w:szCs w:val="16"/>
              </w:rPr>
              <w:t>- Kaol Kozh (France)</w:t>
            </w:r>
          </w:p>
          <w:p w14:paraId="7CEB8FB2" w14:textId="1843E875" w:rsidR="008E036D" w:rsidRDefault="008E036D" w:rsidP="008E036D">
            <w:pPr>
              <w:pStyle w:val="Normaltext"/>
            </w:pPr>
            <w:r>
              <w:rPr>
                <w:rFonts w:ascii="Times-Roman" w:hAnsi="Times-Roman"/>
                <w:szCs w:val="16"/>
              </w:rPr>
              <w:t>- Croqueurs de carottes</w:t>
            </w:r>
            <w:r>
              <w:rPr>
                <w:rStyle w:val="Marquenotebasdepage"/>
                <w:rFonts w:ascii="Times-Roman" w:hAnsi="Times-Roman"/>
                <w:szCs w:val="16"/>
              </w:rPr>
              <w:footnoteReference w:id="1"/>
            </w:r>
            <w:r>
              <w:rPr>
                <w:rFonts w:ascii="Times-Roman" w:hAnsi="Times-Roman"/>
                <w:szCs w:val="16"/>
              </w:rPr>
              <w:t xml:space="preserve"> (France/Belgium)</w:t>
            </w:r>
          </w:p>
        </w:tc>
      </w:tr>
      <w:tr w:rsidR="008E036D" w14:paraId="621D23E8" w14:textId="77777777" w:rsidTr="003A3871">
        <w:tc>
          <w:tcPr>
            <w:tcW w:w="1297" w:type="dxa"/>
            <w:vAlign w:val="center"/>
          </w:tcPr>
          <w:p w14:paraId="64E44840" w14:textId="275A0D09" w:rsidR="008E036D" w:rsidRDefault="008E036D" w:rsidP="00CB16D2">
            <w:pPr>
              <w:pStyle w:val="Normaltext"/>
            </w:pPr>
            <w:r>
              <w:rPr>
                <w:rFonts w:ascii="Times-Roman" w:hAnsi="Times-Roman"/>
                <w:szCs w:val="16"/>
              </w:rPr>
              <w:t>Political qualif</w:t>
            </w:r>
            <w:r>
              <w:rPr>
                <w:rFonts w:ascii="Times-Roman" w:hAnsi="Times-Roman"/>
                <w:szCs w:val="16"/>
              </w:rPr>
              <w:t>i</w:t>
            </w:r>
            <w:r>
              <w:rPr>
                <w:rFonts w:ascii="Times-Roman" w:hAnsi="Times-Roman"/>
                <w:szCs w:val="16"/>
              </w:rPr>
              <w:t>cation</w:t>
            </w:r>
          </w:p>
        </w:tc>
        <w:tc>
          <w:tcPr>
            <w:tcW w:w="3064" w:type="dxa"/>
          </w:tcPr>
          <w:p w14:paraId="460A1BB3" w14:textId="77777777" w:rsidR="008E036D" w:rsidRDefault="008E036D" w:rsidP="008E036D">
            <w:pPr>
              <w:rPr>
                <w:rFonts w:ascii="Times-Roman" w:hAnsi="Times-Roman"/>
                <w:sz w:val="16"/>
                <w:szCs w:val="16"/>
              </w:rPr>
            </w:pPr>
            <w:r>
              <w:rPr>
                <w:rFonts w:ascii="Times-Roman" w:hAnsi="Times-Roman"/>
                <w:sz w:val="16"/>
                <w:szCs w:val="16"/>
              </w:rPr>
              <w:t xml:space="preserve">- </w:t>
            </w:r>
            <w:r w:rsidRPr="00390DAC">
              <w:rPr>
                <w:rFonts w:ascii="Times-Roman" w:hAnsi="Times-Roman"/>
                <w:i/>
                <w:sz w:val="16"/>
                <w:szCs w:val="16"/>
              </w:rPr>
              <w:t>Maison des semences citoyennes</w:t>
            </w:r>
            <w:r>
              <w:rPr>
                <w:rStyle w:val="Marquenotebasdepage"/>
                <w:rFonts w:ascii="Times-Roman" w:hAnsi="Times-Roman"/>
                <w:sz w:val="16"/>
                <w:szCs w:val="16"/>
              </w:rPr>
              <w:footnoteReference w:id="2"/>
            </w:r>
            <w:r>
              <w:rPr>
                <w:rFonts w:ascii="Times-Roman" w:hAnsi="Times-Roman"/>
                <w:sz w:val="16"/>
                <w:szCs w:val="16"/>
              </w:rPr>
              <w:t xml:space="preserve"> (Belg</w:t>
            </w:r>
            <w:r>
              <w:rPr>
                <w:rFonts w:ascii="Times-Roman" w:hAnsi="Times-Roman"/>
                <w:sz w:val="16"/>
                <w:szCs w:val="16"/>
              </w:rPr>
              <w:t>i</w:t>
            </w:r>
            <w:r>
              <w:rPr>
                <w:rFonts w:ascii="Times-Roman" w:hAnsi="Times-Roman"/>
                <w:sz w:val="16"/>
                <w:szCs w:val="16"/>
              </w:rPr>
              <w:t>um)</w:t>
            </w:r>
          </w:p>
          <w:p w14:paraId="0CD583D0" w14:textId="77777777" w:rsidR="008E036D" w:rsidRDefault="008E036D" w:rsidP="008E036D">
            <w:pPr>
              <w:rPr>
                <w:rFonts w:ascii="Times-Roman" w:hAnsi="Times-Roman"/>
                <w:sz w:val="16"/>
                <w:szCs w:val="16"/>
              </w:rPr>
            </w:pPr>
            <w:r>
              <w:rPr>
                <w:rFonts w:ascii="Times-Roman" w:hAnsi="Times-Roman"/>
                <w:sz w:val="16"/>
                <w:szCs w:val="16"/>
              </w:rPr>
              <w:t>- ASA (Brazil)</w:t>
            </w:r>
          </w:p>
          <w:p w14:paraId="24B4BE1B" w14:textId="762E779C" w:rsidR="008E036D" w:rsidRDefault="008E036D" w:rsidP="008E036D">
            <w:pPr>
              <w:pStyle w:val="Normaltext"/>
            </w:pPr>
            <w:r>
              <w:rPr>
                <w:rFonts w:ascii="Times-Roman" w:hAnsi="Times-Roman"/>
                <w:szCs w:val="16"/>
              </w:rPr>
              <w:t>- Bionatur (MST) (Brazil)</w:t>
            </w:r>
          </w:p>
        </w:tc>
      </w:tr>
    </w:tbl>
    <w:p w14:paraId="4F288C82" w14:textId="77777777" w:rsidR="008E036D" w:rsidRDefault="008E036D" w:rsidP="00CB16D2">
      <w:pPr>
        <w:pStyle w:val="Normaltext"/>
      </w:pPr>
    </w:p>
    <w:p w14:paraId="5C824393" w14:textId="42D91560" w:rsidR="007F423C" w:rsidRPr="00AC0F75" w:rsidRDefault="00AC0F75" w:rsidP="003A3871">
      <w:pPr>
        <w:pStyle w:val="Normaltext"/>
      </w:pPr>
      <w:r w:rsidRPr="00AC0F75">
        <w:t xml:space="preserve">I chose them on the basis of their strong typologies in order to provide inputs for each of the types of qualification. </w:t>
      </w:r>
    </w:p>
    <w:p w14:paraId="0C674462" w14:textId="77777777" w:rsidR="007F423C" w:rsidRPr="00BF3817" w:rsidRDefault="007F423C">
      <w:pPr>
        <w:pStyle w:val="berschrift11"/>
      </w:pPr>
      <w:r w:rsidRPr="00BF3817">
        <w:t>References</w:t>
      </w:r>
    </w:p>
    <w:p w14:paraId="70B71F3E" w14:textId="77777777" w:rsidR="00AC0F75" w:rsidRPr="003A3871" w:rsidRDefault="00104EB7" w:rsidP="00AC0F75">
      <w:pPr>
        <w:pStyle w:val="Normaltext"/>
        <w:spacing w:before="80"/>
        <w:rPr>
          <w:noProof/>
        </w:rPr>
      </w:pPr>
      <w:bookmarkStart w:id="1" w:name="_ENREF_1"/>
      <w:r w:rsidRPr="003A3871">
        <w:rPr>
          <w:noProof/>
        </w:rPr>
        <w:t xml:space="preserve">Allaire, G. (2004). "Coopération, qualification professionnelle et régimes de responsabilité (Innovation institutionnelle et crise professionnelle en agriculture)." </w:t>
      </w:r>
      <w:r w:rsidRPr="003A3871">
        <w:rPr>
          <w:noProof/>
          <w:u w:val="single"/>
        </w:rPr>
        <w:t>Economies et Sociétés</w:t>
      </w:r>
      <w:r w:rsidRPr="003A3871">
        <w:rPr>
          <w:noProof/>
        </w:rPr>
        <w:t xml:space="preserve"> n°23.</w:t>
      </w:r>
      <w:bookmarkEnd w:id="1"/>
    </w:p>
    <w:p w14:paraId="3C367DD7" w14:textId="77777777" w:rsidR="00104EB7" w:rsidRDefault="00104EB7" w:rsidP="00AC0F75">
      <w:pPr>
        <w:pStyle w:val="Normaltext"/>
        <w:spacing w:before="80"/>
        <w:rPr>
          <w:noProof/>
        </w:rPr>
      </w:pPr>
      <w:bookmarkStart w:id="2" w:name="_ENREF_2"/>
      <w:r>
        <w:rPr>
          <w:noProof/>
        </w:rPr>
        <w:t xml:space="preserve">Boltanski, L. and E. Chapiello (1999). </w:t>
      </w:r>
      <w:r w:rsidRPr="00AC0F75">
        <w:rPr>
          <w:noProof/>
        </w:rPr>
        <w:t>Le nouvel esprit du capitalisme</w:t>
      </w:r>
      <w:r>
        <w:rPr>
          <w:noProof/>
        </w:rPr>
        <w:t>. Paris.</w:t>
      </w:r>
      <w:bookmarkEnd w:id="2"/>
    </w:p>
    <w:p w14:paraId="118685BD" w14:textId="77777777" w:rsidR="00104EB7" w:rsidRDefault="00104EB7" w:rsidP="00AC0F75">
      <w:pPr>
        <w:pStyle w:val="Normaltext"/>
        <w:spacing w:before="80"/>
        <w:rPr>
          <w:noProof/>
        </w:rPr>
      </w:pPr>
      <w:bookmarkStart w:id="3" w:name="_ENREF_3"/>
      <w:r>
        <w:rPr>
          <w:noProof/>
        </w:rPr>
        <w:t xml:space="preserve">Bonneuil C. , Demeulenaere E., et al. (2006). "Innover autrement? La recherche face à l'avènement d'un nouveau régime de production et de régulation des savoirs en génétique végétale." </w:t>
      </w:r>
      <w:r w:rsidRPr="00AC0F75">
        <w:rPr>
          <w:noProof/>
        </w:rPr>
        <w:t>Dossier de l'environnement de l'INRA</w:t>
      </w:r>
      <w:r>
        <w:rPr>
          <w:noProof/>
        </w:rPr>
        <w:t xml:space="preserve"> </w:t>
      </w:r>
      <w:r w:rsidRPr="00AC0F75">
        <w:rPr>
          <w:noProof/>
        </w:rPr>
        <w:t>N°30</w:t>
      </w:r>
      <w:r>
        <w:rPr>
          <w:noProof/>
        </w:rPr>
        <w:t>: 29-51.</w:t>
      </w:r>
      <w:bookmarkEnd w:id="3"/>
    </w:p>
    <w:p w14:paraId="70C554F6" w14:textId="77777777" w:rsidR="00104EB7" w:rsidRDefault="00104EB7" w:rsidP="00AC0F75">
      <w:pPr>
        <w:pStyle w:val="Normaltext"/>
        <w:spacing w:before="80"/>
        <w:rPr>
          <w:noProof/>
        </w:rPr>
      </w:pPr>
      <w:bookmarkStart w:id="4" w:name="_ENREF_4"/>
      <w:r>
        <w:rPr>
          <w:noProof/>
        </w:rPr>
        <w:t xml:space="preserve">Boy, L. (2008). "L'évolution de la réglementation internationale : vers une remise en cause des semences paysannes ou du privilège de l'agriculteur." </w:t>
      </w:r>
      <w:r w:rsidRPr="00AC0F75">
        <w:rPr>
          <w:noProof/>
        </w:rPr>
        <w:t>Revue internationale de droit économique</w:t>
      </w:r>
      <w:r>
        <w:rPr>
          <w:noProof/>
        </w:rPr>
        <w:t xml:space="preserve"> </w:t>
      </w:r>
      <w:r w:rsidRPr="00AC0F75">
        <w:rPr>
          <w:noProof/>
        </w:rPr>
        <w:t>t.XXIII, 3</w:t>
      </w:r>
      <w:r>
        <w:rPr>
          <w:noProof/>
        </w:rPr>
        <w:t>: 293 - 313.</w:t>
      </w:r>
      <w:bookmarkEnd w:id="4"/>
    </w:p>
    <w:p w14:paraId="5D594F23" w14:textId="77777777" w:rsidR="00104EB7" w:rsidRDefault="00104EB7" w:rsidP="00AC0F75">
      <w:pPr>
        <w:pStyle w:val="Normaltext"/>
        <w:spacing w:before="80"/>
        <w:rPr>
          <w:noProof/>
        </w:rPr>
      </w:pPr>
      <w:bookmarkStart w:id="5" w:name="_ENREF_5"/>
      <w:r>
        <w:rPr>
          <w:noProof/>
        </w:rPr>
        <w:t xml:space="preserve">Ceccarellin, S. (2006). Decentralized - Participatory Plant Breeding: Lessons from the South - Perspectives in the North. </w:t>
      </w:r>
      <w:r w:rsidRPr="00AC0F75">
        <w:rPr>
          <w:noProof/>
        </w:rPr>
        <w:t>Proceedings of the ECO-PB Workshop : “Participatory Plant Breeding : Relevance for Organic Agriculture ?”</w:t>
      </w:r>
      <w:r>
        <w:rPr>
          <w:noProof/>
        </w:rPr>
        <w:t>. E. C. f. O. P. Breeding. La Besse - France, Desclaux D. and Hédont M.</w:t>
      </w:r>
      <w:r w:rsidRPr="00AC0F75">
        <w:rPr>
          <w:noProof/>
        </w:rPr>
        <w:t xml:space="preserve">: </w:t>
      </w:r>
      <w:r>
        <w:rPr>
          <w:noProof/>
        </w:rPr>
        <w:t>8-15.</w:t>
      </w:r>
      <w:bookmarkEnd w:id="5"/>
    </w:p>
    <w:p w14:paraId="463DCF9A" w14:textId="77777777" w:rsidR="00104EB7" w:rsidRDefault="00104EB7" w:rsidP="00AC0F75">
      <w:pPr>
        <w:pStyle w:val="Normaltext"/>
        <w:spacing w:before="80"/>
        <w:rPr>
          <w:noProof/>
        </w:rPr>
      </w:pPr>
      <w:bookmarkStart w:id="6" w:name="_ENREF_6"/>
      <w:r>
        <w:rPr>
          <w:noProof/>
        </w:rPr>
        <w:t xml:space="preserve">Cheyns, E. (2003). "Le rôle des institutions professionelles dans la production et la garantie de la qualité des produits." </w:t>
      </w:r>
      <w:r w:rsidRPr="00AC0F75">
        <w:rPr>
          <w:noProof/>
        </w:rPr>
        <w:t>CIRAD</w:t>
      </w:r>
      <w:r>
        <w:rPr>
          <w:noProof/>
        </w:rPr>
        <w:t>: 59-73.</w:t>
      </w:r>
      <w:bookmarkEnd w:id="6"/>
    </w:p>
    <w:p w14:paraId="4C521146" w14:textId="77777777" w:rsidR="00104EB7" w:rsidRDefault="00104EB7" w:rsidP="00AC0F75">
      <w:pPr>
        <w:pStyle w:val="Normaltext"/>
        <w:spacing w:before="80"/>
        <w:rPr>
          <w:noProof/>
        </w:rPr>
      </w:pPr>
      <w:bookmarkStart w:id="7" w:name="_ENREF_7"/>
      <w:r>
        <w:rPr>
          <w:noProof/>
        </w:rPr>
        <w:t xml:space="preserve">Chiffoleau, Y. (2006). "La sélection participative, du Sud au Nord : enjeux et conditions d'un "transfert"." </w:t>
      </w:r>
      <w:r w:rsidRPr="00AC0F75">
        <w:rPr>
          <w:noProof/>
        </w:rPr>
        <w:t>Dossier de l'environnement de l'INRA</w:t>
      </w:r>
      <w:r>
        <w:rPr>
          <w:noProof/>
        </w:rPr>
        <w:t xml:space="preserve"> </w:t>
      </w:r>
      <w:r w:rsidRPr="00AC0F75">
        <w:rPr>
          <w:noProof/>
        </w:rPr>
        <w:t>30</w:t>
      </w:r>
      <w:r>
        <w:rPr>
          <w:noProof/>
        </w:rPr>
        <w:t>: 145- 151.</w:t>
      </w:r>
      <w:bookmarkEnd w:id="7"/>
    </w:p>
    <w:p w14:paraId="036D8B77" w14:textId="77777777" w:rsidR="00104EB7" w:rsidRDefault="00104EB7" w:rsidP="00AC0F75">
      <w:pPr>
        <w:pStyle w:val="Normaltext"/>
        <w:spacing w:before="80"/>
        <w:rPr>
          <w:noProof/>
        </w:rPr>
      </w:pPr>
      <w:bookmarkStart w:id="8" w:name="_ENREF_8"/>
      <w:r>
        <w:rPr>
          <w:noProof/>
        </w:rPr>
        <w:t xml:space="preserve">Chiffoleu, Y. and D. Desclaux (2006). "Participatory plant breeding : the best way ti breed for sustainable agriculture ? ." </w:t>
      </w:r>
      <w:r w:rsidRPr="00AC0F75">
        <w:rPr>
          <w:noProof/>
        </w:rPr>
        <w:t>International Journal Of Agricultural Sustainability</w:t>
      </w:r>
      <w:r>
        <w:rPr>
          <w:noProof/>
        </w:rPr>
        <w:t xml:space="preserve"> </w:t>
      </w:r>
      <w:r w:rsidRPr="00AC0F75">
        <w:rPr>
          <w:noProof/>
        </w:rPr>
        <w:t>4(2)</w:t>
      </w:r>
      <w:r>
        <w:rPr>
          <w:noProof/>
        </w:rPr>
        <w:t>: 119-130.</w:t>
      </w:r>
      <w:bookmarkEnd w:id="8"/>
    </w:p>
    <w:p w14:paraId="1C8C1053" w14:textId="77777777" w:rsidR="00104EB7" w:rsidRDefault="00104EB7" w:rsidP="00AC0F75">
      <w:pPr>
        <w:pStyle w:val="Normaltext"/>
        <w:spacing w:before="80"/>
        <w:rPr>
          <w:noProof/>
        </w:rPr>
      </w:pPr>
      <w:bookmarkStart w:id="9" w:name="_ENREF_9"/>
      <w:r>
        <w:rPr>
          <w:noProof/>
        </w:rPr>
        <w:t xml:space="preserve">Commission Européenne (2013). "Proposition de RÈGLEMENT DU PARLEMENT EUROPÉEN ET DU CONSEIL relatif à la production et à la mise à disposition sur le marché de matériel de reproduction des végétaux (règlement sur le matériel de reproduction des végétaux)."  </w:t>
      </w:r>
      <w:r w:rsidRPr="00AC0F75">
        <w:rPr>
          <w:noProof/>
        </w:rPr>
        <w:t>2013/0137 (COD)</w:t>
      </w:r>
      <w:r>
        <w:rPr>
          <w:noProof/>
        </w:rPr>
        <w:t>: 157.</w:t>
      </w:r>
      <w:bookmarkEnd w:id="9"/>
    </w:p>
    <w:p w14:paraId="445B0D8E" w14:textId="77777777" w:rsidR="00104EB7" w:rsidRDefault="00104EB7" w:rsidP="00AC0F75">
      <w:pPr>
        <w:pStyle w:val="Normaltext"/>
        <w:spacing w:before="80"/>
        <w:rPr>
          <w:noProof/>
        </w:rPr>
      </w:pPr>
      <w:bookmarkStart w:id="10" w:name="_ENREF_10"/>
      <w:r>
        <w:rPr>
          <w:noProof/>
        </w:rPr>
        <w:t xml:space="preserve">Conseil, M. and V. Chable (2009). "Variétés et semences pour l'Agriculture Biologique : une réponse pour les choux par la sélection participative en Bretagne." </w:t>
      </w:r>
      <w:r w:rsidRPr="00AC0F75">
        <w:rPr>
          <w:noProof/>
        </w:rPr>
        <w:t>Innovation Agronomique</w:t>
      </w:r>
      <w:r>
        <w:rPr>
          <w:noProof/>
        </w:rPr>
        <w:t xml:space="preserve"> </w:t>
      </w:r>
      <w:r w:rsidRPr="00AC0F75">
        <w:rPr>
          <w:noProof/>
        </w:rPr>
        <w:t>n°4</w:t>
      </w:r>
      <w:r>
        <w:rPr>
          <w:noProof/>
        </w:rPr>
        <w:t>: 39-47.</w:t>
      </w:r>
      <w:bookmarkEnd w:id="10"/>
    </w:p>
    <w:p w14:paraId="7423CC69" w14:textId="77777777" w:rsidR="00104EB7" w:rsidRDefault="00104EB7" w:rsidP="00AC0F75">
      <w:pPr>
        <w:pStyle w:val="Normaltext"/>
        <w:spacing w:before="80"/>
        <w:rPr>
          <w:noProof/>
        </w:rPr>
      </w:pPr>
      <w:bookmarkStart w:id="11" w:name="_ENREF_11"/>
      <w:r>
        <w:rPr>
          <w:noProof/>
        </w:rPr>
        <w:t xml:space="preserve">Demeulenaere, E. and C. Bonneuil (2007). Vers une génétique de pair à pair? L'émergence de la sélection participative. </w:t>
      </w:r>
      <w:r w:rsidRPr="00AC0F75">
        <w:rPr>
          <w:noProof/>
        </w:rPr>
        <w:t>Les sciences citoyennes. Vigilance collective et rapport entre profane et scientifique dans les sciences naturalistes</w:t>
      </w:r>
      <w:r>
        <w:rPr>
          <w:noProof/>
        </w:rPr>
        <w:t>. E. d. l'Aube, Charvolin F. et Micoud A. et Nyhart L.K.</w:t>
      </w:r>
      <w:r w:rsidRPr="00AC0F75">
        <w:rPr>
          <w:noProof/>
        </w:rPr>
        <w:t xml:space="preserve">: </w:t>
      </w:r>
      <w:r>
        <w:rPr>
          <w:noProof/>
        </w:rPr>
        <w:t>122-147.</w:t>
      </w:r>
      <w:bookmarkEnd w:id="11"/>
    </w:p>
    <w:p w14:paraId="1C65D175" w14:textId="77777777" w:rsidR="00104EB7" w:rsidRDefault="00104EB7" w:rsidP="00AC0F75">
      <w:pPr>
        <w:pStyle w:val="Normaltext"/>
        <w:spacing w:before="80"/>
        <w:rPr>
          <w:noProof/>
        </w:rPr>
      </w:pPr>
      <w:bookmarkStart w:id="12" w:name="_ENREF_12"/>
      <w:r>
        <w:rPr>
          <w:noProof/>
        </w:rPr>
        <w:t xml:space="preserve">Demeulenaere, E. and C. Bonneuil (2011/2). "Des semences en partage. Construction sociale et identitaire d'un collectif "paysan" autour de pratiques semencières alternatives." </w:t>
      </w:r>
      <w:r w:rsidRPr="00AC0F75">
        <w:rPr>
          <w:noProof/>
        </w:rPr>
        <w:t>Techniques &amp; Culture</w:t>
      </w:r>
      <w:r>
        <w:rPr>
          <w:noProof/>
        </w:rPr>
        <w:t xml:space="preserve"> </w:t>
      </w:r>
      <w:r w:rsidRPr="00AC0F75">
        <w:rPr>
          <w:noProof/>
        </w:rPr>
        <w:t>57</w:t>
      </w:r>
      <w:r>
        <w:rPr>
          <w:noProof/>
        </w:rPr>
        <w:t>: 202-221.</w:t>
      </w:r>
      <w:bookmarkEnd w:id="12"/>
    </w:p>
    <w:p w14:paraId="09212BFB" w14:textId="77777777" w:rsidR="00104EB7" w:rsidRPr="00AC0F75" w:rsidRDefault="00104EB7" w:rsidP="00AC0F75">
      <w:pPr>
        <w:pStyle w:val="Normaltext"/>
        <w:spacing w:before="80"/>
        <w:rPr>
          <w:noProof/>
        </w:rPr>
      </w:pPr>
      <w:bookmarkStart w:id="13" w:name="_ENREF_13"/>
      <w:r>
        <w:rPr>
          <w:noProof/>
        </w:rPr>
        <w:t xml:space="preserve">Desclaux, D., J.-M. Nolot, et al. (2008). "Changes in the concept of genetype X environnment interactions to fit agriculture diversification and decentralized participatory plant breeding : pluridisciplinary point of view." </w:t>
      </w:r>
      <w:r w:rsidRPr="00AC0F75">
        <w:rPr>
          <w:noProof/>
        </w:rPr>
        <w:t>Euphytica 163</w:t>
      </w:r>
      <w:r>
        <w:rPr>
          <w:noProof/>
        </w:rPr>
        <w:t>: 533-546.</w:t>
      </w:r>
      <w:bookmarkEnd w:id="13"/>
    </w:p>
    <w:p w14:paraId="58A0F1AE" w14:textId="77777777" w:rsidR="00104EB7" w:rsidRDefault="00104EB7" w:rsidP="00AC0F75">
      <w:pPr>
        <w:pStyle w:val="Normaltext"/>
        <w:spacing w:before="80"/>
        <w:rPr>
          <w:noProof/>
        </w:rPr>
      </w:pPr>
      <w:bookmarkStart w:id="14" w:name="_ENREF_14"/>
      <w:r>
        <w:rPr>
          <w:noProof/>
        </w:rPr>
        <w:t xml:space="preserve">Kloppenburg, J. (2012). Seed Sovereignty. The promise of open source biology. </w:t>
      </w:r>
      <w:r w:rsidRPr="00AC0F75">
        <w:rPr>
          <w:noProof/>
        </w:rPr>
        <w:t>Food Sovereignty. Reconnectiong food, Nature and Community</w:t>
      </w:r>
      <w:r>
        <w:rPr>
          <w:noProof/>
        </w:rPr>
        <w:t>, Fernwood Publishing</w:t>
      </w:r>
      <w:r w:rsidRPr="00AC0F75">
        <w:rPr>
          <w:noProof/>
        </w:rPr>
        <w:t xml:space="preserve">: </w:t>
      </w:r>
      <w:r>
        <w:rPr>
          <w:noProof/>
        </w:rPr>
        <w:t>152-167.</w:t>
      </w:r>
      <w:bookmarkEnd w:id="14"/>
    </w:p>
    <w:p w14:paraId="31649493" w14:textId="77777777" w:rsidR="00104EB7" w:rsidRDefault="00104EB7" w:rsidP="00AC0F75">
      <w:pPr>
        <w:pStyle w:val="Normaltext"/>
        <w:spacing w:before="80"/>
        <w:rPr>
          <w:noProof/>
        </w:rPr>
      </w:pPr>
      <w:bookmarkStart w:id="15" w:name="_ENREF_15"/>
      <w:r>
        <w:rPr>
          <w:noProof/>
        </w:rPr>
        <w:t xml:space="preserve">Papy, F. and I. Goldringer (2011). "Cultiver la biodiversité." </w:t>
      </w:r>
      <w:r w:rsidRPr="00AC0F75">
        <w:rPr>
          <w:noProof/>
        </w:rPr>
        <w:t>Courrier de l'environnement de l'INRA</w:t>
      </w:r>
      <w:r>
        <w:rPr>
          <w:noProof/>
        </w:rPr>
        <w:t xml:space="preserve"> </w:t>
      </w:r>
      <w:r w:rsidRPr="00AC0F75">
        <w:rPr>
          <w:noProof/>
        </w:rPr>
        <w:t>N°60</w:t>
      </w:r>
      <w:r>
        <w:rPr>
          <w:noProof/>
        </w:rPr>
        <w:t>: 55-62.</w:t>
      </w:r>
      <w:bookmarkEnd w:id="15"/>
    </w:p>
    <w:p w14:paraId="7AA4A89C" w14:textId="77777777" w:rsidR="00104EB7" w:rsidRDefault="00104EB7" w:rsidP="00AC0F75">
      <w:pPr>
        <w:pStyle w:val="Normaltext"/>
        <w:spacing w:before="80"/>
        <w:rPr>
          <w:noProof/>
        </w:rPr>
      </w:pPr>
      <w:r>
        <w:rPr>
          <w:noProof/>
        </w:rPr>
        <w:t xml:space="preserve">Torre, A. (2002). "Les AOC sont-elles des Clubs? Réflexions sur les conditions de l'action collective localisée entre coopération et règles formelles." </w:t>
      </w:r>
      <w:r w:rsidRPr="00AC0F75">
        <w:rPr>
          <w:noProof/>
        </w:rPr>
        <w:t>Revue d'Economie Industrielle</w:t>
      </w:r>
      <w:r>
        <w:rPr>
          <w:noProof/>
        </w:rPr>
        <w:t xml:space="preserve"> </w:t>
      </w:r>
      <w:r w:rsidRPr="00AC0F75">
        <w:rPr>
          <w:noProof/>
        </w:rPr>
        <w:t>100</w:t>
      </w:r>
      <w:r>
        <w:rPr>
          <w:noProof/>
        </w:rPr>
        <w:t>: 39-62.</w:t>
      </w:r>
    </w:p>
    <w:p w14:paraId="19E56761" w14:textId="77777777" w:rsidR="007F423C" w:rsidRPr="00BF3817" w:rsidRDefault="007F423C" w:rsidP="00D23870">
      <w:pPr>
        <w:pStyle w:val="Normaltext"/>
        <w:spacing w:before="80"/>
        <w:rPr>
          <w:noProof/>
        </w:rPr>
      </w:pPr>
    </w:p>
    <w:sectPr w:rsidR="007F423C" w:rsidRPr="00BF3817">
      <w:type w:val="continuous"/>
      <w:pgSz w:w="11907" w:h="16840" w:code="9"/>
      <w:pgMar w:top="1134" w:right="1134" w:bottom="1134" w:left="1474" w:header="709" w:footer="709" w:gutter="0"/>
      <w:cols w:num="2" w:space="720" w:equalWidth="0">
        <w:col w:w="4295" w:space="708"/>
        <w:col w:w="4295"/>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6299E" w14:textId="77777777" w:rsidR="003A3871" w:rsidRDefault="003A3871">
      <w:r>
        <w:separator/>
      </w:r>
    </w:p>
  </w:endnote>
  <w:endnote w:type="continuationSeparator" w:id="0">
    <w:p w14:paraId="32FA2579" w14:textId="77777777" w:rsidR="003A3871" w:rsidRDefault="003A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Times-Roman">
    <w:altName w:val="Times"/>
    <w:panose1 w:val="00000000000000000000"/>
    <w:charset w:val="00"/>
    <w:family w:val="roman"/>
    <w:notTrueType/>
    <w:pitch w:val="default"/>
    <w:sig w:usb0="03000000"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0D7F7" w14:textId="77777777" w:rsidR="003A3871" w:rsidRDefault="003A3871" w:rsidP="00BD295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3E9E2FD" w14:textId="77777777" w:rsidR="003A3871" w:rsidRDefault="003A3871" w:rsidP="00CD5A2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36125" w14:textId="77777777" w:rsidR="003A3871" w:rsidRPr="00405D42" w:rsidRDefault="003A3871" w:rsidP="00CD5A2F">
    <w:pPr>
      <w:pStyle w:val="Pieddepage"/>
      <w:ind w:right="360"/>
      <w:rPr>
        <w:rFonts w:ascii="Verdana" w:hAnsi="Verdana"/>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BADB6" w14:textId="77777777" w:rsidR="003A3871" w:rsidRDefault="003A3871">
      <w:r>
        <w:separator/>
      </w:r>
    </w:p>
  </w:footnote>
  <w:footnote w:type="continuationSeparator" w:id="0">
    <w:p w14:paraId="2E876DD0" w14:textId="77777777" w:rsidR="003A3871" w:rsidRDefault="003A3871">
      <w:r>
        <w:continuationSeparator/>
      </w:r>
    </w:p>
  </w:footnote>
  <w:footnote w:id="1">
    <w:p w14:paraId="00399358" w14:textId="77777777" w:rsidR="003A3871" w:rsidRDefault="003A3871" w:rsidP="008E036D">
      <w:pPr>
        <w:pStyle w:val="Notedebasdepage"/>
      </w:pPr>
      <w:r>
        <w:rPr>
          <w:rStyle w:val="Marquenotebasdepage"/>
        </w:rPr>
        <w:footnoteRef/>
      </w:r>
      <w:r>
        <w:t xml:space="preserve"> “Carrot Crunchers”</w:t>
      </w:r>
    </w:p>
  </w:footnote>
  <w:footnote w:id="2">
    <w:p w14:paraId="6FAF8C96" w14:textId="77777777" w:rsidR="003A3871" w:rsidRDefault="003A3871" w:rsidP="008E036D">
      <w:pPr>
        <w:pStyle w:val="Notedebasdepage"/>
      </w:pPr>
      <w:r>
        <w:rPr>
          <w:rStyle w:val="Marquenotebasdepage"/>
        </w:rPr>
        <w:footnoteRef/>
      </w:r>
      <w:r>
        <w:t xml:space="preserve"> “Civic Seeds” Centre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
      <w:tblW w:w="0" w:type="auto"/>
      <w:tblBorders>
        <w:top w:val="none" w:sz="0" w:space="0" w:color="auto"/>
        <w:left w:val="none" w:sz="0" w:space="0" w:color="auto"/>
        <w:bottom w:val="single" w:sz="6" w:space="0" w:color="777777"/>
        <w:right w:val="none" w:sz="0" w:space="0" w:color="auto"/>
        <w:insideH w:val="none" w:sz="0" w:space="0" w:color="auto"/>
        <w:insideV w:val="none" w:sz="0" w:space="0" w:color="auto"/>
      </w:tblBorders>
      <w:tblLook w:val="04A0" w:firstRow="1" w:lastRow="0" w:firstColumn="1" w:lastColumn="0" w:noHBand="0" w:noVBand="1"/>
    </w:tblPr>
    <w:tblGrid>
      <w:gridCol w:w="2518"/>
      <w:gridCol w:w="3827"/>
      <w:gridCol w:w="3008"/>
    </w:tblGrid>
    <w:tr w:rsidR="003A3871" w:rsidRPr="004A662A" w14:paraId="41439209" w14:textId="77777777" w:rsidTr="001B519B">
      <w:tc>
        <w:tcPr>
          <w:tcW w:w="2518" w:type="dxa"/>
          <w:vAlign w:val="center"/>
        </w:tcPr>
        <w:p w14:paraId="5E387657" w14:textId="77777777" w:rsidR="003A3871" w:rsidRPr="001B519B" w:rsidRDefault="003A3871" w:rsidP="00CB16D2">
          <w:pPr>
            <w:pStyle w:val="En-tte"/>
            <w:rPr>
              <w:rFonts w:ascii="Verdana" w:hAnsi="Verdana"/>
              <w:color w:val="A20000"/>
              <w:lang w:val="en-GB"/>
            </w:rPr>
          </w:pPr>
          <w:r>
            <w:rPr>
              <w:rFonts w:ascii="Cambria" w:hAnsi="Cambria"/>
              <w:noProof/>
              <w:color w:val="A20000"/>
              <w:lang w:val="fr-FR" w:eastAsia="fr-FR"/>
            </w:rPr>
            <w:drawing>
              <wp:inline distT="0" distB="0" distL="0" distR="0" wp14:anchorId="0692116A" wp14:editId="2CB2C0F6">
                <wp:extent cx="661670" cy="418465"/>
                <wp:effectExtent l="0" t="0" r="0" b="0"/>
                <wp:docPr id="10"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418465"/>
                        </a:xfrm>
                        <a:prstGeom prst="rect">
                          <a:avLst/>
                        </a:prstGeom>
                        <a:noFill/>
                        <a:ln>
                          <a:noFill/>
                        </a:ln>
                      </pic:spPr>
                    </pic:pic>
                  </a:graphicData>
                </a:graphic>
              </wp:inline>
            </w:drawing>
          </w:r>
        </w:p>
      </w:tc>
      <w:tc>
        <w:tcPr>
          <w:tcW w:w="3827" w:type="dxa"/>
          <w:vAlign w:val="center"/>
        </w:tcPr>
        <w:p w14:paraId="3720C711" w14:textId="77777777" w:rsidR="003A3871" w:rsidRPr="00D61A41" w:rsidRDefault="003A3871" w:rsidP="00CB16D2">
          <w:pPr>
            <w:pStyle w:val="En-tte"/>
            <w:jc w:val="center"/>
            <w:rPr>
              <w:rFonts w:ascii="Verdana" w:hAnsi="Verdana"/>
              <w:b/>
              <w:color w:val="A20000"/>
              <w:sz w:val="18"/>
              <w:szCs w:val="18"/>
              <w:lang w:val="en-GB"/>
            </w:rPr>
          </w:pPr>
          <w:r w:rsidRPr="00D61A41">
            <w:rPr>
              <w:rFonts w:ascii="Verdana" w:hAnsi="Verdana"/>
              <w:b/>
              <w:color w:val="A20000"/>
              <w:sz w:val="18"/>
              <w:szCs w:val="18"/>
              <w:lang w:val="en-GB"/>
            </w:rPr>
            <w:t>XXV</w:t>
          </w:r>
          <w:r w:rsidRPr="00D61A41">
            <w:rPr>
              <w:rFonts w:ascii="Verdana" w:hAnsi="Verdana"/>
              <w:b/>
              <w:color w:val="A20000"/>
              <w:sz w:val="18"/>
              <w:szCs w:val="18"/>
              <w:vertAlign w:val="superscript"/>
              <w:lang w:val="en-GB"/>
            </w:rPr>
            <w:t xml:space="preserve">th </w:t>
          </w:r>
          <w:r w:rsidRPr="00D61A41">
            <w:rPr>
              <w:rFonts w:ascii="Verdana" w:hAnsi="Verdana"/>
              <w:b/>
              <w:color w:val="A20000"/>
              <w:sz w:val="18"/>
              <w:szCs w:val="18"/>
              <w:lang w:val="en-GB"/>
            </w:rPr>
            <w:t>ESRS Congress</w:t>
          </w:r>
        </w:p>
        <w:p w14:paraId="7F819A62" w14:textId="77777777" w:rsidR="003A3871" w:rsidRPr="00D61A41" w:rsidRDefault="003A3871" w:rsidP="00CB16D2">
          <w:pPr>
            <w:pStyle w:val="En-tte"/>
            <w:spacing w:before="120" w:after="80"/>
            <w:jc w:val="center"/>
            <w:rPr>
              <w:rFonts w:ascii="Cambria" w:hAnsi="Cambria"/>
              <w:b/>
              <w:color w:val="A20000"/>
              <w:sz w:val="12"/>
              <w:szCs w:val="12"/>
              <w:lang w:val="en-GB"/>
            </w:rPr>
          </w:pPr>
          <w:r w:rsidRPr="00D61A41">
            <w:rPr>
              <w:rFonts w:ascii="Verdana" w:hAnsi="Verdana"/>
              <w:color w:val="A20000"/>
              <w:sz w:val="12"/>
              <w:szCs w:val="12"/>
              <w:lang w:val="en-GB"/>
            </w:rPr>
            <w:t>29 July – 1 August 2013 in Florence, Italy</w:t>
          </w:r>
        </w:p>
      </w:tc>
      <w:tc>
        <w:tcPr>
          <w:tcW w:w="3008" w:type="dxa"/>
          <w:vAlign w:val="center"/>
        </w:tcPr>
        <w:p w14:paraId="2A0C9F2F" w14:textId="77777777" w:rsidR="003A3871" w:rsidRPr="001B519B" w:rsidRDefault="003A3871" w:rsidP="00CB16D2">
          <w:pPr>
            <w:pStyle w:val="En-tte"/>
            <w:jc w:val="right"/>
            <w:rPr>
              <w:rFonts w:ascii="Cambria" w:hAnsi="Cambria"/>
              <w:color w:val="A20000"/>
              <w:sz w:val="20"/>
              <w:szCs w:val="20"/>
              <w:lang w:val="en-GB"/>
            </w:rPr>
          </w:pPr>
          <w:r w:rsidRPr="001B519B">
            <w:rPr>
              <w:rFonts w:ascii="Verdana" w:hAnsi="Verdana"/>
              <w:color w:val="A20000"/>
              <w:sz w:val="20"/>
              <w:szCs w:val="20"/>
              <w:lang w:val="en-GB"/>
            </w:rPr>
            <w:fldChar w:fldCharType="begin"/>
          </w:r>
          <w:r w:rsidRPr="001B519B">
            <w:rPr>
              <w:rFonts w:ascii="Verdana" w:hAnsi="Verdana"/>
              <w:color w:val="A20000"/>
              <w:sz w:val="20"/>
              <w:szCs w:val="20"/>
              <w:lang w:val="en-GB"/>
            </w:rPr>
            <w:instrText>PAGE   \* MERGEFORMAT</w:instrText>
          </w:r>
          <w:r w:rsidRPr="001B519B">
            <w:rPr>
              <w:rFonts w:ascii="Verdana" w:hAnsi="Verdana"/>
              <w:color w:val="A20000"/>
              <w:sz w:val="20"/>
              <w:szCs w:val="20"/>
              <w:lang w:val="en-GB"/>
            </w:rPr>
            <w:fldChar w:fldCharType="separate"/>
          </w:r>
          <w:r w:rsidR="00DF0557">
            <w:rPr>
              <w:rFonts w:ascii="Verdana" w:hAnsi="Verdana"/>
              <w:noProof/>
              <w:color w:val="A20000"/>
              <w:sz w:val="20"/>
              <w:szCs w:val="20"/>
              <w:lang w:val="en-GB"/>
            </w:rPr>
            <w:t>1</w:t>
          </w:r>
          <w:r w:rsidRPr="001B519B">
            <w:rPr>
              <w:rFonts w:ascii="Verdana" w:hAnsi="Verdana"/>
              <w:color w:val="A20000"/>
              <w:sz w:val="20"/>
              <w:szCs w:val="20"/>
              <w:lang w:val="en-GB"/>
            </w:rPr>
            <w:fldChar w:fldCharType="end"/>
          </w:r>
        </w:p>
      </w:tc>
    </w:tr>
  </w:tbl>
  <w:p w14:paraId="58463371" w14:textId="77777777" w:rsidR="003A3871" w:rsidRPr="001B519B" w:rsidRDefault="003A3871" w:rsidP="001B519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CE"/>
    <w:rsid w:val="0000135C"/>
    <w:rsid w:val="00063AC4"/>
    <w:rsid w:val="00073BA2"/>
    <w:rsid w:val="000A201C"/>
    <w:rsid w:val="000C5094"/>
    <w:rsid w:val="000E3E47"/>
    <w:rsid w:val="000E74B8"/>
    <w:rsid w:val="000E78FC"/>
    <w:rsid w:val="00104EB7"/>
    <w:rsid w:val="001567EA"/>
    <w:rsid w:val="001678D0"/>
    <w:rsid w:val="001A0BC2"/>
    <w:rsid w:val="001A40D4"/>
    <w:rsid w:val="001B519B"/>
    <w:rsid w:val="001D4C5F"/>
    <w:rsid w:val="001F1E2E"/>
    <w:rsid w:val="001F70E5"/>
    <w:rsid w:val="0020461B"/>
    <w:rsid w:val="00240263"/>
    <w:rsid w:val="00240303"/>
    <w:rsid w:val="002427DF"/>
    <w:rsid w:val="00285D11"/>
    <w:rsid w:val="00294212"/>
    <w:rsid w:val="002D204E"/>
    <w:rsid w:val="00334B9F"/>
    <w:rsid w:val="0036051D"/>
    <w:rsid w:val="0039785E"/>
    <w:rsid w:val="003A3871"/>
    <w:rsid w:val="003D58C2"/>
    <w:rsid w:val="00405D42"/>
    <w:rsid w:val="00420522"/>
    <w:rsid w:val="0043791D"/>
    <w:rsid w:val="00473026"/>
    <w:rsid w:val="004C4D87"/>
    <w:rsid w:val="0050467A"/>
    <w:rsid w:val="00513039"/>
    <w:rsid w:val="00514837"/>
    <w:rsid w:val="0053374A"/>
    <w:rsid w:val="00534A84"/>
    <w:rsid w:val="00543B8B"/>
    <w:rsid w:val="005474F3"/>
    <w:rsid w:val="005D19D6"/>
    <w:rsid w:val="005E052A"/>
    <w:rsid w:val="006243F7"/>
    <w:rsid w:val="00655938"/>
    <w:rsid w:val="006C572F"/>
    <w:rsid w:val="006E0A88"/>
    <w:rsid w:val="006E5684"/>
    <w:rsid w:val="00732BF2"/>
    <w:rsid w:val="007B4FCE"/>
    <w:rsid w:val="007E580B"/>
    <w:rsid w:val="007F2AF0"/>
    <w:rsid w:val="007F423C"/>
    <w:rsid w:val="00805189"/>
    <w:rsid w:val="00807461"/>
    <w:rsid w:val="00826DE4"/>
    <w:rsid w:val="00850022"/>
    <w:rsid w:val="008636B9"/>
    <w:rsid w:val="008936A7"/>
    <w:rsid w:val="008B0112"/>
    <w:rsid w:val="008E036D"/>
    <w:rsid w:val="008F27C0"/>
    <w:rsid w:val="00916AC9"/>
    <w:rsid w:val="0093296F"/>
    <w:rsid w:val="00945380"/>
    <w:rsid w:val="009913B4"/>
    <w:rsid w:val="009A0E1D"/>
    <w:rsid w:val="009A7CDD"/>
    <w:rsid w:val="009E4870"/>
    <w:rsid w:val="009E5BB7"/>
    <w:rsid w:val="009F2084"/>
    <w:rsid w:val="00A2627C"/>
    <w:rsid w:val="00A60178"/>
    <w:rsid w:val="00AC0F75"/>
    <w:rsid w:val="00AC45C9"/>
    <w:rsid w:val="00B51306"/>
    <w:rsid w:val="00B60C25"/>
    <w:rsid w:val="00B83878"/>
    <w:rsid w:val="00B9276C"/>
    <w:rsid w:val="00BC544F"/>
    <w:rsid w:val="00BD295C"/>
    <w:rsid w:val="00BD504B"/>
    <w:rsid w:val="00BF3817"/>
    <w:rsid w:val="00BF3FFE"/>
    <w:rsid w:val="00C26FC1"/>
    <w:rsid w:val="00C60D91"/>
    <w:rsid w:val="00C62BFC"/>
    <w:rsid w:val="00C979BE"/>
    <w:rsid w:val="00CA6D2D"/>
    <w:rsid w:val="00CB16D2"/>
    <w:rsid w:val="00CD345E"/>
    <w:rsid w:val="00CD4669"/>
    <w:rsid w:val="00CD5A2F"/>
    <w:rsid w:val="00D23870"/>
    <w:rsid w:val="00D54350"/>
    <w:rsid w:val="00D61A41"/>
    <w:rsid w:val="00D61EAF"/>
    <w:rsid w:val="00D7446A"/>
    <w:rsid w:val="00DC5144"/>
    <w:rsid w:val="00DF0557"/>
    <w:rsid w:val="00E61C43"/>
    <w:rsid w:val="00E81AEF"/>
    <w:rsid w:val="00E86ABD"/>
    <w:rsid w:val="00E90BBF"/>
    <w:rsid w:val="00E95E05"/>
    <w:rsid w:val="00EA1A08"/>
    <w:rsid w:val="00EF416E"/>
    <w:rsid w:val="00F31BB1"/>
    <w:rsid w:val="00F445EB"/>
    <w:rsid w:val="00F562B7"/>
    <w:rsid w:val="00FA5E38"/>
    <w:rsid w:val="00FD4A0A"/>
    <w:rsid w:val="00FE75E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8A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da-DK" w:eastAsia="da-DK"/>
    </w:rPr>
  </w:style>
  <w:style w:type="paragraph" w:styleId="Titre1">
    <w:name w:val="heading 1"/>
    <w:aliases w:val="heading2"/>
    <w:basedOn w:val="Normal"/>
    <w:next w:val="Normal"/>
    <w:qFormat/>
    <w:pPr>
      <w:keepNext/>
      <w:outlineLvl w:val="0"/>
    </w:pPr>
    <w:rPr>
      <w:b/>
      <w:bCs/>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autoRedefine/>
    <w:qFormat/>
    <w:pPr>
      <w:keepNext/>
      <w:spacing w:line="200" w:lineRule="atLeast"/>
      <w:jc w:val="both"/>
      <w:outlineLvl w:val="3"/>
    </w:pPr>
    <w:rPr>
      <w:rFonts w:ascii="Verdana" w:hAnsi="Verdana"/>
      <w:b/>
      <w:sz w:val="14"/>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el1">
    <w:name w:val="Titel1"/>
    <w:basedOn w:val="Titre1"/>
    <w:pPr>
      <w:jc w:val="center"/>
    </w:pPr>
    <w:rPr>
      <w:rFonts w:ascii="Verdana" w:hAnsi="Verdana"/>
      <w:b w:val="0"/>
      <w:bCs w:val="0"/>
      <w:sz w:val="40"/>
    </w:rPr>
  </w:style>
  <w:style w:type="paragraph" w:customStyle="1" w:styleId="Authors">
    <w:name w:val="Authors"/>
    <w:basedOn w:val="Normal"/>
    <w:pPr>
      <w:keepNext/>
      <w:jc w:val="center"/>
      <w:outlineLvl w:val="1"/>
    </w:pPr>
    <w:rPr>
      <w:rFonts w:ascii="Verdana" w:hAnsi="Verdana"/>
    </w:rPr>
  </w:style>
  <w:style w:type="paragraph" w:customStyle="1" w:styleId="abstract">
    <w:name w:val="abstract"/>
    <w:basedOn w:val="Titre4"/>
  </w:style>
  <w:style w:type="paragraph" w:customStyle="1" w:styleId="Normaltext">
    <w:name w:val="Normal text"/>
    <w:basedOn w:val="Normal"/>
    <w:pPr>
      <w:spacing w:line="220" w:lineRule="atLeast"/>
      <w:jc w:val="both"/>
    </w:pPr>
    <w:rPr>
      <w:rFonts w:ascii="Verdana" w:hAnsi="Verdana"/>
      <w:sz w:val="16"/>
      <w:lang w:val="en-GB"/>
    </w:rPr>
  </w:style>
  <w:style w:type="paragraph" w:customStyle="1" w:styleId="berschrift11">
    <w:name w:val="Überschrift 11"/>
    <w:basedOn w:val="Titre1"/>
    <w:pPr>
      <w:spacing w:after="40" w:line="220" w:lineRule="atLeast"/>
      <w:jc w:val="center"/>
    </w:pPr>
    <w:rPr>
      <w:rFonts w:ascii="Verdana" w:hAnsi="Verdana"/>
      <w:b w:val="0"/>
      <w:bCs w:val="0"/>
      <w:smallCaps/>
      <w:sz w:val="18"/>
      <w:lang w:val="en-GB"/>
    </w:rPr>
  </w:style>
  <w:style w:type="paragraph" w:styleId="Notedebasdepage">
    <w:name w:val="footnote text"/>
    <w:basedOn w:val="Normal"/>
    <w:semiHidden/>
    <w:rPr>
      <w:sz w:val="20"/>
      <w:szCs w:val="20"/>
    </w:rPr>
  </w:style>
  <w:style w:type="character" w:styleId="Marquenotebasdepage">
    <w:name w:val="footnote reference"/>
    <w:semiHidden/>
    <w:rPr>
      <w:vertAlign w:val="superscript"/>
    </w:rPr>
  </w:style>
  <w:style w:type="paragraph" w:customStyle="1" w:styleId="Footnote">
    <w:name w:val="Foot note"/>
    <w:basedOn w:val="Notedebasdepage"/>
    <w:pPr>
      <w:tabs>
        <w:tab w:val="left" w:pos="240"/>
      </w:tabs>
      <w:spacing w:line="160" w:lineRule="atLeast"/>
    </w:pPr>
    <w:rPr>
      <w:rFonts w:ascii="Verdana" w:hAnsi="Verdana"/>
      <w:sz w:val="12"/>
    </w:rPr>
  </w:style>
  <w:style w:type="character" w:styleId="Lienhypertexte">
    <w:name w:val="Hyperlink"/>
    <w:rPr>
      <w:color w:val="0000FF"/>
      <w:u w:val="single"/>
    </w:rPr>
  </w:style>
  <w:style w:type="paragraph" w:styleId="Corpsdetexte">
    <w:name w:val="Body Text"/>
    <w:basedOn w:val="Normal"/>
    <w:pPr>
      <w:autoSpaceDE w:val="0"/>
      <w:autoSpaceDN w:val="0"/>
      <w:adjustRightInd w:val="0"/>
      <w:spacing w:line="220" w:lineRule="atLeast"/>
    </w:pPr>
    <w:rPr>
      <w:rFonts w:ascii="Verdana" w:hAnsi="Verdana"/>
      <w:sz w:val="16"/>
      <w:lang w:val="en-GB"/>
    </w:rPr>
  </w:style>
  <w:style w:type="paragraph" w:customStyle="1" w:styleId="Firstheading">
    <w:name w:val="First heading"/>
    <w:basedOn w:val="Normal"/>
    <w:pPr>
      <w:jc w:val="center"/>
    </w:pPr>
    <w:rPr>
      <w:rFonts w:ascii="Verdana" w:hAnsi="Verdana"/>
      <w:smallCaps/>
      <w:sz w:val="20"/>
      <w:lang w:val="en-US"/>
    </w:rPr>
  </w:style>
  <w:style w:type="paragraph" w:customStyle="1" w:styleId="Table">
    <w:name w:val="Table"/>
    <w:basedOn w:val="Normaltext"/>
    <w:pPr>
      <w:tabs>
        <w:tab w:val="left" w:pos="240"/>
      </w:tabs>
    </w:pPr>
    <w:rPr>
      <w:sz w:val="14"/>
    </w:rPr>
  </w:style>
  <w:style w:type="paragraph" w:styleId="Pieddepage">
    <w:name w:val="footer"/>
    <w:basedOn w:val="Normal"/>
    <w:rsid w:val="00CD5A2F"/>
    <w:pPr>
      <w:tabs>
        <w:tab w:val="center" w:pos="4536"/>
        <w:tab w:val="right" w:pos="9072"/>
      </w:tabs>
    </w:pPr>
  </w:style>
  <w:style w:type="character" w:styleId="Numrodepage">
    <w:name w:val="page number"/>
    <w:basedOn w:val="Policepardfaut"/>
    <w:rsid w:val="00CD5A2F"/>
  </w:style>
  <w:style w:type="paragraph" w:styleId="En-tte">
    <w:name w:val="header"/>
    <w:basedOn w:val="Normal"/>
    <w:link w:val="En-tteCar"/>
    <w:uiPriority w:val="99"/>
    <w:rsid w:val="00CD5A2F"/>
    <w:pPr>
      <w:tabs>
        <w:tab w:val="center" w:pos="4536"/>
        <w:tab w:val="right" w:pos="9072"/>
      </w:tabs>
    </w:pPr>
  </w:style>
  <w:style w:type="paragraph" w:styleId="Textedebulles">
    <w:name w:val="Balloon Text"/>
    <w:basedOn w:val="Normal"/>
    <w:semiHidden/>
    <w:rsid w:val="006C572F"/>
    <w:rPr>
      <w:rFonts w:ascii="Tahoma" w:hAnsi="Tahoma" w:cs="Tahoma"/>
      <w:sz w:val="16"/>
      <w:szCs w:val="16"/>
    </w:rPr>
  </w:style>
  <w:style w:type="character" w:styleId="Marquedannotation">
    <w:name w:val="annotation reference"/>
    <w:semiHidden/>
    <w:rsid w:val="002427DF"/>
    <w:rPr>
      <w:sz w:val="16"/>
      <w:szCs w:val="16"/>
    </w:rPr>
  </w:style>
  <w:style w:type="paragraph" w:styleId="Commentaire">
    <w:name w:val="annotation text"/>
    <w:basedOn w:val="Normal"/>
    <w:semiHidden/>
    <w:rsid w:val="002427DF"/>
    <w:rPr>
      <w:sz w:val="20"/>
      <w:szCs w:val="20"/>
    </w:rPr>
  </w:style>
  <w:style w:type="paragraph" w:styleId="Objetducommentaire">
    <w:name w:val="annotation subject"/>
    <w:basedOn w:val="Commentaire"/>
    <w:next w:val="Commentaire"/>
    <w:semiHidden/>
    <w:rsid w:val="002427DF"/>
    <w:rPr>
      <w:b/>
      <w:bCs/>
    </w:rPr>
  </w:style>
  <w:style w:type="table" w:styleId="Grille">
    <w:name w:val="Table Grid"/>
    <w:basedOn w:val="TableauNormal"/>
    <w:uiPriority w:val="59"/>
    <w:rsid w:val="001B519B"/>
    <w:rPr>
      <w:rFonts w:ascii="Cambria" w:eastAsia="MS Mincho" w:hAnsi="Cambria"/>
      <w:sz w:val="24"/>
      <w:szCs w:val="24"/>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link w:val="En-tte"/>
    <w:uiPriority w:val="99"/>
    <w:rsid w:val="001B519B"/>
    <w:rPr>
      <w:rFonts w:ascii="Garamond" w:hAnsi="Garamond"/>
      <w:sz w:val="24"/>
      <w:szCs w:val="24"/>
      <w:lang w:val="da-DK" w:eastAsia="da-DK"/>
    </w:rPr>
  </w:style>
  <w:style w:type="paragraph" w:styleId="Notedefin">
    <w:name w:val="endnote text"/>
    <w:basedOn w:val="Normal"/>
    <w:link w:val="NotedefinCar"/>
    <w:uiPriority w:val="99"/>
    <w:unhideWhenUsed/>
    <w:rsid w:val="00104EB7"/>
    <w:pPr>
      <w:spacing w:before="120" w:after="120" w:line="240" w:lineRule="atLeast"/>
      <w:jc w:val="both"/>
    </w:pPr>
    <w:rPr>
      <w:rFonts w:ascii="Times New Roman" w:hAnsi="Times New Roman"/>
      <w:sz w:val="20"/>
      <w:szCs w:val="20"/>
      <w:lang w:val="en-GB" w:eastAsia="en-US"/>
    </w:rPr>
  </w:style>
  <w:style w:type="character" w:customStyle="1" w:styleId="NotedefinCar">
    <w:name w:val="Note de fin Car"/>
    <w:basedOn w:val="Policepardfaut"/>
    <w:link w:val="Notedefin"/>
    <w:uiPriority w:val="99"/>
    <w:rsid w:val="00104EB7"/>
    <w:rPr>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da-DK" w:eastAsia="da-DK"/>
    </w:rPr>
  </w:style>
  <w:style w:type="paragraph" w:styleId="Titre1">
    <w:name w:val="heading 1"/>
    <w:aliases w:val="heading2"/>
    <w:basedOn w:val="Normal"/>
    <w:next w:val="Normal"/>
    <w:qFormat/>
    <w:pPr>
      <w:keepNext/>
      <w:outlineLvl w:val="0"/>
    </w:pPr>
    <w:rPr>
      <w:b/>
      <w:bCs/>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autoRedefine/>
    <w:qFormat/>
    <w:pPr>
      <w:keepNext/>
      <w:spacing w:line="200" w:lineRule="atLeast"/>
      <w:jc w:val="both"/>
      <w:outlineLvl w:val="3"/>
    </w:pPr>
    <w:rPr>
      <w:rFonts w:ascii="Verdana" w:hAnsi="Verdana"/>
      <w:b/>
      <w:sz w:val="14"/>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el1">
    <w:name w:val="Titel1"/>
    <w:basedOn w:val="Titre1"/>
    <w:pPr>
      <w:jc w:val="center"/>
    </w:pPr>
    <w:rPr>
      <w:rFonts w:ascii="Verdana" w:hAnsi="Verdana"/>
      <w:b w:val="0"/>
      <w:bCs w:val="0"/>
      <w:sz w:val="40"/>
    </w:rPr>
  </w:style>
  <w:style w:type="paragraph" w:customStyle="1" w:styleId="Authors">
    <w:name w:val="Authors"/>
    <w:basedOn w:val="Normal"/>
    <w:pPr>
      <w:keepNext/>
      <w:jc w:val="center"/>
      <w:outlineLvl w:val="1"/>
    </w:pPr>
    <w:rPr>
      <w:rFonts w:ascii="Verdana" w:hAnsi="Verdana"/>
    </w:rPr>
  </w:style>
  <w:style w:type="paragraph" w:customStyle="1" w:styleId="abstract">
    <w:name w:val="abstract"/>
    <w:basedOn w:val="Titre4"/>
  </w:style>
  <w:style w:type="paragraph" w:customStyle="1" w:styleId="Normaltext">
    <w:name w:val="Normal text"/>
    <w:basedOn w:val="Normal"/>
    <w:pPr>
      <w:spacing w:line="220" w:lineRule="atLeast"/>
      <w:jc w:val="both"/>
    </w:pPr>
    <w:rPr>
      <w:rFonts w:ascii="Verdana" w:hAnsi="Verdana"/>
      <w:sz w:val="16"/>
      <w:lang w:val="en-GB"/>
    </w:rPr>
  </w:style>
  <w:style w:type="paragraph" w:customStyle="1" w:styleId="berschrift11">
    <w:name w:val="Überschrift 11"/>
    <w:basedOn w:val="Titre1"/>
    <w:pPr>
      <w:spacing w:after="40" w:line="220" w:lineRule="atLeast"/>
      <w:jc w:val="center"/>
    </w:pPr>
    <w:rPr>
      <w:rFonts w:ascii="Verdana" w:hAnsi="Verdana"/>
      <w:b w:val="0"/>
      <w:bCs w:val="0"/>
      <w:smallCaps/>
      <w:sz w:val="18"/>
      <w:lang w:val="en-GB"/>
    </w:rPr>
  </w:style>
  <w:style w:type="paragraph" w:styleId="Notedebasdepage">
    <w:name w:val="footnote text"/>
    <w:basedOn w:val="Normal"/>
    <w:semiHidden/>
    <w:rPr>
      <w:sz w:val="20"/>
      <w:szCs w:val="20"/>
    </w:rPr>
  </w:style>
  <w:style w:type="character" w:styleId="Marquenotebasdepage">
    <w:name w:val="footnote reference"/>
    <w:semiHidden/>
    <w:rPr>
      <w:vertAlign w:val="superscript"/>
    </w:rPr>
  </w:style>
  <w:style w:type="paragraph" w:customStyle="1" w:styleId="Footnote">
    <w:name w:val="Foot note"/>
    <w:basedOn w:val="Notedebasdepage"/>
    <w:pPr>
      <w:tabs>
        <w:tab w:val="left" w:pos="240"/>
      </w:tabs>
      <w:spacing w:line="160" w:lineRule="atLeast"/>
    </w:pPr>
    <w:rPr>
      <w:rFonts w:ascii="Verdana" w:hAnsi="Verdana"/>
      <w:sz w:val="12"/>
    </w:rPr>
  </w:style>
  <w:style w:type="character" w:styleId="Lienhypertexte">
    <w:name w:val="Hyperlink"/>
    <w:rPr>
      <w:color w:val="0000FF"/>
      <w:u w:val="single"/>
    </w:rPr>
  </w:style>
  <w:style w:type="paragraph" w:styleId="Corpsdetexte">
    <w:name w:val="Body Text"/>
    <w:basedOn w:val="Normal"/>
    <w:pPr>
      <w:autoSpaceDE w:val="0"/>
      <w:autoSpaceDN w:val="0"/>
      <w:adjustRightInd w:val="0"/>
      <w:spacing w:line="220" w:lineRule="atLeast"/>
    </w:pPr>
    <w:rPr>
      <w:rFonts w:ascii="Verdana" w:hAnsi="Verdana"/>
      <w:sz w:val="16"/>
      <w:lang w:val="en-GB"/>
    </w:rPr>
  </w:style>
  <w:style w:type="paragraph" w:customStyle="1" w:styleId="Firstheading">
    <w:name w:val="First heading"/>
    <w:basedOn w:val="Normal"/>
    <w:pPr>
      <w:jc w:val="center"/>
    </w:pPr>
    <w:rPr>
      <w:rFonts w:ascii="Verdana" w:hAnsi="Verdana"/>
      <w:smallCaps/>
      <w:sz w:val="20"/>
      <w:lang w:val="en-US"/>
    </w:rPr>
  </w:style>
  <w:style w:type="paragraph" w:customStyle="1" w:styleId="Table">
    <w:name w:val="Table"/>
    <w:basedOn w:val="Normaltext"/>
    <w:pPr>
      <w:tabs>
        <w:tab w:val="left" w:pos="240"/>
      </w:tabs>
    </w:pPr>
    <w:rPr>
      <w:sz w:val="14"/>
    </w:rPr>
  </w:style>
  <w:style w:type="paragraph" w:styleId="Pieddepage">
    <w:name w:val="footer"/>
    <w:basedOn w:val="Normal"/>
    <w:rsid w:val="00CD5A2F"/>
    <w:pPr>
      <w:tabs>
        <w:tab w:val="center" w:pos="4536"/>
        <w:tab w:val="right" w:pos="9072"/>
      </w:tabs>
    </w:pPr>
  </w:style>
  <w:style w:type="character" w:styleId="Numrodepage">
    <w:name w:val="page number"/>
    <w:basedOn w:val="Policepardfaut"/>
    <w:rsid w:val="00CD5A2F"/>
  </w:style>
  <w:style w:type="paragraph" w:styleId="En-tte">
    <w:name w:val="header"/>
    <w:basedOn w:val="Normal"/>
    <w:link w:val="En-tteCar"/>
    <w:uiPriority w:val="99"/>
    <w:rsid w:val="00CD5A2F"/>
    <w:pPr>
      <w:tabs>
        <w:tab w:val="center" w:pos="4536"/>
        <w:tab w:val="right" w:pos="9072"/>
      </w:tabs>
    </w:pPr>
  </w:style>
  <w:style w:type="paragraph" w:styleId="Textedebulles">
    <w:name w:val="Balloon Text"/>
    <w:basedOn w:val="Normal"/>
    <w:semiHidden/>
    <w:rsid w:val="006C572F"/>
    <w:rPr>
      <w:rFonts w:ascii="Tahoma" w:hAnsi="Tahoma" w:cs="Tahoma"/>
      <w:sz w:val="16"/>
      <w:szCs w:val="16"/>
    </w:rPr>
  </w:style>
  <w:style w:type="character" w:styleId="Marquedannotation">
    <w:name w:val="annotation reference"/>
    <w:semiHidden/>
    <w:rsid w:val="002427DF"/>
    <w:rPr>
      <w:sz w:val="16"/>
      <w:szCs w:val="16"/>
    </w:rPr>
  </w:style>
  <w:style w:type="paragraph" w:styleId="Commentaire">
    <w:name w:val="annotation text"/>
    <w:basedOn w:val="Normal"/>
    <w:semiHidden/>
    <w:rsid w:val="002427DF"/>
    <w:rPr>
      <w:sz w:val="20"/>
      <w:szCs w:val="20"/>
    </w:rPr>
  </w:style>
  <w:style w:type="paragraph" w:styleId="Objetducommentaire">
    <w:name w:val="annotation subject"/>
    <w:basedOn w:val="Commentaire"/>
    <w:next w:val="Commentaire"/>
    <w:semiHidden/>
    <w:rsid w:val="002427DF"/>
    <w:rPr>
      <w:b/>
      <w:bCs/>
    </w:rPr>
  </w:style>
  <w:style w:type="table" w:styleId="Grille">
    <w:name w:val="Table Grid"/>
    <w:basedOn w:val="TableauNormal"/>
    <w:uiPriority w:val="59"/>
    <w:rsid w:val="001B519B"/>
    <w:rPr>
      <w:rFonts w:ascii="Cambria" w:eastAsia="MS Mincho" w:hAnsi="Cambria"/>
      <w:sz w:val="24"/>
      <w:szCs w:val="24"/>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link w:val="En-tte"/>
    <w:uiPriority w:val="99"/>
    <w:rsid w:val="001B519B"/>
    <w:rPr>
      <w:rFonts w:ascii="Garamond" w:hAnsi="Garamond"/>
      <w:sz w:val="24"/>
      <w:szCs w:val="24"/>
      <w:lang w:val="da-DK" w:eastAsia="da-DK"/>
    </w:rPr>
  </w:style>
  <w:style w:type="paragraph" w:styleId="Notedefin">
    <w:name w:val="endnote text"/>
    <w:basedOn w:val="Normal"/>
    <w:link w:val="NotedefinCar"/>
    <w:uiPriority w:val="99"/>
    <w:unhideWhenUsed/>
    <w:rsid w:val="00104EB7"/>
    <w:pPr>
      <w:spacing w:before="120" w:after="120" w:line="240" w:lineRule="atLeast"/>
      <w:jc w:val="both"/>
    </w:pPr>
    <w:rPr>
      <w:rFonts w:ascii="Times New Roman" w:hAnsi="Times New Roman"/>
      <w:sz w:val="20"/>
      <w:szCs w:val="20"/>
      <w:lang w:val="en-GB" w:eastAsia="en-US"/>
    </w:rPr>
  </w:style>
  <w:style w:type="character" w:customStyle="1" w:styleId="NotedefinCar">
    <w:name w:val="Note de fin Car"/>
    <w:basedOn w:val="Policepardfaut"/>
    <w:link w:val="Notedefin"/>
    <w:uiPriority w:val="99"/>
    <w:rsid w:val="00104EB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46260">
      <w:bodyDiv w:val="1"/>
      <w:marLeft w:val="0"/>
      <w:marRight w:val="0"/>
      <w:marTop w:val="0"/>
      <w:marBottom w:val="0"/>
      <w:divBdr>
        <w:top w:val="none" w:sz="0" w:space="0" w:color="auto"/>
        <w:left w:val="none" w:sz="0" w:space="0" w:color="auto"/>
        <w:bottom w:val="none" w:sz="0" w:space="0" w:color="auto"/>
        <w:right w:val="none" w:sz="0" w:space="0" w:color="auto"/>
      </w:divBdr>
    </w:div>
    <w:div w:id="133091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kabeloner\TOM.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\Skabeloner\TOM.dot</Template>
  <TotalTime>1</TotalTime>
  <Pages>2</Pages>
  <Words>3968</Words>
  <Characters>21827</Characters>
  <Application>Microsoft Macintosh Word</Application>
  <DocSecurity>0</DocSecurity>
  <Lines>181</Lines>
  <Paragraphs>51</Paragraphs>
  <ScaleCrop>false</ScaleCrop>
  <HeadingPairs>
    <vt:vector size="4" baseType="variant">
      <vt:variant>
        <vt:lpstr>Titel</vt:lpstr>
      </vt:variant>
      <vt:variant>
        <vt:i4>1</vt:i4>
      </vt:variant>
      <vt:variant>
        <vt:lpstr>Überschriften</vt:lpstr>
      </vt:variant>
      <vt:variant>
        <vt:i4>13</vt:i4>
      </vt:variant>
    </vt:vector>
  </HeadingPairs>
  <TitlesOfParts>
    <vt:vector size="14" baseType="lpstr">
      <vt:lpstr>Preparation and submission of extended ab-stracts for the Joint Organic Congress 2006</vt:lpstr>
      <vt:lpstr>Title</vt:lpstr>
      <vt:lpstr/>
      <vt:lpstr>    First A. Author, Second B. Author, und Third C. Author1</vt:lpstr>
      <vt:lpstr>    </vt:lpstr>
      <vt:lpstr>    </vt:lpstr>
      <vt:lpstr>    </vt:lpstr>
      <vt:lpstr>Introduction to using the template</vt:lpstr>
      <vt:lpstr>Procedure for Short paper submission</vt:lpstr>
      <vt:lpstr>Structure of the short paper</vt:lpstr>
      <vt:lpstr>Helpful hints on formatting</vt:lpstr>
      <vt:lpstr>Guidelines for references</vt:lpstr>
      <vt:lpstr>Acknowledgement</vt:lpstr>
      <vt:lpstr>References</vt:lpstr>
    </vt:vector>
  </TitlesOfParts>
  <Company>DJF</Company>
  <LinksUpToDate>false</LinksUpToDate>
  <CharactersWithSpaces>25744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extended ab-stracts for the Joint Organic Congress 2006</dc:title>
  <dc:creator>lel</dc:creator>
  <cp:lastModifiedBy>Corentin Hecquet</cp:lastModifiedBy>
  <cp:revision>2</cp:revision>
  <cp:lastPrinted>2010-01-26T12:47:00Z</cp:lastPrinted>
  <dcterms:created xsi:type="dcterms:W3CDTF">2013-08-12T09:29:00Z</dcterms:created>
  <dcterms:modified xsi:type="dcterms:W3CDTF">2013-08-12T09:29:00Z</dcterms:modified>
</cp:coreProperties>
</file>