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9EF" w:rsidRPr="00FF0908" w:rsidRDefault="0097735B" w:rsidP="00B00611">
      <w:pPr>
        <w:rPr>
          <w:rFonts w:ascii="Times New Roman" w:hAnsi="Times New Roman"/>
          <w:b/>
          <w:sz w:val="24"/>
          <w:szCs w:val="24"/>
          <w:lang w:val="fr-BE"/>
        </w:rPr>
      </w:pPr>
      <w:r>
        <w:rPr>
          <w:rFonts w:ascii="Times New Roman" w:hAnsi="Times New Roman"/>
          <w:b/>
          <w:sz w:val="24"/>
          <w:szCs w:val="24"/>
          <w:lang w:val="fr-BE"/>
        </w:rPr>
        <w:t>Utilisation du</w:t>
      </w:r>
      <w:r w:rsidR="006C29F6" w:rsidRPr="00FF0908">
        <w:rPr>
          <w:rFonts w:ascii="Times New Roman" w:hAnsi="Times New Roman"/>
          <w:b/>
          <w:sz w:val="24"/>
          <w:szCs w:val="24"/>
          <w:lang w:val="fr-BE"/>
        </w:rPr>
        <w:t xml:space="preserve"> </w:t>
      </w:r>
      <w:proofErr w:type="spellStart"/>
      <w:r w:rsidR="006C29F6" w:rsidRPr="00FF0908">
        <w:rPr>
          <w:rFonts w:ascii="Times New Roman" w:hAnsi="Times New Roman"/>
          <w:b/>
          <w:sz w:val="24"/>
          <w:szCs w:val="24"/>
          <w:lang w:val="fr-BE"/>
        </w:rPr>
        <w:t>prope</w:t>
      </w:r>
      <w:r w:rsidR="003C2CC0">
        <w:rPr>
          <w:rFonts w:ascii="Times New Roman" w:hAnsi="Times New Roman"/>
          <w:b/>
          <w:sz w:val="24"/>
          <w:szCs w:val="24"/>
          <w:lang w:val="fr-BE"/>
        </w:rPr>
        <w:t>p</w:t>
      </w:r>
      <w:r w:rsidR="006C29F6" w:rsidRPr="00FF0908">
        <w:rPr>
          <w:rFonts w:ascii="Times New Roman" w:hAnsi="Times New Roman"/>
          <w:b/>
          <w:sz w:val="24"/>
          <w:szCs w:val="24"/>
          <w:lang w:val="fr-BE"/>
        </w:rPr>
        <w:t>tide</w:t>
      </w:r>
      <w:proofErr w:type="spellEnd"/>
      <w:r w:rsidR="006C29F6" w:rsidRPr="00FF0908">
        <w:rPr>
          <w:rFonts w:ascii="Times New Roman" w:hAnsi="Times New Roman"/>
          <w:b/>
          <w:sz w:val="24"/>
          <w:szCs w:val="24"/>
          <w:lang w:val="fr-BE"/>
        </w:rPr>
        <w:t xml:space="preserve"> N-terminal du </w:t>
      </w:r>
      <w:proofErr w:type="spellStart"/>
      <w:r w:rsidR="006C29F6" w:rsidRPr="00FF0908">
        <w:rPr>
          <w:rFonts w:ascii="Times New Roman" w:hAnsi="Times New Roman"/>
          <w:b/>
          <w:sz w:val="24"/>
          <w:szCs w:val="24"/>
          <w:lang w:val="fr-BE"/>
        </w:rPr>
        <w:t>procollagène</w:t>
      </w:r>
      <w:proofErr w:type="spellEnd"/>
      <w:r w:rsidR="006C29F6" w:rsidRPr="00FF0908">
        <w:rPr>
          <w:rFonts w:ascii="Times New Roman" w:hAnsi="Times New Roman"/>
          <w:b/>
          <w:sz w:val="24"/>
          <w:szCs w:val="24"/>
          <w:lang w:val="fr-BE"/>
        </w:rPr>
        <w:t xml:space="preserve"> de type 1 (P1NP</w:t>
      </w:r>
      <w:r>
        <w:rPr>
          <w:rFonts w:ascii="Times New Roman" w:hAnsi="Times New Roman"/>
          <w:b/>
          <w:sz w:val="24"/>
          <w:szCs w:val="24"/>
          <w:lang w:val="fr-BE"/>
        </w:rPr>
        <w:t>) comme marqueur de</w:t>
      </w:r>
      <w:r w:rsidRPr="00FF0908">
        <w:rPr>
          <w:rFonts w:ascii="Times New Roman" w:hAnsi="Times New Roman"/>
          <w:b/>
          <w:sz w:val="24"/>
          <w:szCs w:val="24"/>
          <w:lang w:val="fr-BE"/>
        </w:rPr>
        <w:t xml:space="preserve"> </w:t>
      </w:r>
      <w:r>
        <w:rPr>
          <w:rFonts w:ascii="Times New Roman" w:hAnsi="Times New Roman"/>
          <w:b/>
          <w:sz w:val="24"/>
          <w:szCs w:val="24"/>
          <w:lang w:val="fr-BE"/>
        </w:rPr>
        <w:t>formation osseuse</w:t>
      </w:r>
      <w:r w:rsidRPr="0097735B">
        <w:rPr>
          <w:rFonts w:ascii="Times New Roman" w:hAnsi="Times New Roman"/>
          <w:b/>
          <w:sz w:val="24"/>
          <w:szCs w:val="24"/>
          <w:lang w:val="fr-BE"/>
        </w:rPr>
        <w:t xml:space="preserve"> </w:t>
      </w:r>
      <w:r w:rsidRPr="00FF0908">
        <w:rPr>
          <w:rFonts w:ascii="Times New Roman" w:hAnsi="Times New Roman"/>
          <w:b/>
          <w:sz w:val="24"/>
          <w:szCs w:val="24"/>
          <w:lang w:val="fr-BE"/>
        </w:rPr>
        <w:t>chez le patient insuffisant rénal</w:t>
      </w:r>
      <w:r w:rsidR="006C29F6" w:rsidRPr="00FF0908">
        <w:rPr>
          <w:rFonts w:ascii="Times New Roman" w:hAnsi="Times New Roman"/>
          <w:b/>
          <w:sz w:val="24"/>
          <w:szCs w:val="24"/>
          <w:lang w:val="fr-BE"/>
        </w:rPr>
        <w:t xml:space="preserve">: différence entre le dosage total et le dosage “intact” </w:t>
      </w:r>
    </w:p>
    <w:p w:rsidR="005E29EF" w:rsidRPr="00FF0908" w:rsidRDefault="005E29EF" w:rsidP="00B00611">
      <w:pPr>
        <w:spacing w:after="0"/>
        <w:rPr>
          <w:rFonts w:ascii="Times New Roman" w:hAnsi="Times New Roman"/>
          <w:sz w:val="24"/>
          <w:szCs w:val="24"/>
          <w:lang w:val="fr-BE"/>
        </w:rPr>
      </w:pPr>
      <w:r w:rsidRPr="00FF0908">
        <w:rPr>
          <w:rFonts w:ascii="Times New Roman" w:hAnsi="Times New Roman"/>
          <w:sz w:val="24"/>
          <w:szCs w:val="24"/>
          <w:lang w:val="fr-BE"/>
        </w:rPr>
        <w:t xml:space="preserve">Etienne Cavalier, Agnès </w:t>
      </w:r>
      <w:proofErr w:type="spellStart"/>
      <w:r w:rsidRPr="00FF0908">
        <w:rPr>
          <w:rFonts w:ascii="Times New Roman" w:hAnsi="Times New Roman"/>
          <w:sz w:val="24"/>
          <w:szCs w:val="24"/>
          <w:lang w:val="fr-BE"/>
        </w:rPr>
        <w:t>Carlisi</w:t>
      </w:r>
      <w:proofErr w:type="spellEnd"/>
      <w:r w:rsidRPr="00FF0908">
        <w:rPr>
          <w:rFonts w:ascii="Times New Roman" w:hAnsi="Times New Roman"/>
          <w:sz w:val="24"/>
          <w:szCs w:val="24"/>
          <w:lang w:val="fr-BE"/>
        </w:rPr>
        <w:t xml:space="preserve">, Olivier Rousselle, </w:t>
      </w:r>
      <w:proofErr w:type="spellStart"/>
      <w:r w:rsidRPr="00FF0908">
        <w:rPr>
          <w:rFonts w:ascii="Times New Roman" w:hAnsi="Times New Roman"/>
          <w:sz w:val="24"/>
          <w:szCs w:val="24"/>
          <w:lang w:val="fr-BE"/>
        </w:rPr>
        <w:t>Nunzio</w:t>
      </w:r>
      <w:proofErr w:type="spellEnd"/>
      <w:r w:rsidRPr="00FF0908">
        <w:rPr>
          <w:rFonts w:ascii="Times New Roman" w:hAnsi="Times New Roman"/>
          <w:sz w:val="24"/>
          <w:szCs w:val="24"/>
          <w:lang w:val="fr-BE"/>
        </w:rPr>
        <w:t xml:space="preserve"> Ferrante, </w:t>
      </w:r>
      <w:r w:rsidR="00D5372E">
        <w:rPr>
          <w:rFonts w:ascii="Times New Roman" w:hAnsi="Times New Roman"/>
          <w:sz w:val="24"/>
          <w:szCs w:val="24"/>
          <w:lang w:val="fr-BE"/>
        </w:rPr>
        <w:t xml:space="preserve">Jean-Marie Krzesinski, </w:t>
      </w:r>
      <w:r w:rsidRPr="00FF0908">
        <w:rPr>
          <w:rFonts w:ascii="Times New Roman" w:hAnsi="Times New Roman"/>
          <w:sz w:val="24"/>
          <w:szCs w:val="24"/>
          <w:lang w:val="fr-BE"/>
        </w:rPr>
        <w:t>Pierre Delanaye</w:t>
      </w:r>
    </w:p>
    <w:p w:rsidR="005E29EF" w:rsidRPr="0097735B" w:rsidRDefault="005E29EF" w:rsidP="00B00611">
      <w:pPr>
        <w:spacing w:after="0"/>
        <w:rPr>
          <w:rFonts w:ascii="Times New Roman" w:hAnsi="Times New Roman"/>
          <w:sz w:val="24"/>
          <w:szCs w:val="24"/>
          <w:lang w:val="en-US"/>
        </w:rPr>
      </w:pPr>
      <w:r w:rsidRPr="0097735B">
        <w:rPr>
          <w:rFonts w:ascii="Times New Roman" w:hAnsi="Times New Roman"/>
          <w:sz w:val="24"/>
          <w:szCs w:val="24"/>
          <w:lang w:val="en-US"/>
        </w:rPr>
        <w:t xml:space="preserve">Department of Clinical Chemistry and Nephrology Dialysis Hypertension, University of Liège, CHU </w:t>
      </w:r>
      <w:proofErr w:type="spellStart"/>
      <w:r w:rsidRPr="0097735B">
        <w:rPr>
          <w:rFonts w:ascii="Times New Roman" w:hAnsi="Times New Roman"/>
          <w:sz w:val="24"/>
          <w:szCs w:val="24"/>
          <w:lang w:val="en-US"/>
        </w:rPr>
        <w:t>Sart</w:t>
      </w:r>
      <w:proofErr w:type="spellEnd"/>
      <w:r w:rsidRPr="0097735B">
        <w:rPr>
          <w:rFonts w:ascii="Times New Roman" w:hAnsi="Times New Roman"/>
          <w:sz w:val="24"/>
          <w:szCs w:val="24"/>
          <w:lang w:val="en-US"/>
        </w:rPr>
        <w:t>-Tilman, Liège, Belgium</w:t>
      </w:r>
    </w:p>
    <w:p w:rsidR="00742297" w:rsidRPr="0097735B" w:rsidRDefault="00742297" w:rsidP="00B00611">
      <w:pPr>
        <w:spacing w:after="0"/>
        <w:rPr>
          <w:rFonts w:ascii="Times New Roman" w:hAnsi="Times New Roman"/>
          <w:sz w:val="24"/>
          <w:szCs w:val="24"/>
          <w:lang w:val="en-US"/>
        </w:rPr>
      </w:pPr>
    </w:p>
    <w:p w:rsidR="00742297" w:rsidRPr="00FF0908" w:rsidRDefault="00336C21" w:rsidP="00742297">
      <w:pPr>
        <w:rPr>
          <w:rFonts w:ascii="Times New Roman" w:hAnsi="Times New Roman"/>
          <w:b/>
          <w:sz w:val="24"/>
          <w:szCs w:val="24"/>
          <w:lang w:val="fr-BE"/>
        </w:rPr>
      </w:pPr>
      <w:r w:rsidRPr="00FF0908">
        <w:rPr>
          <w:rFonts w:ascii="Times New Roman" w:hAnsi="Times New Roman"/>
          <w:b/>
          <w:sz w:val="24"/>
          <w:szCs w:val="24"/>
          <w:lang w:val="fr-BE"/>
        </w:rPr>
        <w:t>INTRODUCTION</w:t>
      </w:r>
    </w:p>
    <w:p w:rsidR="00742297" w:rsidRPr="00FF0908" w:rsidRDefault="006C29F6" w:rsidP="00742297">
      <w:pPr>
        <w:jc w:val="both"/>
        <w:rPr>
          <w:rFonts w:ascii="Times New Roman" w:hAnsi="Times New Roman"/>
          <w:b/>
          <w:sz w:val="24"/>
          <w:szCs w:val="24"/>
          <w:lang w:val="fr-BE"/>
        </w:rPr>
      </w:pPr>
      <w:r w:rsidRPr="00FF0908">
        <w:rPr>
          <w:rFonts w:ascii="Times New Roman" w:hAnsi="Times New Roman"/>
          <w:sz w:val="24"/>
          <w:szCs w:val="24"/>
          <w:lang w:val="fr-BE"/>
        </w:rPr>
        <w:t xml:space="preserve">Le </w:t>
      </w:r>
      <w:proofErr w:type="spellStart"/>
      <w:r w:rsidRPr="00FF0908">
        <w:rPr>
          <w:rFonts w:ascii="Times New Roman" w:hAnsi="Times New Roman"/>
          <w:sz w:val="24"/>
          <w:szCs w:val="24"/>
          <w:lang w:val="fr-BE"/>
        </w:rPr>
        <w:t>prope</w:t>
      </w:r>
      <w:r w:rsidR="003C2CC0">
        <w:rPr>
          <w:rFonts w:ascii="Times New Roman" w:hAnsi="Times New Roman"/>
          <w:sz w:val="24"/>
          <w:szCs w:val="24"/>
          <w:lang w:val="fr-BE"/>
        </w:rPr>
        <w:t>p</w:t>
      </w:r>
      <w:r w:rsidRPr="00FF0908">
        <w:rPr>
          <w:rFonts w:ascii="Times New Roman" w:hAnsi="Times New Roman"/>
          <w:sz w:val="24"/>
          <w:szCs w:val="24"/>
          <w:lang w:val="fr-BE"/>
        </w:rPr>
        <w:t>tide</w:t>
      </w:r>
      <w:proofErr w:type="spellEnd"/>
      <w:r w:rsidRPr="00FF0908">
        <w:rPr>
          <w:rFonts w:ascii="Times New Roman" w:hAnsi="Times New Roman"/>
          <w:sz w:val="24"/>
          <w:szCs w:val="24"/>
          <w:lang w:val="fr-BE"/>
        </w:rPr>
        <w:t xml:space="preserve"> N-terminal du </w:t>
      </w:r>
      <w:proofErr w:type="spellStart"/>
      <w:r w:rsidRPr="00FF0908">
        <w:rPr>
          <w:rFonts w:ascii="Times New Roman" w:hAnsi="Times New Roman"/>
          <w:sz w:val="24"/>
          <w:szCs w:val="24"/>
          <w:lang w:val="fr-BE"/>
        </w:rPr>
        <w:t>procollagène</w:t>
      </w:r>
      <w:proofErr w:type="spellEnd"/>
      <w:r w:rsidRPr="00FF0908">
        <w:rPr>
          <w:rFonts w:ascii="Times New Roman" w:hAnsi="Times New Roman"/>
          <w:sz w:val="24"/>
          <w:szCs w:val="24"/>
          <w:lang w:val="fr-BE"/>
        </w:rPr>
        <w:t xml:space="preserve"> de type 1 (P1NP) est un marque</w:t>
      </w:r>
      <w:r w:rsidR="003C2CC0">
        <w:rPr>
          <w:rFonts w:ascii="Times New Roman" w:hAnsi="Times New Roman"/>
          <w:sz w:val="24"/>
          <w:szCs w:val="24"/>
          <w:lang w:val="fr-BE"/>
        </w:rPr>
        <w:t>u</w:t>
      </w:r>
      <w:r w:rsidRPr="00FF0908">
        <w:rPr>
          <w:rFonts w:ascii="Times New Roman" w:hAnsi="Times New Roman"/>
          <w:sz w:val="24"/>
          <w:szCs w:val="24"/>
          <w:lang w:val="fr-BE"/>
        </w:rPr>
        <w:t>r de la formation osseuse qui peut être intéressant en cas d’</w:t>
      </w:r>
      <w:proofErr w:type="spellStart"/>
      <w:r w:rsidRPr="00FF0908">
        <w:rPr>
          <w:rFonts w:ascii="Times New Roman" w:hAnsi="Times New Roman"/>
          <w:sz w:val="24"/>
          <w:szCs w:val="24"/>
          <w:lang w:val="fr-BE"/>
        </w:rPr>
        <w:t>ostéodystrophie</w:t>
      </w:r>
      <w:proofErr w:type="spellEnd"/>
      <w:r w:rsidRPr="00FF0908">
        <w:rPr>
          <w:rFonts w:ascii="Times New Roman" w:hAnsi="Times New Roman"/>
          <w:sz w:val="24"/>
          <w:szCs w:val="24"/>
          <w:lang w:val="fr-BE"/>
        </w:rPr>
        <w:t xml:space="preserve"> rénale. </w:t>
      </w:r>
      <w:r w:rsidR="00336C21" w:rsidRPr="00FF0908">
        <w:rPr>
          <w:rFonts w:ascii="Times New Roman" w:hAnsi="Times New Roman"/>
          <w:sz w:val="24"/>
          <w:szCs w:val="24"/>
          <w:lang w:val="fr-BE"/>
        </w:rPr>
        <w:t>Comme pour ce qui est observé avec la parathormone, ce</w:t>
      </w:r>
      <w:r w:rsidRPr="00FF0908">
        <w:rPr>
          <w:rFonts w:ascii="Times New Roman" w:hAnsi="Times New Roman"/>
          <w:sz w:val="24"/>
          <w:szCs w:val="24"/>
          <w:lang w:val="fr-BE"/>
        </w:rPr>
        <w:t xml:space="preserve"> marqueur circule cependant </w:t>
      </w:r>
      <w:r w:rsidR="00336C21" w:rsidRPr="00FF0908">
        <w:rPr>
          <w:rFonts w:ascii="Times New Roman" w:hAnsi="Times New Roman"/>
          <w:sz w:val="24"/>
          <w:szCs w:val="24"/>
          <w:lang w:val="fr-BE"/>
        </w:rPr>
        <w:t xml:space="preserve">sous différentes formes: la forme principale, dite ”intacte” qui est </w:t>
      </w:r>
      <w:proofErr w:type="spellStart"/>
      <w:r w:rsidR="00336C21" w:rsidRPr="00FF0908">
        <w:rPr>
          <w:rFonts w:ascii="Times New Roman" w:hAnsi="Times New Roman"/>
          <w:sz w:val="24"/>
          <w:szCs w:val="24"/>
          <w:lang w:val="fr-BE"/>
        </w:rPr>
        <w:t>trimérique</w:t>
      </w:r>
      <w:proofErr w:type="spellEnd"/>
      <w:r w:rsidR="00336C21" w:rsidRPr="00FF0908">
        <w:rPr>
          <w:rFonts w:ascii="Times New Roman" w:hAnsi="Times New Roman"/>
          <w:sz w:val="24"/>
          <w:szCs w:val="24"/>
          <w:lang w:val="fr-BE"/>
        </w:rPr>
        <w:t xml:space="preserve"> et différents</w:t>
      </w:r>
      <w:r w:rsidRPr="00FF0908">
        <w:rPr>
          <w:rFonts w:ascii="Times New Roman" w:hAnsi="Times New Roman"/>
          <w:sz w:val="24"/>
          <w:szCs w:val="24"/>
          <w:lang w:val="fr-BE"/>
        </w:rPr>
        <w:t xml:space="preserve"> </w:t>
      </w:r>
      <w:r w:rsidR="00336C21" w:rsidRPr="00FF0908">
        <w:rPr>
          <w:rFonts w:ascii="Times New Roman" w:hAnsi="Times New Roman"/>
          <w:sz w:val="24"/>
          <w:szCs w:val="24"/>
          <w:lang w:val="fr-BE"/>
        </w:rPr>
        <w:t>fragments monomériques. En cas d’insuffisance rénale, ces fragments monomériques vont s’accumuler. La méthode de dosage ”intact” ne mesure que le fragment principal, alors que la méthode ”totale” mesure également les monomères</w:t>
      </w:r>
      <w:r w:rsidR="00742297" w:rsidRPr="00FF0908">
        <w:rPr>
          <w:rFonts w:ascii="Times New Roman" w:hAnsi="Times New Roman"/>
          <w:sz w:val="24"/>
          <w:szCs w:val="24"/>
          <w:lang w:val="fr-BE"/>
        </w:rPr>
        <w:t>.</w:t>
      </w:r>
      <w:r w:rsidR="00742297" w:rsidRPr="00FF0908">
        <w:rPr>
          <w:rFonts w:ascii="Times New Roman" w:hAnsi="Times New Roman"/>
          <w:b/>
          <w:sz w:val="24"/>
          <w:szCs w:val="24"/>
          <w:lang w:val="fr-BE"/>
        </w:rPr>
        <w:t xml:space="preserve"> </w:t>
      </w:r>
    </w:p>
    <w:p w:rsidR="00742297" w:rsidRPr="00FF0908" w:rsidRDefault="00336C21" w:rsidP="00742297">
      <w:pPr>
        <w:rPr>
          <w:rStyle w:val="apple-style-span"/>
          <w:rFonts w:ascii="Times New Roman" w:hAnsi="Times New Roman"/>
          <w:b/>
          <w:bCs/>
          <w:color w:val="000000"/>
          <w:sz w:val="24"/>
          <w:szCs w:val="24"/>
          <w:shd w:val="clear" w:color="auto" w:fill="FFFFFF"/>
          <w:lang w:val="fr-BE"/>
        </w:rPr>
      </w:pPr>
      <w:r w:rsidRPr="00FF0908">
        <w:rPr>
          <w:rStyle w:val="apple-style-span"/>
          <w:rFonts w:ascii="Times New Roman" w:hAnsi="Times New Roman"/>
          <w:b/>
          <w:bCs/>
          <w:color w:val="000000"/>
          <w:sz w:val="24"/>
          <w:szCs w:val="24"/>
          <w:shd w:val="clear" w:color="auto" w:fill="FFFFFF"/>
          <w:lang w:val="fr-BE"/>
        </w:rPr>
        <w:t>METHODE</w:t>
      </w:r>
    </w:p>
    <w:p w:rsidR="00742297" w:rsidRPr="00FF0908" w:rsidRDefault="00336C21" w:rsidP="00742297">
      <w:pPr>
        <w:jc w:val="both"/>
        <w:rPr>
          <w:rFonts w:ascii="Times New Roman" w:hAnsi="Times New Roman"/>
          <w:sz w:val="24"/>
          <w:szCs w:val="24"/>
          <w:lang w:val="fr-BE"/>
        </w:rPr>
      </w:pPr>
      <w:r w:rsidRPr="00FF0908">
        <w:rPr>
          <w:rFonts w:ascii="Times New Roman" w:hAnsi="Times New Roman"/>
          <w:sz w:val="24"/>
          <w:szCs w:val="24"/>
          <w:lang w:val="fr-BE"/>
        </w:rPr>
        <w:t xml:space="preserve">Le </w:t>
      </w:r>
      <w:r w:rsidR="00FF0908" w:rsidRPr="00FF0908">
        <w:rPr>
          <w:rFonts w:ascii="Times New Roman" w:hAnsi="Times New Roman"/>
          <w:sz w:val="24"/>
          <w:szCs w:val="24"/>
          <w:lang w:val="fr-BE"/>
        </w:rPr>
        <w:t>sérum</w:t>
      </w:r>
      <w:r w:rsidRPr="00FF0908">
        <w:rPr>
          <w:rFonts w:ascii="Times New Roman" w:hAnsi="Times New Roman"/>
          <w:sz w:val="24"/>
          <w:szCs w:val="24"/>
          <w:lang w:val="fr-BE"/>
        </w:rPr>
        <w:t xml:space="preserve"> de </w:t>
      </w:r>
      <w:r w:rsidR="00742297" w:rsidRPr="00FF0908">
        <w:rPr>
          <w:rFonts w:ascii="Times New Roman" w:hAnsi="Times New Roman"/>
          <w:sz w:val="24"/>
          <w:szCs w:val="24"/>
          <w:lang w:val="fr-BE"/>
        </w:rPr>
        <w:t>84</w:t>
      </w:r>
      <w:r w:rsidRPr="00FF0908">
        <w:rPr>
          <w:rFonts w:ascii="Times New Roman" w:hAnsi="Times New Roman"/>
          <w:sz w:val="24"/>
          <w:szCs w:val="24"/>
          <w:lang w:val="fr-BE"/>
        </w:rPr>
        <w:t xml:space="preserve"> patients avec maladie rénale chronique (MRC) (stade</w:t>
      </w:r>
      <w:r w:rsidR="003C2CC0">
        <w:rPr>
          <w:rFonts w:ascii="Times New Roman" w:hAnsi="Times New Roman"/>
          <w:sz w:val="24"/>
          <w:szCs w:val="24"/>
          <w:lang w:val="fr-BE"/>
        </w:rPr>
        <w:t xml:space="preserve"> 3 à 5) et de 125 sujets dialysé</w:t>
      </w:r>
      <w:r w:rsidRPr="00FF0908">
        <w:rPr>
          <w:rFonts w:ascii="Times New Roman" w:hAnsi="Times New Roman"/>
          <w:sz w:val="24"/>
          <w:szCs w:val="24"/>
          <w:lang w:val="fr-BE"/>
        </w:rPr>
        <w:t>s ont été testés avec le kit “intact”</w:t>
      </w:r>
      <w:r w:rsidR="00FF0908" w:rsidRPr="00FF0908">
        <w:rPr>
          <w:rFonts w:ascii="Times New Roman" w:hAnsi="Times New Roman"/>
          <w:sz w:val="24"/>
          <w:szCs w:val="24"/>
          <w:lang w:val="fr-BE"/>
        </w:rPr>
        <w:t xml:space="preserve"> (IDS-</w:t>
      </w:r>
      <w:proofErr w:type="spellStart"/>
      <w:r w:rsidR="00FF0908" w:rsidRPr="00FF0908">
        <w:rPr>
          <w:rFonts w:ascii="Times New Roman" w:hAnsi="Times New Roman"/>
          <w:sz w:val="24"/>
          <w:szCs w:val="24"/>
          <w:lang w:val="fr-BE"/>
        </w:rPr>
        <w:t>iSYS</w:t>
      </w:r>
      <w:proofErr w:type="spellEnd"/>
      <w:r w:rsidR="00FF0908" w:rsidRPr="00FF0908">
        <w:rPr>
          <w:rFonts w:ascii="Times New Roman" w:hAnsi="Times New Roman"/>
          <w:sz w:val="24"/>
          <w:szCs w:val="24"/>
          <w:lang w:val="fr-BE"/>
        </w:rPr>
        <w:t>) et le kit total (</w:t>
      </w:r>
      <w:r w:rsidR="00742297" w:rsidRPr="00FF0908">
        <w:rPr>
          <w:rFonts w:ascii="Times New Roman" w:hAnsi="Times New Roman"/>
          <w:sz w:val="24"/>
          <w:szCs w:val="24"/>
          <w:lang w:val="fr-BE"/>
        </w:rPr>
        <w:t xml:space="preserve">Roche </w:t>
      </w:r>
      <w:proofErr w:type="spellStart"/>
      <w:r w:rsidR="00742297" w:rsidRPr="00FF0908">
        <w:rPr>
          <w:rFonts w:ascii="Times New Roman" w:hAnsi="Times New Roman"/>
          <w:sz w:val="24"/>
          <w:szCs w:val="24"/>
          <w:lang w:val="fr-BE"/>
        </w:rPr>
        <w:t>Elecsys</w:t>
      </w:r>
      <w:proofErr w:type="spellEnd"/>
      <w:r w:rsidR="00FF0908" w:rsidRPr="00FF0908">
        <w:rPr>
          <w:rFonts w:ascii="Times New Roman" w:hAnsi="Times New Roman"/>
          <w:sz w:val="24"/>
          <w:szCs w:val="24"/>
          <w:lang w:val="fr-BE"/>
        </w:rPr>
        <w:t>)</w:t>
      </w:r>
      <w:r w:rsidR="00742297" w:rsidRPr="00FF0908">
        <w:rPr>
          <w:rFonts w:ascii="Times New Roman" w:hAnsi="Times New Roman"/>
          <w:sz w:val="24"/>
          <w:szCs w:val="24"/>
          <w:lang w:val="fr-BE"/>
        </w:rPr>
        <w:t xml:space="preserve">. </w:t>
      </w:r>
    </w:p>
    <w:p w:rsidR="00742297" w:rsidRPr="00FF0908" w:rsidRDefault="00742297" w:rsidP="00742297">
      <w:pPr>
        <w:rPr>
          <w:rStyle w:val="apple-style-span"/>
          <w:rFonts w:ascii="Times New Roman" w:hAnsi="Times New Roman"/>
          <w:b/>
          <w:bCs/>
          <w:color w:val="000000"/>
          <w:sz w:val="24"/>
          <w:szCs w:val="24"/>
          <w:shd w:val="clear" w:color="auto" w:fill="FFFFFF"/>
          <w:lang w:val="fr-BE"/>
        </w:rPr>
      </w:pPr>
      <w:r w:rsidRPr="00FF0908">
        <w:rPr>
          <w:rStyle w:val="apple-style-span"/>
          <w:rFonts w:ascii="Times New Roman" w:hAnsi="Times New Roman"/>
          <w:b/>
          <w:bCs/>
          <w:color w:val="000000"/>
          <w:sz w:val="24"/>
          <w:szCs w:val="24"/>
          <w:shd w:val="clear" w:color="auto" w:fill="FFFFFF"/>
          <w:lang w:val="fr-BE"/>
        </w:rPr>
        <w:t>RESULT</w:t>
      </w:r>
      <w:r w:rsidR="00FF0908" w:rsidRPr="00FF0908">
        <w:rPr>
          <w:rStyle w:val="apple-style-span"/>
          <w:rFonts w:ascii="Times New Roman" w:hAnsi="Times New Roman"/>
          <w:b/>
          <w:bCs/>
          <w:color w:val="000000"/>
          <w:sz w:val="24"/>
          <w:szCs w:val="24"/>
          <w:shd w:val="clear" w:color="auto" w:fill="FFFFFF"/>
          <w:lang w:val="fr-BE"/>
        </w:rPr>
        <w:t>AT</w:t>
      </w:r>
      <w:r w:rsidRPr="00FF0908">
        <w:rPr>
          <w:rStyle w:val="apple-style-span"/>
          <w:rFonts w:ascii="Times New Roman" w:hAnsi="Times New Roman"/>
          <w:b/>
          <w:bCs/>
          <w:color w:val="000000"/>
          <w:sz w:val="24"/>
          <w:szCs w:val="24"/>
          <w:shd w:val="clear" w:color="auto" w:fill="FFFFFF"/>
          <w:lang w:val="fr-BE"/>
        </w:rPr>
        <w:t>S:</w:t>
      </w:r>
    </w:p>
    <w:p w:rsidR="00742297" w:rsidRPr="00FF0908" w:rsidRDefault="00FF0908" w:rsidP="00742297">
      <w:pPr>
        <w:jc w:val="both"/>
        <w:rPr>
          <w:rFonts w:ascii="Times New Roman" w:hAnsi="Times New Roman"/>
          <w:sz w:val="24"/>
          <w:szCs w:val="24"/>
          <w:lang w:val="fr-BE"/>
        </w:rPr>
      </w:pPr>
      <w:r>
        <w:rPr>
          <w:rFonts w:ascii="Times New Roman" w:hAnsi="Times New Roman"/>
          <w:sz w:val="24"/>
          <w:szCs w:val="24"/>
          <w:lang w:val="fr-BE"/>
        </w:rPr>
        <w:t>Chez les sujets avec MRC</w:t>
      </w:r>
      <w:r w:rsidRPr="00FF0908">
        <w:rPr>
          <w:rFonts w:ascii="Times New Roman" w:hAnsi="Times New Roman"/>
          <w:sz w:val="24"/>
          <w:szCs w:val="24"/>
          <w:lang w:val="fr-BE"/>
        </w:rPr>
        <w:t>, non dialysés, les concentrations de P1NP totales et intactes variaient, respectivement, de 8.5 à 823</w:t>
      </w:r>
      <w:r w:rsidR="00742297" w:rsidRPr="00FF0908">
        <w:rPr>
          <w:rFonts w:ascii="Times New Roman" w:hAnsi="Times New Roman"/>
          <w:sz w:val="24"/>
          <w:szCs w:val="24"/>
          <w:lang w:val="fr-BE"/>
        </w:rPr>
        <w:t xml:space="preserve"> </w:t>
      </w:r>
      <w:proofErr w:type="spellStart"/>
      <w:r w:rsidR="00742297" w:rsidRPr="00FF0908">
        <w:rPr>
          <w:rFonts w:ascii="Times New Roman" w:hAnsi="Times New Roman"/>
          <w:sz w:val="24"/>
          <w:szCs w:val="24"/>
          <w:lang w:val="fr-BE"/>
        </w:rPr>
        <w:t>ng</w:t>
      </w:r>
      <w:proofErr w:type="spellEnd"/>
      <w:r w:rsidR="00742297" w:rsidRPr="00FF0908">
        <w:rPr>
          <w:rFonts w:ascii="Times New Roman" w:hAnsi="Times New Roman"/>
          <w:sz w:val="24"/>
          <w:szCs w:val="24"/>
          <w:lang w:val="fr-BE"/>
        </w:rPr>
        <w:t>/mL</w:t>
      </w:r>
      <w:r w:rsidRPr="00FF0908">
        <w:rPr>
          <w:rFonts w:ascii="Times New Roman" w:hAnsi="Times New Roman"/>
          <w:sz w:val="24"/>
          <w:szCs w:val="24"/>
          <w:lang w:val="fr-BE"/>
        </w:rPr>
        <w:t xml:space="preserve"> et de 8.2 à 147</w:t>
      </w:r>
      <w:r w:rsidR="00742297" w:rsidRPr="00FF0908">
        <w:rPr>
          <w:rFonts w:ascii="Times New Roman" w:hAnsi="Times New Roman"/>
          <w:sz w:val="24"/>
          <w:szCs w:val="24"/>
          <w:lang w:val="fr-BE"/>
        </w:rPr>
        <w:t xml:space="preserve"> </w:t>
      </w:r>
      <w:proofErr w:type="spellStart"/>
      <w:r w:rsidR="00742297" w:rsidRPr="00FF0908">
        <w:rPr>
          <w:rFonts w:ascii="Times New Roman" w:hAnsi="Times New Roman"/>
          <w:sz w:val="24"/>
          <w:szCs w:val="24"/>
          <w:lang w:val="fr-BE"/>
        </w:rPr>
        <w:t>ng</w:t>
      </w:r>
      <w:proofErr w:type="spellEnd"/>
      <w:r w:rsidR="00742297" w:rsidRPr="00FF0908">
        <w:rPr>
          <w:rFonts w:ascii="Times New Roman" w:hAnsi="Times New Roman"/>
          <w:sz w:val="24"/>
          <w:szCs w:val="24"/>
          <w:lang w:val="fr-BE"/>
        </w:rPr>
        <w:t xml:space="preserve">/mL. </w:t>
      </w:r>
      <w:r>
        <w:rPr>
          <w:rFonts w:ascii="Times New Roman" w:hAnsi="Times New Roman"/>
          <w:sz w:val="24"/>
          <w:szCs w:val="24"/>
          <w:lang w:val="fr-BE"/>
        </w:rPr>
        <w:t xml:space="preserve">Les corrélations entre le dosage de P1NP et le débit de filtration glomérulaire (DFG) estimé étaient les suivantes : </w:t>
      </w:r>
      <w:r w:rsidR="00742297" w:rsidRPr="00FF0908">
        <w:rPr>
          <w:rFonts w:ascii="Times New Roman" w:hAnsi="Times New Roman"/>
          <w:sz w:val="24"/>
          <w:szCs w:val="24"/>
          <w:lang w:val="fr-BE"/>
        </w:rPr>
        <w:t xml:space="preserve">r= -0.3373 (p=0.0017) </w:t>
      </w:r>
      <w:r>
        <w:rPr>
          <w:rFonts w:ascii="Times New Roman" w:hAnsi="Times New Roman"/>
          <w:sz w:val="24"/>
          <w:szCs w:val="24"/>
          <w:lang w:val="fr-BE"/>
        </w:rPr>
        <w:t xml:space="preserve">pour le </w:t>
      </w:r>
      <w:r w:rsidR="00CB0E98">
        <w:rPr>
          <w:rFonts w:ascii="Times New Roman" w:hAnsi="Times New Roman"/>
          <w:sz w:val="24"/>
          <w:szCs w:val="24"/>
          <w:lang w:val="fr-BE"/>
        </w:rPr>
        <w:t>dosage</w:t>
      </w:r>
      <w:r>
        <w:rPr>
          <w:rFonts w:ascii="Times New Roman" w:hAnsi="Times New Roman"/>
          <w:sz w:val="24"/>
          <w:szCs w:val="24"/>
          <w:lang w:val="fr-BE"/>
        </w:rPr>
        <w:t xml:space="preserve"> « total » et </w:t>
      </w:r>
      <w:r w:rsidR="00742297" w:rsidRPr="00FF0908">
        <w:rPr>
          <w:rFonts w:ascii="Times New Roman" w:hAnsi="Times New Roman"/>
          <w:sz w:val="24"/>
          <w:szCs w:val="24"/>
          <w:lang w:val="fr-BE"/>
        </w:rPr>
        <w:t>r= -0.1483 (p=0.1782)</w:t>
      </w:r>
      <w:r>
        <w:rPr>
          <w:rFonts w:ascii="Times New Roman" w:hAnsi="Times New Roman"/>
          <w:sz w:val="24"/>
          <w:szCs w:val="24"/>
          <w:lang w:val="fr-BE"/>
        </w:rPr>
        <w:t xml:space="preserve"> pour le dosage « intact »</w:t>
      </w:r>
      <w:r w:rsidR="00742297" w:rsidRPr="00FF0908">
        <w:rPr>
          <w:rFonts w:ascii="Times New Roman" w:hAnsi="Times New Roman"/>
          <w:sz w:val="24"/>
          <w:szCs w:val="24"/>
          <w:lang w:val="fr-BE"/>
        </w:rPr>
        <w:t xml:space="preserve">. </w:t>
      </w:r>
      <w:r w:rsidR="00E3409B" w:rsidRPr="00E3409B">
        <w:rPr>
          <w:rFonts w:ascii="Times New Roman" w:hAnsi="Times New Roman"/>
          <w:sz w:val="24"/>
          <w:szCs w:val="24"/>
          <w:lang w:val="fr-BE"/>
        </w:rPr>
        <w:t xml:space="preserve">Chez les patients dialysés, </w:t>
      </w:r>
      <w:r w:rsidR="00E3409B" w:rsidRPr="00FF0908">
        <w:rPr>
          <w:rFonts w:ascii="Times New Roman" w:hAnsi="Times New Roman"/>
          <w:sz w:val="24"/>
          <w:szCs w:val="24"/>
          <w:lang w:val="fr-BE"/>
        </w:rPr>
        <w:t xml:space="preserve">les concentrations de P1NP totales et intactes variaient, respectivement, de </w:t>
      </w:r>
      <w:r w:rsidR="00E3409B">
        <w:rPr>
          <w:rFonts w:ascii="Times New Roman" w:hAnsi="Times New Roman"/>
          <w:sz w:val="24"/>
          <w:szCs w:val="24"/>
          <w:lang w:val="fr-BE"/>
        </w:rPr>
        <w:t>18.4</w:t>
      </w:r>
      <w:r w:rsidR="00E3409B" w:rsidRPr="00FF0908">
        <w:rPr>
          <w:rFonts w:ascii="Times New Roman" w:hAnsi="Times New Roman"/>
          <w:sz w:val="24"/>
          <w:szCs w:val="24"/>
          <w:lang w:val="fr-BE"/>
        </w:rPr>
        <w:t xml:space="preserve"> à</w:t>
      </w:r>
      <w:r w:rsidR="00E3409B">
        <w:rPr>
          <w:rFonts w:ascii="Times New Roman" w:hAnsi="Times New Roman"/>
          <w:sz w:val="24"/>
          <w:szCs w:val="24"/>
          <w:lang w:val="fr-BE"/>
        </w:rPr>
        <w:t xml:space="preserve"> 2192</w:t>
      </w:r>
      <w:r w:rsidR="00E3409B" w:rsidRPr="00FF0908">
        <w:rPr>
          <w:rFonts w:ascii="Times New Roman" w:hAnsi="Times New Roman"/>
          <w:sz w:val="24"/>
          <w:szCs w:val="24"/>
          <w:lang w:val="fr-BE"/>
        </w:rPr>
        <w:t xml:space="preserve"> </w:t>
      </w:r>
      <w:proofErr w:type="spellStart"/>
      <w:r w:rsidR="00E3409B" w:rsidRPr="00FF0908">
        <w:rPr>
          <w:rFonts w:ascii="Times New Roman" w:hAnsi="Times New Roman"/>
          <w:sz w:val="24"/>
          <w:szCs w:val="24"/>
          <w:lang w:val="fr-BE"/>
        </w:rPr>
        <w:t>ng</w:t>
      </w:r>
      <w:proofErr w:type="spellEnd"/>
      <w:r w:rsidR="00E3409B" w:rsidRPr="00FF0908">
        <w:rPr>
          <w:rFonts w:ascii="Times New Roman" w:hAnsi="Times New Roman"/>
          <w:sz w:val="24"/>
          <w:szCs w:val="24"/>
          <w:lang w:val="fr-BE"/>
        </w:rPr>
        <w:t>/mL et de</w:t>
      </w:r>
      <w:r w:rsidR="00E3409B">
        <w:rPr>
          <w:rFonts w:ascii="Times New Roman" w:hAnsi="Times New Roman"/>
          <w:sz w:val="24"/>
          <w:szCs w:val="24"/>
          <w:lang w:val="fr-BE"/>
        </w:rPr>
        <w:t xml:space="preserve"> 16</w:t>
      </w:r>
      <w:r w:rsidR="00E3409B" w:rsidRPr="00FF0908">
        <w:rPr>
          <w:rFonts w:ascii="Times New Roman" w:hAnsi="Times New Roman"/>
          <w:sz w:val="24"/>
          <w:szCs w:val="24"/>
          <w:lang w:val="fr-BE"/>
        </w:rPr>
        <w:t xml:space="preserve"> à</w:t>
      </w:r>
      <w:r w:rsidR="00E3409B">
        <w:rPr>
          <w:rFonts w:ascii="Times New Roman" w:hAnsi="Times New Roman"/>
          <w:sz w:val="24"/>
          <w:szCs w:val="24"/>
          <w:lang w:val="fr-BE"/>
        </w:rPr>
        <w:t xml:space="preserve"> 642</w:t>
      </w:r>
      <w:r w:rsidR="00E3409B" w:rsidRPr="00FF0908">
        <w:rPr>
          <w:rFonts w:ascii="Times New Roman" w:hAnsi="Times New Roman"/>
          <w:sz w:val="24"/>
          <w:szCs w:val="24"/>
          <w:lang w:val="fr-BE"/>
        </w:rPr>
        <w:t xml:space="preserve"> </w:t>
      </w:r>
      <w:proofErr w:type="spellStart"/>
      <w:r w:rsidR="00E3409B" w:rsidRPr="00FF0908">
        <w:rPr>
          <w:rFonts w:ascii="Times New Roman" w:hAnsi="Times New Roman"/>
          <w:sz w:val="24"/>
          <w:szCs w:val="24"/>
          <w:lang w:val="fr-BE"/>
        </w:rPr>
        <w:t>ng</w:t>
      </w:r>
      <w:proofErr w:type="spellEnd"/>
      <w:r w:rsidR="00E3409B" w:rsidRPr="00FF0908">
        <w:rPr>
          <w:rFonts w:ascii="Times New Roman" w:hAnsi="Times New Roman"/>
          <w:sz w:val="24"/>
          <w:szCs w:val="24"/>
          <w:lang w:val="fr-BE"/>
        </w:rPr>
        <w:t xml:space="preserve">/mL. </w:t>
      </w:r>
      <w:r w:rsidR="00742297" w:rsidRPr="00FF0908">
        <w:rPr>
          <w:rFonts w:ascii="Times New Roman" w:hAnsi="Times New Roman"/>
          <w:sz w:val="24"/>
          <w:szCs w:val="24"/>
          <w:lang w:val="fr-BE"/>
        </w:rPr>
        <w:t xml:space="preserve">  </w:t>
      </w:r>
    </w:p>
    <w:p w:rsidR="00742297" w:rsidRPr="00FF0908" w:rsidRDefault="00742297" w:rsidP="00742297">
      <w:pPr>
        <w:rPr>
          <w:rStyle w:val="apple-style-span"/>
          <w:rFonts w:ascii="Times New Roman" w:hAnsi="Times New Roman"/>
          <w:b/>
          <w:bCs/>
          <w:color w:val="000000"/>
          <w:sz w:val="24"/>
          <w:szCs w:val="24"/>
          <w:shd w:val="clear" w:color="auto" w:fill="FFFFFF"/>
          <w:lang w:val="fr-BE"/>
        </w:rPr>
      </w:pPr>
      <w:r w:rsidRPr="00FF0908">
        <w:rPr>
          <w:rStyle w:val="apple-style-span"/>
          <w:rFonts w:ascii="Times New Roman" w:hAnsi="Times New Roman"/>
          <w:b/>
          <w:bCs/>
          <w:color w:val="000000"/>
          <w:sz w:val="24"/>
          <w:szCs w:val="24"/>
          <w:shd w:val="clear" w:color="auto" w:fill="FFFFFF"/>
          <w:lang w:val="fr-BE"/>
        </w:rPr>
        <w:t>CONCLUSIONS:</w:t>
      </w:r>
    </w:p>
    <w:p w:rsidR="00742297" w:rsidRPr="00FF0908" w:rsidRDefault="00E3409B" w:rsidP="00742297">
      <w:pPr>
        <w:jc w:val="both"/>
        <w:rPr>
          <w:rFonts w:ascii="Times New Roman" w:hAnsi="Times New Roman"/>
          <w:sz w:val="24"/>
          <w:szCs w:val="24"/>
          <w:lang w:val="fr-BE"/>
        </w:rPr>
      </w:pPr>
      <w:r>
        <w:rPr>
          <w:rFonts w:ascii="Times New Roman" w:hAnsi="Times New Roman"/>
          <w:sz w:val="24"/>
          <w:szCs w:val="24"/>
          <w:lang w:val="fr-BE"/>
        </w:rPr>
        <w:t xml:space="preserve">Chez </w:t>
      </w:r>
      <w:r w:rsidR="00CB0E98">
        <w:rPr>
          <w:rFonts w:ascii="Times New Roman" w:hAnsi="Times New Roman"/>
          <w:sz w:val="24"/>
          <w:szCs w:val="24"/>
          <w:lang w:val="fr-BE"/>
        </w:rPr>
        <w:t>le patient insuffisant rénal</w:t>
      </w:r>
      <w:r>
        <w:rPr>
          <w:rFonts w:ascii="Times New Roman" w:hAnsi="Times New Roman"/>
          <w:sz w:val="24"/>
          <w:szCs w:val="24"/>
          <w:lang w:val="fr-BE"/>
        </w:rPr>
        <w:t>, le dosage de P1NP par une méthode « totale » donnera des valeurs systématiquement supérieures à celle</w:t>
      </w:r>
      <w:r w:rsidR="00CB0E98">
        <w:rPr>
          <w:rFonts w:ascii="Times New Roman" w:hAnsi="Times New Roman"/>
          <w:sz w:val="24"/>
          <w:szCs w:val="24"/>
          <w:lang w:val="fr-BE"/>
        </w:rPr>
        <w:t>s</w:t>
      </w:r>
      <w:r>
        <w:rPr>
          <w:rFonts w:ascii="Times New Roman" w:hAnsi="Times New Roman"/>
          <w:sz w:val="24"/>
          <w:szCs w:val="24"/>
          <w:lang w:val="fr-BE"/>
        </w:rPr>
        <w:t xml:space="preserve"> retrouvée</w:t>
      </w:r>
      <w:r w:rsidR="00CB0E98">
        <w:rPr>
          <w:rFonts w:ascii="Times New Roman" w:hAnsi="Times New Roman"/>
          <w:sz w:val="24"/>
          <w:szCs w:val="24"/>
          <w:lang w:val="fr-BE"/>
        </w:rPr>
        <w:t>s</w:t>
      </w:r>
      <w:r>
        <w:rPr>
          <w:rFonts w:ascii="Times New Roman" w:hAnsi="Times New Roman"/>
          <w:sz w:val="24"/>
          <w:szCs w:val="24"/>
          <w:lang w:val="fr-BE"/>
        </w:rPr>
        <w:t xml:space="preserve"> avec le dosage « intact ».</w:t>
      </w:r>
      <w:r w:rsidR="00CB0E98">
        <w:rPr>
          <w:rFonts w:ascii="Times New Roman" w:hAnsi="Times New Roman"/>
          <w:sz w:val="24"/>
          <w:szCs w:val="24"/>
          <w:lang w:val="fr-BE"/>
        </w:rPr>
        <w:t xml:space="preserve"> La corrélation significative, uniquement retrouvée entre le dosage « total », et le DFG estimé indique bien  et confirme l’hypothèse d’une accumulation des fragments de P1NP chez l’insuffisant rénal. </w:t>
      </w:r>
      <w:r w:rsidR="00CB0E98" w:rsidRPr="00CB0E98">
        <w:rPr>
          <w:rFonts w:ascii="Times New Roman" w:hAnsi="Times New Roman"/>
          <w:sz w:val="24"/>
          <w:szCs w:val="24"/>
          <w:lang w:val="fr-BE"/>
        </w:rPr>
        <w:t xml:space="preserve">Une analogie claire avec le dosage de la parathormone peut </w:t>
      </w:r>
      <w:r w:rsidR="00CB0E98">
        <w:rPr>
          <w:rFonts w:ascii="Times New Roman" w:hAnsi="Times New Roman"/>
          <w:sz w:val="24"/>
          <w:szCs w:val="24"/>
          <w:lang w:val="fr-BE"/>
        </w:rPr>
        <w:t>être ici effectué</w:t>
      </w:r>
      <w:r w:rsidR="003C2CC0">
        <w:rPr>
          <w:rFonts w:ascii="Times New Roman" w:hAnsi="Times New Roman"/>
          <w:sz w:val="24"/>
          <w:szCs w:val="24"/>
          <w:lang w:val="fr-BE"/>
        </w:rPr>
        <w:t>e</w:t>
      </w:r>
      <w:r w:rsidR="00CB0E98">
        <w:rPr>
          <w:rFonts w:ascii="Times New Roman" w:hAnsi="Times New Roman"/>
          <w:sz w:val="24"/>
          <w:szCs w:val="24"/>
          <w:lang w:val="fr-BE"/>
        </w:rPr>
        <w:t xml:space="preserve">. </w:t>
      </w:r>
      <w:r w:rsidR="00CB0E98" w:rsidRPr="00CB0E98">
        <w:rPr>
          <w:rFonts w:ascii="Times New Roman" w:hAnsi="Times New Roman"/>
          <w:sz w:val="24"/>
          <w:szCs w:val="24"/>
          <w:lang w:val="fr-BE"/>
        </w:rPr>
        <w:t xml:space="preserve">Chez le patient avec MRC, et </w:t>
      </w:r>
      <w:r w:rsidR="00CB0E98" w:rsidRPr="00CB0E98">
        <w:rPr>
          <w:rFonts w:ascii="Times New Roman" w:hAnsi="Times New Roman"/>
          <w:i/>
          <w:sz w:val="24"/>
          <w:szCs w:val="24"/>
          <w:lang w:val="fr-BE"/>
        </w:rPr>
        <w:t xml:space="preserve">a fortiori, </w:t>
      </w:r>
      <w:r w:rsidR="00CB0E98" w:rsidRPr="00CB0E98">
        <w:rPr>
          <w:rFonts w:ascii="Times New Roman" w:hAnsi="Times New Roman"/>
          <w:sz w:val="24"/>
          <w:szCs w:val="24"/>
          <w:lang w:val="fr-BE"/>
        </w:rPr>
        <w:t>chez le patient dialysé, l’intérêt du dosage du P1NP dans l’évaluation de la ma</w:t>
      </w:r>
      <w:r w:rsidR="00CB0E98">
        <w:rPr>
          <w:rFonts w:ascii="Times New Roman" w:hAnsi="Times New Roman"/>
          <w:sz w:val="24"/>
          <w:szCs w:val="24"/>
          <w:lang w:val="fr-BE"/>
        </w:rPr>
        <w:t>la</w:t>
      </w:r>
      <w:r w:rsidR="00CB0E98" w:rsidRPr="00CB0E98">
        <w:rPr>
          <w:rFonts w:ascii="Times New Roman" w:hAnsi="Times New Roman"/>
          <w:sz w:val="24"/>
          <w:szCs w:val="24"/>
          <w:lang w:val="fr-BE"/>
        </w:rPr>
        <w:t xml:space="preserve">die rénale nécessite des </w:t>
      </w:r>
      <w:r w:rsidR="00CB0E98">
        <w:rPr>
          <w:rFonts w:ascii="Times New Roman" w:hAnsi="Times New Roman"/>
          <w:sz w:val="24"/>
          <w:szCs w:val="24"/>
          <w:lang w:val="fr-BE"/>
        </w:rPr>
        <w:t>é</w:t>
      </w:r>
      <w:r w:rsidR="00CB0E98" w:rsidRPr="00CB0E98">
        <w:rPr>
          <w:rFonts w:ascii="Times New Roman" w:hAnsi="Times New Roman"/>
          <w:sz w:val="24"/>
          <w:szCs w:val="24"/>
          <w:lang w:val="fr-BE"/>
        </w:rPr>
        <w:t>tudes complémentaire</w:t>
      </w:r>
      <w:r w:rsidR="00CB0E98">
        <w:rPr>
          <w:rFonts w:ascii="Times New Roman" w:hAnsi="Times New Roman"/>
          <w:sz w:val="24"/>
          <w:szCs w:val="24"/>
          <w:lang w:val="fr-BE"/>
        </w:rPr>
        <w:t>s avec ce kit mesurant la forme « intacte » du peptide</w:t>
      </w:r>
      <w:r w:rsidR="00742297" w:rsidRPr="00FF0908">
        <w:rPr>
          <w:rFonts w:ascii="Times New Roman" w:hAnsi="Times New Roman"/>
          <w:sz w:val="24"/>
          <w:szCs w:val="24"/>
          <w:lang w:val="fr-BE"/>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6"/>
        <w:gridCol w:w="4956"/>
      </w:tblGrid>
      <w:tr w:rsidR="00742297" w:rsidRPr="00FF0908" w:rsidTr="00F5136A">
        <w:tc>
          <w:tcPr>
            <w:tcW w:w="4817" w:type="dxa"/>
          </w:tcPr>
          <w:p w:rsidR="00742297" w:rsidRPr="00FF0908" w:rsidRDefault="00742297" w:rsidP="00F5136A">
            <w:pPr>
              <w:spacing w:after="0" w:line="240" w:lineRule="auto"/>
              <w:jc w:val="both"/>
              <w:rPr>
                <w:rFonts w:ascii="Times New Roman" w:hAnsi="Times New Roman"/>
                <w:sz w:val="24"/>
                <w:szCs w:val="24"/>
                <w:lang w:val="fr-BE"/>
              </w:rPr>
            </w:pPr>
            <w:r w:rsidRPr="00FF0908">
              <w:rPr>
                <w:rFonts w:ascii="Times New Roman" w:hAnsi="Times New Roman"/>
                <w:noProof/>
                <w:sz w:val="24"/>
                <w:szCs w:val="24"/>
                <w:lang w:val="fr-BE" w:eastAsia="fr-BE"/>
              </w:rPr>
              <w:lastRenderedPageBreak/>
              <w:drawing>
                <wp:inline distT="0" distB="0" distL="0" distR="0">
                  <wp:extent cx="3021330" cy="2266315"/>
                  <wp:effectExtent l="19050" t="0" r="7620" b="0"/>
                  <wp:docPr id="4" name="Picture 0" descr="Total P1NP vs GFR scatter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tal P1NP vs GFR scatterplot.jpg"/>
                          <pic:cNvPicPr>
                            <a:picLocks noChangeAspect="1" noChangeArrowheads="1"/>
                          </pic:cNvPicPr>
                        </pic:nvPicPr>
                        <pic:blipFill>
                          <a:blip r:embed="rId5"/>
                          <a:srcRect/>
                          <a:stretch>
                            <a:fillRect/>
                          </a:stretch>
                        </pic:blipFill>
                        <pic:spPr bwMode="auto">
                          <a:xfrm>
                            <a:off x="0" y="0"/>
                            <a:ext cx="3021330" cy="2266315"/>
                          </a:xfrm>
                          <a:prstGeom prst="rect">
                            <a:avLst/>
                          </a:prstGeom>
                          <a:noFill/>
                          <a:ln w="9525">
                            <a:noFill/>
                            <a:miter lim="800000"/>
                            <a:headEnd/>
                            <a:tailEnd/>
                          </a:ln>
                        </pic:spPr>
                      </pic:pic>
                    </a:graphicData>
                  </a:graphic>
                </wp:inline>
              </w:drawing>
            </w:r>
          </w:p>
        </w:tc>
        <w:tc>
          <w:tcPr>
            <w:tcW w:w="4831" w:type="dxa"/>
          </w:tcPr>
          <w:p w:rsidR="00742297" w:rsidRPr="00FF0908" w:rsidRDefault="00742297" w:rsidP="00F5136A">
            <w:pPr>
              <w:spacing w:after="0" w:line="240" w:lineRule="auto"/>
              <w:jc w:val="both"/>
              <w:rPr>
                <w:rFonts w:ascii="Times New Roman" w:hAnsi="Times New Roman"/>
                <w:sz w:val="24"/>
                <w:szCs w:val="24"/>
                <w:lang w:val="fr-BE"/>
              </w:rPr>
            </w:pPr>
            <w:r w:rsidRPr="00FF0908">
              <w:rPr>
                <w:rFonts w:ascii="Times New Roman" w:hAnsi="Times New Roman"/>
                <w:noProof/>
                <w:sz w:val="24"/>
                <w:szCs w:val="24"/>
                <w:lang w:val="fr-BE" w:eastAsia="fr-BE"/>
              </w:rPr>
              <w:drawing>
                <wp:inline distT="0" distB="0" distL="0" distR="0">
                  <wp:extent cx="2981960" cy="2233295"/>
                  <wp:effectExtent l="19050" t="0" r="8890" b="0"/>
                  <wp:docPr id="3" name="Picture 3" descr="Intact P1NP vs GFR scatter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act P1NP vs GFR scatterplot.jpg"/>
                          <pic:cNvPicPr>
                            <a:picLocks noChangeAspect="1" noChangeArrowheads="1"/>
                          </pic:cNvPicPr>
                        </pic:nvPicPr>
                        <pic:blipFill>
                          <a:blip r:embed="rId6"/>
                          <a:srcRect/>
                          <a:stretch>
                            <a:fillRect/>
                          </a:stretch>
                        </pic:blipFill>
                        <pic:spPr bwMode="auto">
                          <a:xfrm>
                            <a:off x="0" y="0"/>
                            <a:ext cx="2981960" cy="2233295"/>
                          </a:xfrm>
                          <a:prstGeom prst="rect">
                            <a:avLst/>
                          </a:prstGeom>
                          <a:noFill/>
                          <a:ln w="9525">
                            <a:noFill/>
                            <a:miter lim="800000"/>
                            <a:headEnd/>
                            <a:tailEnd/>
                          </a:ln>
                        </pic:spPr>
                      </pic:pic>
                    </a:graphicData>
                  </a:graphic>
                </wp:inline>
              </w:drawing>
            </w:r>
          </w:p>
        </w:tc>
      </w:tr>
    </w:tbl>
    <w:p w:rsidR="00742297" w:rsidRPr="00FF0908" w:rsidRDefault="00742297" w:rsidP="00B00611">
      <w:pPr>
        <w:spacing w:after="0"/>
        <w:rPr>
          <w:rFonts w:ascii="Times New Roman" w:hAnsi="Times New Roman"/>
          <w:sz w:val="24"/>
          <w:szCs w:val="24"/>
          <w:lang w:val="fr-BE"/>
        </w:rPr>
      </w:pPr>
    </w:p>
    <w:sectPr w:rsidR="00742297" w:rsidRPr="00FF0908" w:rsidSect="00CA59CA">
      <w:pgSz w:w="12240" w:h="15840"/>
      <w:pgMar w:top="153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C3BF2"/>
    <w:multiLevelType w:val="hybridMultilevel"/>
    <w:tmpl w:val="E6C6EBE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D8B462F"/>
    <w:multiLevelType w:val="multilevel"/>
    <w:tmpl w:val="67EE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A20E1"/>
    <w:multiLevelType w:val="multilevel"/>
    <w:tmpl w:val="FBFE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20"/>
  <w:hyphenationZone w:val="425"/>
  <w:characterSpacingControl w:val="doNotCompress"/>
  <w:compat/>
  <w:rsids>
    <w:rsidRoot w:val="00A05110"/>
    <w:rsid w:val="000175A3"/>
    <w:rsid w:val="00062086"/>
    <w:rsid w:val="00067974"/>
    <w:rsid w:val="00087377"/>
    <w:rsid w:val="00095E14"/>
    <w:rsid w:val="00104F55"/>
    <w:rsid w:val="00112070"/>
    <w:rsid w:val="00126202"/>
    <w:rsid w:val="0013787C"/>
    <w:rsid w:val="00161E9D"/>
    <w:rsid w:val="001963F8"/>
    <w:rsid w:val="001B7FCE"/>
    <w:rsid w:val="00227364"/>
    <w:rsid w:val="00274286"/>
    <w:rsid w:val="002D26AC"/>
    <w:rsid w:val="00336C21"/>
    <w:rsid w:val="00380BBD"/>
    <w:rsid w:val="003C2CC0"/>
    <w:rsid w:val="003C626B"/>
    <w:rsid w:val="003E50EF"/>
    <w:rsid w:val="00403DD2"/>
    <w:rsid w:val="004215DD"/>
    <w:rsid w:val="00460DA4"/>
    <w:rsid w:val="0046579A"/>
    <w:rsid w:val="004867E5"/>
    <w:rsid w:val="004D3AE9"/>
    <w:rsid w:val="00501AB1"/>
    <w:rsid w:val="005211A1"/>
    <w:rsid w:val="0053073E"/>
    <w:rsid w:val="005D6174"/>
    <w:rsid w:val="005E29EF"/>
    <w:rsid w:val="005E7059"/>
    <w:rsid w:val="00627D66"/>
    <w:rsid w:val="00630EDE"/>
    <w:rsid w:val="00670664"/>
    <w:rsid w:val="006A5F16"/>
    <w:rsid w:val="006A750E"/>
    <w:rsid w:val="006C29F6"/>
    <w:rsid w:val="006F5D43"/>
    <w:rsid w:val="00741458"/>
    <w:rsid w:val="00742297"/>
    <w:rsid w:val="00767ADA"/>
    <w:rsid w:val="007B2CB1"/>
    <w:rsid w:val="007C37AC"/>
    <w:rsid w:val="007C7B71"/>
    <w:rsid w:val="007E3413"/>
    <w:rsid w:val="007F5262"/>
    <w:rsid w:val="00832210"/>
    <w:rsid w:val="0085594D"/>
    <w:rsid w:val="00881EF2"/>
    <w:rsid w:val="008C0F12"/>
    <w:rsid w:val="008E1122"/>
    <w:rsid w:val="00976153"/>
    <w:rsid w:val="0097735B"/>
    <w:rsid w:val="0099271C"/>
    <w:rsid w:val="00996610"/>
    <w:rsid w:val="009A286A"/>
    <w:rsid w:val="009A5532"/>
    <w:rsid w:val="009C294B"/>
    <w:rsid w:val="00A05110"/>
    <w:rsid w:val="00A5426B"/>
    <w:rsid w:val="00A6702A"/>
    <w:rsid w:val="00A74E21"/>
    <w:rsid w:val="00AC6911"/>
    <w:rsid w:val="00AC6F53"/>
    <w:rsid w:val="00B00611"/>
    <w:rsid w:val="00B32A9E"/>
    <w:rsid w:val="00B975FC"/>
    <w:rsid w:val="00BB60C9"/>
    <w:rsid w:val="00BE68A4"/>
    <w:rsid w:val="00C607FE"/>
    <w:rsid w:val="00C67C2B"/>
    <w:rsid w:val="00C67FD3"/>
    <w:rsid w:val="00CA59CA"/>
    <w:rsid w:val="00CB0E98"/>
    <w:rsid w:val="00CF1CB0"/>
    <w:rsid w:val="00D5186B"/>
    <w:rsid w:val="00D5372E"/>
    <w:rsid w:val="00D56766"/>
    <w:rsid w:val="00DD427D"/>
    <w:rsid w:val="00DF71C7"/>
    <w:rsid w:val="00E037B1"/>
    <w:rsid w:val="00E15034"/>
    <w:rsid w:val="00E32AC3"/>
    <w:rsid w:val="00E3409B"/>
    <w:rsid w:val="00E40D3A"/>
    <w:rsid w:val="00E66B88"/>
    <w:rsid w:val="00E80981"/>
    <w:rsid w:val="00EB10BE"/>
    <w:rsid w:val="00ED615B"/>
    <w:rsid w:val="00EF2046"/>
    <w:rsid w:val="00F215DA"/>
    <w:rsid w:val="00F2162D"/>
    <w:rsid w:val="00F23591"/>
    <w:rsid w:val="00F64EDF"/>
    <w:rsid w:val="00F65234"/>
    <w:rsid w:val="00FA2203"/>
    <w:rsid w:val="00FB2497"/>
    <w:rsid w:val="00FB2D8C"/>
    <w:rsid w:val="00FF090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6AC"/>
    <w:pPr>
      <w:spacing w:after="200" w:line="276" w:lineRule="auto"/>
    </w:pPr>
    <w:rPr>
      <w:lang w:val="en-GB" w:eastAsia="en-US"/>
    </w:rPr>
  </w:style>
  <w:style w:type="paragraph" w:styleId="Titre2">
    <w:name w:val="heading 2"/>
    <w:basedOn w:val="Normal"/>
    <w:link w:val="Titre2Car"/>
    <w:uiPriority w:val="99"/>
    <w:qFormat/>
    <w:rsid w:val="00832210"/>
    <w:pPr>
      <w:spacing w:after="0" w:line="240" w:lineRule="auto"/>
      <w:ind w:left="83"/>
      <w:outlineLvl w:val="1"/>
    </w:pPr>
    <w:rPr>
      <w:rFonts w:ascii="Times New Roman" w:eastAsia="Times New Roman" w:hAnsi="Times New Roman"/>
      <w:b/>
      <w:b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832210"/>
    <w:rPr>
      <w:rFonts w:ascii="Times New Roman" w:hAnsi="Times New Roman" w:cs="Times New Roman"/>
      <w:b/>
      <w:bCs/>
      <w:sz w:val="24"/>
      <w:szCs w:val="24"/>
    </w:rPr>
  </w:style>
  <w:style w:type="paragraph" w:styleId="Textedebulles">
    <w:name w:val="Balloon Text"/>
    <w:basedOn w:val="Normal"/>
    <w:link w:val="TextedebullesCar"/>
    <w:uiPriority w:val="99"/>
    <w:semiHidden/>
    <w:rsid w:val="001963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963F8"/>
    <w:rPr>
      <w:rFonts w:ascii="Tahoma" w:hAnsi="Tahoma" w:cs="Tahoma"/>
      <w:sz w:val="16"/>
      <w:szCs w:val="16"/>
      <w:lang w:val="en-GB"/>
    </w:rPr>
  </w:style>
  <w:style w:type="table" w:styleId="Grilledutableau">
    <w:name w:val="Table Grid"/>
    <w:basedOn w:val="TableauNormal"/>
    <w:uiPriority w:val="99"/>
    <w:rsid w:val="001963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53073E"/>
    <w:pPr>
      <w:ind w:left="720"/>
      <w:contextualSpacing/>
    </w:pPr>
  </w:style>
  <w:style w:type="paragraph" w:styleId="NormalWeb">
    <w:name w:val="Normal (Web)"/>
    <w:basedOn w:val="Normal"/>
    <w:uiPriority w:val="99"/>
    <w:rsid w:val="00ED615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1">
    <w:name w:val="normal1"/>
    <w:basedOn w:val="Policepardfaut"/>
    <w:uiPriority w:val="99"/>
    <w:rsid w:val="00832210"/>
    <w:rPr>
      <w:rFonts w:ascii="Arial" w:hAnsi="Arial" w:cs="Arial"/>
      <w:color w:val="000000"/>
      <w:sz w:val="20"/>
      <w:szCs w:val="20"/>
    </w:rPr>
  </w:style>
  <w:style w:type="character" w:customStyle="1" w:styleId="result">
    <w:name w:val="result"/>
    <w:basedOn w:val="Policepardfaut"/>
    <w:uiPriority w:val="99"/>
    <w:rsid w:val="00832210"/>
    <w:rPr>
      <w:rFonts w:cs="Times New Roman"/>
      <w:color w:val="000080"/>
    </w:rPr>
  </w:style>
  <w:style w:type="character" w:styleId="AcronymeHTML">
    <w:name w:val="HTML Acronym"/>
    <w:basedOn w:val="Policepardfaut"/>
    <w:uiPriority w:val="99"/>
    <w:semiHidden/>
    <w:rsid w:val="00832210"/>
    <w:rPr>
      <w:rFonts w:cs="Times New Roman"/>
    </w:rPr>
  </w:style>
  <w:style w:type="character" w:customStyle="1" w:styleId="apple-style-span">
    <w:name w:val="apple-style-span"/>
    <w:rsid w:val="00742297"/>
  </w:style>
</w:styles>
</file>

<file path=word/webSettings.xml><?xml version="1.0" encoding="utf-8"?>
<w:webSettings xmlns:r="http://schemas.openxmlformats.org/officeDocument/2006/relationships" xmlns:w="http://schemas.openxmlformats.org/wordprocessingml/2006/main">
  <w:divs>
    <w:div w:id="1398432267">
      <w:marLeft w:val="0"/>
      <w:marRight w:val="0"/>
      <w:marTop w:val="0"/>
      <w:marBottom w:val="0"/>
      <w:divBdr>
        <w:top w:val="none" w:sz="0" w:space="0" w:color="auto"/>
        <w:left w:val="none" w:sz="0" w:space="0" w:color="auto"/>
        <w:bottom w:val="none" w:sz="0" w:space="0" w:color="auto"/>
        <w:right w:val="none" w:sz="0" w:space="0" w:color="auto"/>
      </w:divBdr>
    </w:div>
    <w:div w:id="1398432268">
      <w:marLeft w:val="0"/>
      <w:marRight w:val="0"/>
      <w:marTop w:val="0"/>
      <w:marBottom w:val="0"/>
      <w:divBdr>
        <w:top w:val="none" w:sz="0" w:space="0" w:color="auto"/>
        <w:left w:val="none" w:sz="0" w:space="0" w:color="auto"/>
        <w:bottom w:val="none" w:sz="0" w:space="0" w:color="auto"/>
        <w:right w:val="none" w:sz="0" w:space="0" w:color="auto"/>
      </w:divBdr>
    </w:div>
    <w:div w:id="1398432273">
      <w:marLeft w:val="0"/>
      <w:marRight w:val="0"/>
      <w:marTop w:val="0"/>
      <w:marBottom w:val="0"/>
      <w:divBdr>
        <w:top w:val="none" w:sz="0" w:space="0" w:color="auto"/>
        <w:left w:val="none" w:sz="0" w:space="0" w:color="auto"/>
        <w:bottom w:val="none" w:sz="0" w:space="0" w:color="auto"/>
        <w:right w:val="none" w:sz="0" w:space="0" w:color="auto"/>
      </w:divBdr>
      <w:divsChild>
        <w:div w:id="1398432263">
          <w:marLeft w:val="0"/>
          <w:marRight w:val="0"/>
          <w:marTop w:val="0"/>
          <w:marBottom w:val="0"/>
          <w:divBdr>
            <w:top w:val="none" w:sz="0" w:space="0" w:color="auto"/>
            <w:left w:val="none" w:sz="0" w:space="0" w:color="auto"/>
            <w:bottom w:val="none" w:sz="0" w:space="0" w:color="auto"/>
            <w:right w:val="none" w:sz="0" w:space="0" w:color="auto"/>
          </w:divBdr>
          <w:divsChild>
            <w:div w:id="1398432264">
              <w:marLeft w:val="0"/>
              <w:marRight w:val="0"/>
              <w:marTop w:val="100"/>
              <w:marBottom w:val="100"/>
              <w:divBdr>
                <w:top w:val="none" w:sz="0" w:space="0" w:color="auto"/>
                <w:left w:val="none" w:sz="0" w:space="0" w:color="auto"/>
                <w:bottom w:val="none" w:sz="0" w:space="0" w:color="auto"/>
                <w:right w:val="none" w:sz="0" w:space="0" w:color="auto"/>
              </w:divBdr>
              <w:divsChild>
                <w:div w:id="1398432269">
                  <w:marLeft w:val="0"/>
                  <w:marRight w:val="0"/>
                  <w:marTop w:val="0"/>
                  <w:marBottom w:val="0"/>
                  <w:divBdr>
                    <w:top w:val="none" w:sz="0" w:space="0" w:color="auto"/>
                    <w:left w:val="none" w:sz="0" w:space="0" w:color="auto"/>
                    <w:bottom w:val="none" w:sz="0" w:space="0" w:color="auto"/>
                    <w:right w:val="none" w:sz="0" w:space="0" w:color="auto"/>
                  </w:divBdr>
                  <w:divsChild>
                    <w:div w:id="1398432271">
                      <w:marLeft w:val="0"/>
                      <w:marRight w:val="0"/>
                      <w:marTop w:val="0"/>
                      <w:marBottom w:val="0"/>
                      <w:divBdr>
                        <w:top w:val="none" w:sz="0" w:space="0" w:color="auto"/>
                        <w:left w:val="none" w:sz="0" w:space="0" w:color="auto"/>
                        <w:bottom w:val="none" w:sz="0" w:space="0" w:color="auto"/>
                        <w:right w:val="none" w:sz="0" w:space="0" w:color="auto"/>
                      </w:divBdr>
                      <w:divsChild>
                        <w:div w:id="1398432266">
                          <w:marLeft w:val="0"/>
                          <w:marRight w:val="0"/>
                          <w:marTop w:val="0"/>
                          <w:marBottom w:val="0"/>
                          <w:divBdr>
                            <w:top w:val="none" w:sz="0" w:space="0" w:color="auto"/>
                            <w:left w:val="none" w:sz="0" w:space="0" w:color="auto"/>
                            <w:bottom w:val="none" w:sz="0" w:space="0" w:color="auto"/>
                            <w:right w:val="none" w:sz="0" w:space="0" w:color="auto"/>
                          </w:divBdr>
                          <w:divsChild>
                            <w:div w:id="1398432262">
                              <w:marLeft w:val="0"/>
                              <w:marRight w:val="0"/>
                              <w:marTop w:val="0"/>
                              <w:marBottom w:val="0"/>
                              <w:divBdr>
                                <w:top w:val="none" w:sz="0" w:space="0" w:color="auto"/>
                                <w:left w:val="none" w:sz="0" w:space="0" w:color="auto"/>
                                <w:bottom w:val="none" w:sz="0" w:space="0" w:color="auto"/>
                                <w:right w:val="none" w:sz="0" w:space="0" w:color="auto"/>
                              </w:divBdr>
                              <w:divsChild>
                                <w:div w:id="1398432265">
                                  <w:marLeft w:val="0"/>
                                  <w:marRight w:val="0"/>
                                  <w:marTop w:val="0"/>
                                  <w:marBottom w:val="0"/>
                                  <w:divBdr>
                                    <w:top w:val="none" w:sz="0" w:space="0" w:color="auto"/>
                                    <w:left w:val="none" w:sz="0" w:space="0" w:color="auto"/>
                                    <w:bottom w:val="none" w:sz="0" w:space="0" w:color="auto"/>
                                    <w:right w:val="none" w:sz="0" w:space="0" w:color="auto"/>
                                  </w:divBdr>
                                  <w:divsChild>
                                    <w:div w:id="1398432270">
                                      <w:marLeft w:val="0"/>
                                      <w:marRight w:val="0"/>
                                      <w:marTop w:val="0"/>
                                      <w:marBottom w:val="0"/>
                                      <w:divBdr>
                                        <w:top w:val="none" w:sz="0" w:space="0" w:color="auto"/>
                                        <w:left w:val="none" w:sz="0" w:space="0" w:color="auto"/>
                                        <w:bottom w:val="none" w:sz="0" w:space="0" w:color="auto"/>
                                        <w:right w:val="none" w:sz="0" w:space="0" w:color="auto"/>
                                      </w:divBdr>
                                      <w:divsChild>
                                        <w:div w:id="13984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372</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DIFFERENCE BETWEEN TOTAL AND INTACT ASSAYS FOR N-TERMINAL PROPEPTIDE OF TYPE I PROCOLLAGEN IN RENAL IMPAIRED PATIENTS</vt:lpstr>
    </vt:vector>
  </TitlesOfParts>
  <Company>ULg</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DIFFERENCE BETWEEN TOTAL AND INTACT ASSAYS FOR N-TERMINAL PROPEPTIDE OF TYPE I PROCOLLAGEN IN RENAL IMPAIRED PATIENTS</dc:title>
  <dc:creator>Heather.Pham</dc:creator>
  <cp:lastModifiedBy>pdelanaye</cp:lastModifiedBy>
  <cp:revision>7</cp:revision>
  <dcterms:created xsi:type="dcterms:W3CDTF">2012-04-23T12:32:00Z</dcterms:created>
  <dcterms:modified xsi:type="dcterms:W3CDTF">2012-04-30T13:11:00Z</dcterms:modified>
</cp:coreProperties>
</file>